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C5A9F" w14:textId="77777777" w:rsidR="005072F5" w:rsidRDefault="005072F5" w:rsidP="005072F5">
      <w:pPr>
        <w:jc w:val="center"/>
      </w:pPr>
      <w:r>
        <w:rPr>
          <w:noProof/>
        </w:rPr>
        <w:drawing>
          <wp:inline distT="0" distB="0" distL="0" distR="0" wp14:anchorId="4544C576" wp14:editId="7A5826F7">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Picture 1" title="EESCLogo_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Pr>
          <w:noProof/>
          <w:sz w:val="20"/>
        </w:rPr>
        <mc:AlternateContent>
          <mc:Choice Requires="wps">
            <w:drawing>
              <wp:anchor distT="0" distB="0" distL="114300" distR="114300" simplePos="0" relativeHeight="251659264" behindDoc="1" locked="0" layoutInCell="0" allowOverlap="1" wp14:anchorId="22DBCF8A" wp14:editId="65B593B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F5D55" w14:textId="77777777" w:rsidR="005072F5" w:rsidRPr="00260E65" w:rsidRDefault="005072F5" w:rsidP="005072F5">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BCF8A"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CF5D55" w14:textId="77777777" w:rsidR="005072F5" w:rsidRPr="00260E65" w:rsidRDefault="005072F5" w:rsidP="005072F5">
                      <w:pPr>
                        <w:jc w:val="center"/>
                        <w:rPr>
                          <w:rFonts w:ascii="Arial" w:hAnsi="Arial" w:cs="Arial"/>
                          <w:b/>
                          <w:bCs/>
                          <w:sz w:val="48"/>
                        </w:rPr>
                      </w:pPr>
                      <w:r>
                        <w:rPr>
                          <w:rFonts w:ascii="Arial" w:hAnsi="Arial"/>
                          <w:b/>
                          <w:sz w:val="48"/>
                        </w:rPr>
                        <w:t>ES</w:t>
                      </w:r>
                    </w:p>
                  </w:txbxContent>
                </v:textbox>
                <w10:wrap anchorx="page" anchory="page"/>
              </v:shape>
            </w:pict>
          </mc:Fallback>
        </mc:AlternateContent>
      </w:r>
    </w:p>
    <w:p w14:paraId="416D704F" w14:textId="77777777" w:rsidR="005072F5" w:rsidRDefault="005072F5" w:rsidP="005072F5"/>
    <w:p w14:paraId="1E7A6BC8" w14:textId="77777777" w:rsidR="005072F5" w:rsidRDefault="005072F5" w:rsidP="005072F5">
      <w:pPr>
        <w:jc w:val="right"/>
      </w:pPr>
      <w:r>
        <w:t>Bruselas, 14 de octubre de 2025</w:t>
      </w:r>
    </w:p>
    <w:p w14:paraId="59858C68" w14:textId="77777777" w:rsidR="005072F5" w:rsidRDefault="005072F5" w:rsidP="005072F5"/>
    <w:p w14:paraId="736846D2" w14:textId="77777777" w:rsidR="005072F5" w:rsidRDefault="005072F5" w:rsidP="005072F5"/>
    <w:p w14:paraId="0271ECB7" w14:textId="77777777" w:rsidR="005072F5" w:rsidRDefault="005072F5" w:rsidP="005072F5"/>
    <w:tbl>
      <w:tblPr>
        <w:tblW w:w="0" w:type="auto"/>
        <w:tblLook w:val="04A0" w:firstRow="1" w:lastRow="0" w:firstColumn="1" w:lastColumn="0" w:noHBand="0" w:noVBand="1"/>
      </w:tblPr>
      <w:tblGrid>
        <w:gridCol w:w="9289"/>
      </w:tblGrid>
      <w:tr w:rsidR="005072F5" w14:paraId="5F89E5F4" w14:textId="77777777" w:rsidTr="00915390">
        <w:tc>
          <w:tcPr>
            <w:tcW w:w="9289" w:type="dxa"/>
            <w:tcBorders>
              <w:bottom w:val="double" w:sz="4" w:space="0" w:color="auto"/>
            </w:tcBorders>
          </w:tcPr>
          <w:p w14:paraId="6792D6DC" w14:textId="77777777" w:rsidR="005072F5" w:rsidRDefault="005072F5" w:rsidP="00915390">
            <w:pPr>
              <w:snapToGrid w:val="0"/>
              <w:jc w:val="center"/>
              <w:rPr>
                <w:b/>
                <w:sz w:val="32"/>
                <w:szCs w:val="32"/>
              </w:rPr>
            </w:pPr>
            <w:r>
              <w:rPr>
                <w:b/>
                <w:sz w:val="32"/>
              </w:rPr>
              <w:t>599.º PLENO</w:t>
            </w:r>
          </w:p>
          <w:p w14:paraId="0749A07A" w14:textId="77777777" w:rsidR="005072F5" w:rsidRDefault="005072F5" w:rsidP="00915390">
            <w:pPr>
              <w:snapToGrid w:val="0"/>
              <w:jc w:val="center"/>
              <w:rPr>
                <w:b/>
                <w:sz w:val="32"/>
                <w:szCs w:val="32"/>
              </w:rPr>
            </w:pPr>
          </w:p>
          <w:p w14:paraId="2E9E17AD" w14:textId="77777777" w:rsidR="005072F5" w:rsidRDefault="005072F5" w:rsidP="00915390">
            <w:pPr>
              <w:snapToGrid w:val="0"/>
              <w:jc w:val="center"/>
              <w:rPr>
                <w:b/>
                <w:sz w:val="32"/>
                <w:szCs w:val="32"/>
              </w:rPr>
            </w:pPr>
            <w:r>
              <w:rPr>
                <w:b/>
                <w:sz w:val="32"/>
              </w:rPr>
              <w:t>17 y 18 de septiembre de 2025</w:t>
            </w:r>
          </w:p>
          <w:p w14:paraId="01FF19E6" w14:textId="77777777" w:rsidR="005072F5" w:rsidRDefault="005072F5" w:rsidP="00915390">
            <w:pPr>
              <w:snapToGrid w:val="0"/>
              <w:jc w:val="center"/>
              <w:rPr>
                <w:b/>
                <w:sz w:val="32"/>
                <w:szCs w:val="32"/>
              </w:rPr>
            </w:pPr>
          </w:p>
          <w:p w14:paraId="32913C0F" w14:textId="77777777" w:rsidR="005072F5" w:rsidRPr="0081153B" w:rsidRDefault="005072F5" w:rsidP="00915390">
            <w:pPr>
              <w:snapToGrid w:val="0"/>
              <w:jc w:val="center"/>
              <w:rPr>
                <w:rFonts w:eastAsia="MS Mincho"/>
                <w:b/>
                <w:sz w:val="32"/>
                <w:szCs w:val="32"/>
              </w:rPr>
            </w:pPr>
            <w:r>
              <w:rPr>
                <w:b/>
                <w:sz w:val="32"/>
              </w:rPr>
              <w:t>SÍNTESIS DE LOS DICTÁMENES Y RESOLUCIONES APROBADOS Y DE LOS INFORMES DE EVALUACIÓN</w:t>
            </w:r>
          </w:p>
          <w:p w14:paraId="08B9EB70" w14:textId="77777777" w:rsidR="005072F5" w:rsidRDefault="005072F5" w:rsidP="00915390">
            <w:pPr>
              <w:snapToGrid w:val="0"/>
            </w:pPr>
          </w:p>
        </w:tc>
      </w:tr>
      <w:tr w:rsidR="005072F5" w14:paraId="12D9A598" w14:textId="77777777" w:rsidTr="00915390">
        <w:tc>
          <w:tcPr>
            <w:tcW w:w="9289" w:type="dxa"/>
            <w:tcBorders>
              <w:top w:val="double" w:sz="4" w:space="0" w:color="auto"/>
              <w:left w:val="double" w:sz="4" w:space="0" w:color="auto"/>
              <w:bottom w:val="double" w:sz="4" w:space="0" w:color="auto"/>
              <w:right w:val="double" w:sz="4" w:space="0" w:color="auto"/>
            </w:tcBorders>
          </w:tcPr>
          <w:p w14:paraId="4847994E" w14:textId="77777777" w:rsidR="005072F5" w:rsidRPr="0081153B" w:rsidRDefault="005072F5" w:rsidP="00915390">
            <w:pPr>
              <w:snapToGrid w:val="0"/>
              <w:jc w:val="center"/>
            </w:pPr>
            <w:r>
              <w:t xml:space="preserve">Este documento puede consultarse en todas las lenguas oficiales de la Unión Europea en el sitio internet del CESE en la siguiente dirección: </w:t>
            </w:r>
            <w:r>
              <w:br/>
            </w:r>
            <w:r>
              <w:br/>
            </w:r>
            <w:hyperlink r:id="rId13" w:history="1">
              <w:r>
                <w:rPr>
                  <w:rStyle w:val="Hyperlink"/>
                </w:rPr>
                <w:t>https://www.eesc.europa.eu/es/our-work/opinions-information-reports/plenary-session-summaries</w:t>
              </w:r>
            </w:hyperlink>
          </w:p>
          <w:p w14:paraId="7DD1331A" w14:textId="77777777" w:rsidR="005072F5" w:rsidRPr="0081153B" w:rsidRDefault="005072F5" w:rsidP="00915390">
            <w:pPr>
              <w:snapToGrid w:val="0"/>
              <w:jc w:val="center"/>
            </w:pPr>
          </w:p>
          <w:p w14:paraId="5DA2709E" w14:textId="77777777" w:rsidR="005072F5" w:rsidRPr="0081153B" w:rsidRDefault="005072F5" w:rsidP="00915390">
            <w:pPr>
              <w:snapToGrid w:val="0"/>
              <w:jc w:val="center"/>
              <w:rPr>
                <w:rFonts w:eastAsia="SimSun"/>
              </w:rPr>
            </w:pPr>
          </w:p>
          <w:p w14:paraId="3BC7471F" w14:textId="77777777" w:rsidR="005072F5" w:rsidRPr="00044561" w:rsidRDefault="005072F5" w:rsidP="00915390">
            <w:pPr>
              <w:snapToGrid w:val="0"/>
              <w:jc w:val="center"/>
            </w:pPr>
            <w:r>
              <w:t xml:space="preserve">Los dictámenes mencionados pueden consultarse en línea </w:t>
            </w:r>
            <w:r>
              <w:br/>
              <w:t>utilizando el motor de búsqueda del CESE:</w:t>
            </w:r>
            <w:r>
              <w:br/>
            </w:r>
            <w:r>
              <w:br/>
            </w:r>
            <w:hyperlink r:id="rId14" w:history="1">
              <w:r>
                <w:rPr>
                  <w:rStyle w:val="Hyperlink"/>
                </w:rPr>
                <w:t>https://dmsearch.eesc.europa.eu/search/opinion</w:t>
              </w:r>
            </w:hyperlink>
          </w:p>
          <w:p w14:paraId="6700556A" w14:textId="77777777" w:rsidR="005072F5" w:rsidRPr="00044561" w:rsidRDefault="005072F5" w:rsidP="00915390">
            <w:pPr>
              <w:snapToGrid w:val="0"/>
              <w:jc w:val="center"/>
            </w:pPr>
          </w:p>
        </w:tc>
      </w:tr>
    </w:tbl>
    <w:p w14:paraId="42B262C7" w14:textId="77777777" w:rsidR="005072F5" w:rsidRDefault="005072F5" w:rsidP="005072F5"/>
    <w:p w14:paraId="50844CBA" w14:textId="77777777" w:rsidR="005072F5" w:rsidRDefault="005072F5" w:rsidP="005072F5"/>
    <w:p w14:paraId="7E804CA4" w14:textId="77777777" w:rsidR="005072F5" w:rsidRDefault="005072F5" w:rsidP="005072F5">
      <w:pPr>
        <w:sectPr w:rsidR="005072F5" w:rsidSect="003E180D">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1B091DF3" w14:textId="77777777" w:rsidR="005072F5" w:rsidRPr="00A81AFE" w:rsidRDefault="005072F5" w:rsidP="005072F5">
      <w:pPr>
        <w:spacing w:before="120"/>
        <w:rPr>
          <w:b/>
        </w:rPr>
      </w:pPr>
      <w:r>
        <w:rPr>
          <w:b/>
        </w:rPr>
        <w:lastRenderedPageBreak/>
        <w:t>Índice:</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7CEBC2F" w14:textId="77777777" w:rsidR="005072F5" w:rsidRPr="00A81AFE" w:rsidRDefault="005072F5" w:rsidP="005072F5">
          <w:pPr>
            <w:pStyle w:val="TOCHeading"/>
            <w:spacing w:before="120" w:line="288" w:lineRule="auto"/>
            <w:rPr>
              <w:rFonts w:ascii="Times New Roman" w:hAnsi="Times New Roman" w:cs="Times New Roman"/>
              <w:color w:val="auto"/>
              <w:sz w:val="22"/>
              <w:szCs w:val="22"/>
            </w:rPr>
          </w:pPr>
        </w:p>
        <w:p w14:paraId="2F03A284" w14:textId="0713A8F6" w:rsidR="005072F5" w:rsidRDefault="005072F5">
          <w:pPr>
            <w:pStyle w:val="TOC1"/>
            <w:rPr>
              <w:rFonts w:asciiTheme="minorHAnsi" w:eastAsiaTheme="minorEastAsia" w:hAnsiTheme="minorHAnsi" w:cstheme="minorBidi"/>
              <w:noProof/>
              <w:lang w:val="es-x-int-SDL" w:eastAsia="es-x-int-SDL"/>
            </w:rPr>
          </w:pPr>
          <w:r>
            <w:fldChar w:fldCharType="begin"/>
          </w:r>
          <w:r>
            <w:instrText xml:space="preserve"> TOC \o "1-3" \h \z \u </w:instrText>
          </w:r>
          <w:r>
            <w:fldChar w:fldCharType="separate"/>
          </w:r>
          <w:hyperlink w:anchor="_Toc211345372" w:history="1">
            <w:r w:rsidRPr="002E0E52">
              <w:rPr>
                <w:rStyle w:val="Hyperlink"/>
                <w:bCs/>
                <w:noProof/>
              </w:rPr>
              <w:t>1.</w:t>
            </w:r>
            <w:r>
              <w:rPr>
                <w:rFonts w:asciiTheme="minorHAnsi" w:eastAsiaTheme="minorEastAsia" w:hAnsiTheme="minorHAnsi" w:cstheme="minorBidi"/>
                <w:noProof/>
                <w:lang w:val="es-x-int-SDL" w:eastAsia="es-x-int-SDL"/>
              </w:rPr>
              <w:tab/>
            </w:r>
            <w:r w:rsidRPr="002E0E52">
              <w:rPr>
                <w:rStyle w:val="Hyperlink"/>
                <w:b/>
                <w:noProof/>
              </w:rPr>
              <w:t>RESOLUCIÓN</w:t>
            </w:r>
            <w:r>
              <w:rPr>
                <w:noProof/>
                <w:webHidden/>
              </w:rPr>
              <w:tab/>
            </w:r>
            <w:r>
              <w:rPr>
                <w:noProof/>
                <w:webHidden/>
              </w:rPr>
              <w:fldChar w:fldCharType="begin"/>
            </w:r>
            <w:r>
              <w:rPr>
                <w:noProof/>
                <w:webHidden/>
              </w:rPr>
              <w:instrText xml:space="preserve"> PAGEREF _Toc211345372 \h </w:instrText>
            </w:r>
            <w:r>
              <w:rPr>
                <w:noProof/>
                <w:webHidden/>
              </w:rPr>
            </w:r>
            <w:r>
              <w:rPr>
                <w:noProof/>
                <w:webHidden/>
              </w:rPr>
              <w:fldChar w:fldCharType="separate"/>
            </w:r>
            <w:r>
              <w:rPr>
                <w:noProof/>
                <w:webHidden/>
              </w:rPr>
              <w:t>3</w:t>
            </w:r>
            <w:r>
              <w:rPr>
                <w:noProof/>
                <w:webHidden/>
              </w:rPr>
              <w:fldChar w:fldCharType="end"/>
            </w:r>
          </w:hyperlink>
        </w:p>
        <w:p w14:paraId="397E63E4" w14:textId="2EA1C17B" w:rsidR="005072F5" w:rsidRDefault="005072F5">
          <w:pPr>
            <w:pStyle w:val="TOC1"/>
            <w:rPr>
              <w:rFonts w:asciiTheme="minorHAnsi" w:eastAsiaTheme="minorEastAsia" w:hAnsiTheme="minorHAnsi" w:cstheme="minorBidi"/>
              <w:noProof/>
              <w:lang w:val="es-x-int-SDL" w:eastAsia="es-x-int-SDL"/>
            </w:rPr>
          </w:pPr>
          <w:hyperlink w:anchor="_Toc211345373" w:history="1">
            <w:r w:rsidRPr="002E0E52">
              <w:rPr>
                <w:rStyle w:val="Hyperlink"/>
                <w:bCs/>
                <w:noProof/>
              </w:rPr>
              <w:t>2.</w:t>
            </w:r>
            <w:r>
              <w:rPr>
                <w:rFonts w:asciiTheme="minorHAnsi" w:eastAsiaTheme="minorEastAsia" w:hAnsiTheme="minorHAnsi" w:cstheme="minorBidi"/>
                <w:noProof/>
                <w:lang w:val="es-x-int-SDL" w:eastAsia="es-x-int-SDL"/>
              </w:rPr>
              <w:tab/>
            </w:r>
            <w:r w:rsidRPr="002E0E52">
              <w:rPr>
                <w:rStyle w:val="Hyperlink"/>
                <w:b/>
                <w:noProof/>
              </w:rPr>
              <w:t>UNIÓN EC</w:t>
            </w:r>
            <w:r w:rsidRPr="002E0E52">
              <w:rPr>
                <w:rStyle w:val="Hyperlink"/>
                <w:b/>
                <w:noProof/>
              </w:rPr>
              <w:t>O</w:t>
            </w:r>
            <w:r w:rsidRPr="002E0E52">
              <w:rPr>
                <w:rStyle w:val="Hyperlink"/>
                <w:b/>
                <w:noProof/>
              </w:rPr>
              <w:t>NÓMICA Y MONETARIA Y COHESIÓN ECONÓMICA Y SOCIAL</w:t>
            </w:r>
            <w:r>
              <w:rPr>
                <w:noProof/>
                <w:webHidden/>
              </w:rPr>
              <w:tab/>
            </w:r>
            <w:r>
              <w:rPr>
                <w:noProof/>
                <w:webHidden/>
              </w:rPr>
              <w:fldChar w:fldCharType="begin"/>
            </w:r>
            <w:r>
              <w:rPr>
                <w:noProof/>
                <w:webHidden/>
              </w:rPr>
              <w:instrText xml:space="preserve"> PAGEREF _Toc211345373 \h </w:instrText>
            </w:r>
            <w:r>
              <w:rPr>
                <w:noProof/>
                <w:webHidden/>
              </w:rPr>
            </w:r>
            <w:r>
              <w:rPr>
                <w:noProof/>
                <w:webHidden/>
              </w:rPr>
              <w:fldChar w:fldCharType="separate"/>
            </w:r>
            <w:r>
              <w:rPr>
                <w:noProof/>
                <w:webHidden/>
              </w:rPr>
              <w:t>5</w:t>
            </w:r>
            <w:r>
              <w:rPr>
                <w:noProof/>
                <w:webHidden/>
              </w:rPr>
              <w:fldChar w:fldCharType="end"/>
            </w:r>
          </w:hyperlink>
        </w:p>
        <w:p w14:paraId="40CAF5AC" w14:textId="4C319BFB" w:rsidR="005072F5" w:rsidRDefault="005072F5">
          <w:pPr>
            <w:pStyle w:val="TOC1"/>
            <w:rPr>
              <w:rFonts w:asciiTheme="minorHAnsi" w:eastAsiaTheme="minorEastAsia" w:hAnsiTheme="minorHAnsi" w:cstheme="minorBidi"/>
              <w:noProof/>
              <w:lang w:val="es-x-int-SDL" w:eastAsia="es-x-int-SDL"/>
            </w:rPr>
          </w:pPr>
          <w:hyperlink w:anchor="_Toc211345374" w:history="1">
            <w:r w:rsidRPr="002E0E52">
              <w:rPr>
                <w:rStyle w:val="Hyperlink"/>
                <w:bCs/>
                <w:noProof/>
              </w:rPr>
              <w:t>3.</w:t>
            </w:r>
            <w:r>
              <w:rPr>
                <w:rFonts w:asciiTheme="minorHAnsi" w:eastAsiaTheme="minorEastAsia" w:hAnsiTheme="minorHAnsi" w:cstheme="minorBidi"/>
                <w:noProof/>
                <w:lang w:val="es-x-int-SDL" w:eastAsia="es-x-int-SDL"/>
              </w:rPr>
              <w:tab/>
            </w:r>
            <w:r w:rsidRPr="002E0E52">
              <w:rPr>
                <w:rStyle w:val="Hyperlink"/>
                <w:b/>
                <w:noProof/>
              </w:rPr>
              <w:t>EMPLEO, ASU</w:t>
            </w:r>
            <w:r w:rsidRPr="002E0E52">
              <w:rPr>
                <w:rStyle w:val="Hyperlink"/>
                <w:b/>
                <w:noProof/>
              </w:rPr>
              <w:t>N</w:t>
            </w:r>
            <w:r w:rsidRPr="002E0E52">
              <w:rPr>
                <w:rStyle w:val="Hyperlink"/>
                <w:b/>
                <w:noProof/>
              </w:rPr>
              <w:t>TOS SOCIALES Y CIUDADANÍA</w:t>
            </w:r>
            <w:r>
              <w:rPr>
                <w:noProof/>
                <w:webHidden/>
              </w:rPr>
              <w:tab/>
            </w:r>
            <w:r>
              <w:rPr>
                <w:noProof/>
                <w:webHidden/>
              </w:rPr>
              <w:fldChar w:fldCharType="begin"/>
            </w:r>
            <w:r>
              <w:rPr>
                <w:noProof/>
                <w:webHidden/>
              </w:rPr>
              <w:instrText xml:space="preserve"> PAGEREF _Toc211345374 \h </w:instrText>
            </w:r>
            <w:r>
              <w:rPr>
                <w:noProof/>
                <w:webHidden/>
              </w:rPr>
            </w:r>
            <w:r>
              <w:rPr>
                <w:noProof/>
                <w:webHidden/>
              </w:rPr>
              <w:fldChar w:fldCharType="separate"/>
            </w:r>
            <w:r>
              <w:rPr>
                <w:noProof/>
                <w:webHidden/>
              </w:rPr>
              <w:t>12</w:t>
            </w:r>
            <w:r>
              <w:rPr>
                <w:noProof/>
                <w:webHidden/>
              </w:rPr>
              <w:fldChar w:fldCharType="end"/>
            </w:r>
          </w:hyperlink>
        </w:p>
        <w:p w14:paraId="453FAB24" w14:textId="0FB06FF7" w:rsidR="005072F5" w:rsidRDefault="005072F5">
          <w:pPr>
            <w:pStyle w:val="TOC1"/>
            <w:rPr>
              <w:rFonts w:asciiTheme="minorHAnsi" w:eastAsiaTheme="minorEastAsia" w:hAnsiTheme="minorHAnsi" w:cstheme="minorBidi"/>
              <w:noProof/>
              <w:lang w:val="es-x-int-SDL" w:eastAsia="es-x-int-SDL"/>
            </w:rPr>
          </w:pPr>
          <w:hyperlink w:anchor="_Toc211345375" w:history="1">
            <w:r w:rsidRPr="002E0E52">
              <w:rPr>
                <w:rStyle w:val="Hyperlink"/>
                <w:bCs/>
                <w:noProof/>
              </w:rPr>
              <w:t>4.</w:t>
            </w:r>
            <w:r>
              <w:rPr>
                <w:rFonts w:asciiTheme="minorHAnsi" w:eastAsiaTheme="minorEastAsia" w:hAnsiTheme="minorHAnsi" w:cstheme="minorBidi"/>
                <w:noProof/>
                <w:lang w:val="es-x-int-SDL" w:eastAsia="es-x-int-SDL"/>
              </w:rPr>
              <w:tab/>
            </w:r>
            <w:r w:rsidRPr="002E0E52">
              <w:rPr>
                <w:rStyle w:val="Hyperlink"/>
                <w:b/>
                <w:noProof/>
              </w:rPr>
              <w:t>TRA</w:t>
            </w:r>
            <w:r w:rsidRPr="002E0E52">
              <w:rPr>
                <w:rStyle w:val="Hyperlink"/>
                <w:b/>
                <w:noProof/>
              </w:rPr>
              <w:t>N</w:t>
            </w:r>
            <w:r w:rsidRPr="002E0E52">
              <w:rPr>
                <w:rStyle w:val="Hyperlink"/>
                <w:b/>
                <w:noProof/>
              </w:rPr>
              <w:t>SPORTE, ENERGÍA, INFRAESTRUCTURAS Y SOCIEDAD DE LA INFORMACIÓN</w:t>
            </w:r>
            <w:r>
              <w:rPr>
                <w:noProof/>
                <w:webHidden/>
              </w:rPr>
              <w:tab/>
            </w:r>
            <w:r>
              <w:rPr>
                <w:noProof/>
                <w:webHidden/>
              </w:rPr>
              <w:fldChar w:fldCharType="begin"/>
            </w:r>
            <w:r>
              <w:rPr>
                <w:noProof/>
                <w:webHidden/>
              </w:rPr>
              <w:instrText xml:space="preserve"> PAGEREF _Toc211345375 \h </w:instrText>
            </w:r>
            <w:r>
              <w:rPr>
                <w:noProof/>
                <w:webHidden/>
              </w:rPr>
            </w:r>
            <w:r>
              <w:rPr>
                <w:noProof/>
                <w:webHidden/>
              </w:rPr>
              <w:fldChar w:fldCharType="separate"/>
            </w:r>
            <w:r>
              <w:rPr>
                <w:noProof/>
                <w:webHidden/>
              </w:rPr>
              <w:t>23</w:t>
            </w:r>
            <w:r>
              <w:rPr>
                <w:noProof/>
                <w:webHidden/>
              </w:rPr>
              <w:fldChar w:fldCharType="end"/>
            </w:r>
          </w:hyperlink>
        </w:p>
        <w:p w14:paraId="36954DE2" w14:textId="58E35029" w:rsidR="005072F5" w:rsidRDefault="005072F5">
          <w:pPr>
            <w:pStyle w:val="TOC1"/>
            <w:rPr>
              <w:rFonts w:asciiTheme="minorHAnsi" w:eastAsiaTheme="minorEastAsia" w:hAnsiTheme="minorHAnsi" w:cstheme="minorBidi"/>
              <w:noProof/>
              <w:lang w:val="es-x-int-SDL" w:eastAsia="es-x-int-SDL"/>
            </w:rPr>
          </w:pPr>
          <w:hyperlink w:anchor="_Toc211345376" w:history="1">
            <w:r w:rsidRPr="002E0E52">
              <w:rPr>
                <w:rStyle w:val="Hyperlink"/>
                <w:bCs/>
                <w:noProof/>
              </w:rPr>
              <w:t>5.</w:t>
            </w:r>
            <w:r>
              <w:rPr>
                <w:rFonts w:asciiTheme="minorHAnsi" w:eastAsiaTheme="minorEastAsia" w:hAnsiTheme="minorHAnsi" w:cstheme="minorBidi"/>
                <w:noProof/>
                <w:lang w:val="es-x-int-SDL" w:eastAsia="es-x-int-SDL"/>
              </w:rPr>
              <w:tab/>
            </w:r>
            <w:r w:rsidRPr="002E0E52">
              <w:rPr>
                <w:rStyle w:val="Hyperlink"/>
                <w:b/>
                <w:noProof/>
              </w:rPr>
              <w:t>ME</w:t>
            </w:r>
            <w:r w:rsidRPr="002E0E52">
              <w:rPr>
                <w:rStyle w:val="Hyperlink"/>
                <w:b/>
                <w:noProof/>
              </w:rPr>
              <w:t>R</w:t>
            </w:r>
            <w:r w:rsidRPr="002E0E52">
              <w:rPr>
                <w:rStyle w:val="Hyperlink"/>
                <w:b/>
                <w:noProof/>
              </w:rPr>
              <w:t>CADO ÚNICO, PRODUCCIÓN Y CONSUMO</w:t>
            </w:r>
            <w:r>
              <w:rPr>
                <w:noProof/>
                <w:webHidden/>
              </w:rPr>
              <w:tab/>
            </w:r>
            <w:r>
              <w:rPr>
                <w:noProof/>
                <w:webHidden/>
              </w:rPr>
              <w:fldChar w:fldCharType="begin"/>
            </w:r>
            <w:r>
              <w:rPr>
                <w:noProof/>
                <w:webHidden/>
              </w:rPr>
              <w:instrText xml:space="preserve"> PAGEREF _Toc211345376 \h </w:instrText>
            </w:r>
            <w:r>
              <w:rPr>
                <w:noProof/>
                <w:webHidden/>
              </w:rPr>
            </w:r>
            <w:r>
              <w:rPr>
                <w:noProof/>
                <w:webHidden/>
              </w:rPr>
              <w:fldChar w:fldCharType="separate"/>
            </w:r>
            <w:r>
              <w:rPr>
                <w:noProof/>
                <w:webHidden/>
              </w:rPr>
              <w:t>28</w:t>
            </w:r>
            <w:r>
              <w:rPr>
                <w:noProof/>
                <w:webHidden/>
              </w:rPr>
              <w:fldChar w:fldCharType="end"/>
            </w:r>
          </w:hyperlink>
        </w:p>
        <w:p w14:paraId="18D9ADB9" w14:textId="55F833D5" w:rsidR="005072F5" w:rsidRDefault="005072F5">
          <w:pPr>
            <w:pStyle w:val="TOC1"/>
            <w:rPr>
              <w:rFonts w:asciiTheme="minorHAnsi" w:eastAsiaTheme="minorEastAsia" w:hAnsiTheme="minorHAnsi" w:cstheme="minorBidi"/>
              <w:noProof/>
              <w:lang w:val="es-x-int-SDL" w:eastAsia="es-x-int-SDL"/>
            </w:rPr>
          </w:pPr>
          <w:hyperlink w:anchor="_Toc211345377" w:history="1">
            <w:r w:rsidRPr="002E0E52">
              <w:rPr>
                <w:rStyle w:val="Hyperlink"/>
                <w:bCs/>
                <w:noProof/>
              </w:rPr>
              <w:t>6.</w:t>
            </w:r>
            <w:r>
              <w:rPr>
                <w:rFonts w:asciiTheme="minorHAnsi" w:eastAsiaTheme="minorEastAsia" w:hAnsiTheme="minorHAnsi" w:cstheme="minorBidi"/>
                <w:noProof/>
                <w:lang w:val="es-x-int-SDL" w:eastAsia="es-x-int-SDL"/>
              </w:rPr>
              <w:tab/>
            </w:r>
            <w:r w:rsidRPr="002E0E52">
              <w:rPr>
                <w:rStyle w:val="Hyperlink"/>
                <w:b/>
                <w:noProof/>
              </w:rPr>
              <w:t>AGRICULTURA, D</w:t>
            </w:r>
            <w:r w:rsidRPr="002E0E52">
              <w:rPr>
                <w:rStyle w:val="Hyperlink"/>
                <w:b/>
                <w:noProof/>
              </w:rPr>
              <w:t>E</w:t>
            </w:r>
            <w:r w:rsidRPr="002E0E52">
              <w:rPr>
                <w:rStyle w:val="Hyperlink"/>
                <w:b/>
                <w:noProof/>
              </w:rPr>
              <w:t>SARROLLO RURAL Y MEDIO AMBIENTE</w:t>
            </w:r>
            <w:r>
              <w:rPr>
                <w:noProof/>
                <w:webHidden/>
              </w:rPr>
              <w:tab/>
            </w:r>
            <w:r>
              <w:rPr>
                <w:noProof/>
                <w:webHidden/>
              </w:rPr>
              <w:fldChar w:fldCharType="begin"/>
            </w:r>
            <w:r>
              <w:rPr>
                <w:noProof/>
                <w:webHidden/>
              </w:rPr>
              <w:instrText xml:space="preserve"> PAGEREF _Toc211345377 \h </w:instrText>
            </w:r>
            <w:r>
              <w:rPr>
                <w:noProof/>
                <w:webHidden/>
              </w:rPr>
            </w:r>
            <w:r>
              <w:rPr>
                <w:noProof/>
                <w:webHidden/>
              </w:rPr>
              <w:fldChar w:fldCharType="separate"/>
            </w:r>
            <w:r>
              <w:rPr>
                <w:noProof/>
                <w:webHidden/>
              </w:rPr>
              <w:t>37</w:t>
            </w:r>
            <w:r>
              <w:rPr>
                <w:noProof/>
                <w:webHidden/>
              </w:rPr>
              <w:fldChar w:fldCharType="end"/>
            </w:r>
          </w:hyperlink>
        </w:p>
        <w:p w14:paraId="71EA44C8" w14:textId="0E8B3094" w:rsidR="005072F5" w:rsidRDefault="005072F5">
          <w:pPr>
            <w:pStyle w:val="TOC1"/>
            <w:rPr>
              <w:rFonts w:asciiTheme="minorHAnsi" w:eastAsiaTheme="minorEastAsia" w:hAnsiTheme="minorHAnsi" w:cstheme="minorBidi"/>
              <w:noProof/>
              <w:lang w:val="es-x-int-SDL" w:eastAsia="es-x-int-SDL"/>
            </w:rPr>
          </w:pPr>
          <w:hyperlink w:anchor="_Toc211345378" w:history="1">
            <w:r w:rsidRPr="002E0E52">
              <w:rPr>
                <w:rStyle w:val="Hyperlink"/>
                <w:bCs/>
                <w:noProof/>
              </w:rPr>
              <w:t>7.</w:t>
            </w:r>
            <w:r>
              <w:rPr>
                <w:rFonts w:asciiTheme="minorHAnsi" w:eastAsiaTheme="minorEastAsia" w:hAnsiTheme="minorHAnsi" w:cstheme="minorBidi"/>
                <w:noProof/>
                <w:lang w:val="es-x-int-SDL" w:eastAsia="es-x-int-SDL"/>
              </w:rPr>
              <w:tab/>
            </w:r>
            <w:r w:rsidRPr="002E0E52">
              <w:rPr>
                <w:rStyle w:val="Hyperlink"/>
                <w:b/>
                <w:noProof/>
              </w:rPr>
              <w:t>REL</w:t>
            </w:r>
            <w:r w:rsidRPr="002E0E52">
              <w:rPr>
                <w:rStyle w:val="Hyperlink"/>
                <w:b/>
                <w:noProof/>
              </w:rPr>
              <w:t>A</w:t>
            </w:r>
            <w:r w:rsidRPr="002E0E52">
              <w:rPr>
                <w:rStyle w:val="Hyperlink"/>
                <w:b/>
                <w:noProof/>
              </w:rPr>
              <w:t>CIONES EXTERIORES</w:t>
            </w:r>
            <w:r>
              <w:rPr>
                <w:noProof/>
                <w:webHidden/>
              </w:rPr>
              <w:tab/>
            </w:r>
            <w:r>
              <w:rPr>
                <w:noProof/>
                <w:webHidden/>
              </w:rPr>
              <w:fldChar w:fldCharType="begin"/>
            </w:r>
            <w:r>
              <w:rPr>
                <w:noProof/>
                <w:webHidden/>
              </w:rPr>
              <w:instrText xml:space="preserve"> PAGEREF _Toc211345378 \h </w:instrText>
            </w:r>
            <w:r>
              <w:rPr>
                <w:noProof/>
                <w:webHidden/>
              </w:rPr>
            </w:r>
            <w:r>
              <w:rPr>
                <w:noProof/>
                <w:webHidden/>
              </w:rPr>
              <w:fldChar w:fldCharType="separate"/>
            </w:r>
            <w:r>
              <w:rPr>
                <w:noProof/>
                <w:webHidden/>
              </w:rPr>
              <w:t>43</w:t>
            </w:r>
            <w:r>
              <w:rPr>
                <w:noProof/>
                <w:webHidden/>
              </w:rPr>
              <w:fldChar w:fldCharType="end"/>
            </w:r>
          </w:hyperlink>
        </w:p>
        <w:p w14:paraId="435D9DCC" w14:textId="0F47B5B6" w:rsidR="005072F5" w:rsidRDefault="005072F5">
          <w:pPr>
            <w:pStyle w:val="TOC1"/>
            <w:rPr>
              <w:rFonts w:asciiTheme="minorHAnsi" w:eastAsiaTheme="minorEastAsia" w:hAnsiTheme="minorHAnsi" w:cstheme="minorBidi"/>
              <w:noProof/>
              <w:lang w:val="es-x-int-SDL" w:eastAsia="es-x-int-SDL"/>
            </w:rPr>
          </w:pPr>
          <w:hyperlink w:anchor="_Toc211345379" w:history="1">
            <w:r w:rsidRPr="002E0E52">
              <w:rPr>
                <w:rStyle w:val="Hyperlink"/>
                <w:bCs/>
                <w:noProof/>
              </w:rPr>
              <w:t>8.</w:t>
            </w:r>
            <w:r>
              <w:rPr>
                <w:rFonts w:asciiTheme="minorHAnsi" w:eastAsiaTheme="minorEastAsia" w:hAnsiTheme="minorHAnsi" w:cstheme="minorBidi"/>
                <w:noProof/>
                <w:lang w:val="es-x-int-SDL" w:eastAsia="es-x-int-SDL"/>
              </w:rPr>
              <w:tab/>
            </w:r>
            <w:r w:rsidRPr="002E0E52">
              <w:rPr>
                <w:rStyle w:val="Hyperlink"/>
                <w:b/>
                <w:noProof/>
              </w:rPr>
              <w:t>COMISIÓN CONSULTIVA DE LAS TRANSFORMACIONES INDUSTRIALES</w:t>
            </w:r>
            <w:r>
              <w:rPr>
                <w:noProof/>
                <w:webHidden/>
              </w:rPr>
              <w:tab/>
            </w:r>
            <w:r>
              <w:rPr>
                <w:noProof/>
                <w:webHidden/>
              </w:rPr>
              <w:fldChar w:fldCharType="begin"/>
            </w:r>
            <w:r>
              <w:rPr>
                <w:noProof/>
                <w:webHidden/>
              </w:rPr>
              <w:instrText xml:space="preserve"> PAGEREF _Toc211345379 \h </w:instrText>
            </w:r>
            <w:r>
              <w:rPr>
                <w:noProof/>
                <w:webHidden/>
              </w:rPr>
            </w:r>
            <w:r>
              <w:rPr>
                <w:noProof/>
                <w:webHidden/>
              </w:rPr>
              <w:fldChar w:fldCharType="separate"/>
            </w:r>
            <w:r>
              <w:rPr>
                <w:noProof/>
                <w:webHidden/>
              </w:rPr>
              <w:t>47</w:t>
            </w:r>
            <w:r>
              <w:rPr>
                <w:noProof/>
                <w:webHidden/>
              </w:rPr>
              <w:fldChar w:fldCharType="end"/>
            </w:r>
          </w:hyperlink>
        </w:p>
        <w:p w14:paraId="797B7FBC" w14:textId="525F2AC3" w:rsidR="005072F5" w:rsidRDefault="005072F5">
          <w:pPr>
            <w:pStyle w:val="TOC1"/>
            <w:rPr>
              <w:rFonts w:asciiTheme="minorHAnsi" w:eastAsiaTheme="minorEastAsia" w:hAnsiTheme="minorHAnsi" w:cstheme="minorBidi"/>
              <w:noProof/>
              <w:lang w:val="es-x-int-SDL" w:eastAsia="es-x-int-SDL"/>
            </w:rPr>
          </w:pPr>
          <w:hyperlink w:anchor="_Toc211345380" w:history="1">
            <w:r w:rsidRPr="002E0E52">
              <w:rPr>
                <w:rStyle w:val="Hyperlink"/>
                <w:bCs/>
                <w:noProof/>
              </w:rPr>
              <w:t>9.</w:t>
            </w:r>
            <w:r>
              <w:rPr>
                <w:rFonts w:asciiTheme="minorHAnsi" w:eastAsiaTheme="minorEastAsia" w:hAnsiTheme="minorHAnsi" w:cstheme="minorBidi"/>
                <w:noProof/>
                <w:lang w:val="es-x-int-SDL" w:eastAsia="es-x-int-SDL"/>
              </w:rPr>
              <w:tab/>
            </w:r>
            <w:r w:rsidRPr="002E0E52">
              <w:rPr>
                <w:rStyle w:val="Hyperlink"/>
                <w:b/>
                <w:noProof/>
              </w:rPr>
              <w:t>ESTRATEGIA DE PREPARACIÓN DE LA UNIÓN EUROPEA</w:t>
            </w:r>
            <w:r>
              <w:rPr>
                <w:noProof/>
                <w:webHidden/>
              </w:rPr>
              <w:tab/>
            </w:r>
            <w:r>
              <w:rPr>
                <w:noProof/>
                <w:webHidden/>
              </w:rPr>
              <w:fldChar w:fldCharType="begin"/>
            </w:r>
            <w:r>
              <w:rPr>
                <w:noProof/>
                <w:webHidden/>
              </w:rPr>
              <w:instrText xml:space="preserve"> PAGEREF _Toc211345380 \h </w:instrText>
            </w:r>
            <w:r>
              <w:rPr>
                <w:noProof/>
                <w:webHidden/>
              </w:rPr>
            </w:r>
            <w:r>
              <w:rPr>
                <w:noProof/>
                <w:webHidden/>
              </w:rPr>
              <w:fldChar w:fldCharType="separate"/>
            </w:r>
            <w:r>
              <w:rPr>
                <w:noProof/>
                <w:webHidden/>
              </w:rPr>
              <w:t>52</w:t>
            </w:r>
            <w:r>
              <w:rPr>
                <w:noProof/>
                <w:webHidden/>
              </w:rPr>
              <w:fldChar w:fldCharType="end"/>
            </w:r>
          </w:hyperlink>
        </w:p>
        <w:p w14:paraId="3DA452C1" w14:textId="11E04D54" w:rsidR="005072F5" w:rsidRDefault="005072F5" w:rsidP="005072F5">
          <w:r>
            <w:rPr>
              <w:b/>
            </w:rPr>
            <w:fldChar w:fldCharType="end"/>
          </w:r>
        </w:p>
      </w:sdtContent>
    </w:sdt>
    <w:p w14:paraId="640788FB" w14:textId="77777777" w:rsidR="005072F5" w:rsidRDefault="005072F5" w:rsidP="005072F5">
      <w:pPr>
        <w:spacing w:before="120"/>
      </w:pPr>
    </w:p>
    <w:p w14:paraId="101F0158" w14:textId="77777777" w:rsidR="005072F5" w:rsidRDefault="005072F5" w:rsidP="005072F5">
      <w:pPr>
        <w:jc w:val="left"/>
      </w:pPr>
      <w:r>
        <w:br w:type="page"/>
      </w:r>
    </w:p>
    <w:p w14:paraId="10833FA0" w14:textId="77777777" w:rsidR="005072F5" w:rsidRPr="00EA2195" w:rsidRDefault="005072F5" w:rsidP="005072F5">
      <w:pPr>
        <w:pStyle w:val="Heading1"/>
        <w:ind w:left="567" w:hanging="567"/>
        <w:rPr>
          <w:b/>
        </w:rPr>
      </w:pPr>
      <w:bookmarkStart w:id="0" w:name="_Toc211345372"/>
      <w:r>
        <w:rPr>
          <w:b/>
        </w:rPr>
        <w:lastRenderedPageBreak/>
        <w:t>RESOLUCIÓN</w:t>
      </w:r>
      <w:bookmarkEnd w:id="0"/>
    </w:p>
    <w:p w14:paraId="162C8883" w14:textId="77777777" w:rsidR="005072F5" w:rsidRDefault="005072F5" w:rsidP="005072F5"/>
    <w:p w14:paraId="457DC396" w14:textId="77777777" w:rsidR="005072F5" w:rsidRPr="00CC205F" w:rsidRDefault="005072F5" w:rsidP="005072F5">
      <w:pPr>
        <w:widowControl w:val="0"/>
        <w:numPr>
          <w:ilvl w:val="0"/>
          <w:numId w:val="2"/>
        </w:numPr>
        <w:overflowPunct w:val="0"/>
        <w:autoSpaceDE w:val="0"/>
        <w:autoSpaceDN w:val="0"/>
        <w:adjustRightInd w:val="0"/>
        <w:ind w:left="567" w:hanging="567"/>
        <w:textAlignment w:val="baseline"/>
        <w:rPr>
          <w:b/>
          <w:bCs/>
          <w:i/>
          <w:iCs/>
          <w:sz w:val="28"/>
          <w:szCs w:val="28"/>
        </w:rPr>
      </w:pPr>
      <w:r>
        <w:rPr>
          <w:b/>
          <w:i/>
          <w:sz w:val="28"/>
        </w:rPr>
        <w:t>Resolución</w:t>
      </w:r>
      <w:r>
        <w:rPr>
          <w:b/>
          <w:sz w:val="28"/>
        </w:rPr>
        <w:t xml:space="preserve"> – </w:t>
      </w:r>
      <w:hyperlink r:id="rId21" w:history="1">
        <w:r>
          <w:rPr>
            <w:b/>
            <w:i/>
            <w:color w:val="0000FF"/>
            <w:sz w:val="28"/>
            <w:u w:val="single"/>
          </w:rPr>
          <w:t>Defender los valores de la UE y reforzar su futuro en el nuevo orden geopolítico</w:t>
        </w:r>
      </w:hyperlink>
    </w:p>
    <w:p w14:paraId="04C51B9A" w14:textId="77777777" w:rsidR="005072F5" w:rsidRPr="00CC205F" w:rsidRDefault="005072F5" w:rsidP="005072F5">
      <w:pPr>
        <w:widowControl w:val="0"/>
        <w:overflowPunct w:val="0"/>
        <w:autoSpaceDE w:val="0"/>
        <w:autoSpaceDN w:val="0"/>
        <w:adjustRightInd w:val="0"/>
        <w:ind w:left="266"/>
        <w:textAlignment w:val="baseline"/>
        <w:rPr>
          <w:bCs/>
          <w:lang w:val="en-IE"/>
        </w:rPr>
      </w:pPr>
    </w:p>
    <w:tbl>
      <w:tblPr>
        <w:tblW w:w="5000" w:type="pct"/>
        <w:tblLook w:val="04A0" w:firstRow="1" w:lastRow="0" w:firstColumn="1" w:lastColumn="0" w:noHBand="0" w:noVBand="1"/>
      </w:tblPr>
      <w:tblGrid>
        <w:gridCol w:w="2062"/>
        <w:gridCol w:w="7369"/>
      </w:tblGrid>
      <w:tr w:rsidR="005072F5" w:rsidRPr="00CC205F" w14:paraId="1B85F56F" w14:textId="77777777" w:rsidTr="00915390">
        <w:tc>
          <w:tcPr>
            <w:tcW w:w="1093" w:type="pct"/>
          </w:tcPr>
          <w:p w14:paraId="18C088B6" w14:textId="77777777" w:rsidR="005072F5" w:rsidRPr="00CC205F" w:rsidRDefault="005072F5" w:rsidP="00915390">
            <w:pPr>
              <w:tabs>
                <w:tab w:val="center" w:pos="284"/>
              </w:tabs>
              <w:overflowPunct w:val="0"/>
              <w:autoSpaceDE w:val="0"/>
              <w:autoSpaceDN w:val="0"/>
              <w:adjustRightInd w:val="0"/>
              <w:ind w:left="266" w:hanging="266"/>
              <w:textAlignment w:val="baseline"/>
              <w:rPr>
                <w:b/>
              </w:rPr>
            </w:pPr>
            <w:r>
              <w:rPr>
                <w:b/>
              </w:rPr>
              <w:t>Ponentes</w:t>
            </w:r>
          </w:p>
        </w:tc>
        <w:tc>
          <w:tcPr>
            <w:tcW w:w="3907" w:type="pct"/>
          </w:tcPr>
          <w:p w14:paraId="2D497693" w14:textId="77777777" w:rsidR="005072F5" w:rsidRPr="00EA2195" w:rsidRDefault="005072F5" w:rsidP="00915390">
            <w:pPr>
              <w:autoSpaceDE w:val="0"/>
              <w:autoSpaceDN w:val="0"/>
              <w:jc w:val="left"/>
              <w:rPr>
                <w:sz w:val="20"/>
              </w:rPr>
            </w:pPr>
            <w:r>
              <w:t>Elena-Alexandra CALISTRU (Grupo de Organizaciones de la Sociedad Civil - RO)</w:t>
            </w:r>
          </w:p>
          <w:p w14:paraId="7656B1AD" w14:textId="77777777" w:rsidR="005072F5" w:rsidRPr="00FF7B34" w:rsidRDefault="005072F5" w:rsidP="00915390">
            <w:pPr>
              <w:autoSpaceDE w:val="0"/>
              <w:autoSpaceDN w:val="0"/>
              <w:jc w:val="left"/>
            </w:pPr>
            <w:r>
              <w:t>Antje GERSTEIN (Grupo de Empresarios – DE)</w:t>
            </w:r>
          </w:p>
          <w:p w14:paraId="76EB369A" w14:textId="77777777" w:rsidR="005072F5" w:rsidRPr="00EA2195" w:rsidRDefault="005072F5" w:rsidP="00915390">
            <w:pPr>
              <w:autoSpaceDE w:val="0"/>
              <w:autoSpaceDN w:val="0"/>
              <w:jc w:val="left"/>
              <w:rPr>
                <w:sz w:val="20"/>
              </w:rPr>
            </w:pPr>
            <w:r>
              <w:t>Luca JAHIER (Grupo de Organizaciones de la Sociedad Civil – IT)</w:t>
            </w:r>
          </w:p>
          <w:p w14:paraId="389A9C6B" w14:textId="77777777" w:rsidR="005072F5" w:rsidRPr="00EA2195" w:rsidRDefault="005072F5" w:rsidP="00915390">
            <w:pPr>
              <w:autoSpaceDE w:val="0"/>
              <w:autoSpaceDN w:val="0"/>
              <w:jc w:val="left"/>
              <w:rPr>
                <w:sz w:val="20"/>
              </w:rPr>
            </w:pPr>
            <w:r>
              <w:t>Winand QUAEDVLIEG (Grupo de Empresarios – NL)</w:t>
            </w:r>
          </w:p>
          <w:p w14:paraId="1E6F930F" w14:textId="77777777" w:rsidR="005072F5" w:rsidRPr="00EA2195" w:rsidRDefault="005072F5" w:rsidP="00915390">
            <w:pPr>
              <w:autoSpaceDE w:val="0"/>
              <w:autoSpaceDN w:val="0"/>
              <w:jc w:val="left"/>
              <w:rPr>
                <w:sz w:val="20"/>
              </w:rPr>
            </w:pPr>
            <w:r>
              <w:t>Sophia REISECKER (Grupo de Trabajadores – AT)</w:t>
            </w:r>
          </w:p>
          <w:p w14:paraId="3969664A" w14:textId="77777777" w:rsidR="005072F5" w:rsidRPr="00634871" w:rsidRDefault="005072F5" w:rsidP="00915390">
            <w:pPr>
              <w:tabs>
                <w:tab w:val="center" w:pos="284"/>
              </w:tabs>
              <w:overflowPunct w:val="0"/>
              <w:autoSpaceDE w:val="0"/>
              <w:autoSpaceDN w:val="0"/>
              <w:adjustRightInd w:val="0"/>
              <w:ind w:left="266" w:hanging="266"/>
              <w:textAlignment w:val="baseline"/>
              <w:rPr>
                <w:sz w:val="20"/>
              </w:rPr>
            </w:pPr>
            <w:r>
              <w:t>Peter SCHMIDT (Grupo de Trabajadores – DE)</w:t>
            </w:r>
          </w:p>
        </w:tc>
      </w:tr>
      <w:tr w:rsidR="005072F5" w:rsidRPr="00CC205F" w14:paraId="144FE426" w14:textId="77777777" w:rsidTr="00915390">
        <w:tc>
          <w:tcPr>
            <w:tcW w:w="1093" w:type="pct"/>
          </w:tcPr>
          <w:p w14:paraId="7D2560E9" w14:textId="77777777" w:rsidR="005072F5" w:rsidRPr="00CC205F" w:rsidRDefault="005072F5" w:rsidP="00915390">
            <w:pPr>
              <w:overflowPunct w:val="0"/>
              <w:autoSpaceDE w:val="0"/>
              <w:autoSpaceDN w:val="0"/>
              <w:adjustRightInd w:val="0"/>
              <w:ind w:left="266" w:hanging="266"/>
              <w:textAlignment w:val="baseline"/>
              <w:rPr>
                <w:b/>
              </w:rPr>
            </w:pPr>
            <w:r>
              <w:rPr>
                <w:b/>
              </w:rPr>
              <w:t>Referencia</w:t>
            </w:r>
          </w:p>
        </w:tc>
        <w:tc>
          <w:tcPr>
            <w:tcW w:w="3907" w:type="pct"/>
          </w:tcPr>
          <w:p w14:paraId="1E03D6B0" w14:textId="77777777" w:rsidR="005072F5" w:rsidRPr="00CC205F" w:rsidRDefault="005072F5" w:rsidP="00915390">
            <w:pPr>
              <w:tabs>
                <w:tab w:val="center" w:pos="284"/>
              </w:tabs>
              <w:overflowPunct w:val="0"/>
              <w:autoSpaceDE w:val="0"/>
              <w:autoSpaceDN w:val="0"/>
              <w:adjustRightInd w:val="0"/>
              <w:ind w:left="266" w:hanging="266"/>
              <w:textAlignment w:val="baseline"/>
            </w:pPr>
            <w:r>
              <w:t>EESC-2025-02268-00-00-RES</w:t>
            </w:r>
          </w:p>
        </w:tc>
      </w:tr>
    </w:tbl>
    <w:p w14:paraId="57F040D9" w14:textId="77777777" w:rsidR="005072F5" w:rsidRPr="00CC205F" w:rsidRDefault="005072F5" w:rsidP="005072F5">
      <w:pPr>
        <w:keepNext/>
        <w:keepLines/>
        <w:tabs>
          <w:tab w:val="center" w:pos="284"/>
        </w:tabs>
        <w:overflowPunct w:val="0"/>
        <w:autoSpaceDE w:val="0"/>
        <w:autoSpaceDN w:val="0"/>
        <w:adjustRightInd w:val="0"/>
        <w:ind w:left="266" w:hanging="266"/>
        <w:textAlignment w:val="baseline"/>
        <w:rPr>
          <w:b/>
          <w:lang w:val="en-IE"/>
        </w:rPr>
      </w:pPr>
    </w:p>
    <w:p w14:paraId="36F4A3C4" w14:textId="77777777" w:rsidR="005072F5" w:rsidRPr="00CC205F"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623B755C" w14:textId="77777777" w:rsidR="005072F5" w:rsidRPr="00CC205F" w:rsidRDefault="005072F5" w:rsidP="005072F5">
      <w:pPr>
        <w:keepNext/>
        <w:keepLines/>
        <w:tabs>
          <w:tab w:val="center" w:pos="284"/>
        </w:tabs>
        <w:overflowPunct w:val="0"/>
        <w:autoSpaceDE w:val="0"/>
        <w:autoSpaceDN w:val="0"/>
        <w:adjustRightInd w:val="0"/>
        <w:ind w:left="266" w:hanging="266"/>
        <w:textAlignment w:val="baseline"/>
        <w:rPr>
          <w:b/>
          <w:lang w:val="en-IE"/>
        </w:rPr>
      </w:pPr>
    </w:p>
    <w:p w14:paraId="1E123E7D" w14:textId="4BE365EC" w:rsidR="005072F5" w:rsidRDefault="005072F5" w:rsidP="005072F5">
      <w:pPr>
        <w:widowControl w:val="0"/>
        <w:overflowPunct w:val="0"/>
        <w:autoSpaceDE w:val="0"/>
        <w:autoSpaceDN w:val="0"/>
        <w:adjustRightInd w:val="0"/>
        <w:textAlignment w:val="baseline"/>
      </w:pPr>
      <w:r>
        <w:t>El CESE:</w:t>
      </w:r>
    </w:p>
    <w:p w14:paraId="6DC9F246" w14:textId="77777777" w:rsidR="005072F5" w:rsidRPr="00D20AB4" w:rsidRDefault="005072F5" w:rsidP="005072F5">
      <w:pPr>
        <w:widowControl w:val="0"/>
        <w:overflowPunct w:val="0"/>
        <w:autoSpaceDE w:val="0"/>
        <w:autoSpaceDN w:val="0"/>
        <w:adjustRightInd w:val="0"/>
        <w:textAlignment w:val="baseline"/>
        <w:rPr>
          <w:iCs/>
        </w:rPr>
      </w:pPr>
    </w:p>
    <w:p w14:paraId="3CF402C0" w14:textId="77777777" w:rsidR="005072F5" w:rsidRPr="00FF7B34" w:rsidRDefault="005072F5" w:rsidP="005072F5">
      <w:pPr>
        <w:widowControl w:val="0"/>
        <w:numPr>
          <w:ilvl w:val="0"/>
          <w:numId w:val="38"/>
        </w:numPr>
        <w:tabs>
          <w:tab w:val="clear" w:pos="720"/>
        </w:tabs>
        <w:overflowPunct w:val="0"/>
        <w:autoSpaceDE w:val="0"/>
        <w:autoSpaceDN w:val="0"/>
        <w:adjustRightInd w:val="0"/>
        <w:ind w:left="284" w:hanging="284"/>
        <w:textAlignment w:val="baseline"/>
        <w:rPr>
          <w:bCs/>
          <w:iCs/>
        </w:rPr>
      </w:pPr>
      <w:r>
        <w:t>hace hincapié en que la guerra de Rusia en Ucrania y los cambios en el Gobierno estadounidense marcan el inicio de una nueva realidad geopolítica impulsada por el nacionalismo y el autoritarismo, y señala que la era del comercio mundial y la apertura de los mercados está llegando a su fin; recomienda que la UE se convierta en una Unión de la Seguridad y aspire a lograr una autonomía estratégica resiliente y a fortalecer su competitividad económica mundial. Al mismo tiempo, debe velar por la simplicidad de las normas, el refuerzo de la cohesión social y la distribución equitativa de la riqueza;</w:t>
      </w:r>
    </w:p>
    <w:p w14:paraId="781A4235" w14:textId="77777777" w:rsidR="005072F5" w:rsidRPr="00CC205F" w:rsidRDefault="005072F5" w:rsidP="005072F5">
      <w:pPr>
        <w:widowControl w:val="0"/>
        <w:numPr>
          <w:ilvl w:val="0"/>
          <w:numId w:val="38"/>
        </w:numPr>
        <w:tabs>
          <w:tab w:val="clear" w:pos="720"/>
        </w:tabs>
        <w:overflowPunct w:val="0"/>
        <w:autoSpaceDE w:val="0"/>
        <w:autoSpaceDN w:val="0"/>
        <w:adjustRightInd w:val="0"/>
        <w:ind w:left="284" w:hanging="284"/>
        <w:textAlignment w:val="baseline"/>
        <w:rPr>
          <w:bCs/>
          <w:iCs/>
        </w:rPr>
      </w:pPr>
      <w:r>
        <w:t>pide a los Estados miembros que reafirmen su compromiso con el multilateralismo. La creciente instrumentalización del comercio como arma de coerción —especialmente desde que los Estados Unidos impusiese aranceles en abril de 2025— requiere no solo la resiliencia de la UE sino una atención renovada a las asociaciones bilaterales;</w:t>
      </w:r>
    </w:p>
    <w:p w14:paraId="226AEFE1" w14:textId="77777777" w:rsidR="005072F5" w:rsidRPr="00CC205F" w:rsidRDefault="005072F5" w:rsidP="005072F5">
      <w:pPr>
        <w:widowControl w:val="0"/>
        <w:numPr>
          <w:ilvl w:val="0"/>
          <w:numId w:val="38"/>
        </w:numPr>
        <w:tabs>
          <w:tab w:val="clear" w:pos="720"/>
        </w:tabs>
        <w:overflowPunct w:val="0"/>
        <w:autoSpaceDE w:val="0"/>
        <w:autoSpaceDN w:val="0"/>
        <w:adjustRightInd w:val="0"/>
        <w:ind w:left="284" w:hanging="284"/>
        <w:textAlignment w:val="baseline"/>
        <w:rPr>
          <w:bCs/>
          <w:iCs/>
        </w:rPr>
      </w:pPr>
      <w:r>
        <w:t>destaca que estos retos no son puntos de partida, sino que más bien señalan la urgencia por continuar con la misión fundacional de Europa. La UE, nacida como el mayor proyecto de paz después de la Segunda Guerra Mundial, puede convertirse en un pilar a escala mundial de la estabilidad, el Estado de Derecho y la democracia. Es esencial responder con determinación y confianza en el progreso de Europa;</w:t>
      </w:r>
    </w:p>
    <w:p w14:paraId="7B8151B1" w14:textId="77777777" w:rsidR="005072F5" w:rsidRPr="00CC205F" w:rsidRDefault="005072F5" w:rsidP="005072F5">
      <w:pPr>
        <w:widowControl w:val="0"/>
        <w:numPr>
          <w:ilvl w:val="0"/>
          <w:numId w:val="38"/>
        </w:numPr>
        <w:tabs>
          <w:tab w:val="clear" w:pos="720"/>
        </w:tabs>
        <w:overflowPunct w:val="0"/>
        <w:autoSpaceDE w:val="0"/>
        <w:autoSpaceDN w:val="0"/>
        <w:adjustRightInd w:val="0"/>
        <w:ind w:left="284" w:hanging="284"/>
        <w:textAlignment w:val="baseline"/>
        <w:rPr>
          <w:bCs/>
          <w:iCs/>
        </w:rPr>
      </w:pPr>
      <w:r>
        <w:t>afirma que la fortaleza de la UE reside en sus valores democráticos liberales: los derechos humanos, las libertades civiles, la gobernanza responsable y una sociedad civil dinámica, y que debe seguir ocupando un lugar central en la dimensión exterior de Europa;</w:t>
      </w:r>
    </w:p>
    <w:p w14:paraId="2B27F407" w14:textId="77777777" w:rsidR="005072F5" w:rsidRPr="00CC205F" w:rsidRDefault="005072F5" w:rsidP="005072F5">
      <w:pPr>
        <w:widowControl w:val="0"/>
        <w:numPr>
          <w:ilvl w:val="0"/>
          <w:numId w:val="38"/>
        </w:numPr>
        <w:tabs>
          <w:tab w:val="clear" w:pos="720"/>
        </w:tabs>
        <w:overflowPunct w:val="0"/>
        <w:autoSpaceDE w:val="0"/>
        <w:autoSpaceDN w:val="0"/>
        <w:adjustRightInd w:val="0"/>
        <w:ind w:left="284" w:hanging="284"/>
        <w:textAlignment w:val="baseline"/>
        <w:rPr>
          <w:bCs/>
          <w:iCs/>
        </w:rPr>
      </w:pPr>
      <w:r>
        <w:t>subraya que la sociedad civil desempeña un papel fundamental y muestra su compromiso con desempeñar el papel de guardián y moderador, velando por que las instituciones de la UE sigan basándose en los principios democráticos a la hora de abordar este nuevo orden geopolítico;</w:t>
      </w:r>
    </w:p>
    <w:p w14:paraId="36C98CC8" w14:textId="77777777" w:rsidR="005072F5" w:rsidRPr="00CC205F" w:rsidRDefault="005072F5" w:rsidP="005072F5">
      <w:pPr>
        <w:widowControl w:val="0"/>
        <w:numPr>
          <w:ilvl w:val="0"/>
          <w:numId w:val="38"/>
        </w:numPr>
        <w:tabs>
          <w:tab w:val="clear" w:pos="720"/>
        </w:tabs>
        <w:overflowPunct w:val="0"/>
        <w:autoSpaceDE w:val="0"/>
        <w:autoSpaceDN w:val="0"/>
        <w:adjustRightInd w:val="0"/>
        <w:ind w:left="284" w:hanging="284"/>
        <w:textAlignment w:val="baseline"/>
        <w:rPr>
          <w:bCs/>
          <w:iCs/>
        </w:rPr>
      </w:pPr>
      <w:r>
        <w:t>afirma que la democracia debe basarse en los principios fundamentales:</w:t>
      </w:r>
    </w:p>
    <w:p w14:paraId="6D2A9F22" w14:textId="77777777" w:rsidR="005072F5" w:rsidRPr="00CC205F" w:rsidRDefault="005072F5" w:rsidP="005072F5">
      <w:pPr>
        <w:widowControl w:val="0"/>
        <w:numPr>
          <w:ilvl w:val="1"/>
          <w:numId w:val="39"/>
        </w:numPr>
        <w:overflowPunct w:val="0"/>
        <w:autoSpaceDE w:val="0"/>
        <w:autoSpaceDN w:val="0"/>
        <w:adjustRightInd w:val="0"/>
        <w:ind w:left="567" w:hanging="284"/>
        <w:textAlignment w:val="baseline"/>
        <w:rPr>
          <w:bCs/>
          <w:iCs/>
        </w:rPr>
      </w:pPr>
      <w:r>
        <w:t>toda persona, ya sea física o jurídica, deben gozar de igualdad de acceso a la justicia y a los derechos. Las comunidades marginadas requieren una atención especial; la existencia de unos órganos jurisdiccionales independientes y que funcionen correctamente no es negociable;</w:t>
      </w:r>
    </w:p>
    <w:p w14:paraId="1727CA53" w14:textId="77777777" w:rsidR="005072F5" w:rsidRPr="00CC205F" w:rsidRDefault="005072F5" w:rsidP="005072F5">
      <w:pPr>
        <w:keepNext/>
        <w:keepLines/>
        <w:widowControl w:val="0"/>
        <w:numPr>
          <w:ilvl w:val="1"/>
          <w:numId w:val="39"/>
        </w:numPr>
        <w:overflowPunct w:val="0"/>
        <w:autoSpaceDE w:val="0"/>
        <w:autoSpaceDN w:val="0"/>
        <w:adjustRightInd w:val="0"/>
        <w:ind w:left="568" w:hanging="284"/>
        <w:textAlignment w:val="baseline"/>
        <w:rPr>
          <w:bCs/>
          <w:iCs/>
        </w:rPr>
      </w:pPr>
      <w:r>
        <w:lastRenderedPageBreak/>
        <w:t>la economía social de mercado debe hallar un equilibrio entre la innovación competitiva y la protección social, sustentándose en el diálogo social y un reparto equitativo de poderes;</w:t>
      </w:r>
    </w:p>
    <w:p w14:paraId="6C898613" w14:textId="77777777" w:rsidR="005072F5" w:rsidRPr="00CC205F" w:rsidRDefault="005072F5" w:rsidP="005072F5">
      <w:pPr>
        <w:widowControl w:val="0"/>
        <w:numPr>
          <w:ilvl w:val="1"/>
          <w:numId w:val="39"/>
        </w:numPr>
        <w:overflowPunct w:val="0"/>
        <w:autoSpaceDE w:val="0"/>
        <w:autoSpaceDN w:val="0"/>
        <w:adjustRightInd w:val="0"/>
        <w:ind w:left="567" w:hanging="284"/>
        <w:textAlignment w:val="baseline"/>
        <w:rPr>
          <w:bCs/>
          <w:iCs/>
        </w:rPr>
      </w:pPr>
      <w:r>
        <w:t>deben preservarse las libertades individuales, también la libertad de expresión y el dinamismo de la sociedad civil. No obstante, el CESE también pide que se adopten medidas decisivas contra la desinformación y el discurso de odio en el medio digital;</w:t>
      </w:r>
    </w:p>
    <w:p w14:paraId="72E98262" w14:textId="77777777" w:rsidR="005072F5" w:rsidRPr="00CC205F" w:rsidRDefault="005072F5" w:rsidP="005072F5">
      <w:pPr>
        <w:widowControl w:val="0"/>
        <w:numPr>
          <w:ilvl w:val="1"/>
          <w:numId w:val="39"/>
        </w:numPr>
        <w:overflowPunct w:val="0"/>
        <w:autoSpaceDE w:val="0"/>
        <w:autoSpaceDN w:val="0"/>
        <w:adjustRightInd w:val="0"/>
        <w:ind w:left="567" w:hanging="284"/>
        <w:textAlignment w:val="baseline"/>
        <w:rPr>
          <w:bCs/>
          <w:iCs/>
        </w:rPr>
      </w:pPr>
      <w:r>
        <w:t>debe orientar la cooperación de la UE el multilateralismo, y no el nacionalismo. Abordar retos a escala mundial, como la guerra, el cambio climático y la seguridad alimentaria, requiere colaboración internacional;</w:t>
      </w:r>
    </w:p>
    <w:p w14:paraId="033BD0A2" w14:textId="77777777" w:rsidR="005072F5" w:rsidRPr="00CC205F" w:rsidRDefault="005072F5" w:rsidP="005072F5">
      <w:pPr>
        <w:widowControl w:val="0"/>
        <w:numPr>
          <w:ilvl w:val="1"/>
          <w:numId w:val="39"/>
        </w:numPr>
        <w:overflowPunct w:val="0"/>
        <w:autoSpaceDE w:val="0"/>
        <w:autoSpaceDN w:val="0"/>
        <w:adjustRightInd w:val="0"/>
        <w:ind w:left="567" w:hanging="284"/>
        <w:textAlignment w:val="baseline"/>
        <w:rPr>
          <w:bCs/>
          <w:iCs/>
        </w:rPr>
      </w:pPr>
      <w:r>
        <w:t>los procesos democráticos deben ser inclusivos y participativos. Las decisiones deben surgir del diálogo y las soluciones no deben dejar atrás ni obviar las necesidades de las partes interesadas;</w:t>
      </w:r>
    </w:p>
    <w:p w14:paraId="28BF810A" w14:textId="77777777" w:rsidR="005072F5" w:rsidRPr="00CC205F" w:rsidRDefault="005072F5" w:rsidP="005072F5">
      <w:pPr>
        <w:widowControl w:val="0"/>
        <w:numPr>
          <w:ilvl w:val="0"/>
          <w:numId w:val="40"/>
        </w:numPr>
        <w:tabs>
          <w:tab w:val="clear" w:pos="720"/>
          <w:tab w:val="num" w:pos="567"/>
        </w:tabs>
        <w:overflowPunct w:val="0"/>
        <w:autoSpaceDE w:val="0"/>
        <w:autoSpaceDN w:val="0"/>
        <w:adjustRightInd w:val="0"/>
        <w:ind w:left="567" w:hanging="284"/>
        <w:textAlignment w:val="baseline"/>
        <w:rPr>
          <w:bCs/>
          <w:iCs/>
        </w:rPr>
      </w:pPr>
      <w:r>
        <w:t>reconoce la magnitud de los retos actuales, pero permanece optimista. Con voluntad política y el firme compromiso de la sociedad civil, la UE puede emerger más independiente, más fuerte desde el punto de vista económico y con paz social en su seno. El CESE está presto a ser el portavoz de la sociedad civil en la configuración del futuro de Europa.</w:t>
      </w:r>
    </w:p>
    <w:p w14:paraId="55C61A3A" w14:textId="77777777" w:rsidR="005072F5" w:rsidRPr="00CC205F" w:rsidRDefault="005072F5" w:rsidP="005072F5">
      <w:pPr>
        <w:widowControl w:val="0"/>
        <w:overflowPunct w:val="0"/>
        <w:autoSpaceDE w:val="0"/>
        <w:autoSpaceDN w:val="0"/>
        <w:adjustRightInd w:val="0"/>
        <w:ind w:left="644"/>
        <w:textAlignment w:val="baseline"/>
        <w:rPr>
          <w:bCs/>
          <w:iCs/>
          <w:lang w:val="en-GB"/>
        </w:rPr>
      </w:pPr>
    </w:p>
    <w:tbl>
      <w:tblPr>
        <w:tblW w:w="4867" w:type="pct"/>
        <w:tblLook w:val="04A0" w:firstRow="1" w:lastRow="0" w:firstColumn="1" w:lastColumn="0" w:noHBand="0" w:noVBand="1"/>
      </w:tblPr>
      <w:tblGrid>
        <w:gridCol w:w="2234"/>
        <w:gridCol w:w="6946"/>
      </w:tblGrid>
      <w:tr w:rsidR="005072F5" w:rsidRPr="00CC205F" w14:paraId="5264B3F4" w14:textId="77777777" w:rsidTr="00915390">
        <w:tc>
          <w:tcPr>
            <w:tcW w:w="1217" w:type="pct"/>
          </w:tcPr>
          <w:p w14:paraId="2BE8F964" w14:textId="77777777" w:rsidR="005072F5" w:rsidRPr="00CC205F" w:rsidRDefault="005072F5" w:rsidP="00915390">
            <w:pPr>
              <w:overflowPunct w:val="0"/>
              <w:autoSpaceDE w:val="0"/>
              <w:autoSpaceDN w:val="0"/>
              <w:adjustRightInd w:val="0"/>
              <w:textAlignment w:val="baseline"/>
              <w:rPr>
                <w:i/>
              </w:rPr>
            </w:pPr>
            <w:r>
              <w:rPr>
                <w:b/>
                <w:i/>
              </w:rPr>
              <w:t>Contacto:</w:t>
            </w:r>
          </w:p>
        </w:tc>
        <w:tc>
          <w:tcPr>
            <w:tcW w:w="3783" w:type="pct"/>
          </w:tcPr>
          <w:p w14:paraId="23B42E66" w14:textId="77777777" w:rsidR="005072F5" w:rsidRPr="00CC205F" w:rsidRDefault="005072F5" w:rsidP="00915390">
            <w:pPr>
              <w:overflowPunct w:val="0"/>
              <w:autoSpaceDE w:val="0"/>
              <w:autoSpaceDN w:val="0"/>
              <w:adjustRightInd w:val="0"/>
              <w:textAlignment w:val="baseline"/>
              <w:rPr>
                <w:i/>
              </w:rPr>
            </w:pPr>
            <w:r>
              <w:rPr>
                <w:i/>
              </w:rPr>
              <w:t>Pierluigi Brombo</w:t>
            </w:r>
          </w:p>
        </w:tc>
      </w:tr>
      <w:tr w:rsidR="005072F5" w:rsidRPr="00CC205F" w14:paraId="6260EC1B" w14:textId="77777777" w:rsidTr="00915390">
        <w:tc>
          <w:tcPr>
            <w:tcW w:w="1217" w:type="pct"/>
          </w:tcPr>
          <w:p w14:paraId="7C587A9E" w14:textId="77777777" w:rsidR="005072F5" w:rsidRPr="00CC205F" w:rsidRDefault="005072F5" w:rsidP="00915390">
            <w:pPr>
              <w:overflowPunct w:val="0"/>
              <w:autoSpaceDE w:val="0"/>
              <w:autoSpaceDN w:val="0"/>
              <w:adjustRightInd w:val="0"/>
              <w:textAlignment w:val="baseline"/>
              <w:rPr>
                <w:i/>
              </w:rPr>
            </w:pPr>
            <w:r>
              <w:rPr>
                <w:i/>
              </w:rPr>
              <w:t>Teléfono:</w:t>
            </w:r>
          </w:p>
        </w:tc>
        <w:tc>
          <w:tcPr>
            <w:tcW w:w="3783" w:type="pct"/>
          </w:tcPr>
          <w:p w14:paraId="6964FD93" w14:textId="77777777" w:rsidR="005072F5" w:rsidRPr="00CC205F" w:rsidRDefault="005072F5" w:rsidP="00915390">
            <w:pPr>
              <w:overflowPunct w:val="0"/>
              <w:autoSpaceDE w:val="0"/>
              <w:autoSpaceDN w:val="0"/>
              <w:adjustRightInd w:val="0"/>
              <w:textAlignment w:val="baseline"/>
              <w:rPr>
                <w:i/>
              </w:rPr>
            </w:pPr>
            <w:r>
              <w:rPr>
                <w:i/>
              </w:rPr>
              <w:t>+32 2 546 9718</w:t>
            </w:r>
          </w:p>
        </w:tc>
      </w:tr>
      <w:tr w:rsidR="005072F5" w:rsidRPr="00CC205F" w14:paraId="4BE93A76" w14:textId="77777777" w:rsidTr="00915390">
        <w:tc>
          <w:tcPr>
            <w:tcW w:w="1217" w:type="pct"/>
          </w:tcPr>
          <w:p w14:paraId="3B4EC3BE" w14:textId="77777777" w:rsidR="005072F5" w:rsidRPr="00CC205F" w:rsidRDefault="005072F5" w:rsidP="00915390">
            <w:pPr>
              <w:overflowPunct w:val="0"/>
              <w:autoSpaceDE w:val="0"/>
              <w:autoSpaceDN w:val="0"/>
              <w:adjustRightInd w:val="0"/>
              <w:textAlignment w:val="baseline"/>
              <w:rPr>
                <w:i/>
              </w:rPr>
            </w:pPr>
            <w:r>
              <w:rPr>
                <w:i/>
              </w:rPr>
              <w:t>Correo electrónico:</w:t>
            </w:r>
          </w:p>
        </w:tc>
        <w:tc>
          <w:tcPr>
            <w:tcW w:w="3783" w:type="pct"/>
          </w:tcPr>
          <w:p w14:paraId="57B81422" w14:textId="77777777" w:rsidR="005072F5" w:rsidRPr="00CC205F" w:rsidRDefault="005072F5" w:rsidP="00915390">
            <w:pPr>
              <w:overflowPunct w:val="0"/>
              <w:autoSpaceDE w:val="0"/>
              <w:autoSpaceDN w:val="0"/>
              <w:adjustRightInd w:val="0"/>
              <w:textAlignment w:val="baseline"/>
              <w:rPr>
                <w:i/>
              </w:rPr>
            </w:pPr>
            <w:hyperlink r:id="rId22" w:history="1">
              <w:r>
                <w:rPr>
                  <w:i/>
                  <w:color w:val="0000FF"/>
                  <w:u w:val="single"/>
                </w:rPr>
                <w:t>Pierluigi.Brombo@eesc.europa.eu</w:t>
              </w:r>
            </w:hyperlink>
          </w:p>
        </w:tc>
      </w:tr>
      <w:tr w:rsidR="005072F5" w:rsidRPr="00CC205F" w14:paraId="36726E1E" w14:textId="77777777" w:rsidTr="00915390">
        <w:tc>
          <w:tcPr>
            <w:tcW w:w="1217" w:type="pct"/>
          </w:tcPr>
          <w:p w14:paraId="4D74A01A" w14:textId="77777777" w:rsidR="005072F5" w:rsidRPr="00CC205F" w:rsidRDefault="005072F5" w:rsidP="00915390">
            <w:pPr>
              <w:overflowPunct w:val="0"/>
              <w:autoSpaceDE w:val="0"/>
              <w:autoSpaceDN w:val="0"/>
              <w:adjustRightInd w:val="0"/>
              <w:textAlignment w:val="baseline"/>
              <w:rPr>
                <w:i/>
              </w:rPr>
            </w:pPr>
            <w:r>
              <w:rPr>
                <w:b/>
                <w:i/>
              </w:rPr>
              <w:t>Contacto:</w:t>
            </w:r>
          </w:p>
        </w:tc>
        <w:tc>
          <w:tcPr>
            <w:tcW w:w="3783" w:type="pct"/>
          </w:tcPr>
          <w:p w14:paraId="0E2EDA1E" w14:textId="77777777" w:rsidR="005072F5" w:rsidRPr="00CC205F" w:rsidRDefault="005072F5" w:rsidP="00915390">
            <w:pPr>
              <w:overflowPunct w:val="0"/>
              <w:autoSpaceDE w:val="0"/>
              <w:autoSpaceDN w:val="0"/>
              <w:adjustRightInd w:val="0"/>
              <w:textAlignment w:val="baseline"/>
              <w:rPr>
                <w:i/>
              </w:rPr>
            </w:pPr>
            <w:r>
              <w:rPr>
                <w:i/>
              </w:rPr>
              <w:t>Lilla Szabó</w:t>
            </w:r>
          </w:p>
        </w:tc>
      </w:tr>
      <w:tr w:rsidR="005072F5" w:rsidRPr="00CC205F" w14:paraId="2CB4EBD6" w14:textId="77777777" w:rsidTr="00915390">
        <w:tc>
          <w:tcPr>
            <w:tcW w:w="1217" w:type="pct"/>
          </w:tcPr>
          <w:p w14:paraId="5EF737BC" w14:textId="77777777" w:rsidR="005072F5" w:rsidRPr="00CC205F" w:rsidRDefault="005072F5" w:rsidP="00915390">
            <w:pPr>
              <w:overflowPunct w:val="0"/>
              <w:autoSpaceDE w:val="0"/>
              <w:autoSpaceDN w:val="0"/>
              <w:adjustRightInd w:val="0"/>
              <w:textAlignment w:val="baseline"/>
              <w:rPr>
                <w:i/>
              </w:rPr>
            </w:pPr>
            <w:r>
              <w:rPr>
                <w:i/>
              </w:rPr>
              <w:t>Teléfono:</w:t>
            </w:r>
          </w:p>
        </w:tc>
        <w:tc>
          <w:tcPr>
            <w:tcW w:w="3783" w:type="pct"/>
          </w:tcPr>
          <w:p w14:paraId="4D220209" w14:textId="77777777" w:rsidR="005072F5" w:rsidRPr="00CC205F" w:rsidRDefault="005072F5" w:rsidP="00915390">
            <w:pPr>
              <w:overflowPunct w:val="0"/>
              <w:autoSpaceDE w:val="0"/>
              <w:autoSpaceDN w:val="0"/>
              <w:adjustRightInd w:val="0"/>
              <w:textAlignment w:val="baseline"/>
              <w:rPr>
                <w:i/>
              </w:rPr>
            </w:pPr>
            <w:r>
              <w:rPr>
                <w:i/>
              </w:rPr>
              <w:t>+32 2 546 8397</w:t>
            </w:r>
          </w:p>
        </w:tc>
      </w:tr>
      <w:tr w:rsidR="005072F5" w:rsidRPr="00CC205F" w14:paraId="14F669B4" w14:textId="77777777" w:rsidTr="00915390">
        <w:tc>
          <w:tcPr>
            <w:tcW w:w="1217" w:type="pct"/>
          </w:tcPr>
          <w:p w14:paraId="33C83F0B" w14:textId="77777777" w:rsidR="005072F5" w:rsidRPr="00CC205F" w:rsidRDefault="005072F5" w:rsidP="00915390">
            <w:pPr>
              <w:overflowPunct w:val="0"/>
              <w:autoSpaceDE w:val="0"/>
              <w:autoSpaceDN w:val="0"/>
              <w:adjustRightInd w:val="0"/>
              <w:textAlignment w:val="baseline"/>
              <w:rPr>
                <w:i/>
              </w:rPr>
            </w:pPr>
            <w:r>
              <w:rPr>
                <w:i/>
              </w:rPr>
              <w:t>Correo electrónico:</w:t>
            </w:r>
          </w:p>
        </w:tc>
        <w:tc>
          <w:tcPr>
            <w:tcW w:w="3783" w:type="pct"/>
          </w:tcPr>
          <w:p w14:paraId="24275BB8" w14:textId="77777777" w:rsidR="005072F5" w:rsidRPr="00CC205F" w:rsidRDefault="005072F5" w:rsidP="00915390">
            <w:pPr>
              <w:overflowPunct w:val="0"/>
              <w:autoSpaceDE w:val="0"/>
              <w:autoSpaceDN w:val="0"/>
              <w:adjustRightInd w:val="0"/>
              <w:textAlignment w:val="baseline"/>
              <w:rPr>
                <w:i/>
              </w:rPr>
            </w:pPr>
            <w:hyperlink r:id="rId23" w:history="1">
              <w:r>
                <w:rPr>
                  <w:i/>
                  <w:color w:val="0000FF"/>
                  <w:u w:val="single"/>
                </w:rPr>
                <w:t>Lilla.Szabo@eesc.europa.eu</w:t>
              </w:r>
            </w:hyperlink>
          </w:p>
        </w:tc>
      </w:tr>
    </w:tbl>
    <w:p w14:paraId="4C41D949" w14:textId="77777777" w:rsidR="005072F5" w:rsidRDefault="005072F5" w:rsidP="005072F5">
      <w:pPr>
        <w:jc w:val="left"/>
      </w:pPr>
      <w:r>
        <w:br w:type="page"/>
      </w:r>
    </w:p>
    <w:p w14:paraId="15399685" w14:textId="77777777" w:rsidR="005072F5" w:rsidRPr="000B46A5" w:rsidRDefault="005072F5" w:rsidP="005072F5">
      <w:pPr>
        <w:pStyle w:val="Heading1"/>
        <w:ind w:left="567" w:hanging="567"/>
        <w:rPr>
          <w:b/>
        </w:rPr>
      </w:pPr>
      <w:bookmarkStart w:id="1" w:name="_Toc211345373"/>
      <w:r>
        <w:rPr>
          <w:b/>
        </w:rPr>
        <w:lastRenderedPageBreak/>
        <w:t>UNIÓN ECONÓMICA Y MONETARIA Y COHESIÓN ECONÓMICA Y SOCIAL</w:t>
      </w:r>
      <w:bookmarkEnd w:id="1"/>
    </w:p>
    <w:p w14:paraId="5D502D5A" w14:textId="77777777" w:rsidR="005072F5" w:rsidRPr="009845BE" w:rsidRDefault="005072F5" w:rsidP="005072F5">
      <w:pPr>
        <w:rPr>
          <w:sz w:val="14"/>
          <w:szCs w:val="14"/>
        </w:rPr>
      </w:pPr>
    </w:p>
    <w:p w14:paraId="67E8C902" w14:textId="77777777" w:rsidR="005072F5" w:rsidRPr="0081131F" w:rsidRDefault="005072F5" w:rsidP="005072F5">
      <w:pPr>
        <w:widowControl w:val="0"/>
        <w:numPr>
          <w:ilvl w:val="0"/>
          <w:numId w:val="3"/>
        </w:numPr>
        <w:overflowPunct w:val="0"/>
        <w:autoSpaceDE w:val="0"/>
        <w:autoSpaceDN w:val="0"/>
        <w:adjustRightInd w:val="0"/>
        <w:ind w:hanging="567"/>
        <w:textAlignment w:val="baseline"/>
        <w:rPr>
          <w:sz w:val="20"/>
          <w:szCs w:val="20"/>
        </w:rPr>
      </w:pPr>
      <w:hyperlink r:id="rId24" w:history="1">
        <w:r>
          <w:rPr>
            <w:b/>
            <w:i/>
            <w:color w:val="0000FF"/>
            <w:sz w:val="28"/>
            <w:u w:val="single"/>
          </w:rPr>
          <w:t>Consideraciones adicionales sobre la política económica de la zona del euro en 2025</w:t>
        </w:r>
      </w:hyperlink>
    </w:p>
    <w:p w14:paraId="68744078" w14:textId="77777777" w:rsidR="005072F5" w:rsidRPr="009845BE" w:rsidRDefault="005072F5" w:rsidP="005072F5">
      <w:pPr>
        <w:tabs>
          <w:tab w:val="center" w:pos="284"/>
        </w:tabs>
        <w:overflowPunct w:val="0"/>
        <w:autoSpaceDE w:val="0"/>
        <w:autoSpaceDN w:val="0"/>
        <w:adjustRightInd w:val="0"/>
        <w:ind w:left="266" w:hanging="266"/>
        <w:textAlignment w:val="baseline"/>
        <w:rPr>
          <w:b/>
          <w:sz w:val="14"/>
          <w:szCs w:val="14"/>
          <w:lang w:val="en-GB"/>
        </w:rPr>
      </w:pPr>
    </w:p>
    <w:tbl>
      <w:tblPr>
        <w:tblW w:w="5000" w:type="pct"/>
        <w:tblLook w:val="04A0" w:firstRow="1" w:lastRow="0" w:firstColumn="1" w:lastColumn="0" w:noHBand="0" w:noVBand="1"/>
      </w:tblPr>
      <w:tblGrid>
        <w:gridCol w:w="2031"/>
        <w:gridCol w:w="7400"/>
      </w:tblGrid>
      <w:tr w:rsidR="005072F5" w:rsidRPr="0081131F" w14:paraId="6F29C600" w14:textId="77777777" w:rsidTr="00915390">
        <w:tc>
          <w:tcPr>
            <w:tcW w:w="1077" w:type="pct"/>
          </w:tcPr>
          <w:p w14:paraId="4EDA2744" w14:textId="77777777" w:rsidR="005072F5" w:rsidRPr="0081131F"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3923" w:type="pct"/>
          </w:tcPr>
          <w:p w14:paraId="22213638" w14:textId="77777777" w:rsidR="005072F5" w:rsidRPr="0081131F" w:rsidRDefault="005072F5" w:rsidP="00915390">
            <w:pPr>
              <w:tabs>
                <w:tab w:val="center" w:pos="284"/>
              </w:tabs>
              <w:overflowPunct w:val="0"/>
              <w:autoSpaceDE w:val="0"/>
              <w:autoSpaceDN w:val="0"/>
              <w:adjustRightInd w:val="0"/>
              <w:ind w:left="266" w:right="-3091" w:hanging="266"/>
              <w:textAlignment w:val="baseline"/>
            </w:pPr>
            <w:r>
              <w:t>Juraj SIPKO (Grupo de Organizaciones de la Sociedad Civil – SK)</w:t>
            </w:r>
          </w:p>
        </w:tc>
      </w:tr>
      <w:tr w:rsidR="005072F5" w:rsidRPr="0081131F" w14:paraId="710BC8A0" w14:textId="77777777" w:rsidTr="00915390">
        <w:tc>
          <w:tcPr>
            <w:tcW w:w="1077" w:type="pct"/>
          </w:tcPr>
          <w:p w14:paraId="309DEF07" w14:textId="77777777" w:rsidR="005072F5" w:rsidRPr="0081131F"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3923" w:type="pct"/>
          </w:tcPr>
          <w:p w14:paraId="35E7B14A" w14:textId="77777777" w:rsidR="005072F5" w:rsidRPr="0081131F" w:rsidRDefault="005072F5" w:rsidP="00915390">
            <w:pPr>
              <w:tabs>
                <w:tab w:val="center" w:pos="284"/>
              </w:tabs>
              <w:overflowPunct w:val="0"/>
              <w:autoSpaceDE w:val="0"/>
              <w:autoSpaceDN w:val="0"/>
              <w:adjustRightInd w:val="0"/>
              <w:ind w:left="266" w:right="-3091" w:hanging="266"/>
              <w:textAlignment w:val="baseline"/>
            </w:pPr>
            <w:r>
              <w:t>Dictamen de iniciativa</w:t>
            </w:r>
          </w:p>
          <w:p w14:paraId="1489443E" w14:textId="77777777" w:rsidR="005072F5" w:rsidRPr="0081131F" w:rsidRDefault="005072F5" w:rsidP="00915390">
            <w:pPr>
              <w:tabs>
                <w:tab w:val="center" w:pos="284"/>
              </w:tabs>
              <w:overflowPunct w:val="0"/>
              <w:autoSpaceDE w:val="0"/>
              <w:autoSpaceDN w:val="0"/>
              <w:adjustRightInd w:val="0"/>
              <w:ind w:left="266" w:right="-3091" w:hanging="266"/>
              <w:textAlignment w:val="baseline"/>
            </w:pPr>
            <w:r>
              <w:t>EESC-2025-01656-00-00-AC</w:t>
            </w:r>
          </w:p>
        </w:tc>
      </w:tr>
    </w:tbl>
    <w:p w14:paraId="6C1C949D" w14:textId="77777777" w:rsidR="005072F5" w:rsidRPr="009845BE" w:rsidRDefault="005072F5" w:rsidP="005072F5">
      <w:pPr>
        <w:tabs>
          <w:tab w:val="center" w:pos="284"/>
        </w:tabs>
        <w:overflowPunct w:val="0"/>
        <w:autoSpaceDE w:val="0"/>
        <w:autoSpaceDN w:val="0"/>
        <w:adjustRightInd w:val="0"/>
        <w:ind w:left="266" w:hanging="266"/>
        <w:textAlignment w:val="baseline"/>
        <w:rPr>
          <w:b/>
          <w:sz w:val="16"/>
          <w:szCs w:val="16"/>
          <w:lang w:val="en-GB"/>
        </w:rPr>
      </w:pPr>
    </w:p>
    <w:p w14:paraId="1F7E39DB" w14:textId="77777777" w:rsidR="005072F5" w:rsidRPr="0081131F"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487E52E9" w14:textId="77777777" w:rsidR="005072F5" w:rsidRPr="009845BE" w:rsidRDefault="005072F5" w:rsidP="005072F5">
      <w:pPr>
        <w:keepNext/>
        <w:keepLines/>
        <w:tabs>
          <w:tab w:val="center" w:pos="284"/>
        </w:tabs>
        <w:overflowPunct w:val="0"/>
        <w:autoSpaceDE w:val="0"/>
        <w:autoSpaceDN w:val="0"/>
        <w:adjustRightInd w:val="0"/>
        <w:ind w:left="266" w:hanging="266"/>
        <w:textAlignment w:val="baseline"/>
        <w:rPr>
          <w:b/>
          <w:sz w:val="16"/>
          <w:szCs w:val="16"/>
          <w:lang w:val="en-GB"/>
        </w:rPr>
      </w:pPr>
    </w:p>
    <w:p w14:paraId="313F9202" w14:textId="77777777" w:rsidR="005072F5" w:rsidRDefault="005072F5" w:rsidP="005072F5">
      <w:pPr>
        <w:overflowPunct w:val="0"/>
        <w:autoSpaceDE w:val="0"/>
        <w:autoSpaceDN w:val="0"/>
        <w:adjustRightInd w:val="0"/>
        <w:textAlignment w:val="baseline"/>
      </w:pPr>
      <w:r>
        <w:t>El CESE:</w:t>
      </w:r>
    </w:p>
    <w:p w14:paraId="6ED116A3" w14:textId="77777777" w:rsidR="005072F5" w:rsidRPr="009845BE" w:rsidRDefault="005072F5" w:rsidP="005072F5">
      <w:pPr>
        <w:overflowPunct w:val="0"/>
        <w:autoSpaceDE w:val="0"/>
        <w:autoSpaceDN w:val="0"/>
        <w:adjustRightInd w:val="0"/>
        <w:textAlignment w:val="baseline"/>
        <w:rPr>
          <w:bCs/>
          <w:iCs/>
          <w:sz w:val="16"/>
          <w:szCs w:val="16"/>
        </w:rPr>
      </w:pPr>
    </w:p>
    <w:p w14:paraId="665E6918" w14:textId="77777777" w:rsidR="005072F5" w:rsidRPr="0081131F" w:rsidRDefault="005072F5" w:rsidP="005072F5">
      <w:pPr>
        <w:widowControl w:val="0"/>
        <w:numPr>
          <w:ilvl w:val="0"/>
          <w:numId w:val="41"/>
        </w:numPr>
        <w:overflowPunct w:val="0"/>
        <w:autoSpaceDE w:val="0"/>
        <w:autoSpaceDN w:val="0"/>
        <w:adjustRightInd w:val="0"/>
        <w:spacing w:line="276" w:lineRule="auto"/>
        <w:ind w:left="284" w:hanging="284"/>
        <w:textAlignment w:val="baseline"/>
        <w:rPr>
          <w:bCs/>
          <w:iCs/>
        </w:rPr>
      </w:pPr>
      <w:r>
        <w:t>señala que las economías de los Estados miembros de la UE y de la zona del euro han registrado, principalmente durante el último lustro, resultados que no son suficientes para que la Unión pueda mantener su sólida posición en la economía mundial, en particular si se los compara con los de los Estados Unidos y China;</w:t>
      </w:r>
    </w:p>
    <w:p w14:paraId="4EF29D8D" w14:textId="77777777" w:rsidR="005072F5" w:rsidRPr="0081131F" w:rsidRDefault="005072F5" w:rsidP="005072F5">
      <w:pPr>
        <w:widowControl w:val="0"/>
        <w:numPr>
          <w:ilvl w:val="0"/>
          <w:numId w:val="41"/>
        </w:numPr>
        <w:overflowPunct w:val="0"/>
        <w:autoSpaceDE w:val="0"/>
        <w:autoSpaceDN w:val="0"/>
        <w:adjustRightInd w:val="0"/>
        <w:spacing w:line="276" w:lineRule="auto"/>
        <w:ind w:left="284" w:hanging="284"/>
        <w:contextualSpacing/>
        <w:textAlignment w:val="baseline"/>
        <w:rPr>
          <w:rFonts w:ascii="Calibri" w:hAnsi="Calibri"/>
          <w:bCs/>
          <w:iCs/>
        </w:rPr>
      </w:pPr>
      <w:r>
        <w:t>señala que las economías de la UE y de la zona del euro han tenido que lidiar no solo con un modesto ritmo de crecimiento económico, sino también con tasas de inflación elevadas, así como con una resiliencia estructural relativamente endeble frente a los actuales riesgos de seguridad;</w:t>
      </w:r>
    </w:p>
    <w:p w14:paraId="4C931046" w14:textId="77777777" w:rsidR="005072F5" w:rsidRPr="0081131F" w:rsidRDefault="005072F5" w:rsidP="005072F5">
      <w:pPr>
        <w:widowControl w:val="0"/>
        <w:numPr>
          <w:ilvl w:val="0"/>
          <w:numId w:val="41"/>
        </w:numPr>
        <w:overflowPunct w:val="0"/>
        <w:autoSpaceDE w:val="0"/>
        <w:autoSpaceDN w:val="0"/>
        <w:adjustRightInd w:val="0"/>
        <w:spacing w:line="276" w:lineRule="auto"/>
        <w:ind w:left="284" w:hanging="284"/>
        <w:contextualSpacing/>
        <w:textAlignment w:val="baseline"/>
        <w:rPr>
          <w:bCs/>
          <w:iCs/>
        </w:rPr>
      </w:pPr>
      <w:r>
        <w:t>valora muy positivamente que las economías de la UE y de la zona del euro presenten una balanza comercial global positiva, y recomienda encarecidamente que se adopten todas las medidas de política económica y comercial necesarias para mantener la tendencia positiva de la balanza comercial y el superávit de la balanza de pagos por cuenta corriente;</w:t>
      </w:r>
    </w:p>
    <w:p w14:paraId="40E43668" w14:textId="77777777" w:rsidR="005072F5" w:rsidRPr="0081131F" w:rsidRDefault="005072F5" w:rsidP="005072F5">
      <w:pPr>
        <w:widowControl w:val="0"/>
        <w:numPr>
          <w:ilvl w:val="0"/>
          <w:numId w:val="41"/>
        </w:numPr>
        <w:overflowPunct w:val="0"/>
        <w:autoSpaceDE w:val="0"/>
        <w:autoSpaceDN w:val="0"/>
        <w:adjustRightInd w:val="0"/>
        <w:spacing w:line="276" w:lineRule="auto"/>
        <w:ind w:left="284" w:hanging="284"/>
        <w:contextualSpacing/>
        <w:textAlignment w:val="baseline"/>
        <w:rPr>
          <w:bCs/>
          <w:iCs/>
        </w:rPr>
      </w:pPr>
      <w:r>
        <w:t>recomienda centrar la atención en los sectores de importancia estratégica y velar por que las condiciones procedimentales y financieras se orienten hacia una intensa actividad inversora;</w:t>
      </w:r>
    </w:p>
    <w:p w14:paraId="0E07F99E" w14:textId="77777777" w:rsidR="005072F5" w:rsidRPr="0081131F" w:rsidRDefault="005072F5" w:rsidP="005072F5">
      <w:pPr>
        <w:widowControl w:val="0"/>
        <w:numPr>
          <w:ilvl w:val="0"/>
          <w:numId w:val="41"/>
        </w:numPr>
        <w:overflowPunct w:val="0"/>
        <w:autoSpaceDE w:val="0"/>
        <w:autoSpaceDN w:val="0"/>
        <w:adjustRightInd w:val="0"/>
        <w:spacing w:line="276" w:lineRule="auto"/>
        <w:ind w:left="284" w:hanging="284"/>
        <w:contextualSpacing/>
        <w:textAlignment w:val="baseline"/>
        <w:rPr>
          <w:bCs/>
          <w:iCs/>
        </w:rPr>
      </w:pPr>
      <w:r>
        <w:t>apoya los distintos esfuerzos de la Comisión dirigidos a elaborar la Estrategia para el Mercado Único, y considera que la Unión de Ahorros e Inversiones y la profundización e integración de los mercados de capitales pueden contribuir a una financiación más eficaz;</w:t>
      </w:r>
    </w:p>
    <w:p w14:paraId="62FFE0F6" w14:textId="77777777" w:rsidR="005072F5" w:rsidRPr="0081131F" w:rsidRDefault="005072F5" w:rsidP="005072F5">
      <w:pPr>
        <w:widowControl w:val="0"/>
        <w:numPr>
          <w:ilvl w:val="0"/>
          <w:numId w:val="41"/>
        </w:numPr>
        <w:overflowPunct w:val="0"/>
        <w:autoSpaceDE w:val="0"/>
        <w:autoSpaceDN w:val="0"/>
        <w:adjustRightInd w:val="0"/>
        <w:spacing w:line="276" w:lineRule="auto"/>
        <w:ind w:left="284" w:hanging="284"/>
        <w:contextualSpacing/>
        <w:textAlignment w:val="baseline"/>
        <w:rPr>
          <w:bCs/>
          <w:iCs/>
        </w:rPr>
      </w:pPr>
      <w:r>
        <w:t>considera necesario adoptar y aplicar una política específica de apoyo para que las empresas prósperas y ambiciosas accedan al mercado mundial, y subraya la necesidad de crear espacio suficiente para talentos altamente cualificados en puestos de trabajo relacionados con la tecnología y la innovación en Europa, en particular en el marco de la nueva iniciativa «Choose Europe»;</w:t>
      </w:r>
    </w:p>
    <w:p w14:paraId="0D6630E9" w14:textId="77777777" w:rsidR="005072F5" w:rsidRPr="0081131F" w:rsidRDefault="005072F5" w:rsidP="005072F5">
      <w:pPr>
        <w:widowControl w:val="0"/>
        <w:numPr>
          <w:ilvl w:val="0"/>
          <w:numId w:val="41"/>
        </w:numPr>
        <w:overflowPunct w:val="0"/>
        <w:autoSpaceDE w:val="0"/>
        <w:autoSpaceDN w:val="0"/>
        <w:adjustRightInd w:val="0"/>
        <w:spacing w:line="276" w:lineRule="auto"/>
        <w:ind w:left="284" w:hanging="284"/>
        <w:contextualSpacing/>
        <w:textAlignment w:val="baseline"/>
        <w:rPr>
          <w:bCs/>
          <w:iCs/>
        </w:rPr>
      </w:pPr>
      <w:r>
        <w:t>acoge con satisfacción el proceso de simplificación procedimental que se está llevando a cabo, y subraya la necesidad de no socavar las normas de protección social y medioambiental;</w:t>
      </w:r>
    </w:p>
    <w:p w14:paraId="246F1192" w14:textId="77777777" w:rsidR="005072F5" w:rsidRPr="0081131F" w:rsidRDefault="005072F5" w:rsidP="005072F5">
      <w:pPr>
        <w:widowControl w:val="0"/>
        <w:numPr>
          <w:ilvl w:val="0"/>
          <w:numId w:val="41"/>
        </w:numPr>
        <w:overflowPunct w:val="0"/>
        <w:autoSpaceDE w:val="0"/>
        <w:autoSpaceDN w:val="0"/>
        <w:adjustRightInd w:val="0"/>
        <w:spacing w:line="276" w:lineRule="auto"/>
        <w:ind w:left="284" w:hanging="284"/>
        <w:contextualSpacing/>
        <w:textAlignment w:val="baseline"/>
        <w:rPr>
          <w:bCs/>
          <w:iCs/>
        </w:rPr>
      </w:pPr>
      <w:r>
        <w:t>acoge con satisfacción los esfuerzos por crear margen presupuestario mediante una revisión específica de las normas presupuestarias de la UE y la aplicación de una capacidad de inversión de la UE para financiar inversiones que impulsen el crecimiento y que sean de interés estratégico para el mercado único;</w:t>
      </w:r>
    </w:p>
    <w:p w14:paraId="5401C6FC" w14:textId="77777777" w:rsidR="005072F5" w:rsidRPr="0081131F" w:rsidRDefault="005072F5" w:rsidP="005072F5">
      <w:pPr>
        <w:widowControl w:val="0"/>
        <w:numPr>
          <w:ilvl w:val="0"/>
          <w:numId w:val="41"/>
        </w:numPr>
        <w:overflowPunct w:val="0"/>
        <w:autoSpaceDE w:val="0"/>
        <w:autoSpaceDN w:val="0"/>
        <w:adjustRightInd w:val="0"/>
        <w:spacing w:line="276" w:lineRule="auto"/>
        <w:ind w:left="284" w:hanging="284"/>
        <w:contextualSpacing/>
        <w:textAlignment w:val="baseline"/>
        <w:rPr>
          <w:bCs/>
          <w:iCs/>
        </w:rPr>
      </w:pPr>
      <w:r>
        <w:t>recomienda a la Comisión que agilice la celebración de acuerdos comerciales bilaterales con los países que registren los mayores volúmenes de comercio exterior y que siga esforzándose por restaurar el multilateralismo y acometer con carácter de urgencia reformas en el seno de la Organización Mundial del Comercio (OMC).</w:t>
      </w:r>
    </w:p>
    <w:p w14:paraId="633B8D2F" w14:textId="77777777" w:rsidR="005072F5" w:rsidRPr="009845BE" w:rsidRDefault="005072F5" w:rsidP="005072F5">
      <w:pPr>
        <w:widowControl w:val="0"/>
        <w:overflowPunct w:val="0"/>
        <w:autoSpaceDE w:val="0"/>
        <w:autoSpaceDN w:val="0"/>
        <w:adjustRightInd w:val="0"/>
        <w:ind w:left="284" w:hanging="284"/>
        <w:textAlignment w:val="baseline"/>
        <w:rPr>
          <w:sz w:val="18"/>
          <w:szCs w:val="16"/>
          <w:lang w:val="en-GB"/>
        </w:rPr>
      </w:pPr>
    </w:p>
    <w:tbl>
      <w:tblPr>
        <w:tblW w:w="5000" w:type="pct"/>
        <w:tblLook w:val="04A0" w:firstRow="1" w:lastRow="0" w:firstColumn="1" w:lastColumn="0" w:noHBand="0" w:noVBand="1"/>
      </w:tblPr>
      <w:tblGrid>
        <w:gridCol w:w="2094"/>
        <w:gridCol w:w="7337"/>
      </w:tblGrid>
      <w:tr w:rsidR="005072F5" w:rsidRPr="0081131F" w14:paraId="20FCD17A" w14:textId="77777777" w:rsidTr="00915390">
        <w:tc>
          <w:tcPr>
            <w:tcW w:w="1110" w:type="pct"/>
          </w:tcPr>
          <w:p w14:paraId="7EA42388" w14:textId="77777777" w:rsidR="005072F5" w:rsidRPr="0081131F" w:rsidRDefault="005072F5" w:rsidP="00915390">
            <w:pPr>
              <w:overflowPunct w:val="0"/>
              <w:autoSpaceDE w:val="0"/>
              <w:autoSpaceDN w:val="0"/>
              <w:adjustRightInd w:val="0"/>
              <w:textAlignment w:val="baseline"/>
              <w:rPr>
                <w:i/>
              </w:rPr>
            </w:pPr>
            <w:r>
              <w:rPr>
                <w:b/>
                <w:i/>
              </w:rPr>
              <w:t>Contacto:</w:t>
            </w:r>
          </w:p>
        </w:tc>
        <w:tc>
          <w:tcPr>
            <w:tcW w:w="3890" w:type="pct"/>
          </w:tcPr>
          <w:p w14:paraId="79F401FA" w14:textId="77777777" w:rsidR="005072F5" w:rsidRPr="0081131F" w:rsidRDefault="005072F5" w:rsidP="00915390">
            <w:pPr>
              <w:overflowPunct w:val="0"/>
              <w:autoSpaceDE w:val="0"/>
              <w:autoSpaceDN w:val="0"/>
              <w:adjustRightInd w:val="0"/>
              <w:textAlignment w:val="baseline"/>
              <w:rPr>
                <w:i/>
              </w:rPr>
            </w:pPr>
            <w:r>
              <w:rPr>
                <w:i/>
              </w:rPr>
              <w:t>Omar Bello</w:t>
            </w:r>
          </w:p>
        </w:tc>
      </w:tr>
      <w:tr w:rsidR="005072F5" w:rsidRPr="0081131F" w14:paraId="07D7D2B8" w14:textId="77777777" w:rsidTr="00915390">
        <w:tc>
          <w:tcPr>
            <w:tcW w:w="1110" w:type="pct"/>
          </w:tcPr>
          <w:p w14:paraId="1DFD0053" w14:textId="77777777" w:rsidR="005072F5" w:rsidRPr="0081131F" w:rsidRDefault="005072F5" w:rsidP="00915390">
            <w:pPr>
              <w:overflowPunct w:val="0"/>
              <w:autoSpaceDE w:val="0"/>
              <w:autoSpaceDN w:val="0"/>
              <w:adjustRightInd w:val="0"/>
              <w:textAlignment w:val="baseline"/>
              <w:rPr>
                <w:i/>
              </w:rPr>
            </w:pPr>
            <w:r>
              <w:rPr>
                <w:i/>
              </w:rPr>
              <w:t>Teléfono:</w:t>
            </w:r>
          </w:p>
        </w:tc>
        <w:tc>
          <w:tcPr>
            <w:tcW w:w="3890" w:type="pct"/>
          </w:tcPr>
          <w:p w14:paraId="0E02432D" w14:textId="77777777" w:rsidR="005072F5" w:rsidRPr="0081131F" w:rsidRDefault="005072F5" w:rsidP="00915390">
            <w:pPr>
              <w:overflowPunct w:val="0"/>
              <w:autoSpaceDE w:val="0"/>
              <w:autoSpaceDN w:val="0"/>
              <w:adjustRightInd w:val="0"/>
              <w:textAlignment w:val="baseline"/>
              <w:rPr>
                <w:i/>
              </w:rPr>
            </w:pPr>
            <w:r>
              <w:rPr>
                <w:i/>
              </w:rPr>
              <w:t>+32 2 546 8269</w:t>
            </w:r>
          </w:p>
        </w:tc>
      </w:tr>
      <w:tr w:rsidR="005072F5" w:rsidRPr="0081131F" w14:paraId="2F8B5A90" w14:textId="77777777" w:rsidTr="00915390">
        <w:tc>
          <w:tcPr>
            <w:tcW w:w="1110" w:type="pct"/>
          </w:tcPr>
          <w:p w14:paraId="7DBB8740" w14:textId="77777777" w:rsidR="005072F5" w:rsidRPr="0081131F" w:rsidRDefault="005072F5" w:rsidP="00915390">
            <w:pPr>
              <w:overflowPunct w:val="0"/>
              <w:autoSpaceDE w:val="0"/>
              <w:autoSpaceDN w:val="0"/>
              <w:adjustRightInd w:val="0"/>
              <w:textAlignment w:val="baseline"/>
              <w:rPr>
                <w:i/>
              </w:rPr>
            </w:pPr>
            <w:r>
              <w:rPr>
                <w:i/>
              </w:rPr>
              <w:t>Correo electrónico:</w:t>
            </w:r>
          </w:p>
        </w:tc>
        <w:tc>
          <w:tcPr>
            <w:tcW w:w="3890" w:type="pct"/>
          </w:tcPr>
          <w:p w14:paraId="1E409B1D" w14:textId="77777777" w:rsidR="005072F5" w:rsidRPr="0081131F" w:rsidRDefault="005072F5" w:rsidP="00915390">
            <w:pPr>
              <w:overflowPunct w:val="0"/>
              <w:autoSpaceDE w:val="0"/>
              <w:autoSpaceDN w:val="0"/>
              <w:adjustRightInd w:val="0"/>
              <w:textAlignment w:val="baseline"/>
              <w:rPr>
                <w:i/>
              </w:rPr>
            </w:pPr>
            <w:hyperlink r:id="rId25" w:history="1">
              <w:r>
                <w:rPr>
                  <w:i/>
                  <w:color w:val="0000FF"/>
                  <w:u w:val="single"/>
                </w:rPr>
                <w:t>Omar.Bello@eesc.europa.eu</w:t>
              </w:r>
            </w:hyperlink>
          </w:p>
        </w:tc>
      </w:tr>
    </w:tbl>
    <w:p w14:paraId="101E148A" w14:textId="77777777" w:rsidR="005072F5" w:rsidRDefault="005072F5" w:rsidP="005072F5">
      <w:pPr>
        <w:jc w:val="left"/>
      </w:pPr>
      <w:r>
        <w:br w:type="page"/>
      </w:r>
    </w:p>
    <w:p w14:paraId="6D06BDE2" w14:textId="77777777" w:rsidR="005072F5" w:rsidRPr="00097AD8" w:rsidRDefault="005072F5" w:rsidP="005072F5">
      <w:pPr>
        <w:widowControl w:val="0"/>
        <w:numPr>
          <w:ilvl w:val="0"/>
          <w:numId w:val="6"/>
        </w:numPr>
        <w:overflowPunct w:val="0"/>
        <w:autoSpaceDE w:val="0"/>
        <w:autoSpaceDN w:val="0"/>
        <w:adjustRightInd w:val="0"/>
        <w:ind w:left="567" w:hanging="567"/>
        <w:contextualSpacing/>
        <w:jc w:val="left"/>
        <w:textAlignment w:val="baseline"/>
        <w:rPr>
          <w:b/>
        </w:rPr>
      </w:pPr>
      <w:hyperlink r:id="rId26" w:history="1">
        <w:r>
          <w:rPr>
            <w:b/>
            <w:i/>
            <w:color w:val="0000FF"/>
            <w:sz w:val="28"/>
            <w:u w:val="single"/>
          </w:rPr>
          <w:t>Bienes públicos europeos: prioridad política para financiar el crecimiento sostenible de la UE y hacer frente a los retos mundiales</w:t>
        </w:r>
      </w:hyperlink>
    </w:p>
    <w:p w14:paraId="36AF7971" w14:textId="77777777" w:rsidR="005072F5" w:rsidRPr="005D7E37" w:rsidRDefault="005072F5" w:rsidP="005072F5">
      <w:pPr>
        <w:widowControl w:val="0"/>
        <w:overflowPunct w:val="0"/>
        <w:autoSpaceDE w:val="0"/>
        <w:autoSpaceDN w:val="0"/>
        <w:adjustRightInd w:val="0"/>
        <w:ind w:left="567"/>
        <w:contextualSpacing/>
        <w:jc w:val="left"/>
        <w:textAlignment w:val="baseline"/>
        <w:rPr>
          <w:b/>
          <w:lang w:val="en-GB" w:eastAsia="zh-CN"/>
        </w:rPr>
      </w:pPr>
    </w:p>
    <w:tbl>
      <w:tblPr>
        <w:tblW w:w="0" w:type="auto"/>
        <w:tblLook w:val="04A0" w:firstRow="1" w:lastRow="0" w:firstColumn="1" w:lastColumn="0" w:noHBand="0" w:noVBand="1"/>
      </w:tblPr>
      <w:tblGrid>
        <w:gridCol w:w="1701"/>
        <w:gridCol w:w="7088"/>
      </w:tblGrid>
      <w:tr w:rsidR="005072F5" w:rsidRPr="005D7E37" w14:paraId="3100AE65" w14:textId="77777777" w:rsidTr="00915390">
        <w:tc>
          <w:tcPr>
            <w:tcW w:w="1701" w:type="dxa"/>
          </w:tcPr>
          <w:p w14:paraId="04D2C516" w14:textId="77777777" w:rsidR="005072F5" w:rsidRPr="005D7E37" w:rsidRDefault="005072F5" w:rsidP="00915390">
            <w:pPr>
              <w:overflowPunct w:val="0"/>
              <w:autoSpaceDE w:val="0"/>
              <w:autoSpaceDN w:val="0"/>
              <w:adjustRightInd w:val="0"/>
              <w:ind w:left="176" w:hanging="284"/>
              <w:textAlignment w:val="baseline"/>
              <w:rPr>
                <w:b/>
              </w:rPr>
            </w:pPr>
            <w:r>
              <w:rPr>
                <w:b/>
              </w:rPr>
              <w:t>Ponente</w:t>
            </w:r>
          </w:p>
        </w:tc>
        <w:tc>
          <w:tcPr>
            <w:tcW w:w="7088" w:type="dxa"/>
          </w:tcPr>
          <w:p w14:paraId="24DF9916" w14:textId="77777777" w:rsidR="005072F5" w:rsidRPr="005D7E37" w:rsidRDefault="005072F5" w:rsidP="00915390">
            <w:pPr>
              <w:tabs>
                <w:tab w:val="center" w:pos="284"/>
              </w:tabs>
              <w:overflowPunct w:val="0"/>
              <w:autoSpaceDE w:val="0"/>
              <w:autoSpaceDN w:val="0"/>
              <w:adjustRightInd w:val="0"/>
              <w:textAlignment w:val="baseline"/>
            </w:pPr>
            <w:r>
              <w:t>Stefano PALMIERI (Grupo de Trabajadores – IT)</w:t>
            </w:r>
          </w:p>
        </w:tc>
      </w:tr>
      <w:tr w:rsidR="005072F5" w:rsidRPr="005D7E37" w14:paraId="5DECF957" w14:textId="77777777" w:rsidTr="00915390">
        <w:tc>
          <w:tcPr>
            <w:tcW w:w="1701" w:type="dxa"/>
          </w:tcPr>
          <w:p w14:paraId="022F2486" w14:textId="77777777" w:rsidR="005072F5" w:rsidRPr="005D7E37" w:rsidRDefault="005072F5" w:rsidP="00915390">
            <w:pPr>
              <w:tabs>
                <w:tab w:val="center" w:pos="284"/>
              </w:tabs>
              <w:overflowPunct w:val="0"/>
              <w:autoSpaceDE w:val="0"/>
              <w:autoSpaceDN w:val="0"/>
              <w:adjustRightInd w:val="0"/>
              <w:ind w:left="266" w:hanging="374"/>
              <w:textAlignment w:val="baseline"/>
              <w:rPr>
                <w:b/>
              </w:rPr>
            </w:pPr>
            <w:r>
              <w:rPr>
                <w:b/>
              </w:rPr>
              <w:t>Referencia</w:t>
            </w:r>
          </w:p>
        </w:tc>
        <w:tc>
          <w:tcPr>
            <w:tcW w:w="7088" w:type="dxa"/>
          </w:tcPr>
          <w:p w14:paraId="6598D543" w14:textId="77777777" w:rsidR="005072F5" w:rsidRPr="005D7E37" w:rsidRDefault="005072F5" w:rsidP="00915390">
            <w:pPr>
              <w:tabs>
                <w:tab w:val="center" w:pos="284"/>
              </w:tabs>
              <w:overflowPunct w:val="0"/>
              <w:autoSpaceDE w:val="0"/>
              <w:autoSpaceDN w:val="0"/>
              <w:adjustRightInd w:val="0"/>
              <w:textAlignment w:val="baseline"/>
            </w:pPr>
            <w:r>
              <w:t>Dictamen de iniciativa</w:t>
            </w:r>
          </w:p>
          <w:p w14:paraId="333A481B" w14:textId="77777777" w:rsidR="005072F5" w:rsidRPr="005D7E37" w:rsidRDefault="005072F5" w:rsidP="00915390">
            <w:pPr>
              <w:tabs>
                <w:tab w:val="center" w:pos="284"/>
              </w:tabs>
              <w:overflowPunct w:val="0"/>
              <w:autoSpaceDE w:val="0"/>
              <w:autoSpaceDN w:val="0"/>
              <w:adjustRightInd w:val="0"/>
              <w:textAlignment w:val="baseline"/>
              <w:rPr>
                <w:highlight w:val="yellow"/>
              </w:rPr>
            </w:pPr>
            <w:r>
              <w:t>EESC-2025-01686-00-00-AC</w:t>
            </w:r>
          </w:p>
        </w:tc>
      </w:tr>
    </w:tbl>
    <w:p w14:paraId="67266E06" w14:textId="77777777" w:rsidR="005072F5" w:rsidRPr="005D7E37" w:rsidRDefault="005072F5" w:rsidP="005072F5">
      <w:pPr>
        <w:keepNext/>
        <w:keepLines/>
        <w:tabs>
          <w:tab w:val="center" w:pos="284"/>
        </w:tabs>
        <w:overflowPunct w:val="0"/>
        <w:autoSpaceDE w:val="0"/>
        <w:autoSpaceDN w:val="0"/>
        <w:adjustRightInd w:val="0"/>
        <w:ind w:left="266" w:hanging="266"/>
        <w:textAlignment w:val="baseline"/>
        <w:rPr>
          <w:b/>
          <w:sz w:val="16"/>
          <w:szCs w:val="16"/>
          <w:lang w:val="en-GB"/>
        </w:rPr>
      </w:pPr>
    </w:p>
    <w:p w14:paraId="4857B9D7" w14:textId="77777777" w:rsidR="005072F5" w:rsidRPr="005D7E37"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688148E4" w14:textId="77777777" w:rsidR="005072F5" w:rsidRPr="005D7E37" w:rsidRDefault="005072F5" w:rsidP="005072F5">
      <w:pPr>
        <w:keepNext/>
        <w:keepLines/>
        <w:tabs>
          <w:tab w:val="center" w:pos="284"/>
        </w:tabs>
        <w:overflowPunct w:val="0"/>
        <w:autoSpaceDE w:val="0"/>
        <w:autoSpaceDN w:val="0"/>
        <w:adjustRightInd w:val="0"/>
        <w:ind w:left="266" w:hanging="266"/>
        <w:textAlignment w:val="baseline"/>
        <w:rPr>
          <w:b/>
          <w:sz w:val="16"/>
          <w:szCs w:val="16"/>
          <w:lang w:val="en-GB"/>
        </w:rPr>
      </w:pPr>
    </w:p>
    <w:p w14:paraId="42D64039" w14:textId="77777777" w:rsidR="005072F5" w:rsidRDefault="005072F5" w:rsidP="005072F5">
      <w:pPr>
        <w:overflowPunct w:val="0"/>
        <w:autoSpaceDE w:val="0"/>
        <w:autoSpaceDN w:val="0"/>
        <w:adjustRightInd w:val="0"/>
        <w:ind w:left="425" w:hanging="425"/>
        <w:textAlignment w:val="baseline"/>
      </w:pPr>
      <w:r>
        <w:t>El CESE:</w:t>
      </w:r>
    </w:p>
    <w:p w14:paraId="306AAC0A" w14:textId="77777777" w:rsidR="005072F5" w:rsidRDefault="005072F5" w:rsidP="005072F5">
      <w:pPr>
        <w:overflowPunct w:val="0"/>
        <w:autoSpaceDE w:val="0"/>
        <w:autoSpaceDN w:val="0"/>
        <w:adjustRightInd w:val="0"/>
        <w:ind w:left="425" w:hanging="425"/>
        <w:textAlignment w:val="baseline"/>
        <w:rPr>
          <w:szCs w:val="20"/>
        </w:rPr>
      </w:pPr>
    </w:p>
    <w:p w14:paraId="0756D39A" w14:textId="77777777" w:rsidR="005072F5" w:rsidRPr="005D7E37" w:rsidRDefault="005072F5" w:rsidP="005072F5">
      <w:pPr>
        <w:numPr>
          <w:ilvl w:val="0"/>
          <w:numId w:val="42"/>
        </w:numPr>
        <w:overflowPunct w:val="0"/>
        <w:autoSpaceDE w:val="0"/>
        <w:autoSpaceDN w:val="0"/>
        <w:adjustRightInd w:val="0"/>
        <w:ind w:left="284" w:hanging="284"/>
        <w:textAlignment w:val="baseline"/>
      </w:pPr>
      <w:r>
        <w:t>se muestra convencido de la importancia que revisten los bienes públicos europeos para el bienestar de los ciudadanos, por lo que considera que debe prestarse especial atención al suministro de estos bienes y a su inclusión en el próximo marco financiero plurianual (MFP) posterior a 2027;</w:t>
      </w:r>
    </w:p>
    <w:p w14:paraId="290077DD" w14:textId="77777777" w:rsidR="005072F5" w:rsidRPr="005D7E37" w:rsidRDefault="005072F5" w:rsidP="005072F5">
      <w:pPr>
        <w:numPr>
          <w:ilvl w:val="0"/>
          <w:numId w:val="42"/>
        </w:numPr>
        <w:overflowPunct w:val="0"/>
        <w:autoSpaceDE w:val="0"/>
        <w:autoSpaceDN w:val="0"/>
        <w:adjustRightInd w:val="0"/>
        <w:ind w:left="284" w:hanging="284"/>
        <w:textAlignment w:val="baseline"/>
      </w:pPr>
      <w:r>
        <w:t>también llama la atención sobre la creciente importancia de los bienes públicos mundiales como, por ejemplo, la paz, la lucha contra la pobreza, la protección del medio ambiente o la estabilidad financiera, y subraya la necesidad de reforzar la gobernanza mundial y sus organizaciones pertinentes (las Naciones Unidas, la Organización Mundial del Comercio, el Fondo Monetario Internacional, el Banco Mundial, etc.);</w:t>
      </w:r>
    </w:p>
    <w:p w14:paraId="1203269D" w14:textId="77777777" w:rsidR="005072F5" w:rsidRPr="005D7E37" w:rsidRDefault="005072F5" w:rsidP="005072F5">
      <w:pPr>
        <w:numPr>
          <w:ilvl w:val="0"/>
          <w:numId w:val="42"/>
        </w:numPr>
        <w:overflowPunct w:val="0"/>
        <w:autoSpaceDE w:val="0"/>
        <w:autoSpaceDN w:val="0"/>
        <w:adjustRightInd w:val="0"/>
        <w:ind w:left="284" w:hanging="284"/>
        <w:textAlignment w:val="baseline"/>
      </w:pPr>
      <w:r>
        <w:t>considera que debe prestarse especial atención a los «bienes públicos europeos funcionales», concretamente los que se derivan del artículo 3 del Tratado de la Unión Europea (TUE), que pueden garantizar el buen funcionamiento de la UE, a saber: la realización del mercado único; la culminación de la unión económica y monetaria; la cohesión económica, social y territorial; la autonomía estratégica abierta de la UE (por ejemplo, la política sanitaria común de la UE, la seguridad alimentaria y la Unión de la Energía de la UE); la defensa y la seguridad; la investigación y el desarrollo en la UE; y el Estado de Derecho;</w:t>
      </w:r>
    </w:p>
    <w:p w14:paraId="1DED19E6" w14:textId="77777777" w:rsidR="005072F5" w:rsidRPr="005D7E37" w:rsidRDefault="005072F5" w:rsidP="005072F5">
      <w:pPr>
        <w:numPr>
          <w:ilvl w:val="0"/>
          <w:numId w:val="42"/>
        </w:numPr>
        <w:overflowPunct w:val="0"/>
        <w:autoSpaceDE w:val="0"/>
        <w:autoSpaceDN w:val="0"/>
        <w:adjustRightInd w:val="0"/>
        <w:ind w:left="284" w:hanging="284"/>
        <w:textAlignment w:val="baseline"/>
      </w:pPr>
      <w:r>
        <w:t>subraya la importancia de tener en cuenta el valor añadido de la UE en todos los debates sobre los bienes públicos europeos. Estos bienes podrían generar un valor añadido. Si la UE no avanza en su integración, el potencial que representa este aumento del PIB corre el riesgo de perderse: es lo que se conoce como el «coste de la no Europa»;</w:t>
      </w:r>
    </w:p>
    <w:p w14:paraId="2C073D42" w14:textId="77777777" w:rsidR="005072F5" w:rsidRPr="005D7E37" w:rsidRDefault="005072F5" w:rsidP="005072F5">
      <w:pPr>
        <w:numPr>
          <w:ilvl w:val="0"/>
          <w:numId w:val="42"/>
        </w:numPr>
        <w:overflowPunct w:val="0"/>
        <w:autoSpaceDE w:val="0"/>
        <w:autoSpaceDN w:val="0"/>
        <w:adjustRightInd w:val="0"/>
        <w:ind w:left="284" w:hanging="284"/>
        <w:textAlignment w:val="baseline"/>
      </w:pPr>
      <w:r>
        <w:t>destaca que el actual marco esbozado para los bienes públicos europeos, las prioridades estratégicas y los retos que plantea la actual situación de policrisis exigen que el próximo MFP sea ambicioso: «el nivel del próximo MFP, en porcentaje de la RNB, no debe disminuir en términos reales, sino que, por el contrario, debe aumentar sustancialmente para hacer frente a los crecientes retos que se plantean a escala de la UE»;</w:t>
      </w:r>
    </w:p>
    <w:p w14:paraId="2CC5E95D" w14:textId="77777777" w:rsidR="005072F5" w:rsidRPr="005D7E37" w:rsidRDefault="005072F5" w:rsidP="005072F5">
      <w:pPr>
        <w:numPr>
          <w:ilvl w:val="0"/>
          <w:numId w:val="42"/>
        </w:numPr>
        <w:overflowPunct w:val="0"/>
        <w:autoSpaceDE w:val="0"/>
        <w:autoSpaceDN w:val="0"/>
        <w:adjustRightInd w:val="0"/>
        <w:ind w:left="284" w:hanging="284"/>
        <w:textAlignment w:val="baseline"/>
      </w:pPr>
      <w:r>
        <w:t>considera que es más importante que nunca profundizar en las diferentes formas de financiación de los bienes públicos europeos con una cantidad adecuada de recursos propios de la UE;</w:t>
      </w:r>
    </w:p>
    <w:p w14:paraId="3F966D33" w14:textId="77777777" w:rsidR="005072F5" w:rsidRPr="005D7E37" w:rsidRDefault="005072F5" w:rsidP="005072F5">
      <w:pPr>
        <w:numPr>
          <w:ilvl w:val="0"/>
          <w:numId w:val="42"/>
        </w:numPr>
        <w:overflowPunct w:val="0"/>
        <w:autoSpaceDE w:val="0"/>
        <w:autoSpaceDN w:val="0"/>
        <w:adjustRightInd w:val="0"/>
        <w:ind w:left="284" w:hanging="284"/>
        <w:textAlignment w:val="baseline"/>
      </w:pPr>
      <w:r>
        <w:t>manifiesta su preocupación por el estancamiento de las decisiones sobre los recursos propios de la UE y advierte de que cualquier bloqueo en relación con estas decisiones podría poner en peligro la existencia de la propia UE.</w:t>
      </w:r>
    </w:p>
    <w:p w14:paraId="08E82442" w14:textId="77777777" w:rsidR="005072F5" w:rsidRPr="005D7E37" w:rsidRDefault="005072F5" w:rsidP="005072F5">
      <w:pPr>
        <w:ind w:left="567"/>
        <w:rPr>
          <w:sz w:val="16"/>
          <w:szCs w:val="16"/>
          <w:lang w:val="en-GB" w:eastAsia="zh-CN"/>
        </w:rPr>
      </w:pPr>
    </w:p>
    <w:tbl>
      <w:tblPr>
        <w:tblW w:w="9322" w:type="dxa"/>
        <w:tblLook w:val="04A0" w:firstRow="1" w:lastRow="0" w:firstColumn="1" w:lastColumn="0" w:noHBand="0" w:noVBand="1"/>
      </w:tblPr>
      <w:tblGrid>
        <w:gridCol w:w="2235"/>
        <w:gridCol w:w="7087"/>
      </w:tblGrid>
      <w:tr w:rsidR="005072F5" w:rsidRPr="005D7E37" w14:paraId="36B70350" w14:textId="77777777" w:rsidTr="00915390">
        <w:tc>
          <w:tcPr>
            <w:tcW w:w="2235" w:type="dxa"/>
          </w:tcPr>
          <w:p w14:paraId="4CC3AC93" w14:textId="77777777" w:rsidR="005072F5" w:rsidRPr="00D20AB4" w:rsidRDefault="005072F5" w:rsidP="00915390">
            <w:pPr>
              <w:overflowPunct w:val="0"/>
              <w:autoSpaceDE w:val="0"/>
              <w:autoSpaceDN w:val="0"/>
              <w:adjustRightInd w:val="0"/>
              <w:textAlignment w:val="baseline"/>
              <w:rPr>
                <w:b/>
                <w:i/>
              </w:rPr>
            </w:pPr>
            <w:r>
              <w:rPr>
                <w:b/>
                <w:i/>
              </w:rPr>
              <w:t>Contacto:</w:t>
            </w:r>
          </w:p>
        </w:tc>
        <w:tc>
          <w:tcPr>
            <w:tcW w:w="7087" w:type="dxa"/>
          </w:tcPr>
          <w:p w14:paraId="09C070E0" w14:textId="77777777" w:rsidR="005072F5" w:rsidRPr="005D7E37" w:rsidRDefault="005072F5" w:rsidP="00915390">
            <w:pPr>
              <w:overflowPunct w:val="0"/>
              <w:autoSpaceDE w:val="0"/>
              <w:autoSpaceDN w:val="0"/>
              <w:adjustRightInd w:val="0"/>
              <w:textAlignment w:val="baseline"/>
              <w:rPr>
                <w:bCs/>
                <w:i/>
                <w:iCs/>
              </w:rPr>
            </w:pPr>
            <w:r>
              <w:rPr>
                <w:i/>
              </w:rPr>
              <w:t>Gerald Klec</w:t>
            </w:r>
          </w:p>
        </w:tc>
      </w:tr>
      <w:tr w:rsidR="005072F5" w:rsidRPr="005D7E37" w14:paraId="5B40CAFE" w14:textId="77777777" w:rsidTr="00915390">
        <w:tc>
          <w:tcPr>
            <w:tcW w:w="2235" w:type="dxa"/>
          </w:tcPr>
          <w:p w14:paraId="2606E7E9" w14:textId="77777777" w:rsidR="005072F5" w:rsidRPr="005D7E37" w:rsidRDefault="005072F5" w:rsidP="00915390">
            <w:pPr>
              <w:overflowPunct w:val="0"/>
              <w:autoSpaceDE w:val="0"/>
              <w:autoSpaceDN w:val="0"/>
              <w:adjustRightInd w:val="0"/>
              <w:textAlignment w:val="baseline"/>
              <w:rPr>
                <w:i/>
              </w:rPr>
            </w:pPr>
            <w:r>
              <w:rPr>
                <w:i/>
              </w:rPr>
              <w:t>Teléfono:</w:t>
            </w:r>
          </w:p>
        </w:tc>
        <w:tc>
          <w:tcPr>
            <w:tcW w:w="7087" w:type="dxa"/>
          </w:tcPr>
          <w:p w14:paraId="71FB92EF" w14:textId="77777777" w:rsidR="005072F5" w:rsidRPr="005D7E37" w:rsidRDefault="005072F5" w:rsidP="00915390">
            <w:pPr>
              <w:overflowPunct w:val="0"/>
              <w:autoSpaceDE w:val="0"/>
              <w:autoSpaceDN w:val="0"/>
              <w:adjustRightInd w:val="0"/>
              <w:textAlignment w:val="baseline"/>
              <w:rPr>
                <w:i/>
                <w:iCs/>
              </w:rPr>
            </w:pPr>
            <w:r>
              <w:rPr>
                <w:i/>
              </w:rPr>
              <w:t>+32 2 546 9909</w:t>
            </w:r>
          </w:p>
        </w:tc>
      </w:tr>
      <w:tr w:rsidR="005072F5" w:rsidRPr="005D7E37" w14:paraId="50CF593C" w14:textId="77777777" w:rsidTr="00915390">
        <w:tc>
          <w:tcPr>
            <w:tcW w:w="2235" w:type="dxa"/>
          </w:tcPr>
          <w:p w14:paraId="5FB848F7" w14:textId="77777777" w:rsidR="005072F5" w:rsidRPr="005D7E37" w:rsidRDefault="005072F5" w:rsidP="00915390">
            <w:pPr>
              <w:overflowPunct w:val="0"/>
              <w:autoSpaceDE w:val="0"/>
              <w:autoSpaceDN w:val="0"/>
              <w:adjustRightInd w:val="0"/>
              <w:textAlignment w:val="baseline"/>
              <w:rPr>
                <w:i/>
              </w:rPr>
            </w:pPr>
            <w:r>
              <w:rPr>
                <w:i/>
              </w:rPr>
              <w:t>Correo electrónico:</w:t>
            </w:r>
          </w:p>
        </w:tc>
        <w:tc>
          <w:tcPr>
            <w:tcW w:w="7087" w:type="dxa"/>
          </w:tcPr>
          <w:p w14:paraId="3BD40BA4" w14:textId="77777777" w:rsidR="005072F5" w:rsidRPr="00634871" w:rsidRDefault="005072F5" w:rsidP="00915390">
            <w:pPr>
              <w:tabs>
                <w:tab w:val="center" w:pos="3966"/>
              </w:tabs>
              <w:overflowPunct w:val="0"/>
              <w:autoSpaceDE w:val="0"/>
              <w:autoSpaceDN w:val="0"/>
              <w:adjustRightInd w:val="0"/>
              <w:textAlignment w:val="baseline"/>
              <w:rPr>
                <w:i/>
                <w:iCs/>
              </w:rPr>
            </w:pPr>
            <w:hyperlink r:id="rId27" w:history="1">
              <w:r>
                <w:rPr>
                  <w:i/>
                  <w:color w:val="0000FF"/>
                  <w:u w:val="single"/>
                </w:rPr>
                <w:t>Gerald.Klec@eesc.europa.eu</w:t>
              </w:r>
            </w:hyperlink>
          </w:p>
        </w:tc>
      </w:tr>
    </w:tbl>
    <w:p w14:paraId="3D9F37A7" w14:textId="77777777" w:rsidR="005072F5" w:rsidRPr="005D7E37" w:rsidRDefault="005072F5" w:rsidP="005072F5">
      <w:pPr>
        <w:overflowPunct w:val="0"/>
        <w:autoSpaceDE w:val="0"/>
        <w:autoSpaceDN w:val="0"/>
        <w:adjustRightInd w:val="0"/>
        <w:jc w:val="center"/>
        <w:textAlignment w:val="baseline"/>
        <w:rPr>
          <w:sz w:val="16"/>
          <w:szCs w:val="14"/>
          <w:lang w:val="en-GB"/>
        </w:rPr>
      </w:pPr>
    </w:p>
    <w:p w14:paraId="2026C7E1" w14:textId="77777777" w:rsidR="005072F5" w:rsidRDefault="005072F5" w:rsidP="005072F5">
      <w:pPr>
        <w:jc w:val="left"/>
      </w:pPr>
      <w:r>
        <w:br w:type="page"/>
      </w:r>
    </w:p>
    <w:p w14:paraId="0ACEBDC9" w14:textId="77777777" w:rsidR="005072F5" w:rsidRPr="00E417BC" w:rsidRDefault="005072F5" w:rsidP="005072F5">
      <w:pPr>
        <w:widowControl w:val="0"/>
        <w:numPr>
          <w:ilvl w:val="0"/>
          <w:numId w:val="3"/>
        </w:numPr>
        <w:overflowPunct w:val="0"/>
        <w:autoSpaceDE w:val="0"/>
        <w:autoSpaceDN w:val="0"/>
        <w:adjustRightInd w:val="0"/>
        <w:ind w:left="426" w:hanging="426"/>
        <w:textAlignment w:val="baseline"/>
        <w:rPr>
          <w:b/>
          <w:i/>
          <w:iCs/>
          <w:sz w:val="28"/>
          <w:szCs w:val="28"/>
        </w:rPr>
      </w:pPr>
      <w:hyperlink r:id="rId28" w:history="1">
        <w:r>
          <w:rPr>
            <w:b/>
            <w:i/>
            <w:color w:val="0000FF"/>
            <w:sz w:val="28"/>
            <w:u w:val="single"/>
          </w:rPr>
          <w:t>Inversiones relacionadas con la defensa en el presupuesto de la UE</w:t>
        </w:r>
      </w:hyperlink>
    </w:p>
    <w:p w14:paraId="38538097" w14:textId="77777777" w:rsidR="005072F5" w:rsidRPr="00E417BC" w:rsidRDefault="005072F5" w:rsidP="005072F5">
      <w:pPr>
        <w:widowControl w:val="0"/>
        <w:overflowPunct w:val="0"/>
        <w:autoSpaceDE w:val="0"/>
        <w:autoSpaceDN w:val="0"/>
        <w:adjustRightInd w:val="0"/>
        <w:ind w:left="284"/>
        <w:textAlignment w:val="baseline"/>
        <w:rPr>
          <w:b/>
          <w:i/>
          <w:iCs/>
          <w:sz w:val="20"/>
          <w:szCs w:val="20"/>
          <w:lang w:val="en-GB"/>
        </w:rPr>
      </w:pPr>
    </w:p>
    <w:tbl>
      <w:tblPr>
        <w:tblW w:w="9322" w:type="dxa"/>
        <w:tblLook w:val="04A0" w:firstRow="1" w:lastRow="0" w:firstColumn="1" w:lastColumn="0" w:noHBand="0" w:noVBand="1"/>
      </w:tblPr>
      <w:tblGrid>
        <w:gridCol w:w="1701"/>
        <w:gridCol w:w="7621"/>
      </w:tblGrid>
      <w:tr w:rsidR="005072F5" w:rsidRPr="00E417BC" w14:paraId="2A18BD1C" w14:textId="77777777" w:rsidTr="00915390">
        <w:tc>
          <w:tcPr>
            <w:tcW w:w="1701" w:type="dxa"/>
          </w:tcPr>
          <w:p w14:paraId="76790003" w14:textId="77777777" w:rsidR="005072F5" w:rsidRPr="00E417BC" w:rsidRDefault="005072F5" w:rsidP="00915390">
            <w:pPr>
              <w:tabs>
                <w:tab w:val="center" w:pos="284"/>
              </w:tabs>
              <w:overflowPunct w:val="0"/>
              <w:autoSpaceDE w:val="0"/>
              <w:autoSpaceDN w:val="0"/>
              <w:adjustRightInd w:val="0"/>
              <w:ind w:left="266" w:hanging="266"/>
              <w:textAlignment w:val="baseline"/>
              <w:rPr>
                <w:b/>
              </w:rPr>
            </w:pPr>
            <w:r>
              <w:rPr>
                <w:b/>
              </w:rPr>
              <w:t>Ponente</w:t>
            </w:r>
          </w:p>
          <w:p w14:paraId="1B026728" w14:textId="77777777" w:rsidR="005072F5" w:rsidRPr="00E417BC"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7621" w:type="dxa"/>
          </w:tcPr>
          <w:p w14:paraId="463C2AF2" w14:textId="77777777" w:rsidR="005072F5" w:rsidRPr="00E417BC" w:rsidRDefault="005072F5" w:rsidP="00915390">
            <w:pPr>
              <w:tabs>
                <w:tab w:val="center" w:pos="284"/>
              </w:tabs>
              <w:overflowPunct w:val="0"/>
              <w:autoSpaceDE w:val="0"/>
              <w:autoSpaceDN w:val="0"/>
              <w:adjustRightInd w:val="0"/>
              <w:ind w:left="266" w:hanging="266"/>
              <w:textAlignment w:val="baseline"/>
              <w:rPr>
                <w:bCs/>
              </w:rPr>
            </w:pPr>
            <w:r>
              <w:t xml:space="preserve">Jacek KRAWCZYK (Grupo de Empresarios </w:t>
            </w:r>
            <w:r>
              <w:rPr>
                <w:b/>
                <w:i/>
              </w:rPr>
              <w:t>–</w:t>
            </w:r>
            <w:r>
              <w:t xml:space="preserve"> PL)</w:t>
            </w:r>
          </w:p>
          <w:p w14:paraId="0D484F59" w14:textId="77777777" w:rsidR="005072F5" w:rsidRPr="00634871" w:rsidRDefault="005072F5" w:rsidP="00915390">
            <w:pPr>
              <w:tabs>
                <w:tab w:val="center" w:pos="284"/>
              </w:tabs>
              <w:overflowPunct w:val="0"/>
              <w:autoSpaceDE w:val="0"/>
              <w:autoSpaceDN w:val="0"/>
              <w:adjustRightInd w:val="0"/>
              <w:ind w:left="266" w:hanging="266"/>
              <w:textAlignment w:val="baseline"/>
            </w:pPr>
            <w:r>
              <w:t>Florian MARIN (Grupo de Trabajadores</w:t>
            </w:r>
            <w:r>
              <w:rPr>
                <w:b/>
                <w:i/>
              </w:rPr>
              <w:t xml:space="preserve"> –</w:t>
            </w:r>
            <w:r>
              <w:t xml:space="preserve"> RO)</w:t>
            </w:r>
          </w:p>
        </w:tc>
      </w:tr>
      <w:tr w:rsidR="005072F5" w:rsidRPr="00FF7B34" w14:paraId="76611A2B" w14:textId="77777777" w:rsidTr="00915390">
        <w:tc>
          <w:tcPr>
            <w:tcW w:w="1701" w:type="dxa"/>
          </w:tcPr>
          <w:p w14:paraId="121BA25B" w14:textId="77777777" w:rsidR="005072F5" w:rsidRPr="00E417BC"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7621" w:type="dxa"/>
          </w:tcPr>
          <w:p w14:paraId="493045F7" w14:textId="77777777" w:rsidR="005072F5" w:rsidRPr="00E417BC" w:rsidRDefault="005072F5" w:rsidP="00915390">
            <w:pPr>
              <w:tabs>
                <w:tab w:val="center" w:pos="284"/>
              </w:tabs>
              <w:overflowPunct w:val="0"/>
              <w:autoSpaceDE w:val="0"/>
              <w:autoSpaceDN w:val="0"/>
              <w:adjustRightInd w:val="0"/>
              <w:ind w:left="266" w:hanging="266"/>
              <w:textAlignment w:val="baseline"/>
            </w:pPr>
            <w:r>
              <w:t>COM(2025) 188 final</w:t>
            </w:r>
          </w:p>
          <w:p w14:paraId="5BF8E474" w14:textId="77777777" w:rsidR="005072F5" w:rsidRPr="00E417BC" w:rsidRDefault="005072F5" w:rsidP="00915390">
            <w:pPr>
              <w:tabs>
                <w:tab w:val="center" w:pos="284"/>
              </w:tabs>
              <w:overflowPunct w:val="0"/>
              <w:autoSpaceDE w:val="0"/>
              <w:autoSpaceDN w:val="0"/>
              <w:adjustRightInd w:val="0"/>
              <w:ind w:left="266" w:hanging="266"/>
              <w:textAlignment w:val="baseline"/>
            </w:pPr>
            <w:r>
              <w:t>EESC-2025-01682-00-00-AC</w:t>
            </w:r>
          </w:p>
        </w:tc>
      </w:tr>
    </w:tbl>
    <w:p w14:paraId="0635D045" w14:textId="77777777" w:rsidR="005072F5"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5983A93A" w14:textId="77777777" w:rsidR="005072F5" w:rsidRPr="00E417BC"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2AFFFED2" w14:textId="77777777" w:rsidR="005072F5" w:rsidRPr="00E417BC" w:rsidRDefault="005072F5" w:rsidP="005072F5">
      <w:pPr>
        <w:overflowPunct w:val="0"/>
        <w:autoSpaceDE w:val="0"/>
        <w:autoSpaceDN w:val="0"/>
        <w:adjustRightInd w:val="0"/>
        <w:textAlignment w:val="baseline"/>
        <w:rPr>
          <w:bCs/>
          <w:iCs/>
          <w:lang w:val="en-GB"/>
        </w:rPr>
      </w:pPr>
    </w:p>
    <w:p w14:paraId="39DF9595" w14:textId="77777777" w:rsidR="005072F5" w:rsidRDefault="005072F5" w:rsidP="005072F5">
      <w:pPr>
        <w:overflowPunct w:val="0"/>
        <w:autoSpaceDE w:val="0"/>
        <w:autoSpaceDN w:val="0"/>
        <w:adjustRightInd w:val="0"/>
        <w:textAlignment w:val="baseline"/>
      </w:pPr>
      <w:r>
        <w:t>El CESE:</w:t>
      </w:r>
    </w:p>
    <w:p w14:paraId="517A400E" w14:textId="77777777" w:rsidR="005072F5" w:rsidRDefault="005072F5" w:rsidP="005072F5">
      <w:pPr>
        <w:overflowPunct w:val="0"/>
        <w:autoSpaceDE w:val="0"/>
        <w:autoSpaceDN w:val="0"/>
        <w:adjustRightInd w:val="0"/>
        <w:textAlignment w:val="baseline"/>
        <w:rPr>
          <w:bCs/>
          <w:iCs/>
        </w:rPr>
      </w:pPr>
    </w:p>
    <w:p w14:paraId="59F84B80" w14:textId="77777777" w:rsidR="005072F5" w:rsidRPr="00AA779E" w:rsidRDefault="005072F5" w:rsidP="005072F5">
      <w:pPr>
        <w:pStyle w:val="ListParagraph"/>
        <w:numPr>
          <w:ilvl w:val="0"/>
          <w:numId w:val="87"/>
        </w:numPr>
        <w:ind w:left="284" w:hanging="284"/>
      </w:pPr>
      <w:bookmarkStart w:id="2" w:name="_Toc209713332"/>
      <w:bookmarkStart w:id="3" w:name="_Toc209713872"/>
      <w:r>
        <w:t>hace hincapié en que la paz debe seguir siendo una prioridad fundamental de la UE. Destaca la importancia de la diplomacia para la resolución de conflictos y la prevención de crisis siempre que sea posible;</w:t>
      </w:r>
      <w:bookmarkEnd w:id="2"/>
      <w:bookmarkEnd w:id="3"/>
    </w:p>
    <w:p w14:paraId="2575555A" w14:textId="77777777" w:rsidR="005072F5" w:rsidRPr="00AA779E" w:rsidRDefault="005072F5" w:rsidP="005072F5">
      <w:pPr>
        <w:pStyle w:val="ListParagraph"/>
        <w:numPr>
          <w:ilvl w:val="0"/>
          <w:numId w:val="87"/>
        </w:numPr>
        <w:ind w:left="284" w:hanging="284"/>
      </w:pPr>
      <w:bookmarkStart w:id="4" w:name="_Toc209713333"/>
      <w:bookmarkStart w:id="5" w:name="_Toc209713873"/>
      <w:r>
        <w:t>apoya una estrategia de defensa europea global e inclusiva que complemente la preparación militar con una preparación civil;</w:t>
      </w:r>
      <w:bookmarkEnd w:id="4"/>
      <w:bookmarkEnd w:id="5"/>
    </w:p>
    <w:p w14:paraId="21582E18" w14:textId="77777777" w:rsidR="005072F5" w:rsidRPr="00AA779E" w:rsidRDefault="005072F5" w:rsidP="005072F5">
      <w:pPr>
        <w:pStyle w:val="ListParagraph"/>
        <w:numPr>
          <w:ilvl w:val="0"/>
          <w:numId w:val="87"/>
        </w:numPr>
        <w:ind w:left="284" w:hanging="284"/>
      </w:pPr>
      <w:bookmarkStart w:id="6" w:name="_Toc209713334"/>
      <w:bookmarkStart w:id="7" w:name="_Toc209713874"/>
      <w:r>
        <w:t>respalda el Libro Blanco de la Comisión Europea «Preparación en materia de defensa europea 2030» y pide un enfoque coordinado de la UE que trate la defensa, la paz y la seguridad como bienes públicos colectivos que se sustentan en marcos jurídicos, institucionales y financieros sólidos, sujetos a una supervisión democrática;</w:t>
      </w:r>
      <w:bookmarkEnd w:id="6"/>
      <w:bookmarkEnd w:id="7"/>
    </w:p>
    <w:p w14:paraId="4EED24BC" w14:textId="77777777" w:rsidR="005072F5" w:rsidRPr="00AA779E" w:rsidRDefault="005072F5" w:rsidP="005072F5">
      <w:pPr>
        <w:pStyle w:val="ListParagraph"/>
        <w:numPr>
          <w:ilvl w:val="0"/>
          <w:numId w:val="87"/>
        </w:numPr>
        <w:ind w:left="284" w:hanging="284"/>
      </w:pPr>
      <w:bookmarkStart w:id="8" w:name="_Toc209713335"/>
      <w:bookmarkStart w:id="9" w:name="_Toc209713875"/>
      <w:r>
        <w:t>toma nota de la rápida presentación de la propuesta relativa a la incentivación de las inversiones relacionadas con la defensa en el presupuesto de la UE para la ejecución del Plan ReArmar Europa;</w:t>
      </w:r>
      <w:bookmarkEnd w:id="8"/>
      <w:bookmarkEnd w:id="9"/>
    </w:p>
    <w:p w14:paraId="7AA72E37" w14:textId="77777777" w:rsidR="005072F5" w:rsidRPr="00AA779E" w:rsidRDefault="005072F5" w:rsidP="005072F5">
      <w:pPr>
        <w:pStyle w:val="ListParagraph"/>
        <w:numPr>
          <w:ilvl w:val="0"/>
          <w:numId w:val="87"/>
        </w:numPr>
        <w:ind w:left="284" w:hanging="284"/>
      </w:pPr>
      <w:bookmarkStart w:id="10" w:name="_Toc209713336"/>
      <w:bookmarkStart w:id="11" w:name="_Toc209713876"/>
      <w:r>
        <w:t>respalda su objetivo principal de seguir fomentando y facilitando la inversión en defensa al permitir una inversión más flexible y coordinada en la base industrial y tecnológica de la defensa europea (BITDE), con vistas a lograr la preparación en materia de defensa en un plazo de cinco años;</w:t>
      </w:r>
      <w:bookmarkEnd w:id="10"/>
      <w:bookmarkEnd w:id="11"/>
    </w:p>
    <w:p w14:paraId="7AA4DFB9" w14:textId="77777777" w:rsidR="005072F5" w:rsidRPr="00AA779E" w:rsidRDefault="005072F5" w:rsidP="005072F5">
      <w:pPr>
        <w:pStyle w:val="ListParagraph"/>
        <w:numPr>
          <w:ilvl w:val="0"/>
          <w:numId w:val="87"/>
        </w:numPr>
        <w:ind w:left="284" w:hanging="284"/>
      </w:pPr>
      <w:bookmarkStart w:id="12" w:name="_Toc209713337"/>
      <w:bookmarkStart w:id="13" w:name="_Toc209713877"/>
      <w:r>
        <w:t>recomienda y propone modificar la propuesta legislativa en los siguientes ámbitos:</w:t>
      </w:r>
      <w:bookmarkEnd w:id="12"/>
      <w:bookmarkEnd w:id="13"/>
      <w:r>
        <w:t xml:space="preserve"> </w:t>
      </w:r>
    </w:p>
    <w:p w14:paraId="2227C434" w14:textId="77777777" w:rsidR="005072F5" w:rsidRPr="00C47A12" w:rsidRDefault="005072F5" w:rsidP="005072F5">
      <w:pPr>
        <w:pStyle w:val="ListParagraph"/>
        <w:numPr>
          <w:ilvl w:val="0"/>
          <w:numId w:val="88"/>
        </w:numPr>
        <w:ind w:left="851" w:hanging="284"/>
      </w:pPr>
      <w:bookmarkStart w:id="14" w:name="_Toc209713338"/>
      <w:bookmarkStart w:id="15" w:name="_Toc209713878"/>
      <w:r>
        <w:t>incluir la información y la comunicación basadas en satélites;</w:t>
      </w:r>
      <w:bookmarkEnd w:id="14"/>
      <w:bookmarkEnd w:id="15"/>
    </w:p>
    <w:p w14:paraId="6A9ECC70" w14:textId="77777777" w:rsidR="005072F5" w:rsidRPr="00C47A12" w:rsidRDefault="005072F5" w:rsidP="005072F5">
      <w:pPr>
        <w:pStyle w:val="ListParagraph"/>
        <w:numPr>
          <w:ilvl w:val="0"/>
          <w:numId w:val="88"/>
        </w:numPr>
        <w:ind w:left="851" w:hanging="284"/>
      </w:pPr>
      <w:bookmarkStart w:id="16" w:name="_Toc209713339"/>
      <w:bookmarkStart w:id="17" w:name="_Toc209713879"/>
      <w:r>
        <w:t>interoperabilidad;</w:t>
      </w:r>
      <w:bookmarkEnd w:id="16"/>
      <w:bookmarkEnd w:id="17"/>
    </w:p>
    <w:p w14:paraId="6915E4D0" w14:textId="77777777" w:rsidR="005072F5" w:rsidRPr="00C47A12" w:rsidRDefault="005072F5" w:rsidP="005072F5">
      <w:pPr>
        <w:pStyle w:val="ListParagraph"/>
        <w:numPr>
          <w:ilvl w:val="0"/>
          <w:numId w:val="88"/>
        </w:numPr>
        <w:ind w:left="851" w:hanging="284"/>
      </w:pPr>
      <w:bookmarkStart w:id="18" w:name="_Toc209713340"/>
      <w:bookmarkStart w:id="19" w:name="_Toc209713880"/>
      <w:r>
        <w:t>transferencia de fondos y fijación de un límite máximo al porcentaje de los fondos transferidos;</w:t>
      </w:r>
      <w:bookmarkEnd w:id="18"/>
      <w:bookmarkEnd w:id="19"/>
    </w:p>
    <w:p w14:paraId="07F7F0A2" w14:textId="77777777" w:rsidR="005072F5" w:rsidRPr="00C47A12" w:rsidRDefault="005072F5" w:rsidP="005072F5">
      <w:pPr>
        <w:pStyle w:val="ListParagraph"/>
        <w:numPr>
          <w:ilvl w:val="0"/>
          <w:numId w:val="88"/>
        </w:numPr>
        <w:ind w:left="851" w:hanging="284"/>
      </w:pPr>
      <w:bookmarkStart w:id="20" w:name="_Toc209713341"/>
      <w:bookmarkStart w:id="21" w:name="_Toc209713881"/>
      <w:r>
        <w:t>precisión de los fines de doble uso;</w:t>
      </w:r>
      <w:bookmarkEnd w:id="20"/>
      <w:bookmarkEnd w:id="21"/>
    </w:p>
    <w:p w14:paraId="4DD72E00" w14:textId="77777777" w:rsidR="005072F5" w:rsidRPr="00C47A12" w:rsidRDefault="005072F5" w:rsidP="005072F5">
      <w:pPr>
        <w:pStyle w:val="ListParagraph"/>
        <w:numPr>
          <w:ilvl w:val="0"/>
          <w:numId w:val="88"/>
        </w:numPr>
        <w:ind w:left="851" w:hanging="284"/>
      </w:pPr>
      <w:bookmarkStart w:id="22" w:name="_Toc209713342"/>
      <w:bookmarkStart w:id="23" w:name="_Toc209713882"/>
      <w:r>
        <w:t>flexibilidad suficiente para los contratos existentes;</w:t>
      </w:r>
      <w:bookmarkEnd w:id="22"/>
      <w:bookmarkEnd w:id="23"/>
    </w:p>
    <w:p w14:paraId="530C83DA" w14:textId="77777777" w:rsidR="005072F5" w:rsidRPr="00C47A12" w:rsidRDefault="005072F5" w:rsidP="005072F5">
      <w:pPr>
        <w:pStyle w:val="ListParagraph"/>
        <w:numPr>
          <w:ilvl w:val="0"/>
          <w:numId w:val="88"/>
        </w:numPr>
        <w:ind w:left="851" w:hanging="284"/>
      </w:pPr>
      <w:bookmarkStart w:id="24" w:name="_Toc209713343"/>
      <w:bookmarkStart w:id="25" w:name="_Toc209713883"/>
      <w:r>
        <w:t>establecer una estrategia común de la UE para adoptar un enfoque de compensación;</w:t>
      </w:r>
      <w:bookmarkEnd w:id="24"/>
      <w:bookmarkEnd w:id="25"/>
    </w:p>
    <w:p w14:paraId="222B1179" w14:textId="77777777" w:rsidR="005072F5" w:rsidRPr="00C47A12" w:rsidRDefault="005072F5" w:rsidP="005072F5">
      <w:pPr>
        <w:pStyle w:val="ListParagraph"/>
        <w:numPr>
          <w:ilvl w:val="0"/>
          <w:numId w:val="88"/>
        </w:numPr>
        <w:ind w:left="851" w:hanging="284"/>
      </w:pPr>
      <w:bookmarkStart w:id="26" w:name="_Toc209713344"/>
      <w:bookmarkStart w:id="27" w:name="_Toc209713884"/>
      <w:r>
        <w:t>mayor transparencia en relación con los gastos pagados a las empresas de fuera de la UE;</w:t>
      </w:r>
      <w:bookmarkEnd w:id="26"/>
      <w:bookmarkEnd w:id="27"/>
    </w:p>
    <w:p w14:paraId="694A092D" w14:textId="77777777" w:rsidR="005072F5" w:rsidRPr="00C47A12" w:rsidRDefault="005072F5" w:rsidP="005072F5">
      <w:pPr>
        <w:pStyle w:val="ListParagraph"/>
        <w:numPr>
          <w:ilvl w:val="0"/>
          <w:numId w:val="88"/>
        </w:numPr>
        <w:ind w:left="851" w:hanging="284"/>
      </w:pPr>
      <w:bookmarkStart w:id="28" w:name="_Toc209713345"/>
      <w:bookmarkStart w:id="29" w:name="_Toc209713885"/>
      <w:r>
        <w:t>un registro común de la UE de las inversiones en defensa y proyectos de doble uso;</w:t>
      </w:r>
      <w:bookmarkEnd w:id="28"/>
      <w:bookmarkEnd w:id="29"/>
    </w:p>
    <w:p w14:paraId="584EE25B" w14:textId="77777777" w:rsidR="005072F5" w:rsidRPr="00C47A12" w:rsidRDefault="005072F5" w:rsidP="005072F5">
      <w:pPr>
        <w:pStyle w:val="ListParagraph"/>
        <w:numPr>
          <w:ilvl w:val="0"/>
          <w:numId w:val="88"/>
        </w:numPr>
        <w:ind w:left="851" w:hanging="284"/>
      </w:pPr>
      <w:bookmarkStart w:id="30" w:name="_Toc209713346"/>
      <w:bookmarkStart w:id="31" w:name="_Toc209713886"/>
      <w:r>
        <w:t>establecer una complementariedad con el Fondo Social Europeo; y</w:t>
      </w:r>
      <w:bookmarkEnd w:id="30"/>
      <w:bookmarkEnd w:id="31"/>
    </w:p>
    <w:p w14:paraId="654EA32F" w14:textId="77777777" w:rsidR="005072F5" w:rsidRPr="00C47A12" w:rsidRDefault="005072F5" w:rsidP="005072F5">
      <w:pPr>
        <w:pStyle w:val="ListParagraph"/>
        <w:numPr>
          <w:ilvl w:val="0"/>
          <w:numId w:val="88"/>
        </w:numPr>
        <w:ind w:left="851" w:hanging="284"/>
      </w:pPr>
      <w:bookmarkStart w:id="32" w:name="_Toc209713347"/>
      <w:bookmarkStart w:id="33" w:name="_Toc209713887"/>
      <w:r>
        <w:t>garantizar la complementariedad con el Instrumento de Acción por la Seguridad de Europa (SAFE).</w:t>
      </w:r>
      <w:bookmarkEnd w:id="32"/>
      <w:bookmarkEnd w:id="33"/>
    </w:p>
    <w:p w14:paraId="14D73205" w14:textId="77777777" w:rsidR="005072F5" w:rsidRPr="00E417BC" w:rsidRDefault="005072F5" w:rsidP="005072F5">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2093"/>
        <w:gridCol w:w="7229"/>
      </w:tblGrid>
      <w:tr w:rsidR="005072F5" w:rsidRPr="00E417BC" w14:paraId="12FE02FD" w14:textId="77777777" w:rsidTr="00915390">
        <w:tc>
          <w:tcPr>
            <w:tcW w:w="2093" w:type="dxa"/>
          </w:tcPr>
          <w:p w14:paraId="1EA6AB88" w14:textId="77777777" w:rsidR="005072F5" w:rsidRPr="00E417BC" w:rsidRDefault="005072F5" w:rsidP="00915390">
            <w:pPr>
              <w:overflowPunct w:val="0"/>
              <w:autoSpaceDE w:val="0"/>
              <w:autoSpaceDN w:val="0"/>
              <w:adjustRightInd w:val="0"/>
              <w:textAlignment w:val="baseline"/>
              <w:rPr>
                <w:i/>
              </w:rPr>
            </w:pPr>
            <w:r>
              <w:rPr>
                <w:b/>
                <w:i/>
              </w:rPr>
              <w:t>Contacto:</w:t>
            </w:r>
          </w:p>
        </w:tc>
        <w:tc>
          <w:tcPr>
            <w:tcW w:w="7229" w:type="dxa"/>
          </w:tcPr>
          <w:p w14:paraId="7B0F3F58" w14:textId="77777777" w:rsidR="005072F5" w:rsidRPr="00E417BC" w:rsidRDefault="005072F5" w:rsidP="00915390">
            <w:pPr>
              <w:overflowPunct w:val="0"/>
              <w:autoSpaceDE w:val="0"/>
              <w:autoSpaceDN w:val="0"/>
              <w:adjustRightInd w:val="0"/>
              <w:textAlignment w:val="baseline"/>
              <w:rPr>
                <w:i/>
              </w:rPr>
            </w:pPr>
            <w:r>
              <w:rPr>
                <w:i/>
              </w:rPr>
              <w:t>Gerald Klec</w:t>
            </w:r>
          </w:p>
        </w:tc>
      </w:tr>
      <w:tr w:rsidR="005072F5" w:rsidRPr="00E417BC" w14:paraId="3744B98E" w14:textId="77777777" w:rsidTr="00915390">
        <w:tc>
          <w:tcPr>
            <w:tcW w:w="2093" w:type="dxa"/>
          </w:tcPr>
          <w:p w14:paraId="35C56CAB" w14:textId="77777777" w:rsidR="005072F5" w:rsidRPr="00E417BC" w:rsidRDefault="005072F5" w:rsidP="00915390">
            <w:pPr>
              <w:overflowPunct w:val="0"/>
              <w:autoSpaceDE w:val="0"/>
              <w:autoSpaceDN w:val="0"/>
              <w:adjustRightInd w:val="0"/>
              <w:textAlignment w:val="baseline"/>
              <w:rPr>
                <w:i/>
              </w:rPr>
            </w:pPr>
            <w:r>
              <w:rPr>
                <w:i/>
              </w:rPr>
              <w:t>Teléfono:</w:t>
            </w:r>
          </w:p>
        </w:tc>
        <w:tc>
          <w:tcPr>
            <w:tcW w:w="7229" w:type="dxa"/>
          </w:tcPr>
          <w:p w14:paraId="71E69DE8" w14:textId="77777777" w:rsidR="005072F5" w:rsidRPr="00E417BC" w:rsidRDefault="005072F5" w:rsidP="00915390">
            <w:pPr>
              <w:overflowPunct w:val="0"/>
              <w:autoSpaceDE w:val="0"/>
              <w:autoSpaceDN w:val="0"/>
              <w:adjustRightInd w:val="0"/>
              <w:textAlignment w:val="baseline"/>
              <w:rPr>
                <w:i/>
              </w:rPr>
            </w:pPr>
            <w:r>
              <w:rPr>
                <w:i/>
              </w:rPr>
              <w:t>+32 2 546 9909</w:t>
            </w:r>
          </w:p>
        </w:tc>
      </w:tr>
      <w:tr w:rsidR="005072F5" w:rsidRPr="00E417BC" w14:paraId="593D32FA" w14:textId="77777777" w:rsidTr="00915390">
        <w:tc>
          <w:tcPr>
            <w:tcW w:w="2093" w:type="dxa"/>
          </w:tcPr>
          <w:p w14:paraId="628F4231" w14:textId="77777777" w:rsidR="005072F5" w:rsidRPr="00E417BC" w:rsidRDefault="005072F5" w:rsidP="00915390">
            <w:pPr>
              <w:overflowPunct w:val="0"/>
              <w:autoSpaceDE w:val="0"/>
              <w:autoSpaceDN w:val="0"/>
              <w:adjustRightInd w:val="0"/>
              <w:textAlignment w:val="baseline"/>
              <w:rPr>
                <w:i/>
              </w:rPr>
            </w:pPr>
            <w:r>
              <w:rPr>
                <w:i/>
              </w:rPr>
              <w:t>Correo electrónico:</w:t>
            </w:r>
          </w:p>
        </w:tc>
        <w:tc>
          <w:tcPr>
            <w:tcW w:w="7229" w:type="dxa"/>
          </w:tcPr>
          <w:p w14:paraId="2CEB4830" w14:textId="77777777" w:rsidR="005072F5" w:rsidRPr="00E417BC" w:rsidRDefault="005072F5" w:rsidP="00915390">
            <w:pPr>
              <w:overflowPunct w:val="0"/>
              <w:autoSpaceDE w:val="0"/>
              <w:autoSpaceDN w:val="0"/>
              <w:adjustRightInd w:val="0"/>
              <w:textAlignment w:val="baseline"/>
              <w:rPr>
                <w:i/>
                <w:iCs/>
              </w:rPr>
            </w:pPr>
            <w:hyperlink r:id="rId29" w:history="1">
              <w:r>
                <w:rPr>
                  <w:i/>
                  <w:color w:val="0000FF"/>
                  <w:u w:val="single"/>
                </w:rPr>
                <w:t>Gerald.Klec@eesc.europa.eu</w:t>
              </w:r>
            </w:hyperlink>
          </w:p>
        </w:tc>
      </w:tr>
    </w:tbl>
    <w:p w14:paraId="1BD97CFC" w14:textId="77777777" w:rsidR="005072F5" w:rsidRDefault="005072F5" w:rsidP="005072F5">
      <w:pPr>
        <w:jc w:val="left"/>
      </w:pPr>
    </w:p>
    <w:p w14:paraId="019C9310" w14:textId="77777777" w:rsidR="005072F5" w:rsidRDefault="005072F5" w:rsidP="005072F5">
      <w:pPr>
        <w:jc w:val="left"/>
      </w:pPr>
      <w:r>
        <w:br w:type="page"/>
      </w:r>
    </w:p>
    <w:p w14:paraId="6EC2732C" w14:textId="77777777" w:rsidR="005072F5" w:rsidRPr="00FD2A1E" w:rsidRDefault="005072F5" w:rsidP="005072F5">
      <w:pPr>
        <w:keepNext/>
        <w:keepLines/>
        <w:widowControl w:val="0"/>
        <w:numPr>
          <w:ilvl w:val="0"/>
          <w:numId w:val="3"/>
        </w:numPr>
        <w:overflowPunct w:val="0"/>
        <w:autoSpaceDE w:val="0"/>
        <w:autoSpaceDN w:val="0"/>
        <w:adjustRightInd w:val="0"/>
        <w:ind w:hanging="567"/>
        <w:textAlignment w:val="baseline"/>
        <w:rPr>
          <w:sz w:val="20"/>
          <w:szCs w:val="20"/>
        </w:rPr>
      </w:pPr>
      <w:hyperlink r:id="rId30" w:history="1">
        <w:r>
          <w:rPr>
            <w:b/>
            <w:i/>
            <w:color w:val="0000FF"/>
            <w:sz w:val="28"/>
            <w:u w:val="single"/>
          </w:rPr>
          <w:t>Revisión del Reglamento relativo a la titulización</w:t>
        </w:r>
      </w:hyperlink>
    </w:p>
    <w:p w14:paraId="34C95F30" w14:textId="77777777" w:rsidR="005072F5" w:rsidRPr="009845BE" w:rsidRDefault="005072F5" w:rsidP="005072F5">
      <w:pPr>
        <w:keepNext/>
        <w:keepLines/>
        <w:tabs>
          <w:tab w:val="center" w:pos="284"/>
        </w:tabs>
        <w:overflowPunct w:val="0"/>
        <w:autoSpaceDE w:val="0"/>
        <w:autoSpaceDN w:val="0"/>
        <w:adjustRightInd w:val="0"/>
        <w:ind w:left="266" w:hanging="266"/>
        <w:textAlignment w:val="baseline"/>
        <w:rPr>
          <w:b/>
          <w:sz w:val="16"/>
          <w:szCs w:val="16"/>
          <w:lang w:val="en-GB"/>
        </w:rPr>
      </w:pPr>
    </w:p>
    <w:tbl>
      <w:tblPr>
        <w:tblW w:w="5000" w:type="pct"/>
        <w:tblLook w:val="04A0" w:firstRow="1" w:lastRow="0" w:firstColumn="1" w:lastColumn="0" w:noHBand="0" w:noVBand="1"/>
      </w:tblPr>
      <w:tblGrid>
        <w:gridCol w:w="2031"/>
        <w:gridCol w:w="7400"/>
      </w:tblGrid>
      <w:tr w:rsidR="005072F5" w:rsidRPr="00FD2A1E" w14:paraId="29ABB498" w14:textId="77777777" w:rsidTr="00915390">
        <w:tc>
          <w:tcPr>
            <w:tcW w:w="1077" w:type="pct"/>
          </w:tcPr>
          <w:p w14:paraId="2C5591BA" w14:textId="77777777" w:rsidR="005072F5" w:rsidRPr="00FD2A1E"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3923" w:type="pct"/>
          </w:tcPr>
          <w:p w14:paraId="69C44583" w14:textId="77777777" w:rsidR="005072F5" w:rsidRPr="00FD2A1E" w:rsidRDefault="005072F5" w:rsidP="00915390">
            <w:pPr>
              <w:tabs>
                <w:tab w:val="center" w:pos="284"/>
              </w:tabs>
              <w:overflowPunct w:val="0"/>
              <w:autoSpaceDE w:val="0"/>
              <w:autoSpaceDN w:val="0"/>
              <w:adjustRightInd w:val="0"/>
              <w:ind w:left="266" w:right="-3091" w:hanging="266"/>
              <w:textAlignment w:val="baseline"/>
            </w:pPr>
            <w:r>
              <w:t>Petru Sorin DANDEA (Grupo de Trabajadores – RO)</w:t>
            </w:r>
          </w:p>
        </w:tc>
      </w:tr>
      <w:tr w:rsidR="005072F5" w:rsidRPr="00FD2A1E" w14:paraId="7AAED66E" w14:textId="77777777" w:rsidTr="00915390">
        <w:tc>
          <w:tcPr>
            <w:tcW w:w="1077" w:type="pct"/>
          </w:tcPr>
          <w:p w14:paraId="3B3BE451" w14:textId="77777777" w:rsidR="005072F5" w:rsidRPr="00FD2A1E"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3923" w:type="pct"/>
          </w:tcPr>
          <w:p w14:paraId="03B2BAA4" w14:textId="77777777" w:rsidR="005072F5" w:rsidRPr="00FD2A1E" w:rsidRDefault="005072F5" w:rsidP="00915390">
            <w:pPr>
              <w:tabs>
                <w:tab w:val="center" w:pos="284"/>
              </w:tabs>
              <w:overflowPunct w:val="0"/>
              <w:autoSpaceDE w:val="0"/>
              <w:autoSpaceDN w:val="0"/>
              <w:adjustRightInd w:val="0"/>
              <w:ind w:left="266" w:right="-3091" w:hanging="266"/>
              <w:textAlignment w:val="baseline"/>
              <w:rPr>
                <w:bCs/>
              </w:rPr>
            </w:pPr>
            <w:r>
              <w:t>Kęstutis KUPŠYS (Grupo de Organizaciones de la Sociedad Civil – LT)</w:t>
            </w:r>
          </w:p>
        </w:tc>
      </w:tr>
      <w:tr w:rsidR="005072F5" w:rsidRPr="005823B7" w14:paraId="0B765985" w14:textId="77777777" w:rsidTr="00915390">
        <w:tc>
          <w:tcPr>
            <w:tcW w:w="1077" w:type="pct"/>
          </w:tcPr>
          <w:p w14:paraId="20652449" w14:textId="77777777" w:rsidR="005072F5" w:rsidRPr="00FD2A1E"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3923" w:type="pct"/>
          </w:tcPr>
          <w:p w14:paraId="632DD4C4" w14:textId="77777777" w:rsidR="005072F5" w:rsidRPr="00FD2A1E" w:rsidRDefault="005072F5" w:rsidP="00915390">
            <w:pPr>
              <w:tabs>
                <w:tab w:val="center" w:pos="284"/>
              </w:tabs>
              <w:overflowPunct w:val="0"/>
              <w:autoSpaceDE w:val="0"/>
              <w:autoSpaceDN w:val="0"/>
              <w:adjustRightInd w:val="0"/>
              <w:ind w:left="266" w:right="-3091" w:hanging="266"/>
              <w:textAlignment w:val="baseline"/>
            </w:pPr>
            <w:r>
              <w:t>COM(2025) 825 final</w:t>
            </w:r>
          </w:p>
          <w:p w14:paraId="704851A5" w14:textId="77777777" w:rsidR="005072F5" w:rsidRPr="00FD2A1E" w:rsidRDefault="005072F5" w:rsidP="00915390">
            <w:pPr>
              <w:tabs>
                <w:tab w:val="center" w:pos="284"/>
              </w:tabs>
              <w:overflowPunct w:val="0"/>
              <w:autoSpaceDE w:val="0"/>
              <w:autoSpaceDN w:val="0"/>
              <w:adjustRightInd w:val="0"/>
              <w:ind w:left="266" w:right="-3091" w:hanging="266"/>
              <w:textAlignment w:val="baseline"/>
            </w:pPr>
            <w:r>
              <w:t>COM(2025) 826 final</w:t>
            </w:r>
          </w:p>
          <w:p w14:paraId="21711D1B" w14:textId="77777777" w:rsidR="005072F5" w:rsidRPr="00FD2A1E" w:rsidRDefault="005072F5" w:rsidP="00915390">
            <w:pPr>
              <w:tabs>
                <w:tab w:val="center" w:pos="284"/>
              </w:tabs>
              <w:overflowPunct w:val="0"/>
              <w:autoSpaceDE w:val="0"/>
              <w:autoSpaceDN w:val="0"/>
              <w:adjustRightInd w:val="0"/>
              <w:ind w:left="266" w:right="-3091" w:hanging="266"/>
              <w:textAlignment w:val="baseline"/>
            </w:pPr>
            <w:r>
              <w:t>EESC-2025-02283-00-00-AC</w:t>
            </w:r>
          </w:p>
        </w:tc>
      </w:tr>
    </w:tbl>
    <w:p w14:paraId="56550C72" w14:textId="77777777" w:rsidR="005072F5" w:rsidRPr="009845BE" w:rsidRDefault="005072F5" w:rsidP="005072F5">
      <w:pPr>
        <w:tabs>
          <w:tab w:val="center" w:pos="284"/>
        </w:tabs>
        <w:overflowPunct w:val="0"/>
        <w:autoSpaceDE w:val="0"/>
        <w:autoSpaceDN w:val="0"/>
        <w:adjustRightInd w:val="0"/>
        <w:ind w:left="266" w:hanging="266"/>
        <w:textAlignment w:val="baseline"/>
        <w:rPr>
          <w:b/>
          <w:sz w:val="14"/>
          <w:szCs w:val="14"/>
          <w:lang w:val="pt-PT"/>
        </w:rPr>
      </w:pPr>
    </w:p>
    <w:p w14:paraId="17CB560C" w14:textId="77777777" w:rsidR="005072F5" w:rsidRPr="00FD2A1E"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6EB0BBA9" w14:textId="77777777" w:rsidR="005072F5" w:rsidRPr="009845BE" w:rsidRDefault="005072F5" w:rsidP="005072F5">
      <w:pPr>
        <w:keepNext/>
        <w:keepLines/>
        <w:tabs>
          <w:tab w:val="center" w:pos="284"/>
        </w:tabs>
        <w:overflowPunct w:val="0"/>
        <w:autoSpaceDE w:val="0"/>
        <w:autoSpaceDN w:val="0"/>
        <w:adjustRightInd w:val="0"/>
        <w:ind w:left="266" w:hanging="266"/>
        <w:textAlignment w:val="baseline"/>
        <w:rPr>
          <w:b/>
          <w:sz w:val="16"/>
          <w:szCs w:val="16"/>
          <w:lang w:val="en-GB"/>
        </w:rPr>
      </w:pPr>
    </w:p>
    <w:p w14:paraId="0D1C302B" w14:textId="77777777" w:rsidR="005072F5" w:rsidRDefault="005072F5" w:rsidP="005072F5">
      <w:r>
        <w:t>El CESE:</w:t>
      </w:r>
    </w:p>
    <w:p w14:paraId="0D709925" w14:textId="77777777" w:rsidR="005072F5" w:rsidRPr="009845BE" w:rsidRDefault="005072F5" w:rsidP="005072F5">
      <w:pPr>
        <w:rPr>
          <w:sz w:val="16"/>
          <w:szCs w:val="16"/>
        </w:rPr>
      </w:pPr>
    </w:p>
    <w:p w14:paraId="33AFEAC5" w14:textId="77777777" w:rsidR="005072F5" w:rsidRPr="00162387" w:rsidRDefault="005072F5" w:rsidP="005072F5">
      <w:pPr>
        <w:pStyle w:val="ListParagraph"/>
        <w:numPr>
          <w:ilvl w:val="0"/>
          <w:numId w:val="89"/>
        </w:numPr>
        <w:spacing w:line="276" w:lineRule="auto"/>
        <w:ind w:left="284" w:hanging="284"/>
      </w:pPr>
      <w:bookmarkStart w:id="34" w:name="_Toc209713348"/>
      <w:bookmarkStart w:id="35" w:name="_Toc209713888"/>
      <w:r>
        <w:rPr>
          <w:b/>
        </w:rPr>
        <w:t>pide</w:t>
      </w:r>
      <w:r>
        <w:t xml:space="preserve"> que se apoyen los objetivos establecidos en la propuesta de la Comisión Europea;</w:t>
      </w:r>
      <w:bookmarkEnd w:id="34"/>
      <w:bookmarkEnd w:id="35"/>
    </w:p>
    <w:p w14:paraId="7ECE6898" w14:textId="77777777" w:rsidR="005072F5" w:rsidRPr="00162387" w:rsidRDefault="005072F5" w:rsidP="005072F5">
      <w:pPr>
        <w:pStyle w:val="ListParagraph"/>
        <w:numPr>
          <w:ilvl w:val="0"/>
          <w:numId w:val="89"/>
        </w:numPr>
        <w:spacing w:line="276" w:lineRule="auto"/>
        <w:ind w:left="284" w:hanging="284"/>
      </w:pPr>
      <w:bookmarkStart w:id="36" w:name="_Toc209713349"/>
      <w:bookmarkStart w:id="37" w:name="_Toc209713889"/>
      <w:r>
        <w:rPr>
          <w:b/>
        </w:rPr>
        <w:t>recomienda</w:t>
      </w:r>
      <w:r>
        <w:t xml:space="preserve"> que la revisión de las plantillas de presentación de informes incluya información normalizada en materia medioambiental, social y de gobernanza;</w:t>
      </w:r>
      <w:bookmarkEnd w:id="36"/>
      <w:bookmarkEnd w:id="37"/>
    </w:p>
    <w:p w14:paraId="4F8F980A" w14:textId="77777777" w:rsidR="005072F5" w:rsidRPr="00162387" w:rsidRDefault="005072F5" w:rsidP="005072F5">
      <w:pPr>
        <w:pStyle w:val="ListParagraph"/>
        <w:numPr>
          <w:ilvl w:val="0"/>
          <w:numId w:val="89"/>
        </w:numPr>
        <w:spacing w:line="276" w:lineRule="auto"/>
        <w:ind w:left="284" w:hanging="284"/>
      </w:pPr>
      <w:bookmarkStart w:id="38" w:name="_Toc209713350"/>
      <w:bookmarkStart w:id="39" w:name="_Toc209713890"/>
      <w:r>
        <w:rPr>
          <w:b/>
        </w:rPr>
        <w:t>recomienda</w:t>
      </w:r>
      <w:r>
        <w:t xml:space="preserve"> que se adopten medidas adicionales que aborden las deficiencias fundamentales de las que adolece la financiación actual de la economía real y que se desarrolle el mercado de renta variable de la UE;</w:t>
      </w:r>
      <w:bookmarkEnd w:id="38"/>
      <w:bookmarkEnd w:id="39"/>
    </w:p>
    <w:p w14:paraId="52C8852F" w14:textId="77777777" w:rsidR="005072F5" w:rsidRPr="00162387" w:rsidRDefault="005072F5" w:rsidP="005072F5">
      <w:pPr>
        <w:pStyle w:val="ListParagraph"/>
        <w:numPr>
          <w:ilvl w:val="0"/>
          <w:numId w:val="89"/>
        </w:numPr>
        <w:spacing w:line="276" w:lineRule="auto"/>
        <w:ind w:left="284" w:hanging="284"/>
      </w:pPr>
      <w:bookmarkStart w:id="40" w:name="_Toc209713351"/>
      <w:bookmarkStart w:id="41" w:name="_Toc209713891"/>
      <w:r>
        <w:rPr>
          <w:b/>
        </w:rPr>
        <w:t>pide</w:t>
      </w:r>
      <w:r>
        <w:t xml:space="preserve"> que se alcance un equilibrio entre la reducción de los obstáculos a la oferta y la demanda, por un lado, y la estabilidad financiera, la integridad del mercado y la protección de los inversores, por el otro, e insta a que </w:t>
      </w:r>
      <w:r>
        <w:rPr>
          <w:b/>
        </w:rPr>
        <w:t>se evite el debilitamiento de las normas internacionales</w:t>
      </w:r>
      <w:r>
        <w:t xml:space="preserve"> en la medida de lo posible;</w:t>
      </w:r>
      <w:bookmarkEnd w:id="40"/>
      <w:bookmarkEnd w:id="41"/>
    </w:p>
    <w:p w14:paraId="71AA35D6" w14:textId="77777777" w:rsidR="005072F5" w:rsidRPr="00162387" w:rsidRDefault="005072F5" w:rsidP="005072F5">
      <w:pPr>
        <w:pStyle w:val="ListParagraph"/>
        <w:numPr>
          <w:ilvl w:val="0"/>
          <w:numId w:val="89"/>
        </w:numPr>
        <w:spacing w:line="276" w:lineRule="auto"/>
        <w:ind w:left="284" w:hanging="284"/>
      </w:pPr>
      <w:bookmarkStart w:id="42" w:name="_Toc209713352"/>
      <w:bookmarkStart w:id="43" w:name="_Toc209713892"/>
      <w:r>
        <w:rPr>
          <w:b/>
        </w:rPr>
        <w:t>propone</w:t>
      </w:r>
      <w:r>
        <w:t xml:space="preserve"> que </w:t>
      </w:r>
      <w:r>
        <w:rPr>
          <w:b/>
        </w:rPr>
        <w:t>se armonicen</w:t>
      </w:r>
      <w:r>
        <w:t xml:space="preserve"> las distintas cláusulas en materia de seguimiento, información y revisión al objeto de reforzar el análisis de la incidencia de la revisión en la concesión de préstamos; recomienda instaurar un mecanismo de seguimiento acelerado que permita a los supervisores bancarios </w:t>
      </w:r>
      <w:r>
        <w:rPr>
          <w:b/>
        </w:rPr>
        <w:t>evaluar anualmente</w:t>
      </w:r>
      <w:r>
        <w:t xml:space="preserve"> si el capital liberado da lugar a préstamos en la economía real o más activos titulizados no retenidos, o se usa como garantía; </w:t>
      </w:r>
      <w:r>
        <w:rPr>
          <w:b/>
        </w:rPr>
        <w:t>recomienda</w:t>
      </w:r>
      <w:r>
        <w:t xml:space="preserve"> que </w:t>
      </w:r>
      <w:r>
        <w:rPr>
          <w:b/>
        </w:rPr>
        <w:t>se reduzcan a dos años</w:t>
      </w:r>
      <w:r>
        <w:t xml:space="preserve"> los </w:t>
      </w:r>
      <w:r>
        <w:rPr>
          <w:b/>
        </w:rPr>
        <w:t>períodos de</w:t>
      </w:r>
      <w:r>
        <w:t xml:space="preserve"> evaluación y </w:t>
      </w:r>
      <w:r>
        <w:rPr>
          <w:b/>
        </w:rPr>
        <w:t>presentación de informes</w:t>
      </w:r>
      <w:r>
        <w:t xml:space="preserve"> para la Comisión Europea y las Autoridades Europeas de Supervisión y que se incluyan los resultados en el citado mecanismo de seguimiento acelerado;</w:t>
      </w:r>
      <w:bookmarkEnd w:id="42"/>
      <w:bookmarkEnd w:id="43"/>
    </w:p>
    <w:p w14:paraId="29E043D0" w14:textId="77777777" w:rsidR="005072F5" w:rsidRPr="00162387" w:rsidRDefault="005072F5" w:rsidP="005072F5">
      <w:pPr>
        <w:pStyle w:val="ListParagraph"/>
        <w:numPr>
          <w:ilvl w:val="0"/>
          <w:numId w:val="89"/>
        </w:numPr>
        <w:spacing w:line="276" w:lineRule="auto"/>
        <w:ind w:left="284" w:hanging="284"/>
      </w:pPr>
      <w:bookmarkStart w:id="44" w:name="_Toc209713353"/>
      <w:bookmarkStart w:id="45" w:name="_Toc209713893"/>
      <w:r>
        <w:rPr>
          <w:b/>
        </w:rPr>
        <w:t>recomienda</w:t>
      </w:r>
      <w:r>
        <w:t xml:space="preserve"> que en toda revisión legislativa </w:t>
      </w:r>
      <w:r>
        <w:rPr>
          <w:b/>
        </w:rPr>
        <w:t>se evalúe si se requieren nuevas medidas y condicionalidades</w:t>
      </w:r>
      <w:r>
        <w:t>, dada la necesidad acuciante de ampliar la financiación alternativa;</w:t>
      </w:r>
      <w:bookmarkEnd w:id="44"/>
      <w:bookmarkEnd w:id="45"/>
    </w:p>
    <w:p w14:paraId="1B9639CA" w14:textId="77777777" w:rsidR="005072F5" w:rsidRPr="00162387" w:rsidRDefault="005072F5" w:rsidP="005072F5">
      <w:pPr>
        <w:pStyle w:val="ListParagraph"/>
        <w:numPr>
          <w:ilvl w:val="0"/>
          <w:numId w:val="89"/>
        </w:numPr>
        <w:spacing w:line="276" w:lineRule="auto"/>
        <w:ind w:left="284" w:hanging="284"/>
      </w:pPr>
      <w:bookmarkStart w:id="46" w:name="_Toc209713354"/>
      <w:bookmarkStart w:id="47" w:name="_Toc209713894"/>
      <w:r>
        <w:rPr>
          <w:b/>
        </w:rPr>
        <w:t>hace un llamamiento</w:t>
      </w:r>
      <w:r>
        <w:t xml:space="preserve"> a que se apoyen las propuestas en favor de una supervisión más coherente, racional y armonizada;</w:t>
      </w:r>
      <w:bookmarkEnd w:id="46"/>
      <w:bookmarkEnd w:id="47"/>
    </w:p>
    <w:p w14:paraId="6D33A8D6" w14:textId="77777777" w:rsidR="005072F5" w:rsidRPr="00162387" w:rsidRDefault="005072F5" w:rsidP="005072F5">
      <w:pPr>
        <w:pStyle w:val="ListParagraph"/>
        <w:numPr>
          <w:ilvl w:val="0"/>
          <w:numId w:val="89"/>
        </w:numPr>
        <w:spacing w:line="276" w:lineRule="auto"/>
        <w:ind w:left="284" w:hanging="284"/>
      </w:pPr>
      <w:bookmarkStart w:id="48" w:name="_Toc209713355"/>
      <w:bookmarkStart w:id="49" w:name="_Toc209713895"/>
      <w:r>
        <w:rPr>
          <w:b/>
        </w:rPr>
        <w:t>solicita</w:t>
      </w:r>
      <w:r>
        <w:t xml:space="preserve"> que se ajusten determinadas propuestas del paquete, por ejemplo mediante la revisión de algunas </w:t>
      </w:r>
      <w:r>
        <w:rPr>
          <w:b/>
        </w:rPr>
        <w:t>incoherencias en la calibración y la definición</w:t>
      </w:r>
      <w:r>
        <w:t>;</w:t>
      </w:r>
      <w:bookmarkEnd w:id="48"/>
      <w:bookmarkEnd w:id="49"/>
    </w:p>
    <w:p w14:paraId="71E10B41" w14:textId="77777777" w:rsidR="005072F5" w:rsidRPr="00162387" w:rsidRDefault="005072F5" w:rsidP="005072F5">
      <w:pPr>
        <w:pStyle w:val="ListParagraph"/>
        <w:numPr>
          <w:ilvl w:val="0"/>
          <w:numId w:val="89"/>
        </w:numPr>
        <w:spacing w:line="276" w:lineRule="auto"/>
        <w:ind w:left="284" w:hanging="284"/>
      </w:pPr>
      <w:bookmarkStart w:id="50" w:name="_Toc209713356"/>
      <w:bookmarkStart w:id="51" w:name="_Toc209713896"/>
      <w:r>
        <w:t xml:space="preserve">pide una garantía de que las propuestas técnicas para que los niveles mínimos de ponderación del riesgo sean «sensibles al riesgo» </w:t>
      </w:r>
      <w:r>
        <w:rPr>
          <w:b/>
        </w:rPr>
        <w:t>eviten el riesgo de modelización y el arbitraje</w:t>
      </w:r>
      <w:r>
        <w:t>;</w:t>
      </w:r>
      <w:bookmarkEnd w:id="50"/>
      <w:bookmarkEnd w:id="51"/>
    </w:p>
    <w:p w14:paraId="6179C402" w14:textId="77777777" w:rsidR="005072F5" w:rsidRPr="00162387" w:rsidRDefault="005072F5" w:rsidP="005072F5">
      <w:pPr>
        <w:pStyle w:val="ListParagraph"/>
        <w:numPr>
          <w:ilvl w:val="0"/>
          <w:numId w:val="89"/>
        </w:numPr>
        <w:spacing w:line="276" w:lineRule="auto"/>
        <w:ind w:left="284" w:hanging="284"/>
        <w:rPr>
          <w:b/>
          <w:bCs/>
        </w:rPr>
      </w:pPr>
      <w:bookmarkStart w:id="52" w:name="_Toc209713357"/>
      <w:bookmarkStart w:id="53" w:name="_Toc209713897"/>
      <w:r>
        <w:rPr>
          <w:b/>
        </w:rPr>
        <w:t>recomienda que se revoque la exención para las titulizaciones cuando un tramo de primera pérdida esté garantizado por entidades públicas</w:t>
      </w:r>
      <w:r>
        <w:t>;</w:t>
      </w:r>
      <w:bookmarkEnd w:id="52"/>
      <w:bookmarkEnd w:id="53"/>
    </w:p>
    <w:p w14:paraId="17616343" w14:textId="77777777" w:rsidR="005072F5" w:rsidRPr="00162387" w:rsidRDefault="005072F5" w:rsidP="005072F5">
      <w:pPr>
        <w:pStyle w:val="ListParagraph"/>
        <w:numPr>
          <w:ilvl w:val="0"/>
          <w:numId w:val="89"/>
        </w:numPr>
        <w:spacing w:line="276" w:lineRule="auto"/>
        <w:ind w:left="284" w:hanging="284"/>
        <w:rPr>
          <w:bCs/>
          <w:iCs/>
        </w:rPr>
      </w:pPr>
      <w:bookmarkStart w:id="54" w:name="_Toc209713358"/>
      <w:bookmarkStart w:id="55" w:name="_Toc209713898"/>
      <w:r>
        <w:rPr>
          <w:b/>
        </w:rPr>
        <w:t>pide medidas adicionales para preservar la relación a largo plazo entre prestamistas y prestatarios y garantizar la transparencia</w:t>
      </w:r>
      <w:r>
        <w:t xml:space="preserve">; </w:t>
      </w:r>
      <w:r>
        <w:rPr>
          <w:b/>
        </w:rPr>
        <w:t>insiste en que se evite</w:t>
      </w:r>
      <w:r>
        <w:t xml:space="preserve"> trasladar el proceso de originación a </w:t>
      </w:r>
      <w:r>
        <w:rPr>
          <w:b/>
        </w:rPr>
        <w:t>entidades no bancarias</w:t>
      </w:r>
      <w:r>
        <w:t xml:space="preserve"> no reguladas o transferir los procesos de titulización a jurisdicciones que permiten una </w:t>
      </w:r>
      <w:r>
        <w:rPr>
          <w:b/>
        </w:rPr>
        <w:t>planificación fiscal abusiva</w:t>
      </w:r>
      <w:r>
        <w:t>.</w:t>
      </w:r>
      <w:bookmarkEnd w:id="54"/>
      <w:bookmarkEnd w:id="55"/>
    </w:p>
    <w:p w14:paraId="0E29AF59" w14:textId="77777777" w:rsidR="005072F5" w:rsidRPr="009845BE" w:rsidRDefault="005072F5" w:rsidP="005072F5">
      <w:pPr>
        <w:widowControl w:val="0"/>
        <w:overflowPunct w:val="0"/>
        <w:autoSpaceDE w:val="0"/>
        <w:autoSpaceDN w:val="0"/>
        <w:adjustRightInd w:val="0"/>
        <w:ind w:left="709"/>
        <w:textAlignment w:val="baseline"/>
        <w:rPr>
          <w:sz w:val="16"/>
          <w:szCs w:val="14"/>
          <w:lang w:val="en-GB"/>
        </w:rPr>
      </w:pPr>
    </w:p>
    <w:tbl>
      <w:tblPr>
        <w:tblW w:w="5000" w:type="pct"/>
        <w:tblLook w:val="04A0" w:firstRow="1" w:lastRow="0" w:firstColumn="1" w:lastColumn="0" w:noHBand="0" w:noVBand="1"/>
      </w:tblPr>
      <w:tblGrid>
        <w:gridCol w:w="2094"/>
        <w:gridCol w:w="7337"/>
      </w:tblGrid>
      <w:tr w:rsidR="005072F5" w:rsidRPr="00FD2A1E" w14:paraId="15C12CE2" w14:textId="77777777" w:rsidTr="00915390">
        <w:tc>
          <w:tcPr>
            <w:tcW w:w="1110" w:type="pct"/>
          </w:tcPr>
          <w:p w14:paraId="7038B109" w14:textId="77777777" w:rsidR="005072F5" w:rsidRPr="00FD2A1E" w:rsidRDefault="005072F5" w:rsidP="00915390">
            <w:pPr>
              <w:overflowPunct w:val="0"/>
              <w:autoSpaceDE w:val="0"/>
              <w:autoSpaceDN w:val="0"/>
              <w:adjustRightInd w:val="0"/>
              <w:textAlignment w:val="baseline"/>
              <w:rPr>
                <w:i/>
              </w:rPr>
            </w:pPr>
            <w:r>
              <w:rPr>
                <w:b/>
                <w:i/>
              </w:rPr>
              <w:t>Contacto:</w:t>
            </w:r>
          </w:p>
        </w:tc>
        <w:tc>
          <w:tcPr>
            <w:tcW w:w="3890" w:type="pct"/>
          </w:tcPr>
          <w:p w14:paraId="49EC9FF4" w14:textId="77777777" w:rsidR="005072F5" w:rsidRPr="00FD2A1E" w:rsidRDefault="005072F5" w:rsidP="00915390">
            <w:pPr>
              <w:overflowPunct w:val="0"/>
              <w:autoSpaceDE w:val="0"/>
              <w:autoSpaceDN w:val="0"/>
              <w:adjustRightInd w:val="0"/>
              <w:textAlignment w:val="baseline"/>
              <w:rPr>
                <w:i/>
              </w:rPr>
            </w:pPr>
            <w:r>
              <w:rPr>
                <w:i/>
              </w:rPr>
              <w:t>Sergio Lorencio Matallana</w:t>
            </w:r>
          </w:p>
        </w:tc>
      </w:tr>
      <w:tr w:rsidR="005072F5" w:rsidRPr="00FD2A1E" w14:paraId="5479B561" w14:textId="77777777" w:rsidTr="00915390">
        <w:tc>
          <w:tcPr>
            <w:tcW w:w="1110" w:type="pct"/>
          </w:tcPr>
          <w:p w14:paraId="2EE39A64" w14:textId="77777777" w:rsidR="005072F5" w:rsidRPr="00FD2A1E" w:rsidRDefault="005072F5" w:rsidP="00915390">
            <w:pPr>
              <w:overflowPunct w:val="0"/>
              <w:autoSpaceDE w:val="0"/>
              <w:autoSpaceDN w:val="0"/>
              <w:adjustRightInd w:val="0"/>
              <w:textAlignment w:val="baseline"/>
              <w:rPr>
                <w:i/>
              </w:rPr>
            </w:pPr>
            <w:r>
              <w:rPr>
                <w:i/>
              </w:rPr>
              <w:t>Teléfono:</w:t>
            </w:r>
          </w:p>
        </w:tc>
        <w:tc>
          <w:tcPr>
            <w:tcW w:w="3890" w:type="pct"/>
          </w:tcPr>
          <w:p w14:paraId="6CA6C252" w14:textId="77777777" w:rsidR="005072F5" w:rsidRPr="00FD2A1E" w:rsidRDefault="005072F5" w:rsidP="00915390">
            <w:pPr>
              <w:overflowPunct w:val="0"/>
              <w:autoSpaceDE w:val="0"/>
              <w:autoSpaceDN w:val="0"/>
              <w:adjustRightInd w:val="0"/>
              <w:textAlignment w:val="baseline"/>
              <w:rPr>
                <w:i/>
              </w:rPr>
            </w:pPr>
            <w:r>
              <w:rPr>
                <w:i/>
              </w:rPr>
              <w:t>+32 2 546 9240</w:t>
            </w:r>
          </w:p>
        </w:tc>
      </w:tr>
      <w:tr w:rsidR="005072F5" w:rsidRPr="00FD2A1E" w14:paraId="0CE56806" w14:textId="77777777" w:rsidTr="00915390">
        <w:tc>
          <w:tcPr>
            <w:tcW w:w="1110" w:type="pct"/>
          </w:tcPr>
          <w:p w14:paraId="5C30322A" w14:textId="77777777" w:rsidR="005072F5" w:rsidRPr="00FD2A1E" w:rsidRDefault="005072F5" w:rsidP="00915390">
            <w:pPr>
              <w:overflowPunct w:val="0"/>
              <w:autoSpaceDE w:val="0"/>
              <w:autoSpaceDN w:val="0"/>
              <w:adjustRightInd w:val="0"/>
              <w:textAlignment w:val="baseline"/>
              <w:rPr>
                <w:i/>
              </w:rPr>
            </w:pPr>
            <w:r>
              <w:rPr>
                <w:i/>
              </w:rPr>
              <w:t>Correo electrónico:</w:t>
            </w:r>
          </w:p>
        </w:tc>
        <w:tc>
          <w:tcPr>
            <w:tcW w:w="3890" w:type="pct"/>
          </w:tcPr>
          <w:p w14:paraId="40014CA0" w14:textId="77777777" w:rsidR="005072F5" w:rsidRPr="00FD2A1E" w:rsidRDefault="005072F5" w:rsidP="00915390">
            <w:pPr>
              <w:overflowPunct w:val="0"/>
              <w:autoSpaceDE w:val="0"/>
              <w:autoSpaceDN w:val="0"/>
              <w:adjustRightInd w:val="0"/>
              <w:textAlignment w:val="baseline"/>
              <w:rPr>
                <w:i/>
              </w:rPr>
            </w:pPr>
            <w:hyperlink r:id="rId31" w:history="1">
              <w:r>
                <w:rPr>
                  <w:i/>
                  <w:color w:val="0000FF"/>
                  <w:u w:val="single"/>
                </w:rPr>
                <w:t>Sergio.Lorenciomatallana@eesc.europa.eu</w:t>
              </w:r>
            </w:hyperlink>
          </w:p>
        </w:tc>
      </w:tr>
    </w:tbl>
    <w:p w14:paraId="57D4761C" w14:textId="77777777" w:rsidR="005072F5" w:rsidRDefault="005072F5" w:rsidP="005072F5">
      <w:pPr>
        <w:jc w:val="left"/>
      </w:pPr>
    </w:p>
    <w:p w14:paraId="0CC3F867" w14:textId="77777777" w:rsidR="005072F5" w:rsidRPr="0074006B" w:rsidRDefault="005072F5" w:rsidP="005072F5">
      <w:pPr>
        <w:widowControl w:val="0"/>
        <w:numPr>
          <w:ilvl w:val="0"/>
          <w:numId w:val="3"/>
        </w:numPr>
        <w:overflowPunct w:val="0"/>
        <w:autoSpaceDE w:val="0"/>
        <w:autoSpaceDN w:val="0"/>
        <w:adjustRightInd w:val="0"/>
        <w:ind w:hanging="567"/>
        <w:textAlignment w:val="baseline"/>
        <w:rPr>
          <w:sz w:val="20"/>
          <w:szCs w:val="20"/>
        </w:rPr>
      </w:pPr>
      <w:hyperlink r:id="rId32" w:history="1">
        <w:r>
          <w:rPr>
            <w:b/>
            <w:i/>
            <w:color w:val="0000FF"/>
            <w:sz w:val="28"/>
            <w:u w:val="single"/>
          </w:rPr>
          <w:t>Consideraciones adicionales sobre el futuro del Semestre Europeo 2025</w:t>
        </w:r>
      </w:hyperlink>
    </w:p>
    <w:p w14:paraId="551D2DEE" w14:textId="77777777" w:rsidR="005072F5" w:rsidRPr="0074006B" w:rsidRDefault="005072F5" w:rsidP="005072F5">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005072F5" w:rsidRPr="0074006B" w14:paraId="61EF16FE" w14:textId="77777777" w:rsidTr="00915390">
        <w:tc>
          <w:tcPr>
            <w:tcW w:w="1034" w:type="pct"/>
          </w:tcPr>
          <w:p w14:paraId="5B77EB3C" w14:textId="77777777" w:rsidR="005072F5" w:rsidRPr="0074006B"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3966" w:type="pct"/>
          </w:tcPr>
          <w:p w14:paraId="22884C98" w14:textId="77777777" w:rsidR="005072F5" w:rsidRPr="0074006B" w:rsidRDefault="005072F5" w:rsidP="00915390">
            <w:pPr>
              <w:tabs>
                <w:tab w:val="center" w:pos="284"/>
              </w:tabs>
              <w:overflowPunct w:val="0"/>
              <w:autoSpaceDE w:val="0"/>
              <w:autoSpaceDN w:val="0"/>
              <w:adjustRightInd w:val="0"/>
              <w:ind w:left="266" w:right="-3091" w:hanging="266"/>
              <w:textAlignment w:val="baseline"/>
            </w:pPr>
            <w:r>
              <w:t>Javier DOZ ORRIT (Grupo de Trabajadores – ES)</w:t>
            </w:r>
          </w:p>
        </w:tc>
      </w:tr>
      <w:tr w:rsidR="005072F5" w:rsidRPr="0074006B" w14:paraId="406AD17F" w14:textId="77777777" w:rsidTr="00915390">
        <w:tc>
          <w:tcPr>
            <w:tcW w:w="1034" w:type="pct"/>
          </w:tcPr>
          <w:p w14:paraId="2C51FBD2" w14:textId="77777777" w:rsidR="005072F5" w:rsidRPr="0074006B"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3966" w:type="pct"/>
          </w:tcPr>
          <w:p w14:paraId="60367031" w14:textId="77777777" w:rsidR="005072F5" w:rsidRPr="0074006B" w:rsidRDefault="005072F5" w:rsidP="00915390">
            <w:pPr>
              <w:tabs>
                <w:tab w:val="center" w:pos="284"/>
              </w:tabs>
              <w:overflowPunct w:val="0"/>
              <w:autoSpaceDE w:val="0"/>
              <w:autoSpaceDN w:val="0"/>
              <w:adjustRightInd w:val="0"/>
              <w:ind w:left="266" w:right="-3091" w:hanging="266"/>
              <w:textAlignment w:val="baseline"/>
            </w:pPr>
            <w:r>
              <w:t>Dictamen de iniciativa</w:t>
            </w:r>
          </w:p>
          <w:p w14:paraId="237AFDE4" w14:textId="77777777" w:rsidR="005072F5" w:rsidRPr="0074006B" w:rsidRDefault="005072F5" w:rsidP="00915390">
            <w:pPr>
              <w:tabs>
                <w:tab w:val="center" w:pos="284"/>
              </w:tabs>
              <w:overflowPunct w:val="0"/>
              <w:autoSpaceDE w:val="0"/>
              <w:autoSpaceDN w:val="0"/>
              <w:adjustRightInd w:val="0"/>
              <w:ind w:left="266" w:right="-3091" w:hanging="266"/>
              <w:textAlignment w:val="baseline"/>
            </w:pPr>
            <w:r>
              <w:t>EESC-2025-01561-00-00-AC</w:t>
            </w:r>
          </w:p>
        </w:tc>
      </w:tr>
    </w:tbl>
    <w:p w14:paraId="5CF3BB6B" w14:textId="77777777" w:rsidR="005072F5" w:rsidRPr="0074006B" w:rsidRDefault="005072F5" w:rsidP="005072F5">
      <w:pPr>
        <w:tabs>
          <w:tab w:val="center" w:pos="284"/>
        </w:tabs>
        <w:overflowPunct w:val="0"/>
        <w:autoSpaceDE w:val="0"/>
        <w:autoSpaceDN w:val="0"/>
        <w:adjustRightInd w:val="0"/>
        <w:ind w:left="266" w:hanging="266"/>
        <w:textAlignment w:val="baseline"/>
        <w:rPr>
          <w:b/>
          <w:lang w:val="en-GB"/>
        </w:rPr>
      </w:pPr>
    </w:p>
    <w:p w14:paraId="0D69E040" w14:textId="77777777" w:rsidR="005072F5" w:rsidRPr="0074006B"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31CCABB3" w14:textId="77777777" w:rsidR="005072F5" w:rsidRPr="0074006B"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13E3D190" w14:textId="77777777" w:rsidR="005072F5" w:rsidRDefault="005072F5" w:rsidP="005072F5">
      <w:r>
        <w:t>El CESE:</w:t>
      </w:r>
    </w:p>
    <w:p w14:paraId="25EB4B7E" w14:textId="77777777" w:rsidR="005072F5" w:rsidRDefault="005072F5" w:rsidP="005072F5"/>
    <w:p w14:paraId="4EBBF3DE" w14:textId="77777777" w:rsidR="005072F5" w:rsidRPr="0074006B" w:rsidRDefault="005072F5" w:rsidP="005072F5">
      <w:pPr>
        <w:widowControl w:val="0"/>
        <w:numPr>
          <w:ilvl w:val="0"/>
          <w:numId w:val="46"/>
        </w:numPr>
        <w:overflowPunct w:val="0"/>
        <w:autoSpaceDE w:val="0"/>
        <w:autoSpaceDN w:val="0"/>
        <w:adjustRightInd w:val="0"/>
        <w:ind w:left="426" w:hanging="426"/>
        <w:textAlignment w:val="baseline"/>
        <w:rPr>
          <w:bCs/>
          <w:iCs/>
        </w:rPr>
      </w:pPr>
      <w:r>
        <w:t>manifiesta su preocupación por la existencia de múltiples factores que impulsan —y generan— riesgos geopolíticos e inestabilidad, en particular los que constituyen una amenaza para la paz, la democracia y el respeto de los derechos humanos, pero también los que, como la guerra comercial, tienen un impacto en el crecimiento y la inflación, la seguridad de las cadenas de suministro y el acceso a las materias primas fundamentales;</w:t>
      </w:r>
    </w:p>
    <w:p w14:paraId="1B877659" w14:textId="77777777" w:rsidR="005072F5" w:rsidRPr="0074006B" w:rsidRDefault="005072F5" w:rsidP="005072F5">
      <w:pPr>
        <w:widowControl w:val="0"/>
        <w:numPr>
          <w:ilvl w:val="0"/>
          <w:numId w:val="46"/>
        </w:numPr>
        <w:overflowPunct w:val="0"/>
        <w:autoSpaceDE w:val="0"/>
        <w:autoSpaceDN w:val="0"/>
        <w:adjustRightInd w:val="0"/>
        <w:ind w:left="426" w:hanging="426"/>
        <w:textAlignment w:val="baseline"/>
        <w:rPr>
          <w:bCs/>
          <w:iCs/>
        </w:rPr>
      </w:pPr>
      <w:r>
        <w:t>manifiesta su inquietud por el hecho de que las tendencias de inversión, tanto públicas como privadas, estén muy lejos de contribuir a una reducción significativa del enorme déficit de inversión acumulado por las economías europeas;</w:t>
      </w:r>
    </w:p>
    <w:p w14:paraId="36D400FC" w14:textId="77777777" w:rsidR="005072F5" w:rsidRPr="0074006B" w:rsidRDefault="005072F5" w:rsidP="005072F5">
      <w:pPr>
        <w:widowControl w:val="0"/>
        <w:numPr>
          <w:ilvl w:val="0"/>
          <w:numId w:val="46"/>
        </w:numPr>
        <w:overflowPunct w:val="0"/>
        <w:autoSpaceDE w:val="0"/>
        <w:autoSpaceDN w:val="0"/>
        <w:adjustRightInd w:val="0"/>
        <w:ind w:left="426" w:hanging="426"/>
        <w:textAlignment w:val="baseline"/>
        <w:rPr>
          <w:bCs/>
          <w:iCs/>
        </w:rPr>
      </w:pPr>
      <w:r>
        <w:t xml:space="preserve">respalda las dos prioridades políticas principales esbozadas en el paquete de primavera del Semestre Europeo de 2025, a saber, reforzar la competitividad y mejorar las capacidades de defensa, y apoya el objetivo principal de realizar las inversiones y reformas de los planes nacionales de recuperación y resiliencia de aquí a 2026; </w:t>
      </w:r>
    </w:p>
    <w:p w14:paraId="7E36966A" w14:textId="77777777" w:rsidR="005072F5" w:rsidRPr="0074006B" w:rsidRDefault="005072F5" w:rsidP="005072F5">
      <w:pPr>
        <w:widowControl w:val="0"/>
        <w:numPr>
          <w:ilvl w:val="0"/>
          <w:numId w:val="46"/>
        </w:numPr>
        <w:overflowPunct w:val="0"/>
        <w:autoSpaceDE w:val="0"/>
        <w:autoSpaceDN w:val="0"/>
        <w:adjustRightInd w:val="0"/>
        <w:ind w:left="426" w:hanging="426"/>
        <w:textAlignment w:val="baseline"/>
        <w:rPr>
          <w:bCs/>
          <w:iCs/>
        </w:rPr>
      </w:pPr>
      <w:r>
        <w:t>considera que, una vez controlada la inflación, habrá llegado el momento de desarrollar una política monetaria moderadamente expansionista que fomente las inversiones y, al mismo tiempo, aproveche la debilidad del dólar para reforzar el papel del euro como moneda de reserva a escala mundial a través de las tres medidas siguientes: introducir el euro digital; emplear el volumen de deuda de modo que, a la vez que financia la política de inversión, la haga atractiva para la negociación en los mercados; y completar urgentemente la unión bancaria y la unión de los mercados de capitales;</w:t>
      </w:r>
    </w:p>
    <w:p w14:paraId="0F355CAB" w14:textId="77777777" w:rsidR="005072F5" w:rsidRPr="0074006B" w:rsidRDefault="005072F5" w:rsidP="005072F5">
      <w:pPr>
        <w:widowControl w:val="0"/>
        <w:numPr>
          <w:ilvl w:val="0"/>
          <w:numId w:val="46"/>
        </w:numPr>
        <w:overflowPunct w:val="0"/>
        <w:autoSpaceDE w:val="0"/>
        <w:autoSpaceDN w:val="0"/>
        <w:adjustRightInd w:val="0"/>
        <w:ind w:left="426" w:hanging="426"/>
        <w:textAlignment w:val="baseline"/>
        <w:rPr>
          <w:bCs/>
          <w:iCs/>
        </w:rPr>
      </w:pPr>
      <w:r>
        <w:t>juzga que sería necesario que el marco financiero plurianual (MFP) posterior a 2027 ascendiera al equivalente del 2 % del PIB de la UE, con el fin de alcanzar los objetivos de inversión para reducir la brecha de competitividad, fomentar la investigación y la innovación tecnológica, garantizar un doble transición ecológica y digital justa, reforzar la cohesión social y el cumplimiento del pilar europeo de derechos sociales, impulsar la autonomía estratégica en materia de política exterior, de seguridad y de defensa, y fortalecer la industria europea mediante políticas y medidas que faciliten la inversión para atraer capital interno y externo;</w:t>
      </w:r>
    </w:p>
    <w:p w14:paraId="0D30BEDA" w14:textId="77777777" w:rsidR="005072F5" w:rsidRPr="0074006B" w:rsidRDefault="005072F5" w:rsidP="005072F5">
      <w:pPr>
        <w:widowControl w:val="0"/>
        <w:numPr>
          <w:ilvl w:val="0"/>
          <w:numId w:val="46"/>
        </w:numPr>
        <w:overflowPunct w:val="0"/>
        <w:autoSpaceDE w:val="0"/>
        <w:autoSpaceDN w:val="0"/>
        <w:adjustRightInd w:val="0"/>
        <w:ind w:left="426" w:hanging="426"/>
        <w:textAlignment w:val="baseline"/>
        <w:rPr>
          <w:bCs/>
          <w:iCs/>
        </w:rPr>
      </w:pPr>
      <w:r>
        <w:t>juzga necesario adoptar un conjunto de medidas para incrementar las inversiones de aquí a 2028, entre otras, garantizar la ejecución de todos los fondos del Mecanismo de Recuperación y Resiliencia (MRR) con los nuevos objetivos y, en su caso, movilizar los fondos no utilizados para nuevos programas de inversión en bienes públicos europeos; crear un Fondo Europeo para Inversiones Estratégicas; reforzar la capacidad de préstamo del BEI para ampliar InvestEU; y estudiar la posibilidad de utilizar los fondos del Mecanismo Europeo de Estabilidad;</w:t>
      </w:r>
    </w:p>
    <w:p w14:paraId="2216638D" w14:textId="77777777" w:rsidR="005072F5" w:rsidRPr="0074006B" w:rsidRDefault="005072F5" w:rsidP="005072F5">
      <w:pPr>
        <w:keepNext/>
        <w:keepLines/>
        <w:widowControl w:val="0"/>
        <w:numPr>
          <w:ilvl w:val="0"/>
          <w:numId w:val="46"/>
        </w:numPr>
        <w:overflowPunct w:val="0"/>
        <w:autoSpaceDE w:val="0"/>
        <w:autoSpaceDN w:val="0"/>
        <w:adjustRightInd w:val="0"/>
        <w:ind w:left="425" w:hanging="425"/>
        <w:textAlignment w:val="baseline"/>
        <w:rPr>
          <w:bCs/>
          <w:iCs/>
        </w:rPr>
      </w:pPr>
      <w:r>
        <w:lastRenderedPageBreak/>
        <w:t xml:space="preserve">reitera su preocupación por los retrasos en la revisión del actual modelo de análisis de la sostenibilidad de la deuda, ya que esto puede dar lugar a que se sacrifique indebidamente el gasto social en aras de otros gastos, en un momento en que los Estados miembros tienen que alcanzar unos objetivos de déficit que no han sido modificados; </w:t>
      </w:r>
    </w:p>
    <w:p w14:paraId="4FF5CE18" w14:textId="77777777" w:rsidR="005072F5" w:rsidRPr="0074006B" w:rsidRDefault="005072F5" w:rsidP="005072F5">
      <w:pPr>
        <w:widowControl w:val="0"/>
        <w:numPr>
          <w:ilvl w:val="0"/>
          <w:numId w:val="46"/>
        </w:numPr>
        <w:overflowPunct w:val="0"/>
        <w:autoSpaceDE w:val="0"/>
        <w:autoSpaceDN w:val="0"/>
        <w:adjustRightInd w:val="0"/>
        <w:ind w:left="426" w:hanging="426"/>
        <w:textAlignment w:val="baseline"/>
        <w:rPr>
          <w:bCs/>
          <w:iCs/>
        </w:rPr>
      </w:pPr>
      <w:r>
        <w:t xml:space="preserve">apoya el principio general que subyace a los paquetes legislativos Ómnibus I y II de aclarar y simplificar la legislación europea y reducir las cargas administrativas innecesarias para las empresas, en particular las pymes, pero expresa su preocupación por que algunas de las disposiciones puedan dar lugar a una legislación más laxa en materia de finanzas sostenibles y, por lo tanto, pongan en peligro la consecución de los objetivos del Pacto Verde y su plan de acción; </w:t>
      </w:r>
    </w:p>
    <w:p w14:paraId="23F05F90" w14:textId="77777777" w:rsidR="005072F5" w:rsidRPr="0074006B" w:rsidRDefault="005072F5" w:rsidP="005072F5">
      <w:pPr>
        <w:widowControl w:val="0"/>
        <w:numPr>
          <w:ilvl w:val="0"/>
          <w:numId w:val="46"/>
        </w:numPr>
        <w:overflowPunct w:val="0"/>
        <w:autoSpaceDE w:val="0"/>
        <w:autoSpaceDN w:val="0"/>
        <w:adjustRightInd w:val="0"/>
        <w:ind w:left="426" w:hanging="426"/>
        <w:textAlignment w:val="baseline"/>
        <w:rPr>
          <w:bCs/>
          <w:iCs/>
        </w:rPr>
      </w:pPr>
      <w:r>
        <w:t xml:space="preserve">reitera su llamamiento en favor de la participación permanente y estructurada de los interlocutores sociales y las organizaciones de la sociedad civil en las distintas fases del proceso del Semestre Europeo. </w:t>
      </w:r>
    </w:p>
    <w:p w14:paraId="578EDFEB" w14:textId="77777777" w:rsidR="005072F5" w:rsidRPr="0074006B" w:rsidRDefault="005072F5" w:rsidP="005072F5">
      <w:pPr>
        <w:widowControl w:val="0"/>
        <w:overflowPunct w:val="0"/>
        <w:autoSpaceDE w:val="0"/>
        <w:autoSpaceDN w:val="0"/>
        <w:adjustRightInd w:val="0"/>
        <w:ind w:left="567"/>
        <w:textAlignment w:val="baseline"/>
        <w:rPr>
          <w:bCs/>
          <w:iCs/>
          <w:lang w:val="en-GB"/>
        </w:rPr>
      </w:pPr>
    </w:p>
    <w:tbl>
      <w:tblPr>
        <w:tblW w:w="5000" w:type="pct"/>
        <w:tblLook w:val="04A0" w:firstRow="1" w:lastRow="0" w:firstColumn="1" w:lastColumn="0" w:noHBand="0" w:noVBand="1"/>
      </w:tblPr>
      <w:tblGrid>
        <w:gridCol w:w="2235"/>
        <w:gridCol w:w="7196"/>
      </w:tblGrid>
      <w:tr w:rsidR="005072F5" w:rsidRPr="0074006B" w14:paraId="58F35AB9" w14:textId="77777777" w:rsidTr="00915390">
        <w:tc>
          <w:tcPr>
            <w:tcW w:w="1185" w:type="pct"/>
          </w:tcPr>
          <w:p w14:paraId="1F311496" w14:textId="77777777" w:rsidR="005072F5" w:rsidRPr="0074006B" w:rsidRDefault="005072F5" w:rsidP="00915390">
            <w:pPr>
              <w:overflowPunct w:val="0"/>
              <w:autoSpaceDE w:val="0"/>
              <w:autoSpaceDN w:val="0"/>
              <w:adjustRightInd w:val="0"/>
              <w:textAlignment w:val="baseline"/>
              <w:rPr>
                <w:i/>
              </w:rPr>
            </w:pPr>
            <w:r>
              <w:rPr>
                <w:b/>
                <w:i/>
              </w:rPr>
              <w:t>Contacto:</w:t>
            </w:r>
          </w:p>
        </w:tc>
        <w:tc>
          <w:tcPr>
            <w:tcW w:w="3815" w:type="pct"/>
          </w:tcPr>
          <w:p w14:paraId="38EF8CA5" w14:textId="77777777" w:rsidR="005072F5" w:rsidRPr="0074006B" w:rsidRDefault="005072F5" w:rsidP="00915390">
            <w:pPr>
              <w:overflowPunct w:val="0"/>
              <w:autoSpaceDE w:val="0"/>
              <w:autoSpaceDN w:val="0"/>
              <w:adjustRightInd w:val="0"/>
              <w:textAlignment w:val="baseline"/>
              <w:rPr>
                <w:i/>
              </w:rPr>
            </w:pPr>
            <w:r>
              <w:rPr>
                <w:i/>
              </w:rPr>
              <w:t>Anna Pantazi</w:t>
            </w:r>
          </w:p>
        </w:tc>
      </w:tr>
      <w:tr w:rsidR="005072F5" w:rsidRPr="0074006B" w14:paraId="2556A188" w14:textId="77777777" w:rsidTr="00915390">
        <w:tc>
          <w:tcPr>
            <w:tcW w:w="1185" w:type="pct"/>
          </w:tcPr>
          <w:p w14:paraId="0AEC61AC" w14:textId="77777777" w:rsidR="005072F5" w:rsidRPr="0074006B" w:rsidRDefault="005072F5" w:rsidP="00915390">
            <w:pPr>
              <w:overflowPunct w:val="0"/>
              <w:autoSpaceDE w:val="0"/>
              <w:autoSpaceDN w:val="0"/>
              <w:adjustRightInd w:val="0"/>
              <w:textAlignment w:val="baseline"/>
              <w:rPr>
                <w:i/>
              </w:rPr>
            </w:pPr>
            <w:r>
              <w:rPr>
                <w:i/>
              </w:rPr>
              <w:t>Teléfono:</w:t>
            </w:r>
          </w:p>
        </w:tc>
        <w:tc>
          <w:tcPr>
            <w:tcW w:w="3815" w:type="pct"/>
          </w:tcPr>
          <w:p w14:paraId="296BBDA1" w14:textId="77777777" w:rsidR="005072F5" w:rsidRPr="0074006B" w:rsidRDefault="005072F5" w:rsidP="00915390">
            <w:pPr>
              <w:overflowPunct w:val="0"/>
              <w:autoSpaceDE w:val="0"/>
              <w:autoSpaceDN w:val="0"/>
              <w:adjustRightInd w:val="0"/>
              <w:textAlignment w:val="baseline"/>
              <w:rPr>
                <w:i/>
              </w:rPr>
            </w:pPr>
            <w:r>
              <w:rPr>
                <w:i/>
              </w:rPr>
              <w:t>+32 2 546 9231</w:t>
            </w:r>
          </w:p>
        </w:tc>
      </w:tr>
      <w:tr w:rsidR="005072F5" w:rsidRPr="0074006B" w14:paraId="7F8C875F" w14:textId="77777777" w:rsidTr="00915390">
        <w:tc>
          <w:tcPr>
            <w:tcW w:w="1185" w:type="pct"/>
          </w:tcPr>
          <w:p w14:paraId="077FA24C" w14:textId="77777777" w:rsidR="005072F5" w:rsidRPr="0074006B" w:rsidRDefault="005072F5" w:rsidP="00915390">
            <w:pPr>
              <w:overflowPunct w:val="0"/>
              <w:autoSpaceDE w:val="0"/>
              <w:autoSpaceDN w:val="0"/>
              <w:adjustRightInd w:val="0"/>
              <w:textAlignment w:val="baseline"/>
              <w:rPr>
                <w:i/>
              </w:rPr>
            </w:pPr>
            <w:r>
              <w:rPr>
                <w:i/>
              </w:rPr>
              <w:t>Correo electrónico:</w:t>
            </w:r>
          </w:p>
        </w:tc>
        <w:tc>
          <w:tcPr>
            <w:tcW w:w="3815" w:type="pct"/>
          </w:tcPr>
          <w:p w14:paraId="4681E073" w14:textId="77777777" w:rsidR="005072F5" w:rsidRPr="0074006B" w:rsidRDefault="005072F5" w:rsidP="00915390">
            <w:pPr>
              <w:overflowPunct w:val="0"/>
              <w:autoSpaceDE w:val="0"/>
              <w:autoSpaceDN w:val="0"/>
              <w:adjustRightInd w:val="0"/>
              <w:textAlignment w:val="baseline"/>
              <w:rPr>
                <w:i/>
              </w:rPr>
            </w:pPr>
            <w:hyperlink r:id="rId33" w:history="1">
              <w:r>
                <w:rPr>
                  <w:i/>
                  <w:color w:val="0000FF"/>
                  <w:u w:val="single"/>
                </w:rPr>
                <w:t>anna.pantazi@eesc.europa.eu</w:t>
              </w:r>
            </w:hyperlink>
          </w:p>
        </w:tc>
      </w:tr>
    </w:tbl>
    <w:p w14:paraId="4D32416B" w14:textId="77777777" w:rsidR="005072F5" w:rsidRDefault="005072F5" w:rsidP="005072F5">
      <w:pPr>
        <w:jc w:val="left"/>
        <w:rPr>
          <w:lang w:val="en-GB"/>
        </w:rPr>
      </w:pPr>
    </w:p>
    <w:p w14:paraId="1C049418" w14:textId="77777777" w:rsidR="005072F5" w:rsidRDefault="005072F5" w:rsidP="005072F5">
      <w:pPr>
        <w:jc w:val="left"/>
      </w:pPr>
      <w:r>
        <w:br w:type="page"/>
      </w:r>
    </w:p>
    <w:p w14:paraId="76B2179C" w14:textId="77777777" w:rsidR="005072F5" w:rsidRPr="00BC57D4" w:rsidRDefault="005072F5" w:rsidP="005072F5">
      <w:pPr>
        <w:widowControl w:val="0"/>
        <w:numPr>
          <w:ilvl w:val="0"/>
          <w:numId w:val="3"/>
        </w:numPr>
        <w:overflowPunct w:val="0"/>
        <w:autoSpaceDE w:val="0"/>
        <w:autoSpaceDN w:val="0"/>
        <w:adjustRightInd w:val="0"/>
        <w:ind w:hanging="567"/>
        <w:textAlignment w:val="baseline"/>
        <w:rPr>
          <w:sz w:val="20"/>
          <w:szCs w:val="20"/>
        </w:rPr>
      </w:pPr>
      <w:hyperlink r:id="rId34" w:history="1">
        <w:r>
          <w:rPr>
            <w:b/>
            <w:i/>
            <w:color w:val="0000FF"/>
            <w:sz w:val="28"/>
            <w:u w:val="single"/>
          </w:rPr>
          <w:t>Un nuevo impulso al marco de financiación sostenible de la UE</w:t>
        </w:r>
      </w:hyperlink>
    </w:p>
    <w:p w14:paraId="2940B309" w14:textId="77777777" w:rsidR="005072F5" w:rsidRPr="009845BE" w:rsidRDefault="005072F5" w:rsidP="005072F5">
      <w:pPr>
        <w:tabs>
          <w:tab w:val="center" w:pos="284"/>
        </w:tabs>
        <w:overflowPunct w:val="0"/>
        <w:autoSpaceDE w:val="0"/>
        <w:autoSpaceDN w:val="0"/>
        <w:adjustRightInd w:val="0"/>
        <w:ind w:left="266" w:hanging="266"/>
        <w:textAlignment w:val="baseline"/>
        <w:rPr>
          <w:b/>
          <w:sz w:val="14"/>
          <w:szCs w:val="14"/>
          <w:lang w:val="en-GB"/>
        </w:rPr>
      </w:pPr>
    </w:p>
    <w:tbl>
      <w:tblPr>
        <w:tblW w:w="5000" w:type="pct"/>
        <w:tblLook w:val="04A0" w:firstRow="1" w:lastRow="0" w:firstColumn="1" w:lastColumn="0" w:noHBand="0" w:noVBand="1"/>
      </w:tblPr>
      <w:tblGrid>
        <w:gridCol w:w="1950"/>
        <w:gridCol w:w="7481"/>
      </w:tblGrid>
      <w:tr w:rsidR="005072F5" w:rsidRPr="00BC57D4" w14:paraId="79F158F0" w14:textId="77777777" w:rsidTr="00915390">
        <w:tc>
          <w:tcPr>
            <w:tcW w:w="1034" w:type="pct"/>
          </w:tcPr>
          <w:p w14:paraId="32212162" w14:textId="77777777" w:rsidR="005072F5" w:rsidRPr="00BC57D4"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3966" w:type="pct"/>
          </w:tcPr>
          <w:p w14:paraId="3C0A8086" w14:textId="77777777" w:rsidR="005072F5" w:rsidRPr="00BC57D4" w:rsidRDefault="005072F5" w:rsidP="00915390">
            <w:pPr>
              <w:tabs>
                <w:tab w:val="center" w:pos="284"/>
              </w:tabs>
              <w:overflowPunct w:val="0"/>
              <w:autoSpaceDE w:val="0"/>
              <w:autoSpaceDN w:val="0"/>
              <w:adjustRightInd w:val="0"/>
              <w:ind w:left="266" w:right="-3091" w:hanging="266"/>
              <w:textAlignment w:val="baseline"/>
            </w:pPr>
            <w:r>
              <w:t>Javier DOZ ORRIT (Grupo de Trabajadores – ES)</w:t>
            </w:r>
          </w:p>
        </w:tc>
      </w:tr>
      <w:tr w:rsidR="005072F5" w:rsidRPr="00BC57D4" w14:paraId="44A195CA" w14:textId="77777777" w:rsidTr="00915390">
        <w:tc>
          <w:tcPr>
            <w:tcW w:w="1034" w:type="pct"/>
          </w:tcPr>
          <w:p w14:paraId="3AEDDB3C" w14:textId="77777777" w:rsidR="005072F5" w:rsidRPr="00BC57D4"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3966" w:type="pct"/>
          </w:tcPr>
          <w:p w14:paraId="520063F0" w14:textId="77777777" w:rsidR="005072F5" w:rsidRPr="00BC57D4" w:rsidRDefault="005072F5" w:rsidP="00915390">
            <w:pPr>
              <w:tabs>
                <w:tab w:val="center" w:pos="284"/>
              </w:tabs>
              <w:overflowPunct w:val="0"/>
              <w:autoSpaceDE w:val="0"/>
              <w:autoSpaceDN w:val="0"/>
              <w:adjustRightInd w:val="0"/>
              <w:ind w:left="266" w:right="-3091" w:hanging="266"/>
              <w:textAlignment w:val="baseline"/>
            </w:pPr>
            <w:r>
              <w:t>Dictamen exploratorio solicitado por la Presidencia danesa del Consejo de la UE</w:t>
            </w:r>
          </w:p>
          <w:p w14:paraId="7406D18A" w14:textId="77777777" w:rsidR="005072F5" w:rsidRPr="00BC57D4" w:rsidRDefault="005072F5" w:rsidP="00915390">
            <w:pPr>
              <w:tabs>
                <w:tab w:val="center" w:pos="284"/>
              </w:tabs>
              <w:overflowPunct w:val="0"/>
              <w:autoSpaceDE w:val="0"/>
              <w:autoSpaceDN w:val="0"/>
              <w:adjustRightInd w:val="0"/>
              <w:ind w:left="266" w:right="-3091" w:hanging="266"/>
              <w:textAlignment w:val="baseline"/>
            </w:pPr>
            <w:r>
              <w:t>EESC-2025-01041-00-00-AC</w:t>
            </w:r>
          </w:p>
        </w:tc>
      </w:tr>
    </w:tbl>
    <w:p w14:paraId="05FC4D90" w14:textId="77777777" w:rsidR="005072F5" w:rsidRPr="004A5693" w:rsidRDefault="005072F5" w:rsidP="005072F5">
      <w:pPr>
        <w:keepNext/>
        <w:keepLines/>
        <w:tabs>
          <w:tab w:val="center" w:pos="284"/>
        </w:tabs>
        <w:overflowPunct w:val="0"/>
        <w:autoSpaceDE w:val="0"/>
        <w:autoSpaceDN w:val="0"/>
        <w:adjustRightInd w:val="0"/>
        <w:ind w:left="266" w:hanging="266"/>
        <w:textAlignment w:val="baseline"/>
        <w:rPr>
          <w:b/>
          <w:sz w:val="10"/>
          <w:szCs w:val="10"/>
          <w:lang w:val="en-GB"/>
        </w:rPr>
      </w:pPr>
    </w:p>
    <w:p w14:paraId="3B38455C" w14:textId="77777777" w:rsidR="005072F5" w:rsidRPr="00BC57D4"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78C9AF2A" w14:textId="77777777" w:rsidR="005072F5" w:rsidRPr="004A5693" w:rsidRDefault="005072F5" w:rsidP="005072F5">
      <w:pPr>
        <w:keepNext/>
        <w:keepLines/>
        <w:tabs>
          <w:tab w:val="center" w:pos="284"/>
        </w:tabs>
        <w:overflowPunct w:val="0"/>
        <w:autoSpaceDE w:val="0"/>
        <w:autoSpaceDN w:val="0"/>
        <w:adjustRightInd w:val="0"/>
        <w:ind w:left="266" w:hanging="266"/>
        <w:textAlignment w:val="baseline"/>
        <w:rPr>
          <w:b/>
          <w:sz w:val="12"/>
          <w:szCs w:val="12"/>
          <w:lang w:val="en-GB"/>
        </w:rPr>
      </w:pPr>
    </w:p>
    <w:p w14:paraId="6C51C8CE" w14:textId="77777777" w:rsidR="005072F5" w:rsidRDefault="005072F5" w:rsidP="005072F5">
      <w:r>
        <w:t>El CESE:</w:t>
      </w:r>
    </w:p>
    <w:p w14:paraId="18916C11" w14:textId="77777777" w:rsidR="005072F5" w:rsidRPr="004A5693" w:rsidRDefault="005072F5" w:rsidP="005072F5">
      <w:pPr>
        <w:rPr>
          <w:sz w:val="12"/>
          <w:szCs w:val="12"/>
        </w:rPr>
      </w:pPr>
    </w:p>
    <w:p w14:paraId="1DEB8AF0" w14:textId="77777777" w:rsidR="005072F5" w:rsidRPr="00BC57D4" w:rsidRDefault="005072F5" w:rsidP="005072F5">
      <w:pPr>
        <w:widowControl w:val="0"/>
        <w:numPr>
          <w:ilvl w:val="0"/>
          <w:numId w:val="47"/>
        </w:numPr>
        <w:overflowPunct w:val="0"/>
        <w:autoSpaceDE w:val="0"/>
        <w:autoSpaceDN w:val="0"/>
        <w:adjustRightInd w:val="0"/>
        <w:spacing w:line="264" w:lineRule="auto"/>
        <w:ind w:left="425" w:hanging="425"/>
        <w:textAlignment w:val="baseline"/>
        <w:rPr>
          <w:bCs/>
          <w:iCs/>
        </w:rPr>
      </w:pPr>
      <w:r>
        <w:t>evalúa la manera en que el marco de financiación sostenible de la UE puede hacerse más sólido y adecuado para su finalidad, habida cuenta de su importancia para los objetivos económicos, sociales y climáticos de la UE;</w:t>
      </w:r>
    </w:p>
    <w:p w14:paraId="703DECF4" w14:textId="77777777" w:rsidR="005072F5" w:rsidRPr="00BC57D4" w:rsidRDefault="005072F5" w:rsidP="005072F5">
      <w:pPr>
        <w:widowControl w:val="0"/>
        <w:numPr>
          <w:ilvl w:val="0"/>
          <w:numId w:val="47"/>
        </w:numPr>
        <w:overflowPunct w:val="0"/>
        <w:autoSpaceDE w:val="0"/>
        <w:autoSpaceDN w:val="0"/>
        <w:adjustRightInd w:val="0"/>
        <w:spacing w:line="264" w:lineRule="auto"/>
        <w:ind w:left="425" w:hanging="425"/>
        <w:textAlignment w:val="baseline"/>
        <w:rPr>
          <w:bCs/>
          <w:iCs/>
        </w:rPr>
      </w:pPr>
      <w:r>
        <w:t>afirma que la simplificación no debería ir en detrimento de la ambición. Si bien es necesaria una racionalización administrativa, la atención debería centrarse en cómo aplicar los requisitos de manera más eficaz, y no en debilitar las normas;</w:t>
      </w:r>
    </w:p>
    <w:p w14:paraId="12B84FB1" w14:textId="77777777" w:rsidR="005072F5" w:rsidRPr="00BC57D4" w:rsidRDefault="005072F5" w:rsidP="005072F5">
      <w:pPr>
        <w:widowControl w:val="0"/>
        <w:numPr>
          <w:ilvl w:val="0"/>
          <w:numId w:val="47"/>
        </w:numPr>
        <w:overflowPunct w:val="0"/>
        <w:autoSpaceDE w:val="0"/>
        <w:autoSpaceDN w:val="0"/>
        <w:adjustRightInd w:val="0"/>
        <w:spacing w:line="264" w:lineRule="auto"/>
        <w:ind w:left="425" w:hanging="425"/>
        <w:textAlignment w:val="baseline"/>
        <w:rPr>
          <w:bCs/>
          <w:iCs/>
        </w:rPr>
      </w:pPr>
      <w:r>
        <w:t>insta a las instituciones de la UE a que garanticen que los paquetes ómnibus apoyen el marco de financiación sostenible y faciliten al mismo tiempo el cumplimiento por parte de las empresas como un componente positivo. Los cambios en la Directiva sobre diligencia debida de las empresas en materia de sostenibilidad y la Directiva sobre información corporativa en materia de sostenibilidad no deberían socavar la capacidad de la UE para incrementar las inversiones sostenibles y cumplir los objetivos de la Legislación Europea sobre el Clima;</w:t>
      </w:r>
    </w:p>
    <w:p w14:paraId="43D6074D" w14:textId="77777777" w:rsidR="005072F5" w:rsidRPr="00BC57D4" w:rsidRDefault="005072F5" w:rsidP="005072F5">
      <w:pPr>
        <w:widowControl w:val="0"/>
        <w:numPr>
          <w:ilvl w:val="0"/>
          <w:numId w:val="47"/>
        </w:numPr>
        <w:overflowPunct w:val="0"/>
        <w:autoSpaceDE w:val="0"/>
        <w:autoSpaceDN w:val="0"/>
        <w:adjustRightInd w:val="0"/>
        <w:spacing w:line="264" w:lineRule="auto"/>
        <w:ind w:left="425" w:hanging="425"/>
        <w:textAlignment w:val="baseline"/>
        <w:rPr>
          <w:bCs/>
          <w:iCs/>
        </w:rPr>
      </w:pPr>
      <w:r>
        <w:t>considera que este marco ha mejorado la transparencia, pero esto no es suficiente para impulsar los cambios sistémicos necesarios. La adaptación de los requisitos en torno a los planes de transición y la modificación de las obligaciones de diligencia debida no deberían amenazar la integridad del marco. Algunos de los cambios de los paquetes ómnibus podrían ponerlo en peligro;</w:t>
      </w:r>
    </w:p>
    <w:p w14:paraId="04E2F230" w14:textId="77777777" w:rsidR="005072F5" w:rsidRPr="00BC57D4" w:rsidRDefault="005072F5" w:rsidP="005072F5">
      <w:pPr>
        <w:widowControl w:val="0"/>
        <w:numPr>
          <w:ilvl w:val="0"/>
          <w:numId w:val="47"/>
        </w:numPr>
        <w:overflowPunct w:val="0"/>
        <w:autoSpaceDE w:val="0"/>
        <w:autoSpaceDN w:val="0"/>
        <w:adjustRightInd w:val="0"/>
        <w:spacing w:line="264" w:lineRule="auto"/>
        <w:ind w:left="425" w:hanging="425"/>
        <w:textAlignment w:val="baseline"/>
        <w:rPr>
          <w:bCs/>
          <w:iCs/>
        </w:rPr>
      </w:pPr>
      <w:r>
        <w:t>insta a la Comisión y al Parlamento a que mantengan la ambición y garanticen la coherencia en toda la arquitectura de las finanzas sostenibles;</w:t>
      </w:r>
    </w:p>
    <w:p w14:paraId="1171CD6B" w14:textId="77777777" w:rsidR="005072F5" w:rsidRPr="00BC57D4" w:rsidRDefault="005072F5" w:rsidP="005072F5">
      <w:pPr>
        <w:widowControl w:val="0"/>
        <w:numPr>
          <w:ilvl w:val="0"/>
          <w:numId w:val="47"/>
        </w:numPr>
        <w:overflowPunct w:val="0"/>
        <w:autoSpaceDE w:val="0"/>
        <w:autoSpaceDN w:val="0"/>
        <w:adjustRightInd w:val="0"/>
        <w:spacing w:line="264" w:lineRule="auto"/>
        <w:ind w:left="425" w:hanging="425"/>
        <w:textAlignment w:val="baseline"/>
        <w:rPr>
          <w:bCs/>
          <w:iCs/>
        </w:rPr>
      </w:pPr>
      <w:r>
        <w:t>apoya, al mismo tiempo, los esfuerzos por hacer que los requisitos de presentación de informes sean más proporcionados, en particular para las pymes;</w:t>
      </w:r>
    </w:p>
    <w:p w14:paraId="55E23B44" w14:textId="77777777" w:rsidR="005072F5" w:rsidRPr="00BC57D4" w:rsidRDefault="005072F5" w:rsidP="005072F5">
      <w:pPr>
        <w:widowControl w:val="0"/>
        <w:numPr>
          <w:ilvl w:val="0"/>
          <w:numId w:val="47"/>
        </w:numPr>
        <w:overflowPunct w:val="0"/>
        <w:autoSpaceDE w:val="0"/>
        <w:autoSpaceDN w:val="0"/>
        <w:adjustRightInd w:val="0"/>
        <w:spacing w:line="264" w:lineRule="auto"/>
        <w:ind w:left="425" w:hanging="425"/>
        <w:textAlignment w:val="baseline"/>
        <w:rPr>
          <w:bCs/>
          <w:iCs/>
        </w:rPr>
      </w:pPr>
      <w:r>
        <w:t>reitera su llamamiento en favor de un marco de financiación sostenible que aborde todo el espectro ambiental, social y de gobernanza, y está dispuesto a participar en el diseño de garantías sociales mínimas y a aplicar una taxonomía social;</w:t>
      </w:r>
    </w:p>
    <w:p w14:paraId="63087EC9" w14:textId="77777777" w:rsidR="005072F5" w:rsidRPr="00BC57D4" w:rsidRDefault="005072F5" w:rsidP="005072F5">
      <w:pPr>
        <w:widowControl w:val="0"/>
        <w:numPr>
          <w:ilvl w:val="0"/>
          <w:numId w:val="47"/>
        </w:numPr>
        <w:overflowPunct w:val="0"/>
        <w:autoSpaceDE w:val="0"/>
        <w:autoSpaceDN w:val="0"/>
        <w:adjustRightInd w:val="0"/>
        <w:spacing w:line="264" w:lineRule="auto"/>
        <w:ind w:left="425" w:hanging="425"/>
        <w:textAlignment w:val="baseline"/>
        <w:rPr>
          <w:bCs/>
          <w:iCs/>
        </w:rPr>
      </w:pPr>
      <w:r>
        <w:t>destaca la necesidad de un marco que tenga debidamente en cuenta todo el espectro de riesgo asociado a las actividades insostenibles. Esto incluye un reconocimiento de los costes sociales de tales acciones;</w:t>
      </w:r>
    </w:p>
    <w:p w14:paraId="57F4D21D" w14:textId="77777777" w:rsidR="005072F5" w:rsidRPr="00BC57D4" w:rsidRDefault="005072F5" w:rsidP="005072F5">
      <w:pPr>
        <w:widowControl w:val="0"/>
        <w:numPr>
          <w:ilvl w:val="0"/>
          <w:numId w:val="47"/>
        </w:numPr>
        <w:overflowPunct w:val="0"/>
        <w:autoSpaceDE w:val="0"/>
        <w:autoSpaceDN w:val="0"/>
        <w:adjustRightInd w:val="0"/>
        <w:spacing w:line="264" w:lineRule="auto"/>
        <w:ind w:left="425" w:hanging="425"/>
        <w:textAlignment w:val="baseline"/>
        <w:rPr>
          <w:bCs/>
          <w:iCs/>
        </w:rPr>
      </w:pPr>
      <w:r>
        <w:t>pide definiciones más claras de los conceptos clave de la sostenibilidad, lo que incluye el reconocimiento formal de la financiación de transición como parte diferenciada de la agenda de financiación sostenible de la UE;</w:t>
      </w:r>
    </w:p>
    <w:p w14:paraId="662D8E5B" w14:textId="77777777" w:rsidR="005072F5" w:rsidRPr="00BC57D4" w:rsidRDefault="005072F5" w:rsidP="005072F5">
      <w:pPr>
        <w:widowControl w:val="0"/>
        <w:numPr>
          <w:ilvl w:val="0"/>
          <w:numId w:val="47"/>
        </w:numPr>
        <w:overflowPunct w:val="0"/>
        <w:autoSpaceDE w:val="0"/>
        <w:autoSpaceDN w:val="0"/>
        <w:adjustRightInd w:val="0"/>
        <w:spacing w:line="264" w:lineRule="auto"/>
        <w:ind w:left="425" w:hanging="425"/>
        <w:textAlignment w:val="baseline"/>
        <w:rPr>
          <w:bCs/>
          <w:iCs/>
        </w:rPr>
      </w:pPr>
      <w:r>
        <w:t>pide que el nuevo marco legislativo para la financiación sostenible facilite a las pymes y a las empresas de la economía social el cumplimiento de sus requisitos;</w:t>
      </w:r>
    </w:p>
    <w:p w14:paraId="7CBB2181" w14:textId="77777777" w:rsidR="005072F5" w:rsidRPr="00BC57D4" w:rsidRDefault="005072F5" w:rsidP="005072F5">
      <w:pPr>
        <w:widowControl w:val="0"/>
        <w:numPr>
          <w:ilvl w:val="0"/>
          <w:numId w:val="47"/>
        </w:numPr>
        <w:overflowPunct w:val="0"/>
        <w:autoSpaceDE w:val="0"/>
        <w:autoSpaceDN w:val="0"/>
        <w:adjustRightInd w:val="0"/>
        <w:spacing w:line="264" w:lineRule="auto"/>
        <w:ind w:left="425" w:hanging="425"/>
        <w:textAlignment w:val="baseline"/>
        <w:rPr>
          <w:bCs/>
          <w:iCs/>
        </w:rPr>
      </w:pPr>
      <w:r>
        <w:t>considera que los instrumentos de ahorro colectivo, como los planes de pensiones de empleo, deben reforzarse como una fuente sólida de inversión sostenible;</w:t>
      </w:r>
    </w:p>
    <w:p w14:paraId="32015A02" w14:textId="77777777" w:rsidR="005072F5" w:rsidRPr="00BC57D4" w:rsidRDefault="005072F5" w:rsidP="005072F5">
      <w:pPr>
        <w:widowControl w:val="0"/>
        <w:numPr>
          <w:ilvl w:val="0"/>
          <w:numId w:val="47"/>
        </w:numPr>
        <w:overflowPunct w:val="0"/>
        <w:autoSpaceDE w:val="0"/>
        <w:autoSpaceDN w:val="0"/>
        <w:adjustRightInd w:val="0"/>
        <w:spacing w:line="264" w:lineRule="auto"/>
        <w:ind w:left="425" w:hanging="425"/>
        <w:textAlignment w:val="baseline"/>
        <w:rPr>
          <w:bCs/>
          <w:iCs/>
        </w:rPr>
      </w:pPr>
      <w:r>
        <w:t xml:space="preserve">pide a la UE y a los Estados miembros que reafirmen su compromiso financiero y político con la agenda de sostenibilidad. Debe preservarse un margen presupuestario adecuado para las inversiones ecológicas y sociales. </w:t>
      </w:r>
    </w:p>
    <w:p w14:paraId="78E6DA36" w14:textId="77777777" w:rsidR="005072F5" w:rsidRPr="004A5693" w:rsidRDefault="005072F5" w:rsidP="005072F5">
      <w:pPr>
        <w:widowControl w:val="0"/>
        <w:overflowPunct w:val="0"/>
        <w:autoSpaceDE w:val="0"/>
        <w:autoSpaceDN w:val="0"/>
        <w:adjustRightInd w:val="0"/>
        <w:ind w:left="709"/>
        <w:textAlignment w:val="baseline"/>
        <w:rPr>
          <w:sz w:val="14"/>
          <w:szCs w:val="12"/>
          <w:lang w:val="en-GB"/>
        </w:rPr>
      </w:pPr>
    </w:p>
    <w:tbl>
      <w:tblPr>
        <w:tblW w:w="5000" w:type="pct"/>
        <w:tblLook w:val="04A0" w:firstRow="1" w:lastRow="0" w:firstColumn="1" w:lastColumn="0" w:noHBand="0" w:noVBand="1"/>
      </w:tblPr>
      <w:tblGrid>
        <w:gridCol w:w="2094"/>
        <w:gridCol w:w="7337"/>
      </w:tblGrid>
      <w:tr w:rsidR="005072F5" w:rsidRPr="00BC57D4" w14:paraId="1FF2A2E5" w14:textId="77777777" w:rsidTr="00915390">
        <w:tc>
          <w:tcPr>
            <w:tcW w:w="1110" w:type="pct"/>
          </w:tcPr>
          <w:p w14:paraId="4B4E4181" w14:textId="77777777" w:rsidR="005072F5" w:rsidRPr="00BC57D4" w:rsidRDefault="005072F5" w:rsidP="00915390">
            <w:pPr>
              <w:overflowPunct w:val="0"/>
              <w:autoSpaceDE w:val="0"/>
              <w:autoSpaceDN w:val="0"/>
              <w:adjustRightInd w:val="0"/>
              <w:textAlignment w:val="baseline"/>
              <w:rPr>
                <w:i/>
              </w:rPr>
            </w:pPr>
            <w:r>
              <w:rPr>
                <w:b/>
                <w:i/>
              </w:rPr>
              <w:t>Contacto:</w:t>
            </w:r>
          </w:p>
        </w:tc>
        <w:tc>
          <w:tcPr>
            <w:tcW w:w="3890" w:type="pct"/>
          </w:tcPr>
          <w:p w14:paraId="1433BD52" w14:textId="77777777" w:rsidR="005072F5" w:rsidRPr="00BC57D4" w:rsidRDefault="005072F5" w:rsidP="00915390">
            <w:pPr>
              <w:overflowPunct w:val="0"/>
              <w:autoSpaceDE w:val="0"/>
              <w:autoSpaceDN w:val="0"/>
              <w:adjustRightInd w:val="0"/>
              <w:textAlignment w:val="baseline"/>
              <w:rPr>
                <w:i/>
              </w:rPr>
            </w:pPr>
            <w:r>
              <w:rPr>
                <w:i/>
              </w:rPr>
              <w:t>Gerald Klec</w:t>
            </w:r>
          </w:p>
        </w:tc>
      </w:tr>
      <w:tr w:rsidR="005072F5" w:rsidRPr="00BC57D4" w14:paraId="2D7181CE" w14:textId="77777777" w:rsidTr="00915390">
        <w:tc>
          <w:tcPr>
            <w:tcW w:w="1110" w:type="pct"/>
          </w:tcPr>
          <w:p w14:paraId="3A5FF632" w14:textId="77777777" w:rsidR="005072F5" w:rsidRPr="00BC57D4" w:rsidRDefault="005072F5" w:rsidP="00915390">
            <w:pPr>
              <w:overflowPunct w:val="0"/>
              <w:autoSpaceDE w:val="0"/>
              <w:autoSpaceDN w:val="0"/>
              <w:adjustRightInd w:val="0"/>
              <w:textAlignment w:val="baseline"/>
              <w:rPr>
                <w:i/>
              </w:rPr>
            </w:pPr>
            <w:r>
              <w:rPr>
                <w:i/>
              </w:rPr>
              <w:t>Teléfono:</w:t>
            </w:r>
          </w:p>
        </w:tc>
        <w:tc>
          <w:tcPr>
            <w:tcW w:w="3890" w:type="pct"/>
          </w:tcPr>
          <w:p w14:paraId="0E74AF30" w14:textId="77777777" w:rsidR="005072F5" w:rsidRPr="00BC57D4" w:rsidRDefault="005072F5" w:rsidP="00915390">
            <w:pPr>
              <w:overflowPunct w:val="0"/>
              <w:autoSpaceDE w:val="0"/>
              <w:autoSpaceDN w:val="0"/>
              <w:adjustRightInd w:val="0"/>
              <w:textAlignment w:val="baseline"/>
              <w:rPr>
                <w:i/>
              </w:rPr>
            </w:pPr>
            <w:r>
              <w:rPr>
                <w:i/>
              </w:rPr>
              <w:t>+32 2 546 9909</w:t>
            </w:r>
          </w:p>
        </w:tc>
      </w:tr>
      <w:tr w:rsidR="005072F5" w:rsidRPr="00BC57D4" w14:paraId="604ABE02" w14:textId="77777777" w:rsidTr="00915390">
        <w:tc>
          <w:tcPr>
            <w:tcW w:w="1110" w:type="pct"/>
          </w:tcPr>
          <w:p w14:paraId="768D8C9B" w14:textId="77777777" w:rsidR="005072F5" w:rsidRPr="00BC57D4" w:rsidRDefault="005072F5" w:rsidP="00915390">
            <w:pPr>
              <w:overflowPunct w:val="0"/>
              <w:autoSpaceDE w:val="0"/>
              <w:autoSpaceDN w:val="0"/>
              <w:adjustRightInd w:val="0"/>
              <w:textAlignment w:val="baseline"/>
              <w:rPr>
                <w:i/>
              </w:rPr>
            </w:pPr>
            <w:r>
              <w:rPr>
                <w:i/>
              </w:rPr>
              <w:t>Correo electrónico:</w:t>
            </w:r>
          </w:p>
        </w:tc>
        <w:tc>
          <w:tcPr>
            <w:tcW w:w="3890" w:type="pct"/>
          </w:tcPr>
          <w:p w14:paraId="2F580F2B" w14:textId="77777777" w:rsidR="005072F5" w:rsidRPr="00BC57D4" w:rsidRDefault="005072F5" w:rsidP="00915390">
            <w:pPr>
              <w:overflowPunct w:val="0"/>
              <w:autoSpaceDE w:val="0"/>
              <w:autoSpaceDN w:val="0"/>
              <w:adjustRightInd w:val="0"/>
              <w:textAlignment w:val="baseline"/>
              <w:rPr>
                <w:i/>
              </w:rPr>
            </w:pPr>
            <w:hyperlink r:id="rId35" w:history="1">
              <w:r>
                <w:rPr>
                  <w:i/>
                  <w:color w:val="0000FF"/>
                  <w:u w:val="single"/>
                </w:rPr>
                <w:t>Gerald.Klec@eesc.europa.eu</w:t>
              </w:r>
            </w:hyperlink>
          </w:p>
        </w:tc>
      </w:tr>
    </w:tbl>
    <w:p w14:paraId="2E684751" w14:textId="77777777" w:rsidR="005072F5" w:rsidRDefault="005072F5" w:rsidP="005072F5">
      <w:pPr>
        <w:jc w:val="left"/>
      </w:pPr>
    </w:p>
    <w:p w14:paraId="7184BA2D" w14:textId="77777777" w:rsidR="005072F5" w:rsidRPr="00EA2195" w:rsidRDefault="005072F5" w:rsidP="005072F5">
      <w:pPr>
        <w:pStyle w:val="Heading1"/>
        <w:keepNext/>
        <w:keepLines/>
        <w:ind w:left="567" w:hanging="567"/>
        <w:rPr>
          <w:b/>
        </w:rPr>
      </w:pPr>
      <w:bookmarkStart w:id="56" w:name="_Toc75527081"/>
      <w:bookmarkStart w:id="57" w:name="_Toc211345374"/>
      <w:r>
        <w:rPr>
          <w:b/>
        </w:rPr>
        <w:t>EMPLEO, ASUNTOS SOCIALES Y CIUDADANÍA</w:t>
      </w:r>
      <w:bookmarkEnd w:id="56"/>
      <w:bookmarkEnd w:id="57"/>
    </w:p>
    <w:p w14:paraId="0BE742B1" w14:textId="77777777" w:rsidR="005072F5" w:rsidRDefault="005072F5" w:rsidP="005072F5">
      <w:pPr>
        <w:keepNext/>
        <w:keepLines/>
      </w:pPr>
    </w:p>
    <w:p w14:paraId="41F63AF8" w14:textId="77777777" w:rsidR="005072F5" w:rsidRPr="0042320F" w:rsidRDefault="005072F5" w:rsidP="005072F5">
      <w:pPr>
        <w:keepNext/>
        <w:keepLines/>
        <w:widowControl w:val="0"/>
        <w:numPr>
          <w:ilvl w:val="0"/>
          <w:numId w:val="10"/>
        </w:numPr>
        <w:overflowPunct w:val="0"/>
        <w:autoSpaceDE w:val="0"/>
        <w:autoSpaceDN w:val="0"/>
        <w:adjustRightInd w:val="0"/>
        <w:ind w:left="567" w:hanging="567"/>
        <w:textAlignment w:val="baseline"/>
        <w:rPr>
          <w:b/>
        </w:rPr>
      </w:pPr>
      <w:hyperlink r:id="rId36" w:history="1">
        <w:r>
          <w:rPr>
            <w:b/>
            <w:i/>
            <w:color w:val="0000FF"/>
            <w:sz w:val="28"/>
            <w:u w:val="single"/>
          </w:rPr>
          <w:t>Un enfoque de prevención activo e inclusivo para contribuir a mejorar la salud y la seguridad en el lugar de trabajo: objetivos de cero mortalidad</w:t>
        </w:r>
      </w:hyperlink>
    </w:p>
    <w:p w14:paraId="1E411E8D" w14:textId="77777777" w:rsidR="005072F5" w:rsidRPr="00D20AB4" w:rsidRDefault="005072F5" w:rsidP="005072F5">
      <w:pPr>
        <w:keepNext/>
        <w:keepLines/>
        <w:tabs>
          <w:tab w:val="center" w:pos="284"/>
        </w:tabs>
        <w:overflowPunct w:val="0"/>
        <w:autoSpaceDE w:val="0"/>
        <w:autoSpaceDN w:val="0"/>
        <w:adjustRightInd w:val="0"/>
        <w:ind w:left="567" w:hanging="567"/>
        <w:textAlignment w:val="baseline"/>
      </w:pPr>
    </w:p>
    <w:tbl>
      <w:tblPr>
        <w:tblW w:w="9498" w:type="dxa"/>
        <w:tblLook w:val="04A0" w:firstRow="1" w:lastRow="0" w:firstColumn="1" w:lastColumn="0" w:noHBand="0" w:noVBand="1"/>
      </w:tblPr>
      <w:tblGrid>
        <w:gridCol w:w="1701"/>
        <w:gridCol w:w="7797"/>
      </w:tblGrid>
      <w:tr w:rsidR="005072F5" w:rsidRPr="0042320F" w14:paraId="09DA6897" w14:textId="77777777" w:rsidTr="00915390">
        <w:tc>
          <w:tcPr>
            <w:tcW w:w="1701" w:type="dxa"/>
          </w:tcPr>
          <w:p w14:paraId="433DD4A0" w14:textId="77777777" w:rsidR="005072F5" w:rsidRPr="0042320F" w:rsidRDefault="005072F5" w:rsidP="00915390">
            <w:pPr>
              <w:tabs>
                <w:tab w:val="center" w:pos="284"/>
              </w:tabs>
              <w:overflowPunct w:val="0"/>
              <w:autoSpaceDE w:val="0"/>
              <w:autoSpaceDN w:val="0"/>
              <w:adjustRightInd w:val="0"/>
              <w:ind w:left="567" w:hanging="567"/>
              <w:textAlignment w:val="baseline"/>
              <w:rPr>
                <w:b/>
              </w:rPr>
            </w:pPr>
            <w:r>
              <w:rPr>
                <w:b/>
              </w:rPr>
              <w:t>Ponente</w:t>
            </w:r>
          </w:p>
        </w:tc>
        <w:tc>
          <w:tcPr>
            <w:tcW w:w="7797" w:type="dxa"/>
          </w:tcPr>
          <w:p w14:paraId="3612C9F4" w14:textId="77777777" w:rsidR="005072F5" w:rsidRPr="0042320F" w:rsidRDefault="005072F5" w:rsidP="00915390">
            <w:pPr>
              <w:overflowPunct w:val="0"/>
              <w:autoSpaceDE w:val="0"/>
              <w:autoSpaceDN w:val="0"/>
              <w:adjustRightInd w:val="0"/>
              <w:ind w:left="567" w:hanging="567"/>
              <w:textAlignment w:val="baseline"/>
            </w:pPr>
            <w:r>
              <w:t>Nicoletta MERLO (Grupo de Trabajadores – IT)</w:t>
            </w:r>
          </w:p>
        </w:tc>
      </w:tr>
      <w:tr w:rsidR="005072F5" w:rsidRPr="0042320F" w14:paraId="6196692B" w14:textId="77777777" w:rsidTr="00915390">
        <w:tc>
          <w:tcPr>
            <w:tcW w:w="1701" w:type="dxa"/>
          </w:tcPr>
          <w:p w14:paraId="1AEB1F42" w14:textId="77777777" w:rsidR="005072F5" w:rsidRPr="0042320F" w:rsidRDefault="005072F5" w:rsidP="00915390">
            <w:pPr>
              <w:tabs>
                <w:tab w:val="center" w:pos="284"/>
              </w:tabs>
              <w:overflowPunct w:val="0"/>
              <w:autoSpaceDE w:val="0"/>
              <w:autoSpaceDN w:val="0"/>
              <w:adjustRightInd w:val="0"/>
              <w:ind w:left="567" w:hanging="567"/>
              <w:textAlignment w:val="baseline"/>
              <w:rPr>
                <w:b/>
              </w:rPr>
            </w:pPr>
            <w:r>
              <w:rPr>
                <w:b/>
              </w:rPr>
              <w:t>Referencia</w:t>
            </w:r>
          </w:p>
        </w:tc>
        <w:tc>
          <w:tcPr>
            <w:tcW w:w="7797" w:type="dxa"/>
          </w:tcPr>
          <w:p w14:paraId="491AD582" w14:textId="77777777" w:rsidR="005072F5" w:rsidRPr="00EA2195" w:rsidRDefault="005072F5" w:rsidP="00915390">
            <w:pPr>
              <w:tabs>
                <w:tab w:val="center" w:pos="284"/>
              </w:tabs>
              <w:overflowPunct w:val="0"/>
              <w:autoSpaceDE w:val="0"/>
              <w:autoSpaceDN w:val="0"/>
              <w:adjustRightInd w:val="0"/>
              <w:ind w:left="567" w:hanging="567"/>
              <w:textAlignment w:val="baseline"/>
            </w:pPr>
            <w:r>
              <w:t>Dictamen exploratorio solicitado por la Presidencia danesa del Consejo de la UE</w:t>
            </w:r>
          </w:p>
          <w:p w14:paraId="257DAE5A" w14:textId="77777777" w:rsidR="005072F5" w:rsidRPr="0042320F" w:rsidRDefault="005072F5" w:rsidP="00915390">
            <w:pPr>
              <w:tabs>
                <w:tab w:val="center" w:pos="284"/>
              </w:tabs>
              <w:overflowPunct w:val="0"/>
              <w:autoSpaceDE w:val="0"/>
              <w:autoSpaceDN w:val="0"/>
              <w:adjustRightInd w:val="0"/>
              <w:ind w:left="567" w:hanging="567"/>
              <w:textAlignment w:val="baseline"/>
            </w:pPr>
            <w:r>
              <w:t>EESC-2025-01394-00-00-AC</w:t>
            </w:r>
          </w:p>
        </w:tc>
      </w:tr>
    </w:tbl>
    <w:p w14:paraId="624D727B" w14:textId="77777777" w:rsidR="005072F5" w:rsidRDefault="005072F5" w:rsidP="005072F5">
      <w:pPr>
        <w:tabs>
          <w:tab w:val="center" w:pos="284"/>
        </w:tabs>
        <w:overflowPunct w:val="0"/>
        <w:autoSpaceDE w:val="0"/>
        <w:autoSpaceDN w:val="0"/>
        <w:adjustRightInd w:val="0"/>
        <w:ind w:left="267" w:hanging="125"/>
        <w:textAlignment w:val="baseline"/>
        <w:rPr>
          <w:b/>
          <w:lang w:val="en-GB"/>
        </w:rPr>
      </w:pPr>
    </w:p>
    <w:p w14:paraId="502DCD0C" w14:textId="77777777" w:rsidR="005072F5" w:rsidRDefault="005072F5" w:rsidP="005072F5">
      <w:pPr>
        <w:tabs>
          <w:tab w:val="center" w:pos="142"/>
        </w:tabs>
        <w:overflowPunct w:val="0"/>
        <w:autoSpaceDE w:val="0"/>
        <w:autoSpaceDN w:val="0"/>
        <w:adjustRightInd w:val="0"/>
        <w:ind w:left="142" w:hanging="125"/>
        <w:textAlignment w:val="baseline"/>
        <w:rPr>
          <w:b/>
        </w:rPr>
      </w:pPr>
      <w:r>
        <w:rPr>
          <w:b/>
        </w:rPr>
        <w:t>Puntos clave</w:t>
      </w:r>
    </w:p>
    <w:p w14:paraId="08202293" w14:textId="77777777" w:rsidR="005072F5" w:rsidRPr="0042320F" w:rsidRDefault="005072F5" w:rsidP="005072F5">
      <w:pPr>
        <w:tabs>
          <w:tab w:val="center" w:pos="284"/>
        </w:tabs>
        <w:overflowPunct w:val="0"/>
        <w:autoSpaceDE w:val="0"/>
        <w:autoSpaceDN w:val="0"/>
        <w:adjustRightInd w:val="0"/>
        <w:ind w:left="267" w:hanging="125"/>
        <w:textAlignment w:val="baseline"/>
        <w:rPr>
          <w:b/>
          <w:lang w:val="en-GB"/>
        </w:rPr>
      </w:pPr>
    </w:p>
    <w:p w14:paraId="53DB1361" w14:textId="77777777" w:rsidR="005072F5" w:rsidRDefault="005072F5" w:rsidP="005072F5">
      <w:pPr>
        <w:rPr>
          <w:sz w:val="24"/>
        </w:rPr>
      </w:pPr>
      <w:r>
        <w:rPr>
          <w:sz w:val="24"/>
        </w:rPr>
        <w:t>El CESE:</w:t>
      </w:r>
    </w:p>
    <w:p w14:paraId="16835000" w14:textId="77777777" w:rsidR="005072F5" w:rsidRPr="0042320F" w:rsidRDefault="005072F5" w:rsidP="005072F5">
      <w:pPr>
        <w:rPr>
          <w:sz w:val="24"/>
          <w:szCs w:val="24"/>
        </w:rPr>
      </w:pPr>
    </w:p>
    <w:p w14:paraId="46A0C8B8" w14:textId="77777777" w:rsidR="005072F5" w:rsidRPr="0042320F" w:rsidRDefault="005072F5" w:rsidP="005072F5">
      <w:pPr>
        <w:numPr>
          <w:ilvl w:val="0"/>
          <w:numId w:val="48"/>
        </w:numPr>
        <w:overflowPunct w:val="0"/>
        <w:autoSpaceDE w:val="0"/>
        <w:autoSpaceDN w:val="0"/>
        <w:adjustRightInd w:val="0"/>
        <w:ind w:left="426" w:hanging="426"/>
        <w:contextualSpacing/>
        <w:textAlignment w:val="baseline"/>
      </w:pPr>
      <w:r>
        <w:t>recomienda que la UE y los Estados miembros garanticen una protección y prevención de los riesgos en materia de salud y seguridad en el lugar de trabajo para todas las personas conforme a lo dispuesto en la Directiva marco sobre salud y seguridad en el trabajo, con independencia de su contrato laboral, puesto de trabajo o itinerario de formación. Esta protección incluye un nivel mínimo y global de bienestar físico, mental y social en el lugar de trabajo;</w:t>
      </w:r>
    </w:p>
    <w:p w14:paraId="214127F1" w14:textId="77777777" w:rsidR="005072F5" w:rsidRPr="0042320F" w:rsidRDefault="005072F5" w:rsidP="005072F5">
      <w:pPr>
        <w:numPr>
          <w:ilvl w:val="0"/>
          <w:numId w:val="48"/>
        </w:numPr>
        <w:overflowPunct w:val="0"/>
        <w:autoSpaceDE w:val="0"/>
        <w:autoSpaceDN w:val="0"/>
        <w:adjustRightInd w:val="0"/>
        <w:ind w:left="426" w:hanging="426"/>
        <w:contextualSpacing/>
        <w:textAlignment w:val="baseline"/>
      </w:pPr>
      <w:r>
        <w:t>recomienda reforzar la cooperación y la responsabilidad compartida entre todas las partes interesadas, en particular los interlocutores sociales, para garantizar una gestión eficaz de la salud y la seguridad en el trabajo. La participación activa de los representantes de los trabajadores y la promoción del diálogo social a nivel de empresa son esenciales;</w:t>
      </w:r>
    </w:p>
    <w:p w14:paraId="5BA60E02" w14:textId="77777777" w:rsidR="005072F5" w:rsidRPr="0042320F" w:rsidRDefault="005072F5" w:rsidP="005072F5">
      <w:pPr>
        <w:numPr>
          <w:ilvl w:val="0"/>
          <w:numId w:val="48"/>
        </w:numPr>
        <w:overflowPunct w:val="0"/>
        <w:autoSpaceDE w:val="0"/>
        <w:autoSpaceDN w:val="0"/>
        <w:adjustRightInd w:val="0"/>
        <w:ind w:left="426" w:hanging="426"/>
        <w:contextualSpacing/>
        <w:textAlignment w:val="baseline"/>
      </w:pPr>
      <w:r>
        <w:t>recuerda la importancia de efectuar evaluaciones de riesgos exhaustivas que aborden todos los riesgos laborales físicos y psicosociales a los que se exponen los trabajadores. Tales riesgos pueden estar vinculados a nuevos modelos de trabajo y retos medioambientales;</w:t>
      </w:r>
    </w:p>
    <w:p w14:paraId="0C744B2E" w14:textId="77777777" w:rsidR="005072F5" w:rsidRPr="0042320F" w:rsidRDefault="005072F5" w:rsidP="005072F5">
      <w:pPr>
        <w:numPr>
          <w:ilvl w:val="0"/>
          <w:numId w:val="48"/>
        </w:numPr>
        <w:overflowPunct w:val="0"/>
        <w:autoSpaceDE w:val="0"/>
        <w:autoSpaceDN w:val="0"/>
        <w:adjustRightInd w:val="0"/>
        <w:ind w:left="426" w:hanging="426"/>
        <w:contextualSpacing/>
        <w:textAlignment w:val="baseline"/>
      </w:pPr>
      <w:r>
        <w:t>hace hincapié en que la integración de la formación con la experiencia laboral es vital para la salud y la seguridad en el trabajo de los jóvenes. Es preciso promover una cultura de la seguridad. Además, es necesario garantizar la adopción de un enfoque sensible al género en la formación y las prácticas en el lugar de trabajo;</w:t>
      </w:r>
    </w:p>
    <w:p w14:paraId="6474DF21" w14:textId="77777777" w:rsidR="005072F5" w:rsidRPr="0042320F" w:rsidRDefault="005072F5" w:rsidP="005072F5">
      <w:pPr>
        <w:numPr>
          <w:ilvl w:val="0"/>
          <w:numId w:val="48"/>
        </w:numPr>
        <w:overflowPunct w:val="0"/>
        <w:autoSpaceDE w:val="0"/>
        <w:autoSpaceDN w:val="0"/>
        <w:adjustRightInd w:val="0"/>
        <w:ind w:left="426" w:hanging="426"/>
        <w:contextualSpacing/>
        <w:textAlignment w:val="baseline"/>
      </w:pPr>
      <w:r>
        <w:t>recomienda adaptar las políticas de salud y seguridad en el trabajo a las tendencias demográficas, prestando especial atención al envejecimiento de la población activa;</w:t>
      </w:r>
    </w:p>
    <w:p w14:paraId="72A0D066" w14:textId="77777777" w:rsidR="005072F5" w:rsidRPr="0042320F" w:rsidRDefault="005072F5" w:rsidP="005072F5">
      <w:pPr>
        <w:numPr>
          <w:ilvl w:val="0"/>
          <w:numId w:val="48"/>
        </w:numPr>
        <w:overflowPunct w:val="0"/>
        <w:autoSpaceDE w:val="0"/>
        <w:autoSpaceDN w:val="0"/>
        <w:adjustRightInd w:val="0"/>
        <w:ind w:left="426" w:hanging="426"/>
        <w:contextualSpacing/>
        <w:textAlignment w:val="baseline"/>
      </w:pPr>
      <w:r>
        <w:t>recomienda evaluar con carácter periódico la aplicación del acervo de la UE en materia de salud y seguridad en el trabajo y, cuando proceda, actualizarlo con datos contrastados para reflejar la evolución de los modelos de trabajo;</w:t>
      </w:r>
    </w:p>
    <w:p w14:paraId="1E67C9F9" w14:textId="77777777" w:rsidR="005072F5" w:rsidRPr="0042320F" w:rsidRDefault="005072F5" w:rsidP="005072F5">
      <w:pPr>
        <w:numPr>
          <w:ilvl w:val="0"/>
          <w:numId w:val="48"/>
        </w:numPr>
        <w:overflowPunct w:val="0"/>
        <w:autoSpaceDE w:val="0"/>
        <w:autoSpaceDN w:val="0"/>
        <w:adjustRightInd w:val="0"/>
        <w:ind w:left="426" w:hanging="426"/>
        <w:contextualSpacing/>
        <w:textAlignment w:val="baseline"/>
      </w:pPr>
      <w:r>
        <w:t>subraya la importancia de intensificar el cumplimiento y la aplicación de la normativa vigente en materia de salud y seguridad en el trabajo como paso clave hacia la consecución del objetivo de cero mortalidad. Además, los sindicatos y las organizaciones patronales deben recibir apoyo para ejercer su función de supervisar y difundir buenas prácticas en materia de salud y seguridad en el trabajo, así como de detectar los riesgos.</w:t>
      </w:r>
    </w:p>
    <w:p w14:paraId="0EBC251C" w14:textId="77777777" w:rsidR="005072F5" w:rsidRPr="0042320F" w:rsidRDefault="005072F5" w:rsidP="005072F5">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2093"/>
        <w:gridCol w:w="7298"/>
      </w:tblGrid>
      <w:tr w:rsidR="005072F5" w:rsidRPr="0042320F" w14:paraId="6FE6EC81" w14:textId="77777777" w:rsidTr="00915390">
        <w:tc>
          <w:tcPr>
            <w:tcW w:w="2093" w:type="dxa"/>
          </w:tcPr>
          <w:p w14:paraId="62E859DE" w14:textId="77777777" w:rsidR="005072F5" w:rsidRPr="0042320F" w:rsidRDefault="005072F5" w:rsidP="00915390">
            <w:pPr>
              <w:overflowPunct w:val="0"/>
              <w:autoSpaceDE w:val="0"/>
              <w:autoSpaceDN w:val="0"/>
              <w:adjustRightInd w:val="0"/>
              <w:textAlignment w:val="baseline"/>
              <w:rPr>
                <w:i/>
              </w:rPr>
            </w:pPr>
            <w:r>
              <w:rPr>
                <w:b/>
                <w:i/>
              </w:rPr>
              <w:t>Contacto:</w:t>
            </w:r>
          </w:p>
        </w:tc>
        <w:tc>
          <w:tcPr>
            <w:tcW w:w="7298" w:type="dxa"/>
          </w:tcPr>
          <w:p w14:paraId="06CC8A6B" w14:textId="77777777" w:rsidR="005072F5" w:rsidRPr="0042320F" w:rsidRDefault="005072F5" w:rsidP="00915390">
            <w:pPr>
              <w:overflowPunct w:val="0"/>
              <w:autoSpaceDE w:val="0"/>
              <w:autoSpaceDN w:val="0"/>
              <w:adjustRightInd w:val="0"/>
              <w:ind w:hanging="12"/>
              <w:textAlignment w:val="baseline"/>
              <w:rPr>
                <w:i/>
              </w:rPr>
            </w:pPr>
            <w:r>
              <w:rPr>
                <w:i/>
              </w:rPr>
              <w:t>Ana Dumitrache</w:t>
            </w:r>
          </w:p>
        </w:tc>
      </w:tr>
      <w:tr w:rsidR="005072F5" w:rsidRPr="0042320F" w14:paraId="421A3188" w14:textId="77777777" w:rsidTr="00915390">
        <w:tc>
          <w:tcPr>
            <w:tcW w:w="2093" w:type="dxa"/>
          </w:tcPr>
          <w:p w14:paraId="090C1591" w14:textId="77777777" w:rsidR="005072F5" w:rsidRPr="0042320F" w:rsidRDefault="005072F5" w:rsidP="00915390">
            <w:pPr>
              <w:overflowPunct w:val="0"/>
              <w:autoSpaceDE w:val="0"/>
              <w:autoSpaceDN w:val="0"/>
              <w:adjustRightInd w:val="0"/>
              <w:textAlignment w:val="baseline"/>
              <w:rPr>
                <w:i/>
              </w:rPr>
            </w:pPr>
            <w:r>
              <w:rPr>
                <w:i/>
              </w:rPr>
              <w:t>Teléfono:</w:t>
            </w:r>
          </w:p>
        </w:tc>
        <w:tc>
          <w:tcPr>
            <w:tcW w:w="7298" w:type="dxa"/>
          </w:tcPr>
          <w:p w14:paraId="2FA4032A" w14:textId="77777777" w:rsidR="005072F5" w:rsidRPr="0042320F" w:rsidRDefault="005072F5" w:rsidP="00915390">
            <w:pPr>
              <w:overflowPunct w:val="0"/>
              <w:autoSpaceDE w:val="0"/>
              <w:autoSpaceDN w:val="0"/>
              <w:adjustRightInd w:val="0"/>
              <w:textAlignment w:val="baseline"/>
              <w:rPr>
                <w:i/>
              </w:rPr>
            </w:pPr>
            <w:r>
              <w:rPr>
                <w:i/>
              </w:rPr>
              <w:t>+32 2 546 8131</w:t>
            </w:r>
          </w:p>
        </w:tc>
      </w:tr>
      <w:tr w:rsidR="005072F5" w:rsidRPr="0042320F" w14:paraId="0336C381" w14:textId="77777777" w:rsidTr="00915390">
        <w:tc>
          <w:tcPr>
            <w:tcW w:w="2093" w:type="dxa"/>
          </w:tcPr>
          <w:p w14:paraId="01EB0EFE" w14:textId="77777777" w:rsidR="005072F5" w:rsidRPr="0042320F" w:rsidRDefault="005072F5" w:rsidP="00915390">
            <w:pPr>
              <w:overflowPunct w:val="0"/>
              <w:autoSpaceDE w:val="0"/>
              <w:autoSpaceDN w:val="0"/>
              <w:adjustRightInd w:val="0"/>
              <w:textAlignment w:val="baseline"/>
              <w:rPr>
                <w:i/>
              </w:rPr>
            </w:pPr>
            <w:r>
              <w:rPr>
                <w:i/>
              </w:rPr>
              <w:t>Correo electrónico:</w:t>
            </w:r>
          </w:p>
        </w:tc>
        <w:tc>
          <w:tcPr>
            <w:tcW w:w="7298" w:type="dxa"/>
          </w:tcPr>
          <w:p w14:paraId="31AADEEC" w14:textId="77777777" w:rsidR="005072F5" w:rsidRPr="0042320F" w:rsidRDefault="005072F5" w:rsidP="00915390">
            <w:pPr>
              <w:overflowPunct w:val="0"/>
              <w:autoSpaceDE w:val="0"/>
              <w:autoSpaceDN w:val="0"/>
              <w:adjustRightInd w:val="0"/>
              <w:textAlignment w:val="baseline"/>
              <w:rPr>
                <w:i/>
              </w:rPr>
            </w:pPr>
            <w:hyperlink r:id="rId37" w:history="1">
              <w:r>
                <w:rPr>
                  <w:i/>
                  <w:color w:val="0000FF"/>
                  <w:u w:val="single"/>
                </w:rPr>
                <w:t>Ana.Dumitrache@eesc.europa.eu</w:t>
              </w:r>
            </w:hyperlink>
          </w:p>
        </w:tc>
      </w:tr>
    </w:tbl>
    <w:p w14:paraId="66F6E615" w14:textId="77777777" w:rsidR="005072F5" w:rsidRDefault="005072F5" w:rsidP="005072F5">
      <w:pPr>
        <w:jc w:val="left"/>
      </w:pPr>
      <w:r>
        <w:br w:type="page"/>
      </w:r>
    </w:p>
    <w:p w14:paraId="28E592A4" w14:textId="77777777" w:rsidR="005072F5" w:rsidRPr="00853A75" w:rsidRDefault="005072F5" w:rsidP="005072F5">
      <w:pPr>
        <w:widowControl w:val="0"/>
        <w:numPr>
          <w:ilvl w:val="0"/>
          <w:numId w:val="3"/>
        </w:numPr>
        <w:overflowPunct w:val="0"/>
        <w:autoSpaceDE w:val="0"/>
        <w:autoSpaceDN w:val="0"/>
        <w:adjustRightInd w:val="0"/>
        <w:ind w:hanging="567"/>
        <w:textAlignment w:val="baseline"/>
        <w:rPr>
          <w:sz w:val="24"/>
          <w:szCs w:val="24"/>
        </w:rPr>
      </w:pPr>
      <w:hyperlink r:id="rId38" w:history="1">
        <w:r>
          <w:rPr>
            <w:b/>
            <w:i/>
            <w:color w:val="0000FF"/>
            <w:sz w:val="28"/>
            <w:u w:val="single"/>
          </w:rPr>
          <w:t>Orientaciones para las políticas de empleo de los Estados miembros</w:t>
        </w:r>
      </w:hyperlink>
    </w:p>
    <w:p w14:paraId="0A377459" w14:textId="77777777" w:rsidR="005072F5" w:rsidRPr="00853A75" w:rsidRDefault="005072F5" w:rsidP="005072F5">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005072F5" w:rsidRPr="00853A75" w14:paraId="48865060" w14:textId="77777777" w:rsidTr="00915390">
        <w:tc>
          <w:tcPr>
            <w:tcW w:w="1701" w:type="dxa"/>
          </w:tcPr>
          <w:p w14:paraId="0C773AD9" w14:textId="77777777" w:rsidR="005072F5" w:rsidRPr="00853A75"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621" w:type="dxa"/>
          </w:tcPr>
          <w:p w14:paraId="5519595E" w14:textId="77777777" w:rsidR="005072F5" w:rsidRPr="00853A75" w:rsidRDefault="005072F5" w:rsidP="00915390">
            <w:pPr>
              <w:tabs>
                <w:tab w:val="center" w:pos="284"/>
              </w:tabs>
              <w:overflowPunct w:val="0"/>
              <w:autoSpaceDE w:val="0"/>
              <w:autoSpaceDN w:val="0"/>
              <w:adjustRightInd w:val="0"/>
              <w:ind w:left="266" w:hanging="266"/>
              <w:textAlignment w:val="baseline"/>
            </w:pPr>
            <w:r>
              <w:t>Mariya MINCHEVA (Grupo de Empresarios – BG)</w:t>
            </w:r>
          </w:p>
        </w:tc>
      </w:tr>
      <w:tr w:rsidR="005072F5" w:rsidRPr="00853A75" w14:paraId="21544C57" w14:textId="77777777" w:rsidTr="00915390">
        <w:tc>
          <w:tcPr>
            <w:tcW w:w="1701" w:type="dxa"/>
          </w:tcPr>
          <w:p w14:paraId="63C65BEC" w14:textId="77777777" w:rsidR="005072F5" w:rsidRPr="00853A75"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7621" w:type="dxa"/>
          </w:tcPr>
          <w:p w14:paraId="4BC15FE6" w14:textId="77777777" w:rsidR="005072F5" w:rsidRDefault="005072F5" w:rsidP="00915390">
            <w:pPr>
              <w:tabs>
                <w:tab w:val="center" w:pos="284"/>
              </w:tabs>
              <w:overflowPunct w:val="0"/>
              <w:autoSpaceDE w:val="0"/>
              <w:autoSpaceDN w:val="0"/>
              <w:adjustRightInd w:val="0"/>
              <w:ind w:left="266" w:hanging="266"/>
              <w:textAlignment w:val="baseline"/>
            </w:pPr>
            <w:r>
              <w:t>COM(2025) 230 final</w:t>
            </w:r>
          </w:p>
          <w:p w14:paraId="5488DB5C" w14:textId="77777777" w:rsidR="005072F5" w:rsidRPr="00853A75" w:rsidRDefault="005072F5" w:rsidP="00915390">
            <w:pPr>
              <w:tabs>
                <w:tab w:val="center" w:pos="284"/>
              </w:tabs>
              <w:overflowPunct w:val="0"/>
              <w:autoSpaceDE w:val="0"/>
              <w:autoSpaceDN w:val="0"/>
              <w:adjustRightInd w:val="0"/>
              <w:ind w:left="266" w:hanging="266"/>
              <w:textAlignment w:val="baseline"/>
            </w:pPr>
            <w:r>
              <w:t>EESC-2025-02264-00-00-AC</w:t>
            </w:r>
          </w:p>
        </w:tc>
      </w:tr>
    </w:tbl>
    <w:p w14:paraId="3A015902" w14:textId="77777777" w:rsidR="005072F5" w:rsidRPr="00853A75" w:rsidRDefault="005072F5" w:rsidP="005072F5">
      <w:pPr>
        <w:tabs>
          <w:tab w:val="center" w:pos="284"/>
        </w:tabs>
        <w:overflowPunct w:val="0"/>
        <w:autoSpaceDE w:val="0"/>
        <w:autoSpaceDN w:val="0"/>
        <w:adjustRightInd w:val="0"/>
        <w:ind w:left="266" w:hanging="266"/>
        <w:textAlignment w:val="baseline"/>
        <w:rPr>
          <w:lang w:val="en-GB"/>
        </w:rPr>
      </w:pPr>
    </w:p>
    <w:p w14:paraId="60C06C6E" w14:textId="77777777" w:rsidR="005072F5" w:rsidRPr="00853A75"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510C9579" w14:textId="77777777" w:rsidR="005072F5" w:rsidRPr="00853A75" w:rsidRDefault="005072F5" w:rsidP="005072F5">
      <w:pPr>
        <w:overflowPunct w:val="0"/>
        <w:autoSpaceDE w:val="0"/>
        <w:autoSpaceDN w:val="0"/>
        <w:adjustRightInd w:val="0"/>
        <w:ind w:left="567"/>
        <w:textAlignment w:val="baseline"/>
        <w:outlineLvl w:val="1"/>
        <w:rPr>
          <w:b/>
          <w:bCs/>
          <w:szCs w:val="20"/>
          <w:lang w:val="en-GB"/>
        </w:rPr>
      </w:pPr>
    </w:p>
    <w:p w14:paraId="6ACF10CE" w14:textId="77777777" w:rsidR="005072F5" w:rsidRDefault="005072F5" w:rsidP="005072F5">
      <w:bookmarkStart w:id="58" w:name="_Toc209713360"/>
      <w:bookmarkStart w:id="59" w:name="_Toc209713900"/>
      <w:r>
        <w:t>El CESE:</w:t>
      </w:r>
      <w:bookmarkEnd w:id="58"/>
      <w:bookmarkEnd w:id="59"/>
    </w:p>
    <w:p w14:paraId="24C4A47A" w14:textId="77777777" w:rsidR="005072F5" w:rsidRDefault="005072F5" w:rsidP="005072F5"/>
    <w:p w14:paraId="26E696B1" w14:textId="77777777" w:rsidR="005072F5" w:rsidRPr="00FB4947" w:rsidRDefault="005072F5" w:rsidP="005072F5">
      <w:pPr>
        <w:pStyle w:val="ListParagraph"/>
        <w:numPr>
          <w:ilvl w:val="0"/>
          <w:numId w:val="92"/>
        </w:numPr>
        <w:ind w:left="284" w:hanging="284"/>
      </w:pPr>
      <w:bookmarkStart w:id="60" w:name="_Toc209713361"/>
      <w:bookmarkStart w:id="61" w:name="_Toc209713901"/>
      <w:r>
        <w:t>está a favor de prorrogar las orientaciones para las políticas de empleo para 2025 como parte del paquete de primavera del Semestre Europeo;</w:t>
      </w:r>
      <w:bookmarkEnd w:id="60"/>
      <w:bookmarkEnd w:id="61"/>
    </w:p>
    <w:p w14:paraId="772FCAE1" w14:textId="77777777" w:rsidR="005072F5" w:rsidRPr="00FB4947" w:rsidRDefault="005072F5" w:rsidP="005072F5">
      <w:pPr>
        <w:pStyle w:val="ListParagraph"/>
        <w:numPr>
          <w:ilvl w:val="0"/>
          <w:numId w:val="92"/>
        </w:numPr>
        <w:ind w:left="284" w:hanging="284"/>
      </w:pPr>
      <w:bookmarkStart w:id="62" w:name="_Toc209713362"/>
      <w:bookmarkStart w:id="63" w:name="_Toc209713902"/>
      <w:r>
        <w:t>estima que los nuevos elementos de los considerandos, introducidos en 2025, reflejan adecuadamente los cambios y los retos que afectan al desarrollo económico y a los mercados laborales, respectivamente;</w:t>
      </w:r>
      <w:bookmarkEnd w:id="62"/>
      <w:bookmarkEnd w:id="63"/>
    </w:p>
    <w:p w14:paraId="7F871DFC" w14:textId="77777777" w:rsidR="005072F5" w:rsidRPr="00FB4947" w:rsidRDefault="005072F5" w:rsidP="005072F5">
      <w:pPr>
        <w:pStyle w:val="ListParagraph"/>
        <w:numPr>
          <w:ilvl w:val="0"/>
          <w:numId w:val="92"/>
        </w:numPr>
        <w:ind w:left="284" w:hanging="284"/>
      </w:pPr>
      <w:bookmarkStart w:id="64" w:name="_Toc209713363"/>
      <w:bookmarkStart w:id="65" w:name="_Toc209713903"/>
      <w:r>
        <w:t>toma nota con satisfacción de la inclusión de una referencia a los objetivos nacionales para 2030 en los objetivos principales establecidos en el Plan de Acción del Pilar Europeo de Derechos Sociales;</w:t>
      </w:r>
      <w:bookmarkEnd w:id="64"/>
      <w:bookmarkEnd w:id="65"/>
    </w:p>
    <w:p w14:paraId="7D963D4F" w14:textId="77777777" w:rsidR="005072F5" w:rsidRPr="00FB4947" w:rsidRDefault="005072F5" w:rsidP="005072F5">
      <w:pPr>
        <w:pStyle w:val="ListParagraph"/>
        <w:numPr>
          <w:ilvl w:val="0"/>
          <w:numId w:val="92"/>
        </w:numPr>
        <w:ind w:left="284" w:hanging="284"/>
      </w:pPr>
      <w:bookmarkStart w:id="66" w:name="_Toc209713364"/>
      <w:bookmarkStart w:id="67" w:name="_Toc209713904"/>
      <w:r>
        <w:t>acoge favorablemente que se prosiga por la senda adecuada para alcanzar el objetivo principal en materia de empleo de aquí a 2030. Cabe señalar que los niveles de empleo aumentaron más en los sectores que se enfrentan a una escasez de mano de obra relativamente elevada. Por otra parte, persisten niveles más bien altos de inactividad entre los grupos infrarrepresentados;</w:t>
      </w:r>
      <w:bookmarkEnd w:id="66"/>
      <w:bookmarkEnd w:id="67"/>
    </w:p>
    <w:p w14:paraId="07BB0E24" w14:textId="77777777" w:rsidR="005072F5" w:rsidRPr="00FB4947" w:rsidRDefault="005072F5" w:rsidP="005072F5">
      <w:pPr>
        <w:pStyle w:val="ListParagraph"/>
        <w:numPr>
          <w:ilvl w:val="0"/>
          <w:numId w:val="92"/>
        </w:numPr>
        <w:ind w:left="284" w:hanging="284"/>
      </w:pPr>
      <w:bookmarkStart w:id="68" w:name="_Toc209713365"/>
      <w:bookmarkStart w:id="69" w:name="_Toc209713905"/>
      <w:r>
        <w:t>hace hincapié en que el buen funcionamiento de los sistemas de negociación colectiva sigue siendo un instrumento importante para aumentar la productividad laboral y lograr un equilibrio adecuado al fijar los salarios con vistas a la equidad y la adaptación de los salarios en función de la evolución de la productividad;</w:t>
      </w:r>
      <w:bookmarkEnd w:id="68"/>
      <w:bookmarkEnd w:id="69"/>
    </w:p>
    <w:p w14:paraId="2E1A3A18" w14:textId="77777777" w:rsidR="005072F5" w:rsidRPr="00FB4947" w:rsidRDefault="005072F5" w:rsidP="005072F5">
      <w:pPr>
        <w:pStyle w:val="ListParagraph"/>
        <w:numPr>
          <w:ilvl w:val="0"/>
          <w:numId w:val="92"/>
        </w:numPr>
        <w:ind w:left="284" w:hanging="284"/>
      </w:pPr>
      <w:bookmarkStart w:id="70" w:name="_Toc209713366"/>
      <w:bookmarkStart w:id="71" w:name="_Toc209713906"/>
      <w:r>
        <w:t>apoya las medidas adoptadas por los servicios públicos de empleo para centrarse de manera especial en las medidas de activación y prestar una mayor atención a las competencias y el apoyo a los trabajadores que se enfrentan a transiciones laborales a fin de fomentar la doble transición ecológica y digital; subraya que es necesario concentrarse en la juventud y facilitar la transición de la escuela al mundo laboral;</w:t>
      </w:r>
      <w:bookmarkEnd w:id="70"/>
      <w:bookmarkEnd w:id="71"/>
    </w:p>
    <w:p w14:paraId="3F337B58" w14:textId="77777777" w:rsidR="005072F5" w:rsidRPr="00FB4947" w:rsidRDefault="005072F5" w:rsidP="005072F5">
      <w:pPr>
        <w:pStyle w:val="ListParagraph"/>
        <w:numPr>
          <w:ilvl w:val="0"/>
          <w:numId w:val="92"/>
        </w:numPr>
        <w:ind w:left="284" w:hanging="284"/>
      </w:pPr>
      <w:bookmarkStart w:id="72" w:name="_Toc209713367"/>
      <w:bookmarkStart w:id="73" w:name="_Toc209713907"/>
      <w:r>
        <w:t>observa con preocupación que, a pesar de algunos progresos positivos, los avances en la consecución de los objetivos nacionales de reducción de la pobreza para 2030 varían significativamente entre los Estados miembros y requerirán una aceleración significativa durante el resto de la década para alcanzar el objetivo de la UE. Además, la elevada incidencia de la pobreza infantil sigue siendo alarmante;</w:t>
      </w:r>
      <w:bookmarkEnd w:id="72"/>
      <w:bookmarkEnd w:id="73"/>
    </w:p>
    <w:p w14:paraId="350FA387" w14:textId="77777777" w:rsidR="005072F5" w:rsidRPr="00FB4947" w:rsidRDefault="005072F5" w:rsidP="005072F5">
      <w:pPr>
        <w:pStyle w:val="ListParagraph"/>
        <w:numPr>
          <w:ilvl w:val="0"/>
          <w:numId w:val="92"/>
        </w:numPr>
        <w:ind w:left="284" w:hanging="284"/>
      </w:pPr>
      <w:bookmarkStart w:id="74" w:name="_Toc209713368"/>
      <w:bookmarkStart w:id="75" w:name="_Toc209713908"/>
      <w:r>
        <w:t>destaca que, a pesar de los retos geopolíticos y los nuevos objetivos políticos relacionados con la preparación, la seguridad y la defensa, la política de cohesión ha de seguir ocupando un lugar central en la agenda política de la UE y debe financiarse adecuadamente a través del marco financiero plurianual (MFP).</w:t>
      </w:r>
      <w:bookmarkEnd w:id="74"/>
      <w:bookmarkEnd w:id="75"/>
    </w:p>
    <w:p w14:paraId="3401539A" w14:textId="77777777" w:rsidR="005072F5" w:rsidRPr="00853A75" w:rsidRDefault="005072F5" w:rsidP="005072F5">
      <w:pPr>
        <w:overflowPunct w:val="0"/>
        <w:autoSpaceDE w:val="0"/>
        <w:autoSpaceDN w:val="0"/>
        <w:adjustRightInd w:val="0"/>
        <w:ind w:left="567"/>
        <w:textAlignment w:val="baseline"/>
        <w:outlineLvl w:val="1"/>
        <w:rPr>
          <w:bCs/>
          <w:iCs/>
          <w:lang w:val="en-GB"/>
        </w:rPr>
      </w:pPr>
    </w:p>
    <w:tbl>
      <w:tblPr>
        <w:tblW w:w="9322" w:type="dxa"/>
        <w:tblLook w:val="04A0" w:firstRow="1" w:lastRow="0" w:firstColumn="1" w:lastColumn="0" w:noHBand="0" w:noVBand="1"/>
      </w:tblPr>
      <w:tblGrid>
        <w:gridCol w:w="2235"/>
        <w:gridCol w:w="7087"/>
      </w:tblGrid>
      <w:tr w:rsidR="005072F5" w:rsidRPr="005823B7" w14:paraId="54768BE6" w14:textId="77777777" w:rsidTr="00915390">
        <w:tc>
          <w:tcPr>
            <w:tcW w:w="2235" w:type="dxa"/>
          </w:tcPr>
          <w:p w14:paraId="31F10174" w14:textId="77777777" w:rsidR="005072F5" w:rsidRPr="00853A75" w:rsidRDefault="005072F5" w:rsidP="00915390">
            <w:pPr>
              <w:overflowPunct w:val="0"/>
              <w:autoSpaceDE w:val="0"/>
              <w:autoSpaceDN w:val="0"/>
              <w:adjustRightInd w:val="0"/>
              <w:textAlignment w:val="baseline"/>
              <w:rPr>
                <w:i/>
              </w:rPr>
            </w:pPr>
            <w:r>
              <w:rPr>
                <w:b/>
                <w:i/>
              </w:rPr>
              <w:t>Contacto:</w:t>
            </w:r>
          </w:p>
        </w:tc>
        <w:tc>
          <w:tcPr>
            <w:tcW w:w="7087" w:type="dxa"/>
          </w:tcPr>
          <w:p w14:paraId="05D19610" w14:textId="77777777" w:rsidR="005072F5" w:rsidRPr="00853A75" w:rsidRDefault="005072F5" w:rsidP="00915390">
            <w:pPr>
              <w:overflowPunct w:val="0"/>
              <w:autoSpaceDE w:val="0"/>
              <w:autoSpaceDN w:val="0"/>
              <w:adjustRightInd w:val="0"/>
              <w:textAlignment w:val="baseline"/>
              <w:rPr>
                <w:i/>
              </w:rPr>
            </w:pPr>
            <w:r>
              <w:rPr>
                <w:i/>
              </w:rPr>
              <w:t>Antoni Torras Estruch, Ana Dumitrache</w:t>
            </w:r>
          </w:p>
        </w:tc>
      </w:tr>
      <w:tr w:rsidR="005072F5" w:rsidRPr="00853A75" w14:paraId="575E6139" w14:textId="77777777" w:rsidTr="00915390">
        <w:tc>
          <w:tcPr>
            <w:tcW w:w="2235" w:type="dxa"/>
          </w:tcPr>
          <w:p w14:paraId="62E1D736" w14:textId="77777777" w:rsidR="005072F5" w:rsidRPr="00853A75" w:rsidRDefault="005072F5" w:rsidP="00915390">
            <w:pPr>
              <w:overflowPunct w:val="0"/>
              <w:autoSpaceDE w:val="0"/>
              <w:autoSpaceDN w:val="0"/>
              <w:adjustRightInd w:val="0"/>
              <w:textAlignment w:val="baseline"/>
              <w:rPr>
                <w:i/>
              </w:rPr>
            </w:pPr>
            <w:r>
              <w:rPr>
                <w:i/>
              </w:rPr>
              <w:t>Teléfono:</w:t>
            </w:r>
          </w:p>
        </w:tc>
        <w:tc>
          <w:tcPr>
            <w:tcW w:w="7087" w:type="dxa"/>
          </w:tcPr>
          <w:p w14:paraId="0D0A1899" w14:textId="77777777" w:rsidR="005072F5" w:rsidRPr="00853A75" w:rsidRDefault="005072F5" w:rsidP="00915390">
            <w:pPr>
              <w:overflowPunct w:val="0"/>
              <w:autoSpaceDE w:val="0"/>
              <w:autoSpaceDN w:val="0"/>
              <w:adjustRightInd w:val="0"/>
              <w:textAlignment w:val="baseline"/>
              <w:rPr>
                <w:i/>
              </w:rPr>
            </w:pPr>
            <w:r>
              <w:rPr>
                <w:i/>
              </w:rPr>
              <w:t>+32 2 546 8391 y +32 2 546 8131</w:t>
            </w:r>
          </w:p>
        </w:tc>
      </w:tr>
      <w:tr w:rsidR="005072F5" w:rsidRPr="00853A75" w14:paraId="4373D6FF" w14:textId="77777777" w:rsidTr="00915390">
        <w:tc>
          <w:tcPr>
            <w:tcW w:w="2235" w:type="dxa"/>
          </w:tcPr>
          <w:p w14:paraId="5AC4B806" w14:textId="77777777" w:rsidR="005072F5" w:rsidRPr="00853A75" w:rsidRDefault="005072F5" w:rsidP="00915390">
            <w:pPr>
              <w:overflowPunct w:val="0"/>
              <w:autoSpaceDE w:val="0"/>
              <w:autoSpaceDN w:val="0"/>
              <w:adjustRightInd w:val="0"/>
              <w:textAlignment w:val="baseline"/>
              <w:rPr>
                <w:i/>
              </w:rPr>
            </w:pPr>
            <w:r>
              <w:rPr>
                <w:i/>
              </w:rPr>
              <w:t>Correo electrónico:</w:t>
            </w:r>
          </w:p>
        </w:tc>
        <w:tc>
          <w:tcPr>
            <w:tcW w:w="7087" w:type="dxa"/>
          </w:tcPr>
          <w:p w14:paraId="47D4A2BC" w14:textId="77777777" w:rsidR="005072F5" w:rsidRPr="00853A75" w:rsidRDefault="005072F5" w:rsidP="00915390">
            <w:pPr>
              <w:overflowPunct w:val="0"/>
              <w:autoSpaceDE w:val="0"/>
              <w:autoSpaceDN w:val="0"/>
              <w:adjustRightInd w:val="0"/>
              <w:textAlignment w:val="baseline"/>
              <w:rPr>
                <w:i/>
              </w:rPr>
            </w:pPr>
            <w:hyperlink r:id="rId39" w:history="1">
              <w:r>
                <w:rPr>
                  <w:i/>
                  <w:color w:val="0000FF"/>
                  <w:u w:val="single"/>
                </w:rPr>
                <w:t>Antoni.Torrasestruch@eesc.europa.eu</w:t>
              </w:r>
            </w:hyperlink>
            <w:r>
              <w:t xml:space="preserve">, </w:t>
            </w:r>
            <w:hyperlink r:id="rId40" w:history="1">
              <w:r>
                <w:rPr>
                  <w:i/>
                  <w:color w:val="0000FF"/>
                  <w:u w:val="single"/>
                </w:rPr>
                <w:t>Ana.Dumitrache@eesc.europa.eu</w:t>
              </w:r>
            </w:hyperlink>
          </w:p>
        </w:tc>
      </w:tr>
    </w:tbl>
    <w:p w14:paraId="4E0BC02A" w14:textId="77777777" w:rsidR="005072F5" w:rsidRDefault="005072F5" w:rsidP="005072F5">
      <w:pPr>
        <w:jc w:val="left"/>
        <w:rPr>
          <w:lang w:val="en-GB"/>
        </w:rPr>
      </w:pPr>
    </w:p>
    <w:p w14:paraId="33D7E8B2" w14:textId="77777777" w:rsidR="005072F5" w:rsidRDefault="005072F5" w:rsidP="005072F5">
      <w:pPr>
        <w:jc w:val="left"/>
      </w:pPr>
      <w:r>
        <w:br w:type="page"/>
      </w:r>
    </w:p>
    <w:p w14:paraId="7D06BB8B" w14:textId="77777777" w:rsidR="005072F5" w:rsidRPr="00DD6A92" w:rsidRDefault="005072F5" w:rsidP="005072F5">
      <w:pPr>
        <w:keepNext/>
        <w:keepLines/>
        <w:widowControl w:val="0"/>
        <w:numPr>
          <w:ilvl w:val="0"/>
          <w:numId w:val="3"/>
        </w:numPr>
        <w:overflowPunct w:val="0"/>
        <w:autoSpaceDE w:val="0"/>
        <w:autoSpaceDN w:val="0"/>
        <w:adjustRightInd w:val="0"/>
        <w:ind w:hanging="567"/>
        <w:textAlignment w:val="baseline"/>
        <w:rPr>
          <w:sz w:val="24"/>
          <w:szCs w:val="24"/>
        </w:rPr>
      </w:pPr>
      <w:hyperlink r:id="rId41" w:history="1">
        <w:r>
          <w:rPr>
            <w:b/>
            <w:i/>
            <w:color w:val="0000FF"/>
            <w:sz w:val="28"/>
            <w:u w:val="single"/>
          </w:rPr>
          <w:t>Establecimiento de un sistema común para el retorno de los nacionales de terceros países en situación irregular en la Unión Europea</w:t>
        </w:r>
      </w:hyperlink>
    </w:p>
    <w:p w14:paraId="0655BD42" w14:textId="77777777" w:rsidR="005072F5" w:rsidRPr="008B22C3" w:rsidRDefault="005072F5" w:rsidP="005072F5">
      <w:pPr>
        <w:keepNext/>
        <w:keepLines/>
        <w:tabs>
          <w:tab w:val="center" w:pos="284"/>
        </w:tabs>
        <w:overflowPunct w:val="0"/>
        <w:autoSpaceDE w:val="0"/>
        <w:autoSpaceDN w:val="0"/>
        <w:adjustRightInd w:val="0"/>
        <w:ind w:left="266" w:hanging="266"/>
        <w:textAlignment w:val="baseline"/>
        <w:rPr>
          <w:b/>
          <w:sz w:val="16"/>
          <w:szCs w:val="16"/>
          <w:lang w:val="en-GB"/>
        </w:rPr>
      </w:pPr>
    </w:p>
    <w:tbl>
      <w:tblPr>
        <w:tblW w:w="0" w:type="auto"/>
        <w:tblLook w:val="04A0" w:firstRow="1" w:lastRow="0" w:firstColumn="1" w:lastColumn="0" w:noHBand="0" w:noVBand="1"/>
      </w:tblPr>
      <w:tblGrid>
        <w:gridCol w:w="1701"/>
        <w:gridCol w:w="7621"/>
      </w:tblGrid>
      <w:tr w:rsidR="005072F5" w:rsidRPr="005823B7" w14:paraId="79EA5E8C" w14:textId="77777777" w:rsidTr="00915390">
        <w:tc>
          <w:tcPr>
            <w:tcW w:w="1701" w:type="dxa"/>
          </w:tcPr>
          <w:p w14:paraId="224A46E6" w14:textId="77777777" w:rsidR="005072F5" w:rsidRPr="00DD6A92"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621" w:type="dxa"/>
          </w:tcPr>
          <w:p w14:paraId="168EA8B1" w14:textId="77777777" w:rsidR="005072F5" w:rsidRPr="00DD6A92" w:rsidRDefault="005072F5" w:rsidP="00915390">
            <w:pPr>
              <w:tabs>
                <w:tab w:val="center" w:pos="284"/>
              </w:tabs>
              <w:overflowPunct w:val="0"/>
              <w:autoSpaceDE w:val="0"/>
              <w:autoSpaceDN w:val="0"/>
              <w:adjustRightInd w:val="0"/>
              <w:ind w:left="266" w:hanging="266"/>
              <w:textAlignment w:val="baseline"/>
            </w:pPr>
            <w:r>
              <w:t>José Antonio MORENO DÍAZ (Grupo de Trabajadores – ES)</w:t>
            </w:r>
          </w:p>
        </w:tc>
      </w:tr>
      <w:tr w:rsidR="005072F5" w:rsidRPr="00DD6A92" w14:paraId="38A70A17" w14:textId="77777777" w:rsidTr="00915390">
        <w:tc>
          <w:tcPr>
            <w:tcW w:w="1701" w:type="dxa"/>
          </w:tcPr>
          <w:p w14:paraId="2F3A0F4E" w14:textId="77777777" w:rsidR="005072F5" w:rsidRPr="00DD6A92"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7621" w:type="dxa"/>
          </w:tcPr>
          <w:p w14:paraId="6169F348" w14:textId="77777777" w:rsidR="005072F5" w:rsidRPr="00DD6A92" w:rsidRDefault="005072F5" w:rsidP="00915390">
            <w:pPr>
              <w:tabs>
                <w:tab w:val="center" w:pos="284"/>
              </w:tabs>
              <w:overflowPunct w:val="0"/>
              <w:autoSpaceDE w:val="0"/>
              <w:autoSpaceDN w:val="0"/>
              <w:adjustRightInd w:val="0"/>
              <w:ind w:left="266" w:hanging="266"/>
              <w:textAlignment w:val="baseline"/>
            </w:pPr>
            <w:r>
              <w:t xml:space="preserve">Cristian PÎRVULESCU (Grupo de Organizaciones de la Sociedad Civil – RO) </w:t>
            </w:r>
          </w:p>
        </w:tc>
      </w:tr>
      <w:tr w:rsidR="005072F5" w:rsidRPr="00DD6A92" w14:paraId="55EA0EBA" w14:textId="77777777" w:rsidTr="00915390">
        <w:tc>
          <w:tcPr>
            <w:tcW w:w="1701" w:type="dxa"/>
            <w:vMerge w:val="restart"/>
          </w:tcPr>
          <w:p w14:paraId="7B3AF4A3" w14:textId="77777777" w:rsidR="005072F5" w:rsidRPr="00DD6A92"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7621" w:type="dxa"/>
          </w:tcPr>
          <w:p w14:paraId="1FC7FAB7" w14:textId="77777777" w:rsidR="005072F5" w:rsidRPr="00DD6A92" w:rsidRDefault="005072F5" w:rsidP="00915390">
            <w:pPr>
              <w:tabs>
                <w:tab w:val="center" w:pos="284"/>
              </w:tabs>
              <w:overflowPunct w:val="0"/>
              <w:autoSpaceDE w:val="0"/>
              <w:autoSpaceDN w:val="0"/>
              <w:adjustRightInd w:val="0"/>
              <w:ind w:left="266" w:hanging="266"/>
              <w:textAlignment w:val="baseline"/>
            </w:pPr>
            <w:r>
              <w:t>COM(2025) 101 final</w:t>
            </w:r>
          </w:p>
        </w:tc>
      </w:tr>
      <w:tr w:rsidR="005072F5" w:rsidRPr="00DD6A92" w14:paraId="242DAB40" w14:textId="77777777" w:rsidTr="00915390">
        <w:tc>
          <w:tcPr>
            <w:tcW w:w="1701" w:type="dxa"/>
            <w:vMerge/>
          </w:tcPr>
          <w:p w14:paraId="0F43E405" w14:textId="77777777" w:rsidR="005072F5" w:rsidRPr="00DD6A92" w:rsidRDefault="005072F5" w:rsidP="00915390">
            <w:pPr>
              <w:tabs>
                <w:tab w:val="center" w:pos="284"/>
              </w:tabs>
              <w:overflowPunct w:val="0"/>
              <w:autoSpaceDE w:val="0"/>
              <w:autoSpaceDN w:val="0"/>
              <w:adjustRightInd w:val="0"/>
              <w:ind w:left="266" w:hanging="266"/>
              <w:textAlignment w:val="baseline"/>
              <w:rPr>
                <w:b/>
                <w:lang w:val="en-GB"/>
              </w:rPr>
            </w:pPr>
          </w:p>
        </w:tc>
        <w:tc>
          <w:tcPr>
            <w:tcW w:w="7621" w:type="dxa"/>
          </w:tcPr>
          <w:p w14:paraId="3A8F3D41" w14:textId="77777777" w:rsidR="005072F5" w:rsidRPr="00DD6A92" w:rsidRDefault="005072F5" w:rsidP="00915390">
            <w:pPr>
              <w:tabs>
                <w:tab w:val="center" w:pos="284"/>
              </w:tabs>
              <w:overflowPunct w:val="0"/>
              <w:autoSpaceDE w:val="0"/>
              <w:autoSpaceDN w:val="0"/>
              <w:adjustRightInd w:val="0"/>
              <w:ind w:left="266" w:hanging="266"/>
              <w:textAlignment w:val="baseline"/>
            </w:pPr>
            <w:r>
              <w:t>EESC-2025-01284-00-00-AC</w:t>
            </w:r>
          </w:p>
        </w:tc>
      </w:tr>
    </w:tbl>
    <w:p w14:paraId="070F786A" w14:textId="77777777" w:rsidR="005072F5" w:rsidRPr="008B22C3" w:rsidRDefault="005072F5" w:rsidP="005072F5">
      <w:pPr>
        <w:keepNext/>
        <w:keepLines/>
        <w:tabs>
          <w:tab w:val="center" w:pos="284"/>
        </w:tabs>
        <w:overflowPunct w:val="0"/>
        <w:autoSpaceDE w:val="0"/>
        <w:autoSpaceDN w:val="0"/>
        <w:adjustRightInd w:val="0"/>
        <w:ind w:left="266" w:hanging="266"/>
        <w:textAlignment w:val="baseline"/>
        <w:rPr>
          <w:b/>
          <w:sz w:val="16"/>
          <w:szCs w:val="16"/>
          <w:lang w:val="en-GB"/>
        </w:rPr>
      </w:pPr>
    </w:p>
    <w:p w14:paraId="778B3CE4" w14:textId="77777777" w:rsidR="005072F5" w:rsidRPr="00DD6A92"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33ABF47C" w14:textId="77777777" w:rsidR="005072F5" w:rsidRPr="008B22C3" w:rsidRDefault="005072F5" w:rsidP="005072F5">
      <w:pPr>
        <w:keepNext/>
        <w:keepLines/>
        <w:tabs>
          <w:tab w:val="center" w:pos="284"/>
        </w:tabs>
        <w:overflowPunct w:val="0"/>
        <w:autoSpaceDE w:val="0"/>
        <w:autoSpaceDN w:val="0"/>
        <w:adjustRightInd w:val="0"/>
        <w:ind w:left="266" w:hanging="266"/>
        <w:textAlignment w:val="baseline"/>
        <w:rPr>
          <w:b/>
          <w:sz w:val="16"/>
          <w:szCs w:val="16"/>
          <w:lang w:val="en-GB"/>
        </w:rPr>
      </w:pPr>
    </w:p>
    <w:p w14:paraId="66CF040C" w14:textId="77777777" w:rsidR="005072F5" w:rsidRDefault="005072F5" w:rsidP="005072F5">
      <w:pPr>
        <w:overflowPunct w:val="0"/>
        <w:autoSpaceDE w:val="0"/>
        <w:autoSpaceDN w:val="0"/>
        <w:adjustRightInd w:val="0"/>
        <w:textAlignment w:val="baseline"/>
      </w:pPr>
      <w:r>
        <w:t>El CESE:</w:t>
      </w:r>
    </w:p>
    <w:p w14:paraId="2EDB39BF" w14:textId="77777777" w:rsidR="005072F5" w:rsidRPr="008B22C3" w:rsidRDefault="005072F5" w:rsidP="005072F5">
      <w:pPr>
        <w:overflowPunct w:val="0"/>
        <w:autoSpaceDE w:val="0"/>
        <w:autoSpaceDN w:val="0"/>
        <w:adjustRightInd w:val="0"/>
        <w:textAlignment w:val="baseline"/>
        <w:rPr>
          <w:bCs/>
          <w:iCs/>
          <w:sz w:val="16"/>
          <w:szCs w:val="16"/>
        </w:rPr>
      </w:pPr>
    </w:p>
    <w:p w14:paraId="2B4311C1" w14:textId="77777777" w:rsidR="005072F5" w:rsidRPr="00061E08" w:rsidRDefault="005072F5" w:rsidP="005072F5">
      <w:pPr>
        <w:pStyle w:val="ListParagraph"/>
        <w:numPr>
          <w:ilvl w:val="0"/>
          <w:numId w:val="93"/>
        </w:numPr>
        <w:ind w:left="284" w:hanging="284"/>
      </w:pPr>
      <w:bookmarkStart w:id="76" w:name="_Toc209713369"/>
      <w:bookmarkStart w:id="77" w:name="_Toc209713909"/>
      <w:r>
        <w:t>hace hincapié en que toda política de retorno de la UE debe estar basada en justificaciones claras y centradas en los derechos humanos y pide una evaluación de impacto exhaustiva que tenga en cuenta las obligaciones vinculantes con arreglo al Derecho internacional y europeo en materia de derechos humanos;</w:t>
      </w:r>
      <w:bookmarkEnd w:id="76"/>
      <w:bookmarkEnd w:id="77"/>
    </w:p>
    <w:p w14:paraId="470CE9E3" w14:textId="77777777" w:rsidR="005072F5" w:rsidRPr="00061E08" w:rsidRDefault="005072F5" w:rsidP="005072F5">
      <w:pPr>
        <w:pStyle w:val="ListParagraph"/>
        <w:numPr>
          <w:ilvl w:val="0"/>
          <w:numId w:val="93"/>
        </w:numPr>
        <w:ind w:left="284" w:hanging="284"/>
      </w:pPr>
      <w:bookmarkStart w:id="78" w:name="_Toc209713370"/>
      <w:bookmarkStart w:id="79" w:name="_Toc209713910"/>
      <w:r>
        <w:t>lamenta que el Reglamento no se halle integrado en una estrategia más amplia para promover vías de migración legales y seguras. Sin verdaderas alternativas, los procedimientos de retorno seguirán siendo ineficaces y reforzando la exclusión, la vigilancia y la contención;</w:t>
      </w:r>
      <w:bookmarkEnd w:id="78"/>
      <w:bookmarkEnd w:id="79"/>
    </w:p>
    <w:p w14:paraId="55757BF6" w14:textId="77777777" w:rsidR="005072F5" w:rsidRPr="00061E08" w:rsidRDefault="005072F5" w:rsidP="005072F5">
      <w:pPr>
        <w:pStyle w:val="ListParagraph"/>
        <w:numPr>
          <w:ilvl w:val="0"/>
          <w:numId w:val="93"/>
        </w:numPr>
        <w:ind w:left="284" w:hanging="284"/>
      </w:pPr>
      <w:bookmarkStart w:id="80" w:name="_Toc209713371"/>
      <w:bookmarkStart w:id="81" w:name="_Toc209713911"/>
      <w:r>
        <w:t>destaca la falta de una sólida evaluación de impacto previa de la propuesta. Dado que este Reglamento afecta a la vida de millones de personas, lo propio habría sido realizar una investigación seria y consultas estructuradas con organismos especializados y organizaciones de la sociedad civil;</w:t>
      </w:r>
      <w:bookmarkEnd w:id="80"/>
      <w:bookmarkEnd w:id="81"/>
    </w:p>
    <w:p w14:paraId="172165AF" w14:textId="77777777" w:rsidR="005072F5" w:rsidRPr="00061E08" w:rsidRDefault="005072F5" w:rsidP="005072F5">
      <w:pPr>
        <w:pStyle w:val="ListParagraph"/>
        <w:numPr>
          <w:ilvl w:val="0"/>
          <w:numId w:val="93"/>
        </w:numPr>
        <w:ind w:left="284" w:hanging="284"/>
      </w:pPr>
      <w:bookmarkStart w:id="82" w:name="_Toc209713372"/>
      <w:bookmarkStart w:id="83" w:name="_Toc209713912"/>
      <w:r>
        <w:t>subraya la necesidad de establecer mecanismos de supervisión eficaces, independientes y transparentes para hacer un seguimiento del cumplimiento que incluya el control de las prácticas de retorno, las condiciones de internamiento y la conducta de las autoridades competentes;</w:t>
      </w:r>
      <w:bookmarkEnd w:id="82"/>
      <w:bookmarkEnd w:id="83"/>
    </w:p>
    <w:p w14:paraId="7746B1D4" w14:textId="77777777" w:rsidR="005072F5" w:rsidRPr="00061E08" w:rsidRDefault="005072F5" w:rsidP="005072F5">
      <w:pPr>
        <w:pStyle w:val="ListParagraph"/>
        <w:numPr>
          <w:ilvl w:val="0"/>
          <w:numId w:val="93"/>
        </w:numPr>
        <w:ind w:left="284" w:hanging="284"/>
      </w:pPr>
      <w:bookmarkStart w:id="84" w:name="_Toc209713373"/>
      <w:bookmarkStart w:id="85" w:name="_Toc209713913"/>
      <w:r>
        <w:t>reitera que todo retorno debe llevarse a cabo primordialmente con carácter voluntario. Tal principio debe seguir siendo la piedra angular de la política de retorno de la UE: el retorno forzoso solo debe considerarse como último recurso;</w:t>
      </w:r>
      <w:bookmarkEnd w:id="84"/>
      <w:bookmarkEnd w:id="85"/>
    </w:p>
    <w:p w14:paraId="6E210840" w14:textId="77777777" w:rsidR="005072F5" w:rsidRPr="00061E08" w:rsidRDefault="005072F5" w:rsidP="005072F5">
      <w:pPr>
        <w:pStyle w:val="ListParagraph"/>
        <w:numPr>
          <w:ilvl w:val="0"/>
          <w:numId w:val="93"/>
        </w:numPr>
        <w:ind w:left="284" w:hanging="284"/>
      </w:pPr>
      <w:bookmarkStart w:id="86" w:name="_Toc209713374"/>
      <w:bookmarkStart w:id="87" w:name="_Toc209713914"/>
      <w:r>
        <w:t>advierte de que la propuesta puede conducir a un menoscabo grave de los derechos de los migrantes y del Estado de Derecho; por ejemplo, considera que los motivos de internamiento son excesivamente amplios y que la definición de «riesgo de fuga» es vaga, y por ello insta a la UE a que restrinja de manera considerable el ámbito de aplicación de estas disposiciones;</w:t>
      </w:r>
      <w:bookmarkEnd w:id="86"/>
      <w:bookmarkEnd w:id="87"/>
    </w:p>
    <w:p w14:paraId="0446715F" w14:textId="77777777" w:rsidR="005072F5" w:rsidRPr="00061E08" w:rsidRDefault="005072F5" w:rsidP="005072F5">
      <w:pPr>
        <w:pStyle w:val="ListParagraph"/>
        <w:numPr>
          <w:ilvl w:val="0"/>
          <w:numId w:val="93"/>
        </w:numPr>
        <w:ind w:left="284" w:hanging="284"/>
      </w:pPr>
      <w:bookmarkStart w:id="88" w:name="_Toc209713375"/>
      <w:bookmarkStart w:id="89" w:name="_Toc209713915"/>
      <w:r>
        <w:t>insiste en que se adopten normas vinculantes en materia de derechos humanos para evitar retornos a situaciones en las que las personas puedan sufrir graves daños o violaciones de sus derechos;</w:t>
      </w:r>
      <w:bookmarkEnd w:id="88"/>
      <w:bookmarkEnd w:id="89"/>
    </w:p>
    <w:p w14:paraId="1D77EF34" w14:textId="77777777" w:rsidR="005072F5" w:rsidRPr="00061E08" w:rsidRDefault="005072F5" w:rsidP="005072F5">
      <w:pPr>
        <w:pStyle w:val="ListParagraph"/>
        <w:numPr>
          <w:ilvl w:val="0"/>
          <w:numId w:val="93"/>
        </w:numPr>
        <w:ind w:left="284" w:hanging="284"/>
      </w:pPr>
      <w:bookmarkStart w:id="90" w:name="_Toc209713376"/>
      <w:bookmarkStart w:id="91" w:name="_Toc209713916"/>
      <w:r>
        <w:t>no apoya los retornos a países distintos del país de origen. Si el retorno a este no es posible, independientemente del motivo, debe suspenderse el procedimiento de retorno;</w:t>
      </w:r>
      <w:bookmarkEnd w:id="90"/>
      <w:bookmarkEnd w:id="91"/>
    </w:p>
    <w:p w14:paraId="1D205F61" w14:textId="77777777" w:rsidR="005072F5" w:rsidRPr="00061E08" w:rsidRDefault="005072F5" w:rsidP="005072F5">
      <w:pPr>
        <w:pStyle w:val="ListParagraph"/>
        <w:numPr>
          <w:ilvl w:val="0"/>
          <w:numId w:val="93"/>
        </w:numPr>
        <w:ind w:left="284" w:hanging="284"/>
      </w:pPr>
      <w:bookmarkStart w:id="92" w:name="_Toc209713377"/>
      <w:bookmarkStart w:id="93" w:name="_Toc209713917"/>
      <w:r>
        <w:t>se opone firmemente a la creación o el mantenimiento de «centros de retorno» y advierte de que son incompatibles con las obligaciones jurídicas internacionales y de la UE;</w:t>
      </w:r>
      <w:bookmarkEnd w:id="92"/>
      <w:bookmarkEnd w:id="93"/>
    </w:p>
    <w:p w14:paraId="7DF7DCA2" w14:textId="77777777" w:rsidR="005072F5" w:rsidRPr="00061E08" w:rsidRDefault="005072F5" w:rsidP="005072F5">
      <w:pPr>
        <w:pStyle w:val="ListParagraph"/>
        <w:numPr>
          <w:ilvl w:val="0"/>
          <w:numId w:val="93"/>
        </w:numPr>
        <w:ind w:left="284" w:hanging="284"/>
      </w:pPr>
      <w:bookmarkStart w:id="94" w:name="_Toc209713378"/>
      <w:bookmarkStart w:id="95" w:name="_Toc209713918"/>
      <w:r>
        <w:t>considera que el Reglamento no aborda adecuadamente el internamiento de menores migrantes. Esta práctica debe eliminarse, en consonancia con las normas internacionales en materia de derechos humanos.</w:t>
      </w:r>
      <w:bookmarkEnd w:id="94"/>
      <w:bookmarkEnd w:id="95"/>
    </w:p>
    <w:p w14:paraId="28D82F3C" w14:textId="77777777" w:rsidR="005072F5" w:rsidRPr="008B22C3" w:rsidRDefault="005072F5" w:rsidP="005072F5">
      <w:pPr>
        <w:overflowPunct w:val="0"/>
        <w:autoSpaceDE w:val="0"/>
        <w:autoSpaceDN w:val="0"/>
        <w:adjustRightInd w:val="0"/>
        <w:ind w:left="720"/>
        <w:textAlignment w:val="baseline"/>
        <w:outlineLvl w:val="1"/>
        <w:rPr>
          <w:sz w:val="14"/>
          <w:szCs w:val="12"/>
          <w:lang w:val="en-GB"/>
        </w:rPr>
      </w:pPr>
    </w:p>
    <w:tbl>
      <w:tblPr>
        <w:tblW w:w="0" w:type="auto"/>
        <w:tblLook w:val="04A0" w:firstRow="1" w:lastRow="0" w:firstColumn="1" w:lastColumn="0" w:noHBand="0" w:noVBand="1"/>
      </w:tblPr>
      <w:tblGrid>
        <w:gridCol w:w="2093"/>
        <w:gridCol w:w="7266"/>
      </w:tblGrid>
      <w:tr w:rsidR="005072F5" w:rsidRPr="00DD6A92" w14:paraId="1E9F3089" w14:textId="77777777" w:rsidTr="00915390">
        <w:tc>
          <w:tcPr>
            <w:tcW w:w="2093" w:type="dxa"/>
          </w:tcPr>
          <w:p w14:paraId="0898D85B" w14:textId="77777777" w:rsidR="005072F5" w:rsidRPr="00DD6A92" w:rsidRDefault="005072F5" w:rsidP="00915390">
            <w:pPr>
              <w:overflowPunct w:val="0"/>
              <w:autoSpaceDE w:val="0"/>
              <w:autoSpaceDN w:val="0"/>
              <w:adjustRightInd w:val="0"/>
              <w:textAlignment w:val="baseline"/>
              <w:rPr>
                <w:i/>
              </w:rPr>
            </w:pPr>
            <w:r>
              <w:rPr>
                <w:b/>
                <w:i/>
              </w:rPr>
              <w:t>Contacto:</w:t>
            </w:r>
          </w:p>
        </w:tc>
        <w:tc>
          <w:tcPr>
            <w:tcW w:w="7266" w:type="dxa"/>
          </w:tcPr>
          <w:p w14:paraId="6AB0E071" w14:textId="77777777" w:rsidR="005072F5" w:rsidRPr="00DD6A92" w:rsidRDefault="005072F5" w:rsidP="00915390">
            <w:pPr>
              <w:overflowPunct w:val="0"/>
              <w:autoSpaceDE w:val="0"/>
              <w:autoSpaceDN w:val="0"/>
              <w:adjustRightInd w:val="0"/>
              <w:textAlignment w:val="baseline"/>
              <w:rPr>
                <w:i/>
              </w:rPr>
            </w:pPr>
            <w:r>
              <w:rPr>
                <w:i/>
              </w:rPr>
              <w:t>Triin Aasmaa Gomes</w:t>
            </w:r>
          </w:p>
        </w:tc>
      </w:tr>
      <w:tr w:rsidR="005072F5" w:rsidRPr="00DD6A92" w14:paraId="7B8F1CBB" w14:textId="77777777" w:rsidTr="00915390">
        <w:tc>
          <w:tcPr>
            <w:tcW w:w="2093" w:type="dxa"/>
          </w:tcPr>
          <w:p w14:paraId="5C15B74F" w14:textId="77777777" w:rsidR="005072F5" w:rsidRPr="00DD6A92" w:rsidRDefault="005072F5" w:rsidP="00915390">
            <w:pPr>
              <w:overflowPunct w:val="0"/>
              <w:autoSpaceDE w:val="0"/>
              <w:autoSpaceDN w:val="0"/>
              <w:adjustRightInd w:val="0"/>
              <w:textAlignment w:val="baseline"/>
              <w:rPr>
                <w:i/>
              </w:rPr>
            </w:pPr>
            <w:r>
              <w:rPr>
                <w:i/>
              </w:rPr>
              <w:t>Teléfono:</w:t>
            </w:r>
          </w:p>
        </w:tc>
        <w:tc>
          <w:tcPr>
            <w:tcW w:w="7266" w:type="dxa"/>
          </w:tcPr>
          <w:p w14:paraId="48262CBD" w14:textId="77777777" w:rsidR="005072F5" w:rsidRPr="00DD6A92" w:rsidRDefault="005072F5" w:rsidP="00915390">
            <w:pPr>
              <w:overflowPunct w:val="0"/>
              <w:autoSpaceDE w:val="0"/>
              <w:autoSpaceDN w:val="0"/>
              <w:adjustRightInd w:val="0"/>
              <w:textAlignment w:val="baseline"/>
              <w:rPr>
                <w:i/>
              </w:rPr>
            </w:pPr>
            <w:r>
              <w:rPr>
                <w:i/>
              </w:rPr>
              <w:t>+32 2 546 9524</w:t>
            </w:r>
          </w:p>
        </w:tc>
      </w:tr>
      <w:tr w:rsidR="005072F5" w:rsidRPr="00DD6A92" w14:paraId="7352B622" w14:textId="77777777" w:rsidTr="00915390">
        <w:tc>
          <w:tcPr>
            <w:tcW w:w="2093" w:type="dxa"/>
          </w:tcPr>
          <w:p w14:paraId="3C4E3C7A" w14:textId="77777777" w:rsidR="005072F5" w:rsidRPr="00DD6A92" w:rsidRDefault="005072F5" w:rsidP="00915390">
            <w:pPr>
              <w:overflowPunct w:val="0"/>
              <w:autoSpaceDE w:val="0"/>
              <w:autoSpaceDN w:val="0"/>
              <w:adjustRightInd w:val="0"/>
              <w:textAlignment w:val="baseline"/>
              <w:rPr>
                <w:i/>
              </w:rPr>
            </w:pPr>
            <w:r>
              <w:rPr>
                <w:i/>
              </w:rPr>
              <w:t>Correo electrónico:</w:t>
            </w:r>
          </w:p>
        </w:tc>
        <w:tc>
          <w:tcPr>
            <w:tcW w:w="7266" w:type="dxa"/>
          </w:tcPr>
          <w:p w14:paraId="2072E89E" w14:textId="77777777" w:rsidR="005072F5" w:rsidRPr="00DD6A92" w:rsidRDefault="005072F5" w:rsidP="00915390">
            <w:pPr>
              <w:overflowPunct w:val="0"/>
              <w:autoSpaceDE w:val="0"/>
              <w:autoSpaceDN w:val="0"/>
              <w:adjustRightInd w:val="0"/>
              <w:textAlignment w:val="baseline"/>
              <w:rPr>
                <w:i/>
                <w:iCs/>
              </w:rPr>
            </w:pPr>
            <w:hyperlink r:id="rId42" w:history="1">
              <w:r>
                <w:rPr>
                  <w:i/>
                  <w:color w:val="0000FF"/>
                  <w:u w:val="single"/>
                </w:rPr>
                <w:t>Triin.AasmaaGomes@eesc.europa.eu</w:t>
              </w:r>
            </w:hyperlink>
          </w:p>
        </w:tc>
      </w:tr>
    </w:tbl>
    <w:p w14:paraId="47223428" w14:textId="77777777" w:rsidR="005072F5" w:rsidRDefault="005072F5" w:rsidP="005072F5">
      <w:pPr>
        <w:jc w:val="left"/>
      </w:pPr>
      <w:r>
        <w:br w:type="page"/>
      </w:r>
    </w:p>
    <w:p w14:paraId="0637BB7A" w14:textId="77777777" w:rsidR="005072F5" w:rsidRPr="00602235" w:rsidRDefault="005072F5" w:rsidP="005072F5">
      <w:pPr>
        <w:keepNext/>
        <w:keepLines/>
        <w:widowControl w:val="0"/>
        <w:numPr>
          <w:ilvl w:val="0"/>
          <w:numId w:val="3"/>
        </w:numPr>
        <w:overflowPunct w:val="0"/>
        <w:autoSpaceDE w:val="0"/>
        <w:autoSpaceDN w:val="0"/>
        <w:adjustRightInd w:val="0"/>
        <w:ind w:hanging="567"/>
        <w:textAlignment w:val="baseline"/>
        <w:rPr>
          <w:sz w:val="24"/>
          <w:szCs w:val="24"/>
        </w:rPr>
      </w:pPr>
      <w:hyperlink r:id="rId43" w:history="1">
        <w:r>
          <w:rPr>
            <w:b/>
            <w:i/>
            <w:color w:val="0000FF"/>
            <w:sz w:val="28"/>
            <w:u w:val="single"/>
          </w:rPr>
          <w:t>Escudo Europeo de la Democracia</w:t>
        </w:r>
      </w:hyperlink>
    </w:p>
    <w:p w14:paraId="231FDBBD" w14:textId="77777777" w:rsidR="005072F5" w:rsidRPr="007C77FF" w:rsidRDefault="005072F5" w:rsidP="005072F5">
      <w:pPr>
        <w:keepNext/>
        <w:keepLines/>
        <w:tabs>
          <w:tab w:val="center" w:pos="284"/>
        </w:tabs>
        <w:overflowPunct w:val="0"/>
        <w:autoSpaceDE w:val="0"/>
        <w:autoSpaceDN w:val="0"/>
        <w:adjustRightInd w:val="0"/>
        <w:ind w:left="266" w:hanging="266"/>
        <w:textAlignment w:val="baseline"/>
        <w:rPr>
          <w:b/>
          <w:sz w:val="16"/>
          <w:szCs w:val="16"/>
          <w:lang w:val="en-GB"/>
        </w:rPr>
      </w:pPr>
    </w:p>
    <w:tbl>
      <w:tblPr>
        <w:tblW w:w="0" w:type="auto"/>
        <w:tblLook w:val="04A0" w:firstRow="1" w:lastRow="0" w:firstColumn="1" w:lastColumn="0" w:noHBand="0" w:noVBand="1"/>
      </w:tblPr>
      <w:tblGrid>
        <w:gridCol w:w="1701"/>
        <w:gridCol w:w="7621"/>
      </w:tblGrid>
      <w:tr w:rsidR="005072F5" w:rsidRPr="00602235" w14:paraId="747538D3" w14:textId="77777777" w:rsidTr="00915390">
        <w:tc>
          <w:tcPr>
            <w:tcW w:w="1701" w:type="dxa"/>
          </w:tcPr>
          <w:p w14:paraId="183D9FC7" w14:textId="77777777" w:rsidR="005072F5" w:rsidRPr="00602235"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621" w:type="dxa"/>
          </w:tcPr>
          <w:p w14:paraId="0F275F07" w14:textId="77777777" w:rsidR="005072F5" w:rsidRPr="00602235" w:rsidRDefault="005072F5" w:rsidP="00915390">
            <w:pPr>
              <w:tabs>
                <w:tab w:val="center" w:pos="284"/>
              </w:tabs>
              <w:overflowPunct w:val="0"/>
              <w:autoSpaceDE w:val="0"/>
              <w:autoSpaceDN w:val="0"/>
              <w:adjustRightInd w:val="0"/>
              <w:ind w:left="266" w:hanging="266"/>
              <w:textAlignment w:val="baseline"/>
            </w:pPr>
            <w:r>
              <w:t>Christian MOOS (Grupo de Organizaciones de la Sociedad Civil – DE)</w:t>
            </w:r>
          </w:p>
        </w:tc>
      </w:tr>
      <w:tr w:rsidR="005072F5" w:rsidRPr="005823B7" w14:paraId="716D96DC" w14:textId="77777777" w:rsidTr="00915390">
        <w:tc>
          <w:tcPr>
            <w:tcW w:w="1701" w:type="dxa"/>
          </w:tcPr>
          <w:p w14:paraId="5011FA13" w14:textId="77777777" w:rsidR="005072F5" w:rsidRPr="00602235"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7621" w:type="dxa"/>
          </w:tcPr>
          <w:p w14:paraId="5CB39BD1" w14:textId="77777777" w:rsidR="005072F5" w:rsidRPr="00602235" w:rsidRDefault="005072F5" w:rsidP="00915390">
            <w:pPr>
              <w:tabs>
                <w:tab w:val="center" w:pos="284"/>
              </w:tabs>
              <w:overflowPunct w:val="0"/>
              <w:autoSpaceDE w:val="0"/>
              <w:autoSpaceDN w:val="0"/>
              <w:adjustRightInd w:val="0"/>
              <w:ind w:left="266" w:hanging="266"/>
              <w:textAlignment w:val="baseline"/>
            </w:pPr>
            <w:r>
              <w:t>José Antonio MORENO DÍAZ (Grupo de Trabajadores – ES)</w:t>
            </w:r>
          </w:p>
        </w:tc>
      </w:tr>
      <w:tr w:rsidR="005072F5" w:rsidRPr="00602235" w14:paraId="057C49FB" w14:textId="77777777" w:rsidTr="00915390">
        <w:tc>
          <w:tcPr>
            <w:tcW w:w="1701" w:type="dxa"/>
          </w:tcPr>
          <w:p w14:paraId="14417261" w14:textId="77777777" w:rsidR="005072F5" w:rsidRPr="00602235"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7621" w:type="dxa"/>
          </w:tcPr>
          <w:p w14:paraId="2DCDC1D7" w14:textId="77777777" w:rsidR="005072F5" w:rsidRDefault="005072F5" w:rsidP="00915390">
            <w:pPr>
              <w:overflowPunct w:val="0"/>
              <w:autoSpaceDE w:val="0"/>
              <w:autoSpaceDN w:val="0"/>
              <w:adjustRightInd w:val="0"/>
              <w:ind w:left="3" w:hanging="3"/>
              <w:textAlignment w:val="baseline"/>
            </w:pPr>
            <w:r>
              <w:t>Dictamen exploratorio solicitado por la Presidencia danesa del Consejo de la UE</w:t>
            </w:r>
          </w:p>
          <w:p w14:paraId="49921D56" w14:textId="77777777" w:rsidR="005072F5" w:rsidRPr="00602235" w:rsidRDefault="005072F5" w:rsidP="00915390">
            <w:pPr>
              <w:tabs>
                <w:tab w:val="center" w:pos="284"/>
              </w:tabs>
              <w:overflowPunct w:val="0"/>
              <w:autoSpaceDE w:val="0"/>
              <w:autoSpaceDN w:val="0"/>
              <w:adjustRightInd w:val="0"/>
              <w:ind w:left="266" w:hanging="266"/>
              <w:textAlignment w:val="baseline"/>
            </w:pPr>
            <w:r>
              <w:t>EESC-2024-01683-00-00-AC</w:t>
            </w:r>
          </w:p>
        </w:tc>
      </w:tr>
    </w:tbl>
    <w:p w14:paraId="0C2EDE94" w14:textId="77777777" w:rsidR="005072F5" w:rsidRPr="005072F5" w:rsidRDefault="005072F5" w:rsidP="005072F5">
      <w:pPr>
        <w:tabs>
          <w:tab w:val="center" w:pos="284"/>
        </w:tabs>
        <w:overflowPunct w:val="0"/>
        <w:autoSpaceDE w:val="0"/>
        <w:autoSpaceDN w:val="0"/>
        <w:adjustRightInd w:val="0"/>
        <w:ind w:left="266" w:hanging="266"/>
        <w:textAlignment w:val="baseline"/>
        <w:rPr>
          <w:sz w:val="14"/>
          <w:szCs w:val="14"/>
          <w:lang w:val="en-GB"/>
        </w:rPr>
      </w:pPr>
    </w:p>
    <w:p w14:paraId="7D1D96AC" w14:textId="77777777" w:rsidR="005072F5" w:rsidRPr="00602235"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732A4C8D" w14:textId="77777777" w:rsidR="005072F5" w:rsidRPr="005072F5" w:rsidRDefault="005072F5" w:rsidP="005072F5">
      <w:pPr>
        <w:keepNext/>
        <w:keepLines/>
        <w:tabs>
          <w:tab w:val="center" w:pos="284"/>
        </w:tabs>
        <w:overflowPunct w:val="0"/>
        <w:autoSpaceDE w:val="0"/>
        <w:autoSpaceDN w:val="0"/>
        <w:adjustRightInd w:val="0"/>
        <w:ind w:left="266" w:hanging="266"/>
        <w:textAlignment w:val="baseline"/>
        <w:rPr>
          <w:b/>
          <w:sz w:val="14"/>
          <w:szCs w:val="14"/>
          <w:lang w:val="en-GB"/>
        </w:rPr>
      </w:pPr>
    </w:p>
    <w:p w14:paraId="38C7B808" w14:textId="77777777" w:rsidR="005072F5" w:rsidRDefault="005072F5" w:rsidP="005072F5">
      <w:pPr>
        <w:overflowPunct w:val="0"/>
        <w:autoSpaceDE w:val="0"/>
        <w:autoSpaceDN w:val="0"/>
        <w:adjustRightInd w:val="0"/>
        <w:textAlignment w:val="baseline"/>
      </w:pPr>
      <w:r>
        <w:t>El CESE:</w:t>
      </w:r>
    </w:p>
    <w:p w14:paraId="60EBD9A7" w14:textId="77777777" w:rsidR="005072F5" w:rsidRPr="005072F5" w:rsidRDefault="005072F5" w:rsidP="005072F5">
      <w:pPr>
        <w:overflowPunct w:val="0"/>
        <w:autoSpaceDE w:val="0"/>
        <w:autoSpaceDN w:val="0"/>
        <w:adjustRightInd w:val="0"/>
        <w:textAlignment w:val="baseline"/>
        <w:rPr>
          <w:bCs/>
          <w:iCs/>
          <w:sz w:val="14"/>
          <w:szCs w:val="14"/>
        </w:rPr>
      </w:pPr>
    </w:p>
    <w:p w14:paraId="5309D833" w14:textId="77777777" w:rsidR="005072F5" w:rsidRPr="00602235" w:rsidRDefault="005072F5" w:rsidP="005072F5">
      <w:pPr>
        <w:numPr>
          <w:ilvl w:val="0"/>
          <w:numId w:val="51"/>
        </w:numPr>
        <w:overflowPunct w:val="0"/>
        <w:autoSpaceDE w:val="0"/>
        <w:autoSpaceDN w:val="0"/>
        <w:adjustRightInd w:val="0"/>
        <w:ind w:left="284" w:hanging="284"/>
        <w:textAlignment w:val="baseline"/>
      </w:pPr>
      <w:r>
        <w:t>advierte de que la democracia, el Estado de Derecho y los valores europeos están siendo objeto de amenazas de agentes tanto externos como internos;</w:t>
      </w:r>
    </w:p>
    <w:p w14:paraId="3BB7F205" w14:textId="77777777" w:rsidR="005072F5" w:rsidRPr="00602235" w:rsidRDefault="005072F5" w:rsidP="005072F5">
      <w:pPr>
        <w:numPr>
          <w:ilvl w:val="0"/>
          <w:numId w:val="51"/>
        </w:numPr>
        <w:overflowPunct w:val="0"/>
        <w:autoSpaceDE w:val="0"/>
        <w:autoSpaceDN w:val="0"/>
        <w:adjustRightInd w:val="0"/>
        <w:ind w:left="284" w:hanging="284"/>
        <w:textAlignment w:val="baseline"/>
      </w:pPr>
      <w:r>
        <w:t>pide a la Unión que adopte medidas más enérgicas, en particular en el marco de la política de ampliación, y que ayude a los países candidatos a defenderse contra las amenazas procedentes del interior y del exterior;</w:t>
      </w:r>
    </w:p>
    <w:p w14:paraId="1ACC8D53" w14:textId="77777777" w:rsidR="005072F5" w:rsidRPr="00602235" w:rsidRDefault="005072F5" w:rsidP="005072F5">
      <w:pPr>
        <w:numPr>
          <w:ilvl w:val="0"/>
          <w:numId w:val="51"/>
        </w:numPr>
        <w:overflowPunct w:val="0"/>
        <w:autoSpaceDE w:val="0"/>
        <w:autoSpaceDN w:val="0"/>
        <w:adjustRightInd w:val="0"/>
        <w:ind w:left="284" w:hanging="284"/>
        <w:textAlignment w:val="baseline"/>
      </w:pPr>
      <w:r>
        <w:t>se ofrece a reforzar la democracia europea brindando a la sociedad civil y a los interlocutores sociales una plataforma para participar en la política de la UE;</w:t>
      </w:r>
    </w:p>
    <w:p w14:paraId="34566505" w14:textId="77777777" w:rsidR="005072F5" w:rsidRPr="00602235" w:rsidRDefault="005072F5" w:rsidP="005072F5">
      <w:pPr>
        <w:numPr>
          <w:ilvl w:val="0"/>
          <w:numId w:val="51"/>
        </w:numPr>
        <w:overflowPunct w:val="0"/>
        <w:autoSpaceDE w:val="0"/>
        <w:autoSpaceDN w:val="0"/>
        <w:adjustRightInd w:val="0"/>
        <w:ind w:left="284" w:hanging="284"/>
        <w:textAlignment w:val="baseline"/>
      </w:pPr>
      <w:r>
        <w:t>pide una cooperación más estrecha con las organizaciones de la sociedad civil para contrarrestar la desinformación y la propaganda;</w:t>
      </w:r>
    </w:p>
    <w:p w14:paraId="716E4FAC" w14:textId="77777777" w:rsidR="005072F5" w:rsidRPr="00602235" w:rsidRDefault="005072F5" w:rsidP="005072F5">
      <w:pPr>
        <w:numPr>
          <w:ilvl w:val="0"/>
          <w:numId w:val="51"/>
        </w:numPr>
        <w:overflowPunct w:val="0"/>
        <w:autoSpaceDE w:val="0"/>
        <w:autoSpaceDN w:val="0"/>
        <w:adjustRightInd w:val="0"/>
        <w:ind w:left="284" w:hanging="284"/>
        <w:textAlignment w:val="baseline"/>
      </w:pPr>
      <w:r>
        <w:t>reclama a los legisladores europeos que simplifiquen los procedimientos de financiación en favor de la sociedad civil, reduzcan las obligaciones de presentación de información y amplíen las alternativas de financiación a tanto alzado;</w:t>
      </w:r>
    </w:p>
    <w:p w14:paraId="2FF3780A" w14:textId="77777777" w:rsidR="005072F5" w:rsidRPr="00602235" w:rsidRDefault="005072F5" w:rsidP="005072F5">
      <w:pPr>
        <w:numPr>
          <w:ilvl w:val="0"/>
          <w:numId w:val="51"/>
        </w:numPr>
        <w:overflowPunct w:val="0"/>
        <w:autoSpaceDE w:val="0"/>
        <w:autoSpaceDN w:val="0"/>
        <w:adjustRightInd w:val="0"/>
        <w:ind w:left="284" w:hanging="284"/>
        <w:textAlignment w:val="baseline"/>
      </w:pPr>
      <w:r>
        <w:t>exige que se controle con mayor rigor el cumplimiento de las normas relativas al Estado de Derecho en los Estados miembros y que se examinen las repercusiones de la normativa europea en los espacios cívicos;</w:t>
      </w:r>
    </w:p>
    <w:p w14:paraId="2A50E988" w14:textId="77777777" w:rsidR="005072F5" w:rsidRPr="00602235" w:rsidRDefault="005072F5" w:rsidP="005072F5">
      <w:pPr>
        <w:numPr>
          <w:ilvl w:val="0"/>
          <w:numId w:val="51"/>
        </w:numPr>
        <w:overflowPunct w:val="0"/>
        <w:autoSpaceDE w:val="0"/>
        <w:autoSpaceDN w:val="0"/>
        <w:adjustRightInd w:val="0"/>
        <w:ind w:left="284" w:hanging="284"/>
        <w:textAlignment w:val="baseline"/>
      </w:pPr>
      <w:r>
        <w:t>pide un nuevo marco financiero plurianual (MFP) que defienda la democracia y aplique estrictamente la condicionalidad para retener fondos de los gobiernos que no observen los valores de la UE y garantizar al mismo tiempo que la sociedad civil y los entes locales que respeten esos valores puedan acceder a la financiación;</w:t>
      </w:r>
    </w:p>
    <w:p w14:paraId="7D1BCE56" w14:textId="77777777" w:rsidR="005072F5" w:rsidRPr="00602235" w:rsidRDefault="005072F5" w:rsidP="005072F5">
      <w:pPr>
        <w:numPr>
          <w:ilvl w:val="0"/>
          <w:numId w:val="51"/>
        </w:numPr>
        <w:overflowPunct w:val="0"/>
        <w:autoSpaceDE w:val="0"/>
        <w:autoSpaceDN w:val="0"/>
        <w:adjustRightInd w:val="0"/>
        <w:ind w:left="284" w:hanging="284"/>
        <w:textAlignment w:val="baseline"/>
      </w:pPr>
      <w:r>
        <w:t>anima a la Unión y a los Estados miembros a que elaboren planes educativos, para impartir formación al personal en materia de sensibilización sobre los riesgos, y a que hagan de la alfabetización mediática una prioridad clave en los planes de estudio escolares y de aprendizaje permanente;</w:t>
      </w:r>
    </w:p>
    <w:p w14:paraId="2EC7A178" w14:textId="77777777" w:rsidR="005072F5" w:rsidRPr="00602235" w:rsidRDefault="005072F5" w:rsidP="005072F5">
      <w:pPr>
        <w:numPr>
          <w:ilvl w:val="0"/>
          <w:numId w:val="51"/>
        </w:numPr>
        <w:overflowPunct w:val="0"/>
        <w:autoSpaceDE w:val="0"/>
        <w:autoSpaceDN w:val="0"/>
        <w:adjustRightInd w:val="0"/>
        <w:ind w:left="284" w:hanging="284"/>
        <w:textAlignment w:val="baseline"/>
      </w:pPr>
      <w:r>
        <w:t>insta a que se invierta en plataformas digitales europeas e inteligencia artificial para reducir la dependencia de proveedores de terceros países;</w:t>
      </w:r>
    </w:p>
    <w:p w14:paraId="3B8A458C" w14:textId="77777777" w:rsidR="005072F5" w:rsidRPr="00602235" w:rsidRDefault="005072F5" w:rsidP="005072F5">
      <w:pPr>
        <w:numPr>
          <w:ilvl w:val="0"/>
          <w:numId w:val="51"/>
        </w:numPr>
        <w:overflowPunct w:val="0"/>
        <w:autoSpaceDE w:val="0"/>
        <w:autoSpaceDN w:val="0"/>
        <w:adjustRightInd w:val="0"/>
        <w:ind w:left="284" w:hanging="284"/>
        <w:textAlignment w:val="baseline"/>
      </w:pPr>
      <w:r>
        <w:t>reclama un estricto control del cumplimiento de la normativa en materia de medios sociales y una evaluación periódica de su eficacia y resiliencia frente a los debilitamientos que sufra debido a negociaciones comerciales;</w:t>
      </w:r>
    </w:p>
    <w:p w14:paraId="429AD43E" w14:textId="77777777" w:rsidR="005072F5" w:rsidRPr="00602235" w:rsidRDefault="005072F5" w:rsidP="005072F5">
      <w:pPr>
        <w:numPr>
          <w:ilvl w:val="0"/>
          <w:numId w:val="51"/>
        </w:numPr>
        <w:overflowPunct w:val="0"/>
        <w:autoSpaceDE w:val="0"/>
        <w:autoSpaceDN w:val="0"/>
        <w:adjustRightInd w:val="0"/>
        <w:ind w:left="284" w:hanging="284"/>
        <w:textAlignment w:val="baseline"/>
      </w:pPr>
      <w:r>
        <w:t>apoya que se refuerce la iniciativa EuroStack para erigir un modelo europeo de innovación digital de naturaleza democrática, y pide que se aumente la financiación del Grupo de Trabajo East StratCom y de los Centros Europe Direct, con el fin de crear una red de información objetiva a escala de la UE;</w:t>
      </w:r>
    </w:p>
    <w:p w14:paraId="48CD13D5" w14:textId="77777777" w:rsidR="005072F5" w:rsidRPr="00602235" w:rsidRDefault="005072F5" w:rsidP="005072F5">
      <w:pPr>
        <w:numPr>
          <w:ilvl w:val="0"/>
          <w:numId w:val="51"/>
        </w:numPr>
        <w:overflowPunct w:val="0"/>
        <w:autoSpaceDE w:val="0"/>
        <w:autoSpaceDN w:val="0"/>
        <w:adjustRightInd w:val="0"/>
        <w:ind w:left="284" w:hanging="284"/>
        <w:textAlignment w:val="baseline"/>
      </w:pPr>
      <w:r>
        <w:t>pide a los gobiernos nacionales que reformen las respectivas normas sobre donaciones a partidos políticos, colmen las lagunas y prohíban la financiación procedente de terceros países;</w:t>
      </w:r>
    </w:p>
    <w:p w14:paraId="7E7EACE4" w14:textId="77777777" w:rsidR="005072F5" w:rsidRPr="00061E08" w:rsidRDefault="005072F5" w:rsidP="005072F5">
      <w:pPr>
        <w:numPr>
          <w:ilvl w:val="0"/>
          <w:numId w:val="51"/>
        </w:numPr>
        <w:overflowPunct w:val="0"/>
        <w:autoSpaceDE w:val="0"/>
        <w:autoSpaceDN w:val="0"/>
        <w:adjustRightInd w:val="0"/>
        <w:ind w:left="284" w:hanging="284"/>
        <w:textAlignment w:val="baseline"/>
        <w:rPr>
          <w:sz w:val="24"/>
          <w:szCs w:val="24"/>
        </w:rPr>
      </w:pPr>
      <w:r>
        <w:lastRenderedPageBreak/>
        <w:t>propone que la Comisión Especial del Parlamento Europeo sobre el Escudo Europeo de la Democracia adquiera carácter de órgano permanente dedicado a la defensa y fortalecimiento de la democracia.</w:t>
      </w:r>
    </w:p>
    <w:p w14:paraId="5CBB90DA" w14:textId="77777777" w:rsidR="005072F5" w:rsidRPr="00602235" w:rsidRDefault="005072F5" w:rsidP="005072F5">
      <w:pPr>
        <w:overflowPunct w:val="0"/>
        <w:autoSpaceDE w:val="0"/>
        <w:autoSpaceDN w:val="0"/>
        <w:adjustRightInd w:val="0"/>
        <w:textAlignment w:val="baseline"/>
        <w:rPr>
          <w:sz w:val="24"/>
          <w:szCs w:val="24"/>
          <w:lang w:val="en-GB"/>
        </w:rPr>
      </w:pPr>
    </w:p>
    <w:tbl>
      <w:tblPr>
        <w:tblW w:w="9180" w:type="dxa"/>
        <w:tblLook w:val="04A0" w:firstRow="1" w:lastRow="0" w:firstColumn="1" w:lastColumn="0" w:noHBand="0" w:noVBand="1"/>
      </w:tblPr>
      <w:tblGrid>
        <w:gridCol w:w="2093"/>
        <w:gridCol w:w="7087"/>
      </w:tblGrid>
      <w:tr w:rsidR="005072F5" w:rsidRPr="00602235" w14:paraId="69F76CA0" w14:textId="77777777" w:rsidTr="00915390">
        <w:tc>
          <w:tcPr>
            <w:tcW w:w="2093" w:type="dxa"/>
          </w:tcPr>
          <w:p w14:paraId="22B0D5F0" w14:textId="77777777" w:rsidR="005072F5" w:rsidRPr="00602235" w:rsidRDefault="005072F5" w:rsidP="00915390">
            <w:pPr>
              <w:overflowPunct w:val="0"/>
              <w:autoSpaceDE w:val="0"/>
              <w:autoSpaceDN w:val="0"/>
              <w:adjustRightInd w:val="0"/>
              <w:textAlignment w:val="baseline"/>
              <w:rPr>
                <w:i/>
              </w:rPr>
            </w:pPr>
            <w:r>
              <w:rPr>
                <w:b/>
                <w:i/>
              </w:rPr>
              <w:t>Contacto:</w:t>
            </w:r>
          </w:p>
        </w:tc>
        <w:tc>
          <w:tcPr>
            <w:tcW w:w="7087" w:type="dxa"/>
          </w:tcPr>
          <w:p w14:paraId="750C0A63" w14:textId="77777777" w:rsidR="005072F5" w:rsidRPr="00602235" w:rsidRDefault="005072F5" w:rsidP="00915390">
            <w:pPr>
              <w:overflowPunct w:val="0"/>
              <w:autoSpaceDE w:val="0"/>
              <w:autoSpaceDN w:val="0"/>
              <w:adjustRightInd w:val="0"/>
              <w:textAlignment w:val="baseline"/>
              <w:rPr>
                <w:i/>
              </w:rPr>
            </w:pPr>
            <w:r>
              <w:rPr>
                <w:i/>
              </w:rPr>
              <w:t>Jean-Marie Rogue</w:t>
            </w:r>
          </w:p>
        </w:tc>
      </w:tr>
      <w:tr w:rsidR="005072F5" w:rsidRPr="00602235" w14:paraId="3FB3571B" w14:textId="77777777" w:rsidTr="00915390">
        <w:tc>
          <w:tcPr>
            <w:tcW w:w="2093" w:type="dxa"/>
          </w:tcPr>
          <w:p w14:paraId="540F2F48" w14:textId="77777777" w:rsidR="005072F5" w:rsidRPr="00602235" w:rsidRDefault="005072F5" w:rsidP="00915390">
            <w:pPr>
              <w:overflowPunct w:val="0"/>
              <w:autoSpaceDE w:val="0"/>
              <w:autoSpaceDN w:val="0"/>
              <w:adjustRightInd w:val="0"/>
              <w:textAlignment w:val="baseline"/>
              <w:rPr>
                <w:i/>
              </w:rPr>
            </w:pPr>
            <w:r>
              <w:rPr>
                <w:i/>
              </w:rPr>
              <w:t>Teléfono:</w:t>
            </w:r>
          </w:p>
        </w:tc>
        <w:tc>
          <w:tcPr>
            <w:tcW w:w="7087" w:type="dxa"/>
          </w:tcPr>
          <w:p w14:paraId="6595D258" w14:textId="77777777" w:rsidR="005072F5" w:rsidRPr="00602235" w:rsidRDefault="005072F5" w:rsidP="00915390">
            <w:pPr>
              <w:overflowPunct w:val="0"/>
              <w:autoSpaceDE w:val="0"/>
              <w:autoSpaceDN w:val="0"/>
              <w:adjustRightInd w:val="0"/>
              <w:textAlignment w:val="baseline"/>
              <w:rPr>
                <w:i/>
              </w:rPr>
            </w:pPr>
            <w:r>
              <w:rPr>
                <w:i/>
              </w:rPr>
              <w:t>+32 2 546 8909</w:t>
            </w:r>
          </w:p>
        </w:tc>
      </w:tr>
      <w:tr w:rsidR="005072F5" w:rsidRPr="00602235" w14:paraId="06E25F92" w14:textId="77777777" w:rsidTr="00915390">
        <w:tc>
          <w:tcPr>
            <w:tcW w:w="2093" w:type="dxa"/>
          </w:tcPr>
          <w:p w14:paraId="5E21782E" w14:textId="77777777" w:rsidR="005072F5" w:rsidRPr="00602235" w:rsidRDefault="005072F5" w:rsidP="00915390">
            <w:pPr>
              <w:overflowPunct w:val="0"/>
              <w:autoSpaceDE w:val="0"/>
              <w:autoSpaceDN w:val="0"/>
              <w:adjustRightInd w:val="0"/>
              <w:textAlignment w:val="baseline"/>
              <w:rPr>
                <w:i/>
              </w:rPr>
            </w:pPr>
            <w:r>
              <w:rPr>
                <w:i/>
              </w:rPr>
              <w:t>Correo electrónico:</w:t>
            </w:r>
          </w:p>
        </w:tc>
        <w:tc>
          <w:tcPr>
            <w:tcW w:w="7087" w:type="dxa"/>
          </w:tcPr>
          <w:p w14:paraId="450C6097" w14:textId="77777777" w:rsidR="005072F5" w:rsidRPr="00602235" w:rsidRDefault="005072F5" w:rsidP="00915390">
            <w:pPr>
              <w:overflowPunct w:val="0"/>
              <w:autoSpaceDE w:val="0"/>
              <w:autoSpaceDN w:val="0"/>
              <w:adjustRightInd w:val="0"/>
              <w:textAlignment w:val="baseline"/>
              <w:rPr>
                <w:i/>
                <w:iCs/>
              </w:rPr>
            </w:pPr>
            <w:hyperlink r:id="rId44" w:history="1">
              <w:r>
                <w:rPr>
                  <w:i/>
                  <w:color w:val="0000FF"/>
                  <w:u w:val="single"/>
                </w:rPr>
                <w:t>JeanMarie.Rogue@eesc.europa.eu</w:t>
              </w:r>
            </w:hyperlink>
          </w:p>
        </w:tc>
      </w:tr>
    </w:tbl>
    <w:p w14:paraId="357907EE" w14:textId="77777777" w:rsidR="005072F5" w:rsidRDefault="005072F5" w:rsidP="005072F5">
      <w:pPr>
        <w:jc w:val="left"/>
      </w:pPr>
      <w:r>
        <w:br w:type="page"/>
      </w:r>
    </w:p>
    <w:p w14:paraId="7F320F85" w14:textId="77777777" w:rsidR="005072F5" w:rsidRPr="00572CBE" w:rsidRDefault="005072F5" w:rsidP="005072F5">
      <w:pPr>
        <w:widowControl w:val="0"/>
        <w:numPr>
          <w:ilvl w:val="0"/>
          <w:numId w:val="3"/>
        </w:numPr>
        <w:overflowPunct w:val="0"/>
        <w:autoSpaceDE w:val="0"/>
        <w:autoSpaceDN w:val="0"/>
        <w:adjustRightInd w:val="0"/>
        <w:ind w:hanging="567"/>
        <w:textAlignment w:val="baseline"/>
        <w:rPr>
          <w:b/>
          <w:bCs/>
          <w:i/>
          <w:iCs/>
          <w:sz w:val="28"/>
          <w:szCs w:val="28"/>
        </w:rPr>
      </w:pPr>
      <w:hyperlink r:id="rId45" w:history="1">
        <w:r>
          <w:rPr>
            <w:b/>
            <w:i/>
            <w:color w:val="0000FF"/>
            <w:sz w:val="28"/>
            <w:u w:val="single"/>
          </w:rPr>
          <w:t>Reducir los obstáculos al emprendimiento inclusivo, promover la innovación y ofrecer igualdad de oportunidades para todos</w:t>
        </w:r>
      </w:hyperlink>
    </w:p>
    <w:p w14:paraId="3E8A6E42" w14:textId="77777777" w:rsidR="005072F5" w:rsidRPr="00572CBE" w:rsidRDefault="005072F5" w:rsidP="005072F5">
      <w:pPr>
        <w:tabs>
          <w:tab w:val="center" w:pos="284"/>
        </w:tabs>
        <w:overflowPunct w:val="0"/>
        <w:autoSpaceDE w:val="0"/>
        <w:autoSpaceDN w:val="0"/>
        <w:adjustRightInd w:val="0"/>
        <w:ind w:left="266" w:hanging="266"/>
        <w:textAlignment w:val="baseline"/>
        <w:rPr>
          <w:b/>
          <w:lang w:val="en-GB"/>
        </w:rPr>
      </w:pPr>
    </w:p>
    <w:tbl>
      <w:tblPr>
        <w:tblW w:w="4867" w:type="pct"/>
        <w:tblLook w:val="04A0" w:firstRow="1" w:lastRow="0" w:firstColumn="1" w:lastColumn="0" w:noHBand="0" w:noVBand="1"/>
      </w:tblPr>
      <w:tblGrid>
        <w:gridCol w:w="1667"/>
        <w:gridCol w:w="7513"/>
      </w:tblGrid>
      <w:tr w:rsidR="005072F5" w:rsidRPr="00572CBE" w14:paraId="66A3B78F" w14:textId="77777777" w:rsidTr="00915390">
        <w:tc>
          <w:tcPr>
            <w:tcW w:w="908" w:type="pct"/>
          </w:tcPr>
          <w:p w14:paraId="5FB4A713" w14:textId="77777777" w:rsidR="005072F5" w:rsidRPr="00572CBE" w:rsidRDefault="005072F5" w:rsidP="00915390">
            <w:pPr>
              <w:overflowPunct w:val="0"/>
              <w:autoSpaceDE w:val="0"/>
              <w:autoSpaceDN w:val="0"/>
              <w:adjustRightInd w:val="0"/>
              <w:ind w:left="-113"/>
              <w:textAlignment w:val="baseline"/>
              <w:rPr>
                <w:b/>
              </w:rPr>
            </w:pPr>
            <w:r>
              <w:rPr>
                <w:b/>
              </w:rPr>
              <w:t>Ponente</w:t>
            </w:r>
          </w:p>
        </w:tc>
        <w:tc>
          <w:tcPr>
            <w:tcW w:w="4092" w:type="pct"/>
          </w:tcPr>
          <w:p w14:paraId="307A8096" w14:textId="77777777" w:rsidR="005072F5" w:rsidRPr="00572CBE" w:rsidRDefault="005072F5" w:rsidP="00915390">
            <w:pPr>
              <w:overflowPunct w:val="0"/>
              <w:autoSpaceDE w:val="0"/>
              <w:autoSpaceDN w:val="0"/>
              <w:adjustRightInd w:val="0"/>
              <w:ind w:left="-113"/>
              <w:textAlignment w:val="baseline"/>
            </w:pPr>
            <w:r>
              <w:t>Juliane Marie NEIIENDAM (Grupo de Organizaciones de la Sociedad Civil – DK)</w:t>
            </w:r>
          </w:p>
        </w:tc>
      </w:tr>
      <w:tr w:rsidR="005072F5" w:rsidRPr="00572CBE" w14:paraId="125FCD67" w14:textId="77777777" w:rsidTr="00915390">
        <w:tc>
          <w:tcPr>
            <w:tcW w:w="908" w:type="pct"/>
          </w:tcPr>
          <w:p w14:paraId="31C5C437" w14:textId="77777777" w:rsidR="005072F5" w:rsidRPr="00572CBE" w:rsidRDefault="005072F5" w:rsidP="00915390">
            <w:pPr>
              <w:overflowPunct w:val="0"/>
              <w:autoSpaceDE w:val="0"/>
              <w:autoSpaceDN w:val="0"/>
              <w:adjustRightInd w:val="0"/>
              <w:ind w:left="-113"/>
              <w:textAlignment w:val="baseline"/>
              <w:rPr>
                <w:b/>
              </w:rPr>
            </w:pPr>
            <w:r>
              <w:rPr>
                <w:b/>
              </w:rPr>
              <w:t>Referencia</w:t>
            </w:r>
          </w:p>
        </w:tc>
        <w:tc>
          <w:tcPr>
            <w:tcW w:w="4092" w:type="pct"/>
          </w:tcPr>
          <w:p w14:paraId="0B052E9A" w14:textId="77777777" w:rsidR="005072F5" w:rsidRDefault="005072F5" w:rsidP="00915390">
            <w:pPr>
              <w:overflowPunct w:val="0"/>
              <w:autoSpaceDE w:val="0"/>
              <w:autoSpaceDN w:val="0"/>
              <w:adjustRightInd w:val="0"/>
              <w:ind w:left="-113"/>
              <w:textAlignment w:val="baseline"/>
            </w:pPr>
            <w:r>
              <w:t>Dictamen de iniciativa</w:t>
            </w:r>
          </w:p>
          <w:p w14:paraId="60D97B65" w14:textId="77777777" w:rsidR="005072F5" w:rsidRPr="00572CBE" w:rsidRDefault="005072F5" w:rsidP="00915390">
            <w:pPr>
              <w:overflowPunct w:val="0"/>
              <w:autoSpaceDE w:val="0"/>
              <w:autoSpaceDN w:val="0"/>
              <w:adjustRightInd w:val="0"/>
              <w:ind w:left="-113"/>
              <w:textAlignment w:val="baseline"/>
            </w:pPr>
            <w:r>
              <w:t>EESC-2025-00972-00-00-AC</w:t>
            </w:r>
          </w:p>
        </w:tc>
      </w:tr>
    </w:tbl>
    <w:p w14:paraId="005797A1" w14:textId="77777777" w:rsidR="005072F5"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3B60993C" w14:textId="77777777" w:rsidR="005072F5" w:rsidRPr="00572CBE"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03E370EA" w14:textId="77777777" w:rsidR="005072F5" w:rsidRPr="00572CBE" w:rsidRDefault="005072F5" w:rsidP="005072F5">
      <w:pPr>
        <w:keepNext/>
        <w:keepLines/>
        <w:tabs>
          <w:tab w:val="center" w:pos="284"/>
        </w:tabs>
        <w:overflowPunct w:val="0"/>
        <w:autoSpaceDE w:val="0"/>
        <w:autoSpaceDN w:val="0"/>
        <w:adjustRightInd w:val="0"/>
        <w:ind w:left="266" w:hanging="266"/>
        <w:textAlignment w:val="baseline"/>
        <w:rPr>
          <w:b/>
          <w:sz w:val="16"/>
          <w:szCs w:val="16"/>
          <w:lang w:val="en-GB"/>
        </w:rPr>
      </w:pPr>
    </w:p>
    <w:p w14:paraId="476F61E7" w14:textId="77777777" w:rsidR="005072F5" w:rsidRDefault="005072F5" w:rsidP="005072F5">
      <w:pPr>
        <w:overflowPunct w:val="0"/>
        <w:autoSpaceDE w:val="0"/>
        <w:autoSpaceDN w:val="0"/>
        <w:adjustRightInd w:val="0"/>
        <w:textAlignment w:val="baseline"/>
      </w:pPr>
      <w:r>
        <w:t>El CESE:</w:t>
      </w:r>
    </w:p>
    <w:p w14:paraId="170BAACB" w14:textId="77777777" w:rsidR="005072F5" w:rsidRPr="00572CBE" w:rsidRDefault="005072F5" w:rsidP="005072F5">
      <w:pPr>
        <w:overflowPunct w:val="0"/>
        <w:autoSpaceDE w:val="0"/>
        <w:autoSpaceDN w:val="0"/>
        <w:adjustRightInd w:val="0"/>
        <w:textAlignment w:val="baseline"/>
        <w:rPr>
          <w:bCs/>
          <w:iCs/>
        </w:rPr>
      </w:pPr>
    </w:p>
    <w:p w14:paraId="35A3F95A" w14:textId="77777777" w:rsidR="005072F5" w:rsidRPr="00572CBE" w:rsidRDefault="005072F5" w:rsidP="005072F5">
      <w:pPr>
        <w:numPr>
          <w:ilvl w:val="0"/>
          <w:numId w:val="52"/>
        </w:numPr>
        <w:overflowPunct w:val="0"/>
        <w:autoSpaceDE w:val="0"/>
        <w:autoSpaceDN w:val="0"/>
        <w:adjustRightInd w:val="0"/>
        <w:ind w:left="284" w:hanging="284"/>
        <w:contextualSpacing/>
        <w:textAlignment w:val="baseline"/>
      </w:pPr>
      <w:r>
        <w:t>pide medidas urgentes y coordinadas a escala nacional y de la Unión para liberar el potencial del emprendimiento inclusivo como motor económico y cuestión de igualdad, innovación y justicia social;</w:t>
      </w:r>
    </w:p>
    <w:p w14:paraId="6EA1AFBC" w14:textId="77777777" w:rsidR="005072F5" w:rsidRPr="00572CBE" w:rsidRDefault="005072F5" w:rsidP="005072F5">
      <w:pPr>
        <w:numPr>
          <w:ilvl w:val="0"/>
          <w:numId w:val="52"/>
        </w:numPr>
        <w:overflowPunct w:val="0"/>
        <w:autoSpaceDE w:val="0"/>
        <w:autoSpaceDN w:val="0"/>
        <w:adjustRightInd w:val="0"/>
        <w:ind w:left="284" w:hanging="284"/>
        <w:contextualSpacing/>
        <w:textAlignment w:val="baseline"/>
      </w:pPr>
      <w:r>
        <w:t>insta a la Comisión y a los Estados miembros a que integren la inclusión en todas las políticas relacionadas con el emprendimiento en todos los sectores, prestando especial atención al papel de la economía social;</w:t>
      </w:r>
    </w:p>
    <w:p w14:paraId="4BDFA86C" w14:textId="77777777" w:rsidR="005072F5" w:rsidRPr="00572CBE" w:rsidRDefault="005072F5" w:rsidP="005072F5">
      <w:pPr>
        <w:numPr>
          <w:ilvl w:val="0"/>
          <w:numId w:val="52"/>
        </w:numPr>
        <w:overflowPunct w:val="0"/>
        <w:autoSpaceDE w:val="0"/>
        <w:autoSpaceDN w:val="0"/>
        <w:adjustRightInd w:val="0"/>
        <w:ind w:left="284" w:hanging="284"/>
        <w:contextualSpacing/>
        <w:textAlignment w:val="baseline"/>
      </w:pPr>
      <w:r>
        <w:t xml:space="preserve">recomienda una financiación específica e instrumentos financieros más justos para los creadores de empresas infrarrepresentados, en particular las personas con discapacidad o trastornos mentales, las mujeres en situaciones precarias, las personas LGBTQIA+, los migrantes y las comunidades que se enfrentan a discriminación étnica o racial, para que aporten su talento e impulsen la innovación; </w:t>
      </w:r>
    </w:p>
    <w:p w14:paraId="5E4D0B14" w14:textId="77777777" w:rsidR="005072F5" w:rsidRPr="00572CBE" w:rsidRDefault="005072F5" w:rsidP="005072F5">
      <w:pPr>
        <w:numPr>
          <w:ilvl w:val="0"/>
          <w:numId w:val="52"/>
        </w:numPr>
        <w:overflowPunct w:val="0"/>
        <w:autoSpaceDE w:val="0"/>
        <w:autoSpaceDN w:val="0"/>
        <w:adjustRightInd w:val="0"/>
        <w:ind w:left="284" w:hanging="284"/>
        <w:contextualSpacing/>
        <w:textAlignment w:val="baseline"/>
      </w:pPr>
      <w:r>
        <w:t>destaca la necesidad de integrar el emprendimiento en los planes de estudios y de proporcionar formación y mentoría accesibles y adaptadas;</w:t>
      </w:r>
    </w:p>
    <w:p w14:paraId="4CAEE1EB" w14:textId="77777777" w:rsidR="005072F5" w:rsidRPr="00572CBE" w:rsidRDefault="005072F5" w:rsidP="005072F5">
      <w:pPr>
        <w:numPr>
          <w:ilvl w:val="0"/>
          <w:numId w:val="52"/>
        </w:numPr>
        <w:overflowPunct w:val="0"/>
        <w:autoSpaceDE w:val="0"/>
        <w:autoSpaceDN w:val="0"/>
        <w:adjustRightInd w:val="0"/>
        <w:ind w:left="284" w:hanging="284"/>
        <w:contextualSpacing/>
        <w:textAlignment w:val="baseline"/>
      </w:pPr>
      <w:r>
        <w:t>pide a la Comisión que refuerce el seguimiento de la legislación en materia de igualdad, que adopte la Directiva horizontal sobre igualdad de trato y aplique la interseccionalidad en la próxima Estrategia para la Igualdad de Género 2026-2030;</w:t>
      </w:r>
    </w:p>
    <w:p w14:paraId="6C1DE489" w14:textId="77777777" w:rsidR="005072F5" w:rsidRPr="00572CBE" w:rsidRDefault="005072F5" w:rsidP="005072F5">
      <w:pPr>
        <w:numPr>
          <w:ilvl w:val="0"/>
          <w:numId w:val="52"/>
        </w:numPr>
        <w:overflowPunct w:val="0"/>
        <w:autoSpaceDE w:val="0"/>
        <w:autoSpaceDN w:val="0"/>
        <w:adjustRightInd w:val="0"/>
        <w:ind w:left="284" w:hanging="284"/>
        <w:contextualSpacing/>
        <w:textAlignment w:val="baseline"/>
      </w:pPr>
      <w:r>
        <w:t>insta a la Comisión y a los Estados miembros a que simplifiquen la normativa y reduzcan las cargas administrativas, especialmente para los empresarios vulnerables;</w:t>
      </w:r>
    </w:p>
    <w:p w14:paraId="51D558C0" w14:textId="77777777" w:rsidR="005072F5" w:rsidRPr="00572CBE" w:rsidRDefault="005072F5" w:rsidP="005072F5">
      <w:pPr>
        <w:numPr>
          <w:ilvl w:val="0"/>
          <w:numId w:val="52"/>
        </w:numPr>
        <w:overflowPunct w:val="0"/>
        <w:autoSpaceDE w:val="0"/>
        <w:autoSpaceDN w:val="0"/>
        <w:adjustRightInd w:val="0"/>
        <w:ind w:left="284" w:hanging="284"/>
        <w:contextualSpacing/>
        <w:textAlignment w:val="baseline"/>
      </w:pPr>
      <w:r>
        <w:t>recomienda a los Estados miembros que creen centros de coordinación nacional en apoyo al trabajo por cuenta propia y el reconocimiento transfronterizo de los derechos de las personas con discapacidad y de los trabajadores por cuenta propia mediante la Tarjeta Europea de Discapacidad;</w:t>
      </w:r>
    </w:p>
    <w:p w14:paraId="00BA96B2" w14:textId="77777777" w:rsidR="005072F5" w:rsidRPr="00572CBE" w:rsidRDefault="005072F5" w:rsidP="005072F5">
      <w:pPr>
        <w:numPr>
          <w:ilvl w:val="0"/>
          <w:numId w:val="52"/>
        </w:numPr>
        <w:overflowPunct w:val="0"/>
        <w:autoSpaceDE w:val="0"/>
        <w:autoSpaceDN w:val="0"/>
        <w:adjustRightInd w:val="0"/>
        <w:ind w:left="284" w:hanging="284"/>
        <w:contextualSpacing/>
        <w:textAlignment w:val="baseline"/>
      </w:pPr>
      <w:r>
        <w:t>insiste en que todas las iniciativas empresariales apliquen el diseño universal, la accesibilidad, la interseccionalidad y la inclusividad como puntos de referencia para una economía justa, resiliente y preparada para el futuro.</w:t>
      </w:r>
    </w:p>
    <w:p w14:paraId="1133CF15" w14:textId="77777777" w:rsidR="005072F5" w:rsidRPr="00572CBE" w:rsidRDefault="005072F5" w:rsidP="005072F5">
      <w:pPr>
        <w:ind w:left="720"/>
        <w:contextualSpacing/>
        <w:rPr>
          <w:lang w:val="en-GB" w:eastAsia="zh-CN"/>
        </w:rPr>
      </w:pPr>
    </w:p>
    <w:tbl>
      <w:tblPr>
        <w:tblW w:w="4942" w:type="pct"/>
        <w:tblLook w:val="04A0" w:firstRow="1" w:lastRow="0" w:firstColumn="1" w:lastColumn="0" w:noHBand="0" w:noVBand="1"/>
      </w:tblPr>
      <w:tblGrid>
        <w:gridCol w:w="2094"/>
        <w:gridCol w:w="7228"/>
      </w:tblGrid>
      <w:tr w:rsidR="005072F5" w:rsidRPr="00572CBE" w14:paraId="6436F5B2" w14:textId="77777777" w:rsidTr="00915390">
        <w:tc>
          <w:tcPr>
            <w:tcW w:w="1123" w:type="pct"/>
          </w:tcPr>
          <w:p w14:paraId="0B9C16C0" w14:textId="77777777" w:rsidR="005072F5" w:rsidRPr="00572CBE" w:rsidRDefault="005072F5" w:rsidP="00915390">
            <w:pPr>
              <w:overflowPunct w:val="0"/>
              <w:autoSpaceDE w:val="0"/>
              <w:autoSpaceDN w:val="0"/>
              <w:adjustRightInd w:val="0"/>
              <w:textAlignment w:val="baseline"/>
              <w:rPr>
                <w:i/>
              </w:rPr>
            </w:pPr>
            <w:r>
              <w:rPr>
                <w:b/>
                <w:i/>
              </w:rPr>
              <w:t>Contacto:</w:t>
            </w:r>
          </w:p>
        </w:tc>
        <w:tc>
          <w:tcPr>
            <w:tcW w:w="3877" w:type="pct"/>
          </w:tcPr>
          <w:p w14:paraId="7E21729D" w14:textId="77777777" w:rsidR="005072F5" w:rsidRPr="00572CBE" w:rsidRDefault="005072F5" w:rsidP="00915390">
            <w:pPr>
              <w:overflowPunct w:val="0"/>
              <w:autoSpaceDE w:val="0"/>
              <w:autoSpaceDN w:val="0"/>
              <w:adjustRightInd w:val="0"/>
              <w:textAlignment w:val="baseline"/>
              <w:rPr>
                <w:i/>
              </w:rPr>
            </w:pPr>
            <w:r>
              <w:rPr>
                <w:i/>
              </w:rPr>
              <w:t>Bartek Bednarowicz</w:t>
            </w:r>
          </w:p>
        </w:tc>
      </w:tr>
      <w:tr w:rsidR="005072F5" w:rsidRPr="00572CBE" w14:paraId="12A4DCB2" w14:textId="77777777" w:rsidTr="00915390">
        <w:tc>
          <w:tcPr>
            <w:tcW w:w="1123" w:type="pct"/>
          </w:tcPr>
          <w:p w14:paraId="2B7C8B40" w14:textId="77777777" w:rsidR="005072F5" w:rsidRPr="00572CBE" w:rsidRDefault="005072F5" w:rsidP="00915390">
            <w:pPr>
              <w:overflowPunct w:val="0"/>
              <w:autoSpaceDE w:val="0"/>
              <w:autoSpaceDN w:val="0"/>
              <w:adjustRightInd w:val="0"/>
              <w:textAlignment w:val="baseline"/>
              <w:rPr>
                <w:i/>
              </w:rPr>
            </w:pPr>
            <w:r>
              <w:rPr>
                <w:i/>
              </w:rPr>
              <w:t>Teléfono:</w:t>
            </w:r>
          </w:p>
        </w:tc>
        <w:tc>
          <w:tcPr>
            <w:tcW w:w="3877" w:type="pct"/>
          </w:tcPr>
          <w:p w14:paraId="63F6EB11" w14:textId="77777777" w:rsidR="005072F5" w:rsidRPr="00572CBE" w:rsidRDefault="005072F5" w:rsidP="00915390">
            <w:pPr>
              <w:overflowPunct w:val="0"/>
              <w:autoSpaceDE w:val="0"/>
              <w:autoSpaceDN w:val="0"/>
              <w:adjustRightInd w:val="0"/>
              <w:textAlignment w:val="baseline"/>
              <w:rPr>
                <w:i/>
              </w:rPr>
            </w:pPr>
            <w:r>
              <w:rPr>
                <w:i/>
              </w:rPr>
              <w:t>+32 2 546 9229</w:t>
            </w:r>
          </w:p>
        </w:tc>
      </w:tr>
      <w:tr w:rsidR="005072F5" w:rsidRPr="00572CBE" w14:paraId="11CF34C1" w14:textId="77777777" w:rsidTr="00915390">
        <w:tc>
          <w:tcPr>
            <w:tcW w:w="1123" w:type="pct"/>
          </w:tcPr>
          <w:p w14:paraId="59B35342" w14:textId="77777777" w:rsidR="005072F5" w:rsidRPr="00572CBE" w:rsidRDefault="005072F5" w:rsidP="00915390">
            <w:pPr>
              <w:overflowPunct w:val="0"/>
              <w:autoSpaceDE w:val="0"/>
              <w:autoSpaceDN w:val="0"/>
              <w:adjustRightInd w:val="0"/>
              <w:textAlignment w:val="baseline"/>
              <w:rPr>
                <w:i/>
              </w:rPr>
            </w:pPr>
            <w:r>
              <w:rPr>
                <w:i/>
              </w:rPr>
              <w:t>Correo electrónico:</w:t>
            </w:r>
          </w:p>
        </w:tc>
        <w:tc>
          <w:tcPr>
            <w:tcW w:w="3877" w:type="pct"/>
          </w:tcPr>
          <w:p w14:paraId="4F8DE677" w14:textId="77777777" w:rsidR="005072F5" w:rsidRPr="00572CBE" w:rsidRDefault="005072F5" w:rsidP="00915390">
            <w:pPr>
              <w:overflowPunct w:val="0"/>
              <w:autoSpaceDE w:val="0"/>
              <w:autoSpaceDN w:val="0"/>
              <w:adjustRightInd w:val="0"/>
              <w:textAlignment w:val="baseline"/>
              <w:rPr>
                <w:i/>
              </w:rPr>
            </w:pPr>
            <w:hyperlink r:id="rId46" w:history="1">
              <w:r>
                <w:rPr>
                  <w:i/>
                  <w:color w:val="0000FF"/>
                  <w:u w:val="single"/>
                </w:rPr>
                <w:t>Bartek.Bednarowicz@eesc.europa.eu</w:t>
              </w:r>
            </w:hyperlink>
          </w:p>
        </w:tc>
      </w:tr>
    </w:tbl>
    <w:p w14:paraId="55279B91" w14:textId="77777777" w:rsidR="005072F5" w:rsidRDefault="005072F5" w:rsidP="005072F5">
      <w:pPr>
        <w:jc w:val="left"/>
        <w:rPr>
          <w:lang w:val="en-GB"/>
        </w:rPr>
      </w:pPr>
    </w:p>
    <w:p w14:paraId="6B87E024" w14:textId="77777777" w:rsidR="005072F5" w:rsidRDefault="005072F5" w:rsidP="005072F5">
      <w:pPr>
        <w:jc w:val="left"/>
      </w:pPr>
      <w:r>
        <w:br w:type="page"/>
      </w:r>
    </w:p>
    <w:p w14:paraId="56AEB672" w14:textId="77777777" w:rsidR="005072F5" w:rsidRPr="00D20AB4" w:rsidRDefault="005072F5" w:rsidP="005072F5">
      <w:pPr>
        <w:keepNext/>
        <w:keepLines/>
        <w:widowControl w:val="0"/>
        <w:numPr>
          <w:ilvl w:val="0"/>
          <w:numId w:val="10"/>
        </w:numPr>
        <w:overflowPunct w:val="0"/>
        <w:autoSpaceDE w:val="0"/>
        <w:autoSpaceDN w:val="0"/>
        <w:adjustRightInd w:val="0"/>
        <w:ind w:left="567" w:hanging="567"/>
        <w:textAlignment w:val="baseline"/>
      </w:pPr>
      <w:hyperlink r:id="rId47" w:history="1">
        <w:r>
          <w:rPr>
            <w:b/>
            <w:i/>
            <w:color w:val="0000FF"/>
            <w:sz w:val="28"/>
            <w:u w:val="single"/>
          </w:rPr>
          <w:t>Cómo garantizar unas capacidades ecológicas y promover los centros de formación profesional en ecología</w:t>
        </w:r>
      </w:hyperlink>
    </w:p>
    <w:p w14:paraId="079A0683" w14:textId="77777777" w:rsidR="005072F5" w:rsidRPr="007C77FF" w:rsidRDefault="005072F5" w:rsidP="005072F5">
      <w:pPr>
        <w:keepNext/>
        <w:keepLines/>
        <w:tabs>
          <w:tab w:val="center" w:pos="284"/>
        </w:tabs>
        <w:overflowPunct w:val="0"/>
        <w:autoSpaceDE w:val="0"/>
        <w:autoSpaceDN w:val="0"/>
        <w:adjustRightInd w:val="0"/>
        <w:ind w:left="567" w:hanging="567"/>
        <w:textAlignment w:val="baseline"/>
        <w:rPr>
          <w:sz w:val="18"/>
          <w:szCs w:val="18"/>
        </w:rPr>
      </w:pPr>
    </w:p>
    <w:tbl>
      <w:tblPr>
        <w:tblW w:w="0" w:type="auto"/>
        <w:tblLook w:val="04A0" w:firstRow="1" w:lastRow="0" w:firstColumn="1" w:lastColumn="0" w:noHBand="0" w:noVBand="1"/>
      </w:tblPr>
      <w:tblGrid>
        <w:gridCol w:w="1739"/>
        <w:gridCol w:w="7583"/>
      </w:tblGrid>
      <w:tr w:rsidR="005072F5" w:rsidRPr="00CD7D35" w14:paraId="2649139F" w14:textId="77777777" w:rsidTr="00915390">
        <w:tc>
          <w:tcPr>
            <w:tcW w:w="1739" w:type="dxa"/>
          </w:tcPr>
          <w:p w14:paraId="3AF893ED" w14:textId="77777777" w:rsidR="005072F5" w:rsidRPr="00CD7D35" w:rsidRDefault="005072F5" w:rsidP="00915390">
            <w:pPr>
              <w:tabs>
                <w:tab w:val="center" w:pos="284"/>
              </w:tabs>
              <w:overflowPunct w:val="0"/>
              <w:autoSpaceDE w:val="0"/>
              <w:autoSpaceDN w:val="0"/>
              <w:adjustRightInd w:val="0"/>
              <w:ind w:left="567" w:hanging="567"/>
              <w:textAlignment w:val="baseline"/>
              <w:rPr>
                <w:b/>
              </w:rPr>
            </w:pPr>
            <w:r>
              <w:rPr>
                <w:b/>
              </w:rPr>
              <w:t>Ponente</w:t>
            </w:r>
          </w:p>
        </w:tc>
        <w:tc>
          <w:tcPr>
            <w:tcW w:w="7583" w:type="dxa"/>
          </w:tcPr>
          <w:p w14:paraId="6D4FB7BF" w14:textId="77777777" w:rsidR="005072F5" w:rsidRPr="00CD7D35" w:rsidRDefault="005072F5" w:rsidP="00915390">
            <w:pPr>
              <w:overflowPunct w:val="0"/>
              <w:autoSpaceDE w:val="0"/>
              <w:autoSpaceDN w:val="0"/>
              <w:adjustRightInd w:val="0"/>
              <w:ind w:left="567" w:hanging="567"/>
              <w:textAlignment w:val="baseline"/>
            </w:pPr>
            <w:r>
              <w:t>Nicoletta MERLO (Grupo de Trabajadores – IT)</w:t>
            </w:r>
          </w:p>
        </w:tc>
      </w:tr>
      <w:tr w:rsidR="005072F5" w:rsidRPr="00CD7D35" w14:paraId="5AA96979" w14:textId="77777777" w:rsidTr="00915390">
        <w:tc>
          <w:tcPr>
            <w:tcW w:w="1739" w:type="dxa"/>
          </w:tcPr>
          <w:p w14:paraId="5C8290B4" w14:textId="77777777" w:rsidR="005072F5" w:rsidRPr="00CD7D35" w:rsidRDefault="005072F5" w:rsidP="00915390">
            <w:pPr>
              <w:tabs>
                <w:tab w:val="center" w:pos="284"/>
              </w:tabs>
              <w:overflowPunct w:val="0"/>
              <w:autoSpaceDE w:val="0"/>
              <w:autoSpaceDN w:val="0"/>
              <w:adjustRightInd w:val="0"/>
              <w:ind w:left="567" w:hanging="567"/>
              <w:textAlignment w:val="baseline"/>
              <w:rPr>
                <w:b/>
              </w:rPr>
            </w:pPr>
            <w:r>
              <w:rPr>
                <w:b/>
              </w:rPr>
              <w:t>Coponente</w:t>
            </w:r>
          </w:p>
        </w:tc>
        <w:tc>
          <w:tcPr>
            <w:tcW w:w="7583" w:type="dxa"/>
          </w:tcPr>
          <w:p w14:paraId="17F63058" w14:textId="77777777" w:rsidR="005072F5" w:rsidRPr="00CD7D35" w:rsidRDefault="005072F5" w:rsidP="00915390">
            <w:pPr>
              <w:overflowPunct w:val="0"/>
              <w:autoSpaceDE w:val="0"/>
              <w:autoSpaceDN w:val="0"/>
              <w:adjustRightInd w:val="0"/>
              <w:ind w:left="567" w:hanging="567"/>
              <w:textAlignment w:val="baseline"/>
            </w:pPr>
            <w:r>
              <w:t>Jean-Michel POTTIER (Empresarios – FR)</w:t>
            </w:r>
          </w:p>
        </w:tc>
      </w:tr>
      <w:tr w:rsidR="005072F5" w:rsidRPr="00CD7D35" w14:paraId="391BA341" w14:textId="77777777" w:rsidTr="00915390">
        <w:tc>
          <w:tcPr>
            <w:tcW w:w="1739" w:type="dxa"/>
          </w:tcPr>
          <w:p w14:paraId="30402811" w14:textId="77777777" w:rsidR="005072F5" w:rsidRPr="00CD7D35" w:rsidRDefault="005072F5" w:rsidP="00915390">
            <w:pPr>
              <w:tabs>
                <w:tab w:val="center" w:pos="284"/>
              </w:tabs>
              <w:overflowPunct w:val="0"/>
              <w:autoSpaceDE w:val="0"/>
              <w:autoSpaceDN w:val="0"/>
              <w:adjustRightInd w:val="0"/>
              <w:ind w:left="567" w:hanging="567"/>
              <w:textAlignment w:val="baseline"/>
              <w:rPr>
                <w:b/>
              </w:rPr>
            </w:pPr>
            <w:r>
              <w:rPr>
                <w:b/>
              </w:rPr>
              <w:t>Referencia</w:t>
            </w:r>
          </w:p>
        </w:tc>
        <w:tc>
          <w:tcPr>
            <w:tcW w:w="7583" w:type="dxa"/>
          </w:tcPr>
          <w:p w14:paraId="284DD73D" w14:textId="77777777" w:rsidR="005072F5" w:rsidRPr="00CD7D35" w:rsidRDefault="005072F5" w:rsidP="00915390">
            <w:pPr>
              <w:overflowPunct w:val="0"/>
              <w:autoSpaceDE w:val="0"/>
              <w:autoSpaceDN w:val="0"/>
              <w:adjustRightInd w:val="0"/>
              <w:textAlignment w:val="baseline"/>
            </w:pPr>
            <w:r>
              <w:t>Dictamen exploratorio solicitado por la Presidencia danesa del Consejo de la UE</w:t>
            </w:r>
          </w:p>
          <w:p w14:paraId="4D470871" w14:textId="77777777" w:rsidR="005072F5" w:rsidRPr="00CD7D35" w:rsidRDefault="005072F5" w:rsidP="00915390">
            <w:pPr>
              <w:tabs>
                <w:tab w:val="center" w:pos="284"/>
              </w:tabs>
              <w:overflowPunct w:val="0"/>
              <w:autoSpaceDE w:val="0"/>
              <w:autoSpaceDN w:val="0"/>
              <w:adjustRightInd w:val="0"/>
              <w:ind w:left="567" w:hanging="567"/>
              <w:textAlignment w:val="baseline"/>
            </w:pPr>
            <w:r>
              <w:t>EESC-2025-01268-00-00-AC</w:t>
            </w:r>
          </w:p>
        </w:tc>
      </w:tr>
    </w:tbl>
    <w:p w14:paraId="7452C409" w14:textId="77777777" w:rsidR="005072F5" w:rsidRPr="007C77FF" w:rsidRDefault="005072F5" w:rsidP="005072F5">
      <w:pPr>
        <w:keepNext/>
        <w:keepLines/>
        <w:tabs>
          <w:tab w:val="center" w:pos="284"/>
        </w:tabs>
        <w:overflowPunct w:val="0"/>
        <w:autoSpaceDE w:val="0"/>
        <w:autoSpaceDN w:val="0"/>
        <w:adjustRightInd w:val="0"/>
        <w:ind w:left="266" w:hanging="266"/>
        <w:textAlignment w:val="baseline"/>
        <w:rPr>
          <w:b/>
          <w:sz w:val="16"/>
          <w:szCs w:val="16"/>
          <w:lang w:val="en-GB"/>
        </w:rPr>
      </w:pPr>
    </w:p>
    <w:p w14:paraId="26377BCA" w14:textId="77777777" w:rsidR="005072F5" w:rsidRPr="00CD7D35"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3994CB3A" w14:textId="77777777" w:rsidR="005072F5" w:rsidRPr="007C77FF" w:rsidRDefault="005072F5" w:rsidP="005072F5">
      <w:pPr>
        <w:jc w:val="left"/>
        <w:rPr>
          <w:sz w:val="18"/>
          <w:szCs w:val="18"/>
          <w:lang w:val="en-GB" w:eastAsia="fr-BE"/>
        </w:rPr>
      </w:pPr>
    </w:p>
    <w:p w14:paraId="1C45378E" w14:textId="77777777" w:rsidR="005072F5" w:rsidRDefault="005072F5" w:rsidP="005072F5">
      <w:pPr>
        <w:jc w:val="left"/>
      </w:pPr>
      <w:r>
        <w:t>El CESE:</w:t>
      </w:r>
    </w:p>
    <w:p w14:paraId="26710101" w14:textId="77777777" w:rsidR="005072F5" w:rsidRPr="007C77FF" w:rsidRDefault="005072F5" w:rsidP="005072F5">
      <w:pPr>
        <w:jc w:val="left"/>
        <w:rPr>
          <w:sz w:val="16"/>
          <w:szCs w:val="16"/>
        </w:rPr>
      </w:pPr>
    </w:p>
    <w:p w14:paraId="5840429A" w14:textId="77777777" w:rsidR="005072F5" w:rsidRPr="00061E08" w:rsidRDefault="005072F5" w:rsidP="005072F5">
      <w:pPr>
        <w:pStyle w:val="ListParagraph"/>
        <w:numPr>
          <w:ilvl w:val="0"/>
          <w:numId w:val="94"/>
        </w:numPr>
        <w:spacing w:line="264" w:lineRule="auto"/>
        <w:ind w:left="284" w:hanging="284"/>
      </w:pPr>
      <w:bookmarkStart w:id="96" w:name="_Toc209713379"/>
      <w:bookmarkStart w:id="97" w:name="_Toc209713919"/>
      <w:r>
        <w:t>recomienda aplicar un enfoque sistémico a la formación en capacidades verdes que integre la gobernanza multinivel, inversiones específicas y modelos educativos inclusivos. La agilidad en el diseño de las capacidades debe traducirse en acciones concretas, en particular mediante la capacitación de los entes locales y regionales y la aplicación efectiva de los mecanismos existentes, como el sistema europeo de seguimiento de las capacidades verdes y los observatorios territoriales;</w:t>
      </w:r>
      <w:bookmarkEnd w:id="96"/>
      <w:bookmarkEnd w:id="97"/>
    </w:p>
    <w:p w14:paraId="3447F379" w14:textId="77777777" w:rsidR="005072F5" w:rsidRPr="00061E08" w:rsidRDefault="005072F5" w:rsidP="005072F5">
      <w:pPr>
        <w:pStyle w:val="ListParagraph"/>
        <w:numPr>
          <w:ilvl w:val="0"/>
          <w:numId w:val="94"/>
        </w:numPr>
        <w:spacing w:line="264" w:lineRule="auto"/>
        <w:ind w:left="284" w:hanging="284"/>
      </w:pPr>
      <w:bookmarkStart w:id="98" w:name="_Toc209713380"/>
      <w:bookmarkStart w:id="99" w:name="_Toc209713920"/>
      <w:r>
        <w:t>recomienda que se haga un uso estratégico de los fondos europeos para modernizar la educación y formación profesionales (EFP), apoyar el aprendizaje permanente y mejorar las cualificaciones de los formadores. Es necesario fomentar las asociaciones público-privadas para el desarrollo de las capacidades verdes y apoyar de manera adecuada a las pymes en la puesta en marcha de los programas de formación. Es fundamental asegurarse de que se asignen recursos suficientes para garantizar una formación eficaz en competencias ecológicas y digitales;</w:t>
      </w:r>
      <w:bookmarkEnd w:id="98"/>
      <w:bookmarkEnd w:id="99"/>
    </w:p>
    <w:p w14:paraId="47544784" w14:textId="77777777" w:rsidR="005072F5" w:rsidRPr="00061E08" w:rsidRDefault="005072F5" w:rsidP="005072F5">
      <w:pPr>
        <w:pStyle w:val="ListParagraph"/>
        <w:numPr>
          <w:ilvl w:val="0"/>
          <w:numId w:val="94"/>
        </w:numPr>
        <w:spacing w:line="264" w:lineRule="auto"/>
        <w:ind w:left="284" w:hanging="284"/>
      </w:pPr>
      <w:bookmarkStart w:id="100" w:name="_Toc209713381"/>
      <w:bookmarkStart w:id="101" w:name="_Toc209713921"/>
      <w:r>
        <w:t>recomienda elaborar un marco claro para la aplicación de las microcredenciales y promover la adopción generalizada de itinerarios de formación modulares y flexibles, en particular los basados en el aprendizaje mixto;</w:t>
      </w:r>
      <w:bookmarkEnd w:id="100"/>
      <w:bookmarkEnd w:id="101"/>
    </w:p>
    <w:p w14:paraId="074875A3" w14:textId="77777777" w:rsidR="005072F5" w:rsidRPr="00061E08" w:rsidRDefault="005072F5" w:rsidP="005072F5">
      <w:pPr>
        <w:pStyle w:val="ListParagraph"/>
        <w:numPr>
          <w:ilvl w:val="0"/>
          <w:numId w:val="94"/>
        </w:numPr>
        <w:spacing w:line="264" w:lineRule="auto"/>
        <w:ind w:left="284" w:hanging="284"/>
      </w:pPr>
      <w:bookmarkStart w:id="102" w:name="_Toc209713382"/>
      <w:bookmarkStart w:id="103" w:name="_Toc209713922"/>
      <w:r>
        <w:t>recomienda la integración sistémica de la sostenibilidad en la educación y la formación a través de la cooperación transfronteriza, la movilidad de estudiantes y profesores y el intercambio de buenas prácticas. El programa Erasmus+ desempeña un papel clave, al apoyar la transición ecológica y digital en la EFP;</w:t>
      </w:r>
      <w:bookmarkEnd w:id="102"/>
      <w:bookmarkEnd w:id="103"/>
    </w:p>
    <w:p w14:paraId="01D5AA29" w14:textId="77777777" w:rsidR="005072F5" w:rsidRPr="00061E08" w:rsidRDefault="005072F5" w:rsidP="005072F5">
      <w:pPr>
        <w:pStyle w:val="ListParagraph"/>
        <w:numPr>
          <w:ilvl w:val="0"/>
          <w:numId w:val="94"/>
        </w:numPr>
        <w:spacing w:line="264" w:lineRule="auto"/>
        <w:ind w:left="284" w:hanging="284"/>
      </w:pPr>
      <w:bookmarkStart w:id="104" w:name="_Toc209713383"/>
      <w:bookmarkStart w:id="105" w:name="_Toc209713923"/>
      <w:r>
        <w:t>recomienda aplicar plenamente el primer principio del pilar europeo de derechos sociales y garantizar que «toda persona tiene derecho a una educación, formación y aprendizaje permanente inclusivos y de calidad, a fin de mantener y adquirir capacidades que les permitan participar plenamente en la sociedad y gestionar con éxito las transiciones en el mercado laboral»;</w:t>
      </w:r>
      <w:bookmarkEnd w:id="104"/>
      <w:bookmarkEnd w:id="105"/>
    </w:p>
    <w:p w14:paraId="7CEDA65B" w14:textId="77777777" w:rsidR="005072F5" w:rsidRPr="00061E08" w:rsidRDefault="005072F5" w:rsidP="005072F5">
      <w:pPr>
        <w:pStyle w:val="ListParagraph"/>
        <w:numPr>
          <w:ilvl w:val="0"/>
          <w:numId w:val="94"/>
        </w:numPr>
        <w:spacing w:line="264" w:lineRule="auto"/>
        <w:ind w:left="284" w:hanging="284"/>
      </w:pPr>
      <w:bookmarkStart w:id="106" w:name="_Toc209713384"/>
      <w:bookmarkStart w:id="107" w:name="_Toc209713924"/>
      <w:r>
        <w:t>subraya que los trabajadores deben beneficiarse de una formación profesional de calidad a lo largo de toda su carrera profesional, en particular de orientación y de herramientas de evaluación de las capacidades. Es necesario un enfoque europeo común para evaluar el impacto de la formación y difundir buenas prácticas, también a través del diálogo social y la negociación colectiva en consonancia con las prácticas nacionales;</w:t>
      </w:r>
      <w:bookmarkEnd w:id="106"/>
      <w:bookmarkEnd w:id="107"/>
    </w:p>
    <w:p w14:paraId="4413EB7E" w14:textId="77777777" w:rsidR="005072F5" w:rsidRPr="00061E08" w:rsidRDefault="005072F5" w:rsidP="005072F5">
      <w:pPr>
        <w:pStyle w:val="ListParagraph"/>
        <w:numPr>
          <w:ilvl w:val="0"/>
          <w:numId w:val="94"/>
        </w:numPr>
        <w:spacing w:line="264" w:lineRule="auto"/>
        <w:ind w:left="284" w:hanging="284"/>
      </w:pPr>
      <w:bookmarkStart w:id="108" w:name="_Toc209713385"/>
      <w:bookmarkStart w:id="109" w:name="_Toc209713925"/>
      <w:r>
        <w:t>aboga por utilizar la inteligencia artificial como herramienta para que la formación profesional responda mejor a las necesidades de la transición ecológica, anticipando nuevas necesidades de formación, actualizando rápidamente los planes de estudios y personalizando los itinerarios de aprendizaje. No obstante, es esencial garantizar que su uso sea ético y sostenible, y que los profesores y formadores reciban una formación adecuada.</w:t>
      </w:r>
      <w:bookmarkEnd w:id="108"/>
      <w:bookmarkEnd w:id="109"/>
    </w:p>
    <w:p w14:paraId="4B3E2A0C" w14:textId="77777777" w:rsidR="005072F5" w:rsidRPr="007C77FF" w:rsidRDefault="005072F5" w:rsidP="005072F5">
      <w:pPr>
        <w:widowControl w:val="0"/>
        <w:overflowPunct w:val="0"/>
        <w:autoSpaceDE w:val="0"/>
        <w:autoSpaceDN w:val="0"/>
        <w:adjustRightInd w:val="0"/>
        <w:ind w:left="567"/>
        <w:textAlignment w:val="baseline"/>
        <w:rPr>
          <w:bCs/>
          <w:iCs/>
          <w:sz w:val="16"/>
          <w:szCs w:val="16"/>
          <w:lang w:val="en-GB"/>
        </w:rPr>
      </w:pPr>
    </w:p>
    <w:tbl>
      <w:tblPr>
        <w:tblW w:w="0" w:type="auto"/>
        <w:tblLook w:val="04A0" w:firstRow="1" w:lastRow="0" w:firstColumn="1" w:lastColumn="0" w:noHBand="0" w:noVBand="1"/>
      </w:tblPr>
      <w:tblGrid>
        <w:gridCol w:w="2093"/>
        <w:gridCol w:w="7229"/>
      </w:tblGrid>
      <w:tr w:rsidR="005072F5" w:rsidRPr="00CD7D35" w14:paraId="45FDF270" w14:textId="77777777" w:rsidTr="00915390">
        <w:tc>
          <w:tcPr>
            <w:tcW w:w="2093" w:type="dxa"/>
          </w:tcPr>
          <w:p w14:paraId="2ADFF011" w14:textId="77777777" w:rsidR="005072F5" w:rsidRPr="00CD7D35" w:rsidRDefault="005072F5" w:rsidP="00915390">
            <w:pPr>
              <w:overflowPunct w:val="0"/>
              <w:autoSpaceDE w:val="0"/>
              <w:autoSpaceDN w:val="0"/>
              <w:adjustRightInd w:val="0"/>
              <w:textAlignment w:val="baseline"/>
              <w:rPr>
                <w:i/>
              </w:rPr>
            </w:pPr>
            <w:r>
              <w:rPr>
                <w:b/>
                <w:i/>
              </w:rPr>
              <w:t>Contacto:</w:t>
            </w:r>
          </w:p>
        </w:tc>
        <w:tc>
          <w:tcPr>
            <w:tcW w:w="7229" w:type="dxa"/>
          </w:tcPr>
          <w:p w14:paraId="6C09909E" w14:textId="77777777" w:rsidR="005072F5" w:rsidRPr="00CD7D35" w:rsidRDefault="005072F5" w:rsidP="00915390">
            <w:pPr>
              <w:overflowPunct w:val="0"/>
              <w:autoSpaceDE w:val="0"/>
              <w:autoSpaceDN w:val="0"/>
              <w:adjustRightInd w:val="0"/>
              <w:ind w:hanging="12"/>
              <w:textAlignment w:val="baseline"/>
              <w:rPr>
                <w:i/>
              </w:rPr>
            </w:pPr>
            <w:r>
              <w:rPr>
                <w:i/>
              </w:rPr>
              <w:t>Triin Aasmaa Gomes</w:t>
            </w:r>
          </w:p>
        </w:tc>
      </w:tr>
      <w:tr w:rsidR="005072F5" w:rsidRPr="00CD7D35" w14:paraId="5153A52D" w14:textId="77777777" w:rsidTr="00915390">
        <w:tc>
          <w:tcPr>
            <w:tcW w:w="2093" w:type="dxa"/>
          </w:tcPr>
          <w:p w14:paraId="3A4A820A" w14:textId="77777777" w:rsidR="005072F5" w:rsidRPr="00CD7D35" w:rsidRDefault="005072F5" w:rsidP="00915390">
            <w:pPr>
              <w:overflowPunct w:val="0"/>
              <w:autoSpaceDE w:val="0"/>
              <w:autoSpaceDN w:val="0"/>
              <w:adjustRightInd w:val="0"/>
              <w:textAlignment w:val="baseline"/>
              <w:rPr>
                <w:i/>
              </w:rPr>
            </w:pPr>
            <w:r>
              <w:rPr>
                <w:i/>
              </w:rPr>
              <w:t>Teléfono:</w:t>
            </w:r>
          </w:p>
        </w:tc>
        <w:tc>
          <w:tcPr>
            <w:tcW w:w="7229" w:type="dxa"/>
          </w:tcPr>
          <w:p w14:paraId="576B7AD2" w14:textId="77777777" w:rsidR="005072F5" w:rsidRPr="00CD7D35" w:rsidRDefault="005072F5" w:rsidP="00915390">
            <w:pPr>
              <w:overflowPunct w:val="0"/>
              <w:autoSpaceDE w:val="0"/>
              <w:autoSpaceDN w:val="0"/>
              <w:adjustRightInd w:val="0"/>
              <w:textAlignment w:val="baseline"/>
              <w:rPr>
                <w:i/>
              </w:rPr>
            </w:pPr>
            <w:r>
              <w:rPr>
                <w:i/>
              </w:rPr>
              <w:t>+</w:t>
            </w:r>
            <w:r w:rsidRPr="00BD4439">
              <w:rPr>
                <w:i/>
              </w:rPr>
              <w:t>32 2 546 9524</w:t>
            </w:r>
          </w:p>
        </w:tc>
      </w:tr>
      <w:tr w:rsidR="005072F5" w:rsidRPr="00CD7D35" w14:paraId="46689B15" w14:textId="77777777" w:rsidTr="00915390">
        <w:tc>
          <w:tcPr>
            <w:tcW w:w="2093" w:type="dxa"/>
          </w:tcPr>
          <w:p w14:paraId="10F495DA" w14:textId="77777777" w:rsidR="005072F5" w:rsidRPr="00CD7D35" w:rsidRDefault="005072F5" w:rsidP="00915390">
            <w:pPr>
              <w:overflowPunct w:val="0"/>
              <w:autoSpaceDE w:val="0"/>
              <w:autoSpaceDN w:val="0"/>
              <w:adjustRightInd w:val="0"/>
              <w:textAlignment w:val="baseline"/>
              <w:rPr>
                <w:i/>
              </w:rPr>
            </w:pPr>
            <w:r>
              <w:rPr>
                <w:i/>
              </w:rPr>
              <w:t>Correo electrónico:</w:t>
            </w:r>
          </w:p>
        </w:tc>
        <w:tc>
          <w:tcPr>
            <w:tcW w:w="7229" w:type="dxa"/>
          </w:tcPr>
          <w:p w14:paraId="12259242" w14:textId="77777777" w:rsidR="005072F5" w:rsidRPr="00CD7D35" w:rsidRDefault="005072F5" w:rsidP="00915390">
            <w:pPr>
              <w:overflowPunct w:val="0"/>
              <w:autoSpaceDE w:val="0"/>
              <w:autoSpaceDN w:val="0"/>
              <w:adjustRightInd w:val="0"/>
              <w:textAlignment w:val="baseline"/>
              <w:rPr>
                <w:i/>
              </w:rPr>
            </w:pPr>
            <w:hyperlink r:id="rId48" w:history="1">
              <w:r>
                <w:rPr>
                  <w:i/>
                  <w:color w:val="0000FF"/>
                  <w:u w:val="single"/>
                </w:rPr>
                <w:t>Triin.AasmaaGomes@eesc.europa.eu</w:t>
              </w:r>
            </w:hyperlink>
          </w:p>
        </w:tc>
      </w:tr>
    </w:tbl>
    <w:p w14:paraId="36125BCE" w14:textId="77777777" w:rsidR="005072F5" w:rsidRDefault="005072F5" w:rsidP="005072F5">
      <w:pPr>
        <w:spacing w:after="160" w:line="259" w:lineRule="auto"/>
        <w:jc w:val="left"/>
      </w:pPr>
      <w:r>
        <w:br w:type="page"/>
      </w:r>
    </w:p>
    <w:p w14:paraId="7958CC3E" w14:textId="77777777" w:rsidR="005072F5" w:rsidRPr="00C24118" w:rsidRDefault="005072F5" w:rsidP="005072F5">
      <w:pPr>
        <w:keepNext/>
        <w:keepLines/>
        <w:widowControl w:val="0"/>
        <w:numPr>
          <w:ilvl w:val="0"/>
          <w:numId w:val="3"/>
        </w:numPr>
        <w:overflowPunct w:val="0"/>
        <w:autoSpaceDE w:val="0"/>
        <w:autoSpaceDN w:val="0"/>
        <w:adjustRightInd w:val="0"/>
        <w:ind w:hanging="567"/>
        <w:textAlignment w:val="baseline"/>
        <w:rPr>
          <w:sz w:val="24"/>
          <w:szCs w:val="24"/>
        </w:rPr>
      </w:pPr>
      <w:hyperlink r:id="rId49" w:history="1">
        <w:r>
          <w:rPr>
            <w:b/>
            <w:i/>
            <w:color w:val="0000FF"/>
            <w:sz w:val="28"/>
            <w:u w:val="single"/>
          </w:rPr>
          <w:t>Cómo la formación de aprendices en centros de trabajo y los sistemas de formación en alternancia pueden reforzar las capacidades que necesitan las empresas para hacer frente a los retos de la doble transición ecológica y digital</w:t>
        </w:r>
      </w:hyperlink>
    </w:p>
    <w:p w14:paraId="5EA061A1" w14:textId="77777777" w:rsidR="005072F5" w:rsidRPr="007C77FF" w:rsidRDefault="005072F5" w:rsidP="005072F5">
      <w:pPr>
        <w:keepNext/>
        <w:keepLines/>
        <w:tabs>
          <w:tab w:val="center" w:pos="284"/>
        </w:tabs>
        <w:overflowPunct w:val="0"/>
        <w:autoSpaceDE w:val="0"/>
        <w:autoSpaceDN w:val="0"/>
        <w:adjustRightInd w:val="0"/>
        <w:ind w:left="266" w:hanging="266"/>
        <w:textAlignment w:val="baseline"/>
        <w:rPr>
          <w:b/>
          <w:sz w:val="18"/>
          <w:szCs w:val="18"/>
          <w:lang w:val="en-GB"/>
        </w:rPr>
      </w:pPr>
    </w:p>
    <w:tbl>
      <w:tblPr>
        <w:tblW w:w="0" w:type="auto"/>
        <w:tblLook w:val="04A0" w:firstRow="1" w:lastRow="0" w:firstColumn="1" w:lastColumn="0" w:noHBand="0" w:noVBand="1"/>
      </w:tblPr>
      <w:tblGrid>
        <w:gridCol w:w="1701"/>
        <w:gridCol w:w="7621"/>
      </w:tblGrid>
      <w:tr w:rsidR="005072F5" w:rsidRPr="00C24118" w14:paraId="70DFA955" w14:textId="77777777" w:rsidTr="00915390">
        <w:tc>
          <w:tcPr>
            <w:tcW w:w="1701" w:type="dxa"/>
          </w:tcPr>
          <w:p w14:paraId="49CE481C" w14:textId="77777777" w:rsidR="005072F5" w:rsidRPr="00C24118"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621" w:type="dxa"/>
          </w:tcPr>
          <w:p w14:paraId="09B14639" w14:textId="77777777" w:rsidR="005072F5" w:rsidRPr="00C24118" w:rsidRDefault="005072F5" w:rsidP="00915390">
            <w:pPr>
              <w:tabs>
                <w:tab w:val="center" w:pos="284"/>
              </w:tabs>
              <w:overflowPunct w:val="0"/>
              <w:autoSpaceDE w:val="0"/>
              <w:autoSpaceDN w:val="0"/>
              <w:adjustRightInd w:val="0"/>
              <w:ind w:left="266" w:hanging="266"/>
              <w:textAlignment w:val="baseline"/>
            </w:pPr>
            <w:r>
              <w:t>Jean-Michel POTTIER (Empresarios – FR)</w:t>
            </w:r>
          </w:p>
        </w:tc>
      </w:tr>
      <w:tr w:rsidR="005072F5" w:rsidRPr="00C24118" w14:paraId="6A7968D0" w14:textId="77777777" w:rsidTr="00915390">
        <w:tc>
          <w:tcPr>
            <w:tcW w:w="1701" w:type="dxa"/>
            <w:vMerge w:val="restart"/>
          </w:tcPr>
          <w:p w14:paraId="4F701DA9" w14:textId="77777777" w:rsidR="005072F5" w:rsidRPr="00C24118"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7621" w:type="dxa"/>
          </w:tcPr>
          <w:p w14:paraId="1B2EB8EF" w14:textId="77777777" w:rsidR="005072F5" w:rsidRPr="00C24118" w:rsidRDefault="005072F5" w:rsidP="00915390">
            <w:pPr>
              <w:tabs>
                <w:tab w:val="center" w:pos="284"/>
              </w:tabs>
              <w:overflowPunct w:val="0"/>
              <w:autoSpaceDE w:val="0"/>
              <w:autoSpaceDN w:val="0"/>
              <w:adjustRightInd w:val="0"/>
              <w:ind w:left="266" w:hanging="266"/>
              <w:textAlignment w:val="baseline"/>
            </w:pPr>
            <w:r>
              <w:t>Dictamen de iniciativa</w:t>
            </w:r>
          </w:p>
        </w:tc>
      </w:tr>
      <w:tr w:rsidR="005072F5" w:rsidRPr="00C24118" w14:paraId="10E782F8" w14:textId="77777777" w:rsidTr="00915390">
        <w:tc>
          <w:tcPr>
            <w:tcW w:w="1701" w:type="dxa"/>
            <w:vMerge/>
          </w:tcPr>
          <w:p w14:paraId="4EB6D20C" w14:textId="77777777" w:rsidR="005072F5" w:rsidRPr="00C24118" w:rsidRDefault="005072F5" w:rsidP="00915390">
            <w:pPr>
              <w:tabs>
                <w:tab w:val="center" w:pos="284"/>
              </w:tabs>
              <w:overflowPunct w:val="0"/>
              <w:autoSpaceDE w:val="0"/>
              <w:autoSpaceDN w:val="0"/>
              <w:adjustRightInd w:val="0"/>
              <w:ind w:left="266" w:hanging="266"/>
              <w:textAlignment w:val="baseline"/>
              <w:rPr>
                <w:b/>
                <w:lang w:val="en-GB"/>
              </w:rPr>
            </w:pPr>
          </w:p>
        </w:tc>
        <w:tc>
          <w:tcPr>
            <w:tcW w:w="7621" w:type="dxa"/>
          </w:tcPr>
          <w:p w14:paraId="56A4F212" w14:textId="77777777" w:rsidR="005072F5" w:rsidRPr="00C24118" w:rsidRDefault="005072F5" w:rsidP="00915390">
            <w:pPr>
              <w:tabs>
                <w:tab w:val="center" w:pos="284"/>
              </w:tabs>
              <w:overflowPunct w:val="0"/>
              <w:autoSpaceDE w:val="0"/>
              <w:autoSpaceDN w:val="0"/>
              <w:adjustRightInd w:val="0"/>
              <w:ind w:left="266" w:hanging="266"/>
              <w:textAlignment w:val="baseline"/>
            </w:pPr>
            <w:r>
              <w:t>EESC-2025-00781-00-00-AC</w:t>
            </w:r>
          </w:p>
        </w:tc>
      </w:tr>
    </w:tbl>
    <w:p w14:paraId="1C982330" w14:textId="77777777" w:rsidR="005072F5" w:rsidRPr="007C77FF" w:rsidRDefault="005072F5" w:rsidP="005072F5">
      <w:pPr>
        <w:tabs>
          <w:tab w:val="center" w:pos="284"/>
        </w:tabs>
        <w:overflowPunct w:val="0"/>
        <w:autoSpaceDE w:val="0"/>
        <w:autoSpaceDN w:val="0"/>
        <w:adjustRightInd w:val="0"/>
        <w:ind w:left="266" w:hanging="266"/>
        <w:textAlignment w:val="baseline"/>
        <w:rPr>
          <w:sz w:val="18"/>
          <w:szCs w:val="18"/>
          <w:lang w:val="en-GB"/>
        </w:rPr>
      </w:pPr>
    </w:p>
    <w:p w14:paraId="138A99AB" w14:textId="77777777" w:rsidR="005072F5" w:rsidRPr="00C24118" w:rsidRDefault="005072F5" w:rsidP="005072F5">
      <w:pPr>
        <w:tabs>
          <w:tab w:val="center" w:pos="284"/>
        </w:tabs>
        <w:overflowPunct w:val="0"/>
        <w:autoSpaceDE w:val="0"/>
        <w:autoSpaceDN w:val="0"/>
        <w:adjustRightInd w:val="0"/>
        <w:ind w:left="266" w:hanging="266"/>
        <w:textAlignment w:val="baseline"/>
        <w:rPr>
          <w:b/>
        </w:rPr>
      </w:pPr>
      <w:r>
        <w:rPr>
          <w:b/>
        </w:rPr>
        <w:t>Puntos clave</w:t>
      </w:r>
    </w:p>
    <w:p w14:paraId="4735F58F" w14:textId="77777777" w:rsidR="005072F5" w:rsidRPr="007C77FF" w:rsidRDefault="005072F5" w:rsidP="005072F5">
      <w:pPr>
        <w:tabs>
          <w:tab w:val="center" w:pos="284"/>
        </w:tabs>
        <w:overflowPunct w:val="0"/>
        <w:autoSpaceDE w:val="0"/>
        <w:autoSpaceDN w:val="0"/>
        <w:adjustRightInd w:val="0"/>
        <w:ind w:left="266" w:hanging="266"/>
        <w:textAlignment w:val="baseline"/>
        <w:rPr>
          <w:b/>
          <w:sz w:val="18"/>
          <w:szCs w:val="18"/>
          <w:lang w:val="en-GB"/>
        </w:rPr>
      </w:pPr>
    </w:p>
    <w:p w14:paraId="7C1A50E1" w14:textId="77777777" w:rsidR="005072F5" w:rsidRDefault="005072F5" w:rsidP="005072F5">
      <w:pPr>
        <w:overflowPunct w:val="0"/>
        <w:autoSpaceDE w:val="0"/>
        <w:autoSpaceDN w:val="0"/>
        <w:adjustRightInd w:val="0"/>
        <w:textAlignment w:val="baseline"/>
      </w:pPr>
      <w:r>
        <w:t>El CESE:</w:t>
      </w:r>
    </w:p>
    <w:p w14:paraId="189DB117" w14:textId="77777777" w:rsidR="005072F5" w:rsidRPr="007C77FF" w:rsidRDefault="005072F5" w:rsidP="005072F5">
      <w:pPr>
        <w:overflowPunct w:val="0"/>
        <w:autoSpaceDE w:val="0"/>
        <w:autoSpaceDN w:val="0"/>
        <w:adjustRightInd w:val="0"/>
        <w:textAlignment w:val="baseline"/>
        <w:rPr>
          <w:bCs/>
          <w:iCs/>
          <w:sz w:val="18"/>
          <w:szCs w:val="18"/>
        </w:rPr>
      </w:pPr>
    </w:p>
    <w:p w14:paraId="749F81D0" w14:textId="77777777" w:rsidR="005072F5" w:rsidRPr="00C24118" w:rsidRDefault="005072F5" w:rsidP="005072F5">
      <w:pPr>
        <w:numPr>
          <w:ilvl w:val="0"/>
          <w:numId w:val="54"/>
        </w:numPr>
        <w:overflowPunct w:val="0"/>
        <w:autoSpaceDE w:val="0"/>
        <w:autoSpaceDN w:val="0"/>
        <w:adjustRightInd w:val="0"/>
        <w:ind w:left="284" w:hanging="284"/>
        <w:contextualSpacing/>
        <w:textAlignment w:val="baseline"/>
      </w:pPr>
      <w:r>
        <w:t xml:space="preserve">destaca la importancia del aprendizaje profesional en centros de trabajo para desarrollar las capacidades digitales y medioambientales requeridas en el mercado laboral europeo; </w:t>
      </w:r>
    </w:p>
    <w:p w14:paraId="26440D30" w14:textId="77777777" w:rsidR="005072F5" w:rsidRPr="00C24118" w:rsidRDefault="005072F5" w:rsidP="005072F5">
      <w:pPr>
        <w:numPr>
          <w:ilvl w:val="0"/>
          <w:numId w:val="54"/>
        </w:numPr>
        <w:overflowPunct w:val="0"/>
        <w:autoSpaceDE w:val="0"/>
        <w:autoSpaceDN w:val="0"/>
        <w:adjustRightInd w:val="0"/>
        <w:ind w:left="284" w:hanging="284"/>
        <w:contextualSpacing/>
        <w:textAlignment w:val="baseline"/>
      </w:pPr>
      <w:r>
        <w:t>señala que en muchos países de la UE los sistemas de formación y de certificación funcionan en compartimentos estancos; apoya el objetivo de llevar a cabo una reforma profunda, por ejemplo, para adaptar la formación a las necesidades del mercado laboral, mejorar la accesibilidad y fomentar las capacidades transversales;</w:t>
      </w:r>
    </w:p>
    <w:p w14:paraId="1BBAB166" w14:textId="77777777" w:rsidR="005072F5" w:rsidRPr="00C24118" w:rsidRDefault="005072F5" w:rsidP="005072F5">
      <w:pPr>
        <w:numPr>
          <w:ilvl w:val="0"/>
          <w:numId w:val="54"/>
        </w:numPr>
        <w:overflowPunct w:val="0"/>
        <w:autoSpaceDE w:val="0"/>
        <w:autoSpaceDN w:val="0"/>
        <w:adjustRightInd w:val="0"/>
        <w:ind w:left="284" w:hanging="284"/>
        <w:contextualSpacing/>
        <w:textAlignment w:val="baseline"/>
      </w:pPr>
      <w:r>
        <w:t>propone un nuevo enfoque de los sistemas de aprendizaje que prevea un módulo de formación complementario en un ámbito de nuevas tecnologías o de innovación en competencias digitales y medioambientales; considera el dominio de los conocimientos básicos un requisito previo para un itinerario de formación profesional como el aprendizaje profesional;</w:t>
      </w:r>
    </w:p>
    <w:p w14:paraId="64344A0E" w14:textId="77777777" w:rsidR="005072F5" w:rsidRPr="00C24118" w:rsidRDefault="005072F5" w:rsidP="005072F5">
      <w:pPr>
        <w:numPr>
          <w:ilvl w:val="0"/>
          <w:numId w:val="54"/>
        </w:numPr>
        <w:overflowPunct w:val="0"/>
        <w:autoSpaceDE w:val="0"/>
        <w:autoSpaceDN w:val="0"/>
        <w:adjustRightInd w:val="0"/>
        <w:ind w:left="284" w:hanging="284"/>
        <w:contextualSpacing/>
        <w:textAlignment w:val="baseline"/>
      </w:pPr>
      <w:r>
        <w:t>subraya el papel de los interlocutores sociales en el diseño y la gestión de los sistemas de formación y en la calibración de las necesidades de competencias del mercado laboral;</w:t>
      </w:r>
    </w:p>
    <w:p w14:paraId="4509D72C" w14:textId="77777777" w:rsidR="005072F5" w:rsidRPr="00C24118" w:rsidRDefault="005072F5" w:rsidP="005072F5">
      <w:pPr>
        <w:numPr>
          <w:ilvl w:val="0"/>
          <w:numId w:val="54"/>
        </w:numPr>
        <w:overflowPunct w:val="0"/>
        <w:autoSpaceDE w:val="0"/>
        <w:autoSpaceDN w:val="0"/>
        <w:adjustRightInd w:val="0"/>
        <w:ind w:left="284" w:hanging="284"/>
        <w:contextualSpacing/>
        <w:textAlignment w:val="baseline"/>
      </w:pPr>
      <w:r>
        <w:t>apoya el desarrollo del sistema de formación en centros de trabajo, que ya se utiliza en algunos países de la UE para adultos mayores de treinta años; defiende la formación en centros de trabajo como un mecanismo para la integración de las personas con discapacidad;</w:t>
      </w:r>
    </w:p>
    <w:p w14:paraId="259095E4" w14:textId="77777777" w:rsidR="005072F5" w:rsidRPr="00C24118" w:rsidRDefault="005072F5" w:rsidP="005072F5">
      <w:pPr>
        <w:numPr>
          <w:ilvl w:val="0"/>
          <w:numId w:val="54"/>
        </w:numPr>
        <w:overflowPunct w:val="0"/>
        <w:autoSpaceDE w:val="0"/>
        <w:autoSpaceDN w:val="0"/>
        <w:adjustRightInd w:val="0"/>
        <w:ind w:left="284" w:hanging="284"/>
        <w:contextualSpacing/>
        <w:textAlignment w:val="baseline"/>
      </w:pPr>
      <w:r>
        <w:t>recomienda animar a los Estados miembros a aplicar un enfoque global en el que participen los interlocutores sociales, los organismos de formación, la comunidad científica y las instituciones interesadas, con el fin de aplicar políticas eficaces en materia de desarrollo de competencias digitales;</w:t>
      </w:r>
    </w:p>
    <w:p w14:paraId="36D31CAD" w14:textId="77777777" w:rsidR="005072F5" w:rsidRPr="00C24118" w:rsidRDefault="005072F5" w:rsidP="005072F5">
      <w:pPr>
        <w:numPr>
          <w:ilvl w:val="0"/>
          <w:numId w:val="54"/>
        </w:numPr>
        <w:overflowPunct w:val="0"/>
        <w:autoSpaceDE w:val="0"/>
        <w:autoSpaceDN w:val="0"/>
        <w:adjustRightInd w:val="0"/>
        <w:ind w:left="284" w:hanging="284"/>
        <w:contextualSpacing/>
        <w:textAlignment w:val="baseline"/>
      </w:pPr>
      <w:r>
        <w:t>apoya firmemente el programa Erasmus+, ya que permite, a escala europea, realizar un período de prácticas en una empresa, seguir una formación en un organismo de formación profesional o participar en intercambios educativos en otro país;</w:t>
      </w:r>
    </w:p>
    <w:p w14:paraId="5BFFF250" w14:textId="77777777" w:rsidR="005072F5" w:rsidRPr="00C24118" w:rsidRDefault="005072F5" w:rsidP="005072F5">
      <w:pPr>
        <w:numPr>
          <w:ilvl w:val="0"/>
          <w:numId w:val="54"/>
        </w:numPr>
        <w:overflowPunct w:val="0"/>
        <w:autoSpaceDE w:val="0"/>
        <w:autoSpaceDN w:val="0"/>
        <w:adjustRightInd w:val="0"/>
        <w:ind w:left="284" w:hanging="284"/>
        <w:contextualSpacing/>
        <w:textAlignment w:val="baseline"/>
      </w:pPr>
      <w:r>
        <w:t>recuerda que se necesitan servicios de apoyo y orientación que permitan informar a la juventud sobre las nuevas competencias para el mercado laboral y las oportunidades que este ofrece; considera que la información y la orientación deben contribuir a una valoración equivalente de las distintas modalidades de formación profesional, entre ellas la formación en centros de trabajo, que presenta tasas muy elevadas de inserción directa en el mercado laboral.</w:t>
      </w:r>
    </w:p>
    <w:p w14:paraId="04FFBC43" w14:textId="77777777" w:rsidR="005072F5" w:rsidRPr="00C24118" w:rsidRDefault="005072F5" w:rsidP="005072F5">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2235"/>
        <w:gridCol w:w="7087"/>
      </w:tblGrid>
      <w:tr w:rsidR="005072F5" w:rsidRPr="00C24118" w14:paraId="43CA0B8A" w14:textId="77777777" w:rsidTr="00915390">
        <w:tc>
          <w:tcPr>
            <w:tcW w:w="2235" w:type="dxa"/>
          </w:tcPr>
          <w:p w14:paraId="61E5F79B" w14:textId="77777777" w:rsidR="005072F5" w:rsidRPr="00C24118" w:rsidRDefault="005072F5" w:rsidP="00915390">
            <w:pPr>
              <w:overflowPunct w:val="0"/>
              <w:autoSpaceDE w:val="0"/>
              <w:autoSpaceDN w:val="0"/>
              <w:adjustRightInd w:val="0"/>
              <w:textAlignment w:val="baseline"/>
              <w:rPr>
                <w:i/>
              </w:rPr>
            </w:pPr>
            <w:r>
              <w:rPr>
                <w:b/>
                <w:i/>
              </w:rPr>
              <w:t>Contacto:</w:t>
            </w:r>
          </w:p>
        </w:tc>
        <w:tc>
          <w:tcPr>
            <w:tcW w:w="7087" w:type="dxa"/>
          </w:tcPr>
          <w:p w14:paraId="4E58E806" w14:textId="77777777" w:rsidR="005072F5" w:rsidRPr="00C24118" w:rsidRDefault="005072F5" w:rsidP="00915390">
            <w:pPr>
              <w:overflowPunct w:val="0"/>
              <w:autoSpaceDE w:val="0"/>
              <w:autoSpaceDN w:val="0"/>
              <w:adjustRightInd w:val="0"/>
              <w:textAlignment w:val="baseline"/>
              <w:rPr>
                <w:i/>
              </w:rPr>
            </w:pPr>
            <w:r>
              <w:rPr>
                <w:i/>
              </w:rPr>
              <w:t>Sabrina Borg</w:t>
            </w:r>
          </w:p>
        </w:tc>
      </w:tr>
      <w:tr w:rsidR="005072F5" w:rsidRPr="00C24118" w14:paraId="7285053A" w14:textId="77777777" w:rsidTr="00915390">
        <w:tc>
          <w:tcPr>
            <w:tcW w:w="2235" w:type="dxa"/>
          </w:tcPr>
          <w:p w14:paraId="39299369" w14:textId="77777777" w:rsidR="005072F5" w:rsidRPr="00C24118" w:rsidRDefault="005072F5" w:rsidP="00915390">
            <w:pPr>
              <w:overflowPunct w:val="0"/>
              <w:autoSpaceDE w:val="0"/>
              <w:autoSpaceDN w:val="0"/>
              <w:adjustRightInd w:val="0"/>
              <w:textAlignment w:val="baseline"/>
              <w:rPr>
                <w:i/>
              </w:rPr>
            </w:pPr>
            <w:r>
              <w:rPr>
                <w:i/>
              </w:rPr>
              <w:t>Teléfono:</w:t>
            </w:r>
          </w:p>
        </w:tc>
        <w:tc>
          <w:tcPr>
            <w:tcW w:w="7087" w:type="dxa"/>
          </w:tcPr>
          <w:p w14:paraId="0B08FAAA" w14:textId="77777777" w:rsidR="005072F5" w:rsidRPr="00C24118" w:rsidRDefault="005072F5" w:rsidP="00915390">
            <w:pPr>
              <w:overflowPunct w:val="0"/>
              <w:autoSpaceDE w:val="0"/>
              <w:autoSpaceDN w:val="0"/>
              <w:adjustRightInd w:val="0"/>
              <w:textAlignment w:val="baseline"/>
              <w:rPr>
                <w:i/>
              </w:rPr>
            </w:pPr>
            <w:r>
              <w:rPr>
                <w:i/>
              </w:rPr>
              <w:t>+32 25469727</w:t>
            </w:r>
          </w:p>
        </w:tc>
      </w:tr>
      <w:tr w:rsidR="005072F5" w:rsidRPr="00C24118" w14:paraId="307FE7D0" w14:textId="77777777" w:rsidTr="00915390">
        <w:tc>
          <w:tcPr>
            <w:tcW w:w="2235" w:type="dxa"/>
          </w:tcPr>
          <w:p w14:paraId="7426681F" w14:textId="77777777" w:rsidR="005072F5" w:rsidRPr="00C24118" w:rsidRDefault="005072F5" w:rsidP="00915390">
            <w:pPr>
              <w:overflowPunct w:val="0"/>
              <w:autoSpaceDE w:val="0"/>
              <w:autoSpaceDN w:val="0"/>
              <w:adjustRightInd w:val="0"/>
              <w:textAlignment w:val="baseline"/>
              <w:rPr>
                <w:i/>
              </w:rPr>
            </w:pPr>
            <w:r>
              <w:rPr>
                <w:i/>
              </w:rPr>
              <w:t>Correo electrónico:</w:t>
            </w:r>
          </w:p>
        </w:tc>
        <w:tc>
          <w:tcPr>
            <w:tcW w:w="7087" w:type="dxa"/>
          </w:tcPr>
          <w:p w14:paraId="00755664" w14:textId="77777777" w:rsidR="005072F5" w:rsidRPr="00C24118" w:rsidRDefault="005072F5" w:rsidP="00915390">
            <w:pPr>
              <w:overflowPunct w:val="0"/>
              <w:autoSpaceDE w:val="0"/>
              <w:autoSpaceDN w:val="0"/>
              <w:adjustRightInd w:val="0"/>
              <w:textAlignment w:val="baseline"/>
              <w:rPr>
                <w:i/>
                <w:iCs/>
              </w:rPr>
            </w:pPr>
            <w:hyperlink r:id="rId50" w:history="1">
              <w:r>
                <w:rPr>
                  <w:rStyle w:val="Hyperlink"/>
                  <w:i/>
                </w:rPr>
                <w:t>Sabrina.Borg@eesc.europa.eu</w:t>
              </w:r>
            </w:hyperlink>
          </w:p>
        </w:tc>
      </w:tr>
    </w:tbl>
    <w:p w14:paraId="35ECD3DB" w14:textId="77777777" w:rsidR="005072F5" w:rsidRDefault="005072F5" w:rsidP="005072F5">
      <w:pPr>
        <w:jc w:val="left"/>
      </w:pPr>
      <w:r>
        <w:br w:type="page"/>
      </w:r>
    </w:p>
    <w:p w14:paraId="59884DDD" w14:textId="77777777" w:rsidR="005072F5" w:rsidRPr="00061E08" w:rsidRDefault="005072F5" w:rsidP="005072F5">
      <w:pPr>
        <w:widowControl w:val="0"/>
        <w:numPr>
          <w:ilvl w:val="0"/>
          <w:numId w:val="10"/>
        </w:numPr>
        <w:overflowPunct w:val="0"/>
        <w:autoSpaceDE w:val="0"/>
        <w:autoSpaceDN w:val="0"/>
        <w:adjustRightInd w:val="0"/>
        <w:ind w:left="567" w:hanging="567"/>
        <w:textAlignment w:val="baseline"/>
      </w:pPr>
      <w:hyperlink r:id="rId51" w:history="1">
        <w:r>
          <w:rPr>
            <w:b/>
            <w:i/>
            <w:color w:val="0000FF"/>
            <w:sz w:val="28"/>
            <w:u w:val="single"/>
          </w:rPr>
          <w:t>Evaluar el impacto de las políticas públicas a medio y largo plazo a través de la presupuestación intergeneracional</w:t>
        </w:r>
      </w:hyperlink>
    </w:p>
    <w:p w14:paraId="5D1FFC96" w14:textId="77777777" w:rsidR="005072F5" w:rsidRPr="00D20AB4" w:rsidRDefault="005072F5" w:rsidP="005072F5">
      <w:pPr>
        <w:tabs>
          <w:tab w:val="center" w:pos="284"/>
        </w:tabs>
        <w:overflowPunct w:val="0"/>
        <w:autoSpaceDE w:val="0"/>
        <w:autoSpaceDN w:val="0"/>
        <w:adjustRightInd w:val="0"/>
        <w:ind w:left="567" w:hanging="567"/>
        <w:textAlignment w:val="baseline"/>
      </w:pPr>
    </w:p>
    <w:tbl>
      <w:tblPr>
        <w:tblW w:w="9322" w:type="dxa"/>
        <w:tblLook w:val="04A0" w:firstRow="1" w:lastRow="0" w:firstColumn="1" w:lastColumn="0" w:noHBand="0" w:noVBand="1"/>
      </w:tblPr>
      <w:tblGrid>
        <w:gridCol w:w="1701"/>
        <w:gridCol w:w="7621"/>
      </w:tblGrid>
      <w:tr w:rsidR="005072F5" w:rsidRPr="00526859" w14:paraId="5229E03F" w14:textId="77777777" w:rsidTr="00915390">
        <w:tc>
          <w:tcPr>
            <w:tcW w:w="1701" w:type="dxa"/>
          </w:tcPr>
          <w:p w14:paraId="2F29F683" w14:textId="77777777" w:rsidR="005072F5" w:rsidRPr="00526859" w:rsidRDefault="005072F5" w:rsidP="00915390">
            <w:pPr>
              <w:tabs>
                <w:tab w:val="center" w:pos="284"/>
              </w:tabs>
              <w:overflowPunct w:val="0"/>
              <w:autoSpaceDE w:val="0"/>
              <w:autoSpaceDN w:val="0"/>
              <w:adjustRightInd w:val="0"/>
              <w:ind w:left="567" w:hanging="567"/>
              <w:textAlignment w:val="baseline"/>
              <w:rPr>
                <w:b/>
              </w:rPr>
            </w:pPr>
            <w:r>
              <w:rPr>
                <w:b/>
              </w:rPr>
              <w:t>Ponente</w:t>
            </w:r>
          </w:p>
        </w:tc>
        <w:tc>
          <w:tcPr>
            <w:tcW w:w="7621" w:type="dxa"/>
          </w:tcPr>
          <w:p w14:paraId="77E2C844" w14:textId="77777777" w:rsidR="005072F5" w:rsidRPr="00526859" w:rsidRDefault="005072F5" w:rsidP="00915390">
            <w:pPr>
              <w:overflowPunct w:val="0"/>
              <w:autoSpaceDE w:val="0"/>
              <w:autoSpaceDN w:val="0"/>
              <w:adjustRightInd w:val="0"/>
              <w:ind w:left="567" w:hanging="567"/>
              <w:textAlignment w:val="baseline"/>
            </w:pPr>
            <w:r>
              <w:t>Nicoletta MERLO (Grupo de Trabajadores – IT)</w:t>
            </w:r>
          </w:p>
        </w:tc>
      </w:tr>
      <w:tr w:rsidR="005072F5" w:rsidRPr="00526859" w14:paraId="68A27E77" w14:textId="77777777" w:rsidTr="00915390">
        <w:tc>
          <w:tcPr>
            <w:tcW w:w="1701" w:type="dxa"/>
          </w:tcPr>
          <w:p w14:paraId="2B8CC15B" w14:textId="77777777" w:rsidR="005072F5" w:rsidRPr="00526859" w:rsidRDefault="005072F5" w:rsidP="00915390">
            <w:pPr>
              <w:tabs>
                <w:tab w:val="center" w:pos="284"/>
              </w:tabs>
              <w:overflowPunct w:val="0"/>
              <w:autoSpaceDE w:val="0"/>
              <w:autoSpaceDN w:val="0"/>
              <w:adjustRightInd w:val="0"/>
              <w:ind w:left="567" w:hanging="567"/>
              <w:textAlignment w:val="baseline"/>
              <w:rPr>
                <w:b/>
              </w:rPr>
            </w:pPr>
            <w:r>
              <w:rPr>
                <w:b/>
              </w:rPr>
              <w:t>Referencia</w:t>
            </w:r>
          </w:p>
        </w:tc>
        <w:tc>
          <w:tcPr>
            <w:tcW w:w="7621" w:type="dxa"/>
          </w:tcPr>
          <w:p w14:paraId="51E28C2F" w14:textId="77777777" w:rsidR="005072F5" w:rsidRPr="00EA2195" w:rsidRDefault="005072F5" w:rsidP="00915390">
            <w:pPr>
              <w:tabs>
                <w:tab w:val="center" w:pos="284"/>
              </w:tabs>
              <w:overflowPunct w:val="0"/>
              <w:autoSpaceDE w:val="0"/>
              <w:autoSpaceDN w:val="0"/>
              <w:adjustRightInd w:val="0"/>
              <w:ind w:left="567" w:hanging="567"/>
              <w:textAlignment w:val="baseline"/>
            </w:pPr>
            <w:r>
              <w:t>Dictamen de iniciativa</w:t>
            </w:r>
          </w:p>
          <w:p w14:paraId="7B28D5E4" w14:textId="77777777" w:rsidR="005072F5" w:rsidRPr="00EA2195" w:rsidRDefault="005072F5" w:rsidP="00915390">
            <w:pPr>
              <w:tabs>
                <w:tab w:val="center" w:pos="284"/>
              </w:tabs>
              <w:overflowPunct w:val="0"/>
              <w:autoSpaceDE w:val="0"/>
              <w:autoSpaceDN w:val="0"/>
              <w:adjustRightInd w:val="0"/>
              <w:ind w:left="567" w:hanging="567"/>
              <w:textAlignment w:val="baseline"/>
            </w:pPr>
            <w:r>
              <w:t>EESC-2025-00476-00-00-AC</w:t>
            </w:r>
          </w:p>
        </w:tc>
      </w:tr>
    </w:tbl>
    <w:p w14:paraId="3CDA9823" w14:textId="77777777" w:rsidR="005072F5" w:rsidRPr="00526859"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290B48B0" w14:textId="77777777" w:rsidR="005072F5"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30F056D7" w14:textId="77777777" w:rsidR="005072F5"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0F4033DA" w14:textId="77777777" w:rsidR="005072F5" w:rsidRDefault="005072F5" w:rsidP="005072F5">
      <w:pPr>
        <w:keepNext/>
        <w:keepLines/>
        <w:tabs>
          <w:tab w:val="center" w:pos="284"/>
        </w:tabs>
        <w:overflowPunct w:val="0"/>
        <w:autoSpaceDE w:val="0"/>
        <w:autoSpaceDN w:val="0"/>
        <w:adjustRightInd w:val="0"/>
        <w:ind w:left="266" w:hanging="266"/>
        <w:textAlignment w:val="baseline"/>
        <w:rPr>
          <w:sz w:val="24"/>
        </w:rPr>
      </w:pPr>
      <w:r>
        <w:rPr>
          <w:sz w:val="24"/>
        </w:rPr>
        <w:t>El CESE:</w:t>
      </w:r>
    </w:p>
    <w:p w14:paraId="2D11D916" w14:textId="77777777" w:rsidR="005072F5" w:rsidRPr="00526859" w:rsidRDefault="005072F5" w:rsidP="005072F5">
      <w:pPr>
        <w:keepNext/>
        <w:keepLines/>
        <w:tabs>
          <w:tab w:val="center" w:pos="284"/>
        </w:tabs>
        <w:overflowPunct w:val="0"/>
        <w:autoSpaceDE w:val="0"/>
        <w:autoSpaceDN w:val="0"/>
        <w:adjustRightInd w:val="0"/>
        <w:ind w:left="266" w:hanging="266"/>
        <w:textAlignment w:val="baseline"/>
        <w:rPr>
          <w:sz w:val="24"/>
          <w:szCs w:val="24"/>
        </w:rPr>
      </w:pPr>
    </w:p>
    <w:p w14:paraId="20C1DEE3" w14:textId="77777777" w:rsidR="005072F5" w:rsidRPr="00526859" w:rsidRDefault="005072F5" w:rsidP="005072F5">
      <w:pPr>
        <w:numPr>
          <w:ilvl w:val="0"/>
          <w:numId w:val="55"/>
        </w:numPr>
        <w:tabs>
          <w:tab w:val="clear" w:pos="720"/>
        </w:tabs>
        <w:overflowPunct w:val="0"/>
        <w:autoSpaceDE w:val="0"/>
        <w:autoSpaceDN w:val="0"/>
        <w:adjustRightInd w:val="0"/>
        <w:ind w:left="284" w:hanging="284"/>
        <w:contextualSpacing/>
        <w:textAlignment w:val="baseline"/>
      </w:pPr>
      <w:r>
        <w:t>promueve la introducción de un enfoque de presupuestación intergeneracional que conciencie sobre la manera en que la programación financiera europea, nacional y local asigna los recursos a las distintas generaciones, respetando plenamente las competencias y la autonomía presupuestaria de los Estados miembros;</w:t>
      </w:r>
    </w:p>
    <w:p w14:paraId="48905F4A" w14:textId="77777777" w:rsidR="005072F5" w:rsidRPr="00526859" w:rsidRDefault="005072F5" w:rsidP="005072F5">
      <w:pPr>
        <w:numPr>
          <w:ilvl w:val="0"/>
          <w:numId w:val="55"/>
        </w:numPr>
        <w:tabs>
          <w:tab w:val="clear" w:pos="720"/>
        </w:tabs>
        <w:overflowPunct w:val="0"/>
        <w:autoSpaceDE w:val="0"/>
        <w:autoSpaceDN w:val="0"/>
        <w:adjustRightInd w:val="0"/>
        <w:ind w:left="284" w:hanging="284"/>
        <w:contextualSpacing/>
        <w:textAlignment w:val="baseline"/>
      </w:pPr>
      <w:r>
        <w:t>pide a los Estados miembros que tengan en cuenta la dimensión intergeneracional en sus presupuestos de manera sistemática, por ejemplo aplicando el control joven a todas las partidas presupuestarias nacionales pertinentes o a través de otros métodos que determinen claramente qué medidas son «generacionales» y cuáles son «potencialmente generacionales». Ello contribuiría a ajustar mejor el gasto público a los principios de equidad intergeneracional y promovería el intercambio generacional entre la juventud y las personas mayores;</w:t>
      </w:r>
    </w:p>
    <w:p w14:paraId="65A475E5" w14:textId="77777777" w:rsidR="005072F5" w:rsidRPr="00526859" w:rsidRDefault="005072F5" w:rsidP="005072F5">
      <w:pPr>
        <w:numPr>
          <w:ilvl w:val="0"/>
          <w:numId w:val="55"/>
        </w:numPr>
        <w:tabs>
          <w:tab w:val="clear" w:pos="720"/>
        </w:tabs>
        <w:overflowPunct w:val="0"/>
        <w:autoSpaceDE w:val="0"/>
        <w:autoSpaceDN w:val="0"/>
        <w:adjustRightInd w:val="0"/>
        <w:ind w:left="284" w:hanging="284"/>
        <w:contextualSpacing/>
        <w:textAlignment w:val="baseline"/>
      </w:pPr>
      <w:r>
        <w:t xml:space="preserve">anima a poner en marcha unos mecanismos estructurados de participación de la juventud que resulten significativos, como parte integrante de la planificación y el control presupuestarios; </w:t>
      </w:r>
    </w:p>
    <w:p w14:paraId="714BAE20" w14:textId="77777777" w:rsidR="005072F5" w:rsidRPr="00526859" w:rsidRDefault="005072F5" w:rsidP="005072F5">
      <w:pPr>
        <w:numPr>
          <w:ilvl w:val="0"/>
          <w:numId w:val="55"/>
        </w:numPr>
        <w:tabs>
          <w:tab w:val="clear" w:pos="720"/>
        </w:tabs>
        <w:overflowPunct w:val="0"/>
        <w:autoSpaceDE w:val="0"/>
        <w:autoSpaceDN w:val="0"/>
        <w:adjustRightInd w:val="0"/>
        <w:ind w:left="284" w:hanging="284"/>
        <w:contextualSpacing/>
        <w:textAlignment w:val="baseline"/>
      </w:pPr>
      <w:r>
        <w:t>considera que los presupuestos de los Estados miembros deben garantizar un equilibrio justo entre el gasto per cápita destinado a familias e hijos, por un lado, y a la vejez, por otro, promoviendo así la equidad intergeneracional;</w:t>
      </w:r>
    </w:p>
    <w:p w14:paraId="7F63FCF4" w14:textId="77777777" w:rsidR="005072F5" w:rsidRPr="00526859" w:rsidRDefault="005072F5" w:rsidP="005072F5">
      <w:pPr>
        <w:numPr>
          <w:ilvl w:val="0"/>
          <w:numId w:val="55"/>
        </w:numPr>
        <w:tabs>
          <w:tab w:val="clear" w:pos="720"/>
        </w:tabs>
        <w:overflowPunct w:val="0"/>
        <w:autoSpaceDE w:val="0"/>
        <w:autoSpaceDN w:val="0"/>
        <w:adjustRightInd w:val="0"/>
        <w:ind w:left="284" w:hanging="284"/>
        <w:contextualSpacing/>
        <w:textAlignment w:val="baseline"/>
      </w:pPr>
      <w:r>
        <w:t>subraya la importancia de garantizar la sostenibilidad a largo plazo de los sistemas de protección social mediante evaluaciones cuantitativas de la equidad intergeneracional;</w:t>
      </w:r>
    </w:p>
    <w:p w14:paraId="39EC1C3F" w14:textId="77777777" w:rsidR="005072F5" w:rsidRPr="00526859" w:rsidRDefault="005072F5" w:rsidP="005072F5">
      <w:pPr>
        <w:numPr>
          <w:ilvl w:val="0"/>
          <w:numId w:val="55"/>
        </w:numPr>
        <w:tabs>
          <w:tab w:val="clear" w:pos="720"/>
        </w:tabs>
        <w:overflowPunct w:val="0"/>
        <w:autoSpaceDE w:val="0"/>
        <w:autoSpaceDN w:val="0"/>
        <w:adjustRightInd w:val="0"/>
        <w:ind w:left="284" w:hanging="284"/>
        <w:textAlignment w:val="baseline"/>
      </w:pPr>
      <w:r>
        <w:t>propone que se introduzca la presupuestación intergeneracional a escala nacional y regional como parte de la condicionalidad del nuevo ciclo de programación de la política de cohesión para 2028-2034 y para la aplicación de los nuevos «planes de colaboración nacionales y regionales». Ello garantizaría la sostenibilidad fiscal a largo plazo y reforzaría la equidad intergeneracional del gasto público.</w:t>
      </w:r>
    </w:p>
    <w:p w14:paraId="32045D40" w14:textId="77777777" w:rsidR="005072F5" w:rsidRPr="00526859" w:rsidRDefault="005072F5" w:rsidP="005072F5">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2093"/>
        <w:gridCol w:w="7156"/>
      </w:tblGrid>
      <w:tr w:rsidR="005072F5" w:rsidRPr="00526859" w14:paraId="7EF8585D" w14:textId="77777777" w:rsidTr="00915390">
        <w:tc>
          <w:tcPr>
            <w:tcW w:w="2093" w:type="dxa"/>
          </w:tcPr>
          <w:p w14:paraId="6C7A3B36" w14:textId="77777777" w:rsidR="005072F5" w:rsidRPr="00526859" w:rsidRDefault="005072F5" w:rsidP="00915390">
            <w:pPr>
              <w:overflowPunct w:val="0"/>
              <w:autoSpaceDE w:val="0"/>
              <w:autoSpaceDN w:val="0"/>
              <w:adjustRightInd w:val="0"/>
              <w:textAlignment w:val="baseline"/>
              <w:rPr>
                <w:i/>
              </w:rPr>
            </w:pPr>
            <w:r>
              <w:rPr>
                <w:b/>
                <w:i/>
              </w:rPr>
              <w:t>Contacto:</w:t>
            </w:r>
          </w:p>
        </w:tc>
        <w:tc>
          <w:tcPr>
            <w:tcW w:w="7156" w:type="dxa"/>
          </w:tcPr>
          <w:p w14:paraId="283E7417" w14:textId="77777777" w:rsidR="005072F5" w:rsidRPr="00526859" w:rsidRDefault="005072F5" w:rsidP="00915390">
            <w:pPr>
              <w:overflowPunct w:val="0"/>
              <w:autoSpaceDE w:val="0"/>
              <w:autoSpaceDN w:val="0"/>
              <w:adjustRightInd w:val="0"/>
              <w:ind w:hanging="12"/>
              <w:textAlignment w:val="baseline"/>
              <w:rPr>
                <w:i/>
              </w:rPr>
            </w:pPr>
            <w:r>
              <w:rPr>
                <w:i/>
              </w:rPr>
              <w:t>Sabrina Borg</w:t>
            </w:r>
          </w:p>
        </w:tc>
      </w:tr>
      <w:tr w:rsidR="005072F5" w:rsidRPr="00526859" w14:paraId="2118DC19" w14:textId="77777777" w:rsidTr="00915390">
        <w:tc>
          <w:tcPr>
            <w:tcW w:w="2093" w:type="dxa"/>
          </w:tcPr>
          <w:p w14:paraId="1862E8F7" w14:textId="77777777" w:rsidR="005072F5" w:rsidRPr="00526859" w:rsidRDefault="005072F5" w:rsidP="00915390">
            <w:pPr>
              <w:overflowPunct w:val="0"/>
              <w:autoSpaceDE w:val="0"/>
              <w:autoSpaceDN w:val="0"/>
              <w:adjustRightInd w:val="0"/>
              <w:textAlignment w:val="baseline"/>
              <w:rPr>
                <w:i/>
              </w:rPr>
            </w:pPr>
            <w:r>
              <w:rPr>
                <w:i/>
              </w:rPr>
              <w:t>Teléfono:</w:t>
            </w:r>
          </w:p>
        </w:tc>
        <w:tc>
          <w:tcPr>
            <w:tcW w:w="7156" w:type="dxa"/>
          </w:tcPr>
          <w:p w14:paraId="259004E7" w14:textId="77777777" w:rsidR="005072F5" w:rsidRPr="00526859" w:rsidRDefault="005072F5" w:rsidP="00915390">
            <w:pPr>
              <w:overflowPunct w:val="0"/>
              <w:autoSpaceDE w:val="0"/>
              <w:autoSpaceDN w:val="0"/>
              <w:adjustRightInd w:val="0"/>
              <w:textAlignment w:val="baseline"/>
              <w:rPr>
                <w:i/>
              </w:rPr>
            </w:pPr>
            <w:r>
              <w:rPr>
                <w:i/>
              </w:rPr>
              <w:t>+32 25469727</w:t>
            </w:r>
          </w:p>
        </w:tc>
      </w:tr>
      <w:tr w:rsidR="005072F5" w:rsidRPr="00526859" w14:paraId="2B71EC03" w14:textId="77777777" w:rsidTr="00915390">
        <w:tc>
          <w:tcPr>
            <w:tcW w:w="2093" w:type="dxa"/>
          </w:tcPr>
          <w:p w14:paraId="51C07E2D" w14:textId="77777777" w:rsidR="005072F5" w:rsidRPr="00526859" w:rsidRDefault="005072F5" w:rsidP="00915390">
            <w:pPr>
              <w:overflowPunct w:val="0"/>
              <w:autoSpaceDE w:val="0"/>
              <w:autoSpaceDN w:val="0"/>
              <w:adjustRightInd w:val="0"/>
              <w:textAlignment w:val="baseline"/>
              <w:rPr>
                <w:i/>
              </w:rPr>
            </w:pPr>
            <w:r>
              <w:rPr>
                <w:i/>
              </w:rPr>
              <w:t>Correo electrónico:</w:t>
            </w:r>
          </w:p>
        </w:tc>
        <w:tc>
          <w:tcPr>
            <w:tcW w:w="7156" w:type="dxa"/>
          </w:tcPr>
          <w:p w14:paraId="60B56F0B" w14:textId="77777777" w:rsidR="005072F5" w:rsidRPr="00526859" w:rsidRDefault="005072F5" w:rsidP="00915390">
            <w:pPr>
              <w:overflowPunct w:val="0"/>
              <w:autoSpaceDE w:val="0"/>
              <w:autoSpaceDN w:val="0"/>
              <w:adjustRightInd w:val="0"/>
              <w:textAlignment w:val="baseline"/>
              <w:rPr>
                <w:i/>
              </w:rPr>
            </w:pPr>
            <w:hyperlink r:id="rId52" w:history="1">
              <w:r>
                <w:rPr>
                  <w:i/>
                  <w:color w:val="0000FF"/>
                  <w:u w:val="single"/>
                </w:rPr>
                <w:t>Sabrina.Borg@eesc.europa.eu</w:t>
              </w:r>
            </w:hyperlink>
          </w:p>
        </w:tc>
      </w:tr>
    </w:tbl>
    <w:p w14:paraId="4C7801F6" w14:textId="77777777" w:rsidR="005072F5" w:rsidRDefault="005072F5" w:rsidP="005072F5">
      <w:pPr>
        <w:jc w:val="left"/>
        <w:rPr>
          <w:lang w:val="en-GB"/>
        </w:rPr>
      </w:pPr>
    </w:p>
    <w:p w14:paraId="32F01029" w14:textId="77777777" w:rsidR="005072F5" w:rsidRDefault="005072F5" w:rsidP="005072F5">
      <w:pPr>
        <w:jc w:val="left"/>
      </w:pPr>
      <w:r>
        <w:br w:type="page"/>
      </w:r>
    </w:p>
    <w:p w14:paraId="3EA8CDE9" w14:textId="77777777" w:rsidR="005072F5" w:rsidRPr="001F35C7" w:rsidRDefault="005072F5" w:rsidP="005072F5">
      <w:pPr>
        <w:keepNext/>
        <w:keepLines/>
        <w:widowControl w:val="0"/>
        <w:numPr>
          <w:ilvl w:val="0"/>
          <w:numId w:val="3"/>
        </w:numPr>
        <w:overflowPunct w:val="0"/>
        <w:autoSpaceDE w:val="0"/>
        <w:autoSpaceDN w:val="0"/>
        <w:adjustRightInd w:val="0"/>
        <w:ind w:hanging="567"/>
        <w:textAlignment w:val="baseline"/>
        <w:rPr>
          <w:b/>
          <w:bCs/>
          <w:i/>
          <w:iCs/>
          <w:sz w:val="28"/>
          <w:szCs w:val="28"/>
        </w:rPr>
      </w:pPr>
      <w:hyperlink r:id="rId53" w:history="1">
        <w:r>
          <w:rPr>
            <w:b/>
            <w:i/>
            <w:color w:val="0000FF"/>
            <w:sz w:val="28"/>
            <w:u w:val="single"/>
          </w:rPr>
          <w:t>Inteligencia artificial, macrodatos y enfermedades raras</w:t>
        </w:r>
      </w:hyperlink>
    </w:p>
    <w:p w14:paraId="6CF03564" w14:textId="77777777" w:rsidR="005072F5" w:rsidRPr="00D20AB4" w:rsidRDefault="005072F5" w:rsidP="005072F5">
      <w:pPr>
        <w:keepNext/>
        <w:keepLines/>
        <w:widowControl w:val="0"/>
        <w:overflowPunct w:val="0"/>
        <w:autoSpaceDE w:val="0"/>
        <w:autoSpaceDN w:val="0"/>
        <w:adjustRightInd w:val="0"/>
        <w:ind w:left="567"/>
        <w:textAlignment w:val="baseline"/>
      </w:pPr>
    </w:p>
    <w:tbl>
      <w:tblPr>
        <w:tblW w:w="5000" w:type="pct"/>
        <w:tblLook w:val="04A0" w:firstRow="1" w:lastRow="0" w:firstColumn="1" w:lastColumn="0" w:noHBand="0" w:noVBand="1"/>
      </w:tblPr>
      <w:tblGrid>
        <w:gridCol w:w="2062"/>
        <w:gridCol w:w="7369"/>
      </w:tblGrid>
      <w:tr w:rsidR="005072F5" w:rsidRPr="001F35C7" w14:paraId="3FEF38DD" w14:textId="77777777" w:rsidTr="00915390">
        <w:tc>
          <w:tcPr>
            <w:tcW w:w="1093" w:type="pct"/>
          </w:tcPr>
          <w:p w14:paraId="563D1DAF" w14:textId="77777777" w:rsidR="005072F5" w:rsidRPr="001F35C7" w:rsidRDefault="005072F5" w:rsidP="00915390">
            <w:pPr>
              <w:keepNext/>
              <w:keepLines/>
              <w:overflowPunct w:val="0"/>
              <w:autoSpaceDE w:val="0"/>
              <w:autoSpaceDN w:val="0"/>
              <w:adjustRightInd w:val="0"/>
              <w:ind w:left="-113"/>
              <w:textAlignment w:val="baseline"/>
              <w:rPr>
                <w:b/>
              </w:rPr>
            </w:pPr>
            <w:r>
              <w:rPr>
                <w:b/>
              </w:rPr>
              <w:t>Ponente</w:t>
            </w:r>
          </w:p>
        </w:tc>
        <w:tc>
          <w:tcPr>
            <w:tcW w:w="3907" w:type="pct"/>
          </w:tcPr>
          <w:p w14:paraId="01A8B332" w14:textId="77777777" w:rsidR="005072F5" w:rsidRPr="001F35C7" w:rsidRDefault="005072F5" w:rsidP="00915390">
            <w:pPr>
              <w:keepNext/>
              <w:keepLines/>
              <w:tabs>
                <w:tab w:val="left" w:pos="4572"/>
              </w:tabs>
              <w:overflowPunct w:val="0"/>
              <w:autoSpaceDE w:val="0"/>
              <w:autoSpaceDN w:val="0"/>
              <w:adjustRightInd w:val="0"/>
              <w:ind w:left="-113" w:right="-823"/>
              <w:textAlignment w:val="baseline"/>
            </w:pPr>
            <w:r>
              <w:t>Juliane Marie NEIIENDAM (Grupo de Organizaciones de la Sociedad Civil – DK)</w:t>
            </w:r>
          </w:p>
        </w:tc>
      </w:tr>
      <w:tr w:rsidR="005072F5" w:rsidRPr="001F35C7" w14:paraId="54E357F7" w14:textId="77777777" w:rsidTr="00915390">
        <w:tc>
          <w:tcPr>
            <w:tcW w:w="1093" w:type="pct"/>
          </w:tcPr>
          <w:p w14:paraId="57655CDD" w14:textId="77777777" w:rsidR="005072F5" w:rsidRPr="001F35C7" w:rsidRDefault="005072F5" w:rsidP="00915390">
            <w:pPr>
              <w:keepNext/>
              <w:keepLines/>
              <w:overflowPunct w:val="0"/>
              <w:autoSpaceDE w:val="0"/>
              <w:autoSpaceDN w:val="0"/>
              <w:adjustRightInd w:val="0"/>
              <w:ind w:left="-113"/>
              <w:textAlignment w:val="baseline"/>
              <w:rPr>
                <w:b/>
              </w:rPr>
            </w:pPr>
            <w:r>
              <w:rPr>
                <w:b/>
              </w:rPr>
              <w:t>Referencia</w:t>
            </w:r>
          </w:p>
        </w:tc>
        <w:tc>
          <w:tcPr>
            <w:tcW w:w="3907" w:type="pct"/>
          </w:tcPr>
          <w:p w14:paraId="66A862C6" w14:textId="77777777" w:rsidR="005072F5" w:rsidRDefault="005072F5" w:rsidP="00915390">
            <w:pPr>
              <w:keepNext/>
              <w:keepLines/>
              <w:tabs>
                <w:tab w:val="left" w:pos="4430"/>
              </w:tabs>
              <w:overflowPunct w:val="0"/>
              <w:autoSpaceDE w:val="0"/>
              <w:autoSpaceDN w:val="0"/>
              <w:adjustRightInd w:val="0"/>
              <w:ind w:left="-113" w:right="-823"/>
              <w:textAlignment w:val="baseline"/>
            </w:pPr>
            <w:r>
              <w:t>Dictamen exploratorio solicitado por la Presidencia danesa del Consejo de la UE</w:t>
            </w:r>
          </w:p>
          <w:p w14:paraId="64E2339F" w14:textId="77777777" w:rsidR="005072F5" w:rsidRPr="001F35C7" w:rsidRDefault="005072F5" w:rsidP="00915390">
            <w:pPr>
              <w:keepNext/>
              <w:keepLines/>
              <w:tabs>
                <w:tab w:val="left" w:pos="4430"/>
              </w:tabs>
              <w:overflowPunct w:val="0"/>
              <w:autoSpaceDE w:val="0"/>
              <w:autoSpaceDN w:val="0"/>
              <w:adjustRightInd w:val="0"/>
              <w:ind w:left="-113" w:right="-823"/>
              <w:textAlignment w:val="baseline"/>
            </w:pPr>
            <w:r>
              <w:t>EESC-2025-01013-00-00-AC</w:t>
            </w:r>
          </w:p>
        </w:tc>
      </w:tr>
    </w:tbl>
    <w:p w14:paraId="30B28C94" w14:textId="77777777" w:rsidR="005072F5" w:rsidRPr="001F35C7"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4CC7C82E" w14:textId="77777777" w:rsidR="005072F5" w:rsidRPr="001F35C7"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27577251" w14:textId="77777777" w:rsidR="005072F5" w:rsidRPr="001F35C7" w:rsidRDefault="005072F5" w:rsidP="005072F5">
      <w:pPr>
        <w:keepNext/>
        <w:keepLines/>
        <w:tabs>
          <w:tab w:val="center" w:pos="284"/>
        </w:tabs>
        <w:overflowPunct w:val="0"/>
        <w:autoSpaceDE w:val="0"/>
        <w:autoSpaceDN w:val="0"/>
        <w:adjustRightInd w:val="0"/>
        <w:ind w:left="266" w:hanging="266"/>
        <w:textAlignment w:val="baseline"/>
        <w:rPr>
          <w:szCs w:val="20"/>
          <w:lang w:val="en-GB"/>
        </w:rPr>
      </w:pPr>
    </w:p>
    <w:p w14:paraId="60C94C97" w14:textId="77777777" w:rsidR="005072F5" w:rsidRDefault="005072F5" w:rsidP="005072F5">
      <w:pPr>
        <w:tabs>
          <w:tab w:val="center" w:pos="284"/>
        </w:tabs>
        <w:overflowPunct w:val="0"/>
        <w:autoSpaceDE w:val="0"/>
        <w:autoSpaceDN w:val="0"/>
        <w:adjustRightInd w:val="0"/>
        <w:ind w:left="266" w:hanging="266"/>
        <w:textAlignment w:val="baseline"/>
      </w:pPr>
      <w:r>
        <w:t>El CESE:</w:t>
      </w:r>
    </w:p>
    <w:p w14:paraId="258C1B6B" w14:textId="77777777" w:rsidR="005072F5" w:rsidRPr="00C47A12" w:rsidRDefault="005072F5" w:rsidP="005072F5">
      <w:pPr>
        <w:tabs>
          <w:tab w:val="center" w:pos="284"/>
        </w:tabs>
        <w:overflowPunct w:val="0"/>
        <w:autoSpaceDE w:val="0"/>
        <w:autoSpaceDN w:val="0"/>
        <w:adjustRightInd w:val="0"/>
        <w:ind w:left="266" w:hanging="266"/>
        <w:textAlignment w:val="baseline"/>
        <w:rPr>
          <w:szCs w:val="20"/>
        </w:rPr>
      </w:pPr>
    </w:p>
    <w:p w14:paraId="0B049431" w14:textId="77777777" w:rsidR="005072F5" w:rsidRPr="00601D67" w:rsidRDefault="005072F5" w:rsidP="005072F5">
      <w:pPr>
        <w:pStyle w:val="ListParagraph"/>
        <w:numPr>
          <w:ilvl w:val="0"/>
          <w:numId w:val="57"/>
        </w:numPr>
        <w:tabs>
          <w:tab w:val="center" w:pos="284"/>
        </w:tabs>
        <w:overflowPunct w:val="0"/>
        <w:autoSpaceDE w:val="0"/>
        <w:autoSpaceDN w:val="0"/>
        <w:adjustRightInd w:val="0"/>
        <w:ind w:left="284" w:hanging="284"/>
        <w:textAlignment w:val="baseline"/>
      </w:pPr>
      <w:r>
        <w:t>celebra el potencial de la IA para mejorar los itinerarios de los pacientes con enfermedades raras, los medicamentos personalizados y la calidad de vida general, aunque reconoce preocupaciones en lo que respecta a la confidencialidad, el sesgo, la asequibilidad y la accesibilidad de los datos;</w:t>
      </w:r>
    </w:p>
    <w:p w14:paraId="49B5D7BE" w14:textId="77777777" w:rsidR="005072F5" w:rsidRPr="00601D67" w:rsidRDefault="005072F5" w:rsidP="005072F5">
      <w:pPr>
        <w:pStyle w:val="ListParagraph"/>
        <w:numPr>
          <w:ilvl w:val="0"/>
          <w:numId w:val="57"/>
        </w:numPr>
        <w:overflowPunct w:val="0"/>
        <w:autoSpaceDE w:val="0"/>
        <w:autoSpaceDN w:val="0"/>
        <w:adjustRightInd w:val="0"/>
        <w:ind w:left="284" w:hanging="284"/>
        <w:textAlignment w:val="baseline"/>
      </w:pPr>
      <w:r>
        <w:t>anima a todos los Estados miembros a digitalizar con celeridad los datos sanitarios y a adoptar códigos ORPHA para mejorar el intercambio transfronterizo de datos y apoyar el Espacio Europeo de Datos de Salud;</w:t>
      </w:r>
    </w:p>
    <w:p w14:paraId="602279D9" w14:textId="77777777" w:rsidR="005072F5" w:rsidRPr="00601D67" w:rsidRDefault="005072F5" w:rsidP="005072F5">
      <w:pPr>
        <w:pStyle w:val="ListParagraph"/>
        <w:numPr>
          <w:ilvl w:val="0"/>
          <w:numId w:val="57"/>
        </w:numPr>
        <w:tabs>
          <w:tab w:val="center" w:pos="284"/>
        </w:tabs>
        <w:overflowPunct w:val="0"/>
        <w:autoSpaceDE w:val="0"/>
        <w:autoSpaceDN w:val="0"/>
        <w:adjustRightInd w:val="0"/>
        <w:ind w:left="284" w:hanging="284"/>
        <w:textAlignment w:val="baseline"/>
      </w:pPr>
      <w:r>
        <w:t>recomienda que los modelos de IA en el ámbito de la asistencia sanitaria solo tengan acceso a datos anonimizados y cifrados de los pacientes, y que todo uso indebido de esos datos sea objeto de sanciones estrictas. Unos marcos claros de consentimiento de los pacientes y unos organismos de supervisión independientes son fundamentales para garantizar la transparencia y la responsabilidad;</w:t>
      </w:r>
    </w:p>
    <w:p w14:paraId="25A97444" w14:textId="77777777" w:rsidR="005072F5" w:rsidRPr="00601D67" w:rsidRDefault="005072F5" w:rsidP="005072F5">
      <w:pPr>
        <w:pStyle w:val="ListParagraph"/>
        <w:numPr>
          <w:ilvl w:val="0"/>
          <w:numId w:val="57"/>
        </w:numPr>
        <w:tabs>
          <w:tab w:val="center" w:pos="284"/>
        </w:tabs>
        <w:overflowPunct w:val="0"/>
        <w:autoSpaceDE w:val="0"/>
        <w:autoSpaceDN w:val="0"/>
        <w:adjustRightInd w:val="0"/>
        <w:ind w:left="284" w:hanging="284"/>
        <w:textAlignment w:val="baseline"/>
      </w:pPr>
      <w:r>
        <w:t>pide a la Agencia Europea de Medicamentos que exija que las decisiones sanitarias basadas en la IA puedan explicarse y que garantice que el personal médico supervise todas las recomendaciones médicas;</w:t>
      </w:r>
    </w:p>
    <w:p w14:paraId="70DE26E6" w14:textId="77777777" w:rsidR="005072F5" w:rsidRPr="00601D67" w:rsidRDefault="005072F5" w:rsidP="005072F5">
      <w:pPr>
        <w:pStyle w:val="ListParagraph"/>
        <w:numPr>
          <w:ilvl w:val="0"/>
          <w:numId w:val="57"/>
        </w:numPr>
        <w:tabs>
          <w:tab w:val="center" w:pos="284"/>
        </w:tabs>
        <w:overflowPunct w:val="0"/>
        <w:autoSpaceDE w:val="0"/>
        <w:autoSpaceDN w:val="0"/>
        <w:adjustRightInd w:val="0"/>
        <w:ind w:left="284" w:hanging="284"/>
        <w:textAlignment w:val="baseline"/>
      </w:pPr>
      <w:r>
        <w:t>subraya la necesidad de desarrollar programas de formación profesional sobre herramientas de diagnóstico basadas en la IA, para garantizar la supervisión humana. Los pacientes y los profesionales sanitarios deberían mejorar sus conocimientos sobre la IA a través de campañas en todo el territorio de la Unión;</w:t>
      </w:r>
    </w:p>
    <w:p w14:paraId="1587295D" w14:textId="77777777" w:rsidR="005072F5" w:rsidRPr="00601D67" w:rsidRDefault="005072F5" w:rsidP="005072F5">
      <w:pPr>
        <w:pStyle w:val="ListParagraph"/>
        <w:numPr>
          <w:ilvl w:val="0"/>
          <w:numId w:val="57"/>
        </w:numPr>
        <w:tabs>
          <w:tab w:val="center" w:pos="284"/>
        </w:tabs>
        <w:overflowPunct w:val="0"/>
        <w:autoSpaceDE w:val="0"/>
        <w:autoSpaceDN w:val="0"/>
        <w:adjustRightInd w:val="0"/>
        <w:ind w:left="284" w:hanging="284"/>
        <w:textAlignment w:val="baseline"/>
      </w:pPr>
      <w:r>
        <w:t>recomienda entrenar los modelos de IA con conjuntos de datos diversos y equilibrados desde el punto de vista del género, a fin de evitar la discriminación, y que la Oficina de IA de la UE promueva auditorías de sesgos y ensayos de género previos a la comercialización. Debe destinarse financiación específica en favor de las mujeres que trabajan en los ámbitos de la IA y la ciencia de datos médicos;</w:t>
      </w:r>
    </w:p>
    <w:p w14:paraId="7D4A8629" w14:textId="77777777" w:rsidR="005072F5" w:rsidRPr="00601D67" w:rsidRDefault="005072F5" w:rsidP="005072F5">
      <w:pPr>
        <w:pStyle w:val="ListParagraph"/>
        <w:numPr>
          <w:ilvl w:val="0"/>
          <w:numId w:val="57"/>
        </w:numPr>
        <w:tabs>
          <w:tab w:val="center" w:pos="284"/>
        </w:tabs>
        <w:overflowPunct w:val="0"/>
        <w:autoSpaceDE w:val="0"/>
        <w:autoSpaceDN w:val="0"/>
        <w:adjustRightInd w:val="0"/>
        <w:ind w:left="284" w:hanging="284"/>
        <w:textAlignment w:val="baseline"/>
      </w:pPr>
      <w:r>
        <w:t>pide que el Instituto Europeo de Innovación y Tecnología (EIT) amplíe los programas de mentoría y liderazgo para impulsar la participación de la mujer en la asistencia sanitaria impulsada por la IA, y que Horizonte Europa financie una investigación en materia de IA con perspectiva de género, a fin de desarrollar mejores diagnósticos de enfermedades que afectan de manera desproporcionada a las mujeres y a los grupos infrarrepresentados;</w:t>
      </w:r>
    </w:p>
    <w:p w14:paraId="2F09C7A2" w14:textId="77777777" w:rsidR="005072F5" w:rsidRPr="00601D67" w:rsidRDefault="005072F5" w:rsidP="005072F5">
      <w:pPr>
        <w:pStyle w:val="ListParagraph"/>
        <w:numPr>
          <w:ilvl w:val="0"/>
          <w:numId w:val="57"/>
        </w:numPr>
        <w:tabs>
          <w:tab w:val="center" w:pos="284"/>
        </w:tabs>
        <w:overflowPunct w:val="0"/>
        <w:autoSpaceDE w:val="0"/>
        <w:autoSpaceDN w:val="0"/>
        <w:adjustRightInd w:val="0"/>
        <w:ind w:left="284" w:hanging="284"/>
        <w:textAlignment w:val="baseline"/>
      </w:pPr>
      <w:r>
        <w:t>destaca que la gobernanza de los datos debe otorgar a los pacientes el control sobre su información, lo que implica concederles el derecho a revocar el consentimiento y a comprender cómo se utilizan sus datos, y promueve cooperativas de datos y registros gestionados por pacientes;</w:t>
      </w:r>
    </w:p>
    <w:p w14:paraId="253C6BB1" w14:textId="77777777" w:rsidR="005072F5" w:rsidRPr="00601D67" w:rsidRDefault="005072F5" w:rsidP="005072F5">
      <w:pPr>
        <w:pStyle w:val="ListParagraph"/>
        <w:numPr>
          <w:ilvl w:val="0"/>
          <w:numId w:val="57"/>
        </w:numPr>
        <w:tabs>
          <w:tab w:val="center" w:pos="284"/>
        </w:tabs>
        <w:overflowPunct w:val="0"/>
        <w:autoSpaceDE w:val="0"/>
        <w:autoSpaceDN w:val="0"/>
        <w:adjustRightInd w:val="0"/>
        <w:ind w:left="284" w:hanging="284"/>
        <w:textAlignment w:val="baseline"/>
      </w:pPr>
      <w:r>
        <w:t>recomienda que Horizonte Europa financie a las empresas emergentes y las pymes que desarrollen IA para el diagnóstico de enfermedades raras, a fin de evitar el dominio de grandes empresas. Las asociaciones público-privadas deben garantizar que las herramientas de IA sean asequibles y accesibles y que el acceso a los datos siga siendo justo;</w:t>
      </w:r>
    </w:p>
    <w:p w14:paraId="19FC36FA" w14:textId="77777777" w:rsidR="005072F5" w:rsidRPr="00601D67" w:rsidRDefault="005072F5" w:rsidP="005072F5">
      <w:pPr>
        <w:pStyle w:val="ListParagraph"/>
        <w:numPr>
          <w:ilvl w:val="0"/>
          <w:numId w:val="57"/>
        </w:numPr>
        <w:tabs>
          <w:tab w:val="center" w:pos="284"/>
        </w:tabs>
        <w:overflowPunct w:val="0"/>
        <w:autoSpaceDE w:val="0"/>
        <w:autoSpaceDN w:val="0"/>
        <w:adjustRightInd w:val="0"/>
        <w:ind w:left="284" w:hanging="284"/>
        <w:textAlignment w:val="baseline"/>
      </w:pPr>
      <w:r>
        <w:lastRenderedPageBreak/>
        <w:t>acoge con satisfacción los medicamentos personalizados y los tratamientos de enfermedades raras basados en la IA, pero señala la necesidad de contar con mecanismos sostenibles de fijación de precios; recomienda una plataforma de diagnóstico de la UE impulsada por la IA y financiada con fondos públicos, y el intercambio transfronterizo de datos de IA en beneficio de hospitales y centros de investigación más pequeños;</w:t>
      </w:r>
    </w:p>
    <w:p w14:paraId="7BD5C7D8" w14:textId="77777777" w:rsidR="005072F5" w:rsidRPr="00601D67" w:rsidRDefault="005072F5" w:rsidP="005072F5">
      <w:pPr>
        <w:pStyle w:val="ListParagraph"/>
        <w:numPr>
          <w:ilvl w:val="0"/>
          <w:numId w:val="57"/>
        </w:numPr>
        <w:tabs>
          <w:tab w:val="center" w:pos="284"/>
        </w:tabs>
        <w:overflowPunct w:val="0"/>
        <w:autoSpaceDE w:val="0"/>
        <w:autoSpaceDN w:val="0"/>
        <w:adjustRightInd w:val="0"/>
        <w:ind w:left="284" w:hanging="284"/>
        <w:textAlignment w:val="baseline"/>
      </w:pPr>
      <w:r>
        <w:t>pide unas directrices éticas a escala de la UE sobre la IA en el ámbito de la asistencia sanitaria, para garantizar la igualdad de acceso, la seguridad de los pacientes y una innovación responsable.</w:t>
      </w:r>
    </w:p>
    <w:p w14:paraId="53609E0E" w14:textId="77777777" w:rsidR="005072F5" w:rsidRPr="001F35C7" w:rsidRDefault="005072F5" w:rsidP="005072F5">
      <w:pPr>
        <w:tabs>
          <w:tab w:val="center" w:pos="284"/>
        </w:tabs>
        <w:ind w:left="284"/>
        <w:contextualSpacing/>
        <w:jc w:val="left"/>
        <w:rPr>
          <w:lang w:val="en-GB" w:eastAsia="zh-CN"/>
        </w:rPr>
      </w:pPr>
    </w:p>
    <w:tbl>
      <w:tblPr>
        <w:tblW w:w="4942" w:type="pct"/>
        <w:tblLook w:val="04A0" w:firstRow="1" w:lastRow="0" w:firstColumn="1" w:lastColumn="0" w:noHBand="0" w:noVBand="1"/>
      </w:tblPr>
      <w:tblGrid>
        <w:gridCol w:w="2064"/>
        <w:gridCol w:w="7258"/>
      </w:tblGrid>
      <w:tr w:rsidR="005072F5" w:rsidRPr="001F35C7" w14:paraId="652E5C87" w14:textId="77777777" w:rsidTr="00915390">
        <w:tc>
          <w:tcPr>
            <w:tcW w:w="1107" w:type="pct"/>
          </w:tcPr>
          <w:p w14:paraId="3C9C7134" w14:textId="77777777" w:rsidR="005072F5" w:rsidRPr="001F35C7" w:rsidRDefault="005072F5" w:rsidP="00915390">
            <w:pPr>
              <w:overflowPunct w:val="0"/>
              <w:autoSpaceDE w:val="0"/>
              <w:autoSpaceDN w:val="0"/>
              <w:adjustRightInd w:val="0"/>
              <w:textAlignment w:val="baseline"/>
              <w:rPr>
                <w:i/>
              </w:rPr>
            </w:pPr>
            <w:r>
              <w:rPr>
                <w:b/>
                <w:i/>
              </w:rPr>
              <w:t>Contacto:</w:t>
            </w:r>
          </w:p>
        </w:tc>
        <w:tc>
          <w:tcPr>
            <w:tcW w:w="3893" w:type="pct"/>
          </w:tcPr>
          <w:p w14:paraId="58AFA3DE" w14:textId="77777777" w:rsidR="005072F5" w:rsidRPr="001F35C7" w:rsidRDefault="005072F5" w:rsidP="00915390">
            <w:pPr>
              <w:overflowPunct w:val="0"/>
              <w:autoSpaceDE w:val="0"/>
              <w:autoSpaceDN w:val="0"/>
              <w:adjustRightInd w:val="0"/>
              <w:textAlignment w:val="baseline"/>
              <w:rPr>
                <w:i/>
              </w:rPr>
            </w:pPr>
            <w:r>
              <w:rPr>
                <w:i/>
              </w:rPr>
              <w:t>Alessia Cova</w:t>
            </w:r>
          </w:p>
        </w:tc>
      </w:tr>
      <w:tr w:rsidR="005072F5" w:rsidRPr="001F35C7" w14:paraId="0AEB021B" w14:textId="77777777" w:rsidTr="00915390">
        <w:tc>
          <w:tcPr>
            <w:tcW w:w="1107" w:type="pct"/>
          </w:tcPr>
          <w:p w14:paraId="3EA0A1ED" w14:textId="77777777" w:rsidR="005072F5" w:rsidRPr="001F35C7" w:rsidRDefault="005072F5" w:rsidP="00915390">
            <w:pPr>
              <w:overflowPunct w:val="0"/>
              <w:autoSpaceDE w:val="0"/>
              <w:autoSpaceDN w:val="0"/>
              <w:adjustRightInd w:val="0"/>
              <w:textAlignment w:val="baseline"/>
              <w:rPr>
                <w:i/>
              </w:rPr>
            </w:pPr>
            <w:r>
              <w:rPr>
                <w:i/>
              </w:rPr>
              <w:t>Teléfono:</w:t>
            </w:r>
          </w:p>
        </w:tc>
        <w:tc>
          <w:tcPr>
            <w:tcW w:w="3893" w:type="pct"/>
          </w:tcPr>
          <w:p w14:paraId="3370D6BE" w14:textId="77777777" w:rsidR="005072F5" w:rsidRPr="001F35C7" w:rsidRDefault="005072F5" w:rsidP="00915390">
            <w:pPr>
              <w:overflowPunct w:val="0"/>
              <w:autoSpaceDE w:val="0"/>
              <w:autoSpaceDN w:val="0"/>
              <w:adjustRightInd w:val="0"/>
              <w:textAlignment w:val="baseline"/>
              <w:rPr>
                <w:i/>
              </w:rPr>
            </w:pPr>
            <w:r>
              <w:rPr>
                <w:i/>
              </w:rPr>
              <w:t>+32 2 546 942</w:t>
            </w:r>
            <w:r>
              <w:t>6</w:t>
            </w:r>
          </w:p>
        </w:tc>
      </w:tr>
      <w:tr w:rsidR="005072F5" w:rsidRPr="001F35C7" w14:paraId="6A5E7FF8" w14:textId="77777777" w:rsidTr="00915390">
        <w:tc>
          <w:tcPr>
            <w:tcW w:w="1107" w:type="pct"/>
          </w:tcPr>
          <w:p w14:paraId="74BC796E" w14:textId="77777777" w:rsidR="005072F5" w:rsidRPr="001F35C7" w:rsidRDefault="005072F5" w:rsidP="00915390">
            <w:pPr>
              <w:overflowPunct w:val="0"/>
              <w:autoSpaceDE w:val="0"/>
              <w:autoSpaceDN w:val="0"/>
              <w:adjustRightInd w:val="0"/>
              <w:textAlignment w:val="baseline"/>
              <w:rPr>
                <w:i/>
              </w:rPr>
            </w:pPr>
            <w:r>
              <w:rPr>
                <w:i/>
              </w:rPr>
              <w:t>Correo electrónico:</w:t>
            </w:r>
          </w:p>
        </w:tc>
        <w:tc>
          <w:tcPr>
            <w:tcW w:w="3893" w:type="pct"/>
          </w:tcPr>
          <w:p w14:paraId="7D8B76EE" w14:textId="77777777" w:rsidR="005072F5" w:rsidRPr="001F35C7" w:rsidRDefault="005072F5" w:rsidP="00915390">
            <w:pPr>
              <w:overflowPunct w:val="0"/>
              <w:autoSpaceDE w:val="0"/>
              <w:autoSpaceDN w:val="0"/>
              <w:adjustRightInd w:val="0"/>
              <w:textAlignment w:val="baseline"/>
              <w:rPr>
                <w:color w:val="0000FF"/>
                <w:u w:val="single"/>
              </w:rPr>
            </w:pPr>
            <w:hyperlink r:id="rId54" w:history="1">
              <w:r>
                <w:rPr>
                  <w:i/>
                  <w:color w:val="0000FF"/>
                  <w:u w:val="single"/>
                </w:rPr>
                <w:t>Alessia.Cova@eesc.europa.eu</w:t>
              </w:r>
            </w:hyperlink>
          </w:p>
        </w:tc>
      </w:tr>
    </w:tbl>
    <w:p w14:paraId="46604282" w14:textId="77777777" w:rsidR="005072F5" w:rsidRDefault="005072F5" w:rsidP="005072F5">
      <w:pPr>
        <w:jc w:val="left"/>
        <w:rPr>
          <w:lang w:val="en-GB"/>
        </w:rPr>
      </w:pPr>
    </w:p>
    <w:p w14:paraId="75E440E7" w14:textId="77777777" w:rsidR="005072F5" w:rsidRDefault="005072F5" w:rsidP="005072F5">
      <w:pPr>
        <w:spacing w:after="160" w:line="259" w:lineRule="auto"/>
        <w:jc w:val="left"/>
      </w:pPr>
      <w:r>
        <w:br w:type="page"/>
      </w:r>
    </w:p>
    <w:p w14:paraId="509AC94A" w14:textId="77777777" w:rsidR="005072F5" w:rsidRPr="00EA2195" w:rsidRDefault="005072F5" w:rsidP="005072F5">
      <w:pPr>
        <w:pStyle w:val="Heading1"/>
        <w:keepNext/>
        <w:keepLines/>
        <w:ind w:left="567" w:hanging="567"/>
        <w:rPr>
          <w:b/>
        </w:rPr>
      </w:pPr>
      <w:bookmarkStart w:id="110" w:name="_Toc210738623"/>
      <w:bookmarkStart w:id="111" w:name="_Toc210738624"/>
      <w:bookmarkStart w:id="112" w:name="_Toc210738625"/>
      <w:bookmarkStart w:id="113" w:name="_Toc210738626"/>
      <w:bookmarkStart w:id="114" w:name="_Toc24617160"/>
      <w:bookmarkStart w:id="115" w:name="_Toc75527082"/>
      <w:bookmarkStart w:id="116" w:name="_Toc211345375"/>
      <w:bookmarkEnd w:id="110"/>
      <w:bookmarkEnd w:id="111"/>
      <w:bookmarkEnd w:id="112"/>
      <w:bookmarkEnd w:id="113"/>
      <w:r>
        <w:rPr>
          <w:b/>
        </w:rPr>
        <w:lastRenderedPageBreak/>
        <w:t>TRANSPORTE, ENERGÍA, INFRAESTRUCTURAS Y SOCIEDAD DE LA INFORMACIÓN</w:t>
      </w:r>
      <w:bookmarkEnd w:id="114"/>
      <w:bookmarkEnd w:id="115"/>
      <w:bookmarkEnd w:id="116"/>
    </w:p>
    <w:p w14:paraId="5D2900F6" w14:textId="77777777" w:rsidR="005072F5" w:rsidRDefault="005072F5" w:rsidP="005072F5">
      <w:pPr>
        <w:keepNext/>
        <w:keepLines/>
      </w:pPr>
    </w:p>
    <w:p w14:paraId="0916B87C" w14:textId="77777777" w:rsidR="005072F5" w:rsidRPr="00FD5661" w:rsidRDefault="005072F5" w:rsidP="005072F5">
      <w:pPr>
        <w:keepNext/>
        <w:keepLines/>
        <w:widowControl w:val="0"/>
        <w:numPr>
          <w:ilvl w:val="0"/>
          <w:numId w:val="3"/>
        </w:numPr>
        <w:overflowPunct w:val="0"/>
        <w:autoSpaceDE w:val="0"/>
        <w:autoSpaceDN w:val="0"/>
        <w:adjustRightInd w:val="0"/>
        <w:ind w:hanging="567"/>
        <w:textAlignment w:val="baseline"/>
        <w:rPr>
          <w:b/>
        </w:rPr>
      </w:pPr>
      <w:hyperlink r:id="rId55" w:history="1">
        <w:r>
          <w:rPr>
            <w:b/>
            <w:i/>
            <w:color w:val="0000FF"/>
            <w:sz w:val="28"/>
            <w:u w:val="single"/>
          </w:rPr>
          <w:t>Por un plan europeo de vivienda asequible: la contribución de la sociedad civil</w:t>
        </w:r>
      </w:hyperlink>
    </w:p>
    <w:p w14:paraId="47B01BBA" w14:textId="77777777" w:rsidR="005072F5" w:rsidRPr="00FD5661" w:rsidRDefault="005072F5" w:rsidP="005072F5">
      <w:pPr>
        <w:keepNext/>
        <w:keepLines/>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1701"/>
        <w:gridCol w:w="7621"/>
      </w:tblGrid>
      <w:tr w:rsidR="005072F5" w:rsidRPr="00FD5661" w14:paraId="1ACFBF0D" w14:textId="77777777" w:rsidTr="00915390">
        <w:tc>
          <w:tcPr>
            <w:tcW w:w="1701" w:type="dxa"/>
          </w:tcPr>
          <w:p w14:paraId="4A248EA1" w14:textId="77777777" w:rsidR="005072F5" w:rsidRPr="00FD5661" w:rsidRDefault="005072F5" w:rsidP="00915390">
            <w:pPr>
              <w:tabs>
                <w:tab w:val="center" w:pos="284"/>
              </w:tabs>
              <w:overflowPunct w:val="0"/>
              <w:autoSpaceDE w:val="0"/>
              <w:autoSpaceDN w:val="0"/>
              <w:adjustRightInd w:val="0"/>
              <w:ind w:left="266" w:hanging="266"/>
              <w:textAlignment w:val="baseline"/>
              <w:rPr>
                <w:b/>
              </w:rPr>
            </w:pPr>
            <w:r>
              <w:rPr>
                <w:b/>
              </w:rPr>
              <w:t>Ponente</w:t>
            </w:r>
          </w:p>
          <w:p w14:paraId="77808B14" w14:textId="77777777" w:rsidR="005072F5" w:rsidRPr="00FD5661"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7621" w:type="dxa"/>
          </w:tcPr>
          <w:p w14:paraId="1964813E" w14:textId="77777777" w:rsidR="005072F5" w:rsidRPr="00FD5661" w:rsidRDefault="005072F5" w:rsidP="00915390">
            <w:pPr>
              <w:tabs>
                <w:tab w:val="center" w:pos="284"/>
              </w:tabs>
              <w:overflowPunct w:val="0"/>
              <w:autoSpaceDE w:val="0"/>
              <w:autoSpaceDN w:val="0"/>
              <w:adjustRightInd w:val="0"/>
              <w:ind w:left="266" w:hanging="266"/>
              <w:textAlignment w:val="baseline"/>
              <w:rPr>
                <w:bCs/>
              </w:rPr>
            </w:pPr>
            <w:r>
              <w:t>John COMER (Grupo de Organizaciones de la Sociedad Civil – IE)</w:t>
            </w:r>
          </w:p>
          <w:p w14:paraId="3FBEEE7B" w14:textId="77777777" w:rsidR="005072F5" w:rsidRPr="00FD5661" w:rsidRDefault="005072F5" w:rsidP="00915390">
            <w:pPr>
              <w:tabs>
                <w:tab w:val="center" w:pos="284"/>
              </w:tabs>
              <w:overflowPunct w:val="0"/>
              <w:autoSpaceDE w:val="0"/>
              <w:autoSpaceDN w:val="0"/>
              <w:adjustRightInd w:val="0"/>
              <w:ind w:left="266" w:hanging="266"/>
              <w:textAlignment w:val="baseline"/>
              <w:rPr>
                <w:bCs/>
              </w:rPr>
            </w:pPr>
            <w:r>
              <w:t>Thomas KATTNIG (Grupo de Trabajadores – AT)</w:t>
            </w:r>
          </w:p>
        </w:tc>
      </w:tr>
      <w:tr w:rsidR="005072F5" w:rsidRPr="00FD5661" w14:paraId="6BBCA7AD" w14:textId="77777777" w:rsidTr="00915390">
        <w:tc>
          <w:tcPr>
            <w:tcW w:w="1701" w:type="dxa"/>
          </w:tcPr>
          <w:p w14:paraId="2EE10B73" w14:textId="77777777" w:rsidR="005072F5" w:rsidRPr="00FD5661"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7621" w:type="dxa"/>
          </w:tcPr>
          <w:p w14:paraId="0A80F753" w14:textId="77777777" w:rsidR="005072F5" w:rsidRPr="00FD5661" w:rsidRDefault="005072F5" w:rsidP="00915390">
            <w:pPr>
              <w:tabs>
                <w:tab w:val="center" w:pos="284"/>
              </w:tabs>
              <w:overflowPunct w:val="0"/>
              <w:autoSpaceDE w:val="0"/>
              <w:autoSpaceDN w:val="0"/>
              <w:adjustRightInd w:val="0"/>
              <w:ind w:left="266" w:hanging="266"/>
              <w:textAlignment w:val="baseline"/>
            </w:pPr>
            <w:r>
              <w:t>Dictamen exploratorio solicitado por la Presidencia danesa del Consejo de la UE</w:t>
            </w:r>
          </w:p>
          <w:p w14:paraId="109CD5A4" w14:textId="77777777" w:rsidR="005072F5" w:rsidRPr="00FD5661" w:rsidRDefault="005072F5" w:rsidP="00915390">
            <w:pPr>
              <w:tabs>
                <w:tab w:val="center" w:pos="284"/>
              </w:tabs>
              <w:overflowPunct w:val="0"/>
              <w:autoSpaceDE w:val="0"/>
              <w:autoSpaceDN w:val="0"/>
              <w:adjustRightInd w:val="0"/>
              <w:ind w:left="266" w:hanging="266"/>
              <w:textAlignment w:val="baseline"/>
            </w:pPr>
            <w:r>
              <w:t>EESC-2025-00436-00-00-AC</w:t>
            </w:r>
          </w:p>
        </w:tc>
      </w:tr>
    </w:tbl>
    <w:p w14:paraId="3F799368" w14:textId="77777777" w:rsidR="005072F5" w:rsidRPr="00FD5661" w:rsidRDefault="005072F5" w:rsidP="005072F5">
      <w:pPr>
        <w:tabs>
          <w:tab w:val="center" w:pos="284"/>
        </w:tabs>
        <w:overflowPunct w:val="0"/>
        <w:autoSpaceDE w:val="0"/>
        <w:autoSpaceDN w:val="0"/>
        <w:adjustRightInd w:val="0"/>
        <w:ind w:left="266" w:hanging="266"/>
        <w:textAlignment w:val="baseline"/>
        <w:rPr>
          <w:lang w:val="en-GB"/>
        </w:rPr>
      </w:pPr>
    </w:p>
    <w:p w14:paraId="3618C47D" w14:textId="77777777" w:rsidR="005072F5" w:rsidRPr="00FD5661" w:rsidRDefault="005072F5" w:rsidP="005072F5">
      <w:pPr>
        <w:tabs>
          <w:tab w:val="center" w:pos="284"/>
        </w:tabs>
        <w:overflowPunct w:val="0"/>
        <w:autoSpaceDE w:val="0"/>
        <w:autoSpaceDN w:val="0"/>
        <w:adjustRightInd w:val="0"/>
        <w:ind w:left="266" w:hanging="266"/>
        <w:textAlignment w:val="baseline"/>
        <w:rPr>
          <w:b/>
        </w:rPr>
      </w:pPr>
      <w:r>
        <w:rPr>
          <w:b/>
        </w:rPr>
        <w:t>Puntos clave</w:t>
      </w:r>
    </w:p>
    <w:p w14:paraId="6F36C2BA" w14:textId="77777777" w:rsidR="005072F5" w:rsidRPr="00FD5661" w:rsidRDefault="005072F5" w:rsidP="005072F5">
      <w:pPr>
        <w:tabs>
          <w:tab w:val="center" w:pos="284"/>
        </w:tabs>
        <w:overflowPunct w:val="0"/>
        <w:autoSpaceDE w:val="0"/>
        <w:autoSpaceDN w:val="0"/>
        <w:adjustRightInd w:val="0"/>
        <w:ind w:left="266" w:hanging="266"/>
        <w:textAlignment w:val="baseline"/>
        <w:rPr>
          <w:b/>
          <w:lang w:val="en-GB"/>
        </w:rPr>
      </w:pPr>
    </w:p>
    <w:p w14:paraId="22D9592D" w14:textId="77777777" w:rsidR="005072F5" w:rsidRDefault="005072F5" w:rsidP="005072F5">
      <w:pPr>
        <w:tabs>
          <w:tab w:val="center" w:pos="284"/>
        </w:tabs>
        <w:overflowPunct w:val="0"/>
        <w:autoSpaceDE w:val="0"/>
        <w:autoSpaceDN w:val="0"/>
        <w:adjustRightInd w:val="0"/>
        <w:ind w:left="266" w:hanging="266"/>
        <w:textAlignment w:val="baseline"/>
      </w:pPr>
      <w:r>
        <w:t>El CESE:</w:t>
      </w:r>
    </w:p>
    <w:p w14:paraId="073ED3B7" w14:textId="77777777" w:rsidR="005072F5" w:rsidRPr="00FD5661" w:rsidRDefault="005072F5" w:rsidP="005072F5">
      <w:pPr>
        <w:tabs>
          <w:tab w:val="center" w:pos="284"/>
        </w:tabs>
        <w:overflowPunct w:val="0"/>
        <w:autoSpaceDE w:val="0"/>
        <w:autoSpaceDN w:val="0"/>
        <w:adjustRightInd w:val="0"/>
        <w:ind w:left="266" w:hanging="266"/>
        <w:textAlignment w:val="baseline"/>
        <w:rPr>
          <w:bCs/>
        </w:rPr>
      </w:pPr>
    </w:p>
    <w:p w14:paraId="104CC815" w14:textId="77777777" w:rsidR="005072F5" w:rsidRPr="00FD5661" w:rsidRDefault="005072F5" w:rsidP="005072F5">
      <w:pPr>
        <w:numPr>
          <w:ilvl w:val="0"/>
          <w:numId w:val="58"/>
        </w:numPr>
        <w:overflowPunct w:val="0"/>
        <w:autoSpaceDE w:val="0"/>
        <w:autoSpaceDN w:val="0"/>
        <w:adjustRightInd w:val="0"/>
        <w:ind w:left="284" w:hanging="284"/>
        <w:contextualSpacing/>
        <w:textAlignment w:val="baseline"/>
      </w:pPr>
      <w:r>
        <w:t xml:space="preserve">pide a la Comisión que elabore un plan de acción para el </w:t>
      </w:r>
      <w:r>
        <w:rPr>
          <w:b/>
        </w:rPr>
        <w:t>cumplimiento del derecho fundamental a la vivienda</w:t>
      </w:r>
      <w:r>
        <w:t xml:space="preserve"> y hace hincapié en que este derecho debe estar formalmente consagrado en el Derecho primario de la UE;</w:t>
      </w:r>
    </w:p>
    <w:p w14:paraId="6CA494BC" w14:textId="77777777" w:rsidR="005072F5" w:rsidRPr="00FD5661" w:rsidRDefault="005072F5" w:rsidP="005072F5">
      <w:pPr>
        <w:numPr>
          <w:ilvl w:val="0"/>
          <w:numId w:val="58"/>
        </w:numPr>
        <w:overflowPunct w:val="0"/>
        <w:autoSpaceDE w:val="0"/>
        <w:autoSpaceDN w:val="0"/>
        <w:adjustRightInd w:val="0"/>
        <w:ind w:left="284" w:hanging="284"/>
        <w:contextualSpacing/>
        <w:textAlignment w:val="baseline"/>
      </w:pPr>
      <w:r>
        <w:t xml:space="preserve">insta a </w:t>
      </w:r>
      <w:r>
        <w:rPr>
          <w:b/>
        </w:rPr>
        <w:t>reformar las normas sobre ayudas estatales</w:t>
      </w:r>
      <w:r>
        <w:t xml:space="preserve"> para permitir un acceso más amplio a la vivienda social. La definición actual de servicio de interés económico general excluye grupos clave y limita la capacidad de los Estados miembros para responder al aumento de la demanda;</w:t>
      </w:r>
    </w:p>
    <w:p w14:paraId="00EAD89A" w14:textId="77777777" w:rsidR="005072F5" w:rsidRPr="00FD5661" w:rsidRDefault="005072F5" w:rsidP="005072F5">
      <w:pPr>
        <w:numPr>
          <w:ilvl w:val="0"/>
          <w:numId w:val="58"/>
        </w:numPr>
        <w:overflowPunct w:val="0"/>
        <w:autoSpaceDE w:val="0"/>
        <w:autoSpaceDN w:val="0"/>
        <w:adjustRightInd w:val="0"/>
        <w:ind w:left="284" w:hanging="284"/>
        <w:contextualSpacing/>
        <w:textAlignment w:val="baseline"/>
      </w:pPr>
      <w:r>
        <w:t xml:space="preserve">destaca la </w:t>
      </w:r>
      <w:r>
        <w:rPr>
          <w:b/>
        </w:rPr>
        <w:t>urgente necesidad de un enfoque coordinado de la UE</w:t>
      </w:r>
      <w:r>
        <w:t xml:space="preserve"> para abordar la escasez de viviendas asequibles y sostenibles, respetando al mismo tiempo la subsidiariedad, ya que la política de vivienda sigue siendo una competencia que incumbe principalmente a los Estados miembros;</w:t>
      </w:r>
    </w:p>
    <w:p w14:paraId="4C84396D" w14:textId="77777777" w:rsidR="005072F5" w:rsidRPr="00C47A12" w:rsidRDefault="005072F5" w:rsidP="005072F5">
      <w:pPr>
        <w:numPr>
          <w:ilvl w:val="0"/>
          <w:numId w:val="58"/>
        </w:numPr>
        <w:overflowPunct w:val="0"/>
        <w:autoSpaceDE w:val="0"/>
        <w:autoSpaceDN w:val="0"/>
        <w:adjustRightInd w:val="0"/>
        <w:ind w:left="284" w:hanging="284"/>
        <w:contextualSpacing/>
        <w:textAlignment w:val="baseline"/>
      </w:pPr>
      <w:r>
        <w:t xml:space="preserve">recomienda que se apruebe un plan de acción de la UE en materia de vivienda para establecer una política coherente que aborde la crisis de la vivienda y que todos los Estados miembros introduzcan </w:t>
      </w:r>
      <w:r>
        <w:rPr>
          <w:b/>
        </w:rPr>
        <w:t>programas del tipo «La vivienda primero»</w:t>
      </w:r>
      <w:r>
        <w:t xml:space="preserve"> para abordar el problema de las personas sin hogar con el fin de reducir la desigualdad social y las privaciones.</w:t>
      </w:r>
    </w:p>
    <w:p w14:paraId="079BEE42" w14:textId="77777777" w:rsidR="005072F5" w:rsidRPr="00FD5661" w:rsidRDefault="005072F5" w:rsidP="005072F5">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2093"/>
        <w:gridCol w:w="7229"/>
      </w:tblGrid>
      <w:tr w:rsidR="005072F5" w:rsidRPr="00FD5661" w14:paraId="6722859F" w14:textId="77777777" w:rsidTr="00915390">
        <w:tc>
          <w:tcPr>
            <w:tcW w:w="2093" w:type="dxa"/>
          </w:tcPr>
          <w:p w14:paraId="041008E3" w14:textId="77777777" w:rsidR="005072F5" w:rsidRPr="00FD5661" w:rsidRDefault="005072F5" w:rsidP="00915390">
            <w:pPr>
              <w:overflowPunct w:val="0"/>
              <w:autoSpaceDE w:val="0"/>
              <w:autoSpaceDN w:val="0"/>
              <w:adjustRightInd w:val="0"/>
              <w:textAlignment w:val="baseline"/>
              <w:rPr>
                <w:i/>
              </w:rPr>
            </w:pPr>
            <w:r>
              <w:rPr>
                <w:b/>
                <w:i/>
              </w:rPr>
              <w:t>Contacto:</w:t>
            </w:r>
          </w:p>
        </w:tc>
        <w:tc>
          <w:tcPr>
            <w:tcW w:w="7229" w:type="dxa"/>
          </w:tcPr>
          <w:p w14:paraId="763194B3" w14:textId="77777777" w:rsidR="005072F5" w:rsidRPr="00FD5661" w:rsidRDefault="005072F5" w:rsidP="00915390">
            <w:pPr>
              <w:overflowPunct w:val="0"/>
              <w:autoSpaceDE w:val="0"/>
              <w:autoSpaceDN w:val="0"/>
              <w:adjustRightInd w:val="0"/>
              <w:textAlignment w:val="baseline"/>
              <w:rPr>
                <w:i/>
              </w:rPr>
            </w:pPr>
            <w:r>
              <w:rPr>
                <w:i/>
              </w:rPr>
              <w:t>Francesco Napolitano</w:t>
            </w:r>
          </w:p>
        </w:tc>
      </w:tr>
      <w:tr w:rsidR="005072F5" w:rsidRPr="00FD5661" w14:paraId="4293A81A" w14:textId="77777777" w:rsidTr="00915390">
        <w:tc>
          <w:tcPr>
            <w:tcW w:w="2093" w:type="dxa"/>
          </w:tcPr>
          <w:p w14:paraId="326D0280" w14:textId="77777777" w:rsidR="005072F5" w:rsidRPr="00FD5661" w:rsidRDefault="005072F5" w:rsidP="00915390">
            <w:pPr>
              <w:overflowPunct w:val="0"/>
              <w:autoSpaceDE w:val="0"/>
              <w:autoSpaceDN w:val="0"/>
              <w:adjustRightInd w:val="0"/>
              <w:textAlignment w:val="baseline"/>
              <w:rPr>
                <w:i/>
              </w:rPr>
            </w:pPr>
            <w:r>
              <w:rPr>
                <w:i/>
              </w:rPr>
              <w:t>Teléfono:</w:t>
            </w:r>
          </w:p>
        </w:tc>
        <w:tc>
          <w:tcPr>
            <w:tcW w:w="7229" w:type="dxa"/>
          </w:tcPr>
          <w:p w14:paraId="1B05A4E5" w14:textId="77777777" w:rsidR="005072F5" w:rsidRPr="00FD5661" w:rsidRDefault="005072F5" w:rsidP="00915390">
            <w:pPr>
              <w:overflowPunct w:val="0"/>
              <w:autoSpaceDE w:val="0"/>
              <w:autoSpaceDN w:val="0"/>
              <w:adjustRightInd w:val="0"/>
              <w:textAlignment w:val="baseline"/>
              <w:rPr>
                <w:i/>
              </w:rPr>
            </w:pPr>
            <w:r>
              <w:rPr>
                <w:i/>
              </w:rPr>
              <w:t>+32 2 546 8921</w:t>
            </w:r>
          </w:p>
        </w:tc>
      </w:tr>
      <w:tr w:rsidR="005072F5" w:rsidRPr="00FD5661" w14:paraId="72AE58B5" w14:textId="77777777" w:rsidTr="00915390">
        <w:tc>
          <w:tcPr>
            <w:tcW w:w="2093" w:type="dxa"/>
          </w:tcPr>
          <w:p w14:paraId="35A4CF27" w14:textId="77777777" w:rsidR="005072F5" w:rsidRPr="00FD5661" w:rsidRDefault="005072F5" w:rsidP="00915390">
            <w:pPr>
              <w:overflowPunct w:val="0"/>
              <w:autoSpaceDE w:val="0"/>
              <w:autoSpaceDN w:val="0"/>
              <w:adjustRightInd w:val="0"/>
              <w:textAlignment w:val="baseline"/>
              <w:rPr>
                <w:i/>
              </w:rPr>
            </w:pPr>
            <w:r>
              <w:rPr>
                <w:i/>
              </w:rPr>
              <w:t>Correo electrónico:</w:t>
            </w:r>
          </w:p>
        </w:tc>
        <w:tc>
          <w:tcPr>
            <w:tcW w:w="7229" w:type="dxa"/>
          </w:tcPr>
          <w:p w14:paraId="0EABDF9E" w14:textId="77777777" w:rsidR="005072F5" w:rsidRPr="00FD5661" w:rsidRDefault="005072F5" w:rsidP="00915390">
            <w:pPr>
              <w:overflowPunct w:val="0"/>
              <w:autoSpaceDE w:val="0"/>
              <w:autoSpaceDN w:val="0"/>
              <w:adjustRightInd w:val="0"/>
              <w:textAlignment w:val="baseline"/>
              <w:rPr>
                <w:i/>
                <w:iCs/>
              </w:rPr>
            </w:pPr>
            <w:hyperlink r:id="rId56" w:history="1">
              <w:r>
                <w:rPr>
                  <w:i/>
                  <w:color w:val="0000FF"/>
                  <w:u w:val="single"/>
                </w:rPr>
                <w:t>Francesco.Napolitano@eesc.europa.eu</w:t>
              </w:r>
            </w:hyperlink>
          </w:p>
        </w:tc>
      </w:tr>
    </w:tbl>
    <w:p w14:paraId="258E0D51" w14:textId="77777777" w:rsidR="005072F5" w:rsidRDefault="005072F5" w:rsidP="005072F5">
      <w:pPr>
        <w:jc w:val="left"/>
        <w:rPr>
          <w:lang w:val="en-GB"/>
        </w:rPr>
      </w:pPr>
    </w:p>
    <w:p w14:paraId="55A1B61D" w14:textId="77777777" w:rsidR="005072F5" w:rsidRDefault="005072F5" w:rsidP="005072F5">
      <w:pPr>
        <w:jc w:val="left"/>
      </w:pPr>
      <w:r>
        <w:br w:type="page"/>
      </w:r>
    </w:p>
    <w:p w14:paraId="37D460A2" w14:textId="77777777" w:rsidR="005072F5" w:rsidRPr="0073570C" w:rsidRDefault="005072F5" w:rsidP="005072F5">
      <w:pPr>
        <w:widowControl w:val="0"/>
        <w:numPr>
          <w:ilvl w:val="0"/>
          <w:numId w:val="3"/>
        </w:numPr>
        <w:overflowPunct w:val="0"/>
        <w:autoSpaceDE w:val="0"/>
        <w:autoSpaceDN w:val="0"/>
        <w:adjustRightInd w:val="0"/>
        <w:ind w:hanging="567"/>
        <w:textAlignment w:val="baseline"/>
        <w:rPr>
          <w:b/>
        </w:rPr>
      </w:pPr>
      <w:hyperlink r:id="rId57" w:history="1">
        <w:r>
          <w:rPr>
            <w:b/>
            <w:i/>
            <w:color w:val="0000FF"/>
            <w:sz w:val="28"/>
            <w:u w:val="single"/>
          </w:rPr>
          <w:t>Paquete de energía para la ciudadanía: participación ciudadana, comunidades de energía y prosumerismo</w:t>
        </w:r>
      </w:hyperlink>
    </w:p>
    <w:p w14:paraId="698C087B" w14:textId="77777777" w:rsidR="005072F5" w:rsidRPr="0073570C" w:rsidRDefault="005072F5" w:rsidP="005072F5">
      <w:pPr>
        <w:widowControl w:val="0"/>
        <w:overflowPunct w:val="0"/>
        <w:autoSpaceDE w:val="0"/>
        <w:autoSpaceDN w:val="0"/>
        <w:adjustRightInd w:val="0"/>
        <w:ind w:left="266"/>
        <w:textAlignment w:val="baseline"/>
        <w:rPr>
          <w:b/>
          <w:lang w:val="en-GB"/>
        </w:rPr>
      </w:pPr>
    </w:p>
    <w:tbl>
      <w:tblPr>
        <w:tblW w:w="0" w:type="auto"/>
        <w:tblLook w:val="04A0" w:firstRow="1" w:lastRow="0" w:firstColumn="1" w:lastColumn="0" w:noHBand="0" w:noVBand="1"/>
      </w:tblPr>
      <w:tblGrid>
        <w:gridCol w:w="1701"/>
        <w:gridCol w:w="7621"/>
      </w:tblGrid>
      <w:tr w:rsidR="005072F5" w:rsidRPr="0073570C" w14:paraId="7B571C24" w14:textId="77777777" w:rsidTr="00915390">
        <w:tc>
          <w:tcPr>
            <w:tcW w:w="1701" w:type="dxa"/>
          </w:tcPr>
          <w:p w14:paraId="3C2E4A86" w14:textId="77777777" w:rsidR="005072F5" w:rsidRPr="0073570C"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621" w:type="dxa"/>
          </w:tcPr>
          <w:p w14:paraId="56EDC979" w14:textId="77777777" w:rsidR="005072F5" w:rsidRPr="0073570C" w:rsidRDefault="005072F5" w:rsidP="00915390">
            <w:pPr>
              <w:tabs>
                <w:tab w:val="center" w:pos="284"/>
              </w:tabs>
              <w:overflowPunct w:val="0"/>
              <w:autoSpaceDE w:val="0"/>
              <w:autoSpaceDN w:val="0"/>
              <w:adjustRightInd w:val="0"/>
              <w:ind w:left="266" w:hanging="266"/>
              <w:textAlignment w:val="baseline"/>
              <w:rPr>
                <w:bCs/>
              </w:rPr>
            </w:pPr>
            <w:r>
              <w:t>Corina MURAFA BENGA (Grupo de Organizaciones de la Sociedad Civil – RO)</w:t>
            </w:r>
          </w:p>
        </w:tc>
      </w:tr>
      <w:tr w:rsidR="005072F5" w:rsidRPr="0073570C" w14:paraId="54C784D1" w14:textId="77777777" w:rsidTr="00915390">
        <w:tc>
          <w:tcPr>
            <w:tcW w:w="1701" w:type="dxa"/>
          </w:tcPr>
          <w:p w14:paraId="57DF9493" w14:textId="77777777" w:rsidR="005072F5" w:rsidRPr="0073570C"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7621" w:type="dxa"/>
          </w:tcPr>
          <w:p w14:paraId="3753C337" w14:textId="77777777" w:rsidR="005072F5" w:rsidRPr="0073570C" w:rsidRDefault="005072F5" w:rsidP="00915390">
            <w:pPr>
              <w:tabs>
                <w:tab w:val="center" w:pos="284"/>
              </w:tabs>
              <w:overflowPunct w:val="0"/>
              <w:autoSpaceDE w:val="0"/>
              <w:autoSpaceDN w:val="0"/>
              <w:adjustRightInd w:val="0"/>
              <w:ind w:left="266" w:hanging="266"/>
              <w:textAlignment w:val="baseline"/>
            </w:pPr>
            <w:r>
              <w:t>Dictamen exploratorio solicitado por la Comisión Europea</w:t>
            </w:r>
          </w:p>
          <w:p w14:paraId="2374D978" w14:textId="77777777" w:rsidR="005072F5" w:rsidRPr="0073570C" w:rsidRDefault="005072F5" w:rsidP="00915390">
            <w:pPr>
              <w:tabs>
                <w:tab w:val="center" w:pos="284"/>
              </w:tabs>
              <w:overflowPunct w:val="0"/>
              <w:autoSpaceDE w:val="0"/>
              <w:autoSpaceDN w:val="0"/>
              <w:adjustRightInd w:val="0"/>
              <w:ind w:left="266" w:hanging="266"/>
              <w:textAlignment w:val="baseline"/>
            </w:pPr>
            <w:r>
              <w:t>EESC-2025-01467-00-00-AC</w:t>
            </w:r>
          </w:p>
        </w:tc>
      </w:tr>
    </w:tbl>
    <w:p w14:paraId="053F36EC" w14:textId="77777777" w:rsidR="005072F5" w:rsidRPr="0073570C" w:rsidRDefault="005072F5" w:rsidP="005072F5">
      <w:pPr>
        <w:tabs>
          <w:tab w:val="center" w:pos="284"/>
        </w:tabs>
        <w:overflowPunct w:val="0"/>
        <w:autoSpaceDE w:val="0"/>
        <w:autoSpaceDN w:val="0"/>
        <w:adjustRightInd w:val="0"/>
        <w:ind w:left="266" w:hanging="266"/>
        <w:textAlignment w:val="baseline"/>
        <w:rPr>
          <w:lang w:val="en-GB"/>
        </w:rPr>
      </w:pPr>
    </w:p>
    <w:p w14:paraId="652AABE9" w14:textId="77777777" w:rsidR="005072F5" w:rsidRPr="0073570C"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311201FB" w14:textId="77777777" w:rsidR="005072F5" w:rsidRPr="0073570C"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1AE2C916" w14:textId="77777777" w:rsidR="005072F5" w:rsidRDefault="005072F5" w:rsidP="005072F5">
      <w:pPr>
        <w:keepNext/>
        <w:keepLines/>
        <w:tabs>
          <w:tab w:val="center" w:pos="284"/>
        </w:tabs>
        <w:overflowPunct w:val="0"/>
        <w:autoSpaceDE w:val="0"/>
        <w:autoSpaceDN w:val="0"/>
        <w:adjustRightInd w:val="0"/>
        <w:ind w:left="266" w:hanging="266"/>
        <w:textAlignment w:val="baseline"/>
      </w:pPr>
      <w:r>
        <w:t>El CESE:</w:t>
      </w:r>
    </w:p>
    <w:p w14:paraId="09490EBD" w14:textId="77777777" w:rsidR="005072F5" w:rsidRPr="0073570C" w:rsidRDefault="005072F5" w:rsidP="005072F5">
      <w:pPr>
        <w:keepNext/>
        <w:keepLines/>
        <w:tabs>
          <w:tab w:val="center" w:pos="284"/>
        </w:tabs>
        <w:overflowPunct w:val="0"/>
        <w:autoSpaceDE w:val="0"/>
        <w:autoSpaceDN w:val="0"/>
        <w:adjustRightInd w:val="0"/>
        <w:ind w:left="266" w:hanging="266"/>
        <w:textAlignment w:val="baseline"/>
        <w:rPr>
          <w:bCs/>
        </w:rPr>
      </w:pPr>
    </w:p>
    <w:p w14:paraId="52C70F8C" w14:textId="77777777" w:rsidR="005072F5" w:rsidRPr="00266E81" w:rsidRDefault="005072F5" w:rsidP="005072F5">
      <w:pPr>
        <w:pStyle w:val="ListParagraph"/>
        <w:numPr>
          <w:ilvl w:val="0"/>
          <w:numId w:val="59"/>
        </w:numPr>
        <w:overflowPunct w:val="0"/>
        <w:autoSpaceDE w:val="0"/>
        <w:autoSpaceDN w:val="0"/>
        <w:adjustRightInd w:val="0"/>
        <w:ind w:left="284" w:hanging="284"/>
        <w:textAlignment w:val="baseline"/>
        <w:rPr>
          <w:bCs/>
          <w:iCs/>
        </w:rPr>
      </w:pPr>
      <w:r>
        <w:t xml:space="preserve">subraya que, hasta la fecha, la Comisión no ha situado a la ciudadanía en el centro del sistema energético. Así pues, acoge con satisfacción el paquete de energía para la ciudadanía como medio para involucrar activamente a los ciudadanos y las comunidades, pero subraya que el paquete debe garantizar la plena participación de los ciudadanos y ciudadanas en la </w:t>
      </w:r>
      <w:r>
        <w:rPr>
          <w:b/>
        </w:rPr>
        <w:t>construcción de un sistema energético asequible, seguro y sostenible</w:t>
      </w:r>
      <w:r>
        <w:t>. También pide medidas más enérgicas destinadas a atajar la pobreza energética en la UE, introduciendo una definición unificada y una identificación de los hogares afectados basada en datos;</w:t>
      </w:r>
    </w:p>
    <w:p w14:paraId="39AC521D" w14:textId="77777777" w:rsidR="005072F5" w:rsidRPr="00266E81" w:rsidRDefault="005072F5" w:rsidP="005072F5">
      <w:pPr>
        <w:pStyle w:val="ListParagraph"/>
        <w:numPr>
          <w:ilvl w:val="0"/>
          <w:numId w:val="59"/>
        </w:numPr>
        <w:overflowPunct w:val="0"/>
        <w:autoSpaceDE w:val="0"/>
        <w:autoSpaceDN w:val="0"/>
        <w:adjustRightInd w:val="0"/>
        <w:ind w:left="284" w:hanging="284"/>
        <w:textAlignment w:val="baseline"/>
        <w:rPr>
          <w:bCs/>
          <w:iCs/>
        </w:rPr>
      </w:pPr>
      <w:r>
        <w:t xml:space="preserve">destaca que el paquete de energía para la ciudadanía debe </w:t>
      </w:r>
      <w:r>
        <w:rPr>
          <w:b/>
        </w:rPr>
        <w:t>dar prioridad a la financiación</w:t>
      </w:r>
      <w:r>
        <w:t xml:space="preserve"> de las comunidades ciudadanas de energía, así como </w:t>
      </w:r>
      <w:r>
        <w:rPr>
          <w:b/>
        </w:rPr>
        <w:t>aclarar conceptos clave asociados a la energía comunitaria</w:t>
      </w:r>
      <w:r>
        <w:t>, que los Estados miembros interpretan ahora de formas muy distintas. La financiación debe someterse al cumplimiento de unas normas mínimas en los ámbitos de la participación de la juventud, el fomento de la alfabetización energética y el desarrollo de capacidades ecológicas;</w:t>
      </w:r>
    </w:p>
    <w:p w14:paraId="22D6FDBA" w14:textId="77777777" w:rsidR="005072F5" w:rsidRPr="00266E81" w:rsidRDefault="005072F5" w:rsidP="005072F5">
      <w:pPr>
        <w:pStyle w:val="ListParagraph"/>
        <w:numPr>
          <w:ilvl w:val="0"/>
          <w:numId w:val="59"/>
        </w:numPr>
        <w:overflowPunct w:val="0"/>
        <w:autoSpaceDE w:val="0"/>
        <w:autoSpaceDN w:val="0"/>
        <w:adjustRightInd w:val="0"/>
        <w:ind w:left="284" w:hanging="284"/>
        <w:textAlignment w:val="baseline"/>
        <w:rPr>
          <w:bCs/>
          <w:iCs/>
        </w:rPr>
      </w:pPr>
      <w:r>
        <w:t xml:space="preserve">a fin de empoderar a la ciudadanía y establecer las condiciones necesarias para mitigar la pobreza energética, recomienda que la UE 1) imponga con carácter inmediato una </w:t>
      </w:r>
      <w:r>
        <w:rPr>
          <w:b/>
        </w:rPr>
        <w:t>prohibición a escala de la UE de las desconexiones</w:t>
      </w:r>
      <w:r>
        <w:t xml:space="preserve"> de los hogares; 2) </w:t>
      </w:r>
      <w:r>
        <w:rPr>
          <w:b/>
        </w:rPr>
        <w:t>se aleje del sistema de orden de mérito</w:t>
      </w:r>
      <w:r>
        <w:t xml:space="preserve">, que vincula los precios de la electricidad a los del gas; 3) </w:t>
      </w:r>
      <w:r>
        <w:rPr>
          <w:b/>
        </w:rPr>
        <w:t>adapte el discurso político</w:t>
      </w:r>
      <w:r>
        <w:t xml:space="preserve"> en materia de energía haciendo mención a «ciudadanas y ciudadanos», en vez de a los «consumidores», e 4) instaure </w:t>
      </w:r>
      <w:r>
        <w:rPr>
          <w:b/>
        </w:rPr>
        <w:t>un defensor del pueblo europeo para la energía</w:t>
      </w:r>
      <w:r>
        <w:t>.</w:t>
      </w:r>
    </w:p>
    <w:p w14:paraId="2CD07E38" w14:textId="77777777" w:rsidR="005072F5" w:rsidRPr="0073570C" w:rsidRDefault="005072F5" w:rsidP="005072F5">
      <w:pPr>
        <w:ind w:left="1080"/>
        <w:contextualSpacing/>
        <w:rPr>
          <w:bCs/>
          <w:iCs/>
          <w:lang w:val="en-GB"/>
        </w:rPr>
      </w:pPr>
    </w:p>
    <w:tbl>
      <w:tblPr>
        <w:tblW w:w="0" w:type="auto"/>
        <w:tblLook w:val="04A0" w:firstRow="1" w:lastRow="0" w:firstColumn="1" w:lastColumn="0" w:noHBand="0" w:noVBand="1"/>
      </w:tblPr>
      <w:tblGrid>
        <w:gridCol w:w="2376"/>
        <w:gridCol w:w="6946"/>
      </w:tblGrid>
      <w:tr w:rsidR="005072F5" w:rsidRPr="0073570C" w14:paraId="44B21DB7" w14:textId="77777777" w:rsidTr="00915390">
        <w:tc>
          <w:tcPr>
            <w:tcW w:w="2376" w:type="dxa"/>
          </w:tcPr>
          <w:p w14:paraId="55870648" w14:textId="77777777" w:rsidR="005072F5" w:rsidRPr="0073570C" w:rsidRDefault="005072F5" w:rsidP="00915390">
            <w:pPr>
              <w:overflowPunct w:val="0"/>
              <w:autoSpaceDE w:val="0"/>
              <w:autoSpaceDN w:val="0"/>
              <w:adjustRightInd w:val="0"/>
              <w:textAlignment w:val="baseline"/>
              <w:rPr>
                <w:i/>
              </w:rPr>
            </w:pPr>
            <w:r>
              <w:rPr>
                <w:b/>
                <w:i/>
              </w:rPr>
              <w:t>Contacto:</w:t>
            </w:r>
          </w:p>
        </w:tc>
        <w:tc>
          <w:tcPr>
            <w:tcW w:w="6946" w:type="dxa"/>
          </w:tcPr>
          <w:p w14:paraId="3808CD20" w14:textId="77777777" w:rsidR="005072F5" w:rsidRPr="0073570C" w:rsidRDefault="005072F5" w:rsidP="00915390">
            <w:pPr>
              <w:overflowPunct w:val="0"/>
              <w:autoSpaceDE w:val="0"/>
              <w:autoSpaceDN w:val="0"/>
              <w:adjustRightInd w:val="0"/>
              <w:textAlignment w:val="baseline"/>
              <w:rPr>
                <w:i/>
              </w:rPr>
            </w:pPr>
            <w:r>
              <w:rPr>
                <w:i/>
              </w:rPr>
              <w:t>Francesco Napolitano</w:t>
            </w:r>
          </w:p>
        </w:tc>
      </w:tr>
      <w:tr w:rsidR="005072F5" w:rsidRPr="0073570C" w14:paraId="648EA9E5" w14:textId="77777777" w:rsidTr="00915390">
        <w:tc>
          <w:tcPr>
            <w:tcW w:w="2376" w:type="dxa"/>
          </w:tcPr>
          <w:p w14:paraId="002ACE33" w14:textId="77777777" w:rsidR="005072F5" w:rsidRPr="0073570C" w:rsidRDefault="005072F5" w:rsidP="00915390">
            <w:pPr>
              <w:overflowPunct w:val="0"/>
              <w:autoSpaceDE w:val="0"/>
              <w:autoSpaceDN w:val="0"/>
              <w:adjustRightInd w:val="0"/>
              <w:textAlignment w:val="baseline"/>
              <w:rPr>
                <w:i/>
              </w:rPr>
            </w:pPr>
            <w:r>
              <w:rPr>
                <w:i/>
              </w:rPr>
              <w:t>Teléfono:</w:t>
            </w:r>
          </w:p>
        </w:tc>
        <w:tc>
          <w:tcPr>
            <w:tcW w:w="6946" w:type="dxa"/>
          </w:tcPr>
          <w:p w14:paraId="05353068" w14:textId="77777777" w:rsidR="005072F5" w:rsidRPr="0073570C" w:rsidRDefault="005072F5" w:rsidP="00915390">
            <w:pPr>
              <w:overflowPunct w:val="0"/>
              <w:autoSpaceDE w:val="0"/>
              <w:autoSpaceDN w:val="0"/>
              <w:adjustRightInd w:val="0"/>
              <w:textAlignment w:val="baseline"/>
              <w:rPr>
                <w:i/>
              </w:rPr>
            </w:pPr>
            <w:r>
              <w:rPr>
                <w:i/>
              </w:rPr>
              <w:t>+32 2 546 8921</w:t>
            </w:r>
          </w:p>
        </w:tc>
      </w:tr>
      <w:tr w:rsidR="005072F5" w:rsidRPr="0073570C" w14:paraId="131FA96C" w14:textId="77777777" w:rsidTr="00915390">
        <w:tc>
          <w:tcPr>
            <w:tcW w:w="2376" w:type="dxa"/>
          </w:tcPr>
          <w:p w14:paraId="5018B388" w14:textId="77777777" w:rsidR="005072F5" w:rsidRPr="0073570C" w:rsidRDefault="005072F5" w:rsidP="00915390">
            <w:pPr>
              <w:overflowPunct w:val="0"/>
              <w:autoSpaceDE w:val="0"/>
              <w:autoSpaceDN w:val="0"/>
              <w:adjustRightInd w:val="0"/>
              <w:textAlignment w:val="baseline"/>
              <w:rPr>
                <w:i/>
              </w:rPr>
            </w:pPr>
            <w:r>
              <w:rPr>
                <w:i/>
              </w:rPr>
              <w:t>Correo electrónico:</w:t>
            </w:r>
          </w:p>
        </w:tc>
        <w:tc>
          <w:tcPr>
            <w:tcW w:w="6946" w:type="dxa"/>
          </w:tcPr>
          <w:p w14:paraId="5EAC4D55" w14:textId="77777777" w:rsidR="005072F5" w:rsidRPr="0073570C" w:rsidRDefault="005072F5" w:rsidP="00915390">
            <w:pPr>
              <w:overflowPunct w:val="0"/>
              <w:autoSpaceDE w:val="0"/>
              <w:autoSpaceDN w:val="0"/>
              <w:adjustRightInd w:val="0"/>
              <w:textAlignment w:val="baseline"/>
              <w:rPr>
                <w:i/>
                <w:iCs/>
              </w:rPr>
            </w:pPr>
            <w:hyperlink r:id="rId58" w:history="1">
              <w:r>
                <w:rPr>
                  <w:i/>
                  <w:color w:val="0000FF"/>
                  <w:u w:val="single"/>
                </w:rPr>
                <w:t>Francesco.Napolitano@eesc.europa.eu</w:t>
              </w:r>
            </w:hyperlink>
          </w:p>
        </w:tc>
      </w:tr>
    </w:tbl>
    <w:p w14:paraId="40B34B28" w14:textId="77777777" w:rsidR="005072F5" w:rsidRDefault="005072F5" w:rsidP="005072F5">
      <w:pPr>
        <w:jc w:val="left"/>
        <w:rPr>
          <w:lang w:val="en-GB"/>
        </w:rPr>
      </w:pPr>
    </w:p>
    <w:p w14:paraId="39571CD7" w14:textId="77777777" w:rsidR="005072F5" w:rsidRDefault="005072F5" w:rsidP="005072F5">
      <w:pPr>
        <w:jc w:val="left"/>
      </w:pPr>
      <w:r>
        <w:br w:type="page"/>
      </w:r>
    </w:p>
    <w:p w14:paraId="5DFA3FBE" w14:textId="77777777" w:rsidR="005072F5" w:rsidRPr="00AE0DEC" w:rsidRDefault="005072F5" w:rsidP="005072F5">
      <w:pPr>
        <w:widowControl w:val="0"/>
        <w:numPr>
          <w:ilvl w:val="0"/>
          <w:numId w:val="3"/>
        </w:numPr>
        <w:overflowPunct w:val="0"/>
        <w:autoSpaceDE w:val="0"/>
        <w:autoSpaceDN w:val="0"/>
        <w:adjustRightInd w:val="0"/>
        <w:ind w:hanging="567"/>
        <w:textAlignment w:val="baseline"/>
        <w:rPr>
          <w:sz w:val="20"/>
          <w:szCs w:val="20"/>
        </w:rPr>
      </w:pPr>
      <w:hyperlink r:id="rId59" w:history="1">
        <w:r>
          <w:rPr>
            <w:b/>
            <w:i/>
            <w:color w:val="0000FF"/>
            <w:sz w:val="28"/>
            <w:u w:val="single"/>
          </w:rPr>
          <w:t>Revisión de las Directivas del paquete sobre la inspección técnica de vehículos</w:t>
        </w:r>
      </w:hyperlink>
    </w:p>
    <w:p w14:paraId="646C3B7B" w14:textId="77777777" w:rsidR="005072F5" w:rsidRPr="00AE0DEC" w:rsidRDefault="005072F5" w:rsidP="005072F5">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1701"/>
        <w:gridCol w:w="7621"/>
      </w:tblGrid>
      <w:tr w:rsidR="005072F5" w:rsidRPr="00AE0DEC" w14:paraId="0EE17021" w14:textId="77777777" w:rsidTr="00915390">
        <w:tc>
          <w:tcPr>
            <w:tcW w:w="1701" w:type="dxa"/>
          </w:tcPr>
          <w:p w14:paraId="2732C742" w14:textId="77777777" w:rsidR="005072F5" w:rsidRPr="00AE0DEC"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621" w:type="dxa"/>
          </w:tcPr>
          <w:p w14:paraId="62130631" w14:textId="77777777" w:rsidR="005072F5" w:rsidRPr="00AE0DEC" w:rsidRDefault="005072F5" w:rsidP="00915390">
            <w:pPr>
              <w:tabs>
                <w:tab w:val="center" w:pos="284"/>
              </w:tabs>
              <w:overflowPunct w:val="0"/>
              <w:autoSpaceDE w:val="0"/>
              <w:autoSpaceDN w:val="0"/>
              <w:adjustRightInd w:val="0"/>
              <w:ind w:left="266" w:hanging="266"/>
              <w:textAlignment w:val="baseline"/>
              <w:rPr>
                <w:bCs/>
              </w:rPr>
            </w:pPr>
            <w:r>
              <w:t>Giulia BARBUCCI (Grupo de Trabajadores – IT)</w:t>
            </w:r>
          </w:p>
        </w:tc>
      </w:tr>
      <w:tr w:rsidR="005072F5" w:rsidRPr="005823B7" w14:paraId="71DDD923" w14:textId="77777777" w:rsidTr="00915390">
        <w:tc>
          <w:tcPr>
            <w:tcW w:w="1701" w:type="dxa"/>
          </w:tcPr>
          <w:p w14:paraId="79974BCC" w14:textId="77777777" w:rsidR="005072F5" w:rsidRPr="00AE0DEC"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7621" w:type="dxa"/>
          </w:tcPr>
          <w:p w14:paraId="3C43B896" w14:textId="77777777" w:rsidR="005072F5" w:rsidRDefault="005072F5" w:rsidP="00915390">
            <w:pPr>
              <w:tabs>
                <w:tab w:val="center" w:pos="284"/>
              </w:tabs>
              <w:overflowPunct w:val="0"/>
              <w:autoSpaceDE w:val="0"/>
              <w:autoSpaceDN w:val="0"/>
              <w:adjustRightInd w:val="0"/>
              <w:ind w:left="266" w:hanging="266"/>
              <w:textAlignment w:val="baseline"/>
            </w:pPr>
            <w:r>
              <w:t>COM(2025) 179 final</w:t>
            </w:r>
          </w:p>
          <w:p w14:paraId="0D0D267E" w14:textId="77777777" w:rsidR="005072F5" w:rsidRPr="00AE0DEC" w:rsidRDefault="005072F5" w:rsidP="00915390">
            <w:pPr>
              <w:tabs>
                <w:tab w:val="center" w:pos="284"/>
              </w:tabs>
              <w:overflowPunct w:val="0"/>
              <w:autoSpaceDE w:val="0"/>
              <w:autoSpaceDN w:val="0"/>
              <w:adjustRightInd w:val="0"/>
              <w:ind w:left="266" w:hanging="266"/>
              <w:textAlignment w:val="baseline"/>
            </w:pPr>
            <w:r>
              <w:t>COM(2025) 180 final</w:t>
            </w:r>
          </w:p>
          <w:p w14:paraId="4C8A54A3" w14:textId="77777777" w:rsidR="005072F5" w:rsidRPr="00AE0DEC" w:rsidRDefault="005072F5" w:rsidP="00915390">
            <w:pPr>
              <w:tabs>
                <w:tab w:val="center" w:pos="284"/>
              </w:tabs>
              <w:overflowPunct w:val="0"/>
              <w:autoSpaceDE w:val="0"/>
              <w:autoSpaceDN w:val="0"/>
              <w:adjustRightInd w:val="0"/>
              <w:ind w:left="266" w:hanging="266"/>
              <w:textAlignment w:val="baseline"/>
            </w:pPr>
            <w:r>
              <w:t>EESC-2025-01216-00-00-AC</w:t>
            </w:r>
          </w:p>
        </w:tc>
      </w:tr>
    </w:tbl>
    <w:p w14:paraId="66E01171" w14:textId="77777777" w:rsidR="005072F5" w:rsidRPr="00AE0DEC" w:rsidRDefault="005072F5" w:rsidP="005072F5">
      <w:pPr>
        <w:tabs>
          <w:tab w:val="center" w:pos="284"/>
        </w:tabs>
        <w:overflowPunct w:val="0"/>
        <w:autoSpaceDE w:val="0"/>
        <w:autoSpaceDN w:val="0"/>
        <w:adjustRightInd w:val="0"/>
        <w:ind w:left="266" w:hanging="266"/>
        <w:textAlignment w:val="baseline"/>
        <w:rPr>
          <w:lang w:val="pt-PT"/>
        </w:rPr>
      </w:pPr>
    </w:p>
    <w:p w14:paraId="3D0A1476" w14:textId="77777777" w:rsidR="005072F5" w:rsidRPr="00AE0DEC"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46BFC8BC" w14:textId="77777777" w:rsidR="005072F5" w:rsidRPr="00AE0DEC"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4684B448" w14:textId="77777777" w:rsidR="005072F5" w:rsidRDefault="005072F5" w:rsidP="005072F5">
      <w:pPr>
        <w:keepNext/>
        <w:keepLines/>
        <w:tabs>
          <w:tab w:val="center" w:pos="284"/>
        </w:tabs>
        <w:overflowPunct w:val="0"/>
        <w:autoSpaceDE w:val="0"/>
        <w:autoSpaceDN w:val="0"/>
        <w:adjustRightInd w:val="0"/>
        <w:ind w:left="266" w:hanging="266"/>
        <w:textAlignment w:val="baseline"/>
      </w:pPr>
      <w:r>
        <w:t>El CESE:</w:t>
      </w:r>
    </w:p>
    <w:p w14:paraId="6C04FBC8" w14:textId="77777777" w:rsidR="005072F5" w:rsidRPr="00AE0DEC" w:rsidRDefault="005072F5" w:rsidP="005072F5">
      <w:pPr>
        <w:keepNext/>
        <w:keepLines/>
        <w:tabs>
          <w:tab w:val="center" w:pos="284"/>
        </w:tabs>
        <w:overflowPunct w:val="0"/>
        <w:autoSpaceDE w:val="0"/>
        <w:autoSpaceDN w:val="0"/>
        <w:adjustRightInd w:val="0"/>
        <w:ind w:left="266" w:hanging="266"/>
        <w:textAlignment w:val="baseline"/>
        <w:rPr>
          <w:bCs/>
        </w:rPr>
      </w:pPr>
    </w:p>
    <w:p w14:paraId="163C0864" w14:textId="77777777" w:rsidR="005072F5" w:rsidRPr="00AE0DEC" w:rsidRDefault="005072F5" w:rsidP="005072F5">
      <w:pPr>
        <w:numPr>
          <w:ilvl w:val="0"/>
          <w:numId w:val="60"/>
        </w:numPr>
        <w:overflowPunct w:val="0"/>
        <w:autoSpaceDE w:val="0"/>
        <w:autoSpaceDN w:val="0"/>
        <w:adjustRightInd w:val="0"/>
        <w:ind w:left="284" w:hanging="284"/>
        <w:contextualSpacing/>
        <w:textAlignment w:val="baseline"/>
        <w:rPr>
          <w:bCs/>
          <w:iCs/>
        </w:rPr>
      </w:pPr>
      <w:r>
        <w:t>considera que la seguridad vial es una prioridad absoluta, habida cuenta del objetivo general de «cero muertes en carretera para 2050». La protección de la vida, la reducción del número de heridos y la prevención de daños a las personas, los bienes y las infraestructuras son componentes esenciales de este esfuerzo. La seguridad vial no es solo una cuestión de normas técnicas, sino también de responsabilidad social y de buena gobernanza, y debe ocupar un lugar central en las estrategias de movilidad sostenible;</w:t>
      </w:r>
    </w:p>
    <w:p w14:paraId="181AAAFD" w14:textId="77777777" w:rsidR="005072F5" w:rsidRPr="00AE0DEC" w:rsidRDefault="005072F5" w:rsidP="005072F5">
      <w:pPr>
        <w:numPr>
          <w:ilvl w:val="0"/>
          <w:numId w:val="60"/>
        </w:numPr>
        <w:overflowPunct w:val="0"/>
        <w:autoSpaceDE w:val="0"/>
        <w:autoSpaceDN w:val="0"/>
        <w:adjustRightInd w:val="0"/>
        <w:ind w:left="284" w:hanging="284"/>
        <w:contextualSpacing/>
        <w:textAlignment w:val="baseline"/>
        <w:rPr>
          <w:bCs/>
          <w:iCs/>
        </w:rPr>
      </w:pPr>
      <w:r>
        <w:t>subraya la necesidad de un enfoque sistémico que, además de la mejora técnica de los vehículos, refuerce la formación de los operadores del sector, mejore la calidad de las infraestructuras viarias y garantice una gobernanza integrada y participativa del sistema de seguridad;</w:t>
      </w:r>
    </w:p>
    <w:p w14:paraId="521E6A66" w14:textId="77777777" w:rsidR="005072F5" w:rsidRPr="00AE0DEC" w:rsidRDefault="005072F5" w:rsidP="005072F5">
      <w:pPr>
        <w:numPr>
          <w:ilvl w:val="0"/>
          <w:numId w:val="60"/>
        </w:numPr>
        <w:overflowPunct w:val="0"/>
        <w:autoSpaceDE w:val="0"/>
        <w:autoSpaceDN w:val="0"/>
        <w:adjustRightInd w:val="0"/>
        <w:ind w:left="284" w:hanging="284"/>
        <w:contextualSpacing/>
        <w:textAlignment w:val="baseline"/>
        <w:rPr>
          <w:bCs/>
          <w:iCs/>
        </w:rPr>
      </w:pPr>
      <w:r>
        <w:t>pide a la Comisión y a los Estados miembros que adopten medidas de apoyo para garantizar que la adaptación a las nuevas normas no exacerbe las desigualdades sociales, prestando especial atención a los hogares de renta baja y a las microempresas;</w:t>
      </w:r>
    </w:p>
    <w:p w14:paraId="73E4B79F" w14:textId="77777777" w:rsidR="005072F5" w:rsidRPr="00AE0DEC" w:rsidRDefault="005072F5" w:rsidP="005072F5">
      <w:pPr>
        <w:numPr>
          <w:ilvl w:val="0"/>
          <w:numId w:val="60"/>
        </w:numPr>
        <w:overflowPunct w:val="0"/>
        <w:autoSpaceDE w:val="0"/>
        <w:autoSpaceDN w:val="0"/>
        <w:adjustRightInd w:val="0"/>
        <w:ind w:left="284" w:hanging="284"/>
        <w:contextualSpacing/>
        <w:textAlignment w:val="baseline"/>
        <w:rPr>
          <w:bCs/>
          <w:iCs/>
        </w:rPr>
      </w:pPr>
      <w:r>
        <w:t>subraya la urgencia de normalizar el ensayo de vehículos eléctricos y de sistemas avanzados de asistencia al conductor, así como de garantizar la disponibilidad de técnicos cualificados y de equipos modernos en los centros de inspección técnica, y recomienda crear un marco europeo para la formación y certificación del personal que realiza las inspecciones.</w:t>
      </w:r>
    </w:p>
    <w:p w14:paraId="28655689" w14:textId="77777777" w:rsidR="005072F5" w:rsidRPr="00AE0DEC" w:rsidRDefault="005072F5" w:rsidP="005072F5">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2093"/>
        <w:gridCol w:w="7229"/>
      </w:tblGrid>
      <w:tr w:rsidR="005072F5" w:rsidRPr="00AE0DEC" w14:paraId="3C8962E8" w14:textId="77777777" w:rsidTr="00915390">
        <w:tc>
          <w:tcPr>
            <w:tcW w:w="2093" w:type="dxa"/>
          </w:tcPr>
          <w:p w14:paraId="52B57E57" w14:textId="77777777" w:rsidR="005072F5" w:rsidRPr="00AE0DEC" w:rsidRDefault="005072F5" w:rsidP="00915390">
            <w:pPr>
              <w:overflowPunct w:val="0"/>
              <w:autoSpaceDE w:val="0"/>
              <w:autoSpaceDN w:val="0"/>
              <w:adjustRightInd w:val="0"/>
              <w:textAlignment w:val="baseline"/>
              <w:rPr>
                <w:i/>
              </w:rPr>
            </w:pPr>
            <w:r>
              <w:rPr>
                <w:b/>
                <w:i/>
              </w:rPr>
              <w:t>Contacto:</w:t>
            </w:r>
          </w:p>
        </w:tc>
        <w:tc>
          <w:tcPr>
            <w:tcW w:w="7229" w:type="dxa"/>
          </w:tcPr>
          <w:p w14:paraId="17BCAEC4" w14:textId="77777777" w:rsidR="005072F5" w:rsidRPr="00AE0DEC" w:rsidRDefault="005072F5" w:rsidP="00915390">
            <w:pPr>
              <w:overflowPunct w:val="0"/>
              <w:autoSpaceDE w:val="0"/>
              <w:autoSpaceDN w:val="0"/>
              <w:adjustRightInd w:val="0"/>
              <w:textAlignment w:val="baseline"/>
              <w:rPr>
                <w:i/>
              </w:rPr>
            </w:pPr>
            <w:r>
              <w:rPr>
                <w:i/>
              </w:rPr>
              <w:t>Albert Precup</w:t>
            </w:r>
          </w:p>
        </w:tc>
      </w:tr>
      <w:tr w:rsidR="005072F5" w:rsidRPr="00AE0DEC" w14:paraId="57633E0A" w14:textId="77777777" w:rsidTr="00915390">
        <w:tc>
          <w:tcPr>
            <w:tcW w:w="2093" w:type="dxa"/>
          </w:tcPr>
          <w:p w14:paraId="7DA41F9E" w14:textId="77777777" w:rsidR="005072F5" w:rsidRPr="00AE0DEC" w:rsidRDefault="005072F5" w:rsidP="00915390">
            <w:pPr>
              <w:overflowPunct w:val="0"/>
              <w:autoSpaceDE w:val="0"/>
              <w:autoSpaceDN w:val="0"/>
              <w:adjustRightInd w:val="0"/>
              <w:textAlignment w:val="baseline"/>
              <w:rPr>
                <w:i/>
              </w:rPr>
            </w:pPr>
            <w:r>
              <w:rPr>
                <w:i/>
              </w:rPr>
              <w:t>Teléfono:</w:t>
            </w:r>
          </w:p>
        </w:tc>
        <w:tc>
          <w:tcPr>
            <w:tcW w:w="7229" w:type="dxa"/>
          </w:tcPr>
          <w:p w14:paraId="1C5DD93A" w14:textId="77777777" w:rsidR="005072F5" w:rsidRPr="00AE0DEC" w:rsidRDefault="005072F5" w:rsidP="00915390">
            <w:pPr>
              <w:overflowPunct w:val="0"/>
              <w:autoSpaceDE w:val="0"/>
              <w:autoSpaceDN w:val="0"/>
              <w:adjustRightInd w:val="0"/>
              <w:textAlignment w:val="baseline"/>
              <w:rPr>
                <w:i/>
              </w:rPr>
            </w:pPr>
            <w:r>
              <w:rPr>
                <w:i/>
              </w:rPr>
              <w:t>+32 2 546 9326</w:t>
            </w:r>
          </w:p>
        </w:tc>
      </w:tr>
      <w:tr w:rsidR="005072F5" w:rsidRPr="00AE0DEC" w14:paraId="54598780" w14:textId="77777777" w:rsidTr="00915390">
        <w:tc>
          <w:tcPr>
            <w:tcW w:w="2093" w:type="dxa"/>
          </w:tcPr>
          <w:p w14:paraId="154FF9C6" w14:textId="77777777" w:rsidR="005072F5" w:rsidRPr="00AE0DEC" w:rsidRDefault="005072F5" w:rsidP="00915390">
            <w:pPr>
              <w:overflowPunct w:val="0"/>
              <w:autoSpaceDE w:val="0"/>
              <w:autoSpaceDN w:val="0"/>
              <w:adjustRightInd w:val="0"/>
              <w:textAlignment w:val="baseline"/>
              <w:rPr>
                <w:i/>
              </w:rPr>
            </w:pPr>
            <w:r>
              <w:rPr>
                <w:i/>
              </w:rPr>
              <w:t>Correo electrónico:</w:t>
            </w:r>
          </w:p>
        </w:tc>
        <w:tc>
          <w:tcPr>
            <w:tcW w:w="7229" w:type="dxa"/>
          </w:tcPr>
          <w:p w14:paraId="382DE93C" w14:textId="77777777" w:rsidR="005072F5" w:rsidRPr="00AE0DEC" w:rsidRDefault="005072F5" w:rsidP="00915390">
            <w:pPr>
              <w:overflowPunct w:val="0"/>
              <w:autoSpaceDE w:val="0"/>
              <w:autoSpaceDN w:val="0"/>
              <w:adjustRightInd w:val="0"/>
              <w:textAlignment w:val="baseline"/>
              <w:rPr>
                <w:i/>
                <w:iCs/>
              </w:rPr>
            </w:pPr>
            <w:hyperlink r:id="rId60" w:history="1">
              <w:r>
                <w:rPr>
                  <w:i/>
                  <w:color w:val="0000FF"/>
                  <w:u w:val="single"/>
                </w:rPr>
                <w:t>Albert.Precup@eesc.europa.eu</w:t>
              </w:r>
            </w:hyperlink>
          </w:p>
        </w:tc>
      </w:tr>
    </w:tbl>
    <w:p w14:paraId="09B01823" w14:textId="77777777" w:rsidR="005072F5" w:rsidRDefault="005072F5" w:rsidP="005072F5">
      <w:pPr>
        <w:jc w:val="left"/>
        <w:rPr>
          <w:lang w:val="en-GB"/>
        </w:rPr>
      </w:pPr>
    </w:p>
    <w:p w14:paraId="439ABA00" w14:textId="77777777" w:rsidR="005072F5" w:rsidRDefault="005072F5" w:rsidP="005072F5">
      <w:pPr>
        <w:jc w:val="left"/>
      </w:pPr>
      <w:r>
        <w:br w:type="page"/>
      </w:r>
    </w:p>
    <w:p w14:paraId="21DE7030" w14:textId="77777777" w:rsidR="005072F5" w:rsidRPr="002A422B" w:rsidRDefault="005072F5" w:rsidP="005072F5">
      <w:pPr>
        <w:widowControl w:val="0"/>
        <w:numPr>
          <w:ilvl w:val="0"/>
          <w:numId w:val="3"/>
        </w:numPr>
        <w:overflowPunct w:val="0"/>
        <w:autoSpaceDE w:val="0"/>
        <w:autoSpaceDN w:val="0"/>
        <w:adjustRightInd w:val="0"/>
        <w:ind w:hanging="549"/>
        <w:textAlignment w:val="baseline"/>
        <w:rPr>
          <w:b/>
        </w:rPr>
      </w:pPr>
      <w:hyperlink r:id="rId61" w:history="1">
        <w:r>
          <w:rPr>
            <w:b/>
            <w:i/>
            <w:color w:val="0000FF"/>
            <w:sz w:val="28"/>
            <w:u w:val="single"/>
          </w:rPr>
          <w:t>Poner fin a las importaciones de energía rusa</w:t>
        </w:r>
      </w:hyperlink>
    </w:p>
    <w:p w14:paraId="6D82A146" w14:textId="77777777" w:rsidR="005072F5" w:rsidRPr="002A422B" w:rsidRDefault="005072F5" w:rsidP="005072F5">
      <w:pPr>
        <w:widowControl w:val="0"/>
        <w:overflowPunct w:val="0"/>
        <w:autoSpaceDE w:val="0"/>
        <w:autoSpaceDN w:val="0"/>
        <w:adjustRightInd w:val="0"/>
        <w:ind w:left="266"/>
        <w:textAlignment w:val="baseline"/>
        <w:rPr>
          <w:b/>
          <w:lang w:val="pl-PL"/>
        </w:rPr>
      </w:pPr>
    </w:p>
    <w:tbl>
      <w:tblPr>
        <w:tblW w:w="0" w:type="auto"/>
        <w:tblLook w:val="04A0" w:firstRow="1" w:lastRow="0" w:firstColumn="1" w:lastColumn="0" w:noHBand="0" w:noVBand="1"/>
      </w:tblPr>
      <w:tblGrid>
        <w:gridCol w:w="1701"/>
        <w:gridCol w:w="7621"/>
      </w:tblGrid>
      <w:tr w:rsidR="005072F5" w:rsidRPr="002A422B" w14:paraId="5321857F" w14:textId="77777777" w:rsidTr="00915390">
        <w:tc>
          <w:tcPr>
            <w:tcW w:w="1701" w:type="dxa"/>
          </w:tcPr>
          <w:p w14:paraId="4771F157" w14:textId="77777777" w:rsidR="005072F5" w:rsidRPr="002A422B"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621" w:type="dxa"/>
          </w:tcPr>
          <w:p w14:paraId="79447AA2" w14:textId="77777777" w:rsidR="005072F5" w:rsidRPr="002A422B" w:rsidRDefault="005072F5" w:rsidP="00915390">
            <w:pPr>
              <w:tabs>
                <w:tab w:val="center" w:pos="284"/>
              </w:tabs>
              <w:overflowPunct w:val="0"/>
              <w:autoSpaceDE w:val="0"/>
              <w:autoSpaceDN w:val="0"/>
              <w:adjustRightInd w:val="0"/>
              <w:ind w:left="266" w:hanging="266"/>
              <w:textAlignment w:val="baseline"/>
              <w:rPr>
                <w:bCs/>
              </w:rPr>
            </w:pPr>
            <w:r>
              <w:t>Jacek KRAWCZYK (Grupo de Empresarios – PL)</w:t>
            </w:r>
          </w:p>
        </w:tc>
      </w:tr>
      <w:tr w:rsidR="005072F5" w:rsidRPr="00211221" w14:paraId="40B3F24D" w14:textId="77777777" w:rsidTr="00915390">
        <w:tc>
          <w:tcPr>
            <w:tcW w:w="1701" w:type="dxa"/>
          </w:tcPr>
          <w:p w14:paraId="480B41A9" w14:textId="77777777" w:rsidR="005072F5" w:rsidRPr="002A422B"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7621" w:type="dxa"/>
          </w:tcPr>
          <w:p w14:paraId="72E2D924" w14:textId="77777777" w:rsidR="005072F5" w:rsidRPr="00EA2195" w:rsidRDefault="005072F5" w:rsidP="00915390">
            <w:pPr>
              <w:tabs>
                <w:tab w:val="center" w:pos="284"/>
              </w:tabs>
              <w:overflowPunct w:val="0"/>
              <w:autoSpaceDE w:val="0"/>
              <w:autoSpaceDN w:val="0"/>
              <w:adjustRightInd w:val="0"/>
              <w:ind w:left="266" w:hanging="266"/>
              <w:textAlignment w:val="baseline"/>
            </w:pPr>
            <w:r>
              <w:t>COM(2025) 828 final</w:t>
            </w:r>
          </w:p>
          <w:p w14:paraId="03B137BD" w14:textId="77777777" w:rsidR="005072F5" w:rsidRPr="00EA2195" w:rsidRDefault="005072F5" w:rsidP="00915390">
            <w:pPr>
              <w:tabs>
                <w:tab w:val="center" w:pos="284"/>
              </w:tabs>
              <w:overflowPunct w:val="0"/>
              <w:autoSpaceDE w:val="0"/>
              <w:autoSpaceDN w:val="0"/>
              <w:adjustRightInd w:val="0"/>
              <w:ind w:left="266" w:hanging="266"/>
              <w:textAlignment w:val="baseline"/>
            </w:pPr>
            <w:r>
              <w:t>EESC-2025-02179-00-00-AC</w:t>
            </w:r>
          </w:p>
        </w:tc>
      </w:tr>
    </w:tbl>
    <w:p w14:paraId="526346FE" w14:textId="77777777" w:rsidR="005072F5" w:rsidRPr="00EA2195" w:rsidRDefault="005072F5" w:rsidP="005072F5">
      <w:pPr>
        <w:tabs>
          <w:tab w:val="center" w:pos="284"/>
        </w:tabs>
        <w:overflowPunct w:val="0"/>
        <w:autoSpaceDE w:val="0"/>
        <w:autoSpaceDN w:val="0"/>
        <w:adjustRightInd w:val="0"/>
        <w:ind w:left="266" w:hanging="266"/>
        <w:textAlignment w:val="baseline"/>
        <w:rPr>
          <w:lang w:val="pt-PT"/>
        </w:rPr>
      </w:pPr>
    </w:p>
    <w:p w14:paraId="45A76201" w14:textId="77777777" w:rsidR="005072F5" w:rsidRPr="002A422B"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41679123" w14:textId="77777777" w:rsidR="005072F5" w:rsidRPr="002A422B"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3D37BE36" w14:textId="77777777" w:rsidR="005072F5" w:rsidRDefault="005072F5" w:rsidP="005072F5">
      <w:pPr>
        <w:keepNext/>
        <w:keepLines/>
        <w:tabs>
          <w:tab w:val="center" w:pos="284"/>
        </w:tabs>
        <w:overflowPunct w:val="0"/>
        <w:autoSpaceDE w:val="0"/>
        <w:autoSpaceDN w:val="0"/>
        <w:adjustRightInd w:val="0"/>
        <w:ind w:left="266" w:hanging="266"/>
        <w:textAlignment w:val="baseline"/>
      </w:pPr>
      <w:r>
        <w:t>El CESE:</w:t>
      </w:r>
    </w:p>
    <w:p w14:paraId="1E88F6EF" w14:textId="77777777" w:rsidR="005072F5" w:rsidRPr="002A422B" w:rsidRDefault="005072F5" w:rsidP="005072F5">
      <w:pPr>
        <w:keepNext/>
        <w:keepLines/>
        <w:tabs>
          <w:tab w:val="center" w:pos="284"/>
        </w:tabs>
        <w:overflowPunct w:val="0"/>
        <w:autoSpaceDE w:val="0"/>
        <w:autoSpaceDN w:val="0"/>
        <w:adjustRightInd w:val="0"/>
        <w:ind w:left="266" w:hanging="266"/>
        <w:textAlignment w:val="baseline"/>
        <w:rPr>
          <w:bCs/>
        </w:rPr>
      </w:pPr>
    </w:p>
    <w:p w14:paraId="0775F616" w14:textId="77777777" w:rsidR="005072F5" w:rsidRPr="002A422B" w:rsidRDefault="005072F5" w:rsidP="005072F5">
      <w:pPr>
        <w:numPr>
          <w:ilvl w:val="0"/>
          <w:numId w:val="61"/>
        </w:numPr>
        <w:overflowPunct w:val="0"/>
        <w:autoSpaceDE w:val="0"/>
        <w:autoSpaceDN w:val="0"/>
        <w:adjustRightInd w:val="0"/>
        <w:ind w:left="284" w:hanging="284"/>
        <w:contextualSpacing/>
        <w:textAlignment w:val="baseline"/>
        <w:rPr>
          <w:bCs/>
          <w:iCs/>
        </w:rPr>
      </w:pPr>
      <w:r>
        <w:t>acoge favorablemente la propuesta, si bien observa que la UE debe dar prioridad en 2026 a la eliminación gradual del gas y el petróleo rusos, velando por una eliminación total y definitiva a finales de 2027 a más tardar, y reconoce la urgente necesidad de dejar de financiar las operaciones bélicas de Rusia y situar la seguridad de la UE por encima de los beneficios económicos a corto plazo percibidos por unos pocos Estados miembros; propone una nueva formulación del artículo 7 que equipare las importaciones de petróleo a las importaciones de gas;</w:t>
      </w:r>
    </w:p>
    <w:p w14:paraId="536E5380" w14:textId="77777777" w:rsidR="005072F5" w:rsidRPr="002A422B" w:rsidRDefault="005072F5" w:rsidP="005072F5">
      <w:pPr>
        <w:numPr>
          <w:ilvl w:val="0"/>
          <w:numId w:val="61"/>
        </w:numPr>
        <w:overflowPunct w:val="0"/>
        <w:autoSpaceDE w:val="0"/>
        <w:autoSpaceDN w:val="0"/>
        <w:adjustRightInd w:val="0"/>
        <w:ind w:left="284" w:hanging="284"/>
        <w:contextualSpacing/>
        <w:textAlignment w:val="baseline"/>
        <w:rPr>
          <w:bCs/>
          <w:iCs/>
        </w:rPr>
      </w:pPr>
      <w:r>
        <w:t>acoge con satisfacción los instrumentos más sólidos propuestos para el seguimiento de las dependencias energéticas; opina, no obstante, que estos mecanismos deberían estar sujetos a un mayor control parlamentario; recomienda asimismo que los interlocutores sociales y la sociedad civil organizada participen en la evaluación de las dependencias estratégicas;</w:t>
      </w:r>
    </w:p>
    <w:p w14:paraId="4A864777" w14:textId="77777777" w:rsidR="005072F5" w:rsidRPr="002A422B" w:rsidRDefault="005072F5" w:rsidP="005072F5">
      <w:pPr>
        <w:numPr>
          <w:ilvl w:val="0"/>
          <w:numId w:val="61"/>
        </w:numPr>
        <w:overflowPunct w:val="0"/>
        <w:autoSpaceDE w:val="0"/>
        <w:autoSpaceDN w:val="0"/>
        <w:adjustRightInd w:val="0"/>
        <w:ind w:left="284" w:hanging="284"/>
        <w:contextualSpacing/>
        <w:textAlignment w:val="baseline"/>
        <w:rPr>
          <w:bCs/>
          <w:iCs/>
        </w:rPr>
      </w:pPr>
      <w:r>
        <w:t>propone suprimir la posibilidad de excepción prevista en el artículo 15, ya que permitir una excepción socava los objetivos estratégicos de la propuesta al diluir su objetivo principal;</w:t>
      </w:r>
    </w:p>
    <w:p w14:paraId="1C7084A3" w14:textId="77777777" w:rsidR="005072F5" w:rsidRPr="00C47A12" w:rsidRDefault="005072F5" w:rsidP="005072F5">
      <w:pPr>
        <w:numPr>
          <w:ilvl w:val="0"/>
          <w:numId w:val="61"/>
        </w:numPr>
        <w:overflowPunct w:val="0"/>
        <w:autoSpaceDE w:val="0"/>
        <w:autoSpaceDN w:val="0"/>
        <w:adjustRightInd w:val="0"/>
        <w:ind w:left="284" w:hanging="284"/>
        <w:contextualSpacing/>
        <w:textAlignment w:val="baseline"/>
        <w:rPr>
          <w:bCs/>
          <w:iCs/>
        </w:rPr>
      </w:pPr>
      <w:r>
        <w:t>insta a la UE a que actúe de manera proactiva y coordinada para seguir localizando y neutralizando las operaciones de la «flota clandestina»; apela a la urgencia de introducir medidas para el uranio, sus derivados y la tecnología y los conocimientos especializados conexos tan pronto como sea posible y de manera segura.</w:t>
      </w:r>
    </w:p>
    <w:p w14:paraId="239D23FA" w14:textId="77777777" w:rsidR="005072F5" w:rsidRPr="002A422B" w:rsidRDefault="005072F5" w:rsidP="005072F5">
      <w:pPr>
        <w:widowControl w:val="0"/>
        <w:overflowPunct w:val="0"/>
        <w:autoSpaceDE w:val="0"/>
        <w:autoSpaceDN w:val="0"/>
        <w:adjustRightInd w:val="0"/>
        <w:ind w:left="709"/>
        <w:textAlignment w:val="baseline"/>
        <w:rPr>
          <w:szCs w:val="20"/>
          <w:lang w:val="en-GB"/>
        </w:rPr>
      </w:pPr>
    </w:p>
    <w:tbl>
      <w:tblPr>
        <w:tblW w:w="0" w:type="auto"/>
        <w:tblLook w:val="04A0" w:firstRow="1" w:lastRow="0" w:firstColumn="1" w:lastColumn="0" w:noHBand="0" w:noVBand="1"/>
      </w:tblPr>
      <w:tblGrid>
        <w:gridCol w:w="2093"/>
        <w:gridCol w:w="7229"/>
      </w:tblGrid>
      <w:tr w:rsidR="005072F5" w:rsidRPr="002A422B" w14:paraId="3B1BD46C" w14:textId="77777777" w:rsidTr="00915390">
        <w:tc>
          <w:tcPr>
            <w:tcW w:w="2093" w:type="dxa"/>
          </w:tcPr>
          <w:p w14:paraId="5E7A0197" w14:textId="77777777" w:rsidR="005072F5" w:rsidRPr="002A422B" w:rsidRDefault="005072F5" w:rsidP="00915390">
            <w:pPr>
              <w:overflowPunct w:val="0"/>
              <w:autoSpaceDE w:val="0"/>
              <w:autoSpaceDN w:val="0"/>
              <w:adjustRightInd w:val="0"/>
              <w:textAlignment w:val="baseline"/>
              <w:rPr>
                <w:i/>
              </w:rPr>
            </w:pPr>
            <w:r>
              <w:rPr>
                <w:b/>
                <w:i/>
              </w:rPr>
              <w:t>Contacto:</w:t>
            </w:r>
          </w:p>
        </w:tc>
        <w:tc>
          <w:tcPr>
            <w:tcW w:w="7229" w:type="dxa"/>
          </w:tcPr>
          <w:p w14:paraId="099BDA8C" w14:textId="77777777" w:rsidR="005072F5" w:rsidRPr="002A422B" w:rsidRDefault="005072F5" w:rsidP="00915390">
            <w:pPr>
              <w:overflowPunct w:val="0"/>
              <w:autoSpaceDE w:val="0"/>
              <w:autoSpaceDN w:val="0"/>
              <w:adjustRightInd w:val="0"/>
              <w:textAlignment w:val="baseline"/>
              <w:rPr>
                <w:i/>
              </w:rPr>
            </w:pPr>
            <w:r>
              <w:rPr>
                <w:i/>
              </w:rPr>
              <w:t>Giorgia Bordignon</w:t>
            </w:r>
          </w:p>
        </w:tc>
      </w:tr>
      <w:tr w:rsidR="005072F5" w:rsidRPr="002A422B" w14:paraId="2777FD0B" w14:textId="77777777" w:rsidTr="00915390">
        <w:tc>
          <w:tcPr>
            <w:tcW w:w="2093" w:type="dxa"/>
          </w:tcPr>
          <w:p w14:paraId="35B1097A" w14:textId="77777777" w:rsidR="005072F5" w:rsidRPr="002A422B" w:rsidRDefault="005072F5" w:rsidP="00915390">
            <w:pPr>
              <w:overflowPunct w:val="0"/>
              <w:autoSpaceDE w:val="0"/>
              <w:autoSpaceDN w:val="0"/>
              <w:adjustRightInd w:val="0"/>
              <w:textAlignment w:val="baseline"/>
              <w:rPr>
                <w:i/>
              </w:rPr>
            </w:pPr>
            <w:r>
              <w:rPr>
                <w:i/>
              </w:rPr>
              <w:t>Teléfono:</w:t>
            </w:r>
          </w:p>
        </w:tc>
        <w:tc>
          <w:tcPr>
            <w:tcW w:w="7229" w:type="dxa"/>
          </w:tcPr>
          <w:p w14:paraId="63C569C8" w14:textId="77777777" w:rsidR="005072F5" w:rsidRPr="002A422B" w:rsidRDefault="005072F5" w:rsidP="00915390">
            <w:pPr>
              <w:overflowPunct w:val="0"/>
              <w:autoSpaceDE w:val="0"/>
              <w:autoSpaceDN w:val="0"/>
              <w:adjustRightInd w:val="0"/>
              <w:textAlignment w:val="baseline"/>
              <w:rPr>
                <w:i/>
              </w:rPr>
            </w:pPr>
            <w:r>
              <w:rPr>
                <w:i/>
              </w:rPr>
              <w:t>+32 2 546 8535</w:t>
            </w:r>
          </w:p>
        </w:tc>
      </w:tr>
      <w:tr w:rsidR="005072F5" w:rsidRPr="002A422B" w14:paraId="3A9C7816" w14:textId="77777777" w:rsidTr="00915390">
        <w:tc>
          <w:tcPr>
            <w:tcW w:w="2093" w:type="dxa"/>
          </w:tcPr>
          <w:p w14:paraId="41334B3D" w14:textId="77777777" w:rsidR="005072F5" w:rsidRPr="002A422B" w:rsidRDefault="005072F5" w:rsidP="00915390">
            <w:pPr>
              <w:overflowPunct w:val="0"/>
              <w:autoSpaceDE w:val="0"/>
              <w:autoSpaceDN w:val="0"/>
              <w:adjustRightInd w:val="0"/>
              <w:textAlignment w:val="baseline"/>
              <w:rPr>
                <w:i/>
              </w:rPr>
            </w:pPr>
            <w:r>
              <w:rPr>
                <w:i/>
              </w:rPr>
              <w:t>Correo electrónico:</w:t>
            </w:r>
          </w:p>
        </w:tc>
        <w:tc>
          <w:tcPr>
            <w:tcW w:w="7229" w:type="dxa"/>
          </w:tcPr>
          <w:p w14:paraId="67DA3E7F" w14:textId="77777777" w:rsidR="005072F5" w:rsidRPr="002A422B" w:rsidRDefault="005072F5" w:rsidP="00915390">
            <w:pPr>
              <w:overflowPunct w:val="0"/>
              <w:autoSpaceDE w:val="0"/>
              <w:autoSpaceDN w:val="0"/>
              <w:adjustRightInd w:val="0"/>
              <w:textAlignment w:val="baseline"/>
              <w:rPr>
                <w:i/>
                <w:iCs/>
              </w:rPr>
            </w:pPr>
            <w:hyperlink r:id="rId62" w:history="1">
              <w:r>
                <w:rPr>
                  <w:i/>
                  <w:color w:val="0000FF"/>
                  <w:u w:val="single"/>
                </w:rPr>
                <w:t>GiorgiaAndrea.Bordignon@eesc.europa.eu</w:t>
              </w:r>
            </w:hyperlink>
          </w:p>
        </w:tc>
      </w:tr>
    </w:tbl>
    <w:p w14:paraId="1FB7B7B0" w14:textId="77777777" w:rsidR="005072F5" w:rsidRDefault="005072F5" w:rsidP="005072F5">
      <w:pPr>
        <w:tabs>
          <w:tab w:val="left" w:pos="180"/>
        </w:tabs>
        <w:overflowPunct w:val="0"/>
        <w:autoSpaceDE w:val="0"/>
        <w:autoSpaceDN w:val="0"/>
        <w:adjustRightInd w:val="0"/>
        <w:textAlignment w:val="baseline"/>
        <w:rPr>
          <w:szCs w:val="20"/>
          <w:lang w:val="en-GB"/>
        </w:rPr>
      </w:pPr>
    </w:p>
    <w:p w14:paraId="660EB0A7" w14:textId="77777777" w:rsidR="005072F5" w:rsidRDefault="005072F5" w:rsidP="005072F5">
      <w:pPr>
        <w:jc w:val="left"/>
        <w:rPr>
          <w:szCs w:val="20"/>
        </w:rPr>
      </w:pPr>
      <w:r>
        <w:br w:type="page"/>
      </w:r>
    </w:p>
    <w:p w14:paraId="5C9BEF14" w14:textId="77777777" w:rsidR="005072F5" w:rsidRPr="00F602BA" w:rsidRDefault="005072F5" w:rsidP="005072F5">
      <w:pPr>
        <w:widowControl w:val="0"/>
        <w:numPr>
          <w:ilvl w:val="0"/>
          <w:numId w:val="3"/>
        </w:numPr>
        <w:overflowPunct w:val="0"/>
        <w:autoSpaceDE w:val="0"/>
        <w:autoSpaceDN w:val="0"/>
        <w:adjustRightInd w:val="0"/>
        <w:ind w:hanging="567"/>
        <w:textAlignment w:val="baseline"/>
        <w:rPr>
          <w:sz w:val="20"/>
          <w:szCs w:val="20"/>
        </w:rPr>
      </w:pPr>
      <w:hyperlink r:id="rId63" w:history="1">
        <w:r>
          <w:rPr>
            <w:b/>
            <w:i/>
            <w:color w:val="0000FF"/>
            <w:sz w:val="28"/>
            <w:u w:val="single"/>
          </w:rPr>
          <w:t>Prórroga de la Directiva del Eurodistintivo (1999/62/CE)</w:t>
        </w:r>
      </w:hyperlink>
    </w:p>
    <w:p w14:paraId="652FA822" w14:textId="77777777" w:rsidR="005072F5" w:rsidRPr="00F602BA" w:rsidRDefault="005072F5" w:rsidP="005072F5">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01"/>
        <w:gridCol w:w="7430"/>
      </w:tblGrid>
      <w:tr w:rsidR="005072F5" w:rsidRPr="00F602BA" w14:paraId="7E051561" w14:textId="77777777" w:rsidTr="00915390">
        <w:tc>
          <w:tcPr>
            <w:tcW w:w="1061" w:type="pct"/>
          </w:tcPr>
          <w:p w14:paraId="70520055" w14:textId="77777777" w:rsidR="005072F5" w:rsidRPr="00F602BA"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3939" w:type="pct"/>
          </w:tcPr>
          <w:p w14:paraId="14E3B0DF" w14:textId="77777777" w:rsidR="005072F5" w:rsidRPr="00F602BA" w:rsidRDefault="005072F5" w:rsidP="00915390">
            <w:pPr>
              <w:tabs>
                <w:tab w:val="center" w:pos="284"/>
              </w:tabs>
              <w:overflowPunct w:val="0"/>
              <w:autoSpaceDE w:val="0"/>
              <w:autoSpaceDN w:val="0"/>
              <w:adjustRightInd w:val="0"/>
              <w:ind w:left="266" w:hanging="266"/>
              <w:textAlignment w:val="baseline"/>
            </w:pPr>
            <w:r>
              <w:t>Dumitru FORNEA (Grupo de Trabajadores – RO)</w:t>
            </w:r>
          </w:p>
        </w:tc>
      </w:tr>
      <w:tr w:rsidR="005072F5" w:rsidRPr="00F602BA" w14:paraId="0FC3A77B" w14:textId="77777777" w:rsidTr="00915390">
        <w:trPr>
          <w:trHeight w:val="70"/>
        </w:trPr>
        <w:tc>
          <w:tcPr>
            <w:tcW w:w="1061" w:type="pct"/>
          </w:tcPr>
          <w:p w14:paraId="24121730" w14:textId="77777777" w:rsidR="005072F5" w:rsidRPr="00F602BA"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3939" w:type="pct"/>
          </w:tcPr>
          <w:p w14:paraId="6510441B" w14:textId="77777777" w:rsidR="005072F5" w:rsidRPr="00F602BA" w:rsidRDefault="005072F5" w:rsidP="00915390">
            <w:pPr>
              <w:tabs>
                <w:tab w:val="center" w:pos="284"/>
              </w:tabs>
              <w:overflowPunct w:val="0"/>
              <w:autoSpaceDE w:val="0"/>
              <w:autoSpaceDN w:val="0"/>
              <w:adjustRightInd w:val="0"/>
              <w:ind w:left="266" w:hanging="266"/>
              <w:textAlignment w:val="baseline"/>
            </w:pPr>
            <w:r>
              <w:t>COM(2025) 348 final</w:t>
            </w:r>
          </w:p>
          <w:p w14:paraId="3C11BE70" w14:textId="77777777" w:rsidR="005072F5" w:rsidRPr="00F602BA" w:rsidRDefault="005072F5" w:rsidP="00915390">
            <w:pPr>
              <w:tabs>
                <w:tab w:val="center" w:pos="284"/>
              </w:tabs>
              <w:overflowPunct w:val="0"/>
              <w:autoSpaceDE w:val="0"/>
              <w:autoSpaceDN w:val="0"/>
              <w:adjustRightInd w:val="0"/>
              <w:ind w:left="266" w:hanging="266"/>
              <w:textAlignment w:val="baseline"/>
            </w:pPr>
            <w:r>
              <w:t>EESC-2025-02488-00-00-AC</w:t>
            </w:r>
          </w:p>
        </w:tc>
      </w:tr>
    </w:tbl>
    <w:p w14:paraId="5FFCD686" w14:textId="77777777" w:rsidR="005072F5" w:rsidRPr="00F602BA" w:rsidRDefault="005072F5" w:rsidP="005072F5">
      <w:pPr>
        <w:tabs>
          <w:tab w:val="center" w:pos="284"/>
        </w:tabs>
        <w:overflowPunct w:val="0"/>
        <w:autoSpaceDE w:val="0"/>
        <w:autoSpaceDN w:val="0"/>
        <w:adjustRightInd w:val="0"/>
        <w:ind w:left="266" w:hanging="266"/>
        <w:textAlignment w:val="baseline"/>
        <w:rPr>
          <w:lang w:val="pt-PT"/>
        </w:rPr>
      </w:pPr>
    </w:p>
    <w:p w14:paraId="01BEBF68" w14:textId="77777777" w:rsidR="005072F5" w:rsidRPr="00F602BA"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0DC19B67" w14:textId="77777777" w:rsidR="005072F5" w:rsidRPr="00F602BA"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57736EBF" w14:textId="77777777" w:rsidR="005072F5" w:rsidRDefault="005072F5" w:rsidP="005072F5">
      <w:pPr>
        <w:overflowPunct w:val="0"/>
        <w:autoSpaceDE w:val="0"/>
        <w:autoSpaceDN w:val="0"/>
        <w:adjustRightInd w:val="0"/>
        <w:textAlignment w:val="baseline"/>
      </w:pPr>
      <w:r>
        <w:t>El CESE:</w:t>
      </w:r>
    </w:p>
    <w:p w14:paraId="026C8C4D" w14:textId="77777777" w:rsidR="005072F5" w:rsidRPr="00F602BA" w:rsidRDefault="005072F5" w:rsidP="005072F5">
      <w:pPr>
        <w:overflowPunct w:val="0"/>
        <w:autoSpaceDE w:val="0"/>
        <w:autoSpaceDN w:val="0"/>
        <w:adjustRightInd w:val="0"/>
        <w:textAlignment w:val="baseline"/>
        <w:rPr>
          <w:bCs/>
          <w:iCs/>
        </w:rPr>
      </w:pPr>
    </w:p>
    <w:p w14:paraId="194F2391" w14:textId="77777777" w:rsidR="005072F5" w:rsidRPr="00F602BA" w:rsidRDefault="005072F5" w:rsidP="005072F5">
      <w:pPr>
        <w:widowControl w:val="0"/>
        <w:numPr>
          <w:ilvl w:val="0"/>
          <w:numId w:val="62"/>
        </w:numPr>
        <w:overflowPunct w:val="0"/>
        <w:autoSpaceDE w:val="0"/>
        <w:autoSpaceDN w:val="0"/>
        <w:adjustRightInd w:val="0"/>
        <w:ind w:left="284" w:hanging="284"/>
        <w:textAlignment w:val="baseline"/>
        <w:rPr>
          <w:bCs/>
          <w:iCs/>
        </w:rPr>
      </w:pPr>
      <w:r>
        <w:t>acoge con satisfacción la propuesta de Directiva de la Comisión Europea relativa a la prórroga del período durante el que los vehículos pesados de emisión cero pueden beneficiarse de una reducción significativa de las tasas por infraestructura o por utilización, o de una exención de la obligación de pagar dichas tasas; considera que se trata de una medida oportuna y necesaria para apoyar la descarbonización del transporte por carretera, y apoya la prórroga propuesta hasta el 30 de junio de 2031, ya que proporciona seguridad jurídica y a las inversiones, se ajusta a las normas de comportamiento en materia de emisiones de CO</w:t>
      </w:r>
      <w:r>
        <w:rPr>
          <w:vertAlign w:val="subscript"/>
        </w:rPr>
        <w:t>2</w:t>
      </w:r>
      <w:r>
        <w:t xml:space="preserve"> y brinda incentivos concretos por el lado de la demanda para que los operadores adopten tecnologías más limpias;</w:t>
      </w:r>
    </w:p>
    <w:p w14:paraId="0C1430FF" w14:textId="77777777" w:rsidR="005072F5" w:rsidRPr="00F602BA" w:rsidRDefault="005072F5" w:rsidP="005072F5">
      <w:pPr>
        <w:widowControl w:val="0"/>
        <w:numPr>
          <w:ilvl w:val="0"/>
          <w:numId w:val="62"/>
        </w:numPr>
        <w:overflowPunct w:val="0"/>
        <w:autoSpaceDE w:val="0"/>
        <w:autoSpaceDN w:val="0"/>
        <w:adjustRightInd w:val="0"/>
        <w:ind w:left="284" w:hanging="284"/>
        <w:textAlignment w:val="baseline"/>
        <w:rPr>
          <w:szCs w:val="20"/>
        </w:rPr>
      </w:pPr>
      <w:r>
        <w:t>reitera sus posiciones anteriores en favor de un enfoque justo, inclusivo y equilibrado de la transición ecológica en el transporte comercial por carretera, la necesidad de no dejar atrás a los operadores de transporte pequeños y medianos y la urgente necesidad de acelerar la implantación de infraestructuras de recarga y repostaje a lo largo de las redes básicas y globales de la red transeuropea de transporte (RTE-T);</w:t>
      </w:r>
    </w:p>
    <w:p w14:paraId="7DA85D68" w14:textId="77777777" w:rsidR="005072F5" w:rsidRPr="00F602BA" w:rsidRDefault="005072F5" w:rsidP="005072F5">
      <w:pPr>
        <w:widowControl w:val="0"/>
        <w:numPr>
          <w:ilvl w:val="0"/>
          <w:numId w:val="62"/>
        </w:numPr>
        <w:overflowPunct w:val="0"/>
        <w:autoSpaceDE w:val="0"/>
        <w:autoSpaceDN w:val="0"/>
        <w:adjustRightInd w:val="0"/>
        <w:ind w:left="284" w:hanging="284"/>
        <w:textAlignment w:val="baseline"/>
        <w:rPr>
          <w:szCs w:val="20"/>
        </w:rPr>
      </w:pPr>
      <w:r>
        <w:t>recomienda destinar los ingresos procedentes de peajes vinculados a las tasas basadas en las emisiones de CO</w:t>
      </w:r>
      <w:r>
        <w:rPr>
          <w:vertAlign w:val="subscript"/>
        </w:rPr>
        <w:t>2</w:t>
      </w:r>
      <w:r>
        <w:t xml:space="preserve"> a financiar la implantación de infraestructuras y regímenes de ayuda para los operadores que inviertan en vehículos de emisión cero o de baja emisión, e insta a los colegisladores a que mantengan un vínculo entre las políticas de tarificación vial y las normas de comportamiento en materia de emisiones de CO</w:t>
      </w:r>
      <w:r>
        <w:rPr>
          <w:vertAlign w:val="subscript"/>
        </w:rPr>
        <w:t>2</w:t>
      </w:r>
      <w:r>
        <w:t xml:space="preserve"> que genere sinergias con el régimen de comercio de derechos de emisión de la UE (RCDE 2) y otros instrumentos en materia de clima.</w:t>
      </w:r>
    </w:p>
    <w:p w14:paraId="3F145684" w14:textId="77777777" w:rsidR="005072F5" w:rsidRPr="00F602BA" w:rsidRDefault="005072F5" w:rsidP="005072F5">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094"/>
        <w:gridCol w:w="7337"/>
      </w:tblGrid>
      <w:tr w:rsidR="005072F5" w:rsidRPr="00F602BA" w14:paraId="7D596363" w14:textId="77777777" w:rsidTr="00915390">
        <w:tc>
          <w:tcPr>
            <w:tcW w:w="1110" w:type="pct"/>
          </w:tcPr>
          <w:p w14:paraId="0A47E9FC" w14:textId="77777777" w:rsidR="005072F5" w:rsidRPr="00F602BA" w:rsidRDefault="005072F5" w:rsidP="00915390">
            <w:pPr>
              <w:overflowPunct w:val="0"/>
              <w:autoSpaceDE w:val="0"/>
              <w:autoSpaceDN w:val="0"/>
              <w:adjustRightInd w:val="0"/>
              <w:textAlignment w:val="baseline"/>
              <w:rPr>
                <w:i/>
              </w:rPr>
            </w:pPr>
            <w:r>
              <w:rPr>
                <w:b/>
                <w:i/>
              </w:rPr>
              <w:t>Contacto:</w:t>
            </w:r>
          </w:p>
        </w:tc>
        <w:tc>
          <w:tcPr>
            <w:tcW w:w="3890" w:type="pct"/>
          </w:tcPr>
          <w:p w14:paraId="03E82ED5" w14:textId="77777777" w:rsidR="005072F5" w:rsidRPr="00F602BA" w:rsidRDefault="005072F5" w:rsidP="00915390">
            <w:pPr>
              <w:overflowPunct w:val="0"/>
              <w:autoSpaceDE w:val="0"/>
              <w:autoSpaceDN w:val="0"/>
              <w:adjustRightInd w:val="0"/>
              <w:textAlignment w:val="baseline"/>
              <w:rPr>
                <w:i/>
              </w:rPr>
            </w:pPr>
            <w:r>
              <w:rPr>
                <w:i/>
              </w:rPr>
              <w:t>Maja Radman</w:t>
            </w:r>
          </w:p>
        </w:tc>
      </w:tr>
      <w:tr w:rsidR="005072F5" w:rsidRPr="00F602BA" w14:paraId="478CC337" w14:textId="77777777" w:rsidTr="00915390">
        <w:tc>
          <w:tcPr>
            <w:tcW w:w="1110" w:type="pct"/>
          </w:tcPr>
          <w:p w14:paraId="6946CE24" w14:textId="77777777" w:rsidR="005072F5" w:rsidRPr="00F602BA" w:rsidRDefault="005072F5" w:rsidP="00915390">
            <w:pPr>
              <w:overflowPunct w:val="0"/>
              <w:autoSpaceDE w:val="0"/>
              <w:autoSpaceDN w:val="0"/>
              <w:adjustRightInd w:val="0"/>
              <w:textAlignment w:val="baseline"/>
              <w:rPr>
                <w:i/>
              </w:rPr>
            </w:pPr>
            <w:r>
              <w:rPr>
                <w:i/>
              </w:rPr>
              <w:t>Teléfono:</w:t>
            </w:r>
          </w:p>
        </w:tc>
        <w:tc>
          <w:tcPr>
            <w:tcW w:w="3890" w:type="pct"/>
          </w:tcPr>
          <w:p w14:paraId="5C5F1A9C" w14:textId="77777777" w:rsidR="005072F5" w:rsidRPr="00F602BA" w:rsidRDefault="005072F5" w:rsidP="00915390">
            <w:pPr>
              <w:overflowPunct w:val="0"/>
              <w:autoSpaceDE w:val="0"/>
              <w:autoSpaceDN w:val="0"/>
              <w:adjustRightInd w:val="0"/>
              <w:textAlignment w:val="baseline"/>
              <w:rPr>
                <w:i/>
              </w:rPr>
            </w:pPr>
            <w:r>
              <w:rPr>
                <w:i/>
              </w:rPr>
              <w:t>+32 2 546 9051</w:t>
            </w:r>
          </w:p>
        </w:tc>
      </w:tr>
      <w:tr w:rsidR="005072F5" w:rsidRPr="00F602BA" w14:paraId="5DFEDF98" w14:textId="77777777" w:rsidTr="00915390">
        <w:tc>
          <w:tcPr>
            <w:tcW w:w="1110" w:type="pct"/>
          </w:tcPr>
          <w:p w14:paraId="7E29E813" w14:textId="77777777" w:rsidR="005072F5" w:rsidRPr="00F602BA" w:rsidRDefault="005072F5" w:rsidP="00915390">
            <w:pPr>
              <w:overflowPunct w:val="0"/>
              <w:autoSpaceDE w:val="0"/>
              <w:autoSpaceDN w:val="0"/>
              <w:adjustRightInd w:val="0"/>
              <w:textAlignment w:val="baseline"/>
              <w:rPr>
                <w:i/>
              </w:rPr>
            </w:pPr>
            <w:r>
              <w:rPr>
                <w:i/>
              </w:rPr>
              <w:t>Correo electrónico:</w:t>
            </w:r>
          </w:p>
        </w:tc>
        <w:tc>
          <w:tcPr>
            <w:tcW w:w="3890" w:type="pct"/>
          </w:tcPr>
          <w:p w14:paraId="28B90B9A" w14:textId="77777777" w:rsidR="005072F5" w:rsidRPr="00F602BA" w:rsidRDefault="005072F5" w:rsidP="00915390">
            <w:pPr>
              <w:overflowPunct w:val="0"/>
              <w:autoSpaceDE w:val="0"/>
              <w:autoSpaceDN w:val="0"/>
              <w:adjustRightInd w:val="0"/>
              <w:textAlignment w:val="baseline"/>
              <w:rPr>
                <w:i/>
              </w:rPr>
            </w:pPr>
            <w:hyperlink r:id="rId64" w:history="1">
              <w:r>
                <w:rPr>
                  <w:i/>
                  <w:color w:val="0000FF"/>
                  <w:u w:val="single"/>
                </w:rPr>
                <w:t>Maja.Radman@eesc.europa.eu</w:t>
              </w:r>
            </w:hyperlink>
          </w:p>
        </w:tc>
      </w:tr>
    </w:tbl>
    <w:p w14:paraId="15D4C375" w14:textId="77777777" w:rsidR="005072F5" w:rsidRPr="002A422B" w:rsidRDefault="005072F5" w:rsidP="005072F5">
      <w:pPr>
        <w:tabs>
          <w:tab w:val="left" w:pos="180"/>
        </w:tabs>
        <w:overflowPunct w:val="0"/>
        <w:autoSpaceDE w:val="0"/>
        <w:autoSpaceDN w:val="0"/>
        <w:adjustRightInd w:val="0"/>
        <w:textAlignment w:val="baseline"/>
        <w:rPr>
          <w:szCs w:val="20"/>
          <w:lang w:val="en-GB"/>
        </w:rPr>
      </w:pPr>
    </w:p>
    <w:p w14:paraId="1E5B0EF0" w14:textId="77777777" w:rsidR="005072F5" w:rsidRDefault="005072F5" w:rsidP="005072F5">
      <w:pPr>
        <w:jc w:val="left"/>
      </w:pPr>
      <w:r>
        <w:br w:type="page"/>
      </w:r>
    </w:p>
    <w:p w14:paraId="2658BFD7" w14:textId="77777777" w:rsidR="005072F5" w:rsidRDefault="005072F5" w:rsidP="005072F5">
      <w:pPr>
        <w:pStyle w:val="Heading1"/>
        <w:keepNext/>
        <w:keepLines/>
        <w:ind w:left="567" w:hanging="567"/>
        <w:rPr>
          <w:b/>
        </w:rPr>
      </w:pPr>
      <w:bookmarkStart w:id="117" w:name="_Toc75527083"/>
      <w:bookmarkStart w:id="118" w:name="_Toc211345376"/>
      <w:r>
        <w:rPr>
          <w:b/>
        </w:rPr>
        <w:lastRenderedPageBreak/>
        <w:t>MERCADO ÚNICO, PRODUCCIÓN Y CONSUMO</w:t>
      </w:r>
      <w:bookmarkEnd w:id="117"/>
      <w:bookmarkEnd w:id="118"/>
    </w:p>
    <w:p w14:paraId="35C46CDA" w14:textId="77777777" w:rsidR="005072F5" w:rsidRDefault="005072F5" w:rsidP="005072F5">
      <w:pPr>
        <w:keepNext/>
        <w:keepLines/>
      </w:pPr>
    </w:p>
    <w:p w14:paraId="4B90C78D" w14:textId="77777777" w:rsidR="005072F5" w:rsidRPr="00C47A12" w:rsidRDefault="005072F5" w:rsidP="005072F5">
      <w:pPr>
        <w:keepNext/>
        <w:keepLines/>
        <w:widowControl w:val="0"/>
        <w:numPr>
          <w:ilvl w:val="0"/>
          <w:numId w:val="3"/>
        </w:numPr>
        <w:overflowPunct w:val="0"/>
        <w:autoSpaceDE w:val="0"/>
        <w:autoSpaceDN w:val="0"/>
        <w:adjustRightInd w:val="0"/>
        <w:ind w:hanging="567"/>
        <w:textAlignment w:val="baseline"/>
        <w:rPr>
          <w:b/>
        </w:rPr>
      </w:pPr>
      <w:hyperlink r:id="rId65" w:history="1">
        <w:r>
          <w:rPr>
            <w:b/>
            <w:i/>
            <w:color w:val="0000FF"/>
            <w:sz w:val="28"/>
            <w:u w:val="single"/>
          </w:rPr>
          <w:t>Paquete ómnibus relativo a las pequeñas empresas de mediana capitalización</w:t>
        </w:r>
      </w:hyperlink>
    </w:p>
    <w:p w14:paraId="0C445CB2" w14:textId="77777777" w:rsidR="005072F5" w:rsidRPr="00E041AD" w:rsidRDefault="005072F5" w:rsidP="005072F5">
      <w:pPr>
        <w:keepNext/>
        <w:keepLines/>
        <w:widowControl w:val="0"/>
        <w:overflowPunct w:val="0"/>
        <w:autoSpaceDE w:val="0"/>
        <w:autoSpaceDN w:val="0"/>
        <w:adjustRightInd w:val="0"/>
        <w:ind w:left="266"/>
        <w:textAlignment w:val="baseline"/>
        <w:rPr>
          <w:b/>
          <w:lang w:val="en-GB"/>
        </w:rPr>
      </w:pPr>
    </w:p>
    <w:tbl>
      <w:tblPr>
        <w:tblW w:w="4942" w:type="pct"/>
        <w:tblLook w:val="04A0" w:firstRow="1" w:lastRow="0" w:firstColumn="1" w:lastColumn="0" w:noHBand="0" w:noVBand="1"/>
      </w:tblPr>
      <w:tblGrid>
        <w:gridCol w:w="2064"/>
        <w:gridCol w:w="7258"/>
      </w:tblGrid>
      <w:tr w:rsidR="005072F5" w:rsidRPr="00E041AD" w14:paraId="73877F8F" w14:textId="77777777" w:rsidTr="00915390">
        <w:tc>
          <w:tcPr>
            <w:tcW w:w="1107" w:type="pct"/>
          </w:tcPr>
          <w:p w14:paraId="35A4BE6E" w14:textId="77777777" w:rsidR="005072F5" w:rsidRPr="00E041AD" w:rsidRDefault="005072F5" w:rsidP="00915390">
            <w:pPr>
              <w:tabs>
                <w:tab w:val="center" w:pos="284"/>
              </w:tabs>
              <w:overflowPunct w:val="0"/>
              <w:autoSpaceDE w:val="0"/>
              <w:autoSpaceDN w:val="0"/>
              <w:adjustRightInd w:val="0"/>
              <w:ind w:left="266" w:hanging="374"/>
              <w:textAlignment w:val="baseline"/>
              <w:rPr>
                <w:b/>
              </w:rPr>
            </w:pPr>
            <w:r>
              <w:rPr>
                <w:b/>
              </w:rPr>
              <w:t>Ponente</w:t>
            </w:r>
          </w:p>
          <w:p w14:paraId="0C2A4A6C" w14:textId="77777777" w:rsidR="005072F5" w:rsidRPr="00E041AD" w:rsidRDefault="005072F5" w:rsidP="00915390">
            <w:pPr>
              <w:tabs>
                <w:tab w:val="center" w:pos="284"/>
              </w:tabs>
              <w:overflowPunct w:val="0"/>
              <w:autoSpaceDE w:val="0"/>
              <w:autoSpaceDN w:val="0"/>
              <w:adjustRightInd w:val="0"/>
              <w:ind w:left="266" w:hanging="374"/>
              <w:textAlignment w:val="baseline"/>
              <w:rPr>
                <w:b/>
              </w:rPr>
            </w:pPr>
            <w:r>
              <w:rPr>
                <w:b/>
              </w:rPr>
              <w:t>Coponente</w:t>
            </w:r>
          </w:p>
        </w:tc>
        <w:tc>
          <w:tcPr>
            <w:tcW w:w="3893" w:type="pct"/>
          </w:tcPr>
          <w:p w14:paraId="4D75B726" w14:textId="77777777" w:rsidR="005072F5" w:rsidRPr="00E041AD" w:rsidRDefault="005072F5" w:rsidP="00915390">
            <w:pPr>
              <w:tabs>
                <w:tab w:val="center" w:pos="284"/>
              </w:tabs>
              <w:overflowPunct w:val="0"/>
              <w:autoSpaceDE w:val="0"/>
              <w:autoSpaceDN w:val="0"/>
              <w:adjustRightInd w:val="0"/>
              <w:ind w:left="266" w:hanging="266"/>
              <w:textAlignment w:val="baseline"/>
            </w:pPr>
            <w:r>
              <w:t>Katrīna ZARIŅA (Grupo de Empresarios – LV)</w:t>
            </w:r>
          </w:p>
          <w:p w14:paraId="38000333" w14:textId="77777777" w:rsidR="005072F5" w:rsidRPr="00E041AD" w:rsidRDefault="005072F5" w:rsidP="00915390">
            <w:pPr>
              <w:tabs>
                <w:tab w:val="center" w:pos="284"/>
              </w:tabs>
              <w:overflowPunct w:val="0"/>
              <w:autoSpaceDE w:val="0"/>
              <w:autoSpaceDN w:val="0"/>
              <w:adjustRightInd w:val="0"/>
              <w:ind w:left="266" w:hanging="266"/>
              <w:textAlignment w:val="baseline"/>
            </w:pPr>
            <w:r>
              <w:t>Panagiotis GKOFAS (Grupo de Organizaciones de la Sociedad Civil – EL)</w:t>
            </w:r>
          </w:p>
        </w:tc>
      </w:tr>
      <w:tr w:rsidR="005072F5" w:rsidRPr="00FF7B34" w14:paraId="3D4D68D9" w14:textId="77777777" w:rsidTr="00915390">
        <w:tc>
          <w:tcPr>
            <w:tcW w:w="1107" w:type="pct"/>
            <w:vMerge w:val="restart"/>
          </w:tcPr>
          <w:p w14:paraId="30358E75" w14:textId="77777777" w:rsidR="005072F5" w:rsidRPr="00E041AD" w:rsidRDefault="005072F5" w:rsidP="00915390">
            <w:pPr>
              <w:tabs>
                <w:tab w:val="center" w:pos="284"/>
              </w:tabs>
              <w:overflowPunct w:val="0"/>
              <w:autoSpaceDE w:val="0"/>
              <w:autoSpaceDN w:val="0"/>
              <w:adjustRightInd w:val="0"/>
              <w:ind w:left="266" w:hanging="374"/>
              <w:textAlignment w:val="baseline"/>
              <w:rPr>
                <w:b/>
              </w:rPr>
            </w:pPr>
            <w:r>
              <w:rPr>
                <w:b/>
              </w:rPr>
              <w:t>Referencias</w:t>
            </w:r>
          </w:p>
        </w:tc>
        <w:tc>
          <w:tcPr>
            <w:tcW w:w="3893" w:type="pct"/>
          </w:tcPr>
          <w:p w14:paraId="11A6DB93" w14:textId="77777777" w:rsidR="005072F5" w:rsidRPr="00E041AD" w:rsidRDefault="005072F5" w:rsidP="00915390">
            <w:pPr>
              <w:tabs>
                <w:tab w:val="center" w:pos="284"/>
              </w:tabs>
              <w:overflowPunct w:val="0"/>
              <w:autoSpaceDE w:val="0"/>
              <w:autoSpaceDN w:val="0"/>
              <w:adjustRightInd w:val="0"/>
              <w:ind w:left="266" w:hanging="266"/>
              <w:textAlignment w:val="baseline"/>
            </w:pPr>
            <w:r>
              <w:t xml:space="preserve">COM(2025) 501 final 2025 </w:t>
            </w:r>
          </w:p>
          <w:p w14:paraId="49424B4D" w14:textId="77777777" w:rsidR="005072F5" w:rsidRPr="00E041AD" w:rsidRDefault="005072F5" w:rsidP="00915390">
            <w:pPr>
              <w:tabs>
                <w:tab w:val="center" w:pos="284"/>
              </w:tabs>
              <w:overflowPunct w:val="0"/>
              <w:autoSpaceDE w:val="0"/>
              <w:autoSpaceDN w:val="0"/>
              <w:adjustRightInd w:val="0"/>
              <w:ind w:left="266" w:hanging="266"/>
              <w:textAlignment w:val="baseline"/>
            </w:pPr>
            <w:r>
              <w:t xml:space="preserve">COM(2025) 502 final 2025 </w:t>
            </w:r>
          </w:p>
          <w:p w14:paraId="0F4FABF5" w14:textId="77777777" w:rsidR="005072F5" w:rsidRPr="00E041AD" w:rsidRDefault="005072F5" w:rsidP="00915390">
            <w:pPr>
              <w:tabs>
                <w:tab w:val="center" w:pos="284"/>
              </w:tabs>
              <w:overflowPunct w:val="0"/>
              <w:autoSpaceDE w:val="0"/>
              <w:autoSpaceDN w:val="0"/>
              <w:adjustRightInd w:val="0"/>
              <w:ind w:left="266" w:hanging="266"/>
              <w:textAlignment w:val="baseline"/>
            </w:pPr>
            <w:r>
              <w:t xml:space="preserve">COM(2025) 503 final 2025 </w:t>
            </w:r>
          </w:p>
          <w:p w14:paraId="7E848774" w14:textId="77777777" w:rsidR="005072F5" w:rsidRPr="00E041AD" w:rsidRDefault="005072F5" w:rsidP="00915390">
            <w:pPr>
              <w:tabs>
                <w:tab w:val="center" w:pos="284"/>
              </w:tabs>
              <w:overflowPunct w:val="0"/>
              <w:autoSpaceDE w:val="0"/>
              <w:autoSpaceDN w:val="0"/>
              <w:adjustRightInd w:val="0"/>
              <w:ind w:left="266" w:hanging="266"/>
              <w:textAlignment w:val="baseline"/>
            </w:pPr>
            <w:r>
              <w:t>COM(2025) 504 final 2025</w:t>
            </w:r>
          </w:p>
        </w:tc>
      </w:tr>
      <w:tr w:rsidR="005072F5" w:rsidRPr="00E041AD" w14:paraId="6E08BC0B" w14:textId="77777777" w:rsidTr="00915390">
        <w:tc>
          <w:tcPr>
            <w:tcW w:w="1107" w:type="pct"/>
            <w:vMerge/>
          </w:tcPr>
          <w:p w14:paraId="5DBC2279" w14:textId="77777777" w:rsidR="005072F5" w:rsidRPr="00E041AD" w:rsidRDefault="005072F5" w:rsidP="00915390">
            <w:pPr>
              <w:tabs>
                <w:tab w:val="center" w:pos="284"/>
              </w:tabs>
              <w:overflowPunct w:val="0"/>
              <w:autoSpaceDE w:val="0"/>
              <w:autoSpaceDN w:val="0"/>
              <w:adjustRightInd w:val="0"/>
              <w:ind w:left="266" w:hanging="266"/>
              <w:textAlignment w:val="baseline"/>
              <w:rPr>
                <w:b/>
                <w:lang w:val="pt-PT"/>
              </w:rPr>
            </w:pPr>
          </w:p>
        </w:tc>
        <w:tc>
          <w:tcPr>
            <w:tcW w:w="3893" w:type="pct"/>
          </w:tcPr>
          <w:p w14:paraId="15836D67" w14:textId="77777777" w:rsidR="005072F5" w:rsidRPr="00E041AD" w:rsidRDefault="005072F5" w:rsidP="00915390">
            <w:pPr>
              <w:tabs>
                <w:tab w:val="center" w:pos="284"/>
              </w:tabs>
              <w:overflowPunct w:val="0"/>
              <w:autoSpaceDE w:val="0"/>
              <w:autoSpaceDN w:val="0"/>
              <w:adjustRightInd w:val="0"/>
              <w:ind w:left="266" w:hanging="266"/>
              <w:textAlignment w:val="baseline"/>
            </w:pPr>
            <w:r>
              <w:t>EESC-2025-01910-00-00-AC</w:t>
            </w:r>
          </w:p>
        </w:tc>
      </w:tr>
    </w:tbl>
    <w:p w14:paraId="6022D19A" w14:textId="77777777" w:rsidR="005072F5" w:rsidRPr="00E041AD" w:rsidRDefault="005072F5" w:rsidP="005072F5">
      <w:pPr>
        <w:tabs>
          <w:tab w:val="center" w:pos="284"/>
        </w:tabs>
        <w:overflowPunct w:val="0"/>
        <w:autoSpaceDE w:val="0"/>
        <w:autoSpaceDN w:val="0"/>
        <w:adjustRightInd w:val="0"/>
        <w:ind w:left="266" w:hanging="266"/>
        <w:textAlignment w:val="baseline"/>
        <w:rPr>
          <w:lang w:val="en-GB"/>
        </w:rPr>
      </w:pPr>
    </w:p>
    <w:p w14:paraId="32CFF875" w14:textId="77777777" w:rsidR="005072F5" w:rsidRPr="00E041AD"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6F7B6F7A" w14:textId="77777777" w:rsidR="005072F5" w:rsidRPr="00E041AD"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6D708664" w14:textId="77777777" w:rsidR="005072F5" w:rsidRDefault="005072F5" w:rsidP="005072F5">
      <w:pPr>
        <w:overflowPunct w:val="0"/>
        <w:autoSpaceDE w:val="0"/>
        <w:autoSpaceDN w:val="0"/>
        <w:adjustRightInd w:val="0"/>
        <w:textAlignment w:val="baseline"/>
      </w:pPr>
      <w:r>
        <w:t>El CESE:</w:t>
      </w:r>
    </w:p>
    <w:p w14:paraId="10E099E6" w14:textId="77777777" w:rsidR="005072F5" w:rsidRPr="005523AB" w:rsidRDefault="005072F5" w:rsidP="005072F5">
      <w:pPr>
        <w:overflowPunct w:val="0"/>
        <w:autoSpaceDE w:val="0"/>
        <w:autoSpaceDN w:val="0"/>
        <w:adjustRightInd w:val="0"/>
        <w:textAlignment w:val="baseline"/>
      </w:pPr>
    </w:p>
    <w:p w14:paraId="137CD1DE" w14:textId="77777777" w:rsidR="005072F5" w:rsidRPr="00E041AD" w:rsidRDefault="005072F5" w:rsidP="005072F5">
      <w:pPr>
        <w:widowControl w:val="0"/>
        <w:numPr>
          <w:ilvl w:val="0"/>
          <w:numId w:val="63"/>
        </w:numPr>
        <w:overflowPunct w:val="0"/>
        <w:autoSpaceDE w:val="0"/>
        <w:autoSpaceDN w:val="0"/>
        <w:adjustRightInd w:val="0"/>
        <w:ind w:left="284" w:hanging="284"/>
        <w:textAlignment w:val="baseline"/>
        <w:rPr>
          <w:szCs w:val="20"/>
        </w:rPr>
      </w:pPr>
      <w:r>
        <w:t>acoge con satisfacción los esfuerzos de la Comisión Europea por simplificar la legislación y reducir cargas administrativas específicas; no obstante, expresa su preocupación por el proceso de consulta, el escaso debate sobre los cambios propuestos y la falta de evaluaciones de impacto;</w:t>
      </w:r>
    </w:p>
    <w:p w14:paraId="368BE5CD" w14:textId="77777777" w:rsidR="005072F5" w:rsidRPr="00E041AD" w:rsidRDefault="005072F5" w:rsidP="005072F5">
      <w:pPr>
        <w:widowControl w:val="0"/>
        <w:numPr>
          <w:ilvl w:val="0"/>
          <w:numId w:val="63"/>
        </w:numPr>
        <w:overflowPunct w:val="0"/>
        <w:autoSpaceDE w:val="0"/>
        <w:autoSpaceDN w:val="0"/>
        <w:adjustRightInd w:val="0"/>
        <w:ind w:left="284" w:hanging="284"/>
        <w:textAlignment w:val="baseline"/>
        <w:rPr>
          <w:szCs w:val="20"/>
        </w:rPr>
      </w:pPr>
      <w:r>
        <w:t>pide a la Comisión que realice un inventario exhaustivo del panorama empresarial de la UE por tamaño de las empresas y según las características específicas de los Estados miembros, con el fin de garantizar umbrales y un alcance más adecuado para las pequeñas empresas de mediana capitalización;</w:t>
      </w:r>
    </w:p>
    <w:p w14:paraId="2FFBAD22" w14:textId="77777777" w:rsidR="005072F5" w:rsidRPr="00E041AD" w:rsidRDefault="005072F5" w:rsidP="005072F5">
      <w:pPr>
        <w:widowControl w:val="0"/>
        <w:numPr>
          <w:ilvl w:val="0"/>
          <w:numId w:val="63"/>
        </w:numPr>
        <w:overflowPunct w:val="0"/>
        <w:autoSpaceDE w:val="0"/>
        <w:autoSpaceDN w:val="0"/>
        <w:adjustRightInd w:val="0"/>
        <w:ind w:left="284" w:hanging="284"/>
        <w:textAlignment w:val="baseline"/>
        <w:rPr>
          <w:szCs w:val="20"/>
        </w:rPr>
      </w:pPr>
      <w:r>
        <w:t>anima a la Comisión a que presente nuevas medidas específicas de simplificación del Reglamento General de Protección de Datos (RGPD), ya que muchas empresas siguen estando sometidas a requisitos de cumplimiento desproporcionados, como la llevanza de registros exhaustivos;</w:t>
      </w:r>
    </w:p>
    <w:p w14:paraId="652DCC03" w14:textId="77777777" w:rsidR="005072F5" w:rsidRPr="00E041AD" w:rsidRDefault="005072F5" w:rsidP="005072F5">
      <w:pPr>
        <w:widowControl w:val="0"/>
        <w:numPr>
          <w:ilvl w:val="0"/>
          <w:numId w:val="63"/>
        </w:numPr>
        <w:overflowPunct w:val="0"/>
        <w:autoSpaceDE w:val="0"/>
        <w:autoSpaceDN w:val="0"/>
        <w:adjustRightInd w:val="0"/>
        <w:ind w:left="284" w:hanging="284"/>
        <w:textAlignment w:val="baseline"/>
        <w:rPr>
          <w:szCs w:val="20"/>
        </w:rPr>
      </w:pPr>
      <w:r>
        <w:t>expresa su preocupación por que la modificación propuesta del Reglamento sobre los gases fluorados pueda crear una laguna en el marco legislativo que aborda las sustancias altamente perjudiciales para el clima;</w:t>
      </w:r>
    </w:p>
    <w:p w14:paraId="28F8870D" w14:textId="77777777" w:rsidR="005072F5" w:rsidRPr="00E041AD" w:rsidRDefault="005072F5" w:rsidP="005072F5">
      <w:pPr>
        <w:widowControl w:val="0"/>
        <w:numPr>
          <w:ilvl w:val="0"/>
          <w:numId w:val="63"/>
        </w:numPr>
        <w:overflowPunct w:val="0"/>
        <w:autoSpaceDE w:val="0"/>
        <w:autoSpaceDN w:val="0"/>
        <w:adjustRightInd w:val="0"/>
        <w:ind w:left="284" w:hanging="284"/>
        <w:textAlignment w:val="baseline"/>
        <w:rPr>
          <w:szCs w:val="20"/>
        </w:rPr>
      </w:pPr>
      <w:r>
        <w:t>destaca que las especificaciones comunes deben basarse en un enfoque armonizado y ser percibidas como una alternativa sujeta a criterios estrictos, con el fin de garantizar la claridad y la transparencia de su proceso de desarrollo y adopción y evitar el establecimiento de un sistema paralelo.</w:t>
      </w:r>
    </w:p>
    <w:p w14:paraId="6161D024" w14:textId="77777777" w:rsidR="005072F5" w:rsidRPr="00E041AD" w:rsidRDefault="005072F5" w:rsidP="005072F5">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2094"/>
        <w:gridCol w:w="7228"/>
      </w:tblGrid>
      <w:tr w:rsidR="005072F5" w:rsidRPr="00E041AD" w14:paraId="52ABED57" w14:textId="77777777" w:rsidTr="00915390">
        <w:tc>
          <w:tcPr>
            <w:tcW w:w="1123" w:type="pct"/>
          </w:tcPr>
          <w:p w14:paraId="007AEDCB" w14:textId="77777777" w:rsidR="005072F5" w:rsidRPr="00E041AD" w:rsidRDefault="005072F5" w:rsidP="00915390">
            <w:pPr>
              <w:overflowPunct w:val="0"/>
              <w:autoSpaceDE w:val="0"/>
              <w:autoSpaceDN w:val="0"/>
              <w:adjustRightInd w:val="0"/>
              <w:textAlignment w:val="baseline"/>
              <w:rPr>
                <w:i/>
              </w:rPr>
            </w:pPr>
            <w:r>
              <w:rPr>
                <w:b/>
                <w:i/>
              </w:rPr>
              <w:t>Contacto:</w:t>
            </w:r>
          </w:p>
        </w:tc>
        <w:tc>
          <w:tcPr>
            <w:tcW w:w="3877" w:type="pct"/>
          </w:tcPr>
          <w:p w14:paraId="070129C4" w14:textId="77777777" w:rsidR="005072F5" w:rsidRPr="00E041AD" w:rsidRDefault="005072F5" w:rsidP="00915390">
            <w:pPr>
              <w:overflowPunct w:val="0"/>
              <w:autoSpaceDE w:val="0"/>
              <w:autoSpaceDN w:val="0"/>
              <w:adjustRightInd w:val="0"/>
              <w:textAlignment w:val="baseline"/>
              <w:rPr>
                <w:i/>
              </w:rPr>
            </w:pPr>
            <w:r>
              <w:rPr>
                <w:i/>
              </w:rPr>
              <w:t>Marco Manfroni</w:t>
            </w:r>
          </w:p>
        </w:tc>
      </w:tr>
      <w:tr w:rsidR="005072F5" w:rsidRPr="00E041AD" w14:paraId="7186D44C" w14:textId="77777777" w:rsidTr="00915390">
        <w:tc>
          <w:tcPr>
            <w:tcW w:w="1123" w:type="pct"/>
          </w:tcPr>
          <w:p w14:paraId="28BCFD3C" w14:textId="77777777" w:rsidR="005072F5" w:rsidRPr="00E041AD" w:rsidRDefault="005072F5" w:rsidP="00915390">
            <w:pPr>
              <w:overflowPunct w:val="0"/>
              <w:autoSpaceDE w:val="0"/>
              <w:autoSpaceDN w:val="0"/>
              <w:adjustRightInd w:val="0"/>
              <w:textAlignment w:val="baseline"/>
              <w:rPr>
                <w:i/>
              </w:rPr>
            </w:pPr>
            <w:r>
              <w:rPr>
                <w:i/>
              </w:rPr>
              <w:t>Teléfono:</w:t>
            </w:r>
          </w:p>
        </w:tc>
        <w:tc>
          <w:tcPr>
            <w:tcW w:w="3877" w:type="pct"/>
          </w:tcPr>
          <w:p w14:paraId="754BA1B0" w14:textId="77777777" w:rsidR="005072F5" w:rsidRPr="00E041AD" w:rsidRDefault="005072F5" w:rsidP="00915390">
            <w:pPr>
              <w:overflowPunct w:val="0"/>
              <w:autoSpaceDE w:val="0"/>
              <w:autoSpaceDN w:val="0"/>
              <w:adjustRightInd w:val="0"/>
              <w:textAlignment w:val="baseline"/>
              <w:rPr>
                <w:i/>
              </w:rPr>
            </w:pPr>
            <w:r>
              <w:rPr>
                <w:i/>
              </w:rPr>
              <w:t>+32 2 546 9140</w:t>
            </w:r>
          </w:p>
        </w:tc>
      </w:tr>
      <w:tr w:rsidR="005072F5" w:rsidRPr="00E041AD" w14:paraId="485BFF23" w14:textId="77777777" w:rsidTr="00915390">
        <w:tc>
          <w:tcPr>
            <w:tcW w:w="1123" w:type="pct"/>
          </w:tcPr>
          <w:p w14:paraId="5C8B4F15" w14:textId="77777777" w:rsidR="005072F5" w:rsidRPr="00E041AD" w:rsidRDefault="005072F5" w:rsidP="00915390">
            <w:pPr>
              <w:overflowPunct w:val="0"/>
              <w:autoSpaceDE w:val="0"/>
              <w:autoSpaceDN w:val="0"/>
              <w:adjustRightInd w:val="0"/>
              <w:textAlignment w:val="baseline"/>
              <w:rPr>
                <w:i/>
              </w:rPr>
            </w:pPr>
            <w:r>
              <w:rPr>
                <w:i/>
              </w:rPr>
              <w:t>Correo electrónico:</w:t>
            </w:r>
          </w:p>
        </w:tc>
        <w:tc>
          <w:tcPr>
            <w:tcW w:w="3877" w:type="pct"/>
          </w:tcPr>
          <w:p w14:paraId="6765D2FC" w14:textId="77777777" w:rsidR="005072F5" w:rsidRPr="00C47A12" w:rsidRDefault="005072F5" w:rsidP="00915390">
            <w:pPr>
              <w:overflowPunct w:val="0"/>
              <w:autoSpaceDE w:val="0"/>
              <w:autoSpaceDN w:val="0"/>
              <w:adjustRightInd w:val="0"/>
              <w:textAlignment w:val="baseline"/>
              <w:rPr>
                <w:i/>
                <w:iCs/>
              </w:rPr>
            </w:pPr>
            <w:hyperlink r:id="rId66" w:history="1">
              <w:r>
                <w:rPr>
                  <w:i/>
                  <w:color w:val="0000FF"/>
                  <w:u w:val="single"/>
                </w:rPr>
                <w:t>Marco.Manfroni@eesc.europa.eu</w:t>
              </w:r>
            </w:hyperlink>
          </w:p>
        </w:tc>
      </w:tr>
    </w:tbl>
    <w:p w14:paraId="0C57C9A5" w14:textId="77777777" w:rsidR="005072F5" w:rsidRDefault="005072F5" w:rsidP="005072F5">
      <w:pPr>
        <w:jc w:val="left"/>
        <w:rPr>
          <w:b/>
          <w:i/>
          <w:sz w:val="28"/>
          <w:szCs w:val="28"/>
          <w:lang w:val="en-GB"/>
        </w:rPr>
      </w:pPr>
    </w:p>
    <w:p w14:paraId="1EDF6FF2" w14:textId="77777777" w:rsidR="005072F5" w:rsidRDefault="005072F5" w:rsidP="005072F5">
      <w:pPr>
        <w:jc w:val="left"/>
        <w:rPr>
          <w:b/>
          <w:i/>
          <w:sz w:val="28"/>
          <w:szCs w:val="28"/>
        </w:rPr>
      </w:pPr>
      <w:r>
        <w:br w:type="page"/>
      </w:r>
    </w:p>
    <w:p w14:paraId="7CD668CF" w14:textId="77777777" w:rsidR="005072F5" w:rsidRPr="0045136E" w:rsidRDefault="005072F5" w:rsidP="005072F5">
      <w:pPr>
        <w:widowControl w:val="0"/>
        <w:numPr>
          <w:ilvl w:val="0"/>
          <w:numId w:val="3"/>
        </w:numPr>
        <w:overflowPunct w:val="0"/>
        <w:autoSpaceDE w:val="0"/>
        <w:autoSpaceDN w:val="0"/>
        <w:adjustRightInd w:val="0"/>
        <w:ind w:hanging="567"/>
        <w:textAlignment w:val="baseline"/>
        <w:rPr>
          <w:sz w:val="20"/>
          <w:szCs w:val="20"/>
        </w:rPr>
      </w:pPr>
      <w:hyperlink r:id="rId67" w:tgtFrame="_blank" w:history="1">
        <w:r>
          <w:rPr>
            <w:b/>
            <w:i/>
            <w:color w:val="0000FF"/>
            <w:sz w:val="28"/>
            <w:u w:val="single"/>
          </w:rPr>
          <w:t>Un reto para el mercado único: una política común de defensa de la Unión debidamente equilibrada y acorde a las necesidades de la ciudadanía</w:t>
        </w:r>
      </w:hyperlink>
    </w:p>
    <w:p w14:paraId="487FBB7E" w14:textId="77777777" w:rsidR="005072F5" w:rsidRPr="00D20AB4" w:rsidRDefault="005072F5" w:rsidP="005072F5">
      <w:pPr>
        <w:tabs>
          <w:tab w:val="center" w:pos="284"/>
        </w:tabs>
        <w:overflowPunct w:val="0"/>
        <w:autoSpaceDE w:val="0"/>
        <w:autoSpaceDN w:val="0"/>
        <w:adjustRightInd w:val="0"/>
        <w:ind w:left="266" w:hanging="266"/>
        <w:textAlignment w:val="baseline"/>
      </w:pPr>
    </w:p>
    <w:tbl>
      <w:tblPr>
        <w:tblW w:w="9214" w:type="dxa"/>
        <w:tblLook w:val="04A0" w:firstRow="1" w:lastRow="0" w:firstColumn="1" w:lastColumn="0" w:noHBand="0" w:noVBand="1"/>
      </w:tblPr>
      <w:tblGrid>
        <w:gridCol w:w="1701"/>
        <w:gridCol w:w="7513"/>
      </w:tblGrid>
      <w:tr w:rsidR="005072F5" w:rsidRPr="0045136E" w14:paraId="24CAD627" w14:textId="77777777" w:rsidTr="00915390">
        <w:tc>
          <w:tcPr>
            <w:tcW w:w="1701" w:type="dxa"/>
          </w:tcPr>
          <w:p w14:paraId="6748B8FF" w14:textId="77777777" w:rsidR="005072F5" w:rsidRPr="0045136E"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513" w:type="dxa"/>
          </w:tcPr>
          <w:p w14:paraId="6BEE01E0" w14:textId="77777777" w:rsidR="005072F5" w:rsidRPr="00061E08" w:rsidRDefault="005072F5" w:rsidP="00915390">
            <w:pPr>
              <w:tabs>
                <w:tab w:val="center" w:pos="284"/>
              </w:tabs>
              <w:overflowPunct w:val="0"/>
              <w:autoSpaceDE w:val="0"/>
              <w:autoSpaceDN w:val="0"/>
              <w:adjustRightInd w:val="0"/>
              <w:ind w:left="266" w:hanging="266"/>
              <w:textAlignment w:val="baseline"/>
            </w:pPr>
            <w:r>
              <w:t>Angelo PAGLIARA (Grupo de Trabajadores – IT)</w:t>
            </w:r>
          </w:p>
        </w:tc>
      </w:tr>
      <w:tr w:rsidR="005072F5" w:rsidRPr="0045136E" w14:paraId="5EF8AF70" w14:textId="77777777" w:rsidTr="00915390">
        <w:tc>
          <w:tcPr>
            <w:tcW w:w="1701" w:type="dxa"/>
          </w:tcPr>
          <w:p w14:paraId="14865FAD" w14:textId="77777777" w:rsidR="005072F5" w:rsidRPr="0045136E"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7513" w:type="dxa"/>
          </w:tcPr>
          <w:p w14:paraId="02112A98" w14:textId="77777777" w:rsidR="005072F5" w:rsidRPr="0045136E" w:rsidRDefault="005072F5" w:rsidP="00915390">
            <w:pPr>
              <w:tabs>
                <w:tab w:val="center" w:pos="284"/>
              </w:tabs>
              <w:overflowPunct w:val="0"/>
              <w:autoSpaceDE w:val="0"/>
              <w:autoSpaceDN w:val="0"/>
              <w:adjustRightInd w:val="0"/>
              <w:ind w:left="266" w:hanging="266"/>
              <w:textAlignment w:val="baseline"/>
            </w:pPr>
            <w:r>
              <w:t>Dictamen de iniciativa</w:t>
            </w:r>
          </w:p>
          <w:p w14:paraId="679BCC47" w14:textId="77777777" w:rsidR="005072F5" w:rsidRPr="0045136E" w:rsidRDefault="005072F5" w:rsidP="00915390">
            <w:pPr>
              <w:tabs>
                <w:tab w:val="center" w:pos="284"/>
              </w:tabs>
              <w:overflowPunct w:val="0"/>
              <w:autoSpaceDE w:val="0"/>
              <w:autoSpaceDN w:val="0"/>
              <w:adjustRightInd w:val="0"/>
              <w:ind w:left="266" w:hanging="266"/>
              <w:textAlignment w:val="baseline"/>
            </w:pPr>
            <w:r>
              <w:t>EESC-2025-00634-00-00-AC</w:t>
            </w:r>
          </w:p>
        </w:tc>
      </w:tr>
    </w:tbl>
    <w:p w14:paraId="056F3EE5" w14:textId="77777777" w:rsidR="005072F5" w:rsidRPr="0045136E"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17CC9D8D" w14:textId="77777777" w:rsidR="005072F5" w:rsidRPr="0045136E"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1FC4F335" w14:textId="77777777" w:rsidR="005072F5" w:rsidRPr="0045136E" w:rsidRDefault="005072F5" w:rsidP="005072F5">
      <w:pPr>
        <w:keepNext/>
        <w:keepLines/>
        <w:tabs>
          <w:tab w:val="center" w:pos="284"/>
        </w:tabs>
        <w:overflowPunct w:val="0"/>
        <w:autoSpaceDE w:val="0"/>
        <w:autoSpaceDN w:val="0"/>
        <w:adjustRightInd w:val="0"/>
        <w:ind w:left="266" w:hanging="266"/>
        <w:textAlignment w:val="baseline"/>
        <w:rPr>
          <w:b/>
          <w:sz w:val="20"/>
          <w:szCs w:val="20"/>
          <w:lang w:val="en-GB"/>
        </w:rPr>
      </w:pPr>
    </w:p>
    <w:p w14:paraId="61B2E895" w14:textId="77777777" w:rsidR="005072F5" w:rsidRDefault="005072F5" w:rsidP="005072F5">
      <w:pPr>
        <w:overflowPunct w:val="0"/>
        <w:autoSpaceDE w:val="0"/>
        <w:autoSpaceDN w:val="0"/>
        <w:adjustRightInd w:val="0"/>
        <w:textAlignment w:val="baseline"/>
      </w:pPr>
      <w:r>
        <w:t>El CESE:</w:t>
      </w:r>
    </w:p>
    <w:p w14:paraId="27917C0A" w14:textId="77777777" w:rsidR="005072F5" w:rsidRPr="0045136E" w:rsidRDefault="005072F5" w:rsidP="005072F5">
      <w:pPr>
        <w:overflowPunct w:val="0"/>
        <w:autoSpaceDE w:val="0"/>
        <w:autoSpaceDN w:val="0"/>
        <w:adjustRightInd w:val="0"/>
        <w:textAlignment w:val="baseline"/>
        <w:rPr>
          <w:bCs/>
          <w:iCs/>
        </w:rPr>
      </w:pPr>
    </w:p>
    <w:p w14:paraId="1350524B" w14:textId="77777777" w:rsidR="005072F5" w:rsidRPr="0045136E" w:rsidRDefault="005072F5" w:rsidP="005072F5">
      <w:pPr>
        <w:widowControl w:val="0"/>
        <w:numPr>
          <w:ilvl w:val="0"/>
          <w:numId w:val="64"/>
        </w:numPr>
        <w:overflowPunct w:val="0"/>
        <w:autoSpaceDE w:val="0"/>
        <w:autoSpaceDN w:val="0"/>
        <w:adjustRightInd w:val="0"/>
        <w:ind w:left="284" w:hanging="284"/>
        <w:textAlignment w:val="baseline"/>
        <w:rPr>
          <w:bCs/>
          <w:iCs/>
        </w:rPr>
      </w:pPr>
      <w:r>
        <w:t>reitera la necesidad de reforzar las capacidades de defensa de la Unión Europea respetando sus valores fundamentales, centrándose en el bienestar de la ciudadanía;</w:t>
      </w:r>
    </w:p>
    <w:p w14:paraId="0B71C5BD" w14:textId="77777777" w:rsidR="005072F5" w:rsidRPr="0045136E" w:rsidRDefault="005072F5" w:rsidP="005072F5">
      <w:pPr>
        <w:widowControl w:val="0"/>
        <w:numPr>
          <w:ilvl w:val="0"/>
          <w:numId w:val="64"/>
        </w:numPr>
        <w:overflowPunct w:val="0"/>
        <w:autoSpaceDE w:val="0"/>
        <w:autoSpaceDN w:val="0"/>
        <w:adjustRightInd w:val="0"/>
        <w:ind w:left="284" w:hanging="284"/>
        <w:textAlignment w:val="baseline"/>
        <w:rPr>
          <w:bCs/>
          <w:iCs/>
        </w:rPr>
      </w:pPr>
      <w:r>
        <w:t>considera que la Unión debe dotarse de una política común de defensa, como parte de la política exterior y de seguridad común, y establecer un sólido pilar europeo de defensa que supere los modelos nacionales;</w:t>
      </w:r>
    </w:p>
    <w:p w14:paraId="26BBA9DF" w14:textId="77777777" w:rsidR="005072F5" w:rsidRPr="0045136E" w:rsidRDefault="005072F5" w:rsidP="005072F5">
      <w:pPr>
        <w:widowControl w:val="0"/>
        <w:numPr>
          <w:ilvl w:val="0"/>
          <w:numId w:val="64"/>
        </w:numPr>
        <w:overflowPunct w:val="0"/>
        <w:autoSpaceDE w:val="0"/>
        <w:autoSpaceDN w:val="0"/>
        <w:adjustRightInd w:val="0"/>
        <w:ind w:left="284" w:hanging="284"/>
        <w:textAlignment w:val="baseline"/>
        <w:rPr>
          <w:bCs/>
          <w:iCs/>
        </w:rPr>
      </w:pPr>
      <w:r>
        <w:t>pide que se adopte un enfoque integrado de la seguridad europea que abarque también las dimensiones social, industrial, medioambiental y sanitaria, y se base en unos sistemas públicos sólidos y en la confianza de la ciudadanía;</w:t>
      </w:r>
    </w:p>
    <w:p w14:paraId="08708B0F" w14:textId="77777777" w:rsidR="005072F5" w:rsidRPr="0045136E" w:rsidRDefault="005072F5" w:rsidP="005072F5">
      <w:pPr>
        <w:widowControl w:val="0"/>
        <w:numPr>
          <w:ilvl w:val="0"/>
          <w:numId w:val="64"/>
        </w:numPr>
        <w:overflowPunct w:val="0"/>
        <w:autoSpaceDE w:val="0"/>
        <w:autoSpaceDN w:val="0"/>
        <w:adjustRightInd w:val="0"/>
        <w:ind w:left="284" w:hanging="284"/>
        <w:textAlignment w:val="baseline"/>
        <w:rPr>
          <w:bCs/>
          <w:iCs/>
        </w:rPr>
      </w:pPr>
      <w:r>
        <w:t>subraya la urgente necesidad de fomentar una política industrial europea común que refuerce la competitividad de la industria y respete los principios de transparencia, eficiencia y sostenibilidad. Además, pide que se adopten instrumentos específicos de financiación común.</w:t>
      </w:r>
    </w:p>
    <w:p w14:paraId="60937705" w14:textId="77777777" w:rsidR="005072F5" w:rsidRPr="0045136E" w:rsidRDefault="005072F5" w:rsidP="005072F5">
      <w:pPr>
        <w:widowControl w:val="0"/>
        <w:numPr>
          <w:ilvl w:val="0"/>
          <w:numId w:val="64"/>
        </w:numPr>
        <w:overflowPunct w:val="0"/>
        <w:autoSpaceDE w:val="0"/>
        <w:autoSpaceDN w:val="0"/>
        <w:adjustRightInd w:val="0"/>
        <w:ind w:left="284" w:hanging="284"/>
        <w:textAlignment w:val="baseline"/>
        <w:rPr>
          <w:bCs/>
          <w:iCs/>
        </w:rPr>
      </w:pPr>
      <w:r>
        <w:t>recomienda que las inversiones en defensa refuercen la base industrial y tecnológica de la defensa europea, con la participación activa de los interlocutores sociales y las pequeñas y medianas empresas. Es fundamental promover el empleo cualificado y evitar las prácticas de dumping y deslocalización nociva;</w:t>
      </w:r>
    </w:p>
    <w:p w14:paraId="1449D9FA" w14:textId="77777777" w:rsidR="005072F5" w:rsidRPr="0045136E" w:rsidRDefault="005072F5" w:rsidP="005072F5">
      <w:pPr>
        <w:widowControl w:val="0"/>
        <w:numPr>
          <w:ilvl w:val="0"/>
          <w:numId w:val="64"/>
        </w:numPr>
        <w:overflowPunct w:val="0"/>
        <w:autoSpaceDE w:val="0"/>
        <w:autoSpaceDN w:val="0"/>
        <w:adjustRightInd w:val="0"/>
        <w:ind w:left="284" w:hanging="284"/>
        <w:textAlignment w:val="baseline"/>
        <w:rPr>
          <w:bCs/>
          <w:iCs/>
        </w:rPr>
      </w:pPr>
      <w:r>
        <w:t>considera esencial velar por una coordinación adecuada entre los instrumentos de financiación europeos y el marco fiscal de la UE, permitiendo que las inversiones estratégicas, también las realizadas en el sector de la defensa, se excluyan de los cálculos del déficit;</w:t>
      </w:r>
    </w:p>
    <w:p w14:paraId="703C1985" w14:textId="77777777" w:rsidR="005072F5" w:rsidRPr="0045136E" w:rsidRDefault="005072F5" w:rsidP="005072F5">
      <w:pPr>
        <w:widowControl w:val="0"/>
        <w:numPr>
          <w:ilvl w:val="0"/>
          <w:numId w:val="64"/>
        </w:numPr>
        <w:overflowPunct w:val="0"/>
        <w:autoSpaceDE w:val="0"/>
        <w:autoSpaceDN w:val="0"/>
        <w:adjustRightInd w:val="0"/>
        <w:ind w:left="284" w:hanging="284"/>
        <w:textAlignment w:val="baseline"/>
        <w:rPr>
          <w:bCs/>
          <w:iCs/>
        </w:rPr>
      </w:pPr>
      <w:r>
        <w:t>pide a la Comisión y a los Estados miembros que garanticen la plena transparencia sobre el origen, el destino y la gobernanza de los fondos de defensa;</w:t>
      </w:r>
    </w:p>
    <w:p w14:paraId="4CABEB04" w14:textId="77777777" w:rsidR="005072F5" w:rsidRPr="0045136E" w:rsidRDefault="005072F5" w:rsidP="005072F5">
      <w:pPr>
        <w:widowControl w:val="0"/>
        <w:numPr>
          <w:ilvl w:val="0"/>
          <w:numId w:val="64"/>
        </w:numPr>
        <w:overflowPunct w:val="0"/>
        <w:autoSpaceDE w:val="0"/>
        <w:autoSpaceDN w:val="0"/>
        <w:adjustRightInd w:val="0"/>
        <w:ind w:left="284" w:hanging="284"/>
        <w:textAlignment w:val="baseline"/>
        <w:rPr>
          <w:bCs/>
          <w:iCs/>
        </w:rPr>
      </w:pPr>
      <w:r>
        <w:t>anima a crear un observatorio interinstitucional de seguridad integrada —en el que participen el CESE, el Comité de las Regiones (CDR), la Comisión Europea y el Parlamento Europeo— para hacer un seguimiento del impacto de las políticas europeas de defensa a escala territorial y la percepción del grado de confianza de la ciudadanía.</w:t>
      </w:r>
    </w:p>
    <w:p w14:paraId="7A63E146" w14:textId="77777777" w:rsidR="005072F5" w:rsidRPr="00D20AB4" w:rsidRDefault="005072F5" w:rsidP="005072F5">
      <w:pPr>
        <w:widowControl w:val="0"/>
        <w:overflowPunct w:val="0"/>
        <w:autoSpaceDE w:val="0"/>
        <w:autoSpaceDN w:val="0"/>
        <w:adjustRightInd w:val="0"/>
        <w:ind w:left="567"/>
        <w:textAlignment w:val="baseline"/>
      </w:pPr>
    </w:p>
    <w:tbl>
      <w:tblPr>
        <w:tblW w:w="9214" w:type="dxa"/>
        <w:tblLook w:val="04A0" w:firstRow="1" w:lastRow="0" w:firstColumn="1" w:lastColumn="0" w:noHBand="0" w:noVBand="1"/>
      </w:tblPr>
      <w:tblGrid>
        <w:gridCol w:w="2093"/>
        <w:gridCol w:w="7121"/>
      </w:tblGrid>
      <w:tr w:rsidR="005072F5" w:rsidRPr="0045136E" w14:paraId="21E0575D" w14:textId="77777777" w:rsidTr="00915390">
        <w:tc>
          <w:tcPr>
            <w:tcW w:w="2093" w:type="dxa"/>
          </w:tcPr>
          <w:p w14:paraId="64C63F0D" w14:textId="77777777" w:rsidR="005072F5" w:rsidRPr="0045136E" w:rsidRDefault="005072F5" w:rsidP="00915390">
            <w:pPr>
              <w:overflowPunct w:val="0"/>
              <w:autoSpaceDE w:val="0"/>
              <w:autoSpaceDN w:val="0"/>
              <w:adjustRightInd w:val="0"/>
              <w:textAlignment w:val="baseline"/>
              <w:rPr>
                <w:i/>
              </w:rPr>
            </w:pPr>
            <w:r>
              <w:rPr>
                <w:b/>
                <w:i/>
              </w:rPr>
              <w:t>Contacto:</w:t>
            </w:r>
          </w:p>
        </w:tc>
        <w:tc>
          <w:tcPr>
            <w:tcW w:w="7121" w:type="dxa"/>
          </w:tcPr>
          <w:p w14:paraId="246DC30C" w14:textId="77777777" w:rsidR="005072F5" w:rsidRPr="0045136E" w:rsidRDefault="005072F5" w:rsidP="00915390">
            <w:pPr>
              <w:overflowPunct w:val="0"/>
              <w:autoSpaceDE w:val="0"/>
              <w:autoSpaceDN w:val="0"/>
              <w:adjustRightInd w:val="0"/>
              <w:textAlignment w:val="baseline"/>
              <w:rPr>
                <w:i/>
              </w:rPr>
            </w:pPr>
            <w:r>
              <w:rPr>
                <w:i/>
              </w:rPr>
              <w:t>Annalisa Tessarolo</w:t>
            </w:r>
          </w:p>
        </w:tc>
      </w:tr>
      <w:tr w:rsidR="005072F5" w:rsidRPr="0045136E" w14:paraId="74DE4F32" w14:textId="77777777" w:rsidTr="00915390">
        <w:tc>
          <w:tcPr>
            <w:tcW w:w="2093" w:type="dxa"/>
          </w:tcPr>
          <w:p w14:paraId="36844082" w14:textId="77777777" w:rsidR="005072F5" w:rsidRPr="0045136E" w:rsidRDefault="005072F5" w:rsidP="00915390">
            <w:pPr>
              <w:overflowPunct w:val="0"/>
              <w:autoSpaceDE w:val="0"/>
              <w:autoSpaceDN w:val="0"/>
              <w:adjustRightInd w:val="0"/>
              <w:textAlignment w:val="baseline"/>
              <w:rPr>
                <w:i/>
              </w:rPr>
            </w:pPr>
            <w:r>
              <w:rPr>
                <w:i/>
              </w:rPr>
              <w:t>Teléfono:</w:t>
            </w:r>
          </w:p>
        </w:tc>
        <w:tc>
          <w:tcPr>
            <w:tcW w:w="7121" w:type="dxa"/>
          </w:tcPr>
          <w:p w14:paraId="0AAB9E23" w14:textId="77777777" w:rsidR="005072F5" w:rsidRPr="0045136E" w:rsidRDefault="005072F5" w:rsidP="00915390">
            <w:pPr>
              <w:overflowPunct w:val="0"/>
              <w:autoSpaceDE w:val="0"/>
              <w:autoSpaceDN w:val="0"/>
              <w:adjustRightInd w:val="0"/>
              <w:textAlignment w:val="baseline"/>
              <w:rPr>
                <w:i/>
              </w:rPr>
            </w:pPr>
            <w:r>
              <w:rPr>
                <w:i/>
              </w:rPr>
              <w:t>+32 2 546 9732</w:t>
            </w:r>
          </w:p>
        </w:tc>
      </w:tr>
      <w:tr w:rsidR="005072F5" w:rsidRPr="0045136E" w14:paraId="440E63F7" w14:textId="77777777" w:rsidTr="00915390">
        <w:tc>
          <w:tcPr>
            <w:tcW w:w="2093" w:type="dxa"/>
          </w:tcPr>
          <w:p w14:paraId="0F9130FF" w14:textId="77777777" w:rsidR="005072F5" w:rsidRPr="0045136E" w:rsidRDefault="005072F5" w:rsidP="00915390">
            <w:pPr>
              <w:overflowPunct w:val="0"/>
              <w:autoSpaceDE w:val="0"/>
              <w:autoSpaceDN w:val="0"/>
              <w:adjustRightInd w:val="0"/>
              <w:textAlignment w:val="baseline"/>
              <w:rPr>
                <w:i/>
              </w:rPr>
            </w:pPr>
            <w:r>
              <w:rPr>
                <w:i/>
              </w:rPr>
              <w:t>Correo electrónico:</w:t>
            </w:r>
          </w:p>
        </w:tc>
        <w:tc>
          <w:tcPr>
            <w:tcW w:w="7121" w:type="dxa"/>
          </w:tcPr>
          <w:p w14:paraId="5011559E" w14:textId="77777777" w:rsidR="005072F5" w:rsidRPr="0045136E" w:rsidRDefault="005072F5" w:rsidP="00915390">
            <w:pPr>
              <w:overflowPunct w:val="0"/>
              <w:autoSpaceDE w:val="0"/>
              <w:autoSpaceDN w:val="0"/>
              <w:adjustRightInd w:val="0"/>
              <w:textAlignment w:val="baseline"/>
              <w:rPr>
                <w:i/>
              </w:rPr>
            </w:pPr>
            <w:hyperlink r:id="rId68" w:history="1">
              <w:r>
                <w:rPr>
                  <w:i/>
                  <w:color w:val="0000FF"/>
                  <w:u w:val="single"/>
                </w:rPr>
                <w:t>Annalisa.Tessarolo@eesc.europa.eu</w:t>
              </w:r>
            </w:hyperlink>
          </w:p>
        </w:tc>
      </w:tr>
    </w:tbl>
    <w:p w14:paraId="771DE533" w14:textId="77777777" w:rsidR="005072F5" w:rsidRPr="00D20AB4" w:rsidRDefault="005072F5" w:rsidP="005072F5">
      <w:pPr>
        <w:jc w:val="left"/>
      </w:pPr>
    </w:p>
    <w:p w14:paraId="50EEDA00" w14:textId="77777777" w:rsidR="005072F5" w:rsidRPr="00D20AB4" w:rsidRDefault="005072F5" w:rsidP="005072F5">
      <w:pPr>
        <w:jc w:val="left"/>
      </w:pPr>
      <w:r>
        <w:br w:type="page"/>
      </w:r>
    </w:p>
    <w:p w14:paraId="762E113B" w14:textId="77777777" w:rsidR="005072F5" w:rsidRPr="008B7F21" w:rsidRDefault="005072F5" w:rsidP="005072F5">
      <w:pPr>
        <w:keepNext/>
        <w:widowControl w:val="0"/>
        <w:numPr>
          <w:ilvl w:val="0"/>
          <w:numId w:val="3"/>
        </w:numPr>
        <w:overflowPunct w:val="0"/>
        <w:autoSpaceDE w:val="0"/>
        <w:autoSpaceDN w:val="0"/>
        <w:adjustRightInd w:val="0"/>
        <w:ind w:hanging="567"/>
        <w:textAlignment w:val="baseline"/>
        <w:rPr>
          <w:sz w:val="20"/>
          <w:szCs w:val="20"/>
        </w:rPr>
      </w:pPr>
      <w:hyperlink r:id="rId69" w:history="1">
        <w:r>
          <w:rPr>
            <w:b/>
            <w:i/>
            <w:color w:val="0000FF"/>
            <w:sz w:val="28"/>
            <w:u w:val="single"/>
          </w:rPr>
          <w:t>Llamamiento a favor de una competencia leal en lo que respecta a las plataformas de terceros países</w:t>
        </w:r>
      </w:hyperlink>
    </w:p>
    <w:p w14:paraId="6057FF77" w14:textId="77777777" w:rsidR="005072F5" w:rsidRPr="008B7F21" w:rsidRDefault="005072F5" w:rsidP="005072F5">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58"/>
        <w:gridCol w:w="7373"/>
      </w:tblGrid>
      <w:tr w:rsidR="005072F5" w:rsidRPr="008B7F21" w14:paraId="6AD8E092" w14:textId="77777777" w:rsidTr="00915390">
        <w:trPr>
          <w:trHeight w:val="303"/>
        </w:trPr>
        <w:tc>
          <w:tcPr>
            <w:tcW w:w="1091" w:type="pct"/>
          </w:tcPr>
          <w:p w14:paraId="2AF05BF6" w14:textId="77777777" w:rsidR="005072F5" w:rsidRPr="008B7F21" w:rsidRDefault="005072F5" w:rsidP="00915390">
            <w:pPr>
              <w:keepNext/>
              <w:tabs>
                <w:tab w:val="center" w:pos="284"/>
              </w:tabs>
              <w:overflowPunct w:val="0"/>
              <w:autoSpaceDE w:val="0"/>
              <w:autoSpaceDN w:val="0"/>
              <w:adjustRightInd w:val="0"/>
              <w:ind w:left="266" w:hanging="266"/>
              <w:textAlignment w:val="baseline"/>
              <w:rPr>
                <w:b/>
              </w:rPr>
            </w:pPr>
            <w:r>
              <w:rPr>
                <w:b/>
              </w:rPr>
              <w:t>Ponente</w:t>
            </w:r>
          </w:p>
        </w:tc>
        <w:tc>
          <w:tcPr>
            <w:tcW w:w="3909" w:type="pct"/>
          </w:tcPr>
          <w:p w14:paraId="6204BD23" w14:textId="77777777" w:rsidR="005072F5" w:rsidRPr="008B7F21" w:rsidRDefault="005072F5" w:rsidP="00915390">
            <w:pPr>
              <w:keepNext/>
              <w:tabs>
                <w:tab w:val="center" w:pos="0"/>
              </w:tabs>
              <w:overflowPunct w:val="0"/>
              <w:autoSpaceDE w:val="0"/>
              <w:autoSpaceDN w:val="0"/>
              <w:adjustRightInd w:val="0"/>
              <w:ind w:left="266" w:hanging="266"/>
              <w:textAlignment w:val="baseline"/>
            </w:pPr>
            <w:r>
              <w:t>Antje GERSTEIN (Grupo de Empresarios – DE)</w:t>
            </w:r>
          </w:p>
        </w:tc>
      </w:tr>
      <w:tr w:rsidR="005072F5" w:rsidRPr="008B7F21" w14:paraId="1206C065" w14:textId="77777777" w:rsidTr="00915390">
        <w:tc>
          <w:tcPr>
            <w:tcW w:w="1091" w:type="pct"/>
          </w:tcPr>
          <w:p w14:paraId="1D2C40B8" w14:textId="77777777" w:rsidR="005072F5" w:rsidRPr="008B7F21" w:rsidRDefault="005072F5" w:rsidP="00915390">
            <w:pPr>
              <w:keepNext/>
              <w:tabs>
                <w:tab w:val="center" w:pos="284"/>
              </w:tabs>
              <w:overflowPunct w:val="0"/>
              <w:autoSpaceDE w:val="0"/>
              <w:autoSpaceDN w:val="0"/>
              <w:adjustRightInd w:val="0"/>
              <w:ind w:left="266" w:hanging="266"/>
              <w:textAlignment w:val="baseline"/>
              <w:rPr>
                <w:b/>
              </w:rPr>
            </w:pPr>
            <w:r>
              <w:rPr>
                <w:b/>
              </w:rPr>
              <w:t>Referencia</w:t>
            </w:r>
          </w:p>
        </w:tc>
        <w:tc>
          <w:tcPr>
            <w:tcW w:w="3909" w:type="pct"/>
          </w:tcPr>
          <w:p w14:paraId="45BB9A1A" w14:textId="77777777" w:rsidR="005072F5" w:rsidRPr="008B7F21" w:rsidRDefault="005072F5" w:rsidP="00915390">
            <w:pPr>
              <w:keepNext/>
              <w:tabs>
                <w:tab w:val="center" w:pos="284"/>
              </w:tabs>
              <w:overflowPunct w:val="0"/>
              <w:autoSpaceDE w:val="0"/>
              <w:autoSpaceDN w:val="0"/>
              <w:adjustRightInd w:val="0"/>
              <w:ind w:left="266" w:hanging="266"/>
              <w:textAlignment w:val="baseline"/>
            </w:pPr>
            <w:r>
              <w:t>Dictamen de iniciativa</w:t>
            </w:r>
          </w:p>
          <w:p w14:paraId="4913A752" w14:textId="77777777" w:rsidR="005072F5" w:rsidRPr="008B7F21" w:rsidRDefault="005072F5" w:rsidP="00915390">
            <w:pPr>
              <w:keepNext/>
              <w:tabs>
                <w:tab w:val="center" w:pos="284"/>
              </w:tabs>
              <w:overflowPunct w:val="0"/>
              <w:autoSpaceDE w:val="0"/>
              <w:autoSpaceDN w:val="0"/>
              <w:adjustRightInd w:val="0"/>
              <w:ind w:left="266" w:hanging="266"/>
              <w:textAlignment w:val="baseline"/>
            </w:pPr>
            <w:r>
              <w:t>EESC-2025-00882-00-00-AC</w:t>
            </w:r>
          </w:p>
        </w:tc>
      </w:tr>
    </w:tbl>
    <w:p w14:paraId="280FA0BC" w14:textId="77777777" w:rsidR="005072F5" w:rsidRPr="008B7F21"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7A960F0E" w14:textId="77777777" w:rsidR="005072F5" w:rsidRPr="008B7F21"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69CC8638" w14:textId="77777777" w:rsidR="005072F5" w:rsidRPr="008B7F21" w:rsidRDefault="005072F5" w:rsidP="005072F5">
      <w:pPr>
        <w:keepNext/>
        <w:keepLines/>
        <w:tabs>
          <w:tab w:val="center" w:pos="284"/>
        </w:tabs>
        <w:overflowPunct w:val="0"/>
        <w:autoSpaceDE w:val="0"/>
        <w:autoSpaceDN w:val="0"/>
        <w:adjustRightInd w:val="0"/>
        <w:ind w:left="266" w:hanging="266"/>
        <w:textAlignment w:val="baseline"/>
        <w:rPr>
          <w:bCs/>
          <w:lang w:val="en-GB"/>
        </w:rPr>
      </w:pPr>
    </w:p>
    <w:p w14:paraId="6645EF2E" w14:textId="77777777" w:rsidR="005072F5" w:rsidRDefault="005072F5" w:rsidP="005072F5">
      <w:pPr>
        <w:overflowPunct w:val="0"/>
        <w:autoSpaceDE w:val="0"/>
        <w:autoSpaceDN w:val="0"/>
        <w:adjustRightInd w:val="0"/>
        <w:textAlignment w:val="baseline"/>
      </w:pPr>
      <w:r>
        <w:t>El CESE:</w:t>
      </w:r>
    </w:p>
    <w:p w14:paraId="23F59393" w14:textId="77777777" w:rsidR="005072F5" w:rsidRPr="008B7F21" w:rsidRDefault="005072F5" w:rsidP="005072F5">
      <w:pPr>
        <w:overflowPunct w:val="0"/>
        <w:autoSpaceDE w:val="0"/>
        <w:autoSpaceDN w:val="0"/>
        <w:adjustRightInd w:val="0"/>
        <w:textAlignment w:val="baseline"/>
        <w:rPr>
          <w:bCs/>
          <w:iCs/>
        </w:rPr>
      </w:pPr>
    </w:p>
    <w:p w14:paraId="1F2B3C68" w14:textId="77777777" w:rsidR="005072F5" w:rsidRPr="008B7F21" w:rsidRDefault="005072F5" w:rsidP="005072F5">
      <w:pPr>
        <w:numPr>
          <w:ilvl w:val="0"/>
          <w:numId w:val="65"/>
        </w:numPr>
        <w:overflowPunct w:val="0"/>
        <w:autoSpaceDE w:val="0"/>
        <w:autoSpaceDN w:val="0"/>
        <w:adjustRightInd w:val="0"/>
        <w:ind w:left="284" w:hanging="284"/>
        <w:contextualSpacing/>
        <w:textAlignment w:val="baseline"/>
        <w:rPr>
          <w:bCs/>
          <w:iCs/>
        </w:rPr>
      </w:pPr>
      <w:r>
        <w:t>observa con preocupación la expansión de plataformas de comercio electrónico de terceros países, como Temu y Shein, lo que plantea importantes retos en relación con la competencia leal, la protección de los consumidores y el cumplimiento de la normativa;</w:t>
      </w:r>
    </w:p>
    <w:p w14:paraId="58B918A1" w14:textId="77777777" w:rsidR="005072F5" w:rsidRPr="008B7F21" w:rsidRDefault="005072F5" w:rsidP="005072F5">
      <w:pPr>
        <w:numPr>
          <w:ilvl w:val="0"/>
          <w:numId w:val="65"/>
        </w:numPr>
        <w:overflowPunct w:val="0"/>
        <w:autoSpaceDE w:val="0"/>
        <w:autoSpaceDN w:val="0"/>
        <w:adjustRightInd w:val="0"/>
        <w:ind w:left="284" w:hanging="284"/>
        <w:contextualSpacing/>
        <w:textAlignment w:val="baseline"/>
        <w:rPr>
          <w:bCs/>
          <w:iCs/>
        </w:rPr>
      </w:pPr>
      <w:r>
        <w:t>pide poner en aplicación con celeridad el conjunto de instrumentos de la UE para un comercio electrónico seguro y sostenible de la Comisión, para proteger nuestro mercado único; adoptar un enfoque coordinado, y aplicar con mayor rigor las normas vigentes a escala de la UE, nacional y regional;</w:t>
      </w:r>
    </w:p>
    <w:p w14:paraId="4FF2B0D4" w14:textId="77777777" w:rsidR="005072F5" w:rsidRPr="008B7F21" w:rsidRDefault="005072F5" w:rsidP="005072F5">
      <w:pPr>
        <w:numPr>
          <w:ilvl w:val="0"/>
          <w:numId w:val="65"/>
        </w:numPr>
        <w:overflowPunct w:val="0"/>
        <w:autoSpaceDE w:val="0"/>
        <w:autoSpaceDN w:val="0"/>
        <w:adjustRightInd w:val="0"/>
        <w:ind w:left="284" w:hanging="284"/>
        <w:contextualSpacing/>
        <w:textAlignment w:val="baseline"/>
        <w:rPr>
          <w:bCs/>
          <w:iCs/>
        </w:rPr>
      </w:pPr>
      <w:r>
        <w:t>aboga por poner en aplicación con la mayor celeridad posible la reforma aduanera de la UE, en particular las disposiciones relativas al comercio electrónico, e insta a los Estados miembros de la UE a que otorguen inmediatamente a la Comisión el mandato de desarrollar el Centro Aduanero de Datos;</w:t>
      </w:r>
    </w:p>
    <w:p w14:paraId="2C7694C7" w14:textId="77777777" w:rsidR="005072F5" w:rsidRPr="008B7F21" w:rsidRDefault="005072F5" w:rsidP="005072F5">
      <w:pPr>
        <w:numPr>
          <w:ilvl w:val="0"/>
          <w:numId w:val="65"/>
        </w:numPr>
        <w:overflowPunct w:val="0"/>
        <w:autoSpaceDE w:val="0"/>
        <w:autoSpaceDN w:val="0"/>
        <w:adjustRightInd w:val="0"/>
        <w:ind w:left="284" w:hanging="284"/>
        <w:contextualSpacing/>
        <w:textAlignment w:val="baseline"/>
        <w:rPr>
          <w:bCs/>
          <w:iCs/>
        </w:rPr>
      </w:pPr>
      <w:r>
        <w:t>insiste en que todas las plataformas de terceros países deben designar a un operador económico responsable con sede en la UE y plena responsabilidad jurídica y gozar de reconocimiento como agentes centrales en los procedimientos de devolución de la cadena de suministro;</w:t>
      </w:r>
    </w:p>
    <w:p w14:paraId="5C364F03" w14:textId="77777777" w:rsidR="005072F5" w:rsidRPr="008B7F21" w:rsidRDefault="005072F5" w:rsidP="005072F5">
      <w:pPr>
        <w:numPr>
          <w:ilvl w:val="0"/>
          <w:numId w:val="65"/>
        </w:numPr>
        <w:overflowPunct w:val="0"/>
        <w:autoSpaceDE w:val="0"/>
        <w:autoSpaceDN w:val="0"/>
        <w:adjustRightInd w:val="0"/>
        <w:ind w:left="284" w:hanging="284"/>
        <w:contextualSpacing/>
        <w:textAlignment w:val="baseline"/>
        <w:rPr>
          <w:bCs/>
          <w:iCs/>
        </w:rPr>
      </w:pPr>
      <w:r>
        <w:t>pide un control más estricto del cumplimiento de la normativa en materia de protección de los consumidores y de la Directiva relativa a la indicación de precios en respuesta a las infracciones reiteradas cometidas por plataformas que incumplen tanto esa normativa como las normas de la UE en materia de residuos y envases, ya que trasladan los costes de eliminación a terceros;</w:t>
      </w:r>
    </w:p>
    <w:p w14:paraId="2A821330" w14:textId="77777777" w:rsidR="005072F5" w:rsidRPr="008B7F21" w:rsidRDefault="005072F5" w:rsidP="005072F5">
      <w:pPr>
        <w:numPr>
          <w:ilvl w:val="0"/>
          <w:numId w:val="65"/>
        </w:numPr>
        <w:overflowPunct w:val="0"/>
        <w:autoSpaceDE w:val="0"/>
        <w:autoSpaceDN w:val="0"/>
        <w:adjustRightInd w:val="0"/>
        <w:ind w:left="284" w:hanging="284"/>
        <w:contextualSpacing/>
        <w:textAlignment w:val="baseline"/>
        <w:rPr>
          <w:bCs/>
          <w:iCs/>
        </w:rPr>
      </w:pPr>
      <w:r>
        <w:t>propone una serie de medidas concretas a corto, medio y largo plazo que propicien una competencia leal y permitan así cumplir los requisitos para una economía social de mercado establecidos en el artículo 3, apartado 3, del TUE.</w:t>
      </w:r>
    </w:p>
    <w:p w14:paraId="5B26DDE5" w14:textId="77777777" w:rsidR="005072F5" w:rsidRPr="008B7F21" w:rsidRDefault="005072F5" w:rsidP="005072F5">
      <w:pPr>
        <w:ind w:left="567"/>
        <w:contextualSpacing/>
        <w:rPr>
          <w:bCs/>
          <w:iCs/>
          <w:lang w:val="en-GB"/>
        </w:rPr>
      </w:pPr>
    </w:p>
    <w:tbl>
      <w:tblPr>
        <w:tblW w:w="5000" w:type="pct"/>
        <w:tblLook w:val="04A0" w:firstRow="1" w:lastRow="0" w:firstColumn="1" w:lastColumn="0" w:noHBand="0" w:noVBand="1"/>
      </w:tblPr>
      <w:tblGrid>
        <w:gridCol w:w="2235"/>
        <w:gridCol w:w="7196"/>
      </w:tblGrid>
      <w:tr w:rsidR="005072F5" w:rsidRPr="008B7F21" w14:paraId="0EA737EA" w14:textId="77777777" w:rsidTr="00915390">
        <w:tc>
          <w:tcPr>
            <w:tcW w:w="1185" w:type="pct"/>
          </w:tcPr>
          <w:p w14:paraId="7D1B82A3" w14:textId="77777777" w:rsidR="005072F5" w:rsidRPr="008B7F21" w:rsidRDefault="005072F5" w:rsidP="00915390">
            <w:pPr>
              <w:overflowPunct w:val="0"/>
              <w:autoSpaceDE w:val="0"/>
              <w:autoSpaceDN w:val="0"/>
              <w:adjustRightInd w:val="0"/>
              <w:textAlignment w:val="baseline"/>
              <w:rPr>
                <w:i/>
              </w:rPr>
            </w:pPr>
            <w:r>
              <w:rPr>
                <w:b/>
                <w:i/>
              </w:rPr>
              <w:t>Contacto:</w:t>
            </w:r>
          </w:p>
        </w:tc>
        <w:tc>
          <w:tcPr>
            <w:tcW w:w="3815" w:type="pct"/>
          </w:tcPr>
          <w:p w14:paraId="236FAF5D" w14:textId="77777777" w:rsidR="005072F5" w:rsidRPr="008B7F21" w:rsidRDefault="005072F5" w:rsidP="00915390">
            <w:pPr>
              <w:overflowPunct w:val="0"/>
              <w:autoSpaceDE w:val="0"/>
              <w:autoSpaceDN w:val="0"/>
              <w:adjustRightInd w:val="0"/>
              <w:textAlignment w:val="baseline"/>
              <w:rPr>
                <w:i/>
              </w:rPr>
            </w:pPr>
            <w:r>
              <w:rPr>
                <w:i/>
              </w:rPr>
              <w:t>Radoslava Stefankova</w:t>
            </w:r>
          </w:p>
        </w:tc>
      </w:tr>
      <w:tr w:rsidR="005072F5" w:rsidRPr="008B7F21" w14:paraId="679D875E" w14:textId="77777777" w:rsidTr="00915390">
        <w:tc>
          <w:tcPr>
            <w:tcW w:w="1185" w:type="pct"/>
          </w:tcPr>
          <w:p w14:paraId="4018B72B" w14:textId="77777777" w:rsidR="005072F5" w:rsidRPr="008B7F21" w:rsidRDefault="005072F5" w:rsidP="00915390">
            <w:pPr>
              <w:overflowPunct w:val="0"/>
              <w:autoSpaceDE w:val="0"/>
              <w:autoSpaceDN w:val="0"/>
              <w:adjustRightInd w:val="0"/>
              <w:textAlignment w:val="baseline"/>
              <w:rPr>
                <w:i/>
              </w:rPr>
            </w:pPr>
            <w:r>
              <w:rPr>
                <w:i/>
              </w:rPr>
              <w:t>Teléfono:</w:t>
            </w:r>
          </w:p>
        </w:tc>
        <w:tc>
          <w:tcPr>
            <w:tcW w:w="3815" w:type="pct"/>
          </w:tcPr>
          <w:p w14:paraId="0F37B814" w14:textId="77777777" w:rsidR="005072F5" w:rsidRPr="008B7F21" w:rsidRDefault="005072F5" w:rsidP="00915390">
            <w:pPr>
              <w:overflowPunct w:val="0"/>
              <w:autoSpaceDE w:val="0"/>
              <w:autoSpaceDN w:val="0"/>
              <w:adjustRightInd w:val="0"/>
              <w:textAlignment w:val="baseline"/>
              <w:rPr>
                <w:i/>
              </w:rPr>
            </w:pPr>
            <w:r>
              <w:rPr>
                <w:i/>
              </w:rPr>
              <w:t>+ 32 2 546 8188</w:t>
            </w:r>
          </w:p>
        </w:tc>
      </w:tr>
      <w:tr w:rsidR="005072F5" w:rsidRPr="008B7F21" w14:paraId="1ED54830" w14:textId="77777777" w:rsidTr="00915390">
        <w:tc>
          <w:tcPr>
            <w:tcW w:w="1185" w:type="pct"/>
          </w:tcPr>
          <w:p w14:paraId="215F1284" w14:textId="77777777" w:rsidR="005072F5" w:rsidRPr="008B7F21" w:rsidRDefault="005072F5" w:rsidP="00915390">
            <w:pPr>
              <w:overflowPunct w:val="0"/>
              <w:autoSpaceDE w:val="0"/>
              <w:autoSpaceDN w:val="0"/>
              <w:adjustRightInd w:val="0"/>
              <w:textAlignment w:val="baseline"/>
              <w:rPr>
                <w:i/>
              </w:rPr>
            </w:pPr>
            <w:r>
              <w:rPr>
                <w:i/>
              </w:rPr>
              <w:t>Correo electrónico:</w:t>
            </w:r>
          </w:p>
        </w:tc>
        <w:tc>
          <w:tcPr>
            <w:tcW w:w="3815" w:type="pct"/>
          </w:tcPr>
          <w:p w14:paraId="575624F9" w14:textId="77777777" w:rsidR="005072F5" w:rsidRPr="008B7F21" w:rsidRDefault="005072F5" w:rsidP="00915390">
            <w:pPr>
              <w:overflowPunct w:val="0"/>
              <w:autoSpaceDE w:val="0"/>
              <w:autoSpaceDN w:val="0"/>
              <w:adjustRightInd w:val="0"/>
              <w:textAlignment w:val="baseline"/>
              <w:rPr>
                <w:i/>
                <w:iCs/>
              </w:rPr>
            </w:pPr>
            <w:hyperlink r:id="rId70" w:history="1">
              <w:r>
                <w:rPr>
                  <w:i/>
                  <w:color w:val="0000FF"/>
                  <w:u w:val="single"/>
                </w:rPr>
                <w:t>Radoslava.Stefankova@eesc.europa.eu</w:t>
              </w:r>
            </w:hyperlink>
          </w:p>
        </w:tc>
      </w:tr>
    </w:tbl>
    <w:p w14:paraId="773F2A35" w14:textId="77777777" w:rsidR="005072F5" w:rsidRDefault="005072F5" w:rsidP="005072F5">
      <w:pPr>
        <w:jc w:val="left"/>
        <w:rPr>
          <w:b/>
          <w:i/>
          <w:sz w:val="28"/>
          <w:szCs w:val="28"/>
          <w:lang w:val="en-GB"/>
        </w:rPr>
      </w:pPr>
    </w:p>
    <w:p w14:paraId="4D432C1D" w14:textId="77777777" w:rsidR="005072F5" w:rsidRDefault="005072F5" w:rsidP="005072F5">
      <w:pPr>
        <w:jc w:val="left"/>
        <w:rPr>
          <w:b/>
          <w:i/>
          <w:sz w:val="28"/>
          <w:szCs w:val="28"/>
        </w:rPr>
      </w:pPr>
      <w:r>
        <w:br w:type="page"/>
      </w:r>
    </w:p>
    <w:p w14:paraId="25002DED" w14:textId="77777777" w:rsidR="005072F5" w:rsidRPr="00856DC3" w:rsidRDefault="005072F5" w:rsidP="005072F5">
      <w:pPr>
        <w:keepNext/>
        <w:widowControl w:val="0"/>
        <w:numPr>
          <w:ilvl w:val="0"/>
          <w:numId w:val="3"/>
        </w:numPr>
        <w:overflowPunct w:val="0"/>
        <w:autoSpaceDE w:val="0"/>
        <w:autoSpaceDN w:val="0"/>
        <w:adjustRightInd w:val="0"/>
        <w:ind w:hanging="567"/>
        <w:textAlignment w:val="baseline"/>
        <w:rPr>
          <w:b/>
          <w:bCs/>
          <w:i/>
          <w:iCs/>
          <w:sz w:val="28"/>
          <w:szCs w:val="28"/>
        </w:rPr>
      </w:pPr>
      <w:hyperlink r:id="rId71" w:tgtFrame="_blank" w:history="1">
        <w:r>
          <w:rPr>
            <w:b/>
            <w:i/>
            <w:color w:val="0000FF"/>
            <w:sz w:val="28"/>
            <w:u w:val="single"/>
          </w:rPr>
          <w:t>Paquete ómnibus de defensa</w:t>
        </w:r>
      </w:hyperlink>
    </w:p>
    <w:p w14:paraId="12EEAB53" w14:textId="77777777" w:rsidR="005072F5" w:rsidRPr="00856DC3" w:rsidRDefault="005072F5" w:rsidP="005072F5">
      <w:pPr>
        <w:keepNext/>
        <w:widowControl w:val="0"/>
        <w:overflowPunct w:val="0"/>
        <w:autoSpaceDE w:val="0"/>
        <w:autoSpaceDN w:val="0"/>
        <w:adjustRightInd w:val="0"/>
        <w:ind w:left="567"/>
        <w:textAlignment w:val="baseline"/>
        <w:rPr>
          <w:b/>
          <w:lang w:val="en-GB"/>
        </w:rPr>
      </w:pPr>
    </w:p>
    <w:tbl>
      <w:tblPr>
        <w:tblW w:w="9322" w:type="dxa"/>
        <w:tblLook w:val="04A0" w:firstRow="1" w:lastRow="0" w:firstColumn="1" w:lastColumn="0" w:noHBand="0" w:noVBand="1"/>
      </w:tblPr>
      <w:tblGrid>
        <w:gridCol w:w="1701"/>
        <w:gridCol w:w="7621"/>
      </w:tblGrid>
      <w:tr w:rsidR="005072F5" w:rsidRPr="00856DC3" w14:paraId="3C5DBEDC" w14:textId="77777777" w:rsidTr="00915390">
        <w:tc>
          <w:tcPr>
            <w:tcW w:w="1701" w:type="dxa"/>
          </w:tcPr>
          <w:p w14:paraId="692F5AE7" w14:textId="77777777" w:rsidR="005072F5" w:rsidRPr="00856DC3" w:rsidRDefault="005072F5" w:rsidP="00915390">
            <w:pPr>
              <w:keepNext/>
              <w:tabs>
                <w:tab w:val="center" w:pos="284"/>
              </w:tabs>
              <w:overflowPunct w:val="0"/>
              <w:autoSpaceDE w:val="0"/>
              <w:autoSpaceDN w:val="0"/>
              <w:adjustRightInd w:val="0"/>
              <w:ind w:left="266" w:hanging="266"/>
              <w:textAlignment w:val="baseline"/>
              <w:rPr>
                <w:b/>
              </w:rPr>
            </w:pPr>
            <w:r>
              <w:rPr>
                <w:b/>
              </w:rPr>
              <w:t>Ponente</w:t>
            </w:r>
          </w:p>
        </w:tc>
        <w:tc>
          <w:tcPr>
            <w:tcW w:w="7621" w:type="dxa"/>
          </w:tcPr>
          <w:p w14:paraId="58BF4242" w14:textId="77777777" w:rsidR="005072F5" w:rsidRPr="00856DC3" w:rsidRDefault="005072F5" w:rsidP="00915390">
            <w:pPr>
              <w:keepNext/>
              <w:tabs>
                <w:tab w:val="center" w:pos="284"/>
              </w:tabs>
              <w:overflowPunct w:val="0"/>
              <w:autoSpaceDE w:val="0"/>
              <w:autoSpaceDN w:val="0"/>
              <w:adjustRightInd w:val="0"/>
              <w:ind w:left="266" w:hanging="266"/>
              <w:textAlignment w:val="baseline"/>
            </w:pPr>
            <w:r>
              <w:t>Maurizio MENSI (Grupo de Organizaciones de la Sociedad Civil – IT)</w:t>
            </w:r>
          </w:p>
        </w:tc>
      </w:tr>
      <w:tr w:rsidR="005072F5" w:rsidRPr="005823B7" w14:paraId="17FD9897" w14:textId="77777777" w:rsidTr="00915390">
        <w:tc>
          <w:tcPr>
            <w:tcW w:w="1701" w:type="dxa"/>
            <w:vMerge w:val="restart"/>
          </w:tcPr>
          <w:p w14:paraId="736FD270" w14:textId="77777777" w:rsidR="005072F5" w:rsidRPr="00856DC3" w:rsidRDefault="005072F5" w:rsidP="00915390">
            <w:pPr>
              <w:keepNext/>
              <w:tabs>
                <w:tab w:val="center" w:pos="284"/>
              </w:tabs>
              <w:overflowPunct w:val="0"/>
              <w:autoSpaceDE w:val="0"/>
              <w:autoSpaceDN w:val="0"/>
              <w:adjustRightInd w:val="0"/>
              <w:ind w:left="266" w:hanging="266"/>
              <w:textAlignment w:val="baseline"/>
              <w:rPr>
                <w:b/>
              </w:rPr>
            </w:pPr>
            <w:r>
              <w:rPr>
                <w:b/>
              </w:rPr>
              <w:t>Referencias</w:t>
            </w:r>
          </w:p>
        </w:tc>
        <w:tc>
          <w:tcPr>
            <w:tcW w:w="7621" w:type="dxa"/>
          </w:tcPr>
          <w:p w14:paraId="23E90EB2" w14:textId="77777777" w:rsidR="005072F5" w:rsidRPr="00856DC3" w:rsidRDefault="005072F5" w:rsidP="00915390">
            <w:pPr>
              <w:keepNext/>
              <w:tabs>
                <w:tab w:val="center" w:pos="284"/>
              </w:tabs>
              <w:overflowPunct w:val="0"/>
              <w:autoSpaceDE w:val="0"/>
              <w:autoSpaceDN w:val="0"/>
              <w:adjustRightInd w:val="0"/>
              <w:ind w:left="266" w:hanging="266"/>
              <w:textAlignment w:val="baseline"/>
            </w:pPr>
            <w:r>
              <w:t>COM (2025) 821 final</w:t>
            </w:r>
          </w:p>
          <w:p w14:paraId="3EE58DD1" w14:textId="77777777" w:rsidR="005072F5" w:rsidRPr="00856DC3" w:rsidRDefault="005072F5" w:rsidP="00915390">
            <w:pPr>
              <w:keepNext/>
              <w:tabs>
                <w:tab w:val="center" w:pos="284"/>
              </w:tabs>
              <w:overflowPunct w:val="0"/>
              <w:autoSpaceDE w:val="0"/>
              <w:autoSpaceDN w:val="0"/>
              <w:adjustRightInd w:val="0"/>
              <w:ind w:left="266" w:hanging="266"/>
              <w:textAlignment w:val="baseline"/>
            </w:pPr>
            <w:r>
              <w:t>COM (2025) 822 final</w:t>
            </w:r>
          </w:p>
          <w:p w14:paraId="077E6BE3" w14:textId="77777777" w:rsidR="005072F5" w:rsidRPr="00EA2195" w:rsidRDefault="005072F5" w:rsidP="00915390">
            <w:pPr>
              <w:keepNext/>
              <w:tabs>
                <w:tab w:val="center" w:pos="284"/>
              </w:tabs>
              <w:overflowPunct w:val="0"/>
              <w:autoSpaceDE w:val="0"/>
              <w:autoSpaceDN w:val="0"/>
              <w:adjustRightInd w:val="0"/>
              <w:ind w:left="266" w:hanging="266"/>
              <w:textAlignment w:val="baseline"/>
            </w:pPr>
            <w:r>
              <w:t>COM (2025) 823 final</w:t>
            </w:r>
          </w:p>
        </w:tc>
      </w:tr>
      <w:tr w:rsidR="005072F5" w:rsidRPr="00856DC3" w14:paraId="693F5AD7" w14:textId="77777777" w:rsidTr="00915390">
        <w:tc>
          <w:tcPr>
            <w:tcW w:w="1701" w:type="dxa"/>
            <w:vMerge/>
          </w:tcPr>
          <w:p w14:paraId="76D3AA60" w14:textId="77777777" w:rsidR="005072F5" w:rsidRPr="00EA2195" w:rsidRDefault="005072F5" w:rsidP="00915390">
            <w:pPr>
              <w:keepNext/>
              <w:tabs>
                <w:tab w:val="center" w:pos="284"/>
              </w:tabs>
              <w:overflowPunct w:val="0"/>
              <w:autoSpaceDE w:val="0"/>
              <w:autoSpaceDN w:val="0"/>
              <w:adjustRightInd w:val="0"/>
              <w:ind w:left="266" w:hanging="266"/>
              <w:textAlignment w:val="baseline"/>
              <w:rPr>
                <w:b/>
                <w:lang w:val="pt-PT"/>
              </w:rPr>
            </w:pPr>
          </w:p>
        </w:tc>
        <w:tc>
          <w:tcPr>
            <w:tcW w:w="7621" w:type="dxa"/>
          </w:tcPr>
          <w:p w14:paraId="313C16B1" w14:textId="77777777" w:rsidR="005072F5" w:rsidRPr="00856DC3" w:rsidRDefault="005072F5" w:rsidP="00915390">
            <w:pPr>
              <w:keepNext/>
              <w:tabs>
                <w:tab w:val="center" w:pos="284"/>
              </w:tabs>
              <w:overflowPunct w:val="0"/>
              <w:autoSpaceDE w:val="0"/>
              <w:autoSpaceDN w:val="0"/>
              <w:adjustRightInd w:val="0"/>
              <w:ind w:left="266" w:hanging="266"/>
              <w:textAlignment w:val="baseline"/>
            </w:pPr>
            <w:r>
              <w:t>EESC-2025-02672-00-00-AC</w:t>
            </w:r>
          </w:p>
        </w:tc>
      </w:tr>
    </w:tbl>
    <w:p w14:paraId="3E8CE271" w14:textId="77777777" w:rsidR="005072F5" w:rsidRPr="00856DC3"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3DD7D7F3" w14:textId="77777777" w:rsidR="005072F5" w:rsidRPr="00856DC3"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1C846962" w14:textId="77777777" w:rsidR="005072F5" w:rsidRPr="00856DC3"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1ECBA1DB" w14:textId="77777777" w:rsidR="005072F5" w:rsidRDefault="005072F5" w:rsidP="005072F5">
      <w:pPr>
        <w:overflowPunct w:val="0"/>
        <w:autoSpaceDE w:val="0"/>
        <w:autoSpaceDN w:val="0"/>
        <w:adjustRightInd w:val="0"/>
        <w:textAlignment w:val="baseline"/>
      </w:pPr>
      <w:r>
        <w:t>El CESE:</w:t>
      </w:r>
    </w:p>
    <w:p w14:paraId="050D0C74" w14:textId="77777777" w:rsidR="005072F5" w:rsidRPr="00856DC3" w:rsidRDefault="005072F5" w:rsidP="005072F5">
      <w:pPr>
        <w:overflowPunct w:val="0"/>
        <w:autoSpaceDE w:val="0"/>
        <w:autoSpaceDN w:val="0"/>
        <w:adjustRightInd w:val="0"/>
        <w:textAlignment w:val="baseline"/>
        <w:rPr>
          <w:bCs/>
          <w:iCs/>
        </w:rPr>
      </w:pPr>
    </w:p>
    <w:p w14:paraId="60A372F7" w14:textId="77777777" w:rsidR="005072F5" w:rsidRPr="00856DC3" w:rsidRDefault="005072F5" w:rsidP="005072F5">
      <w:pPr>
        <w:numPr>
          <w:ilvl w:val="0"/>
          <w:numId w:val="66"/>
        </w:numPr>
        <w:overflowPunct w:val="0"/>
        <w:autoSpaceDE w:val="0"/>
        <w:autoSpaceDN w:val="0"/>
        <w:adjustRightInd w:val="0"/>
        <w:ind w:left="284" w:hanging="284"/>
        <w:contextualSpacing/>
        <w:textAlignment w:val="baseline"/>
      </w:pPr>
      <w:r>
        <w:t>subraya la necesidad de prever mecanismos de verificación en relación con la aplicación a escala nacional de los ajustes propuestos al marco regulador;</w:t>
      </w:r>
    </w:p>
    <w:p w14:paraId="797E49BD" w14:textId="77777777" w:rsidR="005072F5" w:rsidRPr="00856DC3" w:rsidRDefault="005072F5" w:rsidP="005072F5">
      <w:pPr>
        <w:numPr>
          <w:ilvl w:val="0"/>
          <w:numId w:val="66"/>
        </w:numPr>
        <w:overflowPunct w:val="0"/>
        <w:autoSpaceDE w:val="0"/>
        <w:autoSpaceDN w:val="0"/>
        <w:adjustRightInd w:val="0"/>
        <w:ind w:left="284" w:hanging="284"/>
        <w:contextualSpacing/>
        <w:textAlignment w:val="baseline"/>
      </w:pPr>
      <w:r>
        <w:t>recomienda que se refuerce el Reglamento relativo a la aceleración de la concesión de autorizaciones;</w:t>
      </w:r>
    </w:p>
    <w:p w14:paraId="7CDFD9F5" w14:textId="77777777" w:rsidR="005072F5" w:rsidRPr="00856DC3" w:rsidRDefault="005072F5" w:rsidP="005072F5">
      <w:pPr>
        <w:numPr>
          <w:ilvl w:val="0"/>
          <w:numId w:val="66"/>
        </w:numPr>
        <w:overflowPunct w:val="0"/>
        <w:autoSpaceDE w:val="0"/>
        <w:autoSpaceDN w:val="0"/>
        <w:adjustRightInd w:val="0"/>
        <w:ind w:left="284" w:hanging="284"/>
        <w:contextualSpacing/>
        <w:textAlignment w:val="baseline"/>
      </w:pPr>
      <w:r>
        <w:t>recomienda el uso sistemático y prioritario de las licencias de transferencia generales en todos los proyectos financiados o coordinados a escala de la UE, así como su uso generalizado y armonizado en los sistemas nacionales;</w:t>
      </w:r>
    </w:p>
    <w:p w14:paraId="32B98769" w14:textId="77777777" w:rsidR="005072F5" w:rsidRPr="00856DC3" w:rsidRDefault="005072F5" w:rsidP="005072F5">
      <w:pPr>
        <w:numPr>
          <w:ilvl w:val="0"/>
          <w:numId w:val="66"/>
        </w:numPr>
        <w:overflowPunct w:val="0"/>
        <w:autoSpaceDE w:val="0"/>
        <w:autoSpaceDN w:val="0"/>
        <w:adjustRightInd w:val="0"/>
        <w:ind w:left="284" w:hanging="284"/>
        <w:contextualSpacing/>
        <w:textAlignment w:val="baseline"/>
      </w:pPr>
      <w:r>
        <w:t>recomienda que se revise la eficacia de las medidas de simplificación;</w:t>
      </w:r>
    </w:p>
    <w:p w14:paraId="128CA748" w14:textId="77777777" w:rsidR="005072F5" w:rsidRPr="00856DC3" w:rsidRDefault="005072F5" w:rsidP="005072F5">
      <w:pPr>
        <w:numPr>
          <w:ilvl w:val="0"/>
          <w:numId w:val="66"/>
        </w:numPr>
        <w:overflowPunct w:val="0"/>
        <w:autoSpaceDE w:val="0"/>
        <w:autoSpaceDN w:val="0"/>
        <w:adjustRightInd w:val="0"/>
        <w:ind w:left="284" w:hanging="284"/>
        <w:contextualSpacing/>
        <w:textAlignment w:val="baseline"/>
      </w:pPr>
      <w:r>
        <w:t>recomienda que la posibilidad de que los Estados miembros autoricen excepciones nacionales «por razones de defensa» respecto de sustancias químicas esté sujeta a procedimientos adecuados de control y compatibilidad ambientales;</w:t>
      </w:r>
    </w:p>
    <w:p w14:paraId="38FA2A5B" w14:textId="77777777" w:rsidR="005072F5" w:rsidRPr="00856DC3" w:rsidRDefault="005072F5" w:rsidP="005072F5">
      <w:pPr>
        <w:numPr>
          <w:ilvl w:val="0"/>
          <w:numId w:val="66"/>
        </w:numPr>
        <w:overflowPunct w:val="0"/>
        <w:autoSpaceDE w:val="0"/>
        <w:autoSpaceDN w:val="0"/>
        <w:adjustRightInd w:val="0"/>
        <w:ind w:left="284" w:hanging="284"/>
        <w:contextualSpacing/>
        <w:textAlignment w:val="baseline"/>
      </w:pPr>
      <w:r>
        <w:t>recomienda que el funcionamiento del Fondo Europeo de Defensa sea más flexible y transparente;</w:t>
      </w:r>
    </w:p>
    <w:p w14:paraId="7037BD8C" w14:textId="77777777" w:rsidR="005072F5" w:rsidRPr="00856DC3" w:rsidRDefault="005072F5" w:rsidP="005072F5">
      <w:pPr>
        <w:numPr>
          <w:ilvl w:val="0"/>
          <w:numId w:val="66"/>
        </w:numPr>
        <w:overflowPunct w:val="0"/>
        <w:autoSpaceDE w:val="0"/>
        <w:autoSpaceDN w:val="0"/>
        <w:adjustRightInd w:val="0"/>
        <w:ind w:left="284" w:hanging="284"/>
        <w:contextualSpacing/>
        <w:textAlignment w:val="baseline"/>
      </w:pPr>
      <w:r>
        <w:t>recomienda que se elaboren orientaciones para interpretar instrumentos como InvestEU y el marco de finanzas sostenibles, se simplifiquen los trámites y se salvaguarde la confidencialidad de los datos sensibles;</w:t>
      </w:r>
    </w:p>
    <w:p w14:paraId="256F918E" w14:textId="77777777" w:rsidR="005072F5" w:rsidRPr="00856DC3" w:rsidRDefault="005072F5" w:rsidP="005072F5">
      <w:pPr>
        <w:numPr>
          <w:ilvl w:val="0"/>
          <w:numId w:val="66"/>
        </w:numPr>
        <w:overflowPunct w:val="0"/>
        <w:autoSpaceDE w:val="0"/>
        <w:autoSpaceDN w:val="0"/>
        <w:adjustRightInd w:val="0"/>
        <w:ind w:left="284" w:hanging="284"/>
        <w:contextualSpacing/>
        <w:textAlignment w:val="baseline"/>
      </w:pPr>
      <w:r>
        <w:t>recomienda a la Comisión que coordine y supervise la creación de centros de formación, capacitación y excelencia, así como programas de movilidad y Erasmus+ dirigidos a la industria de la defensa.</w:t>
      </w:r>
    </w:p>
    <w:p w14:paraId="442FCB6E" w14:textId="77777777" w:rsidR="005072F5" w:rsidRPr="00856DC3" w:rsidRDefault="005072F5" w:rsidP="005072F5">
      <w:pPr>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2093"/>
        <w:gridCol w:w="7229"/>
      </w:tblGrid>
      <w:tr w:rsidR="005072F5" w:rsidRPr="00856DC3" w14:paraId="404BE3B2" w14:textId="77777777" w:rsidTr="00915390">
        <w:tc>
          <w:tcPr>
            <w:tcW w:w="2093" w:type="dxa"/>
          </w:tcPr>
          <w:p w14:paraId="789C0270" w14:textId="77777777" w:rsidR="005072F5" w:rsidRPr="00856DC3" w:rsidRDefault="005072F5" w:rsidP="00915390">
            <w:pPr>
              <w:overflowPunct w:val="0"/>
              <w:autoSpaceDE w:val="0"/>
              <w:autoSpaceDN w:val="0"/>
              <w:adjustRightInd w:val="0"/>
              <w:textAlignment w:val="baseline"/>
              <w:rPr>
                <w:i/>
              </w:rPr>
            </w:pPr>
            <w:r>
              <w:rPr>
                <w:b/>
                <w:i/>
              </w:rPr>
              <w:t>Contacto:</w:t>
            </w:r>
          </w:p>
        </w:tc>
        <w:tc>
          <w:tcPr>
            <w:tcW w:w="7229" w:type="dxa"/>
          </w:tcPr>
          <w:p w14:paraId="14168DD5" w14:textId="77777777" w:rsidR="005072F5" w:rsidRPr="00856DC3" w:rsidRDefault="005072F5" w:rsidP="00915390">
            <w:pPr>
              <w:overflowPunct w:val="0"/>
              <w:autoSpaceDE w:val="0"/>
              <w:autoSpaceDN w:val="0"/>
              <w:adjustRightInd w:val="0"/>
              <w:textAlignment w:val="baseline"/>
              <w:rPr>
                <w:i/>
              </w:rPr>
            </w:pPr>
            <w:r>
              <w:rPr>
                <w:i/>
              </w:rPr>
              <w:t>Annalisa Tessarolo</w:t>
            </w:r>
          </w:p>
        </w:tc>
      </w:tr>
      <w:tr w:rsidR="005072F5" w:rsidRPr="00856DC3" w14:paraId="0EE60AEB" w14:textId="77777777" w:rsidTr="00915390">
        <w:tc>
          <w:tcPr>
            <w:tcW w:w="2093" w:type="dxa"/>
          </w:tcPr>
          <w:p w14:paraId="3A6AE9CC" w14:textId="77777777" w:rsidR="005072F5" w:rsidRPr="00856DC3" w:rsidRDefault="005072F5" w:rsidP="00915390">
            <w:pPr>
              <w:overflowPunct w:val="0"/>
              <w:autoSpaceDE w:val="0"/>
              <w:autoSpaceDN w:val="0"/>
              <w:adjustRightInd w:val="0"/>
              <w:textAlignment w:val="baseline"/>
              <w:rPr>
                <w:i/>
              </w:rPr>
            </w:pPr>
            <w:r>
              <w:rPr>
                <w:i/>
              </w:rPr>
              <w:t>Teléfono:</w:t>
            </w:r>
          </w:p>
        </w:tc>
        <w:tc>
          <w:tcPr>
            <w:tcW w:w="7229" w:type="dxa"/>
          </w:tcPr>
          <w:p w14:paraId="3298118D" w14:textId="77777777" w:rsidR="005072F5" w:rsidRPr="00856DC3" w:rsidRDefault="005072F5" w:rsidP="00915390">
            <w:pPr>
              <w:overflowPunct w:val="0"/>
              <w:autoSpaceDE w:val="0"/>
              <w:autoSpaceDN w:val="0"/>
              <w:adjustRightInd w:val="0"/>
              <w:textAlignment w:val="baseline"/>
              <w:rPr>
                <w:i/>
              </w:rPr>
            </w:pPr>
            <w:r>
              <w:rPr>
                <w:i/>
              </w:rPr>
              <w:t>+ 32 2 546 9732</w:t>
            </w:r>
          </w:p>
        </w:tc>
      </w:tr>
      <w:tr w:rsidR="005072F5" w:rsidRPr="00856DC3" w14:paraId="3232A50A" w14:textId="77777777" w:rsidTr="00915390">
        <w:tc>
          <w:tcPr>
            <w:tcW w:w="2093" w:type="dxa"/>
          </w:tcPr>
          <w:p w14:paraId="2A3D91CB" w14:textId="77777777" w:rsidR="005072F5" w:rsidRPr="00856DC3" w:rsidRDefault="005072F5" w:rsidP="00915390">
            <w:pPr>
              <w:overflowPunct w:val="0"/>
              <w:autoSpaceDE w:val="0"/>
              <w:autoSpaceDN w:val="0"/>
              <w:adjustRightInd w:val="0"/>
              <w:textAlignment w:val="baseline"/>
              <w:rPr>
                <w:i/>
              </w:rPr>
            </w:pPr>
            <w:r>
              <w:rPr>
                <w:i/>
              </w:rPr>
              <w:t>Correo electrónico:</w:t>
            </w:r>
          </w:p>
        </w:tc>
        <w:tc>
          <w:tcPr>
            <w:tcW w:w="7229" w:type="dxa"/>
          </w:tcPr>
          <w:p w14:paraId="170EE9F9" w14:textId="77777777" w:rsidR="005072F5" w:rsidRPr="00856DC3" w:rsidRDefault="005072F5" w:rsidP="00915390">
            <w:pPr>
              <w:overflowPunct w:val="0"/>
              <w:autoSpaceDE w:val="0"/>
              <w:autoSpaceDN w:val="0"/>
              <w:adjustRightInd w:val="0"/>
              <w:textAlignment w:val="baseline"/>
              <w:rPr>
                <w:i/>
                <w:iCs/>
              </w:rPr>
            </w:pPr>
            <w:hyperlink r:id="rId72" w:history="1">
              <w:r>
                <w:rPr>
                  <w:i/>
                  <w:color w:val="0000FF"/>
                  <w:u w:val="single"/>
                </w:rPr>
                <w:t>Annalisa.Tessarolo@eesc.europa.eu</w:t>
              </w:r>
            </w:hyperlink>
          </w:p>
        </w:tc>
      </w:tr>
    </w:tbl>
    <w:p w14:paraId="5BF23138" w14:textId="77777777" w:rsidR="005072F5" w:rsidRDefault="005072F5" w:rsidP="005072F5">
      <w:pPr>
        <w:jc w:val="left"/>
        <w:rPr>
          <w:b/>
          <w:i/>
          <w:sz w:val="28"/>
          <w:szCs w:val="28"/>
          <w:lang w:val="en-GB"/>
        </w:rPr>
      </w:pPr>
    </w:p>
    <w:p w14:paraId="75572135" w14:textId="77777777" w:rsidR="005072F5" w:rsidRDefault="005072F5" w:rsidP="005072F5">
      <w:pPr>
        <w:jc w:val="left"/>
        <w:rPr>
          <w:b/>
          <w:i/>
          <w:sz w:val="28"/>
          <w:szCs w:val="28"/>
        </w:rPr>
      </w:pPr>
      <w:r>
        <w:br w:type="page"/>
      </w:r>
    </w:p>
    <w:p w14:paraId="2AA1F5BA" w14:textId="77777777" w:rsidR="005072F5" w:rsidRPr="00E437F3" w:rsidRDefault="005072F5" w:rsidP="005072F5">
      <w:pPr>
        <w:widowControl w:val="0"/>
        <w:numPr>
          <w:ilvl w:val="0"/>
          <w:numId w:val="3"/>
        </w:numPr>
        <w:overflowPunct w:val="0"/>
        <w:autoSpaceDE w:val="0"/>
        <w:autoSpaceDN w:val="0"/>
        <w:adjustRightInd w:val="0"/>
        <w:ind w:hanging="567"/>
        <w:jc w:val="left"/>
        <w:textAlignment w:val="baseline"/>
        <w:rPr>
          <w:sz w:val="20"/>
          <w:szCs w:val="20"/>
        </w:rPr>
      </w:pPr>
      <w:hyperlink r:id="rId73" w:tgtFrame="_blank" w:history="1">
        <w:r>
          <w:rPr>
            <w:b/>
            <w:i/>
            <w:color w:val="0000FF"/>
            <w:sz w:val="28"/>
            <w:u w:val="single"/>
          </w:rPr>
          <w:t>Creación de la Empresa Común Europea de Informática de Alto Rendimiento</w:t>
        </w:r>
      </w:hyperlink>
    </w:p>
    <w:p w14:paraId="225CA3A2" w14:textId="77777777" w:rsidR="005072F5" w:rsidRPr="00E437F3" w:rsidRDefault="005072F5" w:rsidP="005072F5">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985"/>
        <w:gridCol w:w="7337"/>
      </w:tblGrid>
      <w:tr w:rsidR="005072F5" w:rsidRPr="00E437F3" w14:paraId="77A8FD3E" w14:textId="77777777" w:rsidTr="00915390">
        <w:tc>
          <w:tcPr>
            <w:tcW w:w="1985" w:type="dxa"/>
            <w:vMerge w:val="restart"/>
          </w:tcPr>
          <w:p w14:paraId="56FE4721" w14:textId="77777777" w:rsidR="005072F5" w:rsidRPr="00E437F3"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7337" w:type="dxa"/>
          </w:tcPr>
          <w:p w14:paraId="73FBAF8D" w14:textId="77777777" w:rsidR="005072F5" w:rsidRDefault="005072F5" w:rsidP="00915390">
            <w:pPr>
              <w:tabs>
                <w:tab w:val="center" w:pos="284"/>
              </w:tabs>
              <w:overflowPunct w:val="0"/>
              <w:autoSpaceDE w:val="0"/>
              <w:autoSpaceDN w:val="0"/>
              <w:adjustRightInd w:val="0"/>
              <w:ind w:left="266" w:hanging="266"/>
              <w:textAlignment w:val="baseline"/>
            </w:pPr>
            <w:r>
              <w:t>Dictamen de categoría C</w:t>
            </w:r>
          </w:p>
          <w:p w14:paraId="198AAA03" w14:textId="77777777" w:rsidR="005072F5" w:rsidRPr="00E437F3" w:rsidRDefault="005072F5" w:rsidP="00915390">
            <w:pPr>
              <w:tabs>
                <w:tab w:val="center" w:pos="284"/>
              </w:tabs>
              <w:overflowPunct w:val="0"/>
              <w:autoSpaceDE w:val="0"/>
              <w:autoSpaceDN w:val="0"/>
              <w:adjustRightInd w:val="0"/>
              <w:ind w:left="266" w:hanging="266"/>
              <w:textAlignment w:val="baseline"/>
            </w:pPr>
            <w:r>
              <w:t>COM(2025) 414 final</w:t>
            </w:r>
          </w:p>
        </w:tc>
      </w:tr>
      <w:tr w:rsidR="005072F5" w:rsidRPr="00E437F3" w14:paraId="2BFA4623" w14:textId="77777777" w:rsidTr="00915390">
        <w:tc>
          <w:tcPr>
            <w:tcW w:w="1985" w:type="dxa"/>
            <w:vMerge/>
          </w:tcPr>
          <w:p w14:paraId="290830A8" w14:textId="77777777" w:rsidR="005072F5" w:rsidRPr="00E437F3" w:rsidRDefault="005072F5" w:rsidP="00915390">
            <w:pPr>
              <w:tabs>
                <w:tab w:val="center" w:pos="284"/>
              </w:tabs>
              <w:overflowPunct w:val="0"/>
              <w:autoSpaceDE w:val="0"/>
              <w:autoSpaceDN w:val="0"/>
              <w:adjustRightInd w:val="0"/>
              <w:ind w:left="266" w:hanging="266"/>
              <w:textAlignment w:val="baseline"/>
              <w:rPr>
                <w:b/>
              </w:rPr>
            </w:pPr>
          </w:p>
        </w:tc>
        <w:tc>
          <w:tcPr>
            <w:tcW w:w="7337" w:type="dxa"/>
          </w:tcPr>
          <w:p w14:paraId="3A3F5DB2" w14:textId="77777777" w:rsidR="005072F5" w:rsidRPr="00E437F3" w:rsidRDefault="005072F5" w:rsidP="00915390">
            <w:pPr>
              <w:tabs>
                <w:tab w:val="center" w:pos="284"/>
              </w:tabs>
              <w:overflowPunct w:val="0"/>
              <w:autoSpaceDE w:val="0"/>
              <w:autoSpaceDN w:val="0"/>
              <w:adjustRightInd w:val="0"/>
              <w:ind w:left="266" w:hanging="266"/>
              <w:textAlignment w:val="baseline"/>
            </w:pPr>
            <w:r>
              <w:t>EESC-2025-02965-00-00-AC</w:t>
            </w:r>
          </w:p>
        </w:tc>
      </w:tr>
    </w:tbl>
    <w:p w14:paraId="3B6189B4" w14:textId="77777777" w:rsidR="005072F5" w:rsidRPr="00E437F3" w:rsidRDefault="005072F5" w:rsidP="005072F5">
      <w:pPr>
        <w:tabs>
          <w:tab w:val="center" w:pos="284"/>
        </w:tabs>
        <w:overflowPunct w:val="0"/>
        <w:autoSpaceDE w:val="0"/>
        <w:autoSpaceDN w:val="0"/>
        <w:adjustRightInd w:val="0"/>
        <w:ind w:left="266" w:hanging="266"/>
        <w:textAlignment w:val="baseline"/>
        <w:rPr>
          <w:lang w:val="en-GB"/>
        </w:rPr>
      </w:pPr>
    </w:p>
    <w:p w14:paraId="27EC81D4" w14:textId="77777777" w:rsidR="005072F5" w:rsidRPr="00E437F3"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373D67C6" w14:textId="77777777" w:rsidR="005072F5" w:rsidRPr="00E437F3"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49C2F4E4" w14:textId="77777777" w:rsidR="005072F5" w:rsidRPr="00E437F3" w:rsidRDefault="005072F5" w:rsidP="005072F5">
      <w:pPr>
        <w:overflowPunct w:val="0"/>
        <w:autoSpaceDE w:val="0"/>
        <w:autoSpaceDN w:val="0"/>
        <w:adjustRightInd w:val="0"/>
        <w:textAlignment w:val="baseline"/>
        <w:rPr>
          <w:bCs/>
          <w:iCs/>
        </w:rPr>
      </w:pPr>
      <w:r>
        <w:t>El CESE considera que el contenido de la propuesta es plenamente satisfactorio y no es objeto de ninguna observación por su parte.</w:t>
      </w:r>
    </w:p>
    <w:p w14:paraId="5739A020" w14:textId="77777777" w:rsidR="005072F5" w:rsidRPr="00E437F3" w:rsidRDefault="005072F5" w:rsidP="005072F5">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2376"/>
        <w:gridCol w:w="6946"/>
      </w:tblGrid>
      <w:tr w:rsidR="005072F5" w:rsidRPr="00E437F3" w14:paraId="270867D4" w14:textId="77777777" w:rsidTr="00915390">
        <w:tc>
          <w:tcPr>
            <w:tcW w:w="2376" w:type="dxa"/>
          </w:tcPr>
          <w:p w14:paraId="58C0C889" w14:textId="77777777" w:rsidR="005072F5" w:rsidRPr="00E437F3" w:rsidRDefault="005072F5" w:rsidP="00915390">
            <w:pPr>
              <w:overflowPunct w:val="0"/>
              <w:autoSpaceDE w:val="0"/>
              <w:autoSpaceDN w:val="0"/>
              <w:adjustRightInd w:val="0"/>
              <w:textAlignment w:val="baseline"/>
              <w:rPr>
                <w:i/>
              </w:rPr>
            </w:pPr>
            <w:r>
              <w:rPr>
                <w:b/>
                <w:i/>
              </w:rPr>
              <w:t>Contacto:</w:t>
            </w:r>
          </w:p>
        </w:tc>
        <w:tc>
          <w:tcPr>
            <w:tcW w:w="6946" w:type="dxa"/>
          </w:tcPr>
          <w:p w14:paraId="76DA1299" w14:textId="77777777" w:rsidR="005072F5" w:rsidRPr="00E437F3" w:rsidRDefault="005072F5" w:rsidP="00915390">
            <w:pPr>
              <w:overflowPunct w:val="0"/>
              <w:autoSpaceDE w:val="0"/>
              <w:autoSpaceDN w:val="0"/>
              <w:adjustRightInd w:val="0"/>
              <w:textAlignment w:val="baseline"/>
              <w:rPr>
                <w:i/>
              </w:rPr>
            </w:pPr>
            <w:r>
              <w:rPr>
                <w:i/>
              </w:rPr>
              <w:t>Alice Tétu</w:t>
            </w:r>
          </w:p>
        </w:tc>
      </w:tr>
      <w:tr w:rsidR="005072F5" w:rsidRPr="00E437F3" w14:paraId="7BA5B31D" w14:textId="77777777" w:rsidTr="00915390">
        <w:tc>
          <w:tcPr>
            <w:tcW w:w="2376" w:type="dxa"/>
          </w:tcPr>
          <w:p w14:paraId="0883E764" w14:textId="77777777" w:rsidR="005072F5" w:rsidRPr="00E437F3" w:rsidRDefault="005072F5" w:rsidP="00915390">
            <w:pPr>
              <w:overflowPunct w:val="0"/>
              <w:autoSpaceDE w:val="0"/>
              <w:autoSpaceDN w:val="0"/>
              <w:adjustRightInd w:val="0"/>
              <w:textAlignment w:val="baseline"/>
              <w:rPr>
                <w:i/>
              </w:rPr>
            </w:pPr>
            <w:r>
              <w:rPr>
                <w:i/>
              </w:rPr>
              <w:t>Teléfono:</w:t>
            </w:r>
          </w:p>
        </w:tc>
        <w:tc>
          <w:tcPr>
            <w:tcW w:w="6946" w:type="dxa"/>
          </w:tcPr>
          <w:p w14:paraId="4750A3B8" w14:textId="77777777" w:rsidR="005072F5" w:rsidRPr="00E437F3" w:rsidRDefault="005072F5" w:rsidP="00915390">
            <w:pPr>
              <w:overflowPunct w:val="0"/>
              <w:autoSpaceDE w:val="0"/>
              <w:autoSpaceDN w:val="0"/>
              <w:adjustRightInd w:val="0"/>
              <w:textAlignment w:val="baseline"/>
              <w:rPr>
                <w:i/>
              </w:rPr>
            </w:pPr>
            <w:r>
              <w:rPr>
                <w:i/>
              </w:rPr>
              <w:t>+32 2 546 8286</w:t>
            </w:r>
          </w:p>
        </w:tc>
      </w:tr>
      <w:tr w:rsidR="005072F5" w:rsidRPr="00E437F3" w14:paraId="6CEFAFC9" w14:textId="77777777" w:rsidTr="00915390">
        <w:tc>
          <w:tcPr>
            <w:tcW w:w="2376" w:type="dxa"/>
          </w:tcPr>
          <w:p w14:paraId="1ED5679B" w14:textId="77777777" w:rsidR="005072F5" w:rsidRPr="00E437F3" w:rsidRDefault="005072F5" w:rsidP="00915390">
            <w:pPr>
              <w:overflowPunct w:val="0"/>
              <w:autoSpaceDE w:val="0"/>
              <w:autoSpaceDN w:val="0"/>
              <w:adjustRightInd w:val="0"/>
              <w:textAlignment w:val="baseline"/>
              <w:rPr>
                <w:i/>
              </w:rPr>
            </w:pPr>
            <w:r>
              <w:rPr>
                <w:i/>
              </w:rPr>
              <w:t>Correo electrónico:</w:t>
            </w:r>
          </w:p>
        </w:tc>
        <w:tc>
          <w:tcPr>
            <w:tcW w:w="6946" w:type="dxa"/>
          </w:tcPr>
          <w:p w14:paraId="7BF479C0" w14:textId="77777777" w:rsidR="005072F5" w:rsidRPr="00E437F3" w:rsidRDefault="005072F5" w:rsidP="00915390">
            <w:pPr>
              <w:overflowPunct w:val="0"/>
              <w:autoSpaceDE w:val="0"/>
              <w:autoSpaceDN w:val="0"/>
              <w:adjustRightInd w:val="0"/>
              <w:textAlignment w:val="baseline"/>
              <w:rPr>
                <w:i/>
              </w:rPr>
            </w:pPr>
            <w:hyperlink r:id="rId74" w:history="1">
              <w:r>
                <w:rPr>
                  <w:i/>
                  <w:color w:val="0000FF"/>
                  <w:u w:val="single"/>
                </w:rPr>
                <w:t>Alice.Tetu@eesc.europa.eu</w:t>
              </w:r>
            </w:hyperlink>
          </w:p>
        </w:tc>
      </w:tr>
    </w:tbl>
    <w:p w14:paraId="4237A7BB" w14:textId="77777777" w:rsidR="005072F5" w:rsidRPr="00D20AB4" w:rsidRDefault="005072F5" w:rsidP="005072F5">
      <w:pPr>
        <w:jc w:val="left"/>
      </w:pPr>
    </w:p>
    <w:p w14:paraId="6C2A988F" w14:textId="77777777" w:rsidR="005072F5" w:rsidRPr="00D20AB4" w:rsidRDefault="005072F5" w:rsidP="005072F5">
      <w:pPr>
        <w:jc w:val="left"/>
      </w:pPr>
      <w:r>
        <w:br w:type="page"/>
      </w:r>
    </w:p>
    <w:p w14:paraId="392B87CE" w14:textId="77777777" w:rsidR="005072F5" w:rsidRPr="00C47A12" w:rsidRDefault="005072F5" w:rsidP="005072F5">
      <w:pPr>
        <w:keepNext/>
        <w:keepLines/>
        <w:widowControl w:val="0"/>
        <w:numPr>
          <w:ilvl w:val="0"/>
          <w:numId w:val="19"/>
        </w:numPr>
        <w:overflowPunct w:val="0"/>
        <w:autoSpaceDE w:val="0"/>
        <w:autoSpaceDN w:val="0"/>
        <w:adjustRightInd w:val="0"/>
        <w:ind w:hanging="567"/>
        <w:rPr>
          <w:b/>
        </w:rPr>
      </w:pPr>
      <w:hyperlink r:id="rId75" w:history="1">
        <w:r>
          <w:rPr>
            <w:b/>
            <w:i/>
            <w:color w:val="0000FF"/>
            <w:sz w:val="28"/>
            <w:u w:val="single"/>
          </w:rPr>
          <w:t>Las empresas emergentes y en expansión</w:t>
        </w:r>
      </w:hyperlink>
    </w:p>
    <w:p w14:paraId="5605CC5E" w14:textId="77777777" w:rsidR="005072F5" w:rsidRPr="00EB408A" w:rsidRDefault="005072F5" w:rsidP="005072F5">
      <w:pPr>
        <w:keepNext/>
        <w:keepLines/>
        <w:widowControl w:val="0"/>
        <w:overflowPunct w:val="0"/>
        <w:autoSpaceDE w:val="0"/>
        <w:autoSpaceDN w:val="0"/>
        <w:adjustRightInd w:val="0"/>
        <w:ind w:left="266"/>
        <w:rPr>
          <w:b/>
          <w:lang w:val="en-GB"/>
        </w:rPr>
      </w:pPr>
    </w:p>
    <w:tbl>
      <w:tblPr>
        <w:tblW w:w="4942" w:type="pct"/>
        <w:tblLook w:val="04A0" w:firstRow="1" w:lastRow="0" w:firstColumn="1" w:lastColumn="0" w:noHBand="0" w:noVBand="1"/>
      </w:tblPr>
      <w:tblGrid>
        <w:gridCol w:w="1808"/>
        <w:gridCol w:w="7514"/>
      </w:tblGrid>
      <w:tr w:rsidR="005072F5" w:rsidRPr="00EB408A" w14:paraId="67548D7F" w14:textId="77777777" w:rsidTr="00915390">
        <w:tc>
          <w:tcPr>
            <w:tcW w:w="970" w:type="pct"/>
          </w:tcPr>
          <w:p w14:paraId="377E0685" w14:textId="77777777" w:rsidR="005072F5" w:rsidRPr="00EB408A" w:rsidRDefault="005072F5" w:rsidP="00915390">
            <w:pPr>
              <w:tabs>
                <w:tab w:val="center" w:pos="284"/>
              </w:tabs>
              <w:overflowPunct w:val="0"/>
              <w:autoSpaceDE w:val="0"/>
              <w:autoSpaceDN w:val="0"/>
              <w:adjustRightInd w:val="0"/>
              <w:ind w:left="266" w:hanging="374"/>
              <w:rPr>
                <w:b/>
              </w:rPr>
            </w:pPr>
            <w:r>
              <w:rPr>
                <w:b/>
              </w:rPr>
              <w:t>Ponente</w:t>
            </w:r>
          </w:p>
        </w:tc>
        <w:tc>
          <w:tcPr>
            <w:tcW w:w="4030" w:type="pct"/>
          </w:tcPr>
          <w:p w14:paraId="78CCE405" w14:textId="77777777" w:rsidR="005072F5" w:rsidRPr="00EB408A" w:rsidRDefault="005072F5" w:rsidP="00915390">
            <w:pPr>
              <w:tabs>
                <w:tab w:val="center" w:pos="284"/>
              </w:tabs>
              <w:overflowPunct w:val="0"/>
              <w:autoSpaceDE w:val="0"/>
              <w:autoSpaceDN w:val="0"/>
              <w:adjustRightInd w:val="0"/>
              <w:ind w:left="266" w:hanging="266"/>
            </w:pPr>
            <w:r>
              <w:t>Mira-Maria DANISMAN (Grupo de Empresarios – FI)</w:t>
            </w:r>
          </w:p>
        </w:tc>
      </w:tr>
      <w:tr w:rsidR="005072F5" w:rsidRPr="00EB408A" w14:paraId="0BA7C610" w14:textId="77777777" w:rsidTr="00915390">
        <w:tc>
          <w:tcPr>
            <w:tcW w:w="970" w:type="pct"/>
            <w:vMerge w:val="restart"/>
            <w:hideMark/>
          </w:tcPr>
          <w:p w14:paraId="31C540BE" w14:textId="77777777" w:rsidR="005072F5" w:rsidRPr="00EB408A" w:rsidRDefault="005072F5" w:rsidP="00915390">
            <w:pPr>
              <w:tabs>
                <w:tab w:val="center" w:pos="284"/>
              </w:tabs>
              <w:overflowPunct w:val="0"/>
              <w:autoSpaceDE w:val="0"/>
              <w:autoSpaceDN w:val="0"/>
              <w:adjustRightInd w:val="0"/>
              <w:ind w:left="266" w:hanging="374"/>
              <w:rPr>
                <w:b/>
              </w:rPr>
            </w:pPr>
            <w:r>
              <w:rPr>
                <w:b/>
              </w:rPr>
              <w:t>Referencia</w:t>
            </w:r>
          </w:p>
        </w:tc>
        <w:tc>
          <w:tcPr>
            <w:tcW w:w="4030" w:type="pct"/>
            <w:hideMark/>
          </w:tcPr>
          <w:p w14:paraId="7751794F" w14:textId="77777777" w:rsidR="005072F5" w:rsidRPr="00EA2195" w:rsidRDefault="005072F5" w:rsidP="00915390">
            <w:pPr>
              <w:overflowPunct w:val="0"/>
              <w:autoSpaceDE w:val="0"/>
              <w:autoSpaceDN w:val="0"/>
              <w:adjustRightInd w:val="0"/>
            </w:pPr>
            <w:r>
              <w:t>Dictamen exploratorio solicitado por la Presidencia danesa del Consejo de la UE</w:t>
            </w:r>
          </w:p>
        </w:tc>
      </w:tr>
      <w:tr w:rsidR="005072F5" w:rsidRPr="00EB408A" w14:paraId="782BA92F" w14:textId="77777777" w:rsidTr="00915390">
        <w:tc>
          <w:tcPr>
            <w:tcW w:w="970" w:type="pct"/>
            <w:vMerge/>
            <w:vAlign w:val="center"/>
            <w:hideMark/>
          </w:tcPr>
          <w:p w14:paraId="3E65F8C1" w14:textId="77777777" w:rsidR="005072F5" w:rsidRPr="00EB408A" w:rsidRDefault="005072F5" w:rsidP="00915390">
            <w:pPr>
              <w:jc w:val="left"/>
              <w:rPr>
                <w:b/>
              </w:rPr>
            </w:pPr>
          </w:p>
        </w:tc>
        <w:tc>
          <w:tcPr>
            <w:tcW w:w="4030" w:type="pct"/>
            <w:hideMark/>
          </w:tcPr>
          <w:p w14:paraId="6904CCA4" w14:textId="77777777" w:rsidR="005072F5" w:rsidRPr="00EB408A" w:rsidRDefault="005072F5" w:rsidP="00915390">
            <w:pPr>
              <w:tabs>
                <w:tab w:val="center" w:pos="284"/>
              </w:tabs>
              <w:overflowPunct w:val="0"/>
              <w:autoSpaceDE w:val="0"/>
              <w:autoSpaceDN w:val="0"/>
              <w:adjustRightInd w:val="0"/>
              <w:ind w:left="266" w:hanging="266"/>
            </w:pPr>
            <w:r>
              <w:t>EESC-2025-01043-00-00-AC</w:t>
            </w:r>
          </w:p>
        </w:tc>
      </w:tr>
    </w:tbl>
    <w:p w14:paraId="3E0668B6" w14:textId="77777777" w:rsidR="005072F5" w:rsidRPr="00EB408A" w:rsidRDefault="005072F5" w:rsidP="005072F5">
      <w:pPr>
        <w:tabs>
          <w:tab w:val="center" w:pos="284"/>
        </w:tabs>
        <w:overflowPunct w:val="0"/>
        <w:autoSpaceDE w:val="0"/>
        <w:autoSpaceDN w:val="0"/>
        <w:adjustRightInd w:val="0"/>
        <w:ind w:left="266" w:hanging="266"/>
        <w:rPr>
          <w:lang w:val="en-GB"/>
        </w:rPr>
      </w:pPr>
    </w:p>
    <w:p w14:paraId="16EBD2AE" w14:textId="77777777" w:rsidR="005072F5" w:rsidRPr="00EB408A" w:rsidRDefault="005072F5" w:rsidP="005072F5">
      <w:pPr>
        <w:keepNext/>
        <w:keepLines/>
        <w:tabs>
          <w:tab w:val="center" w:pos="284"/>
        </w:tabs>
        <w:overflowPunct w:val="0"/>
        <w:autoSpaceDE w:val="0"/>
        <w:autoSpaceDN w:val="0"/>
        <w:adjustRightInd w:val="0"/>
        <w:ind w:left="266" w:hanging="266"/>
        <w:rPr>
          <w:b/>
        </w:rPr>
      </w:pPr>
      <w:r>
        <w:rPr>
          <w:b/>
        </w:rPr>
        <w:t>Puntos clave</w:t>
      </w:r>
    </w:p>
    <w:p w14:paraId="6FFE1867" w14:textId="77777777" w:rsidR="005072F5" w:rsidRPr="00EB408A" w:rsidRDefault="005072F5" w:rsidP="005072F5">
      <w:pPr>
        <w:keepNext/>
        <w:keepLines/>
        <w:tabs>
          <w:tab w:val="center" w:pos="284"/>
        </w:tabs>
        <w:overflowPunct w:val="0"/>
        <w:autoSpaceDE w:val="0"/>
        <w:autoSpaceDN w:val="0"/>
        <w:adjustRightInd w:val="0"/>
        <w:ind w:left="266" w:hanging="266"/>
        <w:rPr>
          <w:b/>
          <w:lang w:val="en-GB"/>
        </w:rPr>
      </w:pPr>
    </w:p>
    <w:p w14:paraId="01FB144B" w14:textId="77777777" w:rsidR="005072F5" w:rsidRDefault="005072F5" w:rsidP="005072F5">
      <w:pPr>
        <w:overflowPunct w:val="0"/>
        <w:autoSpaceDE w:val="0"/>
        <w:autoSpaceDN w:val="0"/>
        <w:adjustRightInd w:val="0"/>
      </w:pPr>
      <w:r>
        <w:t>El CESE:</w:t>
      </w:r>
    </w:p>
    <w:p w14:paraId="184631E1" w14:textId="77777777" w:rsidR="005072F5" w:rsidRPr="00EB408A" w:rsidRDefault="005072F5" w:rsidP="005072F5">
      <w:pPr>
        <w:overflowPunct w:val="0"/>
        <w:autoSpaceDE w:val="0"/>
        <w:autoSpaceDN w:val="0"/>
        <w:adjustRightInd w:val="0"/>
        <w:rPr>
          <w:bCs/>
          <w:iCs/>
        </w:rPr>
      </w:pPr>
    </w:p>
    <w:p w14:paraId="57F433CB" w14:textId="77777777" w:rsidR="005072F5" w:rsidRDefault="005072F5" w:rsidP="005072F5">
      <w:pPr>
        <w:widowControl w:val="0"/>
        <w:numPr>
          <w:ilvl w:val="0"/>
          <w:numId w:val="67"/>
        </w:numPr>
        <w:overflowPunct w:val="0"/>
        <w:autoSpaceDE w:val="0"/>
        <w:autoSpaceDN w:val="0"/>
        <w:adjustRightInd w:val="0"/>
        <w:ind w:left="284" w:hanging="284"/>
        <w:rPr>
          <w:szCs w:val="20"/>
        </w:rPr>
      </w:pPr>
      <w:r>
        <w:t>hace hincapié en que el éxito de las empresas emergentes y en expansión depende del acceso competitivo a los recursos y a los mercados de productos, así como de un entorno normativo y fiscal favorable para la innovación, la inversión y el comercio;</w:t>
      </w:r>
    </w:p>
    <w:p w14:paraId="4E73E649" w14:textId="77777777" w:rsidR="005072F5" w:rsidRPr="00F70284" w:rsidRDefault="005072F5" w:rsidP="005072F5">
      <w:pPr>
        <w:widowControl w:val="0"/>
        <w:numPr>
          <w:ilvl w:val="0"/>
          <w:numId w:val="67"/>
        </w:numPr>
        <w:overflowPunct w:val="0"/>
        <w:autoSpaceDE w:val="0"/>
        <w:autoSpaceDN w:val="0"/>
        <w:adjustRightInd w:val="0"/>
        <w:ind w:left="284" w:hanging="284"/>
        <w:rPr>
          <w:szCs w:val="20"/>
        </w:rPr>
      </w:pPr>
      <w:r>
        <w:t>subraya la necesidad de realizar esfuerzos adicionales para promover el espíritu y el desarrollo empresariales de manera más amplia, incluida la incorporación de una perspectiva de expansión en todas las iniciativas políticas y normativas relacionadas con las empresas;</w:t>
      </w:r>
    </w:p>
    <w:p w14:paraId="4F565BCE" w14:textId="77777777" w:rsidR="005072F5" w:rsidRPr="00EB408A" w:rsidRDefault="005072F5" w:rsidP="005072F5">
      <w:pPr>
        <w:widowControl w:val="0"/>
        <w:numPr>
          <w:ilvl w:val="0"/>
          <w:numId w:val="67"/>
        </w:numPr>
        <w:overflowPunct w:val="0"/>
        <w:autoSpaceDE w:val="0"/>
        <w:autoSpaceDN w:val="0"/>
        <w:adjustRightInd w:val="0"/>
        <w:ind w:left="284" w:hanging="284"/>
        <w:rPr>
          <w:szCs w:val="20"/>
        </w:rPr>
      </w:pPr>
      <w:r>
        <w:t>subraya la importancia del principio de mejora de la legislación, guiado por evaluaciones de impacto exhaustivas que abarquen cadenas de valor completas y todas las fases del proceso legislativo, y pide una aplicación y un seguimiento adecuados de una evaluación de la resistencia a la innovación y un control de la competitividad;</w:t>
      </w:r>
    </w:p>
    <w:p w14:paraId="3F0CCD25" w14:textId="77777777" w:rsidR="005072F5" w:rsidRPr="00EB408A" w:rsidRDefault="005072F5" w:rsidP="005072F5">
      <w:pPr>
        <w:widowControl w:val="0"/>
        <w:numPr>
          <w:ilvl w:val="0"/>
          <w:numId w:val="67"/>
        </w:numPr>
        <w:overflowPunct w:val="0"/>
        <w:autoSpaceDE w:val="0"/>
        <w:autoSpaceDN w:val="0"/>
        <w:adjustRightInd w:val="0"/>
        <w:ind w:left="284" w:hanging="284"/>
        <w:rPr>
          <w:szCs w:val="20"/>
        </w:rPr>
      </w:pPr>
      <w:r>
        <w:t>subraya que las necesidades financieras de las empresas en expansión requieren la adopción de soluciones inmediatas a lo largo de toda la cadena de inversión, sin esperar al próximo marco financiero plurianual (MFP);</w:t>
      </w:r>
    </w:p>
    <w:p w14:paraId="6926E014" w14:textId="77777777" w:rsidR="005072F5" w:rsidRPr="00EB408A" w:rsidRDefault="005072F5" w:rsidP="005072F5">
      <w:pPr>
        <w:widowControl w:val="0"/>
        <w:numPr>
          <w:ilvl w:val="0"/>
          <w:numId w:val="67"/>
        </w:numPr>
        <w:overflowPunct w:val="0"/>
        <w:autoSpaceDE w:val="0"/>
        <w:autoSpaceDN w:val="0"/>
        <w:adjustRightInd w:val="0"/>
        <w:ind w:left="284" w:hanging="284"/>
        <w:rPr>
          <w:szCs w:val="20"/>
        </w:rPr>
      </w:pPr>
      <w:r>
        <w:t>pide que se evalúe cómo pueden mejorarse las condiciones fiscales para las empresas emergentes y en expansión, especialmente mediante un estudio de las buenas prácticas en los Estados miembros y un análisis comparativo del tratamiento del capital de las empresas emergentes en Estados Unidos y en otras economías competidoras;</w:t>
      </w:r>
    </w:p>
    <w:p w14:paraId="136F3EBA" w14:textId="77777777" w:rsidR="005072F5" w:rsidRPr="00EB408A" w:rsidRDefault="005072F5" w:rsidP="005072F5">
      <w:pPr>
        <w:widowControl w:val="0"/>
        <w:numPr>
          <w:ilvl w:val="0"/>
          <w:numId w:val="67"/>
        </w:numPr>
        <w:overflowPunct w:val="0"/>
        <w:autoSpaceDE w:val="0"/>
        <w:autoSpaceDN w:val="0"/>
        <w:adjustRightInd w:val="0"/>
        <w:ind w:left="284" w:hanging="284"/>
        <w:rPr>
          <w:szCs w:val="20"/>
        </w:rPr>
      </w:pPr>
      <w:r>
        <w:t>considera fundamental que las empresas emergentes tengan acceso a infraestructuras de investigación y tecnología de alto nivel, en particular infraestructuras como superordenadores y factorías de inteligencia artificial (IA), y que se les preste un apoyo personalizado para ayudarlas a comercializar sus productos y servicios;</w:t>
      </w:r>
    </w:p>
    <w:p w14:paraId="2DC628C8" w14:textId="77777777" w:rsidR="005072F5" w:rsidRPr="00EB408A" w:rsidRDefault="005072F5" w:rsidP="005072F5">
      <w:pPr>
        <w:widowControl w:val="0"/>
        <w:numPr>
          <w:ilvl w:val="0"/>
          <w:numId w:val="67"/>
        </w:numPr>
        <w:overflowPunct w:val="0"/>
        <w:autoSpaceDE w:val="0"/>
        <w:autoSpaceDN w:val="0"/>
        <w:adjustRightInd w:val="0"/>
        <w:ind w:left="284" w:hanging="284"/>
        <w:rPr>
          <w:szCs w:val="20"/>
        </w:rPr>
      </w:pPr>
      <w:r>
        <w:t>pide que se desarrollen progresivamente indicadores clave de rendimiento, a fin de permitir un seguimiento más exhaustivo y orientado a los resultados de las actividades de las empresas emergentes y en expansión y una fijación de objetivos más específica.</w:t>
      </w:r>
    </w:p>
    <w:p w14:paraId="261757E0" w14:textId="77777777" w:rsidR="005072F5" w:rsidRPr="00EB408A" w:rsidRDefault="005072F5" w:rsidP="005072F5">
      <w:pPr>
        <w:widowControl w:val="0"/>
        <w:overflowPunct w:val="0"/>
        <w:autoSpaceDE w:val="0"/>
        <w:autoSpaceDN w:val="0"/>
        <w:adjustRightInd w:val="0"/>
        <w:ind w:left="709"/>
        <w:rPr>
          <w:szCs w:val="20"/>
          <w:lang w:val="en-GB"/>
        </w:rPr>
      </w:pPr>
    </w:p>
    <w:tbl>
      <w:tblPr>
        <w:tblW w:w="4942" w:type="pct"/>
        <w:tblLook w:val="04A0" w:firstRow="1" w:lastRow="0" w:firstColumn="1" w:lastColumn="0" w:noHBand="0" w:noVBand="1"/>
      </w:tblPr>
      <w:tblGrid>
        <w:gridCol w:w="2094"/>
        <w:gridCol w:w="7228"/>
      </w:tblGrid>
      <w:tr w:rsidR="005072F5" w:rsidRPr="00EB408A" w14:paraId="6A9340FB" w14:textId="77777777" w:rsidTr="00915390">
        <w:tc>
          <w:tcPr>
            <w:tcW w:w="1123" w:type="pct"/>
            <w:hideMark/>
          </w:tcPr>
          <w:p w14:paraId="6892F055" w14:textId="77777777" w:rsidR="005072F5" w:rsidRPr="00EB408A" w:rsidRDefault="005072F5" w:rsidP="00915390">
            <w:pPr>
              <w:overflowPunct w:val="0"/>
              <w:autoSpaceDE w:val="0"/>
              <w:autoSpaceDN w:val="0"/>
              <w:adjustRightInd w:val="0"/>
              <w:rPr>
                <w:i/>
              </w:rPr>
            </w:pPr>
            <w:r>
              <w:rPr>
                <w:b/>
                <w:i/>
              </w:rPr>
              <w:t>Contacto:</w:t>
            </w:r>
          </w:p>
        </w:tc>
        <w:tc>
          <w:tcPr>
            <w:tcW w:w="3877" w:type="pct"/>
            <w:hideMark/>
          </w:tcPr>
          <w:p w14:paraId="681AE36A" w14:textId="77777777" w:rsidR="005072F5" w:rsidRPr="00EB408A" w:rsidRDefault="005072F5" w:rsidP="00915390">
            <w:pPr>
              <w:overflowPunct w:val="0"/>
              <w:autoSpaceDE w:val="0"/>
              <w:autoSpaceDN w:val="0"/>
              <w:adjustRightInd w:val="0"/>
              <w:rPr>
                <w:i/>
              </w:rPr>
            </w:pPr>
            <w:r>
              <w:rPr>
                <w:i/>
              </w:rPr>
              <w:t>Marco Manfroni</w:t>
            </w:r>
          </w:p>
        </w:tc>
      </w:tr>
      <w:tr w:rsidR="005072F5" w:rsidRPr="00EB408A" w14:paraId="41C6C93E" w14:textId="77777777" w:rsidTr="00915390">
        <w:tc>
          <w:tcPr>
            <w:tcW w:w="1123" w:type="pct"/>
            <w:hideMark/>
          </w:tcPr>
          <w:p w14:paraId="2E30D778" w14:textId="77777777" w:rsidR="005072F5" w:rsidRPr="00EB408A" w:rsidRDefault="005072F5" w:rsidP="00915390">
            <w:pPr>
              <w:overflowPunct w:val="0"/>
              <w:autoSpaceDE w:val="0"/>
              <w:autoSpaceDN w:val="0"/>
              <w:adjustRightInd w:val="0"/>
              <w:rPr>
                <w:i/>
              </w:rPr>
            </w:pPr>
            <w:r>
              <w:rPr>
                <w:i/>
              </w:rPr>
              <w:t>Teléfono:</w:t>
            </w:r>
          </w:p>
        </w:tc>
        <w:tc>
          <w:tcPr>
            <w:tcW w:w="3877" w:type="pct"/>
            <w:hideMark/>
          </w:tcPr>
          <w:p w14:paraId="22C6DADB" w14:textId="77777777" w:rsidR="005072F5" w:rsidRPr="00EB408A" w:rsidRDefault="005072F5" w:rsidP="00915390">
            <w:pPr>
              <w:overflowPunct w:val="0"/>
              <w:autoSpaceDE w:val="0"/>
              <w:autoSpaceDN w:val="0"/>
              <w:adjustRightInd w:val="0"/>
              <w:rPr>
                <w:i/>
              </w:rPr>
            </w:pPr>
            <w:r>
              <w:rPr>
                <w:i/>
              </w:rPr>
              <w:t>+32 2 546 9140</w:t>
            </w:r>
          </w:p>
        </w:tc>
      </w:tr>
      <w:tr w:rsidR="005072F5" w:rsidRPr="00EB408A" w14:paraId="47E8F80D" w14:textId="77777777" w:rsidTr="00915390">
        <w:tc>
          <w:tcPr>
            <w:tcW w:w="1123" w:type="pct"/>
            <w:hideMark/>
          </w:tcPr>
          <w:p w14:paraId="02232685" w14:textId="77777777" w:rsidR="005072F5" w:rsidRPr="00EB408A" w:rsidRDefault="005072F5" w:rsidP="00915390">
            <w:pPr>
              <w:overflowPunct w:val="0"/>
              <w:autoSpaceDE w:val="0"/>
              <w:autoSpaceDN w:val="0"/>
              <w:adjustRightInd w:val="0"/>
              <w:rPr>
                <w:i/>
              </w:rPr>
            </w:pPr>
            <w:r>
              <w:rPr>
                <w:i/>
              </w:rPr>
              <w:t>Correo electrónico:</w:t>
            </w:r>
          </w:p>
        </w:tc>
        <w:tc>
          <w:tcPr>
            <w:tcW w:w="3877" w:type="pct"/>
            <w:hideMark/>
          </w:tcPr>
          <w:p w14:paraId="19896B60" w14:textId="77777777" w:rsidR="005072F5" w:rsidRPr="00EB408A" w:rsidRDefault="005072F5" w:rsidP="00915390">
            <w:pPr>
              <w:overflowPunct w:val="0"/>
              <w:autoSpaceDE w:val="0"/>
              <w:autoSpaceDN w:val="0"/>
              <w:adjustRightInd w:val="0"/>
              <w:rPr>
                <w:i/>
              </w:rPr>
            </w:pPr>
            <w:hyperlink r:id="rId76" w:history="1">
              <w:r>
                <w:rPr>
                  <w:i/>
                  <w:color w:val="0000FF"/>
                  <w:u w:val="single"/>
                </w:rPr>
                <w:t>Marco.Manfroni@eesc.europa.eu</w:t>
              </w:r>
            </w:hyperlink>
          </w:p>
        </w:tc>
      </w:tr>
    </w:tbl>
    <w:p w14:paraId="4F80E1B7" w14:textId="77777777" w:rsidR="005072F5" w:rsidRDefault="005072F5" w:rsidP="005072F5">
      <w:pPr>
        <w:jc w:val="left"/>
        <w:rPr>
          <w:b/>
          <w:i/>
          <w:sz w:val="28"/>
          <w:szCs w:val="28"/>
        </w:rPr>
      </w:pPr>
    </w:p>
    <w:p w14:paraId="1E5FFEE7" w14:textId="77777777" w:rsidR="005072F5" w:rsidRDefault="005072F5" w:rsidP="005072F5">
      <w:pPr>
        <w:jc w:val="left"/>
        <w:rPr>
          <w:b/>
          <w:i/>
          <w:sz w:val="28"/>
          <w:szCs w:val="28"/>
        </w:rPr>
      </w:pPr>
      <w:r>
        <w:br w:type="page"/>
      </w:r>
    </w:p>
    <w:p w14:paraId="63C29A17" w14:textId="77777777" w:rsidR="005072F5" w:rsidRPr="00C47A12" w:rsidRDefault="005072F5" w:rsidP="005072F5">
      <w:pPr>
        <w:widowControl w:val="0"/>
        <w:numPr>
          <w:ilvl w:val="0"/>
          <w:numId w:val="3"/>
        </w:numPr>
        <w:overflowPunct w:val="0"/>
        <w:autoSpaceDE w:val="0"/>
        <w:autoSpaceDN w:val="0"/>
        <w:adjustRightInd w:val="0"/>
        <w:ind w:hanging="567"/>
        <w:textAlignment w:val="baseline"/>
        <w:rPr>
          <w:b/>
        </w:rPr>
      </w:pPr>
      <w:hyperlink r:id="rId77" w:history="1">
        <w:r>
          <w:rPr>
            <w:b/>
            <w:i/>
            <w:color w:val="0000FF"/>
            <w:sz w:val="28"/>
            <w:u w:val="single"/>
          </w:rPr>
          <w:t>Interdependencias entre las aplicaciones de inteligencia artificial (IA) y los servicios de profesiones liberales: responder a las necesidades sociales urgentes</w:t>
        </w:r>
      </w:hyperlink>
    </w:p>
    <w:p w14:paraId="3B9E4AB5" w14:textId="77777777" w:rsidR="005072F5" w:rsidRPr="002E635F" w:rsidRDefault="005072F5" w:rsidP="005072F5">
      <w:pPr>
        <w:widowControl w:val="0"/>
        <w:overflowPunct w:val="0"/>
        <w:autoSpaceDE w:val="0"/>
        <w:autoSpaceDN w:val="0"/>
        <w:adjustRightInd w:val="0"/>
        <w:ind w:left="567"/>
        <w:textAlignment w:val="baseline"/>
        <w:rPr>
          <w:b/>
          <w:lang w:val="en-GB"/>
        </w:rPr>
      </w:pPr>
    </w:p>
    <w:tbl>
      <w:tblPr>
        <w:tblW w:w="4942" w:type="pct"/>
        <w:tblLook w:val="04A0" w:firstRow="1" w:lastRow="0" w:firstColumn="1" w:lastColumn="0" w:noHBand="0" w:noVBand="1"/>
      </w:tblPr>
      <w:tblGrid>
        <w:gridCol w:w="2064"/>
        <w:gridCol w:w="7258"/>
      </w:tblGrid>
      <w:tr w:rsidR="005072F5" w:rsidRPr="002E635F" w14:paraId="62D9D470" w14:textId="77777777" w:rsidTr="00915390">
        <w:tc>
          <w:tcPr>
            <w:tcW w:w="1107" w:type="pct"/>
          </w:tcPr>
          <w:p w14:paraId="42A4E03D" w14:textId="77777777" w:rsidR="005072F5" w:rsidRPr="002E635F" w:rsidRDefault="005072F5" w:rsidP="00915390">
            <w:pPr>
              <w:tabs>
                <w:tab w:val="center" w:pos="284"/>
              </w:tabs>
              <w:overflowPunct w:val="0"/>
              <w:autoSpaceDE w:val="0"/>
              <w:autoSpaceDN w:val="0"/>
              <w:adjustRightInd w:val="0"/>
              <w:ind w:left="266" w:hanging="376"/>
              <w:textAlignment w:val="baseline"/>
              <w:rPr>
                <w:b/>
              </w:rPr>
            </w:pPr>
            <w:r>
              <w:rPr>
                <w:b/>
              </w:rPr>
              <w:t>Ponente</w:t>
            </w:r>
          </w:p>
        </w:tc>
        <w:tc>
          <w:tcPr>
            <w:tcW w:w="3893" w:type="pct"/>
          </w:tcPr>
          <w:p w14:paraId="4A3B5FDF" w14:textId="77777777" w:rsidR="005072F5" w:rsidRPr="002E635F" w:rsidRDefault="005072F5" w:rsidP="00915390">
            <w:pPr>
              <w:tabs>
                <w:tab w:val="center" w:pos="284"/>
              </w:tabs>
              <w:overflowPunct w:val="0"/>
              <w:autoSpaceDE w:val="0"/>
              <w:autoSpaceDN w:val="0"/>
              <w:adjustRightInd w:val="0"/>
              <w:ind w:left="266" w:hanging="266"/>
              <w:textAlignment w:val="baseline"/>
            </w:pPr>
            <w:r>
              <w:t>Rudolf KOLBE (Grupo de Organizaciones de la Sociedad Civil – AT)</w:t>
            </w:r>
          </w:p>
        </w:tc>
      </w:tr>
      <w:tr w:rsidR="005072F5" w:rsidRPr="002E635F" w14:paraId="035314ED" w14:textId="77777777" w:rsidTr="00915390">
        <w:tc>
          <w:tcPr>
            <w:tcW w:w="1107" w:type="pct"/>
            <w:vMerge w:val="restart"/>
          </w:tcPr>
          <w:p w14:paraId="59B7B224" w14:textId="77777777" w:rsidR="005072F5" w:rsidRPr="002E635F" w:rsidRDefault="005072F5" w:rsidP="00915390">
            <w:pPr>
              <w:tabs>
                <w:tab w:val="center" w:pos="284"/>
              </w:tabs>
              <w:overflowPunct w:val="0"/>
              <w:autoSpaceDE w:val="0"/>
              <w:autoSpaceDN w:val="0"/>
              <w:adjustRightInd w:val="0"/>
              <w:ind w:left="266" w:hanging="376"/>
              <w:textAlignment w:val="baseline"/>
              <w:rPr>
                <w:b/>
              </w:rPr>
            </w:pPr>
            <w:r>
              <w:rPr>
                <w:b/>
              </w:rPr>
              <w:t>Referencias</w:t>
            </w:r>
          </w:p>
        </w:tc>
        <w:tc>
          <w:tcPr>
            <w:tcW w:w="3893" w:type="pct"/>
          </w:tcPr>
          <w:p w14:paraId="7739E6AB" w14:textId="77777777" w:rsidR="005072F5" w:rsidRPr="002E635F" w:rsidRDefault="005072F5" w:rsidP="00915390">
            <w:pPr>
              <w:tabs>
                <w:tab w:val="center" w:pos="284"/>
              </w:tabs>
              <w:overflowPunct w:val="0"/>
              <w:autoSpaceDE w:val="0"/>
              <w:autoSpaceDN w:val="0"/>
              <w:adjustRightInd w:val="0"/>
              <w:ind w:left="266" w:hanging="266"/>
              <w:textAlignment w:val="baseline"/>
            </w:pPr>
            <w:r>
              <w:t>Dictamen de iniciativa</w:t>
            </w:r>
          </w:p>
        </w:tc>
      </w:tr>
      <w:tr w:rsidR="005072F5" w:rsidRPr="002E635F" w14:paraId="1758DD7D" w14:textId="77777777" w:rsidTr="00915390">
        <w:tc>
          <w:tcPr>
            <w:tcW w:w="1107" w:type="pct"/>
            <w:vMerge/>
          </w:tcPr>
          <w:p w14:paraId="255683AB" w14:textId="77777777" w:rsidR="005072F5" w:rsidRPr="002E635F" w:rsidRDefault="005072F5" w:rsidP="00915390">
            <w:pPr>
              <w:tabs>
                <w:tab w:val="center" w:pos="284"/>
              </w:tabs>
              <w:overflowPunct w:val="0"/>
              <w:autoSpaceDE w:val="0"/>
              <w:autoSpaceDN w:val="0"/>
              <w:adjustRightInd w:val="0"/>
              <w:ind w:left="266" w:hanging="266"/>
              <w:textAlignment w:val="baseline"/>
              <w:rPr>
                <w:b/>
              </w:rPr>
            </w:pPr>
          </w:p>
        </w:tc>
        <w:tc>
          <w:tcPr>
            <w:tcW w:w="3893" w:type="pct"/>
          </w:tcPr>
          <w:p w14:paraId="0305FA1D" w14:textId="2D692F57" w:rsidR="005072F5" w:rsidRPr="002E635F" w:rsidRDefault="005072F5" w:rsidP="00915390">
            <w:pPr>
              <w:tabs>
                <w:tab w:val="center" w:pos="284"/>
              </w:tabs>
              <w:overflowPunct w:val="0"/>
              <w:autoSpaceDE w:val="0"/>
              <w:autoSpaceDN w:val="0"/>
              <w:adjustRightInd w:val="0"/>
              <w:ind w:left="266" w:hanging="266"/>
              <w:textAlignment w:val="baseline"/>
            </w:pPr>
            <w:r>
              <w:t>EESC-2025-0</w:t>
            </w:r>
            <w:r w:rsidR="00E02BCF">
              <w:t>0849</w:t>
            </w:r>
            <w:r>
              <w:t>-00-00-AC</w:t>
            </w:r>
          </w:p>
        </w:tc>
      </w:tr>
    </w:tbl>
    <w:p w14:paraId="4735CBAB" w14:textId="77777777" w:rsidR="005072F5" w:rsidRPr="002E635F" w:rsidRDefault="005072F5" w:rsidP="005072F5">
      <w:pPr>
        <w:tabs>
          <w:tab w:val="center" w:pos="284"/>
        </w:tabs>
        <w:overflowPunct w:val="0"/>
        <w:autoSpaceDE w:val="0"/>
        <w:autoSpaceDN w:val="0"/>
        <w:adjustRightInd w:val="0"/>
        <w:ind w:left="266" w:hanging="266"/>
        <w:textAlignment w:val="baseline"/>
        <w:rPr>
          <w:lang w:val="en-GB"/>
        </w:rPr>
      </w:pPr>
    </w:p>
    <w:p w14:paraId="75D345FF" w14:textId="77777777" w:rsidR="005072F5" w:rsidRPr="002E635F"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45313089" w14:textId="77777777" w:rsidR="005072F5" w:rsidRPr="002E635F"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0B1FDD00" w14:textId="77777777" w:rsidR="005072F5" w:rsidRDefault="005072F5" w:rsidP="005072F5">
      <w:pPr>
        <w:overflowPunct w:val="0"/>
        <w:autoSpaceDE w:val="0"/>
        <w:autoSpaceDN w:val="0"/>
        <w:adjustRightInd w:val="0"/>
        <w:textAlignment w:val="baseline"/>
      </w:pPr>
      <w:r>
        <w:t>El CESE:</w:t>
      </w:r>
    </w:p>
    <w:p w14:paraId="606E0BAF" w14:textId="77777777" w:rsidR="005072F5" w:rsidRPr="002E635F" w:rsidRDefault="005072F5" w:rsidP="005072F5">
      <w:pPr>
        <w:overflowPunct w:val="0"/>
        <w:autoSpaceDE w:val="0"/>
        <w:autoSpaceDN w:val="0"/>
        <w:adjustRightInd w:val="0"/>
        <w:textAlignment w:val="baseline"/>
        <w:rPr>
          <w:bCs/>
          <w:iCs/>
        </w:rPr>
      </w:pPr>
    </w:p>
    <w:p w14:paraId="78C32BBC" w14:textId="77777777" w:rsidR="005072F5" w:rsidRPr="002E635F" w:rsidRDefault="005072F5" w:rsidP="005072F5">
      <w:pPr>
        <w:widowControl w:val="0"/>
        <w:numPr>
          <w:ilvl w:val="0"/>
          <w:numId w:val="68"/>
        </w:numPr>
        <w:overflowPunct w:val="0"/>
        <w:autoSpaceDE w:val="0"/>
        <w:autoSpaceDN w:val="0"/>
        <w:adjustRightInd w:val="0"/>
        <w:ind w:left="284" w:hanging="284"/>
        <w:textAlignment w:val="baseline"/>
        <w:rPr>
          <w:szCs w:val="20"/>
        </w:rPr>
      </w:pPr>
      <w:r>
        <w:t xml:space="preserve">subraya que la IA debe seguir siendo una </w:t>
      </w:r>
      <w:r>
        <w:rPr>
          <w:b/>
        </w:rPr>
        <w:t>herramienta complementaria</w:t>
      </w:r>
      <w:r>
        <w:t xml:space="preserve"> y no sustitutiva, y que la toma de decisiones final en ámbitos sensibles como la salud, la legislación o la fiscalidad debe permanecer bajo </w:t>
      </w:r>
      <w:r>
        <w:rPr>
          <w:b/>
        </w:rPr>
        <w:t>control humano</w:t>
      </w:r>
      <w:r>
        <w:t xml:space="preserve"> para salvaguardar la autonomía profesional y la rendición de cuentas; </w:t>
      </w:r>
    </w:p>
    <w:p w14:paraId="7271D277" w14:textId="77777777" w:rsidR="005072F5" w:rsidRPr="002E635F" w:rsidRDefault="005072F5" w:rsidP="005072F5">
      <w:pPr>
        <w:widowControl w:val="0"/>
        <w:numPr>
          <w:ilvl w:val="0"/>
          <w:numId w:val="68"/>
        </w:numPr>
        <w:overflowPunct w:val="0"/>
        <w:autoSpaceDE w:val="0"/>
        <w:autoSpaceDN w:val="0"/>
        <w:adjustRightInd w:val="0"/>
        <w:ind w:left="284" w:hanging="284"/>
        <w:textAlignment w:val="baseline"/>
        <w:rPr>
          <w:szCs w:val="20"/>
        </w:rPr>
      </w:pPr>
      <w:r>
        <w:t xml:space="preserve">subraya que la tecnología puede aliviar las </w:t>
      </w:r>
      <w:r>
        <w:rPr>
          <w:b/>
        </w:rPr>
        <w:t>cargas administrativas</w:t>
      </w:r>
      <w:r>
        <w:t xml:space="preserve"> y las tareas rutinarias, de manera que los profesionales puedan centrarse en servicios de mayor valor y centrados en el ser humano, mejorando con ello la eficiencia y la calidad de los servicios prestados a la ciudadanía y las empresas;</w:t>
      </w:r>
    </w:p>
    <w:p w14:paraId="13A41326" w14:textId="77777777" w:rsidR="005072F5" w:rsidRPr="002E635F" w:rsidRDefault="005072F5" w:rsidP="005072F5">
      <w:pPr>
        <w:widowControl w:val="0"/>
        <w:numPr>
          <w:ilvl w:val="0"/>
          <w:numId w:val="68"/>
        </w:numPr>
        <w:overflowPunct w:val="0"/>
        <w:autoSpaceDE w:val="0"/>
        <w:autoSpaceDN w:val="0"/>
        <w:adjustRightInd w:val="0"/>
        <w:ind w:left="284" w:hanging="284"/>
        <w:textAlignment w:val="baseline"/>
        <w:rPr>
          <w:szCs w:val="20"/>
        </w:rPr>
      </w:pPr>
      <w:r>
        <w:t xml:space="preserve">insiste en que deben aplicarse al uso de la IA </w:t>
      </w:r>
      <w:r>
        <w:rPr>
          <w:b/>
        </w:rPr>
        <w:t>normas éticas y profesionales</w:t>
      </w:r>
      <w:r>
        <w:t>, que garanticen la transparencia en las decisiones impulsadas por la IA, eviten sesgos y discriminaciones y respeten la privacidad, la protección de datos y los derechos de propiedad intelectual;</w:t>
      </w:r>
    </w:p>
    <w:p w14:paraId="187F4C48" w14:textId="77777777" w:rsidR="005072F5" w:rsidRPr="002E635F" w:rsidRDefault="005072F5" w:rsidP="005072F5">
      <w:pPr>
        <w:widowControl w:val="0"/>
        <w:numPr>
          <w:ilvl w:val="0"/>
          <w:numId w:val="68"/>
        </w:numPr>
        <w:overflowPunct w:val="0"/>
        <w:autoSpaceDE w:val="0"/>
        <w:autoSpaceDN w:val="0"/>
        <w:adjustRightInd w:val="0"/>
        <w:ind w:left="284" w:hanging="284"/>
        <w:textAlignment w:val="baseline"/>
        <w:rPr>
          <w:szCs w:val="20"/>
        </w:rPr>
      </w:pPr>
      <w:r>
        <w:t xml:space="preserve">destaca la necesidad de una </w:t>
      </w:r>
      <w:r>
        <w:rPr>
          <w:b/>
        </w:rPr>
        <w:t>formación continua y</w:t>
      </w:r>
      <w:r>
        <w:t xml:space="preserve"> de </w:t>
      </w:r>
      <w:r>
        <w:rPr>
          <w:b/>
        </w:rPr>
        <w:t>normas profesionales</w:t>
      </w:r>
      <w:r>
        <w:t xml:space="preserve"> para garantizar que las profesiones liberales puedan beneficiarse de la IA. Los comités éticos y las estructuras de gobernanza inclusivas deben estar estrechamente vinculados a la práctica, mientras que el </w:t>
      </w:r>
      <w:r>
        <w:rPr>
          <w:b/>
        </w:rPr>
        <w:t>diálogo social</w:t>
      </w:r>
      <w:r>
        <w:t xml:space="preserve"> y la </w:t>
      </w:r>
      <w:r>
        <w:rPr>
          <w:b/>
        </w:rPr>
        <w:t>participación de los trabajadores</w:t>
      </w:r>
      <w:r>
        <w:t xml:space="preserve"> son fundamentales para determinar qué tareas corresponden a las máquinas y cuáles siguen correspondiendo a los humanos;</w:t>
      </w:r>
    </w:p>
    <w:p w14:paraId="669E37D3" w14:textId="77777777" w:rsidR="005072F5" w:rsidRPr="00C47A12" w:rsidRDefault="005072F5" w:rsidP="005072F5">
      <w:pPr>
        <w:widowControl w:val="0"/>
        <w:numPr>
          <w:ilvl w:val="0"/>
          <w:numId w:val="68"/>
        </w:numPr>
        <w:overflowPunct w:val="0"/>
        <w:autoSpaceDE w:val="0"/>
        <w:autoSpaceDN w:val="0"/>
        <w:adjustRightInd w:val="0"/>
        <w:ind w:left="284" w:hanging="284"/>
        <w:textAlignment w:val="baseline"/>
        <w:rPr>
          <w:szCs w:val="20"/>
        </w:rPr>
      </w:pPr>
      <w:r>
        <w:t xml:space="preserve">considera que la </w:t>
      </w:r>
      <w:r>
        <w:rPr>
          <w:b/>
        </w:rPr>
        <w:t>confianza pública</w:t>
      </w:r>
      <w:r>
        <w:t xml:space="preserve"> requiere un ciclo de desarrollo responsable de la IA que garantice la equidad, la rendición de cuentas y la fiabilidad, con una regulación que aclare las responsabilidades al mismo tiempo que fomenta la innovación y salvaguarda el interés público.</w:t>
      </w:r>
    </w:p>
    <w:p w14:paraId="5ED09967" w14:textId="77777777" w:rsidR="005072F5" w:rsidRPr="002E635F" w:rsidRDefault="005072F5" w:rsidP="005072F5">
      <w:pPr>
        <w:widowControl w:val="0"/>
        <w:overflowPunct w:val="0"/>
        <w:autoSpaceDE w:val="0"/>
        <w:autoSpaceDN w:val="0"/>
        <w:adjustRightInd w:val="0"/>
        <w:ind w:left="567"/>
        <w:textAlignment w:val="baseline"/>
        <w:rPr>
          <w:szCs w:val="20"/>
          <w:lang w:val="en-GB"/>
        </w:rPr>
      </w:pPr>
    </w:p>
    <w:tbl>
      <w:tblPr>
        <w:tblW w:w="4942" w:type="pct"/>
        <w:tblLook w:val="04A0" w:firstRow="1" w:lastRow="0" w:firstColumn="1" w:lastColumn="0" w:noHBand="0" w:noVBand="1"/>
      </w:tblPr>
      <w:tblGrid>
        <w:gridCol w:w="2094"/>
        <w:gridCol w:w="7228"/>
      </w:tblGrid>
      <w:tr w:rsidR="005072F5" w:rsidRPr="002E635F" w14:paraId="282A73AA" w14:textId="77777777" w:rsidTr="00915390">
        <w:tc>
          <w:tcPr>
            <w:tcW w:w="1123" w:type="pct"/>
          </w:tcPr>
          <w:p w14:paraId="0399F903" w14:textId="77777777" w:rsidR="005072F5" w:rsidRPr="002E635F" w:rsidRDefault="005072F5" w:rsidP="00915390">
            <w:pPr>
              <w:overflowPunct w:val="0"/>
              <w:autoSpaceDE w:val="0"/>
              <w:autoSpaceDN w:val="0"/>
              <w:adjustRightInd w:val="0"/>
              <w:textAlignment w:val="baseline"/>
              <w:rPr>
                <w:i/>
              </w:rPr>
            </w:pPr>
            <w:r>
              <w:rPr>
                <w:b/>
                <w:i/>
              </w:rPr>
              <w:t>Contacto:</w:t>
            </w:r>
          </w:p>
        </w:tc>
        <w:tc>
          <w:tcPr>
            <w:tcW w:w="3877" w:type="pct"/>
          </w:tcPr>
          <w:p w14:paraId="44F28D7B" w14:textId="77777777" w:rsidR="005072F5" w:rsidRPr="002E635F" w:rsidRDefault="005072F5" w:rsidP="00915390">
            <w:pPr>
              <w:overflowPunct w:val="0"/>
              <w:autoSpaceDE w:val="0"/>
              <w:autoSpaceDN w:val="0"/>
              <w:adjustRightInd w:val="0"/>
              <w:textAlignment w:val="baseline"/>
              <w:rPr>
                <w:i/>
              </w:rPr>
            </w:pPr>
            <w:r>
              <w:rPr>
                <w:i/>
              </w:rPr>
              <w:t>Yousra Asbouni El Ouahabi</w:t>
            </w:r>
          </w:p>
        </w:tc>
      </w:tr>
      <w:tr w:rsidR="005072F5" w:rsidRPr="002E635F" w14:paraId="7B7E7DB4" w14:textId="77777777" w:rsidTr="00915390">
        <w:tc>
          <w:tcPr>
            <w:tcW w:w="1123" w:type="pct"/>
          </w:tcPr>
          <w:p w14:paraId="7FA3FB46" w14:textId="77777777" w:rsidR="005072F5" w:rsidRPr="002E635F" w:rsidRDefault="005072F5" w:rsidP="00915390">
            <w:pPr>
              <w:overflowPunct w:val="0"/>
              <w:autoSpaceDE w:val="0"/>
              <w:autoSpaceDN w:val="0"/>
              <w:adjustRightInd w:val="0"/>
              <w:textAlignment w:val="baseline"/>
              <w:rPr>
                <w:i/>
              </w:rPr>
            </w:pPr>
            <w:r>
              <w:rPr>
                <w:i/>
              </w:rPr>
              <w:t>Teléfono:</w:t>
            </w:r>
          </w:p>
        </w:tc>
        <w:tc>
          <w:tcPr>
            <w:tcW w:w="3877" w:type="pct"/>
          </w:tcPr>
          <w:p w14:paraId="50EBA750" w14:textId="77777777" w:rsidR="005072F5" w:rsidRPr="002E635F" w:rsidRDefault="005072F5" w:rsidP="00915390">
            <w:pPr>
              <w:overflowPunct w:val="0"/>
              <w:autoSpaceDE w:val="0"/>
              <w:autoSpaceDN w:val="0"/>
              <w:adjustRightInd w:val="0"/>
              <w:textAlignment w:val="baseline"/>
              <w:rPr>
                <w:i/>
              </w:rPr>
            </w:pPr>
            <w:r>
              <w:rPr>
                <w:i/>
              </w:rPr>
              <w:t>+32 2 546 8485</w:t>
            </w:r>
          </w:p>
        </w:tc>
      </w:tr>
      <w:tr w:rsidR="005072F5" w:rsidRPr="002E635F" w14:paraId="41DB7180" w14:textId="77777777" w:rsidTr="00915390">
        <w:tc>
          <w:tcPr>
            <w:tcW w:w="1123" w:type="pct"/>
          </w:tcPr>
          <w:p w14:paraId="3EA953D5" w14:textId="77777777" w:rsidR="005072F5" w:rsidRPr="002E635F" w:rsidRDefault="005072F5" w:rsidP="00915390">
            <w:pPr>
              <w:overflowPunct w:val="0"/>
              <w:autoSpaceDE w:val="0"/>
              <w:autoSpaceDN w:val="0"/>
              <w:adjustRightInd w:val="0"/>
              <w:textAlignment w:val="baseline"/>
              <w:rPr>
                <w:i/>
              </w:rPr>
            </w:pPr>
            <w:r>
              <w:rPr>
                <w:i/>
              </w:rPr>
              <w:t>Correo electrónico:</w:t>
            </w:r>
          </w:p>
        </w:tc>
        <w:tc>
          <w:tcPr>
            <w:tcW w:w="3877" w:type="pct"/>
          </w:tcPr>
          <w:p w14:paraId="0101EC86" w14:textId="77777777" w:rsidR="005072F5" w:rsidRPr="002E635F" w:rsidRDefault="005072F5" w:rsidP="00915390">
            <w:pPr>
              <w:overflowPunct w:val="0"/>
              <w:autoSpaceDE w:val="0"/>
              <w:autoSpaceDN w:val="0"/>
              <w:adjustRightInd w:val="0"/>
              <w:textAlignment w:val="baseline"/>
              <w:rPr>
                <w:i/>
                <w:iCs/>
              </w:rPr>
            </w:pPr>
            <w:hyperlink r:id="rId78" w:history="1">
              <w:r>
                <w:rPr>
                  <w:i/>
                  <w:color w:val="0000FF"/>
                  <w:u w:val="single"/>
                </w:rPr>
                <w:t>Yousra.AsbouniElOuahabi@eesc.europa.eu</w:t>
              </w:r>
            </w:hyperlink>
          </w:p>
        </w:tc>
      </w:tr>
    </w:tbl>
    <w:p w14:paraId="1A9E0469" w14:textId="77777777" w:rsidR="005072F5" w:rsidRPr="00D20AB4" w:rsidRDefault="005072F5" w:rsidP="005072F5">
      <w:pPr>
        <w:jc w:val="left"/>
      </w:pPr>
    </w:p>
    <w:p w14:paraId="3B1BE4F8" w14:textId="77777777" w:rsidR="005072F5" w:rsidRPr="00D20AB4" w:rsidRDefault="005072F5" w:rsidP="005072F5">
      <w:pPr>
        <w:jc w:val="left"/>
      </w:pPr>
      <w:r>
        <w:br w:type="page"/>
      </w:r>
    </w:p>
    <w:p w14:paraId="382BDA1B" w14:textId="77777777" w:rsidR="005072F5" w:rsidRPr="00EA2195" w:rsidRDefault="005072F5" w:rsidP="005072F5">
      <w:pPr>
        <w:widowControl w:val="0"/>
        <w:numPr>
          <w:ilvl w:val="0"/>
          <w:numId w:val="20"/>
        </w:numPr>
        <w:overflowPunct w:val="0"/>
        <w:autoSpaceDE w:val="0"/>
        <w:autoSpaceDN w:val="0"/>
        <w:adjustRightInd w:val="0"/>
        <w:ind w:left="426" w:hanging="426"/>
        <w:contextualSpacing/>
        <w:jc w:val="left"/>
        <w:textAlignment w:val="baseline"/>
        <w:rPr>
          <w:b/>
          <w:sz w:val="28"/>
          <w:szCs w:val="28"/>
        </w:rPr>
      </w:pPr>
      <w:hyperlink r:id="rId79" w:tgtFrame="_blank" w:history="1">
        <w:r>
          <w:rPr>
            <w:b/>
            <w:i/>
            <w:color w:val="0000FF"/>
            <w:sz w:val="28"/>
            <w:u w:val="single"/>
          </w:rPr>
          <w:t>Refuerzo del control del cumplimiento de las normas del mercado único: revisión de los instrumentos y el marco actuales</w:t>
        </w:r>
      </w:hyperlink>
    </w:p>
    <w:p w14:paraId="055B19C0" w14:textId="77777777" w:rsidR="005072F5" w:rsidRPr="00D20AB4" w:rsidRDefault="005072F5" w:rsidP="005072F5">
      <w:pPr>
        <w:widowControl w:val="0"/>
        <w:overflowPunct w:val="0"/>
        <w:autoSpaceDE w:val="0"/>
        <w:autoSpaceDN w:val="0"/>
        <w:adjustRightInd w:val="0"/>
        <w:contextualSpacing/>
        <w:jc w:val="left"/>
        <w:textAlignment w:val="baseline"/>
      </w:pPr>
    </w:p>
    <w:tbl>
      <w:tblPr>
        <w:tblW w:w="4766" w:type="pct"/>
        <w:tblLook w:val="04A0" w:firstRow="1" w:lastRow="0" w:firstColumn="1" w:lastColumn="0" w:noHBand="0" w:noVBand="1"/>
      </w:tblPr>
      <w:tblGrid>
        <w:gridCol w:w="2064"/>
        <w:gridCol w:w="6926"/>
      </w:tblGrid>
      <w:tr w:rsidR="005072F5" w:rsidRPr="002E635F" w14:paraId="3D992785" w14:textId="77777777" w:rsidTr="00915390">
        <w:tc>
          <w:tcPr>
            <w:tcW w:w="1148" w:type="pct"/>
          </w:tcPr>
          <w:p w14:paraId="12F7895C" w14:textId="77777777" w:rsidR="005072F5" w:rsidRPr="002E635F" w:rsidRDefault="005072F5" w:rsidP="00915390">
            <w:pPr>
              <w:tabs>
                <w:tab w:val="center" w:pos="284"/>
              </w:tabs>
              <w:overflowPunct w:val="0"/>
              <w:autoSpaceDE w:val="0"/>
              <w:autoSpaceDN w:val="0"/>
              <w:adjustRightInd w:val="0"/>
              <w:ind w:left="266" w:hanging="376"/>
              <w:textAlignment w:val="baseline"/>
              <w:rPr>
                <w:b/>
              </w:rPr>
            </w:pPr>
            <w:r>
              <w:rPr>
                <w:b/>
              </w:rPr>
              <w:t>Ponente</w:t>
            </w:r>
          </w:p>
        </w:tc>
        <w:tc>
          <w:tcPr>
            <w:tcW w:w="3852" w:type="pct"/>
          </w:tcPr>
          <w:p w14:paraId="3D5D4126" w14:textId="77777777" w:rsidR="005072F5" w:rsidRPr="002E635F" w:rsidRDefault="005072F5" w:rsidP="00915390">
            <w:pPr>
              <w:tabs>
                <w:tab w:val="center" w:pos="284"/>
              </w:tabs>
              <w:overflowPunct w:val="0"/>
              <w:autoSpaceDE w:val="0"/>
              <w:autoSpaceDN w:val="0"/>
              <w:adjustRightInd w:val="0"/>
              <w:ind w:left="266" w:hanging="266"/>
              <w:textAlignment w:val="baseline"/>
            </w:pPr>
            <w:r>
              <w:t>Isabel YGLESIAS (Grupo de Empresarios – ES)</w:t>
            </w:r>
          </w:p>
        </w:tc>
      </w:tr>
      <w:tr w:rsidR="005072F5" w:rsidRPr="002E635F" w14:paraId="3C723BC8" w14:textId="77777777" w:rsidTr="00915390">
        <w:tc>
          <w:tcPr>
            <w:tcW w:w="1148" w:type="pct"/>
            <w:vMerge w:val="restart"/>
          </w:tcPr>
          <w:p w14:paraId="378DF58E" w14:textId="77777777" w:rsidR="005072F5" w:rsidRPr="002E635F" w:rsidRDefault="005072F5" w:rsidP="00915390">
            <w:pPr>
              <w:tabs>
                <w:tab w:val="center" w:pos="284"/>
              </w:tabs>
              <w:overflowPunct w:val="0"/>
              <w:autoSpaceDE w:val="0"/>
              <w:autoSpaceDN w:val="0"/>
              <w:adjustRightInd w:val="0"/>
              <w:ind w:left="266" w:hanging="376"/>
              <w:textAlignment w:val="baseline"/>
              <w:rPr>
                <w:b/>
              </w:rPr>
            </w:pPr>
            <w:r>
              <w:rPr>
                <w:b/>
              </w:rPr>
              <w:t>Referencia</w:t>
            </w:r>
          </w:p>
        </w:tc>
        <w:tc>
          <w:tcPr>
            <w:tcW w:w="3852" w:type="pct"/>
          </w:tcPr>
          <w:p w14:paraId="5C121310" w14:textId="77777777" w:rsidR="005072F5" w:rsidRPr="002E635F" w:rsidRDefault="005072F5" w:rsidP="00915390">
            <w:pPr>
              <w:tabs>
                <w:tab w:val="center" w:pos="284"/>
              </w:tabs>
              <w:overflowPunct w:val="0"/>
              <w:autoSpaceDE w:val="0"/>
              <w:autoSpaceDN w:val="0"/>
              <w:adjustRightInd w:val="0"/>
              <w:ind w:left="266" w:hanging="266"/>
              <w:textAlignment w:val="baseline"/>
            </w:pPr>
            <w:r>
              <w:t>Dictamen de iniciativa</w:t>
            </w:r>
          </w:p>
        </w:tc>
      </w:tr>
      <w:tr w:rsidR="005072F5" w:rsidRPr="002E635F" w14:paraId="044FCE0C" w14:textId="77777777" w:rsidTr="00915390">
        <w:tc>
          <w:tcPr>
            <w:tcW w:w="1148" w:type="pct"/>
            <w:vMerge/>
          </w:tcPr>
          <w:p w14:paraId="056C41E0" w14:textId="77777777" w:rsidR="005072F5" w:rsidRPr="002E635F" w:rsidRDefault="005072F5" w:rsidP="00915390">
            <w:pPr>
              <w:tabs>
                <w:tab w:val="center" w:pos="284"/>
              </w:tabs>
              <w:overflowPunct w:val="0"/>
              <w:autoSpaceDE w:val="0"/>
              <w:autoSpaceDN w:val="0"/>
              <w:adjustRightInd w:val="0"/>
              <w:ind w:left="266" w:hanging="266"/>
              <w:textAlignment w:val="baseline"/>
              <w:rPr>
                <w:b/>
              </w:rPr>
            </w:pPr>
          </w:p>
        </w:tc>
        <w:tc>
          <w:tcPr>
            <w:tcW w:w="3852" w:type="pct"/>
          </w:tcPr>
          <w:p w14:paraId="2527D62A" w14:textId="77777777" w:rsidR="005072F5" w:rsidRPr="002E635F" w:rsidRDefault="005072F5" w:rsidP="00915390">
            <w:pPr>
              <w:tabs>
                <w:tab w:val="center" w:pos="284"/>
              </w:tabs>
              <w:overflowPunct w:val="0"/>
              <w:autoSpaceDE w:val="0"/>
              <w:autoSpaceDN w:val="0"/>
              <w:adjustRightInd w:val="0"/>
              <w:ind w:left="266" w:hanging="266"/>
              <w:textAlignment w:val="baseline"/>
            </w:pPr>
            <w:r>
              <w:t>EESC-2025-01127-00-00-AC</w:t>
            </w:r>
          </w:p>
        </w:tc>
      </w:tr>
    </w:tbl>
    <w:p w14:paraId="04A04C19" w14:textId="77777777" w:rsidR="005072F5" w:rsidRPr="002E635F"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1494153B" w14:textId="77777777" w:rsidR="005072F5" w:rsidRPr="002E635F"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0FFF2A1D" w14:textId="77777777" w:rsidR="005072F5" w:rsidRPr="002E635F"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4AFF5E6B" w14:textId="77777777" w:rsidR="005072F5" w:rsidRDefault="005072F5" w:rsidP="005072F5">
      <w:pPr>
        <w:overflowPunct w:val="0"/>
        <w:autoSpaceDE w:val="0"/>
        <w:autoSpaceDN w:val="0"/>
        <w:adjustRightInd w:val="0"/>
        <w:textAlignment w:val="baseline"/>
      </w:pPr>
      <w:r>
        <w:t>El CESE:</w:t>
      </w:r>
    </w:p>
    <w:p w14:paraId="41D61E71" w14:textId="77777777" w:rsidR="005072F5" w:rsidRPr="002E635F" w:rsidRDefault="005072F5" w:rsidP="005072F5">
      <w:pPr>
        <w:overflowPunct w:val="0"/>
        <w:autoSpaceDE w:val="0"/>
        <w:autoSpaceDN w:val="0"/>
        <w:adjustRightInd w:val="0"/>
        <w:textAlignment w:val="baseline"/>
        <w:rPr>
          <w:bCs/>
          <w:iCs/>
        </w:rPr>
      </w:pPr>
    </w:p>
    <w:p w14:paraId="4E5A9A49" w14:textId="77777777" w:rsidR="005072F5" w:rsidRPr="002E635F" w:rsidRDefault="005072F5" w:rsidP="005072F5">
      <w:pPr>
        <w:widowControl w:val="0"/>
        <w:numPr>
          <w:ilvl w:val="0"/>
          <w:numId w:val="69"/>
        </w:numPr>
        <w:overflowPunct w:val="0"/>
        <w:autoSpaceDE w:val="0"/>
        <w:autoSpaceDN w:val="0"/>
        <w:adjustRightInd w:val="0"/>
        <w:ind w:left="284" w:hanging="284"/>
        <w:textAlignment w:val="baseline"/>
        <w:rPr>
          <w:szCs w:val="20"/>
        </w:rPr>
      </w:pPr>
      <w:r>
        <w:t>destaca el papel esencial que desempeña la política de control del cumplimiento a la hora de reducir la fragmentación del mercado único y pide a la Comisión que aplique un enfoque claro y coordinado entre las herramientas de prevención, de colaboración y de corrección. También hace hincapié en la obligación fundamental que tienen los Estados miembros de aplicar el Derecho de la UE a su debido tiempo y de manera correcta;</w:t>
      </w:r>
    </w:p>
    <w:p w14:paraId="04DDB612" w14:textId="77777777" w:rsidR="005072F5" w:rsidRPr="002E635F" w:rsidRDefault="005072F5" w:rsidP="005072F5">
      <w:pPr>
        <w:widowControl w:val="0"/>
        <w:numPr>
          <w:ilvl w:val="0"/>
          <w:numId w:val="69"/>
        </w:numPr>
        <w:overflowPunct w:val="0"/>
        <w:autoSpaceDE w:val="0"/>
        <w:autoSpaceDN w:val="0"/>
        <w:adjustRightInd w:val="0"/>
        <w:ind w:left="284" w:hanging="284"/>
        <w:textAlignment w:val="baseline"/>
        <w:rPr>
          <w:szCs w:val="20"/>
        </w:rPr>
      </w:pPr>
      <w:r>
        <w:t>considera que la aplicación adecuada del Derecho de la UE debe integrarse en todas las fases del proceso legislativo, y la legislación debe incluir cláusulas relativas al cumplimiento. Asimismo, debe evitarse la sobrerregulación limitando las posibilidades de complementar la legislación de la UE con requisitos adicionales a escala nacional, Aboga por la participación activa de los colegisladores a este respecto, así como de los Estados miembros;</w:t>
      </w:r>
    </w:p>
    <w:p w14:paraId="489E71F5" w14:textId="77777777" w:rsidR="005072F5" w:rsidRPr="002E635F" w:rsidRDefault="005072F5" w:rsidP="005072F5">
      <w:pPr>
        <w:widowControl w:val="0"/>
        <w:numPr>
          <w:ilvl w:val="0"/>
          <w:numId w:val="69"/>
        </w:numPr>
        <w:overflowPunct w:val="0"/>
        <w:autoSpaceDE w:val="0"/>
        <w:autoSpaceDN w:val="0"/>
        <w:adjustRightInd w:val="0"/>
        <w:ind w:left="284" w:hanging="284"/>
        <w:textAlignment w:val="baseline"/>
        <w:rPr>
          <w:szCs w:val="20"/>
        </w:rPr>
      </w:pPr>
      <w:r>
        <w:t>pide a la Comisión que actualice la Comunicación sobre el cumplimiento del Derecho de la UE a fin de reforzar y simplificar los instrumentos de control del cumplimiento y acelerar la tramitación de los procedimientos de infracción, aumentando al mismo tiempo su transparencia;</w:t>
      </w:r>
    </w:p>
    <w:p w14:paraId="01869E4C" w14:textId="77777777" w:rsidR="005072F5" w:rsidRPr="002E635F" w:rsidRDefault="005072F5" w:rsidP="005072F5">
      <w:pPr>
        <w:widowControl w:val="0"/>
        <w:numPr>
          <w:ilvl w:val="0"/>
          <w:numId w:val="69"/>
        </w:numPr>
        <w:overflowPunct w:val="0"/>
        <w:autoSpaceDE w:val="0"/>
        <w:autoSpaceDN w:val="0"/>
        <w:adjustRightInd w:val="0"/>
        <w:ind w:left="284" w:hanging="284"/>
        <w:textAlignment w:val="baseline"/>
        <w:rPr>
          <w:szCs w:val="20"/>
        </w:rPr>
      </w:pPr>
      <w:r>
        <w:t>señala la importancia de utilizar de manera eficiente los procedimientos de infracción, que constituyen el instrumento más sólido para garantizar que los Estados miembros apliquen correctamente el Derecho de la UE, y recomienda reducir la duración de los procedimientos a fin de evitar la inseguridad jurídica, así como aumentar la transparencia;</w:t>
      </w:r>
    </w:p>
    <w:p w14:paraId="2473785E" w14:textId="77777777" w:rsidR="005072F5" w:rsidRPr="002E635F" w:rsidRDefault="005072F5" w:rsidP="005072F5">
      <w:pPr>
        <w:widowControl w:val="0"/>
        <w:numPr>
          <w:ilvl w:val="0"/>
          <w:numId w:val="69"/>
        </w:numPr>
        <w:overflowPunct w:val="0"/>
        <w:autoSpaceDE w:val="0"/>
        <w:autoSpaceDN w:val="0"/>
        <w:adjustRightInd w:val="0"/>
        <w:ind w:left="284" w:hanging="284"/>
        <w:textAlignment w:val="baseline"/>
        <w:rPr>
          <w:szCs w:val="20"/>
        </w:rPr>
      </w:pPr>
      <w:r>
        <w:t>considera que SOLVIT debe mejorarse y vincularse a los demás instrumentos de control del cumplimiento; reforzar el SMET también es una medida necesaria. Además, sería útil explorar nuevas posibilidades para garantizar la aplicación correcta del Derecho de la UE. En este contexto, pide a los Estados miembros que faciliten los recursos necesarios a los futuros sherpas del mercado único;</w:t>
      </w:r>
    </w:p>
    <w:p w14:paraId="7CDD6ECF" w14:textId="77777777" w:rsidR="005072F5" w:rsidRPr="002E635F" w:rsidRDefault="005072F5" w:rsidP="005072F5">
      <w:pPr>
        <w:widowControl w:val="0"/>
        <w:numPr>
          <w:ilvl w:val="0"/>
          <w:numId w:val="69"/>
        </w:numPr>
        <w:overflowPunct w:val="0"/>
        <w:autoSpaceDE w:val="0"/>
        <w:autoSpaceDN w:val="0"/>
        <w:adjustRightInd w:val="0"/>
        <w:ind w:left="284" w:hanging="284"/>
        <w:textAlignment w:val="baseline"/>
        <w:rPr>
          <w:szCs w:val="20"/>
        </w:rPr>
      </w:pPr>
      <w:r>
        <w:t>insta a la Comisión, como guardiana de los Tratados, a que aplique rápidamente medidas concretas para mejorar su política de control del cumplimiento, y a los Estados miembros a que reduzcan los obstáculos existentes y se abstengan de crear otros nuevos.</w:t>
      </w:r>
    </w:p>
    <w:p w14:paraId="55F0FD89" w14:textId="77777777" w:rsidR="005072F5" w:rsidRPr="002E635F" w:rsidRDefault="005072F5" w:rsidP="005072F5">
      <w:pPr>
        <w:widowControl w:val="0"/>
        <w:overflowPunct w:val="0"/>
        <w:autoSpaceDE w:val="0"/>
        <w:autoSpaceDN w:val="0"/>
        <w:adjustRightInd w:val="0"/>
        <w:ind w:left="284" w:hanging="284"/>
        <w:textAlignment w:val="baseline"/>
        <w:rPr>
          <w:szCs w:val="20"/>
          <w:lang w:val="en-GB"/>
        </w:rPr>
      </w:pPr>
    </w:p>
    <w:tbl>
      <w:tblPr>
        <w:tblW w:w="4942" w:type="pct"/>
        <w:tblLook w:val="04A0" w:firstRow="1" w:lastRow="0" w:firstColumn="1" w:lastColumn="0" w:noHBand="0" w:noVBand="1"/>
      </w:tblPr>
      <w:tblGrid>
        <w:gridCol w:w="2235"/>
        <w:gridCol w:w="7087"/>
      </w:tblGrid>
      <w:tr w:rsidR="005072F5" w:rsidRPr="002E635F" w14:paraId="2751BF56" w14:textId="77777777" w:rsidTr="00915390">
        <w:tc>
          <w:tcPr>
            <w:tcW w:w="1199" w:type="pct"/>
          </w:tcPr>
          <w:p w14:paraId="193B5C72" w14:textId="77777777" w:rsidR="005072F5" w:rsidRPr="002E635F" w:rsidRDefault="005072F5" w:rsidP="00915390">
            <w:pPr>
              <w:overflowPunct w:val="0"/>
              <w:autoSpaceDE w:val="0"/>
              <w:autoSpaceDN w:val="0"/>
              <w:adjustRightInd w:val="0"/>
              <w:textAlignment w:val="baseline"/>
              <w:rPr>
                <w:i/>
              </w:rPr>
            </w:pPr>
            <w:r>
              <w:rPr>
                <w:b/>
                <w:i/>
              </w:rPr>
              <w:t>Contacto:</w:t>
            </w:r>
          </w:p>
        </w:tc>
        <w:tc>
          <w:tcPr>
            <w:tcW w:w="3801" w:type="pct"/>
          </w:tcPr>
          <w:p w14:paraId="15563591" w14:textId="77777777" w:rsidR="005072F5" w:rsidRPr="002E635F" w:rsidRDefault="005072F5" w:rsidP="00915390">
            <w:pPr>
              <w:overflowPunct w:val="0"/>
              <w:autoSpaceDE w:val="0"/>
              <w:autoSpaceDN w:val="0"/>
              <w:adjustRightInd w:val="0"/>
              <w:textAlignment w:val="baseline"/>
              <w:rPr>
                <w:i/>
              </w:rPr>
            </w:pPr>
            <w:r>
              <w:rPr>
                <w:i/>
              </w:rPr>
              <w:t>Annalisa Tessarolo</w:t>
            </w:r>
          </w:p>
        </w:tc>
      </w:tr>
      <w:tr w:rsidR="005072F5" w:rsidRPr="002E635F" w14:paraId="6524CB28" w14:textId="77777777" w:rsidTr="00915390">
        <w:tc>
          <w:tcPr>
            <w:tcW w:w="1199" w:type="pct"/>
          </w:tcPr>
          <w:p w14:paraId="062620E9" w14:textId="77777777" w:rsidR="005072F5" w:rsidRPr="002E635F" w:rsidRDefault="005072F5" w:rsidP="00915390">
            <w:pPr>
              <w:overflowPunct w:val="0"/>
              <w:autoSpaceDE w:val="0"/>
              <w:autoSpaceDN w:val="0"/>
              <w:adjustRightInd w:val="0"/>
              <w:textAlignment w:val="baseline"/>
              <w:rPr>
                <w:i/>
              </w:rPr>
            </w:pPr>
            <w:r>
              <w:rPr>
                <w:i/>
              </w:rPr>
              <w:t>Teléfono:</w:t>
            </w:r>
          </w:p>
        </w:tc>
        <w:tc>
          <w:tcPr>
            <w:tcW w:w="3801" w:type="pct"/>
          </w:tcPr>
          <w:p w14:paraId="7FC935E0" w14:textId="77777777" w:rsidR="005072F5" w:rsidRPr="002E635F" w:rsidRDefault="005072F5" w:rsidP="00915390">
            <w:pPr>
              <w:overflowPunct w:val="0"/>
              <w:autoSpaceDE w:val="0"/>
              <w:autoSpaceDN w:val="0"/>
              <w:adjustRightInd w:val="0"/>
              <w:textAlignment w:val="baseline"/>
              <w:rPr>
                <w:i/>
              </w:rPr>
            </w:pPr>
            <w:r>
              <w:rPr>
                <w:i/>
              </w:rPr>
              <w:t>+32 2 546 9732</w:t>
            </w:r>
          </w:p>
        </w:tc>
      </w:tr>
      <w:tr w:rsidR="005072F5" w:rsidRPr="002E635F" w14:paraId="4DE1F46B" w14:textId="77777777" w:rsidTr="00915390">
        <w:tc>
          <w:tcPr>
            <w:tcW w:w="1199" w:type="pct"/>
          </w:tcPr>
          <w:p w14:paraId="4F92B63D" w14:textId="77777777" w:rsidR="005072F5" w:rsidRPr="002E635F" w:rsidRDefault="005072F5" w:rsidP="00915390">
            <w:pPr>
              <w:overflowPunct w:val="0"/>
              <w:autoSpaceDE w:val="0"/>
              <w:autoSpaceDN w:val="0"/>
              <w:adjustRightInd w:val="0"/>
              <w:textAlignment w:val="baseline"/>
              <w:rPr>
                <w:i/>
              </w:rPr>
            </w:pPr>
            <w:r>
              <w:rPr>
                <w:i/>
              </w:rPr>
              <w:t>Correo electrónico:</w:t>
            </w:r>
          </w:p>
        </w:tc>
        <w:tc>
          <w:tcPr>
            <w:tcW w:w="3801" w:type="pct"/>
          </w:tcPr>
          <w:p w14:paraId="4A6633E7" w14:textId="77777777" w:rsidR="005072F5" w:rsidRPr="002E635F" w:rsidRDefault="005072F5" w:rsidP="00915390">
            <w:pPr>
              <w:overflowPunct w:val="0"/>
              <w:autoSpaceDE w:val="0"/>
              <w:autoSpaceDN w:val="0"/>
              <w:adjustRightInd w:val="0"/>
              <w:textAlignment w:val="baseline"/>
              <w:rPr>
                <w:i/>
                <w:iCs/>
              </w:rPr>
            </w:pPr>
            <w:hyperlink r:id="rId80" w:history="1">
              <w:r>
                <w:rPr>
                  <w:i/>
                  <w:color w:val="0000FF"/>
                  <w:u w:val="single"/>
                </w:rPr>
                <w:t>Annalisa.Tessarolo@eesc.europa.eu</w:t>
              </w:r>
            </w:hyperlink>
          </w:p>
        </w:tc>
      </w:tr>
    </w:tbl>
    <w:p w14:paraId="706A7BFE" w14:textId="77777777" w:rsidR="005072F5" w:rsidRDefault="005072F5" w:rsidP="005072F5">
      <w:pPr>
        <w:jc w:val="left"/>
        <w:rPr>
          <w:b/>
          <w:i/>
          <w:sz w:val="28"/>
          <w:szCs w:val="28"/>
          <w:lang w:val="en-GB"/>
        </w:rPr>
      </w:pPr>
    </w:p>
    <w:p w14:paraId="4023B848" w14:textId="77777777" w:rsidR="005072F5" w:rsidRDefault="005072F5" w:rsidP="005072F5">
      <w:pPr>
        <w:jc w:val="left"/>
        <w:rPr>
          <w:b/>
          <w:i/>
          <w:sz w:val="28"/>
          <w:szCs w:val="28"/>
        </w:rPr>
      </w:pPr>
      <w:r>
        <w:br w:type="page"/>
      </w:r>
    </w:p>
    <w:p w14:paraId="3561897C" w14:textId="77777777" w:rsidR="005072F5" w:rsidRPr="0031520F" w:rsidRDefault="005072F5" w:rsidP="005072F5">
      <w:pPr>
        <w:widowControl w:val="0"/>
        <w:numPr>
          <w:ilvl w:val="0"/>
          <w:numId w:val="3"/>
        </w:numPr>
        <w:overflowPunct w:val="0"/>
        <w:autoSpaceDE w:val="0"/>
        <w:autoSpaceDN w:val="0"/>
        <w:adjustRightInd w:val="0"/>
        <w:ind w:hanging="567"/>
        <w:textAlignment w:val="baseline"/>
        <w:rPr>
          <w:sz w:val="20"/>
          <w:szCs w:val="20"/>
        </w:rPr>
      </w:pPr>
      <w:hyperlink r:id="rId81" w:history="1">
        <w:r>
          <w:rPr>
            <w:b/>
            <w:i/>
            <w:color w:val="0000FF"/>
            <w:sz w:val="28"/>
            <w:u w:val="single"/>
          </w:rPr>
          <w:t>Los determinantes comerciales de la salud</w:t>
        </w:r>
      </w:hyperlink>
      <w:r>
        <w:rPr>
          <w:rFonts w:ascii="Candara" w:hAnsi="Candara"/>
          <w:b/>
          <w:sz w:val="28"/>
        </w:rPr>
        <w:t xml:space="preserve"> </w:t>
      </w:r>
    </w:p>
    <w:p w14:paraId="79E42007" w14:textId="77777777" w:rsidR="005072F5" w:rsidRPr="0031520F" w:rsidRDefault="005072F5" w:rsidP="005072F5">
      <w:pPr>
        <w:tabs>
          <w:tab w:val="center" w:pos="284"/>
        </w:tabs>
        <w:overflowPunct w:val="0"/>
        <w:autoSpaceDE w:val="0"/>
        <w:autoSpaceDN w:val="0"/>
        <w:adjustRightInd w:val="0"/>
        <w:ind w:left="266" w:hanging="266"/>
        <w:textAlignment w:val="baseline"/>
        <w:rPr>
          <w:b/>
          <w:lang w:val="fr-BE"/>
        </w:rPr>
      </w:pPr>
    </w:p>
    <w:tbl>
      <w:tblPr>
        <w:tblW w:w="5000" w:type="pct"/>
        <w:tblLook w:val="04A0" w:firstRow="1" w:lastRow="0" w:firstColumn="1" w:lastColumn="0" w:noHBand="0" w:noVBand="1"/>
      </w:tblPr>
      <w:tblGrid>
        <w:gridCol w:w="1950"/>
        <w:gridCol w:w="7481"/>
      </w:tblGrid>
      <w:tr w:rsidR="005072F5" w:rsidRPr="0031520F" w14:paraId="7E48712B" w14:textId="77777777" w:rsidTr="00915390">
        <w:trPr>
          <w:trHeight w:val="355"/>
        </w:trPr>
        <w:tc>
          <w:tcPr>
            <w:tcW w:w="1034" w:type="pct"/>
          </w:tcPr>
          <w:p w14:paraId="3FAD9F69" w14:textId="77777777" w:rsidR="005072F5" w:rsidRPr="0031520F"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3966" w:type="pct"/>
          </w:tcPr>
          <w:p w14:paraId="02C94428" w14:textId="77777777" w:rsidR="005072F5" w:rsidRPr="0031520F" w:rsidRDefault="005072F5" w:rsidP="00915390">
            <w:pPr>
              <w:tabs>
                <w:tab w:val="center" w:pos="0"/>
              </w:tabs>
              <w:overflowPunct w:val="0"/>
              <w:autoSpaceDE w:val="0"/>
              <w:autoSpaceDN w:val="0"/>
              <w:adjustRightInd w:val="0"/>
              <w:ind w:left="35" w:hanging="35"/>
              <w:textAlignment w:val="baseline"/>
            </w:pPr>
            <w:r>
              <w:t>Alain COHEUR (Grupo de Organizaciones de la Sociedad Civil – BE)</w:t>
            </w:r>
          </w:p>
        </w:tc>
      </w:tr>
      <w:tr w:rsidR="005072F5" w:rsidRPr="0031520F" w14:paraId="77CBF025" w14:textId="77777777" w:rsidTr="00915390">
        <w:trPr>
          <w:trHeight w:val="355"/>
        </w:trPr>
        <w:tc>
          <w:tcPr>
            <w:tcW w:w="1034" w:type="pct"/>
          </w:tcPr>
          <w:p w14:paraId="3C2A7922" w14:textId="77777777" w:rsidR="005072F5" w:rsidRPr="0031520F"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3966" w:type="pct"/>
          </w:tcPr>
          <w:p w14:paraId="4475D728" w14:textId="77777777" w:rsidR="005072F5" w:rsidRPr="00061E08" w:rsidRDefault="005072F5" w:rsidP="00915390">
            <w:pPr>
              <w:tabs>
                <w:tab w:val="center" w:pos="0"/>
              </w:tabs>
              <w:overflowPunct w:val="0"/>
              <w:autoSpaceDE w:val="0"/>
              <w:autoSpaceDN w:val="0"/>
              <w:adjustRightInd w:val="0"/>
              <w:ind w:left="35" w:hanging="35"/>
              <w:textAlignment w:val="baseline"/>
            </w:pPr>
            <w:r>
              <w:t>Christophe LEFÈVRE (Grupo de Trabajadores – FR)</w:t>
            </w:r>
          </w:p>
        </w:tc>
      </w:tr>
      <w:tr w:rsidR="005072F5" w:rsidRPr="0031520F" w14:paraId="51637548" w14:textId="77777777" w:rsidTr="00915390">
        <w:trPr>
          <w:trHeight w:val="525"/>
        </w:trPr>
        <w:tc>
          <w:tcPr>
            <w:tcW w:w="1034" w:type="pct"/>
          </w:tcPr>
          <w:p w14:paraId="65C8BABE" w14:textId="77777777" w:rsidR="005072F5" w:rsidRPr="0031520F"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3966" w:type="pct"/>
          </w:tcPr>
          <w:p w14:paraId="60B0FC3D" w14:textId="77777777" w:rsidR="005072F5" w:rsidRPr="0031520F" w:rsidRDefault="005072F5" w:rsidP="00915390">
            <w:pPr>
              <w:tabs>
                <w:tab w:val="center" w:pos="284"/>
              </w:tabs>
              <w:overflowPunct w:val="0"/>
              <w:autoSpaceDE w:val="0"/>
              <w:autoSpaceDN w:val="0"/>
              <w:adjustRightInd w:val="0"/>
              <w:ind w:left="266" w:hanging="266"/>
              <w:textAlignment w:val="baseline"/>
            </w:pPr>
            <w:r>
              <w:t>Dictamen de iniciativa</w:t>
            </w:r>
          </w:p>
          <w:p w14:paraId="00C99B9D" w14:textId="77777777" w:rsidR="005072F5" w:rsidRPr="0031520F" w:rsidRDefault="005072F5" w:rsidP="00915390">
            <w:pPr>
              <w:tabs>
                <w:tab w:val="center" w:pos="284"/>
              </w:tabs>
              <w:overflowPunct w:val="0"/>
              <w:autoSpaceDE w:val="0"/>
              <w:autoSpaceDN w:val="0"/>
              <w:adjustRightInd w:val="0"/>
              <w:ind w:left="266" w:hanging="266"/>
              <w:textAlignment w:val="baseline"/>
            </w:pPr>
            <w:r>
              <w:t>EESC-2025-00420-00-00-AC</w:t>
            </w:r>
          </w:p>
        </w:tc>
      </w:tr>
    </w:tbl>
    <w:p w14:paraId="6F971B2E" w14:textId="77777777" w:rsidR="005072F5" w:rsidRPr="0031520F"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12FA98B8" w14:textId="77777777" w:rsidR="005072F5" w:rsidRPr="0031520F"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32C178A0" w14:textId="77777777" w:rsidR="005072F5" w:rsidRPr="0031520F" w:rsidRDefault="005072F5" w:rsidP="005072F5">
      <w:pPr>
        <w:keepNext/>
        <w:keepLines/>
        <w:tabs>
          <w:tab w:val="center" w:pos="284"/>
        </w:tabs>
        <w:overflowPunct w:val="0"/>
        <w:autoSpaceDE w:val="0"/>
        <w:autoSpaceDN w:val="0"/>
        <w:adjustRightInd w:val="0"/>
        <w:ind w:left="266" w:hanging="266"/>
        <w:textAlignment w:val="baseline"/>
        <w:rPr>
          <w:bCs/>
          <w:lang w:val="en-GB"/>
        </w:rPr>
      </w:pPr>
    </w:p>
    <w:p w14:paraId="433D6B4A" w14:textId="77777777" w:rsidR="005072F5" w:rsidRDefault="005072F5" w:rsidP="005072F5">
      <w:pPr>
        <w:overflowPunct w:val="0"/>
        <w:autoSpaceDE w:val="0"/>
        <w:autoSpaceDN w:val="0"/>
        <w:adjustRightInd w:val="0"/>
        <w:textAlignment w:val="baseline"/>
      </w:pPr>
      <w:r>
        <w:t>El CESE:</w:t>
      </w:r>
    </w:p>
    <w:p w14:paraId="2649D591" w14:textId="77777777" w:rsidR="005072F5" w:rsidRPr="0007712E" w:rsidRDefault="005072F5" w:rsidP="005072F5">
      <w:pPr>
        <w:overflowPunct w:val="0"/>
        <w:autoSpaceDE w:val="0"/>
        <w:autoSpaceDN w:val="0"/>
        <w:adjustRightInd w:val="0"/>
        <w:textAlignment w:val="baseline"/>
        <w:rPr>
          <w:szCs w:val="20"/>
        </w:rPr>
      </w:pPr>
    </w:p>
    <w:p w14:paraId="7992F3CA" w14:textId="77777777" w:rsidR="005072F5" w:rsidRPr="0031520F" w:rsidRDefault="005072F5" w:rsidP="005072F5">
      <w:pPr>
        <w:numPr>
          <w:ilvl w:val="0"/>
          <w:numId w:val="70"/>
        </w:numPr>
        <w:overflowPunct w:val="0"/>
        <w:autoSpaceDE w:val="0"/>
        <w:autoSpaceDN w:val="0"/>
        <w:adjustRightInd w:val="0"/>
        <w:ind w:left="284" w:hanging="284"/>
        <w:contextualSpacing/>
        <w:jc w:val="left"/>
        <w:textAlignment w:val="baseline"/>
        <w:rPr>
          <w:bCs/>
          <w:iCs/>
        </w:rPr>
      </w:pPr>
      <w:r>
        <w:t xml:space="preserve">destaca la urgencia de un </w:t>
      </w:r>
      <w:r>
        <w:rPr>
          <w:b/>
        </w:rPr>
        <w:t>enfoque global, preventivo y basado en los derechos humanos para abordar los determinantes comerciales de la salud</w:t>
      </w:r>
      <w:r>
        <w:t>, que se definen como estrategias de agentes privados que socavan la salud pública y los equilibrios democráticos;</w:t>
      </w:r>
    </w:p>
    <w:p w14:paraId="159F7D9A" w14:textId="77777777" w:rsidR="005072F5" w:rsidRPr="0031520F" w:rsidRDefault="005072F5" w:rsidP="005072F5">
      <w:pPr>
        <w:numPr>
          <w:ilvl w:val="0"/>
          <w:numId w:val="70"/>
        </w:numPr>
        <w:overflowPunct w:val="0"/>
        <w:autoSpaceDE w:val="0"/>
        <w:autoSpaceDN w:val="0"/>
        <w:adjustRightInd w:val="0"/>
        <w:ind w:left="284" w:hanging="284"/>
        <w:contextualSpacing/>
        <w:jc w:val="left"/>
        <w:textAlignment w:val="baseline"/>
        <w:rPr>
          <w:bCs/>
          <w:iCs/>
        </w:rPr>
      </w:pPr>
      <w:r>
        <w:t xml:space="preserve">pide a la Unión y a sus Estados miembros que adopten políticas ambiciosas y una financiación estratégica, en particular a través del próximo marco financiero plurianual 2028-2034, para convertir </w:t>
      </w:r>
      <w:r>
        <w:rPr>
          <w:b/>
        </w:rPr>
        <w:t>la salud en un pilar central de la resiliencia europea, especialmente con vistas a la prevención</w:t>
      </w:r>
      <w:r>
        <w:t>;</w:t>
      </w:r>
    </w:p>
    <w:p w14:paraId="22A2421B" w14:textId="77777777" w:rsidR="005072F5" w:rsidRPr="0031520F" w:rsidRDefault="005072F5" w:rsidP="005072F5">
      <w:pPr>
        <w:numPr>
          <w:ilvl w:val="0"/>
          <w:numId w:val="70"/>
        </w:numPr>
        <w:overflowPunct w:val="0"/>
        <w:autoSpaceDE w:val="0"/>
        <w:autoSpaceDN w:val="0"/>
        <w:adjustRightInd w:val="0"/>
        <w:ind w:left="284" w:hanging="284"/>
        <w:contextualSpacing/>
        <w:jc w:val="left"/>
        <w:textAlignment w:val="baseline"/>
        <w:rPr>
          <w:bCs/>
          <w:iCs/>
        </w:rPr>
      </w:pPr>
      <w:r>
        <w:t xml:space="preserve">aboga por el establecimiento de un </w:t>
      </w:r>
      <w:r>
        <w:rPr>
          <w:b/>
        </w:rPr>
        <w:t>marco normativo equilibrado que permita a las empresas efectuar una transición hacia modelos que respeten la salud pública</w:t>
      </w:r>
      <w:r>
        <w:t>, integrando el principio de precaución, la transparencia y cláusulas de diligencia debida en las políticas públicas;</w:t>
      </w:r>
    </w:p>
    <w:p w14:paraId="45CED263" w14:textId="77777777" w:rsidR="005072F5" w:rsidRPr="0031520F" w:rsidRDefault="005072F5" w:rsidP="005072F5">
      <w:pPr>
        <w:numPr>
          <w:ilvl w:val="0"/>
          <w:numId w:val="70"/>
        </w:numPr>
        <w:overflowPunct w:val="0"/>
        <w:autoSpaceDE w:val="0"/>
        <w:autoSpaceDN w:val="0"/>
        <w:adjustRightInd w:val="0"/>
        <w:ind w:left="284" w:hanging="284"/>
        <w:contextualSpacing/>
        <w:jc w:val="left"/>
        <w:textAlignment w:val="baseline"/>
        <w:rPr>
          <w:bCs/>
          <w:iCs/>
        </w:rPr>
      </w:pPr>
      <w:r>
        <w:t xml:space="preserve">apoya la creación de un </w:t>
      </w:r>
      <w:r>
        <w:rPr>
          <w:b/>
        </w:rPr>
        <w:t>observatorio europeo de los determinantes comerciales de la salud</w:t>
      </w:r>
      <w:r>
        <w:t xml:space="preserve"> bajo los auspicios del Centro Europeo para la Prevención y el Control de las Enfermedades (ECDC), así como de una </w:t>
      </w:r>
      <w:r>
        <w:rPr>
          <w:b/>
        </w:rPr>
        <w:t>certificación europea de «empresa responsable para la salud»</w:t>
      </w:r>
      <w:r>
        <w:t xml:space="preserve"> que se conceda según criterios rigurosos y se inspire en la economía social y solidaria;</w:t>
      </w:r>
    </w:p>
    <w:p w14:paraId="2A69EBDE" w14:textId="77777777" w:rsidR="005072F5" w:rsidRPr="0031520F" w:rsidRDefault="005072F5" w:rsidP="005072F5">
      <w:pPr>
        <w:numPr>
          <w:ilvl w:val="0"/>
          <w:numId w:val="70"/>
        </w:numPr>
        <w:overflowPunct w:val="0"/>
        <w:autoSpaceDE w:val="0"/>
        <w:autoSpaceDN w:val="0"/>
        <w:adjustRightInd w:val="0"/>
        <w:ind w:left="284" w:hanging="284"/>
        <w:contextualSpacing/>
        <w:jc w:val="left"/>
        <w:textAlignment w:val="baseline"/>
        <w:rPr>
          <w:bCs/>
          <w:iCs/>
        </w:rPr>
      </w:pPr>
      <w:r>
        <w:t xml:space="preserve">aboga por la </w:t>
      </w:r>
      <w:r>
        <w:rPr>
          <w:b/>
        </w:rPr>
        <w:t>participación activa de la sociedad civil y las organizaciones de pacientes</w:t>
      </w:r>
      <w:r>
        <w:t xml:space="preserve"> en todas las fases de elaboración y evaluación de las políticas sanitarias, garantizando al mismo tiempo la transparencia de la financiación y la independencia respecto de las industrias influyentes.</w:t>
      </w:r>
    </w:p>
    <w:p w14:paraId="3C8A7D90" w14:textId="77777777" w:rsidR="005072F5" w:rsidRPr="0031520F" w:rsidRDefault="005072F5" w:rsidP="005072F5">
      <w:pPr>
        <w:overflowPunct w:val="0"/>
        <w:autoSpaceDE w:val="0"/>
        <w:autoSpaceDN w:val="0"/>
        <w:adjustRightInd w:val="0"/>
        <w:textAlignment w:val="baseline"/>
        <w:rPr>
          <w:szCs w:val="20"/>
        </w:rPr>
      </w:pPr>
    </w:p>
    <w:tbl>
      <w:tblPr>
        <w:tblW w:w="5000" w:type="pct"/>
        <w:tblLook w:val="04A0" w:firstRow="1" w:lastRow="0" w:firstColumn="1" w:lastColumn="0" w:noHBand="0" w:noVBand="1"/>
      </w:tblPr>
      <w:tblGrid>
        <w:gridCol w:w="2094"/>
        <w:gridCol w:w="7337"/>
      </w:tblGrid>
      <w:tr w:rsidR="005072F5" w:rsidRPr="0031520F" w14:paraId="043EA740" w14:textId="77777777" w:rsidTr="00915390">
        <w:tc>
          <w:tcPr>
            <w:tcW w:w="1110" w:type="pct"/>
          </w:tcPr>
          <w:p w14:paraId="27FFD5F4" w14:textId="77777777" w:rsidR="005072F5" w:rsidRPr="0031520F" w:rsidRDefault="005072F5" w:rsidP="00915390">
            <w:pPr>
              <w:overflowPunct w:val="0"/>
              <w:autoSpaceDE w:val="0"/>
              <w:autoSpaceDN w:val="0"/>
              <w:adjustRightInd w:val="0"/>
              <w:textAlignment w:val="baseline"/>
              <w:rPr>
                <w:i/>
              </w:rPr>
            </w:pPr>
            <w:r>
              <w:rPr>
                <w:b/>
                <w:i/>
              </w:rPr>
              <w:t>Contacto:</w:t>
            </w:r>
          </w:p>
        </w:tc>
        <w:tc>
          <w:tcPr>
            <w:tcW w:w="3890" w:type="pct"/>
          </w:tcPr>
          <w:p w14:paraId="1CBFC6E9" w14:textId="77777777" w:rsidR="005072F5" w:rsidRPr="0031520F" w:rsidRDefault="005072F5" w:rsidP="00915390">
            <w:pPr>
              <w:overflowPunct w:val="0"/>
              <w:autoSpaceDE w:val="0"/>
              <w:autoSpaceDN w:val="0"/>
              <w:adjustRightInd w:val="0"/>
              <w:textAlignment w:val="baseline"/>
              <w:rPr>
                <w:i/>
              </w:rPr>
            </w:pPr>
            <w:r>
              <w:rPr>
                <w:i/>
              </w:rPr>
              <w:t>Silvia Staffa</w:t>
            </w:r>
          </w:p>
        </w:tc>
      </w:tr>
      <w:tr w:rsidR="005072F5" w:rsidRPr="0031520F" w14:paraId="645499AE" w14:textId="77777777" w:rsidTr="00915390">
        <w:tc>
          <w:tcPr>
            <w:tcW w:w="1110" w:type="pct"/>
          </w:tcPr>
          <w:p w14:paraId="72A2E41D" w14:textId="77777777" w:rsidR="005072F5" w:rsidRPr="0031520F" w:rsidRDefault="005072F5" w:rsidP="00915390">
            <w:pPr>
              <w:overflowPunct w:val="0"/>
              <w:autoSpaceDE w:val="0"/>
              <w:autoSpaceDN w:val="0"/>
              <w:adjustRightInd w:val="0"/>
              <w:textAlignment w:val="baseline"/>
              <w:rPr>
                <w:i/>
              </w:rPr>
            </w:pPr>
            <w:r>
              <w:rPr>
                <w:i/>
              </w:rPr>
              <w:t>Teléfono:</w:t>
            </w:r>
          </w:p>
        </w:tc>
        <w:tc>
          <w:tcPr>
            <w:tcW w:w="3890" w:type="pct"/>
          </w:tcPr>
          <w:p w14:paraId="6E1630A2" w14:textId="77777777" w:rsidR="005072F5" w:rsidRPr="0031520F" w:rsidRDefault="005072F5" w:rsidP="00915390">
            <w:pPr>
              <w:overflowPunct w:val="0"/>
              <w:autoSpaceDE w:val="0"/>
              <w:autoSpaceDN w:val="0"/>
              <w:adjustRightInd w:val="0"/>
              <w:textAlignment w:val="baseline"/>
              <w:rPr>
                <w:i/>
              </w:rPr>
            </w:pPr>
            <w:r>
              <w:rPr>
                <w:i/>
              </w:rPr>
              <w:t>+ 32 2 546 8378</w:t>
            </w:r>
          </w:p>
        </w:tc>
      </w:tr>
      <w:tr w:rsidR="005072F5" w:rsidRPr="0031520F" w14:paraId="64CD5947" w14:textId="77777777" w:rsidTr="00915390">
        <w:tc>
          <w:tcPr>
            <w:tcW w:w="1110" w:type="pct"/>
          </w:tcPr>
          <w:p w14:paraId="1C989888" w14:textId="77777777" w:rsidR="005072F5" w:rsidRPr="0031520F" w:rsidRDefault="005072F5" w:rsidP="00915390">
            <w:pPr>
              <w:overflowPunct w:val="0"/>
              <w:autoSpaceDE w:val="0"/>
              <w:autoSpaceDN w:val="0"/>
              <w:adjustRightInd w:val="0"/>
              <w:textAlignment w:val="baseline"/>
              <w:rPr>
                <w:i/>
              </w:rPr>
            </w:pPr>
            <w:r>
              <w:rPr>
                <w:i/>
              </w:rPr>
              <w:t>Correo electrónico:</w:t>
            </w:r>
          </w:p>
        </w:tc>
        <w:tc>
          <w:tcPr>
            <w:tcW w:w="3890" w:type="pct"/>
          </w:tcPr>
          <w:p w14:paraId="25205799" w14:textId="77777777" w:rsidR="005072F5" w:rsidRPr="0031520F" w:rsidRDefault="005072F5" w:rsidP="00915390">
            <w:pPr>
              <w:overflowPunct w:val="0"/>
              <w:autoSpaceDE w:val="0"/>
              <w:autoSpaceDN w:val="0"/>
              <w:adjustRightInd w:val="0"/>
              <w:textAlignment w:val="baseline"/>
              <w:rPr>
                <w:i/>
                <w:iCs/>
              </w:rPr>
            </w:pPr>
            <w:hyperlink r:id="rId82" w:history="1">
              <w:r>
                <w:rPr>
                  <w:i/>
                  <w:color w:val="0000FF"/>
                  <w:u w:val="single"/>
                </w:rPr>
                <w:t>Silvia.Staffa@eesc.europa.eu</w:t>
              </w:r>
            </w:hyperlink>
          </w:p>
        </w:tc>
      </w:tr>
    </w:tbl>
    <w:p w14:paraId="34E6EAAF" w14:textId="77777777" w:rsidR="005072F5" w:rsidRDefault="005072F5" w:rsidP="005072F5">
      <w:pPr>
        <w:jc w:val="left"/>
        <w:rPr>
          <w:b/>
          <w:i/>
          <w:sz w:val="28"/>
          <w:szCs w:val="28"/>
          <w:lang w:val="en-GB"/>
        </w:rPr>
      </w:pPr>
    </w:p>
    <w:p w14:paraId="19C61903" w14:textId="77777777" w:rsidR="005072F5" w:rsidRDefault="005072F5" w:rsidP="005072F5">
      <w:pPr>
        <w:jc w:val="left"/>
        <w:rPr>
          <w:b/>
          <w:i/>
          <w:sz w:val="28"/>
          <w:szCs w:val="28"/>
        </w:rPr>
      </w:pPr>
      <w:r>
        <w:br w:type="page"/>
      </w:r>
    </w:p>
    <w:p w14:paraId="5FBA4EF8" w14:textId="77777777" w:rsidR="005072F5" w:rsidRDefault="005072F5" w:rsidP="005072F5">
      <w:pPr>
        <w:pStyle w:val="Heading1"/>
        <w:keepNext/>
        <w:keepLines/>
        <w:rPr>
          <w:b/>
        </w:rPr>
      </w:pPr>
      <w:bookmarkStart w:id="119" w:name="_Toc210738629"/>
      <w:bookmarkStart w:id="120" w:name="_Toc70322234"/>
      <w:bookmarkStart w:id="121" w:name="_Toc75527084"/>
      <w:bookmarkEnd w:id="119"/>
      <w:r>
        <w:rPr>
          <w:b/>
        </w:rPr>
        <w:lastRenderedPageBreak/>
        <w:tab/>
      </w:r>
      <w:bookmarkStart w:id="122" w:name="_Toc211345377"/>
      <w:r>
        <w:rPr>
          <w:b/>
        </w:rPr>
        <w:t>AGRICULTURA, DESARROLLO RURAL Y MEDIO AMBIENTE</w:t>
      </w:r>
      <w:bookmarkEnd w:id="120"/>
      <w:bookmarkEnd w:id="121"/>
      <w:bookmarkEnd w:id="122"/>
    </w:p>
    <w:p w14:paraId="097479DB" w14:textId="77777777" w:rsidR="005072F5" w:rsidRPr="00D04656" w:rsidRDefault="005072F5" w:rsidP="005072F5">
      <w:pPr>
        <w:keepNext/>
        <w:keepLines/>
        <w:rPr>
          <w:sz w:val="16"/>
          <w:szCs w:val="16"/>
        </w:rPr>
      </w:pPr>
    </w:p>
    <w:p w14:paraId="54738067" w14:textId="77777777" w:rsidR="005072F5" w:rsidRPr="00752D51" w:rsidRDefault="005072F5" w:rsidP="005072F5">
      <w:pPr>
        <w:keepNext/>
        <w:keepLines/>
        <w:numPr>
          <w:ilvl w:val="0"/>
          <w:numId w:val="23"/>
        </w:numPr>
        <w:overflowPunct w:val="0"/>
        <w:autoSpaceDE w:val="0"/>
        <w:autoSpaceDN w:val="0"/>
        <w:adjustRightInd w:val="0"/>
        <w:ind w:left="567" w:hanging="567"/>
        <w:contextualSpacing/>
        <w:textAlignment w:val="baseline"/>
        <w:rPr>
          <w:i/>
          <w:iCs/>
        </w:rPr>
      </w:pPr>
      <w:hyperlink r:id="rId83" w:history="1">
        <w:r>
          <w:rPr>
            <w:b/>
            <w:i/>
            <w:color w:val="0000FF"/>
            <w:sz w:val="28"/>
            <w:u w:val="single"/>
          </w:rPr>
          <w:t>Revisión de la Legislación Europea sobre el Clima</w:t>
        </w:r>
      </w:hyperlink>
    </w:p>
    <w:p w14:paraId="6E11D1F2" w14:textId="77777777" w:rsidR="005072F5" w:rsidRPr="00D04656" w:rsidRDefault="005072F5" w:rsidP="005072F5">
      <w:pPr>
        <w:keepNext/>
        <w:keepLines/>
        <w:widowControl w:val="0"/>
        <w:overflowPunct w:val="0"/>
        <w:autoSpaceDE w:val="0"/>
        <w:autoSpaceDN w:val="0"/>
        <w:adjustRightInd w:val="0"/>
        <w:ind w:left="567"/>
        <w:textAlignment w:val="baseline"/>
        <w:rPr>
          <w:bCs/>
          <w:sz w:val="16"/>
          <w:szCs w:val="16"/>
          <w:lang w:val="en-GB"/>
        </w:rPr>
      </w:pPr>
    </w:p>
    <w:tbl>
      <w:tblPr>
        <w:tblW w:w="9322" w:type="dxa"/>
        <w:tblLook w:val="04A0" w:firstRow="1" w:lastRow="0" w:firstColumn="1" w:lastColumn="0" w:noHBand="0" w:noVBand="1"/>
      </w:tblPr>
      <w:tblGrid>
        <w:gridCol w:w="1701"/>
        <w:gridCol w:w="7621"/>
      </w:tblGrid>
      <w:tr w:rsidR="005072F5" w:rsidRPr="00752D51" w14:paraId="59C1D126" w14:textId="77777777" w:rsidTr="00915390">
        <w:tc>
          <w:tcPr>
            <w:tcW w:w="1701" w:type="dxa"/>
          </w:tcPr>
          <w:p w14:paraId="3CB02BA6" w14:textId="77777777" w:rsidR="005072F5" w:rsidRPr="00752D51"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621" w:type="dxa"/>
          </w:tcPr>
          <w:p w14:paraId="4D874729" w14:textId="77777777" w:rsidR="005072F5" w:rsidRPr="00061E08" w:rsidRDefault="005072F5" w:rsidP="00915390">
            <w:pPr>
              <w:tabs>
                <w:tab w:val="center" w:pos="284"/>
              </w:tabs>
              <w:overflowPunct w:val="0"/>
              <w:autoSpaceDE w:val="0"/>
              <w:autoSpaceDN w:val="0"/>
              <w:adjustRightInd w:val="0"/>
              <w:ind w:left="266" w:hanging="266"/>
              <w:textAlignment w:val="baseline"/>
            </w:pPr>
            <w:r>
              <w:rPr>
                <w:b/>
              </w:rPr>
              <w:t>Teppo SÄKKINEN</w:t>
            </w:r>
            <w:r>
              <w:t xml:space="preserve"> (Grupo de Empresarios – FI)</w:t>
            </w:r>
          </w:p>
        </w:tc>
      </w:tr>
      <w:tr w:rsidR="005072F5" w:rsidRPr="00752D51" w14:paraId="2567EEB7" w14:textId="77777777" w:rsidTr="00915390">
        <w:tc>
          <w:tcPr>
            <w:tcW w:w="1701" w:type="dxa"/>
          </w:tcPr>
          <w:p w14:paraId="7B81962A" w14:textId="77777777" w:rsidR="005072F5" w:rsidRPr="00752D51"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7621" w:type="dxa"/>
          </w:tcPr>
          <w:p w14:paraId="356AB0A9" w14:textId="77777777" w:rsidR="005072F5" w:rsidRDefault="005072F5" w:rsidP="00915390">
            <w:pPr>
              <w:tabs>
                <w:tab w:val="center" w:pos="284"/>
              </w:tabs>
              <w:overflowPunct w:val="0"/>
              <w:autoSpaceDE w:val="0"/>
              <w:autoSpaceDN w:val="0"/>
              <w:adjustRightInd w:val="0"/>
              <w:ind w:left="266" w:hanging="266"/>
              <w:textAlignment w:val="baseline"/>
            </w:pPr>
            <w:r>
              <w:t>COM(2025) 524 final</w:t>
            </w:r>
          </w:p>
          <w:p w14:paraId="59081058" w14:textId="77777777" w:rsidR="005072F5" w:rsidRPr="00752D51" w:rsidRDefault="005072F5" w:rsidP="00915390">
            <w:pPr>
              <w:tabs>
                <w:tab w:val="center" w:pos="284"/>
              </w:tabs>
              <w:overflowPunct w:val="0"/>
              <w:autoSpaceDE w:val="0"/>
              <w:autoSpaceDN w:val="0"/>
              <w:adjustRightInd w:val="0"/>
              <w:ind w:left="266" w:hanging="266"/>
              <w:textAlignment w:val="baseline"/>
            </w:pPr>
            <w:r>
              <w:t>EESC-2025-02119-00-00-AC</w:t>
            </w:r>
          </w:p>
        </w:tc>
      </w:tr>
    </w:tbl>
    <w:p w14:paraId="1F3DA7CB" w14:textId="77777777" w:rsidR="005072F5" w:rsidRPr="00D04656" w:rsidRDefault="005072F5" w:rsidP="005072F5">
      <w:pPr>
        <w:keepNext/>
        <w:keepLines/>
        <w:tabs>
          <w:tab w:val="center" w:pos="284"/>
        </w:tabs>
        <w:overflowPunct w:val="0"/>
        <w:autoSpaceDE w:val="0"/>
        <w:autoSpaceDN w:val="0"/>
        <w:adjustRightInd w:val="0"/>
        <w:ind w:left="266" w:hanging="266"/>
        <w:textAlignment w:val="baseline"/>
        <w:rPr>
          <w:bCs/>
          <w:sz w:val="16"/>
          <w:szCs w:val="16"/>
          <w:lang w:val="en-GB"/>
        </w:rPr>
      </w:pPr>
    </w:p>
    <w:p w14:paraId="1B5ACAE6" w14:textId="77777777" w:rsidR="005072F5" w:rsidRPr="00752D51"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05269D38" w14:textId="77777777" w:rsidR="005072F5" w:rsidRPr="00D04656" w:rsidRDefault="005072F5" w:rsidP="005072F5">
      <w:pPr>
        <w:keepNext/>
        <w:keepLines/>
        <w:tabs>
          <w:tab w:val="center" w:pos="284"/>
        </w:tabs>
        <w:overflowPunct w:val="0"/>
        <w:autoSpaceDE w:val="0"/>
        <w:autoSpaceDN w:val="0"/>
        <w:adjustRightInd w:val="0"/>
        <w:ind w:left="266" w:hanging="266"/>
        <w:textAlignment w:val="baseline"/>
        <w:rPr>
          <w:bCs/>
          <w:sz w:val="16"/>
          <w:szCs w:val="16"/>
          <w:lang w:val="fr-BE"/>
        </w:rPr>
      </w:pPr>
    </w:p>
    <w:p w14:paraId="356A21A5" w14:textId="77777777" w:rsidR="005072F5" w:rsidRDefault="005072F5" w:rsidP="005072F5">
      <w:pPr>
        <w:overflowPunct w:val="0"/>
        <w:autoSpaceDE w:val="0"/>
        <w:autoSpaceDN w:val="0"/>
        <w:adjustRightInd w:val="0"/>
        <w:textAlignment w:val="baseline"/>
      </w:pPr>
      <w:r>
        <w:t>El CESE:</w:t>
      </w:r>
    </w:p>
    <w:p w14:paraId="4399888A" w14:textId="77777777" w:rsidR="005072F5" w:rsidRDefault="005072F5" w:rsidP="005072F5">
      <w:pPr>
        <w:overflowPunct w:val="0"/>
        <w:autoSpaceDE w:val="0"/>
        <w:autoSpaceDN w:val="0"/>
        <w:adjustRightInd w:val="0"/>
        <w:textAlignment w:val="baseline"/>
        <w:rPr>
          <w:bCs/>
          <w:iCs/>
        </w:rPr>
      </w:pPr>
    </w:p>
    <w:p w14:paraId="7417E88D" w14:textId="77777777" w:rsidR="005072F5" w:rsidRPr="00F84934" w:rsidRDefault="005072F5" w:rsidP="005072F5">
      <w:pPr>
        <w:pStyle w:val="ListParagraph"/>
        <w:numPr>
          <w:ilvl w:val="0"/>
          <w:numId w:val="90"/>
        </w:numPr>
        <w:spacing w:line="264" w:lineRule="auto"/>
        <w:ind w:left="284" w:hanging="284"/>
      </w:pPr>
      <w:bookmarkStart w:id="123" w:name="_Toc210738631"/>
      <w:bookmarkStart w:id="124" w:name="_Toc209713389"/>
      <w:bookmarkStart w:id="125" w:name="_Toc209713929"/>
      <w:bookmarkEnd w:id="123"/>
      <w:r>
        <w:t xml:space="preserve">acoge con satisfacción la revisión anticipada de la Legislación Europea sobre el Clima, que propone el objetivo climático vinculante para 2040 de reducir las emisiones netas de gases de efecto invernadero en un 90 % con respecto a los niveles de 1990; </w:t>
      </w:r>
      <w:r>
        <w:rPr>
          <w:b/>
        </w:rPr>
        <w:t>reafirma su apoyo a dicho objetivo de reducir las emisiones netas en un 90 % de aquí a 2040</w:t>
      </w:r>
      <w:r>
        <w:t>;</w:t>
      </w:r>
      <w:bookmarkEnd w:id="124"/>
      <w:bookmarkEnd w:id="125"/>
    </w:p>
    <w:p w14:paraId="544161EE" w14:textId="77777777" w:rsidR="005072F5" w:rsidRPr="00EA2195" w:rsidRDefault="005072F5" w:rsidP="005072F5">
      <w:pPr>
        <w:pStyle w:val="ListParagraph"/>
        <w:numPr>
          <w:ilvl w:val="0"/>
          <w:numId w:val="90"/>
        </w:numPr>
        <w:spacing w:line="264" w:lineRule="auto"/>
        <w:ind w:left="284" w:hanging="284"/>
        <w:rPr>
          <w:spacing w:val="-4"/>
        </w:rPr>
      </w:pPr>
      <w:bookmarkStart w:id="126" w:name="_Toc209713390"/>
      <w:bookmarkStart w:id="127" w:name="_Toc209713930"/>
      <w:r>
        <w:t xml:space="preserve">apoya el enfoque elegido por la Comisión de </w:t>
      </w:r>
      <w:r>
        <w:rPr>
          <w:b/>
        </w:rPr>
        <w:t>incluir orientaciones sobre políticas facilitadoras</w:t>
      </w:r>
      <w:r>
        <w:t xml:space="preserve"> en el artículo 1 de la revisión de la Legislación Europea sobre el Clima, ya que se ajusta a la anterior reivindicación del CESE de aplicar políticas propicias que </w:t>
      </w:r>
      <w:r>
        <w:rPr>
          <w:b/>
        </w:rPr>
        <w:t>garanticen la competitividad</w:t>
      </w:r>
      <w:r>
        <w:t xml:space="preserve"> de las industrias europeas y </w:t>
      </w:r>
      <w:r>
        <w:rPr>
          <w:b/>
        </w:rPr>
        <w:t>una transición justa</w:t>
      </w:r>
      <w:r>
        <w:t xml:space="preserve"> y utilicen todas las tecnologías con emisiones de carbono bajas o nulas de un modo rentable, como única manera de alcanzar el exigente objetivo del 90 %;</w:t>
      </w:r>
      <w:bookmarkEnd w:id="126"/>
      <w:bookmarkEnd w:id="127"/>
    </w:p>
    <w:p w14:paraId="6B56D946" w14:textId="77777777" w:rsidR="005072F5" w:rsidRPr="00F84934" w:rsidRDefault="005072F5" w:rsidP="005072F5">
      <w:pPr>
        <w:pStyle w:val="ListParagraph"/>
        <w:numPr>
          <w:ilvl w:val="0"/>
          <w:numId w:val="90"/>
        </w:numPr>
        <w:spacing w:line="264" w:lineRule="auto"/>
        <w:ind w:left="284" w:hanging="284"/>
      </w:pPr>
      <w:bookmarkStart w:id="128" w:name="_Toc209713391"/>
      <w:bookmarkStart w:id="129" w:name="_Toc209713931"/>
      <w:r>
        <w:t>pide al Consejo y al Parlamento que lleguen a un acuerdo a más tardar en septiembre y principios de octubre de 2025 sobre el objetivo climático de reducción del 90 % para 2040 y sobre las contribuciones determinadas a nivel nacional conexas;</w:t>
      </w:r>
      <w:bookmarkEnd w:id="128"/>
      <w:bookmarkEnd w:id="129"/>
    </w:p>
    <w:p w14:paraId="7DDA4F42" w14:textId="77777777" w:rsidR="005072F5" w:rsidRPr="00EA2195" w:rsidRDefault="005072F5" w:rsidP="005072F5">
      <w:pPr>
        <w:pStyle w:val="ListParagraph"/>
        <w:numPr>
          <w:ilvl w:val="0"/>
          <w:numId w:val="90"/>
        </w:numPr>
        <w:spacing w:line="264" w:lineRule="auto"/>
        <w:ind w:left="284" w:hanging="284"/>
        <w:rPr>
          <w:spacing w:val="-4"/>
        </w:rPr>
      </w:pPr>
      <w:bookmarkStart w:id="130" w:name="_Toc209713392"/>
      <w:bookmarkStart w:id="131" w:name="_Toc209713932"/>
      <w:r>
        <w:t xml:space="preserve">considera que </w:t>
      </w:r>
      <w:r>
        <w:rPr>
          <w:b/>
        </w:rPr>
        <w:t>la reducción de las emisiones en la UE debería ser la principal prioridad</w:t>
      </w:r>
      <w:r>
        <w:t xml:space="preserve"> de la acción por el clima, reflejando el mayor grado de ambición posible;</w:t>
      </w:r>
      <w:bookmarkEnd w:id="130"/>
      <w:bookmarkEnd w:id="131"/>
    </w:p>
    <w:p w14:paraId="3B1F887E" w14:textId="77777777" w:rsidR="005072F5" w:rsidRPr="00F84934" w:rsidRDefault="005072F5" w:rsidP="005072F5">
      <w:pPr>
        <w:pStyle w:val="ListParagraph"/>
        <w:numPr>
          <w:ilvl w:val="0"/>
          <w:numId w:val="90"/>
        </w:numPr>
        <w:spacing w:line="264" w:lineRule="auto"/>
        <w:ind w:left="284" w:hanging="284"/>
      </w:pPr>
      <w:bookmarkStart w:id="132" w:name="_Toc209713393"/>
      <w:bookmarkStart w:id="133" w:name="_Toc209713933"/>
      <w:r>
        <w:t xml:space="preserve">reconoce que los créditos internacionales con un elevado nivel de integridad podrían ofrecer la flexibilidad necesaria para alcanzar el objetivo de aquí a 2040, si bien se debe evitar que puedan reemplazar la acción nacional por el clima o causen un perjuicio social o medioambiental. Los créditos también deben estar en consonancia con otras políticas exteriores e interiores de la UE; recomienda la creación de una entidad a escala de la UE para la adquisición, el seguimiento y la garantía de la calidad de los créditos. La utilización de </w:t>
      </w:r>
      <w:r>
        <w:rPr>
          <w:b/>
        </w:rPr>
        <w:t>créditos internacionales</w:t>
      </w:r>
      <w:r>
        <w:t xml:space="preserve"> debe quedar </w:t>
      </w:r>
      <w:r>
        <w:rPr>
          <w:b/>
        </w:rPr>
        <w:t>excluida a efectos de cumplimiento con el régimen de comercio de derechos de emisión (RCDE)</w:t>
      </w:r>
      <w:r>
        <w:t>;</w:t>
      </w:r>
      <w:bookmarkEnd w:id="132"/>
      <w:bookmarkEnd w:id="133"/>
    </w:p>
    <w:p w14:paraId="43C42ACE" w14:textId="77777777" w:rsidR="005072F5" w:rsidRPr="00F84934" w:rsidRDefault="005072F5" w:rsidP="005072F5">
      <w:pPr>
        <w:pStyle w:val="ListParagraph"/>
        <w:numPr>
          <w:ilvl w:val="0"/>
          <w:numId w:val="90"/>
        </w:numPr>
        <w:spacing w:line="264" w:lineRule="auto"/>
        <w:ind w:left="284" w:hanging="284"/>
      </w:pPr>
      <w:bookmarkStart w:id="134" w:name="_Toc209713394"/>
      <w:bookmarkStart w:id="135" w:name="_Toc209713934"/>
      <w:r>
        <w:t xml:space="preserve">señala que es probable que la futura ampliación de la UE tenga lugar dentro del plazo para alcanzar el objetivo de 2040; pide a la Comisión que </w:t>
      </w:r>
      <w:r>
        <w:rPr>
          <w:b/>
        </w:rPr>
        <w:t>aclare cuál será el impacto de la ampliación</w:t>
      </w:r>
      <w:r>
        <w:t xml:space="preserve"> en el objetivo climático para 2040, y en particular cómo se han de recalcular los datos del año de referencia 1990 y el objetivo del 90 % en el caso de una UE ampliada;</w:t>
      </w:r>
      <w:bookmarkEnd w:id="134"/>
      <w:bookmarkEnd w:id="135"/>
    </w:p>
    <w:p w14:paraId="57AB034A" w14:textId="77777777" w:rsidR="005072F5" w:rsidRPr="00F84934" w:rsidRDefault="005072F5" w:rsidP="005072F5">
      <w:pPr>
        <w:pStyle w:val="ListParagraph"/>
        <w:numPr>
          <w:ilvl w:val="0"/>
          <w:numId w:val="90"/>
        </w:numPr>
        <w:spacing w:line="264" w:lineRule="auto"/>
        <w:ind w:left="284" w:hanging="284"/>
      </w:pPr>
      <w:bookmarkStart w:id="136" w:name="_Toc209713395"/>
      <w:bookmarkStart w:id="137" w:name="_Toc209713935"/>
      <w:r>
        <w:t xml:space="preserve">propone que se dé prioridad a los créditos internacionales generados en los países candidatos a la adhesión a la UE y que se permita que </w:t>
      </w:r>
      <w:r>
        <w:rPr>
          <w:b/>
        </w:rPr>
        <w:t>los créditos internacionales generados en los países candidatos se contabilicen a partir de 2031 a efectos del objetivo para 2040</w:t>
      </w:r>
      <w:r>
        <w:t>; pide a la Comisión que presente una evaluación de impacto resumida centrada en el objetivo del 90 %, que incluya el impacto del uso de créditos internacionales;</w:t>
      </w:r>
      <w:bookmarkEnd w:id="136"/>
      <w:bookmarkEnd w:id="137"/>
    </w:p>
    <w:p w14:paraId="56AA21A5" w14:textId="77777777" w:rsidR="005072F5" w:rsidRPr="00F84934" w:rsidRDefault="005072F5" w:rsidP="005072F5">
      <w:pPr>
        <w:pStyle w:val="ListParagraph"/>
        <w:numPr>
          <w:ilvl w:val="0"/>
          <w:numId w:val="90"/>
        </w:numPr>
        <w:spacing w:line="264" w:lineRule="auto"/>
        <w:ind w:left="284" w:hanging="284"/>
      </w:pPr>
      <w:bookmarkStart w:id="138" w:name="_Toc209713396"/>
      <w:bookmarkStart w:id="139" w:name="_Toc209713936"/>
      <w:r>
        <w:t xml:space="preserve">recomienda incluir </w:t>
      </w:r>
      <w:r>
        <w:rPr>
          <w:b/>
        </w:rPr>
        <w:t>la exportación de tecnologías limpias</w:t>
      </w:r>
      <w:r>
        <w:t xml:space="preserve"> en la revisión de la Legislación Europea sobre el Clima y establecer un </w:t>
      </w:r>
      <w:r>
        <w:rPr>
          <w:b/>
        </w:rPr>
        <w:t>cuadro de indicadores de industria limpia</w:t>
      </w:r>
      <w:r>
        <w:t xml:space="preserve"> que permita un seguimiento del empleo, la innovación y el crecimiento de las exportaciones en los sectores de cero emisiones netas;</w:t>
      </w:r>
      <w:bookmarkEnd w:id="138"/>
      <w:bookmarkEnd w:id="139"/>
    </w:p>
    <w:p w14:paraId="57D9A922" w14:textId="77777777" w:rsidR="005072F5" w:rsidRPr="00EA2195" w:rsidRDefault="005072F5" w:rsidP="005072F5">
      <w:pPr>
        <w:pStyle w:val="ListParagraph"/>
        <w:keepNext/>
        <w:keepLines/>
        <w:numPr>
          <w:ilvl w:val="0"/>
          <w:numId w:val="90"/>
        </w:numPr>
        <w:spacing w:line="264" w:lineRule="auto"/>
        <w:ind w:left="284" w:hanging="284"/>
        <w:rPr>
          <w:spacing w:val="-4"/>
        </w:rPr>
      </w:pPr>
      <w:bookmarkStart w:id="140" w:name="_Toc209713397"/>
      <w:bookmarkStart w:id="141" w:name="_Toc209713937"/>
      <w:r>
        <w:lastRenderedPageBreak/>
        <w:t xml:space="preserve">propone que </w:t>
      </w:r>
      <w:r>
        <w:rPr>
          <w:b/>
        </w:rPr>
        <w:t>la seguridad alimentaria se incluya en la revisión de la Legislación Europea sobre el Clima</w:t>
      </w:r>
      <w:r>
        <w:t xml:space="preserve"> como uno de los elementos que deben tenerse en cuenta en las ulteriores propuestas legislativas y recuerda el papel único de la agricultura, la silvicultura y la ganadería en la acción por el clima, la conservación de los recursos naturales, la biodiversidad, la salud de los ecosistemas y la prosperidad de las comunidades rurales;</w:t>
      </w:r>
      <w:bookmarkEnd w:id="140"/>
      <w:bookmarkEnd w:id="141"/>
    </w:p>
    <w:p w14:paraId="543A504C" w14:textId="77777777" w:rsidR="005072F5" w:rsidRPr="00EA2195" w:rsidRDefault="005072F5" w:rsidP="005072F5">
      <w:pPr>
        <w:pStyle w:val="ListParagraph"/>
        <w:numPr>
          <w:ilvl w:val="0"/>
          <w:numId w:val="90"/>
        </w:numPr>
        <w:spacing w:line="264" w:lineRule="auto"/>
        <w:ind w:left="284" w:hanging="284"/>
        <w:rPr>
          <w:spacing w:val="-2"/>
          <w:kern w:val="28"/>
        </w:rPr>
      </w:pPr>
      <w:bookmarkStart w:id="142" w:name="_Toc209713398"/>
      <w:bookmarkStart w:id="143" w:name="_Toc209713938"/>
      <w:r>
        <w:t xml:space="preserve">recomienda que se reconozca </w:t>
      </w:r>
      <w:r>
        <w:rPr>
          <w:b/>
        </w:rPr>
        <w:t>la lucha contra la pobreza energética</w:t>
      </w:r>
      <w:r>
        <w:t xml:space="preserve"> en la revisión de la Legislación Europea sobre el Clima;</w:t>
      </w:r>
      <w:bookmarkEnd w:id="142"/>
      <w:bookmarkEnd w:id="143"/>
    </w:p>
    <w:p w14:paraId="5C27505F" w14:textId="77777777" w:rsidR="005072F5" w:rsidRPr="00F84934" w:rsidRDefault="005072F5" w:rsidP="005072F5">
      <w:pPr>
        <w:pStyle w:val="ListParagraph"/>
        <w:numPr>
          <w:ilvl w:val="0"/>
          <w:numId w:val="90"/>
        </w:numPr>
        <w:spacing w:line="264" w:lineRule="auto"/>
        <w:ind w:left="284" w:hanging="284"/>
      </w:pPr>
      <w:bookmarkStart w:id="144" w:name="_Toc209713399"/>
      <w:bookmarkStart w:id="145" w:name="_Toc209713939"/>
      <w:r>
        <w:t>anima a la Comisión a que determine y promueva soluciones tecnológicas de doble uso que sirvan tanto a los objetivos de defensa como a los objetivos climáticos.</w:t>
      </w:r>
      <w:bookmarkEnd w:id="144"/>
      <w:bookmarkEnd w:id="145"/>
    </w:p>
    <w:p w14:paraId="6B432167" w14:textId="77777777" w:rsidR="005072F5" w:rsidRPr="00D04656" w:rsidRDefault="005072F5" w:rsidP="005072F5">
      <w:pPr>
        <w:keepNext/>
        <w:keepLines/>
        <w:overflowPunct w:val="0"/>
        <w:autoSpaceDE w:val="0"/>
        <w:autoSpaceDN w:val="0"/>
        <w:adjustRightInd w:val="0"/>
        <w:textAlignment w:val="baseline"/>
        <w:rPr>
          <w:sz w:val="16"/>
          <w:szCs w:val="16"/>
          <w:lang w:val="en-GB"/>
        </w:rPr>
      </w:pPr>
    </w:p>
    <w:tbl>
      <w:tblPr>
        <w:tblW w:w="0" w:type="auto"/>
        <w:tblLook w:val="04A0" w:firstRow="1" w:lastRow="0" w:firstColumn="1" w:lastColumn="0" w:noHBand="0" w:noVBand="1"/>
      </w:tblPr>
      <w:tblGrid>
        <w:gridCol w:w="2235"/>
        <w:gridCol w:w="7087"/>
      </w:tblGrid>
      <w:tr w:rsidR="005072F5" w:rsidRPr="00752D51" w14:paraId="5EF49DF9" w14:textId="77777777" w:rsidTr="00915390">
        <w:tc>
          <w:tcPr>
            <w:tcW w:w="2235" w:type="dxa"/>
          </w:tcPr>
          <w:p w14:paraId="096564E8" w14:textId="77777777" w:rsidR="005072F5" w:rsidRPr="00752D51" w:rsidRDefault="005072F5" w:rsidP="00915390">
            <w:pPr>
              <w:keepNext/>
              <w:keepLines/>
              <w:overflowPunct w:val="0"/>
              <w:autoSpaceDE w:val="0"/>
              <w:autoSpaceDN w:val="0"/>
              <w:adjustRightInd w:val="0"/>
              <w:ind w:left="142"/>
              <w:jc w:val="left"/>
              <w:textAlignment w:val="baseline"/>
              <w:rPr>
                <w:i/>
                <w:iCs/>
              </w:rPr>
            </w:pPr>
            <w:r>
              <w:rPr>
                <w:b/>
                <w:i/>
              </w:rPr>
              <w:t>Contacto:</w:t>
            </w:r>
          </w:p>
        </w:tc>
        <w:tc>
          <w:tcPr>
            <w:tcW w:w="7087" w:type="dxa"/>
          </w:tcPr>
          <w:p w14:paraId="11DCCEC2" w14:textId="77777777" w:rsidR="005072F5" w:rsidRPr="00BD4439" w:rsidRDefault="005072F5" w:rsidP="00915390">
            <w:pPr>
              <w:keepNext/>
              <w:keepLines/>
              <w:overflowPunct w:val="0"/>
              <w:autoSpaceDE w:val="0"/>
              <w:autoSpaceDN w:val="0"/>
              <w:adjustRightInd w:val="0"/>
              <w:ind w:left="73"/>
              <w:textAlignment w:val="baseline"/>
              <w:rPr>
                <w:i/>
                <w:iCs/>
              </w:rPr>
            </w:pPr>
            <w:r w:rsidRPr="00BD4439">
              <w:rPr>
                <w:i/>
                <w:iCs/>
              </w:rPr>
              <w:t>Caroline Verhelst, Gaizka Malo</w:t>
            </w:r>
          </w:p>
        </w:tc>
      </w:tr>
      <w:tr w:rsidR="005072F5" w:rsidRPr="00752D51" w14:paraId="1DF35CD8" w14:textId="77777777" w:rsidTr="00915390">
        <w:tc>
          <w:tcPr>
            <w:tcW w:w="2235" w:type="dxa"/>
          </w:tcPr>
          <w:p w14:paraId="695D4DD2" w14:textId="77777777" w:rsidR="005072F5" w:rsidRPr="00752D51" w:rsidRDefault="005072F5" w:rsidP="00915390">
            <w:pPr>
              <w:overflowPunct w:val="0"/>
              <w:autoSpaceDE w:val="0"/>
              <w:autoSpaceDN w:val="0"/>
              <w:adjustRightInd w:val="0"/>
              <w:ind w:left="142"/>
              <w:jc w:val="left"/>
              <w:textAlignment w:val="baseline"/>
              <w:rPr>
                <w:i/>
              </w:rPr>
            </w:pPr>
            <w:r>
              <w:rPr>
                <w:i/>
              </w:rPr>
              <w:t>Teléfono:</w:t>
            </w:r>
          </w:p>
        </w:tc>
        <w:tc>
          <w:tcPr>
            <w:tcW w:w="7087" w:type="dxa"/>
          </w:tcPr>
          <w:p w14:paraId="3B7F4E80" w14:textId="77777777" w:rsidR="005072F5" w:rsidRPr="00752D51" w:rsidRDefault="005072F5" w:rsidP="00915390">
            <w:pPr>
              <w:overflowPunct w:val="0"/>
              <w:autoSpaceDE w:val="0"/>
              <w:autoSpaceDN w:val="0"/>
              <w:adjustRightInd w:val="0"/>
              <w:ind w:left="73"/>
              <w:textAlignment w:val="baseline"/>
              <w:rPr>
                <w:i/>
                <w:iCs/>
              </w:rPr>
            </w:pPr>
            <w:r>
              <w:rPr>
                <w:i/>
              </w:rPr>
              <w:t>+32 2 546 9497 y +32 2 546 8526</w:t>
            </w:r>
          </w:p>
        </w:tc>
      </w:tr>
      <w:tr w:rsidR="005072F5" w:rsidRPr="00752D51" w14:paraId="18C88159" w14:textId="77777777" w:rsidTr="00915390">
        <w:tc>
          <w:tcPr>
            <w:tcW w:w="2235" w:type="dxa"/>
          </w:tcPr>
          <w:p w14:paraId="1C3D83DE" w14:textId="77777777" w:rsidR="005072F5" w:rsidRPr="00752D51" w:rsidRDefault="005072F5" w:rsidP="00915390">
            <w:pPr>
              <w:overflowPunct w:val="0"/>
              <w:autoSpaceDE w:val="0"/>
              <w:autoSpaceDN w:val="0"/>
              <w:adjustRightInd w:val="0"/>
              <w:ind w:left="142"/>
              <w:jc w:val="left"/>
              <w:textAlignment w:val="baseline"/>
              <w:rPr>
                <w:i/>
              </w:rPr>
            </w:pPr>
            <w:r>
              <w:rPr>
                <w:i/>
              </w:rPr>
              <w:t>Correo electrónico:</w:t>
            </w:r>
          </w:p>
        </w:tc>
        <w:tc>
          <w:tcPr>
            <w:tcW w:w="7087" w:type="dxa"/>
          </w:tcPr>
          <w:p w14:paraId="7EF8945E" w14:textId="77777777" w:rsidR="005072F5" w:rsidRDefault="005072F5" w:rsidP="00915390">
            <w:pPr>
              <w:overflowPunct w:val="0"/>
              <w:autoSpaceDE w:val="0"/>
              <w:autoSpaceDN w:val="0"/>
              <w:adjustRightInd w:val="0"/>
              <w:ind w:left="73"/>
              <w:textAlignment w:val="baseline"/>
            </w:pPr>
            <w:hyperlink r:id="rId84" w:history="1">
              <w:r>
                <w:rPr>
                  <w:i/>
                  <w:color w:val="0000FF"/>
                  <w:u w:val="single"/>
                </w:rPr>
                <w:t>Caroline.Verhelst@eesc.europa.eu</w:t>
              </w:r>
            </w:hyperlink>
            <w:r>
              <w:t>,</w:t>
            </w:r>
          </w:p>
          <w:p w14:paraId="2160C73F" w14:textId="77777777" w:rsidR="005072F5" w:rsidRPr="00E67680" w:rsidRDefault="005072F5" w:rsidP="00915390">
            <w:pPr>
              <w:overflowPunct w:val="0"/>
              <w:autoSpaceDE w:val="0"/>
              <w:autoSpaceDN w:val="0"/>
              <w:adjustRightInd w:val="0"/>
              <w:ind w:left="73"/>
              <w:textAlignment w:val="baseline"/>
              <w:rPr>
                <w:i/>
                <w:color w:val="0000FF"/>
                <w:u w:val="single"/>
              </w:rPr>
            </w:pPr>
            <w:hyperlink r:id="rId85" w:history="1">
              <w:r>
                <w:rPr>
                  <w:i/>
                  <w:color w:val="0000FF"/>
                  <w:u w:val="single"/>
                </w:rPr>
                <w:t>Gaizka.MaloElcoro-Iribe@eesc.europa.eu</w:t>
              </w:r>
            </w:hyperlink>
          </w:p>
        </w:tc>
      </w:tr>
    </w:tbl>
    <w:p w14:paraId="5F16F56B" w14:textId="77777777" w:rsidR="005072F5" w:rsidRDefault="005072F5" w:rsidP="005072F5">
      <w:pPr>
        <w:widowControl w:val="0"/>
        <w:overflowPunct w:val="0"/>
        <w:autoSpaceDE w:val="0"/>
        <w:autoSpaceDN w:val="0"/>
        <w:adjustRightInd w:val="0"/>
        <w:ind w:left="567"/>
        <w:textAlignment w:val="baseline"/>
      </w:pPr>
    </w:p>
    <w:p w14:paraId="0ED1EBA8" w14:textId="77777777" w:rsidR="005072F5" w:rsidRDefault="005072F5" w:rsidP="005072F5">
      <w:pPr>
        <w:spacing w:after="160" w:line="259" w:lineRule="auto"/>
        <w:jc w:val="left"/>
      </w:pPr>
      <w:r>
        <w:br w:type="page"/>
      </w:r>
    </w:p>
    <w:p w14:paraId="264A4115" w14:textId="77777777" w:rsidR="005072F5" w:rsidRPr="00DD0EAE" w:rsidRDefault="005072F5" w:rsidP="005072F5">
      <w:pPr>
        <w:widowControl w:val="0"/>
        <w:numPr>
          <w:ilvl w:val="0"/>
          <w:numId w:val="3"/>
        </w:numPr>
        <w:overflowPunct w:val="0"/>
        <w:autoSpaceDE w:val="0"/>
        <w:autoSpaceDN w:val="0"/>
        <w:adjustRightInd w:val="0"/>
        <w:ind w:hanging="567"/>
        <w:textAlignment w:val="baseline"/>
        <w:rPr>
          <w:sz w:val="20"/>
          <w:szCs w:val="20"/>
        </w:rPr>
      </w:pPr>
      <w:hyperlink r:id="rId86" w:history="1">
        <w:r>
          <w:rPr>
            <w:b/>
            <w:i/>
            <w:color w:val="0000FF"/>
            <w:sz w:val="28"/>
            <w:u w:val="single"/>
          </w:rPr>
          <w:t>El futuro de los alimentos ecológicos y de calidad y cómo podemos aumentar el consumo</w:t>
        </w:r>
      </w:hyperlink>
    </w:p>
    <w:p w14:paraId="09AF8D30" w14:textId="77777777" w:rsidR="005072F5" w:rsidRPr="00DD0EAE" w:rsidRDefault="005072F5" w:rsidP="005072F5">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5072F5" w:rsidRPr="00DD0EAE" w14:paraId="2EF12095" w14:textId="77777777" w:rsidTr="00915390">
        <w:tc>
          <w:tcPr>
            <w:tcW w:w="1077" w:type="pct"/>
          </w:tcPr>
          <w:p w14:paraId="2EC813A6" w14:textId="77777777" w:rsidR="005072F5" w:rsidRPr="00DD0EAE"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3923" w:type="pct"/>
          </w:tcPr>
          <w:p w14:paraId="4CA69D66" w14:textId="77777777" w:rsidR="005072F5" w:rsidRPr="00DD0EAE" w:rsidRDefault="005072F5" w:rsidP="00915390">
            <w:pPr>
              <w:tabs>
                <w:tab w:val="center" w:pos="284"/>
              </w:tabs>
              <w:overflowPunct w:val="0"/>
              <w:autoSpaceDE w:val="0"/>
              <w:autoSpaceDN w:val="0"/>
              <w:adjustRightInd w:val="0"/>
              <w:ind w:left="266" w:right="-3091" w:hanging="266"/>
              <w:textAlignment w:val="baseline"/>
            </w:pPr>
            <w:r>
              <w:t>Decebal-Ștefăniță PADURE (Grupo de Empresarios – RO)</w:t>
            </w:r>
          </w:p>
        </w:tc>
      </w:tr>
      <w:tr w:rsidR="005072F5" w:rsidRPr="00DD0EAE" w14:paraId="22E9B09B" w14:textId="77777777" w:rsidTr="00915390">
        <w:tc>
          <w:tcPr>
            <w:tcW w:w="1077" w:type="pct"/>
          </w:tcPr>
          <w:p w14:paraId="737BB563" w14:textId="77777777" w:rsidR="005072F5" w:rsidRPr="00DD0EAE"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3923" w:type="pct"/>
          </w:tcPr>
          <w:p w14:paraId="6BEA9F2F" w14:textId="77777777" w:rsidR="005072F5" w:rsidRPr="00DD0EAE" w:rsidRDefault="005072F5" w:rsidP="00915390">
            <w:pPr>
              <w:tabs>
                <w:tab w:val="center" w:pos="284"/>
              </w:tabs>
              <w:overflowPunct w:val="0"/>
              <w:autoSpaceDE w:val="0"/>
              <w:autoSpaceDN w:val="0"/>
              <w:adjustRightInd w:val="0"/>
              <w:ind w:left="266" w:right="-3091" w:hanging="266"/>
              <w:textAlignment w:val="baseline"/>
            </w:pPr>
            <w:r>
              <w:t>Kerli ATS (Grupo de Organizaciones de la Sociedad Civil – EE)</w:t>
            </w:r>
          </w:p>
        </w:tc>
      </w:tr>
      <w:tr w:rsidR="005072F5" w:rsidRPr="00DD0EAE" w14:paraId="0A19317D" w14:textId="77777777" w:rsidTr="00915390">
        <w:tc>
          <w:tcPr>
            <w:tcW w:w="1077" w:type="pct"/>
          </w:tcPr>
          <w:p w14:paraId="7A28FEC0" w14:textId="77777777" w:rsidR="005072F5" w:rsidRPr="00DD0EAE"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3923" w:type="pct"/>
          </w:tcPr>
          <w:p w14:paraId="11C200CB" w14:textId="77777777" w:rsidR="005072F5" w:rsidRDefault="005072F5" w:rsidP="00915390">
            <w:pPr>
              <w:tabs>
                <w:tab w:val="center" w:pos="284"/>
              </w:tabs>
              <w:overflowPunct w:val="0"/>
              <w:autoSpaceDE w:val="0"/>
              <w:autoSpaceDN w:val="0"/>
              <w:adjustRightInd w:val="0"/>
              <w:ind w:left="266" w:right="-3091" w:hanging="266"/>
              <w:textAlignment w:val="baseline"/>
            </w:pPr>
            <w:r>
              <w:t>Dictamen de iniciativa</w:t>
            </w:r>
          </w:p>
          <w:p w14:paraId="5AA514BB" w14:textId="77777777" w:rsidR="005072F5" w:rsidRPr="00DD0EAE" w:rsidRDefault="005072F5" w:rsidP="00915390">
            <w:pPr>
              <w:tabs>
                <w:tab w:val="center" w:pos="284"/>
              </w:tabs>
              <w:overflowPunct w:val="0"/>
              <w:autoSpaceDE w:val="0"/>
              <w:autoSpaceDN w:val="0"/>
              <w:adjustRightInd w:val="0"/>
              <w:ind w:left="266" w:right="-3091" w:hanging="266"/>
              <w:textAlignment w:val="baseline"/>
            </w:pPr>
            <w:r>
              <w:t>EESC-2025-00673-00-00-AC</w:t>
            </w:r>
          </w:p>
        </w:tc>
      </w:tr>
    </w:tbl>
    <w:p w14:paraId="038C3CF0" w14:textId="77777777" w:rsidR="005072F5" w:rsidRPr="00DD0EAE" w:rsidRDefault="005072F5" w:rsidP="005072F5">
      <w:pPr>
        <w:tabs>
          <w:tab w:val="center" w:pos="284"/>
        </w:tabs>
        <w:overflowPunct w:val="0"/>
        <w:autoSpaceDE w:val="0"/>
        <w:autoSpaceDN w:val="0"/>
        <w:adjustRightInd w:val="0"/>
        <w:ind w:left="266" w:hanging="266"/>
        <w:textAlignment w:val="baseline"/>
        <w:rPr>
          <w:b/>
          <w:lang w:val="en-GB"/>
        </w:rPr>
      </w:pPr>
    </w:p>
    <w:p w14:paraId="360A8354" w14:textId="77777777" w:rsidR="005072F5" w:rsidRPr="00DD0EAE"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4C5CF393" w14:textId="77777777" w:rsidR="005072F5" w:rsidRPr="00DD0EAE"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24F921E0" w14:textId="77777777" w:rsidR="005072F5" w:rsidRDefault="005072F5" w:rsidP="005072F5">
      <w:pPr>
        <w:overflowPunct w:val="0"/>
        <w:autoSpaceDE w:val="0"/>
        <w:autoSpaceDN w:val="0"/>
        <w:adjustRightInd w:val="0"/>
        <w:textAlignment w:val="baseline"/>
      </w:pPr>
      <w:r>
        <w:t>El CESE:</w:t>
      </w:r>
    </w:p>
    <w:p w14:paraId="04954F31" w14:textId="77777777" w:rsidR="005072F5" w:rsidRPr="00DD0EAE" w:rsidRDefault="005072F5" w:rsidP="005072F5">
      <w:pPr>
        <w:overflowPunct w:val="0"/>
        <w:autoSpaceDE w:val="0"/>
        <w:autoSpaceDN w:val="0"/>
        <w:adjustRightInd w:val="0"/>
        <w:textAlignment w:val="baseline"/>
        <w:rPr>
          <w:bCs/>
          <w:iCs/>
        </w:rPr>
      </w:pPr>
    </w:p>
    <w:p w14:paraId="6F0BC2D8" w14:textId="77777777" w:rsidR="005072F5" w:rsidRPr="00061E08" w:rsidRDefault="005072F5" w:rsidP="005072F5">
      <w:pPr>
        <w:pStyle w:val="ListParagraph"/>
        <w:numPr>
          <w:ilvl w:val="0"/>
          <w:numId w:val="95"/>
        </w:numPr>
        <w:ind w:left="284" w:hanging="284"/>
      </w:pPr>
      <w:bookmarkStart w:id="146" w:name="_Toc209713400"/>
      <w:bookmarkStart w:id="147" w:name="_Toc209713940"/>
      <w:r>
        <w:t>hace hincapié en la necesidad de una política alimentaria de la UE que sea transversal e integre la agricultura ecológica y los regímenes de calidad en las estrategias en materia de medio ambiente, salud, clima y desarrollo rural;</w:t>
      </w:r>
      <w:bookmarkEnd w:id="146"/>
      <w:bookmarkEnd w:id="147"/>
    </w:p>
    <w:p w14:paraId="313ED394" w14:textId="77777777" w:rsidR="005072F5" w:rsidRPr="00061E08" w:rsidRDefault="005072F5" w:rsidP="005072F5">
      <w:pPr>
        <w:pStyle w:val="ListParagraph"/>
        <w:numPr>
          <w:ilvl w:val="0"/>
          <w:numId w:val="95"/>
        </w:numPr>
        <w:ind w:left="284" w:hanging="284"/>
      </w:pPr>
      <w:bookmarkStart w:id="148" w:name="_Toc209713401"/>
      <w:bookmarkStart w:id="149" w:name="_Toc209713941"/>
      <w:r>
        <w:t>considera que para apoyar el desarrollo sostenible del sector se necesitan medidas integradas como un tipo reducido del IVA, una contratación pública para productos de calidad, servicios de asesoramiento e innovación;</w:t>
      </w:r>
      <w:bookmarkEnd w:id="148"/>
      <w:bookmarkEnd w:id="149"/>
    </w:p>
    <w:p w14:paraId="52479906" w14:textId="77777777" w:rsidR="005072F5" w:rsidRPr="00061E08" w:rsidRDefault="005072F5" w:rsidP="005072F5">
      <w:pPr>
        <w:pStyle w:val="ListParagraph"/>
        <w:numPr>
          <w:ilvl w:val="0"/>
          <w:numId w:val="95"/>
        </w:numPr>
        <w:ind w:left="284" w:hanging="284"/>
      </w:pPr>
      <w:bookmarkStart w:id="150" w:name="_Toc209713402"/>
      <w:bookmarkStart w:id="151" w:name="_Toc209713942"/>
      <w:r>
        <w:t>afirma que resulta esencial reforzar los sistemas de control, armonizar las normas de equivalencia e implantar la trazabilidad digital, especialmente en lo que respecta a las importaciones;</w:t>
      </w:r>
      <w:bookmarkEnd w:id="150"/>
      <w:bookmarkEnd w:id="151"/>
    </w:p>
    <w:p w14:paraId="1FC6673B" w14:textId="77777777" w:rsidR="005072F5" w:rsidRPr="00061E08" w:rsidRDefault="005072F5" w:rsidP="005072F5">
      <w:pPr>
        <w:pStyle w:val="ListParagraph"/>
        <w:numPr>
          <w:ilvl w:val="0"/>
          <w:numId w:val="95"/>
        </w:numPr>
        <w:ind w:left="284" w:hanging="284"/>
      </w:pPr>
      <w:bookmarkStart w:id="152" w:name="_Toc209713403"/>
      <w:bookmarkStart w:id="153" w:name="_Toc209713943"/>
      <w:r>
        <w:t>subraya que las campañas de promoción deben incluir la educación alimentaria, el turismo sostenible y las marcas territoriales, con el apoyo de agencias nacionales especializadas;</w:t>
      </w:r>
      <w:bookmarkEnd w:id="152"/>
      <w:bookmarkEnd w:id="153"/>
    </w:p>
    <w:p w14:paraId="1972F311" w14:textId="77777777" w:rsidR="005072F5" w:rsidRPr="00061E08" w:rsidRDefault="005072F5" w:rsidP="005072F5">
      <w:pPr>
        <w:pStyle w:val="ListParagraph"/>
        <w:numPr>
          <w:ilvl w:val="0"/>
          <w:numId w:val="95"/>
        </w:numPr>
        <w:ind w:left="284" w:hanging="284"/>
      </w:pPr>
      <w:bookmarkStart w:id="154" w:name="_Toc209713404"/>
      <w:bookmarkStart w:id="155" w:name="_Toc209713944"/>
      <w:r>
        <w:t>considera recomendable una estrategia de la UE con objetivos mínimos (por ejemplo, un 25 % de productos de calidad en escuelas, hospitales, instituciones públicas, etc.), asociaciones comerciales y campañas temáticas;</w:t>
      </w:r>
      <w:bookmarkEnd w:id="154"/>
      <w:bookmarkEnd w:id="155"/>
    </w:p>
    <w:p w14:paraId="69E3823B" w14:textId="77777777" w:rsidR="005072F5" w:rsidRPr="00061E08" w:rsidRDefault="005072F5" w:rsidP="005072F5">
      <w:pPr>
        <w:pStyle w:val="ListParagraph"/>
        <w:numPr>
          <w:ilvl w:val="0"/>
          <w:numId w:val="95"/>
        </w:numPr>
        <w:ind w:left="284" w:hanging="284"/>
      </w:pPr>
      <w:bookmarkStart w:id="156" w:name="_Toc209713405"/>
      <w:bookmarkStart w:id="157" w:name="_Toc209713945"/>
      <w:r>
        <w:t>pide a la Comisión Europea que desarrolle una solución fiscal armonizada que permita aplicar tipos reducidos del IVA a los productos de calidad en todos los Estados miembros, con el fin de mejorar el acceso para los consumidores, estimular la demanda y apoyar la transición hacia un sistema alimentario sostenible;</w:t>
      </w:r>
      <w:bookmarkEnd w:id="156"/>
      <w:bookmarkEnd w:id="157"/>
    </w:p>
    <w:p w14:paraId="5807EDF8" w14:textId="77777777" w:rsidR="005072F5" w:rsidRPr="00061E08" w:rsidRDefault="005072F5" w:rsidP="005072F5">
      <w:pPr>
        <w:pStyle w:val="ListParagraph"/>
        <w:numPr>
          <w:ilvl w:val="0"/>
          <w:numId w:val="95"/>
        </w:numPr>
        <w:ind w:left="284" w:hanging="284"/>
      </w:pPr>
      <w:bookmarkStart w:id="158" w:name="_Toc209713406"/>
      <w:bookmarkStart w:id="159" w:name="_Toc209713946"/>
      <w:r>
        <w:t>apoya la aplicación de las medidas de la PAC dirigidas a los jóvenes agricultores, las mujeres, las pequeñas explotaciones familiares y aquellas que se encuentran en proceso de transición ecológica, y recomienda que en los países candidatos este apoyo se preste a través de los instrumentos de financiación de preadhesión;</w:t>
      </w:r>
      <w:bookmarkEnd w:id="158"/>
      <w:bookmarkEnd w:id="159"/>
    </w:p>
    <w:p w14:paraId="43412972" w14:textId="77777777" w:rsidR="005072F5" w:rsidRPr="00061E08" w:rsidRDefault="005072F5" w:rsidP="005072F5">
      <w:pPr>
        <w:pStyle w:val="ListParagraph"/>
        <w:numPr>
          <w:ilvl w:val="0"/>
          <w:numId w:val="95"/>
        </w:numPr>
        <w:ind w:left="284" w:hanging="284"/>
      </w:pPr>
      <w:bookmarkStart w:id="160" w:name="_Toc209713407"/>
      <w:bookmarkStart w:id="161" w:name="_Toc209713947"/>
      <w:r>
        <w:t>considera que los procedimientos de certificación, incluida la certificación de grupo o los modelos digitales, deben armonizarse y adaptarse a las necesidades de los pequeños productores;</w:t>
      </w:r>
      <w:bookmarkEnd w:id="160"/>
      <w:bookmarkEnd w:id="161"/>
    </w:p>
    <w:p w14:paraId="35DFD8E6" w14:textId="77777777" w:rsidR="005072F5" w:rsidRPr="00061E08" w:rsidRDefault="005072F5" w:rsidP="005072F5">
      <w:pPr>
        <w:pStyle w:val="ListParagraph"/>
        <w:numPr>
          <w:ilvl w:val="0"/>
          <w:numId w:val="95"/>
        </w:numPr>
        <w:ind w:left="284" w:hanging="284"/>
      </w:pPr>
      <w:bookmarkStart w:id="162" w:name="_Toc209713408"/>
      <w:bookmarkStart w:id="163" w:name="_Toc209713948"/>
      <w:r>
        <w:t>recomienda regular el uso de términos como «natural» y «tradicional» y sancionar el uso engañoso de las indicaciones de origen, en especial para los productos transformados;</w:t>
      </w:r>
      <w:bookmarkEnd w:id="162"/>
      <w:bookmarkEnd w:id="163"/>
    </w:p>
    <w:p w14:paraId="6790CB44" w14:textId="77777777" w:rsidR="005072F5" w:rsidRPr="00061E08" w:rsidRDefault="005072F5" w:rsidP="005072F5">
      <w:pPr>
        <w:pStyle w:val="ListParagraph"/>
        <w:numPr>
          <w:ilvl w:val="0"/>
          <w:numId w:val="95"/>
        </w:numPr>
        <w:ind w:left="284" w:hanging="284"/>
      </w:pPr>
      <w:bookmarkStart w:id="164" w:name="_Toc209713409"/>
      <w:bookmarkStart w:id="165" w:name="_Toc209713949"/>
      <w:r>
        <w:t>pide que se reconozcan y protejan las normas y etiquetas de calidad de la UE en el comercio mundial, a fin de promover un modelo alimentario justo y sostenible.</w:t>
      </w:r>
      <w:bookmarkEnd w:id="164"/>
      <w:bookmarkEnd w:id="165"/>
    </w:p>
    <w:p w14:paraId="38D2D622" w14:textId="77777777" w:rsidR="005072F5" w:rsidRPr="00DD0EAE" w:rsidRDefault="005072F5" w:rsidP="005072F5">
      <w:pPr>
        <w:widowControl w:val="0"/>
        <w:overflowPunct w:val="0"/>
        <w:autoSpaceDE w:val="0"/>
        <w:autoSpaceDN w:val="0"/>
        <w:adjustRightInd w:val="0"/>
        <w:ind w:left="284" w:hanging="284"/>
        <w:textAlignment w:val="baseline"/>
        <w:rPr>
          <w:szCs w:val="20"/>
          <w:lang w:val="en-GB"/>
        </w:rPr>
      </w:pPr>
    </w:p>
    <w:tbl>
      <w:tblPr>
        <w:tblW w:w="5000" w:type="pct"/>
        <w:tblLook w:val="04A0" w:firstRow="1" w:lastRow="0" w:firstColumn="1" w:lastColumn="0" w:noHBand="0" w:noVBand="1"/>
      </w:tblPr>
      <w:tblGrid>
        <w:gridCol w:w="2377"/>
        <w:gridCol w:w="7054"/>
      </w:tblGrid>
      <w:tr w:rsidR="005072F5" w:rsidRPr="00DD0EAE" w14:paraId="6B656561" w14:textId="77777777" w:rsidTr="00915390">
        <w:tc>
          <w:tcPr>
            <w:tcW w:w="1260" w:type="pct"/>
          </w:tcPr>
          <w:p w14:paraId="0B6D9572" w14:textId="77777777" w:rsidR="005072F5" w:rsidRPr="00DD0EAE" w:rsidRDefault="005072F5" w:rsidP="00915390">
            <w:pPr>
              <w:overflowPunct w:val="0"/>
              <w:autoSpaceDE w:val="0"/>
              <w:autoSpaceDN w:val="0"/>
              <w:adjustRightInd w:val="0"/>
              <w:textAlignment w:val="baseline"/>
              <w:rPr>
                <w:i/>
              </w:rPr>
            </w:pPr>
            <w:r>
              <w:rPr>
                <w:b/>
                <w:i/>
              </w:rPr>
              <w:t>Contacto:</w:t>
            </w:r>
          </w:p>
        </w:tc>
        <w:tc>
          <w:tcPr>
            <w:tcW w:w="3740" w:type="pct"/>
          </w:tcPr>
          <w:p w14:paraId="060AE7A5" w14:textId="77777777" w:rsidR="005072F5" w:rsidRPr="00DD0EAE" w:rsidRDefault="005072F5" w:rsidP="00915390">
            <w:pPr>
              <w:overflowPunct w:val="0"/>
              <w:autoSpaceDE w:val="0"/>
              <w:autoSpaceDN w:val="0"/>
              <w:adjustRightInd w:val="0"/>
              <w:textAlignment w:val="baseline"/>
              <w:rPr>
                <w:i/>
              </w:rPr>
            </w:pPr>
            <w:r>
              <w:rPr>
                <w:i/>
              </w:rPr>
              <w:t>Myrto Kolyva</w:t>
            </w:r>
          </w:p>
        </w:tc>
      </w:tr>
      <w:tr w:rsidR="005072F5" w:rsidRPr="00DD0EAE" w14:paraId="3B01A0A4" w14:textId="77777777" w:rsidTr="00915390">
        <w:tc>
          <w:tcPr>
            <w:tcW w:w="1260" w:type="pct"/>
          </w:tcPr>
          <w:p w14:paraId="2BEF1C2C" w14:textId="77777777" w:rsidR="005072F5" w:rsidRPr="00DD0EAE" w:rsidRDefault="005072F5" w:rsidP="00915390">
            <w:pPr>
              <w:overflowPunct w:val="0"/>
              <w:autoSpaceDE w:val="0"/>
              <w:autoSpaceDN w:val="0"/>
              <w:adjustRightInd w:val="0"/>
              <w:textAlignment w:val="baseline"/>
              <w:rPr>
                <w:i/>
              </w:rPr>
            </w:pPr>
            <w:r>
              <w:rPr>
                <w:i/>
              </w:rPr>
              <w:t>Teléfono:</w:t>
            </w:r>
          </w:p>
        </w:tc>
        <w:tc>
          <w:tcPr>
            <w:tcW w:w="3740" w:type="pct"/>
          </w:tcPr>
          <w:p w14:paraId="0F18870C" w14:textId="77777777" w:rsidR="005072F5" w:rsidRPr="00DD0EAE" w:rsidRDefault="005072F5" w:rsidP="00915390">
            <w:pPr>
              <w:overflowPunct w:val="0"/>
              <w:autoSpaceDE w:val="0"/>
              <w:autoSpaceDN w:val="0"/>
              <w:adjustRightInd w:val="0"/>
              <w:textAlignment w:val="baseline"/>
              <w:rPr>
                <w:i/>
              </w:rPr>
            </w:pPr>
            <w:r>
              <w:rPr>
                <w:i/>
              </w:rPr>
              <w:t>+32 2 546 8718</w:t>
            </w:r>
          </w:p>
        </w:tc>
      </w:tr>
      <w:tr w:rsidR="005072F5" w:rsidRPr="00DD0EAE" w14:paraId="67CD4CC8" w14:textId="77777777" w:rsidTr="00915390">
        <w:tc>
          <w:tcPr>
            <w:tcW w:w="1260" w:type="pct"/>
          </w:tcPr>
          <w:p w14:paraId="487C7FC8" w14:textId="77777777" w:rsidR="005072F5" w:rsidRPr="00DD0EAE" w:rsidRDefault="005072F5" w:rsidP="00915390">
            <w:pPr>
              <w:overflowPunct w:val="0"/>
              <w:autoSpaceDE w:val="0"/>
              <w:autoSpaceDN w:val="0"/>
              <w:adjustRightInd w:val="0"/>
              <w:textAlignment w:val="baseline"/>
              <w:rPr>
                <w:i/>
              </w:rPr>
            </w:pPr>
            <w:r>
              <w:rPr>
                <w:i/>
              </w:rPr>
              <w:t>Correo electrónico:</w:t>
            </w:r>
          </w:p>
        </w:tc>
        <w:tc>
          <w:tcPr>
            <w:tcW w:w="3740" w:type="pct"/>
          </w:tcPr>
          <w:p w14:paraId="6B3EEB14" w14:textId="77777777" w:rsidR="005072F5" w:rsidRPr="00DD0EAE" w:rsidRDefault="005072F5" w:rsidP="00915390">
            <w:pPr>
              <w:overflowPunct w:val="0"/>
              <w:autoSpaceDE w:val="0"/>
              <w:autoSpaceDN w:val="0"/>
              <w:adjustRightInd w:val="0"/>
              <w:textAlignment w:val="baseline"/>
              <w:rPr>
                <w:i/>
              </w:rPr>
            </w:pPr>
            <w:hyperlink r:id="rId87" w:history="1">
              <w:r>
                <w:rPr>
                  <w:i/>
                  <w:color w:val="0000FF"/>
                  <w:u w:val="single"/>
                </w:rPr>
                <w:t>Myrto.Kolyva@eesc.europa.eu</w:t>
              </w:r>
            </w:hyperlink>
          </w:p>
        </w:tc>
      </w:tr>
    </w:tbl>
    <w:p w14:paraId="4A0791DC" w14:textId="77777777" w:rsidR="005072F5" w:rsidRDefault="005072F5" w:rsidP="005072F5">
      <w:pPr>
        <w:jc w:val="left"/>
        <w:rPr>
          <w:rFonts w:ascii="Calibri" w:hAnsi="Calibri"/>
        </w:rPr>
      </w:pPr>
      <w:r>
        <w:br w:type="page"/>
      </w:r>
    </w:p>
    <w:p w14:paraId="1F7392C5" w14:textId="77777777" w:rsidR="005072F5" w:rsidRPr="004710BF" w:rsidRDefault="005072F5" w:rsidP="005072F5">
      <w:pPr>
        <w:keepNext/>
        <w:keepLines/>
        <w:widowControl w:val="0"/>
        <w:numPr>
          <w:ilvl w:val="0"/>
          <w:numId w:val="31"/>
        </w:numPr>
        <w:overflowPunct w:val="0"/>
        <w:autoSpaceDE w:val="0"/>
        <w:autoSpaceDN w:val="0"/>
        <w:adjustRightInd w:val="0"/>
        <w:ind w:left="567" w:hanging="567"/>
        <w:textAlignment w:val="baseline"/>
        <w:rPr>
          <w:sz w:val="20"/>
          <w:szCs w:val="20"/>
        </w:rPr>
      </w:pPr>
      <w:hyperlink r:id="rId88">
        <w:r>
          <w:rPr>
            <w:b/>
            <w:i/>
            <w:color w:val="0000FF"/>
            <w:sz w:val="28"/>
            <w:u w:val="single"/>
          </w:rPr>
          <w:t>Paquete de simplificación de la PAC</w:t>
        </w:r>
      </w:hyperlink>
    </w:p>
    <w:p w14:paraId="2FD24DFC" w14:textId="77777777" w:rsidR="005072F5" w:rsidRPr="004710BF" w:rsidRDefault="005072F5" w:rsidP="005072F5">
      <w:pPr>
        <w:keepNext/>
        <w:keepLines/>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950"/>
        <w:gridCol w:w="7481"/>
      </w:tblGrid>
      <w:tr w:rsidR="005072F5" w:rsidRPr="004710BF" w14:paraId="313FE06C" w14:textId="77777777" w:rsidTr="00915390">
        <w:tc>
          <w:tcPr>
            <w:tcW w:w="1034" w:type="pct"/>
          </w:tcPr>
          <w:p w14:paraId="32067BCA" w14:textId="77777777" w:rsidR="005072F5" w:rsidRPr="004710BF"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3966" w:type="pct"/>
          </w:tcPr>
          <w:p w14:paraId="3DC7B38C" w14:textId="77777777" w:rsidR="005072F5" w:rsidRPr="0007712E" w:rsidRDefault="005072F5" w:rsidP="00915390">
            <w:pPr>
              <w:tabs>
                <w:tab w:val="center" w:pos="284"/>
              </w:tabs>
              <w:overflowPunct w:val="0"/>
              <w:autoSpaceDE w:val="0"/>
              <w:autoSpaceDN w:val="0"/>
              <w:adjustRightInd w:val="0"/>
              <w:ind w:left="266" w:right="-3091" w:hanging="266"/>
              <w:textAlignment w:val="baseline"/>
            </w:pPr>
            <w:r>
              <w:t>John COMER (Grupo de Organizaciones de la Sociedad Civil – IE)</w:t>
            </w:r>
          </w:p>
        </w:tc>
      </w:tr>
      <w:tr w:rsidR="005072F5" w:rsidRPr="004710BF" w14:paraId="78611ADE" w14:textId="77777777" w:rsidTr="00915390">
        <w:tc>
          <w:tcPr>
            <w:tcW w:w="1034" w:type="pct"/>
          </w:tcPr>
          <w:p w14:paraId="7A914B8C" w14:textId="77777777" w:rsidR="005072F5" w:rsidRPr="004710BF"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3966" w:type="pct"/>
          </w:tcPr>
          <w:p w14:paraId="330C4288" w14:textId="77777777" w:rsidR="005072F5" w:rsidRPr="0007712E" w:rsidRDefault="005072F5" w:rsidP="00915390">
            <w:pPr>
              <w:tabs>
                <w:tab w:val="center" w:pos="284"/>
              </w:tabs>
              <w:overflowPunct w:val="0"/>
              <w:autoSpaceDE w:val="0"/>
              <w:autoSpaceDN w:val="0"/>
              <w:adjustRightInd w:val="0"/>
              <w:ind w:left="266" w:right="-3091" w:hanging="266"/>
              <w:textAlignment w:val="baseline"/>
            </w:pPr>
            <w:r>
              <w:t>Arnold PUECH D'ALISSAC (Grupo de Empresarios – FR)</w:t>
            </w:r>
          </w:p>
        </w:tc>
      </w:tr>
      <w:tr w:rsidR="005072F5" w:rsidRPr="004710BF" w14:paraId="72E1D22C" w14:textId="77777777" w:rsidTr="00915390">
        <w:tc>
          <w:tcPr>
            <w:tcW w:w="1034" w:type="pct"/>
          </w:tcPr>
          <w:p w14:paraId="4050B115" w14:textId="77777777" w:rsidR="005072F5" w:rsidRPr="004710BF"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3966" w:type="pct"/>
          </w:tcPr>
          <w:p w14:paraId="72A644F9" w14:textId="77777777" w:rsidR="005072F5" w:rsidRDefault="005072F5" w:rsidP="00915390">
            <w:pPr>
              <w:tabs>
                <w:tab w:val="center" w:pos="284"/>
              </w:tabs>
              <w:overflowPunct w:val="0"/>
              <w:autoSpaceDE w:val="0"/>
              <w:autoSpaceDN w:val="0"/>
              <w:adjustRightInd w:val="0"/>
              <w:ind w:left="266" w:right="-3091" w:hanging="266"/>
              <w:textAlignment w:val="baseline"/>
            </w:pPr>
            <w:r>
              <w:t>COM(2025) 236 final</w:t>
            </w:r>
          </w:p>
          <w:p w14:paraId="6FB0F632" w14:textId="77777777" w:rsidR="005072F5" w:rsidRPr="004710BF" w:rsidRDefault="005072F5" w:rsidP="00915390">
            <w:pPr>
              <w:tabs>
                <w:tab w:val="center" w:pos="284"/>
              </w:tabs>
              <w:overflowPunct w:val="0"/>
              <w:autoSpaceDE w:val="0"/>
              <w:autoSpaceDN w:val="0"/>
              <w:adjustRightInd w:val="0"/>
              <w:ind w:left="266" w:right="-3091" w:hanging="266"/>
              <w:textAlignment w:val="baseline"/>
            </w:pPr>
            <w:r>
              <w:t>EESC-2025-01558-00-00-AC</w:t>
            </w:r>
          </w:p>
        </w:tc>
      </w:tr>
    </w:tbl>
    <w:p w14:paraId="5C48E57B" w14:textId="77777777" w:rsidR="005072F5" w:rsidRPr="004710BF" w:rsidRDefault="005072F5" w:rsidP="005072F5">
      <w:pPr>
        <w:tabs>
          <w:tab w:val="center" w:pos="284"/>
        </w:tabs>
        <w:overflowPunct w:val="0"/>
        <w:autoSpaceDE w:val="0"/>
        <w:autoSpaceDN w:val="0"/>
        <w:adjustRightInd w:val="0"/>
        <w:ind w:left="266" w:hanging="266"/>
        <w:textAlignment w:val="baseline"/>
        <w:rPr>
          <w:b/>
          <w:lang w:val="en-GB"/>
        </w:rPr>
      </w:pPr>
    </w:p>
    <w:p w14:paraId="7398977E" w14:textId="77777777" w:rsidR="005072F5" w:rsidRPr="004710BF"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3FF8A79F" w14:textId="77777777" w:rsidR="005072F5" w:rsidRPr="004710BF"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41435980" w14:textId="77777777" w:rsidR="005072F5" w:rsidRDefault="005072F5" w:rsidP="005072F5">
      <w:pPr>
        <w:overflowPunct w:val="0"/>
        <w:autoSpaceDE w:val="0"/>
        <w:autoSpaceDN w:val="0"/>
        <w:adjustRightInd w:val="0"/>
        <w:textAlignment w:val="baseline"/>
      </w:pPr>
      <w:r>
        <w:t>El CESE:</w:t>
      </w:r>
    </w:p>
    <w:p w14:paraId="4FCD5C11" w14:textId="77777777" w:rsidR="005072F5" w:rsidRPr="004710BF" w:rsidRDefault="005072F5" w:rsidP="005072F5">
      <w:pPr>
        <w:overflowPunct w:val="0"/>
        <w:autoSpaceDE w:val="0"/>
        <w:autoSpaceDN w:val="0"/>
        <w:adjustRightInd w:val="0"/>
        <w:textAlignment w:val="baseline"/>
        <w:rPr>
          <w:szCs w:val="20"/>
        </w:rPr>
      </w:pPr>
    </w:p>
    <w:p w14:paraId="1451C67B" w14:textId="77777777" w:rsidR="005072F5" w:rsidRPr="004710BF" w:rsidRDefault="005072F5" w:rsidP="005072F5">
      <w:pPr>
        <w:widowControl w:val="0"/>
        <w:numPr>
          <w:ilvl w:val="0"/>
          <w:numId w:val="73"/>
        </w:numPr>
        <w:overflowPunct w:val="0"/>
        <w:autoSpaceDE w:val="0"/>
        <w:autoSpaceDN w:val="0"/>
        <w:adjustRightInd w:val="0"/>
        <w:ind w:left="284" w:hanging="284"/>
        <w:textAlignment w:val="baseline"/>
        <w:rPr>
          <w:szCs w:val="20"/>
        </w:rPr>
      </w:pPr>
      <w:r>
        <w:t>considera que el aumento y la mejora de la digitalización debe ser una estrategia clave para lograr la simplificación de la PAC, posibilitando el uso de herramientas digitales para la recogida de datos, el seguimiento y la tramitación de los pagos; los Estados miembros deben apoyar y promover activamente la formación en capacidades digitales de los agricultores, y debe proporcionarse ayuda financiera para la mejora de las capacidades y la formación en función de las necesidades;</w:t>
      </w:r>
    </w:p>
    <w:p w14:paraId="2038090B" w14:textId="77777777" w:rsidR="005072F5" w:rsidRPr="004710BF" w:rsidRDefault="005072F5" w:rsidP="005072F5">
      <w:pPr>
        <w:widowControl w:val="0"/>
        <w:numPr>
          <w:ilvl w:val="0"/>
          <w:numId w:val="73"/>
        </w:numPr>
        <w:overflowPunct w:val="0"/>
        <w:autoSpaceDE w:val="0"/>
        <w:autoSpaceDN w:val="0"/>
        <w:adjustRightInd w:val="0"/>
        <w:ind w:left="284" w:hanging="284"/>
        <w:textAlignment w:val="baseline"/>
        <w:rPr>
          <w:szCs w:val="20"/>
        </w:rPr>
      </w:pPr>
      <w:r>
        <w:t>recomienda que cada plan estratégico de la PAC contenga un componente específico para reducir la carga administrativa que implican las solicitudes de pago mediante formularios de solicitud abreviados, un uso generalizado de formularios con información previamente introducida y la utilización de la tecnología digital más actualizada para acceder a los datos pertinentes;</w:t>
      </w:r>
    </w:p>
    <w:p w14:paraId="20BFB2DB" w14:textId="77777777" w:rsidR="005072F5" w:rsidRPr="004710BF" w:rsidRDefault="005072F5" w:rsidP="005072F5">
      <w:pPr>
        <w:widowControl w:val="0"/>
        <w:numPr>
          <w:ilvl w:val="0"/>
          <w:numId w:val="73"/>
        </w:numPr>
        <w:overflowPunct w:val="0"/>
        <w:autoSpaceDE w:val="0"/>
        <w:autoSpaceDN w:val="0"/>
        <w:adjustRightInd w:val="0"/>
        <w:ind w:left="284" w:hanging="284"/>
        <w:textAlignment w:val="baseline"/>
        <w:rPr>
          <w:szCs w:val="20"/>
        </w:rPr>
      </w:pPr>
      <w:r>
        <w:t>recomienda que los nuevos agricultores que se establezcan por primera vez en una explotación agrícola como jefes de explotación se beneficien de las mismas condiciones que se conceden a los jóvenes agricultores en cuanto a las ayudas a la inversión para cumplir los requisitos del Derecho de la Unión, siempre que sean agricultores activos;</w:t>
      </w:r>
    </w:p>
    <w:p w14:paraId="753D3673" w14:textId="77777777" w:rsidR="005072F5" w:rsidRPr="004710BF" w:rsidRDefault="005072F5" w:rsidP="005072F5">
      <w:pPr>
        <w:widowControl w:val="0"/>
        <w:numPr>
          <w:ilvl w:val="0"/>
          <w:numId w:val="73"/>
        </w:numPr>
        <w:overflowPunct w:val="0"/>
        <w:autoSpaceDE w:val="0"/>
        <w:autoSpaceDN w:val="0"/>
        <w:adjustRightInd w:val="0"/>
        <w:ind w:left="284" w:hanging="284"/>
        <w:textAlignment w:val="baseline"/>
        <w:rPr>
          <w:szCs w:val="20"/>
        </w:rPr>
      </w:pPr>
      <w:r>
        <w:t xml:space="preserve">recomienda que, si una empresa agrícola, una explotación agrícola o un grupo de agricultores que operen en la misma explotación incorpora a dos o más jóvenes agricultores en años diferentes, debe poder optar a más de cinco años de ayuda complementaria a la renta para jóvenes agricultores; </w:t>
      </w:r>
    </w:p>
    <w:p w14:paraId="485ED123" w14:textId="77777777" w:rsidR="005072F5" w:rsidRPr="004710BF" w:rsidRDefault="005072F5" w:rsidP="005072F5">
      <w:pPr>
        <w:widowControl w:val="0"/>
        <w:numPr>
          <w:ilvl w:val="0"/>
          <w:numId w:val="73"/>
        </w:numPr>
        <w:overflowPunct w:val="0"/>
        <w:autoSpaceDE w:val="0"/>
        <w:autoSpaceDN w:val="0"/>
        <w:adjustRightInd w:val="0"/>
        <w:ind w:left="284" w:hanging="284"/>
        <w:textAlignment w:val="baseline"/>
        <w:rPr>
          <w:szCs w:val="20"/>
        </w:rPr>
      </w:pPr>
      <w:r>
        <w:t xml:space="preserve">propone que el pago anual a los pequeños agricultores no supere los 5 000 EUR (vinculados a un índice) cuando los Estados miembros concedan un pago a los pequeños agricultores mediante una cantidad a tanto alzado o importes por hectárea que sustituyan a los pagos directos, y que el número de inspecciones </w:t>
      </w:r>
      <w:r>
        <w:rPr>
          <w:i/>
        </w:rPr>
        <w:t>in situ</w:t>
      </w:r>
      <w:r>
        <w:t xml:space="preserve"> se reduzca significativamente mediante un mayor uso de la tecnología moderna;</w:t>
      </w:r>
    </w:p>
    <w:p w14:paraId="788A1330" w14:textId="77777777" w:rsidR="005072F5" w:rsidRPr="004710BF" w:rsidRDefault="005072F5" w:rsidP="005072F5">
      <w:pPr>
        <w:widowControl w:val="0"/>
        <w:numPr>
          <w:ilvl w:val="0"/>
          <w:numId w:val="73"/>
        </w:numPr>
        <w:overflowPunct w:val="0"/>
        <w:autoSpaceDE w:val="0"/>
        <w:autoSpaceDN w:val="0"/>
        <w:adjustRightInd w:val="0"/>
        <w:ind w:left="284" w:hanging="284"/>
        <w:textAlignment w:val="baseline"/>
        <w:rPr>
          <w:szCs w:val="20"/>
        </w:rPr>
      </w:pPr>
      <w:r>
        <w:t xml:space="preserve">recomienda que los Estados miembros contemplen la posibilidad de corregir las solicitudes de ayuda y las solicitudes de pago después de presentarlas, sin que ello afecte al derecho a recibir la ayuda, siempre que se haya actuado de buena fe con respecto a los datos u omisiones que deban corregirse y se efectúe la corrección antes de que el solicitante sea informado de que ha sido seleccionado para realizar un control </w:t>
      </w:r>
      <w:r>
        <w:rPr>
          <w:i/>
        </w:rPr>
        <w:t>in situ</w:t>
      </w:r>
      <w:r>
        <w:t xml:space="preserve"> o antes de que la autoridad competente tome una decisión con respecto a la solicitud;</w:t>
      </w:r>
    </w:p>
    <w:p w14:paraId="640F12B8" w14:textId="77777777" w:rsidR="005072F5" w:rsidRPr="004710BF" w:rsidRDefault="005072F5" w:rsidP="005072F5">
      <w:pPr>
        <w:widowControl w:val="0"/>
        <w:numPr>
          <w:ilvl w:val="0"/>
          <w:numId w:val="73"/>
        </w:numPr>
        <w:overflowPunct w:val="0"/>
        <w:autoSpaceDE w:val="0"/>
        <w:autoSpaceDN w:val="0"/>
        <w:adjustRightInd w:val="0"/>
        <w:ind w:left="284" w:hanging="284"/>
        <w:textAlignment w:val="baseline"/>
        <w:rPr>
          <w:szCs w:val="20"/>
        </w:rPr>
      </w:pPr>
      <w:r>
        <w:t>recomienda no discriminar a los agricultores que, debido a circunstancias imprevistas, no hayan podido participar en un sistema de instrumentos de gestión de riesgos asignándoles un porcentaje más bajo de pago compensatorio;</w:t>
      </w:r>
    </w:p>
    <w:p w14:paraId="314E0778" w14:textId="77777777" w:rsidR="005072F5" w:rsidRPr="004710BF" w:rsidRDefault="005072F5" w:rsidP="005072F5">
      <w:pPr>
        <w:widowControl w:val="0"/>
        <w:numPr>
          <w:ilvl w:val="0"/>
          <w:numId w:val="73"/>
        </w:numPr>
        <w:overflowPunct w:val="0"/>
        <w:autoSpaceDE w:val="0"/>
        <w:autoSpaceDN w:val="0"/>
        <w:adjustRightInd w:val="0"/>
        <w:ind w:left="284" w:hanging="284"/>
        <w:textAlignment w:val="baseline"/>
      </w:pPr>
      <w:r>
        <w:t>propone que, en circunstancias excepcionales, la Comisión, en asociación con el Estado miembro, proporcione financiación adicional de emergencia. Los pagos por situaciones de crisis no deben reducir los importes de las ayudas básicas a la renta;</w:t>
      </w:r>
    </w:p>
    <w:p w14:paraId="19814C48" w14:textId="77777777" w:rsidR="005072F5" w:rsidRPr="004710BF" w:rsidRDefault="005072F5" w:rsidP="005072F5">
      <w:pPr>
        <w:keepNext/>
        <w:keepLines/>
        <w:widowControl w:val="0"/>
        <w:numPr>
          <w:ilvl w:val="0"/>
          <w:numId w:val="73"/>
        </w:numPr>
        <w:overflowPunct w:val="0"/>
        <w:autoSpaceDE w:val="0"/>
        <w:autoSpaceDN w:val="0"/>
        <w:adjustRightInd w:val="0"/>
        <w:ind w:left="284" w:hanging="284"/>
        <w:textAlignment w:val="baseline"/>
        <w:rPr>
          <w:szCs w:val="20"/>
        </w:rPr>
      </w:pPr>
      <w:r>
        <w:lastRenderedPageBreak/>
        <w:t>recomienda que los Estados miembros tengan la facultad discrecional de aplicar un sistema de pago alternativo en lugar de los pagos por hectárea para las zonas con desventajas específicas resultantes de requisitos obligatorios, si se considera adecuado para las condiciones locales;</w:t>
      </w:r>
    </w:p>
    <w:p w14:paraId="105816CA" w14:textId="77777777" w:rsidR="005072F5" w:rsidRPr="004710BF" w:rsidRDefault="005072F5" w:rsidP="005072F5">
      <w:pPr>
        <w:widowControl w:val="0"/>
        <w:numPr>
          <w:ilvl w:val="0"/>
          <w:numId w:val="73"/>
        </w:numPr>
        <w:overflowPunct w:val="0"/>
        <w:autoSpaceDE w:val="0"/>
        <w:autoSpaceDN w:val="0"/>
        <w:adjustRightInd w:val="0"/>
        <w:ind w:left="284" w:hanging="284"/>
        <w:textAlignment w:val="baseline"/>
        <w:rPr>
          <w:szCs w:val="20"/>
        </w:rPr>
      </w:pPr>
      <w:r>
        <w:t>Propone evaluar exhaustivamente y revisar las buenas condiciones agrarias y medioambientales (BCAM) para que se adapten a los agricultores y apoyen la seguridad alimentaria en la UE facilitando una producción de alimentos de calidad que se ajuste a las buenas prácticas medioambientales;</w:t>
      </w:r>
    </w:p>
    <w:p w14:paraId="1E6EF271" w14:textId="77777777" w:rsidR="005072F5" w:rsidRPr="004710BF" w:rsidRDefault="005072F5" w:rsidP="005072F5">
      <w:pPr>
        <w:widowControl w:val="0"/>
        <w:numPr>
          <w:ilvl w:val="0"/>
          <w:numId w:val="73"/>
        </w:numPr>
        <w:overflowPunct w:val="0"/>
        <w:autoSpaceDE w:val="0"/>
        <w:autoSpaceDN w:val="0"/>
        <w:adjustRightInd w:val="0"/>
        <w:ind w:left="284" w:hanging="284"/>
        <w:textAlignment w:val="baseline"/>
        <w:rPr>
          <w:szCs w:val="20"/>
        </w:rPr>
      </w:pPr>
      <w:r>
        <w:t>considera que las ayudas a las inversiones en riego no deben depender de la interpretación del estado «inferior a bueno» de la masa de agua por parte de cada Estado miembro o región. Deben respetarse las necesidades de otros ecosistemas.</w:t>
      </w:r>
    </w:p>
    <w:p w14:paraId="21578F3A" w14:textId="77777777" w:rsidR="005072F5" w:rsidRPr="004710BF" w:rsidRDefault="005072F5" w:rsidP="005072F5">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094"/>
        <w:gridCol w:w="7337"/>
      </w:tblGrid>
      <w:tr w:rsidR="005072F5" w:rsidRPr="004710BF" w14:paraId="00ACB98A" w14:textId="77777777" w:rsidTr="00915390">
        <w:tc>
          <w:tcPr>
            <w:tcW w:w="1110" w:type="pct"/>
          </w:tcPr>
          <w:p w14:paraId="371E640F" w14:textId="77777777" w:rsidR="005072F5" w:rsidRPr="004710BF" w:rsidRDefault="005072F5" w:rsidP="00915390">
            <w:pPr>
              <w:overflowPunct w:val="0"/>
              <w:autoSpaceDE w:val="0"/>
              <w:autoSpaceDN w:val="0"/>
              <w:adjustRightInd w:val="0"/>
              <w:textAlignment w:val="baseline"/>
              <w:rPr>
                <w:i/>
              </w:rPr>
            </w:pPr>
            <w:r>
              <w:rPr>
                <w:b/>
                <w:i/>
              </w:rPr>
              <w:t>Contacto:</w:t>
            </w:r>
          </w:p>
        </w:tc>
        <w:tc>
          <w:tcPr>
            <w:tcW w:w="3890" w:type="pct"/>
          </w:tcPr>
          <w:p w14:paraId="23F171F0" w14:textId="77777777" w:rsidR="005072F5" w:rsidRPr="004710BF" w:rsidRDefault="005072F5" w:rsidP="00915390">
            <w:pPr>
              <w:overflowPunct w:val="0"/>
              <w:autoSpaceDE w:val="0"/>
              <w:autoSpaceDN w:val="0"/>
              <w:adjustRightInd w:val="0"/>
              <w:textAlignment w:val="baseline"/>
              <w:rPr>
                <w:i/>
                <w:iCs/>
              </w:rPr>
            </w:pPr>
            <w:r>
              <w:rPr>
                <w:i/>
              </w:rPr>
              <w:t>Myrto Kolyva, Arturo Íñiguez</w:t>
            </w:r>
          </w:p>
        </w:tc>
      </w:tr>
      <w:tr w:rsidR="005072F5" w:rsidRPr="004710BF" w14:paraId="749B8287" w14:textId="77777777" w:rsidTr="00915390">
        <w:tc>
          <w:tcPr>
            <w:tcW w:w="1110" w:type="pct"/>
          </w:tcPr>
          <w:p w14:paraId="7D56A331" w14:textId="77777777" w:rsidR="005072F5" w:rsidRPr="004710BF" w:rsidRDefault="005072F5" w:rsidP="00915390">
            <w:pPr>
              <w:overflowPunct w:val="0"/>
              <w:autoSpaceDE w:val="0"/>
              <w:autoSpaceDN w:val="0"/>
              <w:adjustRightInd w:val="0"/>
              <w:textAlignment w:val="baseline"/>
              <w:rPr>
                <w:i/>
              </w:rPr>
            </w:pPr>
            <w:r>
              <w:rPr>
                <w:i/>
              </w:rPr>
              <w:t>Teléfono:</w:t>
            </w:r>
          </w:p>
        </w:tc>
        <w:tc>
          <w:tcPr>
            <w:tcW w:w="3890" w:type="pct"/>
          </w:tcPr>
          <w:p w14:paraId="7FBF9A9D" w14:textId="77777777" w:rsidR="005072F5" w:rsidRPr="004710BF" w:rsidRDefault="005072F5" w:rsidP="00915390">
            <w:pPr>
              <w:overflowPunct w:val="0"/>
              <w:autoSpaceDE w:val="0"/>
              <w:autoSpaceDN w:val="0"/>
              <w:adjustRightInd w:val="0"/>
              <w:textAlignment w:val="baseline"/>
              <w:rPr>
                <w:i/>
              </w:rPr>
            </w:pPr>
            <w:r>
              <w:rPr>
                <w:i/>
              </w:rPr>
              <w:t>+32 2 546 8718 y +32 2 546 8768</w:t>
            </w:r>
          </w:p>
        </w:tc>
      </w:tr>
      <w:tr w:rsidR="005072F5" w:rsidRPr="004710BF" w14:paraId="647564B2" w14:textId="77777777" w:rsidTr="00915390">
        <w:tc>
          <w:tcPr>
            <w:tcW w:w="1110" w:type="pct"/>
          </w:tcPr>
          <w:p w14:paraId="0CEB5AE0" w14:textId="77777777" w:rsidR="005072F5" w:rsidRPr="004710BF" w:rsidRDefault="005072F5" w:rsidP="00915390">
            <w:pPr>
              <w:overflowPunct w:val="0"/>
              <w:autoSpaceDE w:val="0"/>
              <w:autoSpaceDN w:val="0"/>
              <w:adjustRightInd w:val="0"/>
              <w:textAlignment w:val="baseline"/>
              <w:rPr>
                <w:i/>
              </w:rPr>
            </w:pPr>
            <w:r>
              <w:rPr>
                <w:i/>
              </w:rPr>
              <w:t>Correo electrónico:</w:t>
            </w:r>
          </w:p>
        </w:tc>
        <w:tc>
          <w:tcPr>
            <w:tcW w:w="3890" w:type="pct"/>
          </w:tcPr>
          <w:p w14:paraId="3C09F128" w14:textId="77777777" w:rsidR="005072F5" w:rsidRPr="004710BF" w:rsidRDefault="005072F5" w:rsidP="00915390">
            <w:pPr>
              <w:overflowPunct w:val="0"/>
              <w:autoSpaceDE w:val="0"/>
              <w:autoSpaceDN w:val="0"/>
              <w:adjustRightInd w:val="0"/>
              <w:textAlignment w:val="baseline"/>
              <w:rPr>
                <w:i/>
              </w:rPr>
            </w:pPr>
            <w:hyperlink r:id="rId89" w:history="1">
              <w:r>
                <w:rPr>
                  <w:i/>
                  <w:color w:val="0000FF"/>
                  <w:u w:val="single"/>
                </w:rPr>
                <w:t>Myrto.Kolyva@eesc.europa.eu</w:t>
              </w:r>
            </w:hyperlink>
            <w:r>
              <w:t xml:space="preserve"> y </w:t>
            </w:r>
            <w:hyperlink r:id="rId90" w:history="1">
              <w:r>
                <w:rPr>
                  <w:i/>
                  <w:color w:val="0000FF"/>
                  <w:u w:val="single"/>
                </w:rPr>
                <w:t>Arturo.Iniguez@eesc.europa.eu</w:t>
              </w:r>
            </w:hyperlink>
          </w:p>
        </w:tc>
      </w:tr>
    </w:tbl>
    <w:p w14:paraId="06A4E05A" w14:textId="77777777" w:rsidR="005072F5" w:rsidRDefault="005072F5" w:rsidP="005072F5">
      <w:pPr>
        <w:jc w:val="left"/>
        <w:rPr>
          <w:rFonts w:ascii="Calibri" w:hAnsi="Calibri"/>
          <w:highlight w:val="yellow"/>
        </w:rPr>
      </w:pPr>
      <w:r>
        <w:br w:type="page"/>
      </w:r>
    </w:p>
    <w:p w14:paraId="7E3F8E72" w14:textId="77777777" w:rsidR="005072F5" w:rsidRPr="00AA2E19" w:rsidRDefault="005072F5" w:rsidP="005072F5">
      <w:pPr>
        <w:pStyle w:val="ListParagraph"/>
        <w:keepNext/>
        <w:keepLines/>
        <w:widowControl w:val="0"/>
        <w:numPr>
          <w:ilvl w:val="0"/>
          <w:numId w:val="36"/>
        </w:numPr>
        <w:overflowPunct w:val="0"/>
        <w:autoSpaceDE w:val="0"/>
        <w:autoSpaceDN w:val="0"/>
        <w:adjustRightInd w:val="0"/>
        <w:ind w:left="567" w:hanging="567"/>
        <w:textAlignment w:val="baseline"/>
        <w:rPr>
          <w:b/>
          <w:bCs/>
          <w:i/>
          <w:iCs/>
          <w:sz w:val="28"/>
          <w:szCs w:val="28"/>
        </w:rPr>
      </w:pPr>
      <w:hyperlink r:id="rId91" w:history="1">
        <w:r>
          <w:rPr>
            <w:b/>
            <w:i/>
            <w:color w:val="0000FF"/>
            <w:sz w:val="28"/>
            <w:u w:val="single"/>
          </w:rPr>
          <w:t>Un planeta sano para personas sanas: hacia un enfoque global de «Una sola salud»</w:t>
        </w:r>
      </w:hyperlink>
    </w:p>
    <w:p w14:paraId="67489CA1" w14:textId="77777777" w:rsidR="005072F5" w:rsidRPr="006D05E9" w:rsidRDefault="005072F5" w:rsidP="005072F5">
      <w:pPr>
        <w:keepNext/>
        <w:keepLines/>
        <w:tabs>
          <w:tab w:val="center" w:pos="284"/>
        </w:tabs>
        <w:overflowPunct w:val="0"/>
        <w:autoSpaceDE w:val="0"/>
        <w:autoSpaceDN w:val="0"/>
        <w:adjustRightInd w:val="0"/>
        <w:ind w:left="266" w:hanging="266"/>
        <w:textAlignment w:val="baseline"/>
        <w:rPr>
          <w:b/>
          <w:sz w:val="14"/>
          <w:szCs w:val="14"/>
          <w:lang w:val="en-GB"/>
        </w:rPr>
      </w:pPr>
    </w:p>
    <w:tbl>
      <w:tblPr>
        <w:tblW w:w="0" w:type="auto"/>
        <w:tblLook w:val="04A0" w:firstRow="1" w:lastRow="0" w:firstColumn="1" w:lastColumn="0" w:noHBand="0" w:noVBand="1"/>
      </w:tblPr>
      <w:tblGrid>
        <w:gridCol w:w="2100"/>
        <w:gridCol w:w="7222"/>
      </w:tblGrid>
      <w:tr w:rsidR="005072F5" w:rsidRPr="00BA6F6C" w14:paraId="568DC706" w14:textId="77777777" w:rsidTr="00915390">
        <w:tc>
          <w:tcPr>
            <w:tcW w:w="2100" w:type="dxa"/>
          </w:tcPr>
          <w:p w14:paraId="67ADB802" w14:textId="77777777" w:rsidR="005072F5" w:rsidRPr="00BA6F6C" w:rsidRDefault="005072F5" w:rsidP="00915390">
            <w:pPr>
              <w:tabs>
                <w:tab w:val="center" w:pos="284"/>
              </w:tabs>
              <w:overflowPunct w:val="0"/>
              <w:autoSpaceDE w:val="0"/>
              <w:autoSpaceDN w:val="0"/>
              <w:adjustRightInd w:val="0"/>
              <w:textAlignment w:val="baseline"/>
              <w:rPr>
                <w:b/>
              </w:rPr>
            </w:pPr>
            <w:r>
              <w:rPr>
                <w:b/>
              </w:rPr>
              <w:t>Ponente</w:t>
            </w:r>
          </w:p>
        </w:tc>
        <w:tc>
          <w:tcPr>
            <w:tcW w:w="7222" w:type="dxa"/>
          </w:tcPr>
          <w:p w14:paraId="0E7917AB" w14:textId="77777777" w:rsidR="005072F5" w:rsidRPr="00EA2195" w:rsidRDefault="005072F5" w:rsidP="00915390">
            <w:pPr>
              <w:tabs>
                <w:tab w:val="center" w:pos="284"/>
              </w:tabs>
              <w:overflowPunct w:val="0"/>
              <w:autoSpaceDE w:val="0"/>
              <w:autoSpaceDN w:val="0"/>
              <w:adjustRightInd w:val="0"/>
              <w:textAlignment w:val="baseline"/>
            </w:pPr>
            <w:r>
              <w:t>Nicoletta MERLO (Grupo de Trabajadores – IT)</w:t>
            </w:r>
          </w:p>
        </w:tc>
      </w:tr>
      <w:tr w:rsidR="005072F5" w:rsidRPr="00BA6F6C" w14:paraId="7EA24EB0" w14:textId="77777777" w:rsidTr="00915390">
        <w:tc>
          <w:tcPr>
            <w:tcW w:w="2100" w:type="dxa"/>
          </w:tcPr>
          <w:p w14:paraId="18190B19" w14:textId="77777777" w:rsidR="005072F5" w:rsidRPr="00BA6F6C" w:rsidRDefault="005072F5" w:rsidP="00915390">
            <w:pPr>
              <w:tabs>
                <w:tab w:val="center" w:pos="284"/>
              </w:tabs>
              <w:overflowPunct w:val="0"/>
              <w:autoSpaceDE w:val="0"/>
              <w:autoSpaceDN w:val="0"/>
              <w:adjustRightInd w:val="0"/>
              <w:textAlignment w:val="baseline"/>
              <w:rPr>
                <w:b/>
              </w:rPr>
            </w:pPr>
            <w:r>
              <w:rPr>
                <w:b/>
              </w:rPr>
              <w:t>Coponente</w:t>
            </w:r>
          </w:p>
        </w:tc>
        <w:tc>
          <w:tcPr>
            <w:tcW w:w="7222" w:type="dxa"/>
          </w:tcPr>
          <w:p w14:paraId="13CB705D" w14:textId="77777777" w:rsidR="005072F5" w:rsidRPr="0007712E" w:rsidRDefault="005072F5" w:rsidP="00915390">
            <w:pPr>
              <w:tabs>
                <w:tab w:val="center" w:pos="284"/>
              </w:tabs>
              <w:overflowPunct w:val="0"/>
              <w:autoSpaceDE w:val="0"/>
              <w:autoSpaceDN w:val="0"/>
              <w:adjustRightInd w:val="0"/>
              <w:textAlignment w:val="baseline"/>
              <w:rPr>
                <w:bCs/>
              </w:rPr>
            </w:pPr>
            <w:r>
              <w:t>Arnaud SCHWARTZ (Grupo de Organizaciones de la Sociedad Civil – FR)</w:t>
            </w:r>
          </w:p>
        </w:tc>
      </w:tr>
      <w:tr w:rsidR="005072F5" w:rsidRPr="00BA6F6C" w14:paraId="7E2D55C7" w14:textId="77777777" w:rsidTr="00915390">
        <w:tc>
          <w:tcPr>
            <w:tcW w:w="2100" w:type="dxa"/>
          </w:tcPr>
          <w:p w14:paraId="33B1AAE7" w14:textId="77777777" w:rsidR="005072F5" w:rsidRPr="00BA6F6C" w:rsidRDefault="005072F5" w:rsidP="00915390">
            <w:pPr>
              <w:tabs>
                <w:tab w:val="center" w:pos="284"/>
              </w:tabs>
              <w:overflowPunct w:val="0"/>
              <w:autoSpaceDE w:val="0"/>
              <w:autoSpaceDN w:val="0"/>
              <w:adjustRightInd w:val="0"/>
              <w:textAlignment w:val="baseline"/>
              <w:rPr>
                <w:b/>
              </w:rPr>
            </w:pPr>
            <w:r>
              <w:rPr>
                <w:b/>
              </w:rPr>
              <w:t>Referencia</w:t>
            </w:r>
          </w:p>
        </w:tc>
        <w:tc>
          <w:tcPr>
            <w:tcW w:w="7222" w:type="dxa"/>
          </w:tcPr>
          <w:p w14:paraId="41F62839" w14:textId="77777777" w:rsidR="005072F5" w:rsidRDefault="005072F5" w:rsidP="00915390">
            <w:pPr>
              <w:tabs>
                <w:tab w:val="center" w:pos="284"/>
              </w:tabs>
              <w:overflowPunct w:val="0"/>
              <w:autoSpaceDE w:val="0"/>
              <w:autoSpaceDN w:val="0"/>
              <w:adjustRightInd w:val="0"/>
              <w:textAlignment w:val="baseline"/>
            </w:pPr>
            <w:r>
              <w:t>Dictamen de iniciativa</w:t>
            </w:r>
          </w:p>
          <w:p w14:paraId="1B71F76A" w14:textId="77777777" w:rsidR="005072F5" w:rsidRPr="00BA6F6C" w:rsidRDefault="005072F5" w:rsidP="00915390">
            <w:pPr>
              <w:tabs>
                <w:tab w:val="center" w:pos="284"/>
              </w:tabs>
              <w:overflowPunct w:val="0"/>
              <w:autoSpaceDE w:val="0"/>
              <w:autoSpaceDN w:val="0"/>
              <w:adjustRightInd w:val="0"/>
              <w:textAlignment w:val="baseline"/>
              <w:rPr>
                <w:b/>
              </w:rPr>
            </w:pPr>
            <w:r>
              <w:t>EESC-2025-00757-00-00-AC</w:t>
            </w:r>
          </w:p>
        </w:tc>
      </w:tr>
    </w:tbl>
    <w:p w14:paraId="2C409CF2" w14:textId="77777777" w:rsidR="005072F5" w:rsidRPr="006D05E9" w:rsidRDefault="005072F5" w:rsidP="005072F5">
      <w:pPr>
        <w:tabs>
          <w:tab w:val="center" w:pos="284"/>
        </w:tabs>
        <w:overflowPunct w:val="0"/>
        <w:autoSpaceDE w:val="0"/>
        <w:autoSpaceDN w:val="0"/>
        <w:adjustRightInd w:val="0"/>
        <w:ind w:left="266" w:hanging="266"/>
        <w:textAlignment w:val="baseline"/>
        <w:rPr>
          <w:b/>
          <w:sz w:val="14"/>
          <w:szCs w:val="14"/>
          <w:lang w:val="en-GB"/>
        </w:rPr>
      </w:pPr>
    </w:p>
    <w:p w14:paraId="45D1A7E3" w14:textId="77777777" w:rsidR="005072F5" w:rsidRPr="00BA6F6C"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17227D3E" w14:textId="77777777" w:rsidR="005072F5" w:rsidRPr="006D05E9" w:rsidRDefault="005072F5" w:rsidP="005072F5">
      <w:pPr>
        <w:keepNext/>
        <w:keepLines/>
        <w:tabs>
          <w:tab w:val="center" w:pos="284"/>
        </w:tabs>
        <w:overflowPunct w:val="0"/>
        <w:autoSpaceDE w:val="0"/>
        <w:autoSpaceDN w:val="0"/>
        <w:adjustRightInd w:val="0"/>
        <w:ind w:left="266" w:hanging="266"/>
        <w:textAlignment w:val="baseline"/>
        <w:rPr>
          <w:b/>
          <w:sz w:val="14"/>
          <w:szCs w:val="14"/>
          <w:lang w:val="en-GB"/>
        </w:rPr>
      </w:pPr>
    </w:p>
    <w:p w14:paraId="212B7BD5" w14:textId="77777777" w:rsidR="005072F5" w:rsidRDefault="005072F5" w:rsidP="005072F5">
      <w:pPr>
        <w:overflowPunct w:val="0"/>
        <w:autoSpaceDE w:val="0"/>
        <w:autoSpaceDN w:val="0"/>
        <w:adjustRightInd w:val="0"/>
        <w:textAlignment w:val="baseline"/>
      </w:pPr>
      <w:r>
        <w:t>El CESE:</w:t>
      </w:r>
    </w:p>
    <w:p w14:paraId="1C3A58B9" w14:textId="77777777" w:rsidR="005072F5" w:rsidRPr="006D05E9" w:rsidRDefault="005072F5" w:rsidP="005072F5">
      <w:pPr>
        <w:overflowPunct w:val="0"/>
        <w:autoSpaceDE w:val="0"/>
        <w:autoSpaceDN w:val="0"/>
        <w:adjustRightInd w:val="0"/>
        <w:textAlignment w:val="baseline"/>
        <w:rPr>
          <w:bCs/>
          <w:iCs/>
          <w:sz w:val="10"/>
          <w:szCs w:val="10"/>
        </w:rPr>
      </w:pPr>
    </w:p>
    <w:p w14:paraId="056A697B" w14:textId="77777777" w:rsidR="005072F5" w:rsidRPr="00061E08" w:rsidRDefault="005072F5" w:rsidP="005072F5">
      <w:pPr>
        <w:pStyle w:val="ListParagraph"/>
        <w:numPr>
          <w:ilvl w:val="0"/>
          <w:numId w:val="96"/>
        </w:numPr>
        <w:spacing w:line="264" w:lineRule="auto"/>
        <w:ind w:left="284" w:hanging="284"/>
      </w:pPr>
      <w:bookmarkStart w:id="166" w:name="_Toc209713410"/>
      <w:bookmarkStart w:id="167" w:name="_Toc209713950"/>
      <w:r>
        <w:t>anima a las instituciones de la UE a desarrollar una estrategia europea global de «Una sola salud», seguida de un plan de acción dotado de los recursos financieros adecuados que plantee una gobernanza multinivel y un enfoque multilateral para apoyar a los Estados miembros en su aplicación;</w:t>
      </w:r>
      <w:bookmarkEnd w:id="166"/>
      <w:bookmarkEnd w:id="167"/>
    </w:p>
    <w:p w14:paraId="5E5D56F8" w14:textId="77777777" w:rsidR="005072F5" w:rsidRPr="00061E08" w:rsidRDefault="005072F5" w:rsidP="005072F5">
      <w:pPr>
        <w:pStyle w:val="ListParagraph"/>
        <w:numPr>
          <w:ilvl w:val="0"/>
          <w:numId w:val="96"/>
        </w:numPr>
        <w:spacing w:line="264" w:lineRule="auto"/>
        <w:ind w:left="284" w:hanging="284"/>
      </w:pPr>
      <w:bookmarkStart w:id="168" w:name="_Toc209713411"/>
      <w:bookmarkStart w:id="169" w:name="_Toc209713951"/>
      <w:r>
        <w:t>recomienda reforzar la Dirección responsable de «Una sola salud» dentro de la DG SANTE y fomentar una cooperación eficaz entre todas las direcciones generales pertinentes;</w:t>
      </w:r>
      <w:bookmarkEnd w:id="168"/>
      <w:bookmarkEnd w:id="169"/>
    </w:p>
    <w:p w14:paraId="3DDE4647" w14:textId="77777777" w:rsidR="005072F5" w:rsidRPr="00061E08" w:rsidRDefault="005072F5" w:rsidP="005072F5">
      <w:pPr>
        <w:pStyle w:val="ListParagraph"/>
        <w:numPr>
          <w:ilvl w:val="0"/>
          <w:numId w:val="96"/>
        </w:numPr>
        <w:spacing w:line="264" w:lineRule="auto"/>
        <w:ind w:left="284" w:hanging="284"/>
      </w:pPr>
      <w:bookmarkStart w:id="170" w:name="_Toc209713412"/>
      <w:bookmarkStart w:id="171" w:name="_Toc209713952"/>
      <w:r>
        <w:t>subraya la necesidad de integrar el enfoque de «Una sola salud» en todos los principales marcos políticos de la UE y de reforzar la colaboración entre las agencias de la UE, fomentar las sinergias con socios internacionales y promover una gobernanza inclusiva mediante una mejora de los diálogos sociales y civiles para garantizar un apoyo amplio y una armonización con los esfuerzos mundiales de «Una sola salud»;</w:t>
      </w:r>
      <w:bookmarkEnd w:id="170"/>
      <w:bookmarkEnd w:id="171"/>
    </w:p>
    <w:p w14:paraId="133AF800" w14:textId="77777777" w:rsidR="005072F5" w:rsidRPr="00061E08" w:rsidRDefault="005072F5" w:rsidP="005072F5">
      <w:pPr>
        <w:pStyle w:val="ListParagraph"/>
        <w:numPr>
          <w:ilvl w:val="0"/>
          <w:numId w:val="96"/>
        </w:numPr>
        <w:spacing w:line="264" w:lineRule="auto"/>
        <w:ind w:left="284" w:hanging="284"/>
      </w:pPr>
      <w:bookmarkStart w:id="172" w:name="_Toc209713413"/>
      <w:bookmarkStart w:id="173" w:name="_Toc209713953"/>
      <w:r>
        <w:t>insta a la Comisión a que asigne recursos financieros específicos en el próximo MFP para apoyar la aplicación de «Una sola salud», especialmente para soluciones basadas en la naturaleza, la prevención y la investigación;</w:t>
      </w:r>
      <w:bookmarkEnd w:id="172"/>
      <w:bookmarkEnd w:id="173"/>
    </w:p>
    <w:p w14:paraId="5848C22F" w14:textId="77777777" w:rsidR="005072F5" w:rsidRPr="00061E08" w:rsidRDefault="005072F5" w:rsidP="005072F5">
      <w:pPr>
        <w:pStyle w:val="ListParagraph"/>
        <w:numPr>
          <w:ilvl w:val="0"/>
          <w:numId w:val="96"/>
        </w:numPr>
        <w:spacing w:line="264" w:lineRule="auto"/>
        <w:ind w:left="284" w:hanging="284"/>
      </w:pPr>
      <w:bookmarkStart w:id="174" w:name="_Toc209713414"/>
      <w:bookmarkStart w:id="175" w:name="_Toc209713954"/>
      <w:r>
        <w:t>considera fundamental apoyar un seguimiento integrado de los riesgos para el medio ambiente, los animales y la salud humana, así como financiar la investigación interdisciplinar con el fin de que sirva de base para establecer sistemas de alerta temprana, desarrollar políticas y elaborar estrategias de fortalecimiento de la resiliencia. Reforzar la colaboración internacional es esencial para abordar estos riesgos complejos y para generar respuestas mundiales eficaces y coordinadas;</w:t>
      </w:r>
      <w:bookmarkEnd w:id="174"/>
      <w:bookmarkEnd w:id="175"/>
    </w:p>
    <w:p w14:paraId="7A4E6906" w14:textId="77777777" w:rsidR="005072F5" w:rsidRPr="00061E08" w:rsidRDefault="005072F5" w:rsidP="005072F5">
      <w:pPr>
        <w:pStyle w:val="ListParagraph"/>
        <w:numPr>
          <w:ilvl w:val="0"/>
          <w:numId w:val="96"/>
        </w:numPr>
        <w:spacing w:line="264" w:lineRule="auto"/>
        <w:ind w:left="284" w:hanging="284"/>
      </w:pPr>
      <w:bookmarkStart w:id="176" w:name="_Toc209713415"/>
      <w:bookmarkStart w:id="177" w:name="_Toc209713955"/>
      <w:r>
        <w:t>pide mecanismos inclusivos en los que los agentes locales, los responsables políticos, los agentes económicos, la sociedad civil organizada, el sector industrial, la sanidad pública de las personas y los animales, las autoridades medioambientales, las comunidades afectadas y la juventud participen en todas las fases de las políticas;</w:t>
      </w:r>
      <w:bookmarkEnd w:id="176"/>
      <w:bookmarkEnd w:id="177"/>
    </w:p>
    <w:p w14:paraId="2D201739" w14:textId="77777777" w:rsidR="005072F5" w:rsidRPr="00061E08" w:rsidRDefault="005072F5" w:rsidP="005072F5">
      <w:pPr>
        <w:pStyle w:val="ListParagraph"/>
        <w:numPr>
          <w:ilvl w:val="0"/>
          <w:numId w:val="96"/>
        </w:numPr>
        <w:spacing w:line="264" w:lineRule="auto"/>
        <w:ind w:left="284" w:hanging="284"/>
      </w:pPr>
      <w:bookmarkStart w:id="178" w:name="_Toc209713416"/>
      <w:bookmarkStart w:id="179" w:name="_Toc209713956"/>
      <w:r>
        <w:t>considera fundamental promover iniciativas de educación y formación específicas a fin de comprender mejor los determinantes medioambientales y sociales de la salud;</w:t>
      </w:r>
      <w:bookmarkEnd w:id="178"/>
      <w:bookmarkEnd w:id="179"/>
    </w:p>
    <w:p w14:paraId="4327ABEA" w14:textId="77777777" w:rsidR="005072F5" w:rsidRPr="00061E08" w:rsidRDefault="005072F5" w:rsidP="005072F5">
      <w:pPr>
        <w:pStyle w:val="ListParagraph"/>
        <w:numPr>
          <w:ilvl w:val="0"/>
          <w:numId w:val="96"/>
        </w:numPr>
        <w:spacing w:line="264" w:lineRule="auto"/>
        <w:ind w:left="284" w:hanging="284"/>
      </w:pPr>
      <w:bookmarkStart w:id="180" w:name="_Toc209713417"/>
      <w:bookmarkStart w:id="181" w:name="_Toc209713957"/>
      <w:r>
        <w:t>subraya la importancia de reconocer y abordar los retos específicos a los que se enfrentan la agricultura, la pesca, la silvicultura y la industria en la transición hacia prácticas sostenibles y armonizadas con el enfoque de «Una sola salud». Además, se considera importante abordar las necesidades y las preocupaciones de los más vulnerables (debido a su exposoma), así como las formas de prestarles apoyo;</w:t>
      </w:r>
      <w:bookmarkEnd w:id="180"/>
      <w:bookmarkEnd w:id="181"/>
    </w:p>
    <w:p w14:paraId="63FB116A" w14:textId="77777777" w:rsidR="005072F5" w:rsidRPr="00061E08" w:rsidRDefault="005072F5" w:rsidP="005072F5">
      <w:pPr>
        <w:pStyle w:val="ListParagraph"/>
        <w:numPr>
          <w:ilvl w:val="0"/>
          <w:numId w:val="96"/>
        </w:numPr>
        <w:spacing w:line="264" w:lineRule="auto"/>
        <w:ind w:left="284" w:hanging="284"/>
        <w:rPr>
          <w:rFonts w:asciiTheme="minorHAnsi" w:hAnsiTheme="minorHAnsi"/>
        </w:rPr>
      </w:pPr>
      <w:r>
        <w:t>considera que la estrategia de «Una sola salud» debe tener en cuenta las implicaciones financieras y comerciales a escala mundial, como la introducción de cláusulas espejo en materia de salud y medio ambiente en los acuerdos comerciales para salvaguardar la salud pública y garantizar unas condiciones de competencia equitativas.</w:t>
      </w:r>
    </w:p>
    <w:p w14:paraId="31D7EE71" w14:textId="77777777" w:rsidR="005072F5" w:rsidRPr="006D05E9" w:rsidRDefault="005072F5" w:rsidP="005072F5">
      <w:pPr>
        <w:widowControl w:val="0"/>
        <w:overflowPunct w:val="0"/>
        <w:autoSpaceDE w:val="0"/>
        <w:autoSpaceDN w:val="0"/>
        <w:adjustRightInd w:val="0"/>
        <w:ind w:left="709"/>
        <w:textAlignment w:val="baseline"/>
        <w:rPr>
          <w:sz w:val="10"/>
          <w:szCs w:val="10"/>
          <w:lang w:val="en-GB"/>
        </w:rPr>
      </w:pPr>
    </w:p>
    <w:tbl>
      <w:tblPr>
        <w:tblW w:w="5000" w:type="pct"/>
        <w:tblLook w:val="04A0" w:firstRow="1" w:lastRow="0" w:firstColumn="1" w:lastColumn="0" w:noHBand="0" w:noVBand="1"/>
      </w:tblPr>
      <w:tblGrid>
        <w:gridCol w:w="2056"/>
        <w:gridCol w:w="7375"/>
      </w:tblGrid>
      <w:tr w:rsidR="005072F5" w:rsidRPr="00BA6F6C" w14:paraId="5E52A020" w14:textId="77777777" w:rsidTr="00915390">
        <w:tc>
          <w:tcPr>
            <w:tcW w:w="1090" w:type="pct"/>
          </w:tcPr>
          <w:p w14:paraId="43E34436" w14:textId="77777777" w:rsidR="005072F5" w:rsidRPr="00BA6F6C" w:rsidRDefault="005072F5" w:rsidP="00915390">
            <w:pPr>
              <w:overflowPunct w:val="0"/>
              <w:autoSpaceDE w:val="0"/>
              <w:autoSpaceDN w:val="0"/>
              <w:adjustRightInd w:val="0"/>
              <w:textAlignment w:val="baseline"/>
              <w:rPr>
                <w:i/>
              </w:rPr>
            </w:pPr>
            <w:r>
              <w:rPr>
                <w:b/>
                <w:i/>
              </w:rPr>
              <w:t>Contacto:</w:t>
            </w:r>
          </w:p>
        </w:tc>
        <w:tc>
          <w:tcPr>
            <w:tcW w:w="3910" w:type="pct"/>
          </w:tcPr>
          <w:p w14:paraId="00BC9952" w14:textId="77777777" w:rsidR="005072F5" w:rsidRPr="00BD4439" w:rsidRDefault="005072F5" w:rsidP="00915390">
            <w:pPr>
              <w:overflowPunct w:val="0"/>
              <w:autoSpaceDE w:val="0"/>
              <w:autoSpaceDN w:val="0"/>
              <w:adjustRightInd w:val="0"/>
              <w:textAlignment w:val="baseline"/>
              <w:rPr>
                <w:i/>
                <w:iCs/>
              </w:rPr>
            </w:pPr>
            <w:r w:rsidRPr="00BD4439">
              <w:rPr>
                <w:i/>
                <w:iCs/>
              </w:rPr>
              <w:t>Gaia Bottoni</w:t>
            </w:r>
          </w:p>
        </w:tc>
      </w:tr>
      <w:tr w:rsidR="005072F5" w:rsidRPr="00BA6F6C" w14:paraId="51F8F8A7" w14:textId="77777777" w:rsidTr="00915390">
        <w:tc>
          <w:tcPr>
            <w:tcW w:w="1090" w:type="pct"/>
          </w:tcPr>
          <w:p w14:paraId="22D5D474" w14:textId="77777777" w:rsidR="005072F5" w:rsidRPr="00BA6F6C" w:rsidRDefault="005072F5" w:rsidP="00915390">
            <w:pPr>
              <w:overflowPunct w:val="0"/>
              <w:autoSpaceDE w:val="0"/>
              <w:autoSpaceDN w:val="0"/>
              <w:adjustRightInd w:val="0"/>
              <w:textAlignment w:val="baseline"/>
              <w:rPr>
                <w:i/>
              </w:rPr>
            </w:pPr>
            <w:r>
              <w:rPr>
                <w:i/>
              </w:rPr>
              <w:t>Teléfono:</w:t>
            </w:r>
          </w:p>
        </w:tc>
        <w:tc>
          <w:tcPr>
            <w:tcW w:w="3910" w:type="pct"/>
          </w:tcPr>
          <w:p w14:paraId="00442981" w14:textId="77777777" w:rsidR="005072F5" w:rsidRPr="00BA6F6C" w:rsidRDefault="005072F5" w:rsidP="00915390">
            <w:pPr>
              <w:overflowPunct w:val="0"/>
              <w:autoSpaceDE w:val="0"/>
              <w:autoSpaceDN w:val="0"/>
              <w:adjustRightInd w:val="0"/>
              <w:textAlignment w:val="baseline"/>
              <w:rPr>
                <w:i/>
              </w:rPr>
            </w:pPr>
            <w:r>
              <w:rPr>
                <w:i/>
              </w:rPr>
              <w:t>+32 2 546 9447</w:t>
            </w:r>
          </w:p>
        </w:tc>
      </w:tr>
      <w:tr w:rsidR="005072F5" w:rsidRPr="00BA6F6C" w14:paraId="10560C17" w14:textId="77777777" w:rsidTr="00915390">
        <w:trPr>
          <w:trHeight w:val="215"/>
        </w:trPr>
        <w:tc>
          <w:tcPr>
            <w:tcW w:w="1090" w:type="pct"/>
          </w:tcPr>
          <w:p w14:paraId="576800C0" w14:textId="77777777" w:rsidR="005072F5" w:rsidRPr="00BA6F6C" w:rsidRDefault="005072F5" w:rsidP="00915390">
            <w:pPr>
              <w:overflowPunct w:val="0"/>
              <w:autoSpaceDE w:val="0"/>
              <w:autoSpaceDN w:val="0"/>
              <w:adjustRightInd w:val="0"/>
              <w:textAlignment w:val="baseline"/>
              <w:rPr>
                <w:i/>
              </w:rPr>
            </w:pPr>
            <w:r>
              <w:rPr>
                <w:i/>
              </w:rPr>
              <w:t>Correo electrónico:</w:t>
            </w:r>
          </w:p>
        </w:tc>
        <w:tc>
          <w:tcPr>
            <w:tcW w:w="3910" w:type="pct"/>
          </w:tcPr>
          <w:p w14:paraId="4BF1A50F" w14:textId="77777777" w:rsidR="005072F5" w:rsidRPr="00BA6F6C" w:rsidRDefault="005072F5" w:rsidP="00915390">
            <w:pPr>
              <w:overflowPunct w:val="0"/>
              <w:autoSpaceDE w:val="0"/>
              <w:autoSpaceDN w:val="0"/>
              <w:adjustRightInd w:val="0"/>
              <w:textAlignment w:val="baseline"/>
              <w:rPr>
                <w:i/>
                <w:iCs/>
              </w:rPr>
            </w:pPr>
            <w:hyperlink r:id="rId92" w:history="1">
              <w:r>
                <w:rPr>
                  <w:i/>
                  <w:color w:val="0000FF"/>
                  <w:u w:val="single"/>
                </w:rPr>
                <w:t>Gaia.Bottoni@eesc.europa.eu</w:t>
              </w:r>
            </w:hyperlink>
          </w:p>
        </w:tc>
      </w:tr>
    </w:tbl>
    <w:p w14:paraId="501A8773" w14:textId="77777777" w:rsidR="005072F5" w:rsidRDefault="005072F5" w:rsidP="005072F5">
      <w:pPr>
        <w:spacing w:after="160" w:line="259" w:lineRule="auto"/>
        <w:jc w:val="left"/>
        <w:rPr>
          <w:rFonts w:ascii="Calibri" w:hAnsi="Calibri"/>
        </w:rPr>
      </w:pPr>
    </w:p>
    <w:p w14:paraId="24CB305A" w14:textId="77777777" w:rsidR="005072F5" w:rsidRDefault="005072F5" w:rsidP="005072F5">
      <w:pPr>
        <w:pStyle w:val="Heading1"/>
        <w:keepNext/>
        <w:keepLines/>
        <w:ind w:left="567" w:hanging="567"/>
        <w:rPr>
          <w:b/>
        </w:rPr>
      </w:pPr>
      <w:bookmarkStart w:id="182" w:name="_Toc210738661"/>
      <w:bookmarkStart w:id="183" w:name="_Toc211345378"/>
      <w:bookmarkEnd w:id="182"/>
      <w:r>
        <w:rPr>
          <w:b/>
        </w:rPr>
        <w:t>RELACIONES EXTERIORES</w:t>
      </w:r>
      <w:bookmarkEnd w:id="183"/>
    </w:p>
    <w:p w14:paraId="220AC3EA" w14:textId="77777777" w:rsidR="005072F5" w:rsidRDefault="005072F5" w:rsidP="005072F5">
      <w:pPr>
        <w:keepNext/>
        <w:keepLines/>
      </w:pPr>
    </w:p>
    <w:p w14:paraId="120AABF9" w14:textId="77777777" w:rsidR="005072F5" w:rsidRPr="00F93DBB" w:rsidRDefault="005072F5" w:rsidP="005072F5">
      <w:pPr>
        <w:keepNext/>
        <w:widowControl w:val="0"/>
        <w:numPr>
          <w:ilvl w:val="0"/>
          <w:numId w:val="3"/>
        </w:numPr>
        <w:overflowPunct w:val="0"/>
        <w:autoSpaceDE w:val="0"/>
        <w:autoSpaceDN w:val="0"/>
        <w:adjustRightInd w:val="0"/>
        <w:ind w:hanging="567"/>
        <w:jc w:val="left"/>
        <w:textAlignment w:val="baseline"/>
        <w:rPr>
          <w:sz w:val="20"/>
          <w:szCs w:val="20"/>
        </w:rPr>
      </w:pPr>
      <w:hyperlink r:id="rId93" w:history="1">
        <w:r>
          <w:rPr>
            <w:b/>
            <w:i/>
            <w:color w:val="0000FF"/>
            <w:sz w:val="28"/>
            <w:u w:val="single"/>
          </w:rPr>
          <w:t>Un Nuevo Pacto por el Mediterráneo</w:t>
        </w:r>
      </w:hyperlink>
    </w:p>
    <w:p w14:paraId="3E741944" w14:textId="77777777" w:rsidR="005072F5" w:rsidRPr="00F93DBB" w:rsidRDefault="005072F5" w:rsidP="005072F5">
      <w:pPr>
        <w:keepNext/>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31"/>
        <w:gridCol w:w="7400"/>
      </w:tblGrid>
      <w:tr w:rsidR="005072F5" w:rsidRPr="00F93DBB" w14:paraId="1F45381D" w14:textId="77777777" w:rsidTr="00915390">
        <w:trPr>
          <w:trHeight w:val="70"/>
        </w:trPr>
        <w:tc>
          <w:tcPr>
            <w:tcW w:w="1077" w:type="pct"/>
          </w:tcPr>
          <w:p w14:paraId="06FA2D2F" w14:textId="77777777" w:rsidR="005072F5" w:rsidRPr="00F93DBB"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3923" w:type="pct"/>
          </w:tcPr>
          <w:p w14:paraId="46A411A1" w14:textId="77777777" w:rsidR="005072F5" w:rsidRPr="00F93DBB" w:rsidRDefault="005072F5" w:rsidP="00915390">
            <w:pPr>
              <w:tabs>
                <w:tab w:val="center" w:pos="284"/>
              </w:tabs>
              <w:overflowPunct w:val="0"/>
              <w:autoSpaceDE w:val="0"/>
              <w:autoSpaceDN w:val="0"/>
              <w:adjustRightInd w:val="0"/>
              <w:ind w:left="266" w:right="-3091" w:hanging="266"/>
              <w:textAlignment w:val="baseline"/>
            </w:pPr>
            <w:r>
              <w:t>Thomas WAGNSONNER (Grupo de Trabajadores - AT)</w:t>
            </w:r>
          </w:p>
        </w:tc>
      </w:tr>
      <w:tr w:rsidR="005072F5" w:rsidRPr="00F93DBB" w14:paraId="3642CDA9" w14:textId="77777777" w:rsidTr="00915390">
        <w:tc>
          <w:tcPr>
            <w:tcW w:w="1077" w:type="pct"/>
          </w:tcPr>
          <w:p w14:paraId="3D867638" w14:textId="77777777" w:rsidR="005072F5" w:rsidRPr="00F93DBB"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3923" w:type="pct"/>
          </w:tcPr>
          <w:p w14:paraId="6A721955" w14:textId="77777777" w:rsidR="005072F5" w:rsidRPr="00F93DBB" w:rsidRDefault="005072F5" w:rsidP="00915390">
            <w:pPr>
              <w:tabs>
                <w:tab w:val="center" w:pos="284"/>
              </w:tabs>
              <w:overflowPunct w:val="0"/>
              <w:autoSpaceDE w:val="0"/>
              <w:autoSpaceDN w:val="0"/>
              <w:adjustRightInd w:val="0"/>
              <w:ind w:left="266" w:right="-3091" w:hanging="266"/>
              <w:textAlignment w:val="baseline"/>
            </w:pPr>
            <w:r>
              <w:t>Lidija Pavić-Rogošić (Grupo de Organizaciones de la Sociedad Civil – HR)</w:t>
            </w:r>
          </w:p>
        </w:tc>
      </w:tr>
      <w:tr w:rsidR="005072F5" w:rsidRPr="00F93DBB" w14:paraId="0D76A214" w14:textId="77777777" w:rsidTr="00915390">
        <w:tc>
          <w:tcPr>
            <w:tcW w:w="1077" w:type="pct"/>
          </w:tcPr>
          <w:p w14:paraId="3BD8A8EE" w14:textId="77777777" w:rsidR="005072F5" w:rsidRPr="00F93DBB"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3923" w:type="pct"/>
          </w:tcPr>
          <w:p w14:paraId="01D598D1" w14:textId="77777777" w:rsidR="005072F5" w:rsidRDefault="005072F5" w:rsidP="00915390">
            <w:pPr>
              <w:tabs>
                <w:tab w:val="center" w:pos="284"/>
              </w:tabs>
              <w:overflowPunct w:val="0"/>
              <w:autoSpaceDE w:val="0"/>
              <w:autoSpaceDN w:val="0"/>
              <w:adjustRightInd w:val="0"/>
              <w:ind w:left="266" w:right="-3091" w:hanging="266"/>
              <w:textAlignment w:val="baseline"/>
            </w:pPr>
            <w:r>
              <w:t>Dictamen exploratorio solicitado por la Comisión Europea</w:t>
            </w:r>
          </w:p>
          <w:p w14:paraId="7A54420B" w14:textId="77777777" w:rsidR="005072F5" w:rsidRPr="00F93DBB" w:rsidRDefault="005072F5" w:rsidP="00915390">
            <w:pPr>
              <w:tabs>
                <w:tab w:val="center" w:pos="284"/>
              </w:tabs>
              <w:overflowPunct w:val="0"/>
              <w:autoSpaceDE w:val="0"/>
              <w:autoSpaceDN w:val="0"/>
              <w:adjustRightInd w:val="0"/>
              <w:ind w:left="266" w:right="-3091" w:hanging="266"/>
              <w:textAlignment w:val="baseline"/>
            </w:pPr>
            <w:r>
              <w:t>EESC-2025-01275-00-00-AC</w:t>
            </w:r>
          </w:p>
        </w:tc>
      </w:tr>
    </w:tbl>
    <w:p w14:paraId="1B348A0C" w14:textId="77777777" w:rsidR="005072F5" w:rsidRPr="00F93DBB" w:rsidRDefault="005072F5" w:rsidP="005072F5">
      <w:pPr>
        <w:tabs>
          <w:tab w:val="center" w:pos="284"/>
        </w:tabs>
        <w:overflowPunct w:val="0"/>
        <w:autoSpaceDE w:val="0"/>
        <w:autoSpaceDN w:val="0"/>
        <w:adjustRightInd w:val="0"/>
        <w:ind w:left="266" w:hanging="266"/>
        <w:textAlignment w:val="baseline"/>
        <w:rPr>
          <w:b/>
          <w:lang w:val="en-GB"/>
        </w:rPr>
      </w:pPr>
    </w:p>
    <w:p w14:paraId="49A0AB5A" w14:textId="77777777" w:rsidR="005072F5" w:rsidRPr="00F93DBB"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33DA6FFE" w14:textId="77777777" w:rsidR="005072F5" w:rsidRPr="00F93DBB"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5E072403" w14:textId="77777777" w:rsidR="005072F5" w:rsidRDefault="005072F5" w:rsidP="005072F5">
      <w:pPr>
        <w:overflowPunct w:val="0"/>
        <w:autoSpaceDE w:val="0"/>
        <w:autoSpaceDN w:val="0"/>
        <w:adjustRightInd w:val="0"/>
        <w:textAlignment w:val="baseline"/>
      </w:pPr>
      <w:r>
        <w:t>El CESE:</w:t>
      </w:r>
    </w:p>
    <w:p w14:paraId="52FD5E88" w14:textId="77777777" w:rsidR="005072F5" w:rsidRPr="00F93DBB" w:rsidRDefault="005072F5" w:rsidP="005072F5">
      <w:pPr>
        <w:overflowPunct w:val="0"/>
        <w:autoSpaceDE w:val="0"/>
        <w:autoSpaceDN w:val="0"/>
        <w:adjustRightInd w:val="0"/>
        <w:textAlignment w:val="baseline"/>
        <w:rPr>
          <w:bCs/>
          <w:iCs/>
        </w:rPr>
      </w:pPr>
    </w:p>
    <w:p w14:paraId="5D206045" w14:textId="77777777" w:rsidR="005072F5" w:rsidRPr="00F93DBB" w:rsidRDefault="005072F5" w:rsidP="005072F5">
      <w:pPr>
        <w:numPr>
          <w:ilvl w:val="0"/>
          <w:numId w:val="86"/>
        </w:numPr>
        <w:overflowPunct w:val="0"/>
        <w:autoSpaceDE w:val="0"/>
        <w:autoSpaceDN w:val="0"/>
        <w:adjustRightInd w:val="0"/>
        <w:ind w:left="284" w:hanging="284"/>
        <w:textAlignment w:val="baseline"/>
      </w:pPr>
      <w:r>
        <w:t>pide que el Pacto promueva activamente la paz, la democracia, la buena gobernanza, la lucha contra la corrupción, el Estado de Derecho, la prosperidad inclusiva, los espacios cívicos y el respeto del Derecho internacional humanitario, como bases para la cooperación en la región mediterránea;</w:t>
      </w:r>
    </w:p>
    <w:p w14:paraId="3E1A213E" w14:textId="77777777" w:rsidR="005072F5" w:rsidRPr="00F93DBB" w:rsidRDefault="005072F5" w:rsidP="005072F5">
      <w:pPr>
        <w:numPr>
          <w:ilvl w:val="0"/>
          <w:numId w:val="86"/>
        </w:numPr>
        <w:overflowPunct w:val="0"/>
        <w:autoSpaceDE w:val="0"/>
        <w:autoSpaceDN w:val="0"/>
        <w:adjustRightInd w:val="0"/>
        <w:ind w:left="284" w:hanging="284"/>
        <w:textAlignment w:val="baseline"/>
      </w:pPr>
      <w:r>
        <w:t>recomienda que el seguimiento y la evaluación del Pacto sean participativos desde el principio, con la participación de las organizaciones de la sociedad civil, los interlocutores sociales y los representantes de la juventud en la configuración de indicadores, la verificación de datos y la orientación de la aplicación;</w:t>
      </w:r>
    </w:p>
    <w:p w14:paraId="0B7A09C3" w14:textId="77777777" w:rsidR="005072F5" w:rsidRPr="00F93DBB" w:rsidRDefault="005072F5" w:rsidP="005072F5">
      <w:pPr>
        <w:numPr>
          <w:ilvl w:val="0"/>
          <w:numId w:val="86"/>
        </w:numPr>
        <w:overflowPunct w:val="0"/>
        <w:autoSpaceDE w:val="0"/>
        <w:autoSpaceDN w:val="0"/>
        <w:adjustRightInd w:val="0"/>
        <w:ind w:left="284" w:hanging="284"/>
        <w:textAlignment w:val="baseline"/>
      </w:pPr>
      <w:r>
        <w:t>destaca la necesidad de un apoyo específico a los mecanismos y las organizaciones vinculados al diálogo social y civil, lo que también supone que los consejos económicos y sociales y el Consejo de la Juventud del Mediterráneo desempeñen un papel más importante y que se creen organismos similares en los países que carecen de ellos;</w:t>
      </w:r>
    </w:p>
    <w:p w14:paraId="63D54731" w14:textId="77777777" w:rsidR="005072F5" w:rsidRPr="00F93DBB" w:rsidRDefault="005072F5" w:rsidP="005072F5">
      <w:pPr>
        <w:numPr>
          <w:ilvl w:val="0"/>
          <w:numId w:val="86"/>
        </w:numPr>
        <w:overflowPunct w:val="0"/>
        <w:autoSpaceDE w:val="0"/>
        <w:autoSpaceDN w:val="0"/>
        <w:adjustRightInd w:val="0"/>
        <w:ind w:left="284" w:hanging="284"/>
        <w:textAlignment w:val="baseline"/>
      </w:pPr>
      <w:r>
        <w:t>propone la instauración de un mecanismo formal de coordinación de las inversiones, como un banco regional de inversiones o un fondo en el que participen todos los países socios y la sociedad civil, para movilizar recursos y financiar proyectos importantes de infraestructuras en favor de un crecimiento inclusivo y ecológico;</w:t>
      </w:r>
    </w:p>
    <w:p w14:paraId="08191C57" w14:textId="77777777" w:rsidR="005072F5" w:rsidRPr="00F93DBB" w:rsidRDefault="005072F5" w:rsidP="005072F5">
      <w:pPr>
        <w:numPr>
          <w:ilvl w:val="0"/>
          <w:numId w:val="86"/>
        </w:numPr>
        <w:overflowPunct w:val="0"/>
        <w:autoSpaceDE w:val="0"/>
        <w:autoSpaceDN w:val="0"/>
        <w:adjustRightInd w:val="0"/>
        <w:ind w:left="284" w:hanging="284"/>
        <w:textAlignment w:val="baseline"/>
      </w:pPr>
      <w:r>
        <w:t>hace hincapié en la necesidad de ampliar programas como Erasmus+ e Interreg con líneas de financiación específicas para la sociedad civil y procesos de solicitud simplificados, así como de invertir en el desarrollo de capacidades y la educación cívica, también en la educación no formal, para reforzar la gobernanza participativa;</w:t>
      </w:r>
    </w:p>
    <w:p w14:paraId="4660DA8C" w14:textId="77777777" w:rsidR="005072F5" w:rsidRPr="00F93DBB" w:rsidRDefault="005072F5" w:rsidP="005072F5">
      <w:pPr>
        <w:numPr>
          <w:ilvl w:val="0"/>
          <w:numId w:val="86"/>
        </w:numPr>
        <w:overflowPunct w:val="0"/>
        <w:autoSpaceDE w:val="0"/>
        <w:autoSpaceDN w:val="0"/>
        <w:adjustRightInd w:val="0"/>
        <w:ind w:left="284" w:hanging="284"/>
        <w:textAlignment w:val="baseline"/>
      </w:pPr>
      <w:r>
        <w:t>aboga por entablar negociaciones en pro del establecimiento de una zona de libre comercio euromediterránea, que incluyan capítulos sobre desarrollo sostenible, gestión conjunta de la movilidad y seguimiento por parte de la sociedad civil a través de grupos consultivos internos;</w:t>
      </w:r>
    </w:p>
    <w:p w14:paraId="0CACF565" w14:textId="77777777" w:rsidR="005072F5" w:rsidRDefault="005072F5" w:rsidP="005072F5">
      <w:pPr>
        <w:numPr>
          <w:ilvl w:val="0"/>
          <w:numId w:val="86"/>
        </w:numPr>
        <w:overflowPunct w:val="0"/>
        <w:autoSpaceDE w:val="0"/>
        <w:autoSpaceDN w:val="0"/>
        <w:adjustRightInd w:val="0"/>
        <w:ind w:left="284" w:hanging="284"/>
        <w:textAlignment w:val="baseline"/>
      </w:pPr>
      <w:r>
        <w:t>defiende basarse en el Proceso de Nápoles para mejorar la colaboración cultural como bien regional compartido, poner en marcha un Fondo Cultural Euromediterráneo y armonizar la financiación de la UE con los esfuerzos regionales de recuperación, como el plan árabe de recuperación y reconstrucción de Gaza.</w:t>
      </w:r>
    </w:p>
    <w:p w14:paraId="624ED092" w14:textId="77777777" w:rsidR="005072F5" w:rsidRPr="00F93DBB" w:rsidRDefault="005072F5" w:rsidP="005072F5">
      <w:pPr>
        <w:overflowPunct w:val="0"/>
        <w:autoSpaceDE w:val="0"/>
        <w:autoSpaceDN w:val="0"/>
        <w:adjustRightInd w:val="0"/>
        <w:ind w:left="284"/>
        <w:textAlignment w:val="baseline"/>
        <w:rPr>
          <w:lang w:val="en-GB" w:eastAsia="fr-BE"/>
        </w:rPr>
      </w:pPr>
    </w:p>
    <w:tbl>
      <w:tblPr>
        <w:tblW w:w="5000" w:type="pct"/>
        <w:tblLook w:val="04A0" w:firstRow="1" w:lastRow="0" w:firstColumn="1" w:lastColumn="0" w:noHBand="0" w:noVBand="1"/>
      </w:tblPr>
      <w:tblGrid>
        <w:gridCol w:w="2094"/>
        <w:gridCol w:w="7337"/>
      </w:tblGrid>
      <w:tr w:rsidR="005072F5" w:rsidRPr="00F93DBB" w14:paraId="14067599" w14:textId="77777777" w:rsidTr="00915390">
        <w:tc>
          <w:tcPr>
            <w:tcW w:w="1110" w:type="pct"/>
          </w:tcPr>
          <w:p w14:paraId="04A469AD" w14:textId="77777777" w:rsidR="005072F5" w:rsidRPr="00F93DBB" w:rsidRDefault="005072F5" w:rsidP="00915390">
            <w:pPr>
              <w:overflowPunct w:val="0"/>
              <w:autoSpaceDE w:val="0"/>
              <w:autoSpaceDN w:val="0"/>
              <w:adjustRightInd w:val="0"/>
              <w:textAlignment w:val="baseline"/>
              <w:rPr>
                <w:i/>
              </w:rPr>
            </w:pPr>
            <w:r>
              <w:rPr>
                <w:b/>
                <w:i/>
              </w:rPr>
              <w:t>Contacto:</w:t>
            </w:r>
          </w:p>
        </w:tc>
        <w:tc>
          <w:tcPr>
            <w:tcW w:w="3890" w:type="pct"/>
          </w:tcPr>
          <w:p w14:paraId="3276D642" w14:textId="77777777" w:rsidR="005072F5" w:rsidRPr="00F93DBB" w:rsidRDefault="005072F5" w:rsidP="00915390">
            <w:pPr>
              <w:overflowPunct w:val="0"/>
              <w:autoSpaceDE w:val="0"/>
              <w:autoSpaceDN w:val="0"/>
              <w:adjustRightInd w:val="0"/>
              <w:textAlignment w:val="baseline"/>
              <w:rPr>
                <w:i/>
              </w:rPr>
            </w:pPr>
            <w:r>
              <w:rPr>
                <w:i/>
              </w:rPr>
              <w:t>Andreas Berger</w:t>
            </w:r>
          </w:p>
        </w:tc>
      </w:tr>
      <w:tr w:rsidR="005072F5" w:rsidRPr="00F93DBB" w14:paraId="128DEDDB" w14:textId="77777777" w:rsidTr="00915390">
        <w:tc>
          <w:tcPr>
            <w:tcW w:w="1110" w:type="pct"/>
          </w:tcPr>
          <w:p w14:paraId="56DA3D55" w14:textId="77777777" w:rsidR="005072F5" w:rsidRPr="00F93DBB" w:rsidRDefault="005072F5" w:rsidP="00915390">
            <w:pPr>
              <w:overflowPunct w:val="0"/>
              <w:autoSpaceDE w:val="0"/>
              <w:autoSpaceDN w:val="0"/>
              <w:adjustRightInd w:val="0"/>
              <w:textAlignment w:val="baseline"/>
              <w:rPr>
                <w:i/>
              </w:rPr>
            </w:pPr>
            <w:r>
              <w:rPr>
                <w:i/>
              </w:rPr>
              <w:t>Teléfono:</w:t>
            </w:r>
          </w:p>
        </w:tc>
        <w:tc>
          <w:tcPr>
            <w:tcW w:w="3890" w:type="pct"/>
          </w:tcPr>
          <w:p w14:paraId="0D6FBC0D" w14:textId="77777777" w:rsidR="005072F5" w:rsidRPr="00F93DBB" w:rsidRDefault="005072F5" w:rsidP="00915390">
            <w:pPr>
              <w:overflowPunct w:val="0"/>
              <w:autoSpaceDE w:val="0"/>
              <w:autoSpaceDN w:val="0"/>
              <w:adjustRightInd w:val="0"/>
              <w:textAlignment w:val="baseline"/>
              <w:rPr>
                <w:i/>
              </w:rPr>
            </w:pPr>
            <w:r>
              <w:rPr>
                <w:i/>
              </w:rPr>
              <w:t>+32 2 546 9062</w:t>
            </w:r>
          </w:p>
        </w:tc>
      </w:tr>
      <w:tr w:rsidR="005072F5" w:rsidRPr="00F93DBB" w14:paraId="5CE9A2D6" w14:textId="77777777" w:rsidTr="00915390">
        <w:tc>
          <w:tcPr>
            <w:tcW w:w="1110" w:type="pct"/>
          </w:tcPr>
          <w:p w14:paraId="69EAA7B3" w14:textId="77777777" w:rsidR="005072F5" w:rsidRPr="00F93DBB" w:rsidRDefault="005072F5" w:rsidP="00915390">
            <w:pPr>
              <w:overflowPunct w:val="0"/>
              <w:autoSpaceDE w:val="0"/>
              <w:autoSpaceDN w:val="0"/>
              <w:adjustRightInd w:val="0"/>
              <w:textAlignment w:val="baseline"/>
              <w:rPr>
                <w:i/>
              </w:rPr>
            </w:pPr>
            <w:r>
              <w:rPr>
                <w:i/>
              </w:rPr>
              <w:t>Correo electrónico:</w:t>
            </w:r>
          </w:p>
        </w:tc>
        <w:tc>
          <w:tcPr>
            <w:tcW w:w="3890" w:type="pct"/>
          </w:tcPr>
          <w:p w14:paraId="6A306042" w14:textId="77777777" w:rsidR="005072F5" w:rsidRPr="00F93DBB" w:rsidRDefault="005072F5" w:rsidP="00915390">
            <w:pPr>
              <w:overflowPunct w:val="0"/>
              <w:autoSpaceDE w:val="0"/>
              <w:autoSpaceDN w:val="0"/>
              <w:adjustRightInd w:val="0"/>
              <w:textAlignment w:val="baseline"/>
              <w:rPr>
                <w:i/>
              </w:rPr>
            </w:pPr>
            <w:hyperlink r:id="rId94" w:history="1">
              <w:r>
                <w:rPr>
                  <w:i/>
                  <w:color w:val="0000FF"/>
                  <w:u w:val="single"/>
                </w:rPr>
                <w:t>Andreas.Berger@eesc.europa.eu</w:t>
              </w:r>
            </w:hyperlink>
          </w:p>
        </w:tc>
      </w:tr>
    </w:tbl>
    <w:p w14:paraId="0A18C3F0" w14:textId="77777777" w:rsidR="005072F5" w:rsidRPr="00D20AB4" w:rsidRDefault="005072F5" w:rsidP="005072F5">
      <w:pPr>
        <w:jc w:val="left"/>
      </w:pPr>
      <w:r>
        <w:br w:type="page"/>
      </w:r>
    </w:p>
    <w:p w14:paraId="732179A5" w14:textId="77777777" w:rsidR="005072F5" w:rsidRPr="00C021F5" w:rsidRDefault="005072F5" w:rsidP="005072F5">
      <w:pPr>
        <w:keepNext/>
        <w:keepLines/>
        <w:widowControl w:val="0"/>
        <w:numPr>
          <w:ilvl w:val="0"/>
          <w:numId w:val="26"/>
        </w:numPr>
        <w:overflowPunct w:val="0"/>
        <w:autoSpaceDE w:val="0"/>
        <w:autoSpaceDN w:val="0"/>
        <w:adjustRightInd w:val="0"/>
        <w:ind w:left="426" w:hanging="567"/>
        <w:contextualSpacing/>
        <w:textAlignment w:val="baseline"/>
        <w:rPr>
          <w:b/>
          <w:sz w:val="27"/>
          <w:szCs w:val="27"/>
        </w:rPr>
      </w:pPr>
      <w:hyperlink r:id="rId95" w:history="1">
        <w:r w:rsidRPr="00C021F5">
          <w:rPr>
            <w:b/>
            <w:i/>
            <w:color w:val="0000FF"/>
            <w:sz w:val="27"/>
            <w:szCs w:val="27"/>
            <w:u w:val="single"/>
          </w:rPr>
          <w:t>Los algoritmos de los medios sociales y de la inteligencia artificial: garantizar el derecho a una información precisa y la visibilidad de contenidos de alta calidad en toda Europa, especialmente sobre Europa Central y Oriental</w:t>
        </w:r>
      </w:hyperlink>
    </w:p>
    <w:p w14:paraId="66449644" w14:textId="77777777" w:rsidR="005072F5" w:rsidRPr="00C021F5" w:rsidRDefault="005072F5" w:rsidP="005072F5">
      <w:pPr>
        <w:keepNext/>
        <w:keepLines/>
        <w:widowControl w:val="0"/>
        <w:overflowPunct w:val="0"/>
        <w:autoSpaceDE w:val="0"/>
        <w:autoSpaceDN w:val="0"/>
        <w:adjustRightInd w:val="0"/>
        <w:ind w:left="720"/>
        <w:textAlignment w:val="baseline"/>
        <w:rPr>
          <w:b/>
          <w:sz w:val="14"/>
          <w:szCs w:val="14"/>
          <w:lang w:val="en-GB"/>
        </w:rPr>
      </w:pPr>
    </w:p>
    <w:tbl>
      <w:tblPr>
        <w:tblW w:w="4922" w:type="pct"/>
        <w:tblLook w:val="04A0" w:firstRow="1" w:lastRow="0" w:firstColumn="1" w:lastColumn="0" w:noHBand="0" w:noVBand="1"/>
      </w:tblPr>
      <w:tblGrid>
        <w:gridCol w:w="1951"/>
        <w:gridCol w:w="7333"/>
      </w:tblGrid>
      <w:tr w:rsidR="005072F5" w:rsidRPr="004B6F63" w14:paraId="6A462C78" w14:textId="77777777" w:rsidTr="00915390">
        <w:trPr>
          <w:trHeight w:val="445"/>
        </w:trPr>
        <w:tc>
          <w:tcPr>
            <w:tcW w:w="1051" w:type="pct"/>
          </w:tcPr>
          <w:p w14:paraId="70459B1F" w14:textId="77777777" w:rsidR="005072F5" w:rsidRPr="004B6F63" w:rsidRDefault="005072F5" w:rsidP="00915390">
            <w:pPr>
              <w:tabs>
                <w:tab w:val="center" w:pos="284"/>
              </w:tabs>
              <w:overflowPunct w:val="0"/>
              <w:autoSpaceDE w:val="0"/>
              <w:autoSpaceDN w:val="0"/>
              <w:adjustRightInd w:val="0"/>
              <w:ind w:left="266" w:hanging="266"/>
              <w:textAlignment w:val="baseline"/>
              <w:rPr>
                <w:b/>
              </w:rPr>
            </w:pPr>
            <w:r>
              <w:rPr>
                <w:b/>
              </w:rPr>
              <w:t>Ponente</w:t>
            </w:r>
          </w:p>
          <w:p w14:paraId="395CEE19" w14:textId="77777777" w:rsidR="005072F5" w:rsidRPr="004B6F63"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3949" w:type="pct"/>
          </w:tcPr>
          <w:p w14:paraId="3D26F60C" w14:textId="77777777" w:rsidR="005072F5" w:rsidRPr="004B6F63" w:rsidRDefault="005072F5" w:rsidP="00915390">
            <w:pPr>
              <w:tabs>
                <w:tab w:val="center" w:pos="284"/>
              </w:tabs>
              <w:overflowPunct w:val="0"/>
              <w:autoSpaceDE w:val="0"/>
              <w:autoSpaceDN w:val="0"/>
              <w:adjustRightInd w:val="0"/>
              <w:ind w:left="266" w:hanging="266"/>
              <w:textAlignment w:val="baseline"/>
            </w:pPr>
            <w:r>
              <w:t>Tatjana BABRAUSKIENĖ (Grupo de Trabajadores – LT)</w:t>
            </w:r>
          </w:p>
          <w:p w14:paraId="1AB9F058" w14:textId="77777777" w:rsidR="005072F5" w:rsidRPr="00061E08" w:rsidRDefault="005072F5" w:rsidP="00915390">
            <w:pPr>
              <w:tabs>
                <w:tab w:val="center" w:pos="284"/>
              </w:tabs>
              <w:overflowPunct w:val="0"/>
              <w:autoSpaceDE w:val="0"/>
              <w:autoSpaceDN w:val="0"/>
              <w:adjustRightInd w:val="0"/>
              <w:ind w:left="266" w:hanging="266"/>
              <w:textAlignment w:val="baseline"/>
            </w:pPr>
            <w:r>
              <w:t>Andris GOBIŅŠ (Grupo de Organizaciones de la Sociedad Civil – LV)</w:t>
            </w:r>
          </w:p>
        </w:tc>
      </w:tr>
      <w:tr w:rsidR="005072F5" w:rsidRPr="004B6F63" w14:paraId="12760A04" w14:textId="77777777" w:rsidTr="00915390">
        <w:tc>
          <w:tcPr>
            <w:tcW w:w="1051" w:type="pct"/>
          </w:tcPr>
          <w:p w14:paraId="2124E2E5" w14:textId="77777777" w:rsidR="005072F5" w:rsidRPr="004B6F63"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3949" w:type="pct"/>
          </w:tcPr>
          <w:p w14:paraId="1F2122DE" w14:textId="77777777" w:rsidR="005072F5" w:rsidRDefault="005072F5" w:rsidP="00915390">
            <w:pPr>
              <w:tabs>
                <w:tab w:val="center" w:pos="284"/>
              </w:tabs>
              <w:overflowPunct w:val="0"/>
              <w:autoSpaceDE w:val="0"/>
              <w:autoSpaceDN w:val="0"/>
              <w:adjustRightInd w:val="0"/>
              <w:ind w:left="266" w:hanging="266"/>
              <w:textAlignment w:val="baseline"/>
            </w:pPr>
            <w:r>
              <w:t>Documento informativo</w:t>
            </w:r>
          </w:p>
          <w:p w14:paraId="5543508D" w14:textId="77777777" w:rsidR="005072F5" w:rsidRPr="004B6F63" w:rsidRDefault="005072F5" w:rsidP="00915390">
            <w:pPr>
              <w:tabs>
                <w:tab w:val="center" w:pos="284"/>
              </w:tabs>
              <w:overflowPunct w:val="0"/>
              <w:autoSpaceDE w:val="0"/>
              <w:autoSpaceDN w:val="0"/>
              <w:adjustRightInd w:val="0"/>
              <w:ind w:left="266" w:hanging="266"/>
              <w:textAlignment w:val="baseline"/>
            </w:pPr>
            <w:r>
              <w:t>EESC-2025-00907-00-00-RI</w:t>
            </w:r>
          </w:p>
        </w:tc>
      </w:tr>
    </w:tbl>
    <w:p w14:paraId="556AF84B" w14:textId="77777777" w:rsidR="005072F5" w:rsidRPr="00C021F5" w:rsidRDefault="005072F5" w:rsidP="005072F5">
      <w:pPr>
        <w:keepNext/>
        <w:keepLines/>
        <w:tabs>
          <w:tab w:val="center" w:pos="284"/>
        </w:tabs>
        <w:overflowPunct w:val="0"/>
        <w:autoSpaceDE w:val="0"/>
        <w:autoSpaceDN w:val="0"/>
        <w:adjustRightInd w:val="0"/>
        <w:ind w:left="266" w:hanging="266"/>
        <w:textAlignment w:val="baseline"/>
        <w:rPr>
          <w:b/>
          <w:sz w:val="10"/>
          <w:szCs w:val="10"/>
          <w:lang w:val="en-GB"/>
        </w:rPr>
      </w:pPr>
    </w:p>
    <w:p w14:paraId="03C441F9" w14:textId="77777777" w:rsidR="005072F5" w:rsidRPr="004B6F63"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1B239014" w14:textId="77777777" w:rsidR="005072F5" w:rsidRPr="00C021F5" w:rsidRDefault="005072F5" w:rsidP="005072F5">
      <w:pPr>
        <w:keepNext/>
        <w:keepLines/>
        <w:tabs>
          <w:tab w:val="center" w:pos="284"/>
        </w:tabs>
        <w:overflowPunct w:val="0"/>
        <w:autoSpaceDE w:val="0"/>
        <w:autoSpaceDN w:val="0"/>
        <w:adjustRightInd w:val="0"/>
        <w:ind w:left="266" w:hanging="266"/>
        <w:textAlignment w:val="baseline"/>
        <w:rPr>
          <w:b/>
          <w:sz w:val="14"/>
          <w:szCs w:val="14"/>
          <w:lang w:val="en-GB"/>
        </w:rPr>
      </w:pPr>
    </w:p>
    <w:p w14:paraId="3E5AFF98" w14:textId="77777777" w:rsidR="005072F5" w:rsidRPr="00C021F5" w:rsidRDefault="005072F5" w:rsidP="005072F5">
      <w:pPr>
        <w:overflowPunct w:val="0"/>
        <w:autoSpaceDE w:val="0"/>
        <w:autoSpaceDN w:val="0"/>
        <w:adjustRightInd w:val="0"/>
        <w:textAlignment w:val="baseline"/>
      </w:pPr>
      <w:r>
        <w:t>El CESE:</w:t>
      </w:r>
    </w:p>
    <w:p w14:paraId="440C4A21" w14:textId="77777777" w:rsidR="005072F5" w:rsidRPr="00061E08" w:rsidRDefault="005072F5" w:rsidP="005072F5">
      <w:pPr>
        <w:pStyle w:val="ListParagraph"/>
        <w:numPr>
          <w:ilvl w:val="0"/>
          <w:numId w:val="97"/>
        </w:numPr>
        <w:spacing w:line="264" w:lineRule="auto"/>
        <w:ind w:left="284" w:hanging="284"/>
      </w:pPr>
      <w:r>
        <w:t>destaca que la guerra híbrida contra la democracia que están llevando a cabo potencias extranjeras en Europa Oriental incluye campañas de desinformación destinadas a socavar la confianza en las instituciones democráticas, aprovecha las divisiones en la sociedad y se dirige a poblaciones vulnerables. La función de las redes sociales y los algoritmos de IA es esencial, ya que pueden servir para apoyar o debilitar la democracia;</w:t>
      </w:r>
    </w:p>
    <w:p w14:paraId="26849AA6" w14:textId="77777777" w:rsidR="005072F5" w:rsidRPr="00061E08" w:rsidRDefault="005072F5" w:rsidP="005072F5">
      <w:pPr>
        <w:pStyle w:val="ListParagraph"/>
        <w:numPr>
          <w:ilvl w:val="0"/>
          <w:numId w:val="97"/>
        </w:numPr>
        <w:spacing w:line="264" w:lineRule="auto"/>
        <w:ind w:left="284" w:hanging="284"/>
      </w:pPr>
      <w:r>
        <w:t>subraya que las plataformas de redes sociales y los algoritmos de IA configuran de forma decisiva el debate público y la información que ven los europeos, amplificando a menudo los contenidos sensacionalistas o que generan división, frente al periodismo de alta calidad. Al dar prioridad a un compromiso más que a la exactitud, tienden a acallar las voces independientes, especialmente de Europa Oriental, al tiempo que prospera la polarización en los contenidos;</w:t>
      </w:r>
    </w:p>
    <w:p w14:paraId="482D90CB" w14:textId="77777777" w:rsidR="005072F5" w:rsidRPr="00061E08" w:rsidRDefault="005072F5" w:rsidP="005072F5">
      <w:pPr>
        <w:pStyle w:val="ListParagraph"/>
        <w:numPr>
          <w:ilvl w:val="0"/>
          <w:numId w:val="97"/>
        </w:numPr>
        <w:spacing w:line="264" w:lineRule="auto"/>
        <w:ind w:left="284" w:hanging="284"/>
      </w:pPr>
      <w:r>
        <w:t>destaca que el espacio informativo en Europa Central y Oriental es especialmente vulnerable. La desinformación se fabrica en función de las lenguas y contenidos locales y aprovecha el dominio de los contenidos en lengua rusa en internet, debido a decisiones algorítmicas;</w:t>
      </w:r>
    </w:p>
    <w:p w14:paraId="1718A852" w14:textId="77777777" w:rsidR="005072F5" w:rsidRPr="00061E08" w:rsidRDefault="005072F5" w:rsidP="005072F5">
      <w:pPr>
        <w:pStyle w:val="ListParagraph"/>
        <w:numPr>
          <w:ilvl w:val="0"/>
          <w:numId w:val="97"/>
        </w:numPr>
        <w:spacing w:line="264" w:lineRule="auto"/>
        <w:ind w:left="284" w:hanging="284"/>
      </w:pPr>
      <w:r>
        <w:t>señala que las narrativas en lengua rusa dominan los espacios digitales, mientras que las voces independientes quedan marginadas. Además, plataformas populares como Telegram y Vkontakte quedan fuera del ámbito de aplicación de las normas de la UE, lo que crea ángulos muertos. La aplicación deficiente y unas multas reducidas implican que el cumplimiento por parte de la plataforma siga siendo bajo;</w:t>
      </w:r>
    </w:p>
    <w:p w14:paraId="27FE0CD6" w14:textId="77777777" w:rsidR="005072F5" w:rsidRPr="00061E08" w:rsidRDefault="005072F5" w:rsidP="005072F5">
      <w:pPr>
        <w:pStyle w:val="ListParagraph"/>
        <w:numPr>
          <w:ilvl w:val="0"/>
          <w:numId w:val="97"/>
        </w:numPr>
        <w:spacing w:line="264" w:lineRule="auto"/>
        <w:ind w:left="284" w:hanging="284"/>
      </w:pPr>
      <w:r>
        <w:t>considera que Bielorrusia representa una ilustración clara de estos retos. La represión, la marginación digital y el abandono algorítmico convergen para silenciar la disidencia y reforzar la propaganda que da forma a las percepciones de la UE. Esta dinámica existe en toda Europa Central y Oriental, ya que las plataformas a menudo carecen de políticas localizadas y las herramientas de IA se entrenan con fuentes no fiables;</w:t>
      </w:r>
    </w:p>
    <w:p w14:paraId="583F2650" w14:textId="77777777" w:rsidR="005072F5" w:rsidRPr="00061E08" w:rsidRDefault="005072F5" w:rsidP="005072F5">
      <w:pPr>
        <w:pStyle w:val="ListParagraph"/>
        <w:numPr>
          <w:ilvl w:val="0"/>
          <w:numId w:val="97"/>
        </w:numPr>
        <w:spacing w:line="264" w:lineRule="auto"/>
        <w:ind w:left="284" w:hanging="284"/>
      </w:pPr>
      <w:r>
        <w:t>considera que, si bien existen instrumentos que tienen por objeto mejorar la transparencia y la rendición de cuentas, como el Reglamento de Servicios Digitales, el Reglamento de Inteligencia Artificial y el Reglamento Europeo sobre la Libertad de los Medios de Comunicación, su aplicación es desigual y sigue habiendo lagunas. Los sesgos lingüísticos y narrativos, como el uso continuado del término «países postsoviéticos», distorsionan aún más la diversidad de identidades e historias;</w:t>
      </w:r>
    </w:p>
    <w:p w14:paraId="09ADAA3A" w14:textId="77777777" w:rsidR="005072F5" w:rsidRPr="00061E08" w:rsidRDefault="005072F5" w:rsidP="005072F5">
      <w:pPr>
        <w:pStyle w:val="ListParagraph"/>
        <w:numPr>
          <w:ilvl w:val="0"/>
          <w:numId w:val="97"/>
        </w:numPr>
        <w:spacing w:line="264" w:lineRule="auto"/>
        <w:ind w:left="284" w:hanging="284"/>
      </w:pPr>
      <w:r>
        <w:t>apoya el desarrollo de marcos que garanticen la visibilidad de contenidos de alta calidad y con una base local procedentes de Europa Oriental, aboga por aumentar la alfabetización mediática, la rendición de cuentas algorítmica y la cooperación transfronteriza para luchar contra la desinformación y defender los valores democráticos.</w:t>
      </w:r>
    </w:p>
    <w:p w14:paraId="66681A68" w14:textId="77777777" w:rsidR="005072F5" w:rsidRPr="00C021F5" w:rsidRDefault="005072F5" w:rsidP="005072F5">
      <w:pPr>
        <w:widowControl w:val="0"/>
        <w:overflowPunct w:val="0"/>
        <w:autoSpaceDE w:val="0"/>
        <w:autoSpaceDN w:val="0"/>
        <w:adjustRightInd w:val="0"/>
        <w:ind w:left="709"/>
        <w:textAlignment w:val="baseline"/>
        <w:rPr>
          <w:sz w:val="14"/>
          <w:szCs w:val="14"/>
          <w:lang w:val="en-GB"/>
        </w:rPr>
      </w:pPr>
    </w:p>
    <w:tbl>
      <w:tblPr>
        <w:tblW w:w="5000" w:type="pct"/>
        <w:tblLook w:val="04A0" w:firstRow="1" w:lastRow="0" w:firstColumn="1" w:lastColumn="0" w:noHBand="0" w:noVBand="1"/>
      </w:tblPr>
      <w:tblGrid>
        <w:gridCol w:w="2235"/>
        <w:gridCol w:w="7196"/>
      </w:tblGrid>
      <w:tr w:rsidR="005072F5" w:rsidRPr="00C021F5" w14:paraId="736C9B7C" w14:textId="77777777" w:rsidTr="00915390">
        <w:tc>
          <w:tcPr>
            <w:tcW w:w="1185" w:type="pct"/>
          </w:tcPr>
          <w:p w14:paraId="42C9EF7B" w14:textId="77777777" w:rsidR="005072F5" w:rsidRPr="00C021F5" w:rsidRDefault="005072F5" w:rsidP="00915390">
            <w:pPr>
              <w:overflowPunct w:val="0"/>
              <w:autoSpaceDE w:val="0"/>
              <w:autoSpaceDN w:val="0"/>
              <w:adjustRightInd w:val="0"/>
              <w:textAlignment w:val="baseline"/>
              <w:rPr>
                <w:i/>
              </w:rPr>
            </w:pPr>
            <w:r w:rsidRPr="00C021F5">
              <w:rPr>
                <w:b/>
                <w:i/>
              </w:rPr>
              <w:t>Contacto:</w:t>
            </w:r>
          </w:p>
        </w:tc>
        <w:tc>
          <w:tcPr>
            <w:tcW w:w="3815" w:type="pct"/>
          </w:tcPr>
          <w:p w14:paraId="57F52A82" w14:textId="77777777" w:rsidR="005072F5" w:rsidRPr="00C021F5" w:rsidRDefault="005072F5" w:rsidP="00915390">
            <w:pPr>
              <w:overflowPunct w:val="0"/>
              <w:autoSpaceDE w:val="0"/>
              <w:autoSpaceDN w:val="0"/>
              <w:adjustRightInd w:val="0"/>
              <w:textAlignment w:val="baseline"/>
              <w:rPr>
                <w:i/>
                <w:iCs/>
              </w:rPr>
            </w:pPr>
            <w:r w:rsidRPr="00C021F5">
              <w:rPr>
                <w:i/>
              </w:rPr>
              <w:t>Daniele Vitali</w:t>
            </w:r>
          </w:p>
        </w:tc>
      </w:tr>
      <w:tr w:rsidR="005072F5" w:rsidRPr="00C021F5" w14:paraId="7EEDD2C3" w14:textId="77777777" w:rsidTr="00915390">
        <w:tc>
          <w:tcPr>
            <w:tcW w:w="1185" w:type="pct"/>
          </w:tcPr>
          <w:p w14:paraId="2895D138" w14:textId="77777777" w:rsidR="005072F5" w:rsidRPr="00C021F5" w:rsidRDefault="005072F5" w:rsidP="00915390">
            <w:pPr>
              <w:overflowPunct w:val="0"/>
              <w:autoSpaceDE w:val="0"/>
              <w:autoSpaceDN w:val="0"/>
              <w:adjustRightInd w:val="0"/>
              <w:textAlignment w:val="baseline"/>
              <w:rPr>
                <w:i/>
              </w:rPr>
            </w:pPr>
            <w:r w:rsidRPr="00C021F5">
              <w:rPr>
                <w:i/>
              </w:rPr>
              <w:t>Teléfono:</w:t>
            </w:r>
          </w:p>
        </w:tc>
        <w:tc>
          <w:tcPr>
            <w:tcW w:w="3815" w:type="pct"/>
          </w:tcPr>
          <w:p w14:paraId="16881DD9" w14:textId="77777777" w:rsidR="005072F5" w:rsidRPr="00C021F5" w:rsidRDefault="005072F5" w:rsidP="00915390">
            <w:pPr>
              <w:overflowPunct w:val="0"/>
              <w:autoSpaceDE w:val="0"/>
              <w:autoSpaceDN w:val="0"/>
              <w:adjustRightInd w:val="0"/>
              <w:textAlignment w:val="baseline"/>
              <w:rPr>
                <w:i/>
              </w:rPr>
            </w:pPr>
            <w:r w:rsidRPr="00C021F5">
              <w:rPr>
                <w:i/>
              </w:rPr>
              <w:t>+32 2 546 8817</w:t>
            </w:r>
          </w:p>
        </w:tc>
      </w:tr>
      <w:tr w:rsidR="005072F5" w:rsidRPr="00C021F5" w14:paraId="186C9943" w14:textId="77777777" w:rsidTr="00915390">
        <w:tc>
          <w:tcPr>
            <w:tcW w:w="1185" w:type="pct"/>
          </w:tcPr>
          <w:p w14:paraId="04BB873E" w14:textId="77777777" w:rsidR="005072F5" w:rsidRPr="00C021F5" w:rsidRDefault="005072F5" w:rsidP="00915390">
            <w:pPr>
              <w:overflowPunct w:val="0"/>
              <w:autoSpaceDE w:val="0"/>
              <w:autoSpaceDN w:val="0"/>
              <w:adjustRightInd w:val="0"/>
              <w:textAlignment w:val="baseline"/>
              <w:rPr>
                <w:i/>
              </w:rPr>
            </w:pPr>
            <w:r w:rsidRPr="00C021F5">
              <w:rPr>
                <w:i/>
              </w:rPr>
              <w:t>Correo electrónico:</w:t>
            </w:r>
          </w:p>
        </w:tc>
        <w:tc>
          <w:tcPr>
            <w:tcW w:w="3815" w:type="pct"/>
          </w:tcPr>
          <w:p w14:paraId="29400781" w14:textId="77777777" w:rsidR="005072F5" w:rsidRPr="00C021F5" w:rsidRDefault="005072F5" w:rsidP="00915390">
            <w:pPr>
              <w:overflowPunct w:val="0"/>
              <w:autoSpaceDE w:val="0"/>
              <w:autoSpaceDN w:val="0"/>
              <w:adjustRightInd w:val="0"/>
              <w:textAlignment w:val="baseline"/>
              <w:rPr>
                <w:i/>
              </w:rPr>
            </w:pPr>
            <w:hyperlink r:id="rId96" w:history="1">
              <w:r w:rsidRPr="00C021F5">
                <w:rPr>
                  <w:i/>
                  <w:color w:val="0000FF"/>
                  <w:u w:val="single"/>
                </w:rPr>
                <w:t>Daniele.Vitali@eesc.europa.eu</w:t>
              </w:r>
            </w:hyperlink>
          </w:p>
        </w:tc>
      </w:tr>
    </w:tbl>
    <w:p w14:paraId="19405810" w14:textId="77777777" w:rsidR="005072F5" w:rsidRDefault="005072F5" w:rsidP="005072F5">
      <w:pPr>
        <w:spacing w:after="160" w:line="259" w:lineRule="auto"/>
        <w:jc w:val="left"/>
        <w:rPr>
          <w:b/>
          <w:i/>
          <w:sz w:val="28"/>
          <w:szCs w:val="28"/>
        </w:rPr>
      </w:pPr>
      <w:r>
        <w:br w:type="page"/>
      </w:r>
    </w:p>
    <w:p w14:paraId="547F248B" w14:textId="77777777" w:rsidR="005072F5" w:rsidRPr="005A7EB4" w:rsidRDefault="005072F5" w:rsidP="005072F5">
      <w:pPr>
        <w:keepNext/>
        <w:keepLines/>
        <w:widowControl w:val="0"/>
        <w:numPr>
          <w:ilvl w:val="0"/>
          <w:numId w:val="3"/>
        </w:numPr>
        <w:overflowPunct w:val="0"/>
        <w:autoSpaceDE w:val="0"/>
        <w:autoSpaceDN w:val="0"/>
        <w:adjustRightInd w:val="0"/>
        <w:ind w:left="426" w:hanging="426"/>
        <w:textAlignment w:val="baseline"/>
        <w:rPr>
          <w:b/>
        </w:rPr>
      </w:pPr>
      <w:hyperlink r:id="rId97" w:history="1">
        <w:r>
          <w:rPr>
            <w:b/>
            <w:i/>
            <w:color w:val="0000FF"/>
            <w:sz w:val="28"/>
            <w:u w:val="single"/>
          </w:rPr>
          <w:t>Diplomacia azul y cooperación en materia de agua: soluciones para aliviar la presión de la migración provocada por el clima</w:t>
        </w:r>
      </w:hyperlink>
    </w:p>
    <w:p w14:paraId="2CA9D452" w14:textId="77777777" w:rsidR="005072F5" w:rsidRPr="005A7EB4" w:rsidRDefault="005072F5" w:rsidP="005072F5">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1950"/>
        <w:gridCol w:w="7481"/>
      </w:tblGrid>
      <w:tr w:rsidR="005072F5" w:rsidRPr="005A7EB4" w14:paraId="21BE67F2" w14:textId="77777777" w:rsidTr="00915390">
        <w:tc>
          <w:tcPr>
            <w:tcW w:w="1034" w:type="pct"/>
          </w:tcPr>
          <w:p w14:paraId="0A430FE1" w14:textId="77777777" w:rsidR="005072F5" w:rsidRPr="005A7EB4"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3966" w:type="pct"/>
          </w:tcPr>
          <w:p w14:paraId="49C4E628" w14:textId="77777777" w:rsidR="005072F5" w:rsidRPr="005A7EB4" w:rsidRDefault="005072F5" w:rsidP="00915390">
            <w:pPr>
              <w:tabs>
                <w:tab w:val="center" w:pos="284"/>
              </w:tabs>
              <w:overflowPunct w:val="0"/>
              <w:autoSpaceDE w:val="0"/>
              <w:autoSpaceDN w:val="0"/>
              <w:adjustRightInd w:val="0"/>
              <w:ind w:left="266" w:right="-3091" w:hanging="266"/>
              <w:textAlignment w:val="baseline"/>
            </w:pPr>
            <w:r>
              <w:t>Milena ANGELOVA (Grupo de Empresarios – BG)</w:t>
            </w:r>
          </w:p>
        </w:tc>
      </w:tr>
      <w:tr w:rsidR="005072F5" w:rsidRPr="005A7EB4" w14:paraId="586F07B6" w14:textId="77777777" w:rsidTr="00915390">
        <w:tc>
          <w:tcPr>
            <w:tcW w:w="1034" w:type="pct"/>
          </w:tcPr>
          <w:p w14:paraId="20A67978" w14:textId="77777777" w:rsidR="005072F5" w:rsidRPr="005A7EB4"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3966" w:type="pct"/>
          </w:tcPr>
          <w:p w14:paraId="2D8EC02B" w14:textId="77777777" w:rsidR="005072F5" w:rsidRPr="005A7EB4" w:rsidRDefault="005072F5" w:rsidP="00915390">
            <w:pPr>
              <w:tabs>
                <w:tab w:val="center" w:pos="284"/>
              </w:tabs>
              <w:overflowPunct w:val="0"/>
              <w:autoSpaceDE w:val="0"/>
              <w:autoSpaceDN w:val="0"/>
              <w:adjustRightInd w:val="0"/>
              <w:ind w:left="266" w:right="-3091" w:hanging="266"/>
              <w:textAlignment w:val="baseline"/>
            </w:pPr>
            <w:r>
              <w:t>Ioannis VARDAKASTANIS (Grupo de Organizaciones de la Sociedad Civil – EL)</w:t>
            </w:r>
          </w:p>
        </w:tc>
      </w:tr>
      <w:tr w:rsidR="005072F5" w:rsidRPr="005A7EB4" w14:paraId="6EEF1395" w14:textId="77777777" w:rsidTr="00915390">
        <w:tc>
          <w:tcPr>
            <w:tcW w:w="1034" w:type="pct"/>
          </w:tcPr>
          <w:p w14:paraId="3687C602" w14:textId="77777777" w:rsidR="005072F5" w:rsidRPr="005A7EB4"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3966" w:type="pct"/>
          </w:tcPr>
          <w:p w14:paraId="11C3FBFE" w14:textId="77777777" w:rsidR="005072F5" w:rsidRDefault="005072F5" w:rsidP="00915390">
            <w:pPr>
              <w:tabs>
                <w:tab w:val="center" w:pos="284"/>
              </w:tabs>
              <w:overflowPunct w:val="0"/>
              <w:autoSpaceDE w:val="0"/>
              <w:autoSpaceDN w:val="0"/>
              <w:adjustRightInd w:val="0"/>
              <w:ind w:left="266" w:right="-3091" w:hanging="266"/>
              <w:textAlignment w:val="baseline"/>
            </w:pPr>
            <w:r>
              <w:t>Dictamen de iniciativa</w:t>
            </w:r>
          </w:p>
          <w:p w14:paraId="26A6FAC5" w14:textId="77777777" w:rsidR="005072F5" w:rsidRPr="005A7EB4" w:rsidRDefault="005072F5" w:rsidP="00915390">
            <w:pPr>
              <w:tabs>
                <w:tab w:val="center" w:pos="284"/>
              </w:tabs>
              <w:overflowPunct w:val="0"/>
              <w:autoSpaceDE w:val="0"/>
              <w:autoSpaceDN w:val="0"/>
              <w:adjustRightInd w:val="0"/>
              <w:ind w:left="266" w:right="-3091" w:hanging="266"/>
              <w:textAlignment w:val="baseline"/>
            </w:pPr>
            <w:r>
              <w:t>EESC-2025-00737-00-00-AC</w:t>
            </w:r>
          </w:p>
        </w:tc>
      </w:tr>
    </w:tbl>
    <w:p w14:paraId="64CF27EC" w14:textId="77777777" w:rsidR="005072F5" w:rsidRPr="005A7EB4" w:rsidRDefault="005072F5" w:rsidP="005072F5">
      <w:pPr>
        <w:tabs>
          <w:tab w:val="center" w:pos="284"/>
        </w:tabs>
        <w:overflowPunct w:val="0"/>
        <w:autoSpaceDE w:val="0"/>
        <w:autoSpaceDN w:val="0"/>
        <w:adjustRightInd w:val="0"/>
        <w:ind w:left="266" w:hanging="266"/>
        <w:textAlignment w:val="baseline"/>
        <w:rPr>
          <w:b/>
          <w:lang w:val="en-GB"/>
        </w:rPr>
      </w:pPr>
    </w:p>
    <w:p w14:paraId="7A3B7F0B" w14:textId="77777777" w:rsidR="005072F5" w:rsidRPr="005A7EB4"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5785C1EE" w14:textId="77777777" w:rsidR="005072F5" w:rsidRPr="005A7EB4"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416DA7E5" w14:textId="77777777" w:rsidR="005072F5" w:rsidRDefault="005072F5" w:rsidP="005072F5">
      <w:pPr>
        <w:overflowPunct w:val="0"/>
        <w:autoSpaceDE w:val="0"/>
        <w:autoSpaceDN w:val="0"/>
        <w:adjustRightInd w:val="0"/>
        <w:textAlignment w:val="baseline"/>
      </w:pPr>
      <w:r>
        <w:t>El CESE:</w:t>
      </w:r>
    </w:p>
    <w:p w14:paraId="26CECD44" w14:textId="77777777" w:rsidR="005072F5" w:rsidRPr="005A7EB4" w:rsidRDefault="005072F5" w:rsidP="005072F5">
      <w:pPr>
        <w:overflowPunct w:val="0"/>
        <w:autoSpaceDE w:val="0"/>
        <w:autoSpaceDN w:val="0"/>
        <w:adjustRightInd w:val="0"/>
        <w:textAlignment w:val="baseline"/>
        <w:rPr>
          <w:bCs/>
          <w:iCs/>
        </w:rPr>
      </w:pPr>
    </w:p>
    <w:p w14:paraId="66A571B5" w14:textId="77777777" w:rsidR="005072F5" w:rsidRPr="005A7EB4" w:rsidRDefault="005072F5" w:rsidP="005072F5">
      <w:pPr>
        <w:widowControl w:val="0"/>
        <w:numPr>
          <w:ilvl w:val="0"/>
          <w:numId w:val="76"/>
        </w:numPr>
        <w:overflowPunct w:val="0"/>
        <w:autoSpaceDE w:val="0"/>
        <w:autoSpaceDN w:val="0"/>
        <w:adjustRightInd w:val="0"/>
        <w:ind w:left="426" w:hanging="426"/>
        <w:textAlignment w:val="baseline"/>
        <w:rPr>
          <w:bCs/>
          <w:iCs/>
        </w:rPr>
      </w:pPr>
      <w:r>
        <w:t xml:space="preserve">recomienda </w:t>
      </w:r>
      <w:r>
        <w:rPr>
          <w:b/>
        </w:rPr>
        <w:t>adoptar una definición a escala de la UE de la migración provocada por el clima</w:t>
      </w:r>
      <w:r>
        <w:t>;</w:t>
      </w:r>
    </w:p>
    <w:p w14:paraId="74081BF2" w14:textId="77777777" w:rsidR="005072F5" w:rsidRPr="005A7EB4" w:rsidRDefault="005072F5" w:rsidP="005072F5">
      <w:pPr>
        <w:widowControl w:val="0"/>
        <w:numPr>
          <w:ilvl w:val="0"/>
          <w:numId w:val="76"/>
        </w:numPr>
        <w:overflowPunct w:val="0"/>
        <w:autoSpaceDE w:val="0"/>
        <w:autoSpaceDN w:val="0"/>
        <w:adjustRightInd w:val="0"/>
        <w:ind w:left="426" w:hanging="426"/>
        <w:textAlignment w:val="baseline"/>
        <w:rPr>
          <w:bCs/>
          <w:iCs/>
        </w:rPr>
      </w:pPr>
      <w:r>
        <w:t xml:space="preserve">recomienda </w:t>
      </w:r>
      <w:r>
        <w:rPr>
          <w:b/>
        </w:rPr>
        <w:t>promover y financiar una mayor investigación en el marco de los proyectos</w:t>
      </w:r>
      <w:r>
        <w:t xml:space="preserve">, reconocer la complejidad y el aspecto polifacético de la migración e </w:t>
      </w:r>
      <w:r>
        <w:rPr>
          <w:b/>
        </w:rPr>
        <w:t>investigar la posibilidad de modificar los protocolos de recopilación de datos sobre las personas que entran en los países de destino</w:t>
      </w:r>
      <w:r>
        <w:t>;</w:t>
      </w:r>
    </w:p>
    <w:p w14:paraId="76250208" w14:textId="77777777" w:rsidR="005072F5" w:rsidRPr="005A7EB4" w:rsidRDefault="005072F5" w:rsidP="005072F5">
      <w:pPr>
        <w:widowControl w:val="0"/>
        <w:numPr>
          <w:ilvl w:val="0"/>
          <w:numId w:val="76"/>
        </w:numPr>
        <w:overflowPunct w:val="0"/>
        <w:autoSpaceDE w:val="0"/>
        <w:autoSpaceDN w:val="0"/>
        <w:adjustRightInd w:val="0"/>
        <w:ind w:left="426" w:hanging="426"/>
        <w:textAlignment w:val="baseline"/>
        <w:rPr>
          <w:bCs/>
          <w:iCs/>
        </w:rPr>
      </w:pPr>
      <w:r>
        <w:t xml:space="preserve">pide que se tomen </w:t>
      </w:r>
      <w:r>
        <w:rPr>
          <w:b/>
        </w:rPr>
        <w:t>medidas para fomentar el diálogo entre los profesionales del Derecho y los especializados en migración con el fin de compartir las diferentes interpretaciones del marco jurídico dentro de cada Estado miembro y entre unos Estados miembros y otros</w:t>
      </w:r>
      <w:r>
        <w:t xml:space="preserve">; pide a la Comisión Europea que </w:t>
      </w:r>
      <w:r>
        <w:rPr>
          <w:b/>
        </w:rPr>
        <w:t>elabore un compendio de la jurisprudencia pertinente</w:t>
      </w:r>
      <w:r>
        <w:t xml:space="preserve"> y destaca la necesidad de </w:t>
      </w:r>
      <w:r>
        <w:rPr>
          <w:b/>
        </w:rPr>
        <w:t>fomentar el uso conjunto de herramientas prácticas sobre protección internacional para las personas desplazadas a través de las fronteras en el contexto del cambio climático y las catástrofes</w:t>
      </w:r>
      <w:r>
        <w:t>;</w:t>
      </w:r>
    </w:p>
    <w:p w14:paraId="04CBD523" w14:textId="77777777" w:rsidR="005072F5" w:rsidRPr="005A7EB4" w:rsidRDefault="005072F5" w:rsidP="005072F5">
      <w:pPr>
        <w:widowControl w:val="0"/>
        <w:numPr>
          <w:ilvl w:val="0"/>
          <w:numId w:val="76"/>
        </w:numPr>
        <w:overflowPunct w:val="0"/>
        <w:autoSpaceDE w:val="0"/>
        <w:autoSpaceDN w:val="0"/>
        <w:adjustRightInd w:val="0"/>
        <w:ind w:left="426" w:hanging="426"/>
        <w:textAlignment w:val="baseline"/>
        <w:rPr>
          <w:bCs/>
          <w:iCs/>
        </w:rPr>
      </w:pPr>
      <w:r>
        <w:t xml:space="preserve">pide que se tomen </w:t>
      </w:r>
      <w:r>
        <w:rPr>
          <w:b/>
        </w:rPr>
        <w:t>medidas destinadas a fomentar la creación de sinergias entre la política medioambiental y la política de migración</w:t>
      </w:r>
      <w:r>
        <w:t xml:space="preserve"> mediante una mayor integración del nexo acción humanitaria-desarrollo-paz en la política de movilidad climática y la integración de la migración como adaptación en su enfoque de la movilidad climática;</w:t>
      </w:r>
    </w:p>
    <w:p w14:paraId="1ABC464E" w14:textId="77777777" w:rsidR="005072F5" w:rsidRPr="005A7EB4" w:rsidRDefault="005072F5" w:rsidP="005072F5">
      <w:pPr>
        <w:widowControl w:val="0"/>
        <w:numPr>
          <w:ilvl w:val="0"/>
          <w:numId w:val="76"/>
        </w:numPr>
        <w:overflowPunct w:val="0"/>
        <w:autoSpaceDE w:val="0"/>
        <w:autoSpaceDN w:val="0"/>
        <w:adjustRightInd w:val="0"/>
        <w:ind w:left="426" w:hanging="426"/>
        <w:textAlignment w:val="baseline"/>
        <w:rPr>
          <w:bCs/>
          <w:iCs/>
        </w:rPr>
      </w:pPr>
      <w:r>
        <w:t xml:space="preserve">pide a la </w:t>
      </w:r>
      <w:r>
        <w:rPr>
          <w:b/>
        </w:rPr>
        <w:t>Comisión Europea que defina mejor su cooperación con los países socios</w:t>
      </w:r>
      <w:r>
        <w:t>, que</w:t>
      </w:r>
      <w:r>
        <w:rPr>
          <w:b/>
        </w:rPr>
        <w:t>, para apoyarlos en materia de resiliencia y preparación frente al cambio climático, les facilite el acceso a los fondos internacionales</w:t>
      </w:r>
      <w:r>
        <w:t xml:space="preserve">, y que </w:t>
      </w:r>
      <w:r>
        <w:rPr>
          <w:b/>
        </w:rPr>
        <w:t>cumpla los compromisos contraídos</w:t>
      </w:r>
      <w:r>
        <w:t>, y</w:t>
      </w:r>
    </w:p>
    <w:p w14:paraId="43E1E6B7" w14:textId="77777777" w:rsidR="005072F5" w:rsidRPr="001379F6" w:rsidRDefault="005072F5" w:rsidP="005072F5">
      <w:pPr>
        <w:widowControl w:val="0"/>
        <w:numPr>
          <w:ilvl w:val="0"/>
          <w:numId w:val="76"/>
        </w:numPr>
        <w:overflowPunct w:val="0"/>
        <w:autoSpaceDE w:val="0"/>
        <w:autoSpaceDN w:val="0"/>
        <w:adjustRightInd w:val="0"/>
        <w:ind w:left="426" w:hanging="426"/>
        <w:textAlignment w:val="baseline"/>
        <w:rPr>
          <w:bCs/>
          <w:iCs/>
        </w:rPr>
      </w:pPr>
      <w:r>
        <w:t xml:space="preserve">recomienda </w:t>
      </w:r>
      <w:r>
        <w:rPr>
          <w:b/>
        </w:rPr>
        <w:t>ampliar el ámbito de aplicación de la Directiva de protección temporal para que abarque a los migrantes que huyen de países gravemente afectados por catástrofes y el cambio climático</w:t>
      </w:r>
      <w:r>
        <w:t>.</w:t>
      </w:r>
    </w:p>
    <w:p w14:paraId="4C5CE627" w14:textId="77777777" w:rsidR="005072F5" w:rsidRDefault="005072F5" w:rsidP="005072F5">
      <w:pPr>
        <w:widowControl w:val="0"/>
        <w:overflowPunct w:val="0"/>
        <w:autoSpaceDE w:val="0"/>
        <w:autoSpaceDN w:val="0"/>
        <w:adjustRightInd w:val="0"/>
        <w:textAlignment w:val="baseline"/>
        <w:rPr>
          <w:szCs w:val="20"/>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337"/>
      </w:tblGrid>
      <w:tr w:rsidR="005072F5" w:rsidRPr="00061E08" w14:paraId="42660176" w14:textId="77777777" w:rsidTr="00915390">
        <w:tc>
          <w:tcPr>
            <w:tcW w:w="1110" w:type="pct"/>
          </w:tcPr>
          <w:p w14:paraId="22F640AF" w14:textId="77777777" w:rsidR="005072F5" w:rsidRPr="00061E08" w:rsidRDefault="005072F5" w:rsidP="00915390">
            <w:pPr>
              <w:widowControl w:val="0"/>
              <w:overflowPunct w:val="0"/>
              <w:autoSpaceDE w:val="0"/>
              <w:autoSpaceDN w:val="0"/>
              <w:adjustRightInd w:val="0"/>
              <w:textAlignment w:val="baseline"/>
              <w:rPr>
                <w:bCs/>
                <w:i/>
                <w:iCs/>
              </w:rPr>
            </w:pPr>
            <w:r>
              <w:rPr>
                <w:b/>
                <w:i/>
              </w:rPr>
              <w:t>Contacto:</w:t>
            </w:r>
          </w:p>
        </w:tc>
        <w:tc>
          <w:tcPr>
            <w:tcW w:w="3890" w:type="pct"/>
          </w:tcPr>
          <w:p w14:paraId="5C1C3D3C" w14:textId="77777777" w:rsidR="005072F5" w:rsidRPr="00061E08" w:rsidRDefault="005072F5" w:rsidP="00915390">
            <w:pPr>
              <w:widowControl w:val="0"/>
              <w:overflowPunct w:val="0"/>
              <w:autoSpaceDE w:val="0"/>
              <w:autoSpaceDN w:val="0"/>
              <w:adjustRightInd w:val="0"/>
              <w:textAlignment w:val="baseline"/>
              <w:rPr>
                <w:bCs/>
                <w:i/>
                <w:iCs/>
              </w:rPr>
            </w:pPr>
            <w:r>
              <w:rPr>
                <w:i/>
              </w:rPr>
              <w:t>Marie-Laurence Drillon</w:t>
            </w:r>
          </w:p>
        </w:tc>
      </w:tr>
      <w:tr w:rsidR="005072F5" w:rsidRPr="00061E08" w14:paraId="214B0904" w14:textId="77777777" w:rsidTr="00915390">
        <w:tc>
          <w:tcPr>
            <w:tcW w:w="1110" w:type="pct"/>
          </w:tcPr>
          <w:p w14:paraId="5E52DD76" w14:textId="77777777" w:rsidR="005072F5" w:rsidRPr="00061E08" w:rsidRDefault="005072F5" w:rsidP="00915390">
            <w:pPr>
              <w:widowControl w:val="0"/>
              <w:overflowPunct w:val="0"/>
              <w:autoSpaceDE w:val="0"/>
              <w:autoSpaceDN w:val="0"/>
              <w:adjustRightInd w:val="0"/>
              <w:textAlignment w:val="baseline"/>
              <w:rPr>
                <w:bCs/>
                <w:i/>
                <w:iCs/>
              </w:rPr>
            </w:pPr>
            <w:r>
              <w:rPr>
                <w:i/>
              </w:rPr>
              <w:t>Teléfono:</w:t>
            </w:r>
          </w:p>
        </w:tc>
        <w:tc>
          <w:tcPr>
            <w:tcW w:w="3890" w:type="pct"/>
          </w:tcPr>
          <w:p w14:paraId="2C06F0A7" w14:textId="77777777" w:rsidR="005072F5" w:rsidRPr="00061E08" w:rsidRDefault="005072F5" w:rsidP="00915390">
            <w:pPr>
              <w:widowControl w:val="0"/>
              <w:overflowPunct w:val="0"/>
              <w:autoSpaceDE w:val="0"/>
              <w:autoSpaceDN w:val="0"/>
              <w:adjustRightInd w:val="0"/>
              <w:textAlignment w:val="baseline"/>
              <w:rPr>
                <w:bCs/>
                <w:i/>
                <w:iCs/>
              </w:rPr>
            </w:pPr>
            <w:r>
              <w:rPr>
                <w:i/>
              </w:rPr>
              <w:t>+32 25468320</w:t>
            </w:r>
          </w:p>
        </w:tc>
      </w:tr>
      <w:tr w:rsidR="005072F5" w:rsidRPr="00061E08" w14:paraId="0AE0C9DE" w14:textId="77777777" w:rsidTr="00915390">
        <w:tc>
          <w:tcPr>
            <w:tcW w:w="1110" w:type="pct"/>
          </w:tcPr>
          <w:p w14:paraId="56A5A9D4" w14:textId="77777777" w:rsidR="005072F5" w:rsidRPr="00061E08" w:rsidRDefault="005072F5" w:rsidP="00915390">
            <w:pPr>
              <w:widowControl w:val="0"/>
              <w:overflowPunct w:val="0"/>
              <w:autoSpaceDE w:val="0"/>
              <w:autoSpaceDN w:val="0"/>
              <w:adjustRightInd w:val="0"/>
              <w:textAlignment w:val="baseline"/>
              <w:rPr>
                <w:bCs/>
                <w:i/>
                <w:iCs/>
              </w:rPr>
            </w:pPr>
            <w:r>
              <w:rPr>
                <w:i/>
              </w:rPr>
              <w:t>Correo electrónico:</w:t>
            </w:r>
          </w:p>
        </w:tc>
        <w:tc>
          <w:tcPr>
            <w:tcW w:w="3890" w:type="pct"/>
          </w:tcPr>
          <w:p w14:paraId="2C711FE1" w14:textId="77777777" w:rsidR="005072F5" w:rsidRPr="00061E08" w:rsidRDefault="005072F5" w:rsidP="00915390">
            <w:pPr>
              <w:widowControl w:val="0"/>
              <w:overflowPunct w:val="0"/>
              <w:autoSpaceDE w:val="0"/>
              <w:autoSpaceDN w:val="0"/>
              <w:adjustRightInd w:val="0"/>
              <w:textAlignment w:val="baseline"/>
              <w:rPr>
                <w:bCs/>
                <w:i/>
                <w:iCs/>
              </w:rPr>
            </w:pPr>
            <w:hyperlink r:id="rId98" w:history="1">
              <w:r>
                <w:rPr>
                  <w:rStyle w:val="Hyperlink"/>
                  <w:i/>
                </w:rPr>
                <w:t>Marie-Laurence.Drillon@eesc.europa.eu</w:t>
              </w:r>
            </w:hyperlink>
          </w:p>
        </w:tc>
      </w:tr>
    </w:tbl>
    <w:p w14:paraId="6CACF5EE" w14:textId="77777777" w:rsidR="005072F5" w:rsidRPr="00EA2195" w:rsidRDefault="005072F5" w:rsidP="005072F5">
      <w:pPr>
        <w:widowControl w:val="0"/>
        <w:overflowPunct w:val="0"/>
        <w:autoSpaceDE w:val="0"/>
        <w:autoSpaceDN w:val="0"/>
        <w:adjustRightInd w:val="0"/>
        <w:textAlignment w:val="baseline"/>
        <w:rPr>
          <w:bCs/>
          <w:iCs/>
        </w:rPr>
      </w:pPr>
    </w:p>
    <w:p w14:paraId="426392B6" w14:textId="77777777" w:rsidR="005072F5" w:rsidRPr="00EA2195" w:rsidRDefault="005072F5" w:rsidP="005072F5">
      <w:pPr>
        <w:jc w:val="left"/>
        <w:rPr>
          <w:b/>
          <w:i/>
          <w:sz w:val="28"/>
          <w:szCs w:val="28"/>
        </w:rPr>
      </w:pPr>
      <w:r>
        <w:br w:type="page"/>
      </w:r>
    </w:p>
    <w:p w14:paraId="010035A6" w14:textId="77777777" w:rsidR="005072F5" w:rsidRPr="008B2C05" w:rsidRDefault="005072F5" w:rsidP="005072F5">
      <w:pPr>
        <w:keepNext/>
        <w:keepLines/>
        <w:widowControl w:val="0"/>
        <w:numPr>
          <w:ilvl w:val="0"/>
          <w:numId w:val="19"/>
        </w:numPr>
        <w:overflowPunct w:val="0"/>
        <w:autoSpaceDE w:val="0"/>
        <w:autoSpaceDN w:val="0"/>
        <w:adjustRightInd w:val="0"/>
        <w:ind w:hanging="567"/>
        <w:textAlignment w:val="baseline"/>
        <w:rPr>
          <w:b/>
        </w:rPr>
      </w:pPr>
      <w:hyperlink r:id="rId99" w:history="1">
        <w:r>
          <w:rPr>
            <w:b/>
            <w:i/>
            <w:color w:val="0000FF"/>
            <w:sz w:val="28"/>
            <w:u w:val="single"/>
          </w:rPr>
          <w:t>Impulsar el crecimiento sostenible y el empleo de calidad en la región Euromed fomentando el espíritu empresarial y aprovechando el potencial de las mujeres y la juventud</w:t>
        </w:r>
      </w:hyperlink>
    </w:p>
    <w:p w14:paraId="0016D981" w14:textId="77777777" w:rsidR="005072F5" w:rsidRPr="008B2C05" w:rsidRDefault="005072F5" w:rsidP="005072F5">
      <w:pPr>
        <w:keepNext/>
        <w:keepLines/>
        <w:widowControl w:val="0"/>
        <w:overflowPunct w:val="0"/>
        <w:autoSpaceDE w:val="0"/>
        <w:autoSpaceDN w:val="0"/>
        <w:adjustRightInd w:val="0"/>
        <w:ind w:left="266"/>
        <w:textAlignment w:val="baseline"/>
        <w:rPr>
          <w:b/>
          <w:lang w:val="en-GB"/>
        </w:rPr>
      </w:pPr>
    </w:p>
    <w:tbl>
      <w:tblPr>
        <w:tblW w:w="5000" w:type="pct"/>
        <w:tblLook w:val="04A0" w:firstRow="1" w:lastRow="0" w:firstColumn="1" w:lastColumn="0" w:noHBand="0" w:noVBand="1"/>
      </w:tblPr>
      <w:tblGrid>
        <w:gridCol w:w="2031"/>
        <w:gridCol w:w="7400"/>
      </w:tblGrid>
      <w:tr w:rsidR="005072F5" w:rsidRPr="008B2C05" w14:paraId="3F348797" w14:textId="77777777" w:rsidTr="00915390">
        <w:tc>
          <w:tcPr>
            <w:tcW w:w="1077" w:type="pct"/>
          </w:tcPr>
          <w:p w14:paraId="07A2E62F" w14:textId="77777777" w:rsidR="005072F5" w:rsidRPr="008B2C05"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3923" w:type="pct"/>
          </w:tcPr>
          <w:p w14:paraId="0F656085" w14:textId="77777777" w:rsidR="005072F5" w:rsidRPr="008B2C05" w:rsidRDefault="005072F5" w:rsidP="00915390">
            <w:pPr>
              <w:tabs>
                <w:tab w:val="center" w:pos="284"/>
              </w:tabs>
              <w:overflowPunct w:val="0"/>
              <w:autoSpaceDE w:val="0"/>
              <w:autoSpaceDN w:val="0"/>
              <w:adjustRightInd w:val="0"/>
              <w:ind w:left="266" w:right="-3091" w:hanging="266"/>
              <w:textAlignment w:val="baseline"/>
            </w:pPr>
            <w:r>
              <w:t>Milena ANGELOVA (Grupo de Empresarios – BG)</w:t>
            </w:r>
          </w:p>
        </w:tc>
      </w:tr>
      <w:tr w:rsidR="005072F5" w:rsidRPr="008B2C05" w14:paraId="12E4E77E" w14:textId="77777777" w:rsidTr="00915390">
        <w:tc>
          <w:tcPr>
            <w:tcW w:w="1077" w:type="pct"/>
          </w:tcPr>
          <w:p w14:paraId="5D42846B" w14:textId="77777777" w:rsidR="005072F5" w:rsidRPr="008B2C05"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3923" w:type="pct"/>
          </w:tcPr>
          <w:p w14:paraId="5BDEF188" w14:textId="77777777" w:rsidR="005072F5" w:rsidRPr="008B2C05" w:rsidRDefault="005072F5" w:rsidP="00915390">
            <w:pPr>
              <w:tabs>
                <w:tab w:val="center" w:pos="284"/>
              </w:tabs>
              <w:overflowPunct w:val="0"/>
              <w:autoSpaceDE w:val="0"/>
              <w:autoSpaceDN w:val="0"/>
              <w:adjustRightInd w:val="0"/>
              <w:ind w:left="266" w:right="-3091" w:hanging="266"/>
              <w:textAlignment w:val="baseline"/>
            </w:pPr>
            <w:r>
              <w:t>Ioannis VARDAKASTANIS (Grupo de Organizaciones de la Sociedad Civil – EL)</w:t>
            </w:r>
          </w:p>
        </w:tc>
      </w:tr>
      <w:tr w:rsidR="005072F5" w:rsidRPr="008B2C05" w14:paraId="7511B3BE" w14:textId="77777777" w:rsidTr="00915390">
        <w:tc>
          <w:tcPr>
            <w:tcW w:w="1077" w:type="pct"/>
          </w:tcPr>
          <w:p w14:paraId="729194A0" w14:textId="77777777" w:rsidR="005072F5" w:rsidRPr="008B2C05"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3923" w:type="pct"/>
          </w:tcPr>
          <w:p w14:paraId="55FFC5BF" w14:textId="77777777" w:rsidR="005072F5" w:rsidRDefault="005072F5" w:rsidP="00915390">
            <w:pPr>
              <w:tabs>
                <w:tab w:val="center" w:pos="284"/>
              </w:tabs>
              <w:overflowPunct w:val="0"/>
              <w:autoSpaceDE w:val="0"/>
              <w:autoSpaceDN w:val="0"/>
              <w:adjustRightInd w:val="0"/>
              <w:ind w:left="266" w:right="-3091" w:hanging="266"/>
              <w:textAlignment w:val="baseline"/>
            </w:pPr>
            <w:r>
              <w:t>Dictamen de iniciativa</w:t>
            </w:r>
          </w:p>
          <w:p w14:paraId="50520189" w14:textId="77777777" w:rsidR="005072F5" w:rsidRPr="008B2C05" w:rsidRDefault="005072F5" w:rsidP="00915390">
            <w:pPr>
              <w:tabs>
                <w:tab w:val="center" w:pos="284"/>
              </w:tabs>
              <w:overflowPunct w:val="0"/>
              <w:autoSpaceDE w:val="0"/>
              <w:autoSpaceDN w:val="0"/>
              <w:adjustRightInd w:val="0"/>
              <w:ind w:left="266" w:right="-3091" w:hanging="266"/>
              <w:textAlignment w:val="baseline"/>
            </w:pPr>
            <w:r>
              <w:t>EESC-2025-00913-00-00-AC</w:t>
            </w:r>
          </w:p>
        </w:tc>
      </w:tr>
    </w:tbl>
    <w:p w14:paraId="43296B19" w14:textId="77777777" w:rsidR="005072F5" w:rsidRPr="008B2C05" w:rsidRDefault="005072F5" w:rsidP="005072F5">
      <w:pPr>
        <w:tabs>
          <w:tab w:val="center" w:pos="284"/>
        </w:tabs>
        <w:overflowPunct w:val="0"/>
        <w:autoSpaceDE w:val="0"/>
        <w:autoSpaceDN w:val="0"/>
        <w:adjustRightInd w:val="0"/>
        <w:ind w:left="266" w:hanging="266"/>
        <w:textAlignment w:val="baseline"/>
        <w:rPr>
          <w:b/>
          <w:lang w:val="en-GB"/>
        </w:rPr>
      </w:pPr>
    </w:p>
    <w:p w14:paraId="26FE674A" w14:textId="77777777" w:rsidR="005072F5" w:rsidRPr="008B2C05"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08CD471F" w14:textId="77777777" w:rsidR="005072F5" w:rsidRPr="008B2C05"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462E1D72" w14:textId="77777777" w:rsidR="005072F5" w:rsidRDefault="005072F5" w:rsidP="005072F5">
      <w:pPr>
        <w:overflowPunct w:val="0"/>
        <w:autoSpaceDE w:val="0"/>
        <w:autoSpaceDN w:val="0"/>
        <w:adjustRightInd w:val="0"/>
        <w:textAlignment w:val="baseline"/>
      </w:pPr>
      <w:r>
        <w:t>El CESE:</w:t>
      </w:r>
    </w:p>
    <w:p w14:paraId="722C6631" w14:textId="77777777" w:rsidR="005072F5" w:rsidRPr="008B2C05" w:rsidRDefault="005072F5" w:rsidP="005072F5">
      <w:pPr>
        <w:overflowPunct w:val="0"/>
        <w:autoSpaceDE w:val="0"/>
        <w:autoSpaceDN w:val="0"/>
        <w:adjustRightInd w:val="0"/>
        <w:textAlignment w:val="baseline"/>
        <w:rPr>
          <w:bCs/>
          <w:iCs/>
        </w:rPr>
      </w:pPr>
    </w:p>
    <w:p w14:paraId="2C596674" w14:textId="77777777" w:rsidR="005072F5" w:rsidRPr="008B2C05" w:rsidRDefault="005072F5" w:rsidP="005072F5">
      <w:pPr>
        <w:numPr>
          <w:ilvl w:val="0"/>
          <w:numId w:val="77"/>
        </w:numPr>
        <w:overflowPunct w:val="0"/>
        <w:autoSpaceDE w:val="0"/>
        <w:autoSpaceDN w:val="0"/>
        <w:adjustRightInd w:val="0"/>
        <w:ind w:left="284" w:hanging="284"/>
        <w:textAlignment w:val="baseline"/>
      </w:pPr>
      <w:r>
        <w:t>se fija como objetivo fomentar el espíritu empresarial y la creación de empleo de calidad en la región mediterránea, prestando especial atención a aprovechar y reforzar el potencial de las mujeres y los jóvenes al objeto de lograr un crecimiento más inclusivo y resiliente y una prosperidad compartida;</w:t>
      </w:r>
    </w:p>
    <w:p w14:paraId="7CBC4555" w14:textId="77777777" w:rsidR="005072F5" w:rsidRPr="008B2C05" w:rsidRDefault="005072F5" w:rsidP="005072F5">
      <w:pPr>
        <w:numPr>
          <w:ilvl w:val="0"/>
          <w:numId w:val="77"/>
        </w:numPr>
        <w:overflowPunct w:val="0"/>
        <w:autoSpaceDE w:val="0"/>
        <w:autoSpaceDN w:val="0"/>
        <w:adjustRightInd w:val="0"/>
        <w:ind w:left="284" w:hanging="284"/>
        <w:textAlignment w:val="baseline"/>
      </w:pPr>
      <w:r>
        <w:t>pide que se detecten y eliminen los obstáculos estructurales relacionados con el género en el ámbito de la educación, los mercados laborales y el espíritu empresarial, y que se lleven a cabo campañas en las que se sensibilice sobre los beneficios de la diversidad y se destaquen los modelos de referencia femeninos y los logros de las mujeres;</w:t>
      </w:r>
    </w:p>
    <w:p w14:paraId="5DBCBBDF" w14:textId="77777777" w:rsidR="005072F5" w:rsidRPr="008B2C05" w:rsidRDefault="005072F5" w:rsidP="005072F5">
      <w:pPr>
        <w:numPr>
          <w:ilvl w:val="0"/>
          <w:numId w:val="77"/>
        </w:numPr>
        <w:overflowPunct w:val="0"/>
        <w:autoSpaceDE w:val="0"/>
        <w:autoSpaceDN w:val="0"/>
        <w:adjustRightInd w:val="0"/>
        <w:ind w:left="284" w:hanging="284"/>
        <w:textAlignment w:val="baseline"/>
      </w:pPr>
      <w:r>
        <w:t>hace hincapié en la necesidad de invertir en educación, desarrollo de capacidades y movilidad de los jóvenes, incluidas la mejora de la formación profesional, la educación superior y una amplia participación en programas de intercambio de estudiantes para empoderar a la juventud, que es un activo de gran valor para la región;</w:t>
      </w:r>
    </w:p>
    <w:p w14:paraId="2C804CBA" w14:textId="77777777" w:rsidR="005072F5" w:rsidRPr="008B2C05" w:rsidRDefault="005072F5" w:rsidP="005072F5">
      <w:pPr>
        <w:numPr>
          <w:ilvl w:val="0"/>
          <w:numId w:val="77"/>
        </w:numPr>
        <w:overflowPunct w:val="0"/>
        <w:autoSpaceDE w:val="0"/>
        <w:autoSpaceDN w:val="0"/>
        <w:adjustRightInd w:val="0"/>
        <w:ind w:left="284" w:hanging="284"/>
        <w:textAlignment w:val="baseline"/>
      </w:pPr>
      <w:r>
        <w:t>recomienda animar a las niñas y a las mujeres a que estudien asignaturas de ciencia, tecnología, ingeniería y matemáticas (CTIM) y adquieran competencias digitales y financieras, que se aproveche el aprendizaje en línea y la movilidad para reducir las disparidades regionales y mejorar la igualdad de acceso a la formación y la educación en las zonas remotas;</w:t>
      </w:r>
    </w:p>
    <w:p w14:paraId="510C58EE" w14:textId="77777777" w:rsidR="005072F5" w:rsidRPr="008B2C05" w:rsidRDefault="005072F5" w:rsidP="005072F5">
      <w:pPr>
        <w:numPr>
          <w:ilvl w:val="0"/>
          <w:numId w:val="77"/>
        </w:numPr>
        <w:overflowPunct w:val="0"/>
        <w:autoSpaceDE w:val="0"/>
        <w:autoSpaceDN w:val="0"/>
        <w:adjustRightInd w:val="0"/>
        <w:ind w:left="284" w:hanging="284"/>
        <w:textAlignment w:val="baseline"/>
      </w:pPr>
      <w:r>
        <w:t>pide que se mejoren las oportunidades y condiciones de trabajo para los jóvenes y las mujeres mediante la prevención de la discriminación y el acoso, permitiendo su participación y liberando su potencial de liderazgo en la política, las empresas y la sociedad civil;</w:t>
      </w:r>
    </w:p>
    <w:p w14:paraId="61BC88BC" w14:textId="77777777" w:rsidR="005072F5" w:rsidRPr="008B2C05" w:rsidRDefault="005072F5" w:rsidP="005072F5">
      <w:pPr>
        <w:numPr>
          <w:ilvl w:val="0"/>
          <w:numId w:val="77"/>
        </w:numPr>
        <w:overflowPunct w:val="0"/>
        <w:autoSpaceDE w:val="0"/>
        <w:autoSpaceDN w:val="0"/>
        <w:adjustRightInd w:val="0"/>
        <w:ind w:left="284" w:hanging="284"/>
        <w:textAlignment w:val="baseline"/>
      </w:pPr>
      <w:r>
        <w:t>subraya que, para propiciar el éxito de las iniciativas, es necesario ofrecer a las mujeres y los jóvenes emprendedores acceso adecuado a la financiación, las infraestructuras, los recursos naturales, así como a derechos de propiedad legal y a redes, incluidos los ecosistemas de innovación y los centros empresariales;</w:t>
      </w:r>
    </w:p>
    <w:p w14:paraId="18D6922E" w14:textId="77777777" w:rsidR="005072F5" w:rsidRPr="008B2C05" w:rsidRDefault="005072F5" w:rsidP="005072F5">
      <w:pPr>
        <w:numPr>
          <w:ilvl w:val="0"/>
          <w:numId w:val="77"/>
        </w:numPr>
        <w:overflowPunct w:val="0"/>
        <w:autoSpaceDE w:val="0"/>
        <w:autoSpaceDN w:val="0"/>
        <w:adjustRightInd w:val="0"/>
        <w:ind w:left="284" w:hanging="284"/>
        <w:textAlignment w:val="baseline"/>
      </w:pPr>
      <w:r>
        <w:t>destaca la importancia de la seguridad jurídica, los esfuerzos de lucha contra la corrupción, la formalización de las microempresas y las pymes y la promoción de sectores clave como la agricultura sostenible, las energías renovables, la economía digital, las industrias creativas y los proyectos de conectividad del mercado, incluida la integración del mercado de la energía, para apoyar el desarrollo económico y el emprendimiento en la región.</w:t>
      </w:r>
    </w:p>
    <w:p w14:paraId="7AB2A82D" w14:textId="77777777" w:rsidR="005072F5" w:rsidRPr="008B2C05" w:rsidRDefault="005072F5" w:rsidP="005072F5">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235"/>
        <w:gridCol w:w="7196"/>
      </w:tblGrid>
      <w:tr w:rsidR="005072F5" w:rsidRPr="008B2C05" w14:paraId="3FCEB680" w14:textId="77777777" w:rsidTr="00915390">
        <w:tc>
          <w:tcPr>
            <w:tcW w:w="1185" w:type="pct"/>
          </w:tcPr>
          <w:p w14:paraId="32EAD2C4" w14:textId="77777777" w:rsidR="005072F5" w:rsidRPr="008B2C05" w:rsidRDefault="005072F5" w:rsidP="00915390">
            <w:pPr>
              <w:overflowPunct w:val="0"/>
              <w:autoSpaceDE w:val="0"/>
              <w:autoSpaceDN w:val="0"/>
              <w:adjustRightInd w:val="0"/>
              <w:textAlignment w:val="baseline"/>
              <w:rPr>
                <w:i/>
              </w:rPr>
            </w:pPr>
            <w:r>
              <w:rPr>
                <w:b/>
                <w:i/>
              </w:rPr>
              <w:t>Contacto:</w:t>
            </w:r>
          </w:p>
        </w:tc>
        <w:tc>
          <w:tcPr>
            <w:tcW w:w="3815" w:type="pct"/>
          </w:tcPr>
          <w:p w14:paraId="75A46BF6" w14:textId="77777777" w:rsidR="005072F5" w:rsidRPr="008B2C05" w:rsidRDefault="005072F5" w:rsidP="00915390">
            <w:pPr>
              <w:overflowPunct w:val="0"/>
              <w:autoSpaceDE w:val="0"/>
              <w:autoSpaceDN w:val="0"/>
              <w:adjustRightInd w:val="0"/>
              <w:textAlignment w:val="baseline"/>
              <w:rPr>
                <w:i/>
              </w:rPr>
            </w:pPr>
            <w:r>
              <w:rPr>
                <w:i/>
              </w:rPr>
              <w:t>Andreas Berger</w:t>
            </w:r>
          </w:p>
        </w:tc>
      </w:tr>
      <w:tr w:rsidR="005072F5" w:rsidRPr="008B2C05" w14:paraId="2E466DF6" w14:textId="77777777" w:rsidTr="00915390">
        <w:tc>
          <w:tcPr>
            <w:tcW w:w="1185" w:type="pct"/>
          </w:tcPr>
          <w:p w14:paraId="783C2955" w14:textId="77777777" w:rsidR="005072F5" w:rsidRPr="008B2C05" w:rsidRDefault="005072F5" w:rsidP="00915390">
            <w:pPr>
              <w:overflowPunct w:val="0"/>
              <w:autoSpaceDE w:val="0"/>
              <w:autoSpaceDN w:val="0"/>
              <w:adjustRightInd w:val="0"/>
              <w:textAlignment w:val="baseline"/>
              <w:rPr>
                <w:i/>
              </w:rPr>
            </w:pPr>
            <w:r>
              <w:rPr>
                <w:i/>
              </w:rPr>
              <w:t>Teléfono:</w:t>
            </w:r>
          </w:p>
        </w:tc>
        <w:tc>
          <w:tcPr>
            <w:tcW w:w="3815" w:type="pct"/>
          </w:tcPr>
          <w:p w14:paraId="370AA41B" w14:textId="77777777" w:rsidR="005072F5" w:rsidRPr="008B2C05" w:rsidRDefault="005072F5" w:rsidP="00915390">
            <w:pPr>
              <w:overflowPunct w:val="0"/>
              <w:autoSpaceDE w:val="0"/>
              <w:autoSpaceDN w:val="0"/>
              <w:adjustRightInd w:val="0"/>
              <w:textAlignment w:val="baseline"/>
              <w:rPr>
                <w:i/>
              </w:rPr>
            </w:pPr>
            <w:r>
              <w:rPr>
                <w:i/>
              </w:rPr>
              <w:t>+32 25469062</w:t>
            </w:r>
          </w:p>
        </w:tc>
      </w:tr>
      <w:tr w:rsidR="005072F5" w:rsidRPr="008B2C05" w14:paraId="55E86C36" w14:textId="77777777" w:rsidTr="00915390">
        <w:tc>
          <w:tcPr>
            <w:tcW w:w="1185" w:type="pct"/>
          </w:tcPr>
          <w:p w14:paraId="5EF53B26" w14:textId="77777777" w:rsidR="005072F5" w:rsidRPr="008B2C05" w:rsidRDefault="005072F5" w:rsidP="00915390">
            <w:pPr>
              <w:overflowPunct w:val="0"/>
              <w:autoSpaceDE w:val="0"/>
              <w:autoSpaceDN w:val="0"/>
              <w:adjustRightInd w:val="0"/>
              <w:textAlignment w:val="baseline"/>
              <w:rPr>
                <w:i/>
              </w:rPr>
            </w:pPr>
            <w:r>
              <w:rPr>
                <w:i/>
              </w:rPr>
              <w:t>Correo electrónico:</w:t>
            </w:r>
          </w:p>
        </w:tc>
        <w:tc>
          <w:tcPr>
            <w:tcW w:w="3815" w:type="pct"/>
          </w:tcPr>
          <w:p w14:paraId="00EB1745" w14:textId="77777777" w:rsidR="005072F5" w:rsidRPr="008B2C05" w:rsidRDefault="005072F5" w:rsidP="00915390">
            <w:pPr>
              <w:overflowPunct w:val="0"/>
              <w:autoSpaceDE w:val="0"/>
              <w:autoSpaceDN w:val="0"/>
              <w:adjustRightInd w:val="0"/>
              <w:textAlignment w:val="baseline"/>
              <w:rPr>
                <w:i/>
              </w:rPr>
            </w:pPr>
            <w:hyperlink r:id="rId100" w:history="1">
              <w:r>
                <w:rPr>
                  <w:i/>
                  <w:color w:val="0000FF"/>
                  <w:u w:val="single"/>
                </w:rPr>
                <w:t>Andreas.Berger@eesc.europa.eu</w:t>
              </w:r>
            </w:hyperlink>
          </w:p>
        </w:tc>
      </w:tr>
    </w:tbl>
    <w:p w14:paraId="508C2BA9" w14:textId="77777777" w:rsidR="005072F5" w:rsidRDefault="005072F5" w:rsidP="005072F5">
      <w:pPr>
        <w:jc w:val="left"/>
        <w:rPr>
          <w:b/>
          <w:i/>
          <w:sz w:val="28"/>
          <w:szCs w:val="28"/>
        </w:rPr>
      </w:pPr>
    </w:p>
    <w:p w14:paraId="2C73C1BF" w14:textId="77777777" w:rsidR="005072F5" w:rsidRDefault="005072F5" w:rsidP="005072F5">
      <w:pPr>
        <w:pStyle w:val="Heading1"/>
        <w:keepNext/>
        <w:keepLines/>
        <w:ind w:left="567" w:hanging="567"/>
        <w:rPr>
          <w:b/>
          <w:color w:val="222A35" w:themeColor="text2" w:themeShade="80"/>
        </w:rPr>
      </w:pPr>
      <w:bookmarkStart w:id="184" w:name="_Toc211345379"/>
      <w:r>
        <w:rPr>
          <w:b/>
          <w:color w:val="222A35" w:themeColor="text2" w:themeShade="80"/>
        </w:rPr>
        <w:t>COMISIÓN CONSULTIVA DE LAS TRANSFORMACIONES INDUSTRIALES</w:t>
      </w:r>
      <w:bookmarkEnd w:id="184"/>
    </w:p>
    <w:p w14:paraId="6FDC7D92" w14:textId="77777777" w:rsidR="005072F5" w:rsidRDefault="005072F5" w:rsidP="005072F5">
      <w:pPr>
        <w:keepNext/>
        <w:keepLines/>
        <w:jc w:val="left"/>
        <w:rPr>
          <w:lang w:val="en-GB"/>
        </w:rPr>
      </w:pPr>
    </w:p>
    <w:p w14:paraId="78CA4B4A" w14:textId="77777777" w:rsidR="005072F5" w:rsidRPr="00BA77F1" w:rsidRDefault="005072F5" w:rsidP="005072F5">
      <w:pPr>
        <w:keepNext/>
        <w:keepLines/>
        <w:widowControl w:val="0"/>
        <w:numPr>
          <w:ilvl w:val="0"/>
          <w:numId w:val="3"/>
        </w:numPr>
        <w:overflowPunct w:val="0"/>
        <w:autoSpaceDE w:val="0"/>
        <w:autoSpaceDN w:val="0"/>
        <w:adjustRightInd w:val="0"/>
        <w:ind w:hanging="567"/>
        <w:textAlignment w:val="baseline"/>
        <w:rPr>
          <w:sz w:val="20"/>
          <w:szCs w:val="20"/>
        </w:rPr>
      </w:pPr>
      <w:hyperlink r:id="rId101" w:history="1">
        <w:r>
          <w:rPr>
            <w:b/>
            <w:i/>
            <w:color w:val="0000FF"/>
            <w:sz w:val="28"/>
            <w:u w:val="single"/>
          </w:rPr>
          <w:t>Estrategia de resiliencia hídrica</w:t>
        </w:r>
      </w:hyperlink>
    </w:p>
    <w:p w14:paraId="03B73C77" w14:textId="77777777" w:rsidR="005072F5" w:rsidRPr="00CC0071" w:rsidRDefault="005072F5" w:rsidP="005072F5">
      <w:pPr>
        <w:keepNext/>
        <w:keepLines/>
        <w:tabs>
          <w:tab w:val="center" w:pos="284"/>
        </w:tabs>
        <w:overflowPunct w:val="0"/>
        <w:autoSpaceDE w:val="0"/>
        <w:autoSpaceDN w:val="0"/>
        <w:adjustRightInd w:val="0"/>
        <w:ind w:left="266" w:hanging="266"/>
        <w:textAlignment w:val="baseline"/>
        <w:rPr>
          <w:b/>
          <w:sz w:val="14"/>
          <w:szCs w:val="14"/>
          <w:lang w:val="en-GB"/>
        </w:rPr>
      </w:pPr>
    </w:p>
    <w:tbl>
      <w:tblPr>
        <w:tblW w:w="0" w:type="auto"/>
        <w:tblLook w:val="04A0" w:firstRow="1" w:lastRow="0" w:firstColumn="1" w:lastColumn="0" w:noHBand="0" w:noVBand="1"/>
      </w:tblPr>
      <w:tblGrid>
        <w:gridCol w:w="1701"/>
        <w:gridCol w:w="7621"/>
      </w:tblGrid>
      <w:tr w:rsidR="005072F5" w:rsidRPr="00BA77F1" w14:paraId="26785E94" w14:textId="77777777" w:rsidTr="00915390">
        <w:tc>
          <w:tcPr>
            <w:tcW w:w="1701" w:type="dxa"/>
          </w:tcPr>
          <w:p w14:paraId="279747F8" w14:textId="77777777" w:rsidR="005072F5" w:rsidRPr="00BA77F1"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621" w:type="dxa"/>
          </w:tcPr>
          <w:p w14:paraId="71B0CB69" w14:textId="77777777" w:rsidR="005072F5" w:rsidRPr="00BA77F1" w:rsidRDefault="005072F5" w:rsidP="00915390">
            <w:pPr>
              <w:tabs>
                <w:tab w:val="center" w:pos="284"/>
              </w:tabs>
              <w:overflowPunct w:val="0"/>
              <w:autoSpaceDE w:val="0"/>
              <w:autoSpaceDN w:val="0"/>
              <w:adjustRightInd w:val="0"/>
              <w:ind w:left="266" w:hanging="266"/>
              <w:textAlignment w:val="baseline"/>
            </w:pPr>
            <w:r>
              <w:t>András EDELÉNYI (Grupo de Empresarios – HU)</w:t>
            </w:r>
          </w:p>
        </w:tc>
      </w:tr>
      <w:tr w:rsidR="005072F5" w:rsidRPr="00BA77F1" w14:paraId="090E4885" w14:textId="77777777" w:rsidTr="00915390">
        <w:tc>
          <w:tcPr>
            <w:tcW w:w="1701" w:type="dxa"/>
          </w:tcPr>
          <w:p w14:paraId="72D108BD" w14:textId="77777777" w:rsidR="005072F5" w:rsidRPr="00BA77F1"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7621" w:type="dxa"/>
          </w:tcPr>
          <w:p w14:paraId="5849249C" w14:textId="77777777" w:rsidR="005072F5" w:rsidRPr="00BA77F1" w:rsidRDefault="005072F5" w:rsidP="00915390">
            <w:pPr>
              <w:tabs>
                <w:tab w:val="center" w:pos="284"/>
              </w:tabs>
              <w:overflowPunct w:val="0"/>
              <w:autoSpaceDE w:val="0"/>
              <w:autoSpaceDN w:val="0"/>
              <w:adjustRightInd w:val="0"/>
              <w:ind w:left="266" w:hanging="266"/>
              <w:textAlignment w:val="baseline"/>
            </w:pPr>
            <w:r>
              <w:t>Guido NELISSEN (Categoría 2 – BE)</w:t>
            </w:r>
          </w:p>
        </w:tc>
      </w:tr>
      <w:tr w:rsidR="005072F5" w:rsidRPr="00634871" w14:paraId="0E35CF21" w14:textId="77777777" w:rsidTr="00915390">
        <w:tc>
          <w:tcPr>
            <w:tcW w:w="1701" w:type="dxa"/>
          </w:tcPr>
          <w:p w14:paraId="0400D39D" w14:textId="77777777" w:rsidR="005072F5" w:rsidRPr="00BA77F1"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7621" w:type="dxa"/>
          </w:tcPr>
          <w:p w14:paraId="2EC2D17A" w14:textId="77777777" w:rsidR="005072F5" w:rsidRPr="00EA2195" w:rsidRDefault="005072F5" w:rsidP="00915390">
            <w:pPr>
              <w:tabs>
                <w:tab w:val="center" w:pos="284"/>
              </w:tabs>
              <w:overflowPunct w:val="0"/>
              <w:autoSpaceDE w:val="0"/>
              <w:autoSpaceDN w:val="0"/>
              <w:adjustRightInd w:val="0"/>
              <w:ind w:left="266" w:hanging="266"/>
              <w:textAlignment w:val="baseline"/>
            </w:pPr>
            <w:r>
              <w:t>COM(2025) 280 final</w:t>
            </w:r>
          </w:p>
          <w:p w14:paraId="02EB0BF1" w14:textId="77777777" w:rsidR="005072F5" w:rsidRPr="00EA2195" w:rsidRDefault="005072F5" w:rsidP="00915390">
            <w:pPr>
              <w:tabs>
                <w:tab w:val="center" w:pos="284"/>
              </w:tabs>
              <w:overflowPunct w:val="0"/>
              <w:autoSpaceDE w:val="0"/>
              <w:autoSpaceDN w:val="0"/>
              <w:adjustRightInd w:val="0"/>
              <w:ind w:left="266" w:hanging="266"/>
              <w:textAlignment w:val="baseline"/>
              <w:rPr>
                <w:highlight w:val="yellow"/>
              </w:rPr>
            </w:pPr>
            <w:r>
              <w:t>EESC-2024-00587-00-00-AC-TRA</w:t>
            </w:r>
          </w:p>
        </w:tc>
      </w:tr>
    </w:tbl>
    <w:p w14:paraId="4157EFC5" w14:textId="77777777" w:rsidR="005072F5" w:rsidRPr="00CC0071" w:rsidRDefault="005072F5" w:rsidP="005072F5">
      <w:pPr>
        <w:tabs>
          <w:tab w:val="center" w:pos="284"/>
        </w:tabs>
        <w:overflowPunct w:val="0"/>
        <w:autoSpaceDE w:val="0"/>
        <w:autoSpaceDN w:val="0"/>
        <w:adjustRightInd w:val="0"/>
        <w:ind w:left="266" w:hanging="266"/>
        <w:textAlignment w:val="baseline"/>
        <w:rPr>
          <w:sz w:val="14"/>
          <w:szCs w:val="14"/>
          <w:lang w:val="pt-PT"/>
        </w:rPr>
      </w:pPr>
    </w:p>
    <w:p w14:paraId="65962DAF" w14:textId="77777777" w:rsidR="005072F5" w:rsidRPr="00BA77F1"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4D63799A" w14:textId="77777777" w:rsidR="005072F5" w:rsidRPr="00CC0071" w:rsidRDefault="005072F5" w:rsidP="005072F5">
      <w:pPr>
        <w:keepNext/>
        <w:keepLines/>
        <w:tabs>
          <w:tab w:val="center" w:pos="284"/>
        </w:tabs>
        <w:overflowPunct w:val="0"/>
        <w:autoSpaceDE w:val="0"/>
        <w:autoSpaceDN w:val="0"/>
        <w:adjustRightInd w:val="0"/>
        <w:ind w:left="266" w:hanging="266"/>
        <w:textAlignment w:val="baseline"/>
        <w:rPr>
          <w:b/>
          <w:sz w:val="14"/>
          <w:szCs w:val="14"/>
          <w:lang w:val="en-GB"/>
        </w:rPr>
      </w:pPr>
    </w:p>
    <w:p w14:paraId="7C3CD96A" w14:textId="77777777" w:rsidR="005072F5" w:rsidRDefault="005072F5" w:rsidP="005072F5">
      <w:pPr>
        <w:overflowPunct w:val="0"/>
        <w:autoSpaceDE w:val="0"/>
        <w:autoSpaceDN w:val="0"/>
        <w:adjustRightInd w:val="0"/>
        <w:textAlignment w:val="baseline"/>
      </w:pPr>
      <w:r>
        <w:t>El CESE:</w:t>
      </w:r>
    </w:p>
    <w:p w14:paraId="456DBADB" w14:textId="77777777" w:rsidR="005072F5" w:rsidRPr="00CC0071" w:rsidRDefault="005072F5" w:rsidP="005072F5">
      <w:pPr>
        <w:overflowPunct w:val="0"/>
        <w:autoSpaceDE w:val="0"/>
        <w:autoSpaceDN w:val="0"/>
        <w:adjustRightInd w:val="0"/>
        <w:spacing w:line="264" w:lineRule="auto"/>
        <w:textAlignment w:val="baseline"/>
        <w:rPr>
          <w:bCs/>
          <w:iCs/>
          <w:sz w:val="14"/>
          <w:szCs w:val="14"/>
        </w:rPr>
      </w:pPr>
    </w:p>
    <w:p w14:paraId="1DA64D6F" w14:textId="77777777" w:rsidR="005072F5" w:rsidRPr="00BA77F1" w:rsidRDefault="005072F5" w:rsidP="005072F5">
      <w:pPr>
        <w:widowControl w:val="0"/>
        <w:numPr>
          <w:ilvl w:val="0"/>
          <w:numId w:val="78"/>
        </w:numPr>
        <w:overflowPunct w:val="0"/>
        <w:autoSpaceDE w:val="0"/>
        <w:autoSpaceDN w:val="0"/>
        <w:adjustRightInd w:val="0"/>
        <w:spacing w:line="264" w:lineRule="auto"/>
        <w:ind w:left="284" w:hanging="284"/>
        <w:textAlignment w:val="baseline"/>
        <w:rPr>
          <w:bCs/>
          <w:iCs/>
        </w:rPr>
      </w:pPr>
      <w:r>
        <w:t xml:space="preserve">subraya que </w:t>
      </w:r>
      <w:r>
        <w:rPr>
          <w:b/>
        </w:rPr>
        <w:t>la Estrategia de resiliencia hídrica debe ocupar un lugar destacado en la agenda política de la UE</w:t>
      </w:r>
      <w:r>
        <w:t xml:space="preserve">, ya que el agua es un bien público limitado, la </w:t>
      </w:r>
      <w:r>
        <w:rPr>
          <w:b/>
        </w:rPr>
        <w:t>pobreza hídrica</w:t>
      </w:r>
      <w:r>
        <w:t xml:space="preserve"> es inaceptable y el acceso a recursos hídricos viables y sostenibles es fundamental para que </w:t>
      </w:r>
      <w:r>
        <w:rPr>
          <w:b/>
        </w:rPr>
        <w:t>siga siendo asequible y esté disponible para todos los ciudadanos</w:t>
      </w:r>
      <w:r>
        <w:t xml:space="preserve">, así como para restaurar y proteger los </w:t>
      </w:r>
      <w:r>
        <w:rPr>
          <w:b/>
        </w:rPr>
        <w:t>ecosistemas</w:t>
      </w:r>
      <w:r>
        <w:t xml:space="preserve">, preservar la </w:t>
      </w:r>
      <w:r>
        <w:rPr>
          <w:b/>
        </w:rPr>
        <w:t>competitividad</w:t>
      </w:r>
      <w:r>
        <w:t xml:space="preserve"> de las actividades económicas de gran consumo de agua y mantener comunidades sostenibles en nuestras sociedades;</w:t>
      </w:r>
    </w:p>
    <w:p w14:paraId="0FF5680E" w14:textId="77777777" w:rsidR="005072F5" w:rsidRPr="00BA77F1" w:rsidRDefault="005072F5" w:rsidP="005072F5">
      <w:pPr>
        <w:widowControl w:val="0"/>
        <w:numPr>
          <w:ilvl w:val="0"/>
          <w:numId w:val="78"/>
        </w:numPr>
        <w:overflowPunct w:val="0"/>
        <w:autoSpaceDE w:val="0"/>
        <w:autoSpaceDN w:val="0"/>
        <w:adjustRightInd w:val="0"/>
        <w:spacing w:line="264" w:lineRule="auto"/>
        <w:ind w:left="284" w:hanging="284"/>
        <w:textAlignment w:val="baseline"/>
        <w:rPr>
          <w:bCs/>
          <w:iCs/>
        </w:rPr>
      </w:pPr>
      <w:r>
        <w:t xml:space="preserve">reitera su petición de que se considere el agua una </w:t>
      </w:r>
      <w:r>
        <w:rPr>
          <w:b/>
        </w:rPr>
        <w:t>prioridad estratégica en el próximo marco financiero plurianual (MFP)</w:t>
      </w:r>
      <w:r>
        <w:t xml:space="preserve"> de la UE y destaca la necesidad de una financiación </w:t>
      </w:r>
      <w:r>
        <w:rPr>
          <w:b/>
        </w:rPr>
        <w:t>pública</w:t>
      </w:r>
      <w:r>
        <w:t xml:space="preserve"> y una financiación del </w:t>
      </w:r>
      <w:r>
        <w:rPr>
          <w:b/>
        </w:rPr>
        <w:t>BEI</w:t>
      </w:r>
      <w:r>
        <w:t xml:space="preserve"> bien diseñadas, con el fin de movilizar nuevas inversiones necesarias fomentando la inversión </w:t>
      </w:r>
      <w:r>
        <w:rPr>
          <w:b/>
        </w:rPr>
        <w:t>privada</w:t>
      </w:r>
      <w:r>
        <w:t>;</w:t>
      </w:r>
    </w:p>
    <w:p w14:paraId="54A59490" w14:textId="77777777" w:rsidR="005072F5" w:rsidRPr="00BA77F1" w:rsidRDefault="005072F5" w:rsidP="005072F5">
      <w:pPr>
        <w:widowControl w:val="0"/>
        <w:numPr>
          <w:ilvl w:val="0"/>
          <w:numId w:val="78"/>
        </w:numPr>
        <w:overflowPunct w:val="0"/>
        <w:autoSpaceDE w:val="0"/>
        <w:autoSpaceDN w:val="0"/>
        <w:adjustRightInd w:val="0"/>
        <w:spacing w:line="264" w:lineRule="auto"/>
        <w:ind w:left="284" w:hanging="284"/>
        <w:textAlignment w:val="baseline"/>
        <w:rPr>
          <w:bCs/>
          <w:iCs/>
        </w:rPr>
      </w:pPr>
      <w:r>
        <w:t xml:space="preserve">apoya el </w:t>
      </w:r>
      <w:r>
        <w:rPr>
          <w:b/>
        </w:rPr>
        <w:t>objetivo de aumentar en un 10 % la eficiencia hídrica</w:t>
      </w:r>
      <w:r>
        <w:t xml:space="preserve"> y pide la introducción de planes e indicadores en las cuencas hidrográficas y su integración en los planes de acción sectoriales para que el objetivo sea operativo;</w:t>
      </w:r>
    </w:p>
    <w:p w14:paraId="6F4129FB" w14:textId="77777777" w:rsidR="005072F5" w:rsidRPr="00BA77F1" w:rsidRDefault="005072F5" w:rsidP="005072F5">
      <w:pPr>
        <w:widowControl w:val="0"/>
        <w:numPr>
          <w:ilvl w:val="0"/>
          <w:numId w:val="78"/>
        </w:numPr>
        <w:overflowPunct w:val="0"/>
        <w:autoSpaceDE w:val="0"/>
        <w:autoSpaceDN w:val="0"/>
        <w:adjustRightInd w:val="0"/>
        <w:spacing w:line="264" w:lineRule="auto"/>
        <w:ind w:left="284" w:hanging="284"/>
        <w:textAlignment w:val="baseline"/>
        <w:rPr>
          <w:bCs/>
          <w:iCs/>
        </w:rPr>
      </w:pPr>
      <w:r>
        <w:t xml:space="preserve">propone fijar objetivos de </w:t>
      </w:r>
      <w:r>
        <w:rPr>
          <w:b/>
        </w:rPr>
        <w:t>reducción de fugas</w:t>
      </w:r>
      <w:r>
        <w:t xml:space="preserve"> a corto y medio plazo y adelantar el </w:t>
      </w:r>
      <w:r>
        <w:rPr>
          <w:b/>
        </w:rPr>
        <w:t>plazo, actualmente fijado en 2030</w:t>
      </w:r>
      <w:r>
        <w:t xml:space="preserve">, para que los Estados miembros </w:t>
      </w:r>
      <w:r>
        <w:rPr>
          <w:b/>
        </w:rPr>
        <w:t>presenten</w:t>
      </w:r>
      <w:r>
        <w:t xml:space="preserve"> planes nacionales (obligatorios);</w:t>
      </w:r>
    </w:p>
    <w:p w14:paraId="31F481F0" w14:textId="77777777" w:rsidR="005072F5" w:rsidRPr="00BA77F1" w:rsidRDefault="005072F5" w:rsidP="005072F5">
      <w:pPr>
        <w:widowControl w:val="0"/>
        <w:numPr>
          <w:ilvl w:val="0"/>
          <w:numId w:val="78"/>
        </w:numPr>
        <w:overflowPunct w:val="0"/>
        <w:autoSpaceDE w:val="0"/>
        <w:autoSpaceDN w:val="0"/>
        <w:adjustRightInd w:val="0"/>
        <w:spacing w:line="264" w:lineRule="auto"/>
        <w:ind w:left="284" w:hanging="284"/>
        <w:textAlignment w:val="baseline"/>
        <w:rPr>
          <w:bCs/>
          <w:iCs/>
        </w:rPr>
      </w:pPr>
      <w:r>
        <w:t xml:space="preserve">acoge con satisfacción la propuesta de la Comisión de organizar un </w:t>
      </w:r>
      <w:r>
        <w:rPr>
          <w:b/>
        </w:rPr>
        <w:t>Foro de Resiliencia Hídrica</w:t>
      </w:r>
      <w:r>
        <w:t xml:space="preserve"> cada dos años, y </w:t>
      </w:r>
      <w:r>
        <w:rPr>
          <w:b/>
        </w:rPr>
        <w:t>desea participar como coorganizador</w:t>
      </w:r>
      <w:r>
        <w:t>, dado su papel de liderazgo para impulsar una política hídrica ambiciosa a escala de la UE;</w:t>
      </w:r>
    </w:p>
    <w:p w14:paraId="0C29A27E" w14:textId="77777777" w:rsidR="005072F5" w:rsidRPr="00BA77F1" w:rsidRDefault="005072F5" w:rsidP="005072F5">
      <w:pPr>
        <w:widowControl w:val="0"/>
        <w:numPr>
          <w:ilvl w:val="0"/>
          <w:numId w:val="78"/>
        </w:numPr>
        <w:overflowPunct w:val="0"/>
        <w:autoSpaceDE w:val="0"/>
        <w:autoSpaceDN w:val="0"/>
        <w:adjustRightInd w:val="0"/>
        <w:spacing w:line="264" w:lineRule="auto"/>
        <w:ind w:left="284" w:hanging="284"/>
        <w:textAlignment w:val="baseline"/>
        <w:rPr>
          <w:bCs/>
          <w:iCs/>
        </w:rPr>
      </w:pPr>
      <w:r>
        <w:t xml:space="preserve">reitera la necesidad de crear una </w:t>
      </w:r>
      <w:r>
        <w:rPr>
          <w:b/>
        </w:rPr>
        <w:t>plataforma consultiva de partes interesadas</w:t>
      </w:r>
      <w:r>
        <w:t xml:space="preserve"> de la UE —entre ellas el CESE y otras instituciones de la UE— basada en un modelo similar a la Plataforma Europea de Partes Interesadas de la Economía Circular. Esta plataforma supervisaría la aplicación de la Estrategia de resiliencia hídrica y compartiría las mejores prácticas, contribuyendo así a la preparación del Foro de Resiliencia Hídrica y garantizando un seguimiento continuo;</w:t>
      </w:r>
    </w:p>
    <w:p w14:paraId="344B6822" w14:textId="77777777" w:rsidR="005072F5" w:rsidRPr="00BA77F1" w:rsidRDefault="005072F5" w:rsidP="005072F5">
      <w:pPr>
        <w:widowControl w:val="0"/>
        <w:numPr>
          <w:ilvl w:val="0"/>
          <w:numId w:val="78"/>
        </w:numPr>
        <w:overflowPunct w:val="0"/>
        <w:autoSpaceDE w:val="0"/>
        <w:autoSpaceDN w:val="0"/>
        <w:adjustRightInd w:val="0"/>
        <w:spacing w:line="264" w:lineRule="auto"/>
        <w:ind w:left="284" w:hanging="284"/>
        <w:textAlignment w:val="baseline"/>
        <w:rPr>
          <w:bCs/>
          <w:iCs/>
        </w:rPr>
      </w:pPr>
      <w:r>
        <w:t xml:space="preserve">acoge con satisfacción el anuncio de la </w:t>
      </w:r>
      <w:r>
        <w:rPr>
          <w:b/>
        </w:rPr>
        <w:t>alianza industrial hidrointeligente</w:t>
      </w:r>
      <w:r>
        <w:t xml:space="preserve"> para estimular la competitividad, y </w:t>
      </w:r>
      <w:r>
        <w:rPr>
          <w:b/>
        </w:rPr>
        <w:t>pide formar parte de esta nueva alianza</w:t>
      </w:r>
      <w:r>
        <w:t>;</w:t>
      </w:r>
    </w:p>
    <w:p w14:paraId="4BE6A835" w14:textId="77777777" w:rsidR="005072F5" w:rsidRPr="00BA77F1" w:rsidRDefault="005072F5" w:rsidP="005072F5">
      <w:pPr>
        <w:widowControl w:val="0"/>
        <w:numPr>
          <w:ilvl w:val="0"/>
          <w:numId w:val="78"/>
        </w:numPr>
        <w:overflowPunct w:val="0"/>
        <w:autoSpaceDE w:val="0"/>
        <w:autoSpaceDN w:val="0"/>
        <w:adjustRightInd w:val="0"/>
        <w:spacing w:line="264" w:lineRule="auto"/>
        <w:ind w:left="284" w:hanging="284"/>
        <w:textAlignment w:val="baseline"/>
        <w:rPr>
          <w:bCs/>
          <w:iCs/>
        </w:rPr>
      </w:pPr>
      <w:r>
        <w:t xml:space="preserve">recomienda </w:t>
      </w:r>
      <w:r>
        <w:rPr>
          <w:b/>
        </w:rPr>
        <w:t>aplicar de forma sistemática una «prueba del agua» a la legislación de la UE</w:t>
      </w:r>
      <w:r>
        <w:t>, nueva o revisada, para garantizar que esté en consonancia con los objetivos de la Estrategia de resiliencia hídrica;</w:t>
      </w:r>
    </w:p>
    <w:p w14:paraId="6ACFDA82" w14:textId="77777777" w:rsidR="005072F5" w:rsidRPr="00BA77F1" w:rsidRDefault="005072F5" w:rsidP="005072F5">
      <w:pPr>
        <w:widowControl w:val="0"/>
        <w:numPr>
          <w:ilvl w:val="0"/>
          <w:numId w:val="78"/>
        </w:numPr>
        <w:overflowPunct w:val="0"/>
        <w:autoSpaceDE w:val="0"/>
        <w:autoSpaceDN w:val="0"/>
        <w:adjustRightInd w:val="0"/>
        <w:spacing w:line="264" w:lineRule="auto"/>
        <w:ind w:left="284" w:hanging="284"/>
        <w:textAlignment w:val="baseline"/>
        <w:rPr>
          <w:bCs/>
          <w:iCs/>
        </w:rPr>
      </w:pPr>
      <w:r>
        <w:t xml:space="preserve">subraya que los riesgos relacionados con el agua deben abordarse mediante un sistema integrado de gestión de la </w:t>
      </w:r>
      <w:r>
        <w:rPr>
          <w:b/>
        </w:rPr>
        <w:t>preparación</w:t>
      </w:r>
      <w:r>
        <w:t xml:space="preserve"> basado en responsabilidades claras y una evaluación de riesgos proactiva.</w:t>
      </w:r>
    </w:p>
    <w:p w14:paraId="42FEA496" w14:textId="77777777" w:rsidR="005072F5" w:rsidRPr="00CC0071" w:rsidRDefault="005072F5" w:rsidP="005072F5">
      <w:pPr>
        <w:widowControl w:val="0"/>
        <w:overflowPunct w:val="0"/>
        <w:autoSpaceDE w:val="0"/>
        <w:autoSpaceDN w:val="0"/>
        <w:adjustRightInd w:val="0"/>
        <w:ind w:left="284" w:hanging="284"/>
        <w:textAlignment w:val="baseline"/>
        <w:rPr>
          <w:sz w:val="14"/>
          <w:szCs w:val="14"/>
          <w:lang w:val="en-GB"/>
        </w:rPr>
      </w:pPr>
    </w:p>
    <w:tbl>
      <w:tblPr>
        <w:tblW w:w="0" w:type="auto"/>
        <w:tblLook w:val="04A0" w:firstRow="1" w:lastRow="0" w:firstColumn="1" w:lastColumn="0" w:noHBand="0" w:noVBand="1"/>
      </w:tblPr>
      <w:tblGrid>
        <w:gridCol w:w="2093"/>
        <w:gridCol w:w="7229"/>
      </w:tblGrid>
      <w:tr w:rsidR="005072F5" w:rsidRPr="00BA77F1" w14:paraId="1F6800B7" w14:textId="77777777" w:rsidTr="00915390">
        <w:tc>
          <w:tcPr>
            <w:tcW w:w="2093" w:type="dxa"/>
          </w:tcPr>
          <w:p w14:paraId="3DFCF5F8" w14:textId="77777777" w:rsidR="005072F5" w:rsidRPr="00BA77F1" w:rsidRDefault="005072F5" w:rsidP="00915390">
            <w:pPr>
              <w:overflowPunct w:val="0"/>
              <w:autoSpaceDE w:val="0"/>
              <w:autoSpaceDN w:val="0"/>
              <w:adjustRightInd w:val="0"/>
              <w:textAlignment w:val="baseline"/>
              <w:rPr>
                <w:i/>
              </w:rPr>
            </w:pPr>
            <w:r>
              <w:rPr>
                <w:b/>
                <w:i/>
              </w:rPr>
              <w:t>Contacto:</w:t>
            </w:r>
          </w:p>
        </w:tc>
        <w:tc>
          <w:tcPr>
            <w:tcW w:w="7229" w:type="dxa"/>
          </w:tcPr>
          <w:p w14:paraId="2C74FF04" w14:textId="77777777" w:rsidR="005072F5" w:rsidRPr="00BA77F1" w:rsidRDefault="005072F5" w:rsidP="00915390">
            <w:pPr>
              <w:overflowPunct w:val="0"/>
              <w:autoSpaceDE w:val="0"/>
              <w:autoSpaceDN w:val="0"/>
              <w:adjustRightInd w:val="0"/>
              <w:textAlignment w:val="baseline"/>
              <w:rPr>
                <w:i/>
              </w:rPr>
            </w:pPr>
            <w:r>
              <w:rPr>
                <w:i/>
              </w:rPr>
              <w:t>Heli Niemelä-Farrer</w:t>
            </w:r>
          </w:p>
        </w:tc>
      </w:tr>
      <w:tr w:rsidR="005072F5" w:rsidRPr="00BA77F1" w14:paraId="729708BE" w14:textId="77777777" w:rsidTr="00915390">
        <w:tc>
          <w:tcPr>
            <w:tcW w:w="2093" w:type="dxa"/>
          </w:tcPr>
          <w:p w14:paraId="73F03229" w14:textId="77777777" w:rsidR="005072F5" w:rsidRPr="00BA77F1" w:rsidRDefault="005072F5" w:rsidP="00915390">
            <w:pPr>
              <w:overflowPunct w:val="0"/>
              <w:autoSpaceDE w:val="0"/>
              <w:autoSpaceDN w:val="0"/>
              <w:adjustRightInd w:val="0"/>
              <w:textAlignment w:val="baseline"/>
              <w:rPr>
                <w:i/>
              </w:rPr>
            </w:pPr>
            <w:r>
              <w:rPr>
                <w:i/>
              </w:rPr>
              <w:t>Teléfono:</w:t>
            </w:r>
          </w:p>
        </w:tc>
        <w:tc>
          <w:tcPr>
            <w:tcW w:w="7229" w:type="dxa"/>
          </w:tcPr>
          <w:p w14:paraId="60C14C3F" w14:textId="77777777" w:rsidR="005072F5" w:rsidRPr="00BA77F1" w:rsidRDefault="005072F5" w:rsidP="00915390">
            <w:pPr>
              <w:overflowPunct w:val="0"/>
              <w:autoSpaceDE w:val="0"/>
              <w:autoSpaceDN w:val="0"/>
              <w:adjustRightInd w:val="0"/>
              <w:textAlignment w:val="baseline"/>
              <w:rPr>
                <w:i/>
              </w:rPr>
            </w:pPr>
            <w:r>
              <w:rPr>
                <w:i/>
              </w:rPr>
              <w:t>+32 2 282 2464</w:t>
            </w:r>
          </w:p>
        </w:tc>
      </w:tr>
      <w:tr w:rsidR="005072F5" w:rsidRPr="00BA77F1" w14:paraId="3405494A" w14:textId="77777777" w:rsidTr="00915390">
        <w:tc>
          <w:tcPr>
            <w:tcW w:w="2093" w:type="dxa"/>
          </w:tcPr>
          <w:p w14:paraId="27374488" w14:textId="77777777" w:rsidR="005072F5" w:rsidRPr="00BA77F1" w:rsidRDefault="005072F5" w:rsidP="00915390">
            <w:pPr>
              <w:overflowPunct w:val="0"/>
              <w:autoSpaceDE w:val="0"/>
              <w:autoSpaceDN w:val="0"/>
              <w:adjustRightInd w:val="0"/>
              <w:textAlignment w:val="baseline"/>
              <w:rPr>
                <w:i/>
              </w:rPr>
            </w:pPr>
            <w:r>
              <w:rPr>
                <w:i/>
              </w:rPr>
              <w:t>Correo electrónico:</w:t>
            </w:r>
          </w:p>
        </w:tc>
        <w:tc>
          <w:tcPr>
            <w:tcW w:w="7229" w:type="dxa"/>
          </w:tcPr>
          <w:p w14:paraId="0E4CD147" w14:textId="77777777" w:rsidR="005072F5" w:rsidRPr="00BA77F1" w:rsidRDefault="005072F5" w:rsidP="00915390">
            <w:pPr>
              <w:overflowPunct w:val="0"/>
              <w:autoSpaceDE w:val="0"/>
              <w:autoSpaceDN w:val="0"/>
              <w:adjustRightInd w:val="0"/>
              <w:textAlignment w:val="baseline"/>
              <w:rPr>
                <w:i/>
              </w:rPr>
            </w:pPr>
            <w:hyperlink r:id="rId102" w:history="1">
              <w:r>
                <w:rPr>
                  <w:i/>
                  <w:color w:val="0000FF"/>
                  <w:u w:val="single"/>
                </w:rPr>
                <w:t>Heli.Niemela-Farrer@eesc.europa.eu</w:t>
              </w:r>
            </w:hyperlink>
          </w:p>
        </w:tc>
      </w:tr>
    </w:tbl>
    <w:p w14:paraId="49D97413" w14:textId="77777777" w:rsidR="005072F5" w:rsidRDefault="005072F5" w:rsidP="005072F5">
      <w:pPr>
        <w:jc w:val="left"/>
      </w:pPr>
    </w:p>
    <w:p w14:paraId="3646CEBA" w14:textId="77777777" w:rsidR="005072F5" w:rsidRPr="000E08AB" w:rsidRDefault="005072F5" w:rsidP="005072F5">
      <w:pPr>
        <w:keepNext/>
        <w:keepLines/>
        <w:widowControl w:val="0"/>
        <w:numPr>
          <w:ilvl w:val="0"/>
          <w:numId w:val="3"/>
        </w:numPr>
        <w:overflowPunct w:val="0"/>
        <w:autoSpaceDE w:val="0"/>
        <w:autoSpaceDN w:val="0"/>
        <w:adjustRightInd w:val="0"/>
        <w:ind w:hanging="567"/>
        <w:textAlignment w:val="baseline"/>
        <w:rPr>
          <w:sz w:val="20"/>
          <w:szCs w:val="20"/>
        </w:rPr>
      </w:pPr>
      <w:hyperlink r:id="rId103" w:history="1">
        <w:r>
          <w:rPr>
            <w:b/>
            <w:i/>
            <w:color w:val="0000FF"/>
            <w:sz w:val="28"/>
            <w:u w:val="single"/>
          </w:rPr>
          <w:t>Resiliencia hídrica y la doble transición</w:t>
        </w:r>
      </w:hyperlink>
    </w:p>
    <w:p w14:paraId="55757688" w14:textId="77777777" w:rsidR="005072F5" w:rsidRPr="000E08AB" w:rsidRDefault="005072F5" w:rsidP="005072F5">
      <w:pPr>
        <w:keepNext/>
        <w:keepLines/>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479"/>
      </w:tblGrid>
      <w:tr w:rsidR="005072F5" w:rsidRPr="000E08AB" w14:paraId="32160D55" w14:textId="77777777" w:rsidTr="00915390">
        <w:tc>
          <w:tcPr>
            <w:tcW w:w="1701" w:type="dxa"/>
          </w:tcPr>
          <w:p w14:paraId="16512BC1" w14:textId="77777777" w:rsidR="005072F5" w:rsidRPr="000E08AB"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479" w:type="dxa"/>
          </w:tcPr>
          <w:p w14:paraId="4308579D" w14:textId="77777777" w:rsidR="005072F5" w:rsidRPr="000E08AB" w:rsidRDefault="005072F5" w:rsidP="00915390">
            <w:pPr>
              <w:tabs>
                <w:tab w:val="center" w:pos="284"/>
              </w:tabs>
              <w:overflowPunct w:val="0"/>
              <w:autoSpaceDE w:val="0"/>
              <w:autoSpaceDN w:val="0"/>
              <w:adjustRightInd w:val="0"/>
              <w:ind w:left="266" w:hanging="266"/>
              <w:textAlignment w:val="baseline"/>
            </w:pPr>
            <w:r>
              <w:t>Carole DESIANO (Grupo de Trabajadores – FR)</w:t>
            </w:r>
          </w:p>
        </w:tc>
      </w:tr>
      <w:tr w:rsidR="005072F5" w:rsidRPr="000E08AB" w14:paraId="17772639" w14:textId="77777777" w:rsidTr="00915390">
        <w:tc>
          <w:tcPr>
            <w:tcW w:w="1701" w:type="dxa"/>
          </w:tcPr>
          <w:p w14:paraId="130A53EB" w14:textId="77777777" w:rsidR="005072F5" w:rsidRPr="000E08AB"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7479" w:type="dxa"/>
          </w:tcPr>
          <w:p w14:paraId="0E421047" w14:textId="77777777" w:rsidR="005072F5" w:rsidRPr="000E08AB" w:rsidRDefault="005072F5" w:rsidP="00915390">
            <w:pPr>
              <w:tabs>
                <w:tab w:val="center" w:pos="284"/>
              </w:tabs>
              <w:overflowPunct w:val="0"/>
              <w:autoSpaceDE w:val="0"/>
              <w:autoSpaceDN w:val="0"/>
              <w:adjustRightInd w:val="0"/>
              <w:ind w:left="266" w:hanging="266"/>
              <w:textAlignment w:val="baseline"/>
            </w:pPr>
            <w:r>
              <w:t>Michal PINTÉR (Cat. 1 – SK)</w:t>
            </w:r>
          </w:p>
        </w:tc>
      </w:tr>
      <w:tr w:rsidR="005072F5" w:rsidRPr="000E08AB" w14:paraId="5FBC59DD" w14:textId="77777777" w:rsidTr="00915390">
        <w:tc>
          <w:tcPr>
            <w:tcW w:w="1701" w:type="dxa"/>
          </w:tcPr>
          <w:p w14:paraId="5102158C" w14:textId="77777777" w:rsidR="005072F5" w:rsidRPr="000E08AB"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7479" w:type="dxa"/>
          </w:tcPr>
          <w:p w14:paraId="58018894" w14:textId="77777777" w:rsidR="005072F5" w:rsidRDefault="005072F5" w:rsidP="00915390">
            <w:pPr>
              <w:tabs>
                <w:tab w:val="center" w:pos="284"/>
              </w:tabs>
              <w:overflowPunct w:val="0"/>
              <w:autoSpaceDE w:val="0"/>
              <w:autoSpaceDN w:val="0"/>
              <w:adjustRightInd w:val="0"/>
              <w:ind w:left="266" w:hanging="266"/>
              <w:textAlignment w:val="baseline"/>
            </w:pPr>
            <w:r>
              <w:t>Dictamen de iniciativa</w:t>
            </w:r>
          </w:p>
          <w:p w14:paraId="4DE1851C" w14:textId="77777777" w:rsidR="005072F5" w:rsidRPr="000E08AB" w:rsidRDefault="005072F5" w:rsidP="00915390">
            <w:pPr>
              <w:tabs>
                <w:tab w:val="center" w:pos="284"/>
              </w:tabs>
              <w:overflowPunct w:val="0"/>
              <w:autoSpaceDE w:val="0"/>
              <w:autoSpaceDN w:val="0"/>
              <w:adjustRightInd w:val="0"/>
              <w:ind w:left="266" w:hanging="266"/>
              <w:textAlignment w:val="baseline"/>
            </w:pPr>
            <w:r>
              <w:t>EESC-2025-00996-00-00-AC</w:t>
            </w:r>
          </w:p>
        </w:tc>
      </w:tr>
    </w:tbl>
    <w:p w14:paraId="57D05331" w14:textId="77777777" w:rsidR="005072F5" w:rsidRPr="00CC0071" w:rsidRDefault="005072F5" w:rsidP="005072F5">
      <w:pPr>
        <w:tabs>
          <w:tab w:val="center" w:pos="284"/>
        </w:tabs>
        <w:overflowPunct w:val="0"/>
        <w:autoSpaceDE w:val="0"/>
        <w:autoSpaceDN w:val="0"/>
        <w:adjustRightInd w:val="0"/>
        <w:ind w:left="266" w:hanging="266"/>
        <w:textAlignment w:val="baseline"/>
        <w:rPr>
          <w:sz w:val="14"/>
          <w:szCs w:val="14"/>
          <w:lang w:val="en-GB"/>
        </w:rPr>
      </w:pPr>
    </w:p>
    <w:p w14:paraId="6E146BD2" w14:textId="77777777" w:rsidR="005072F5" w:rsidRPr="000E08AB"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20793C25" w14:textId="77777777" w:rsidR="005072F5" w:rsidRPr="00CC0071" w:rsidRDefault="005072F5" w:rsidP="005072F5">
      <w:pPr>
        <w:keepNext/>
        <w:keepLines/>
        <w:tabs>
          <w:tab w:val="center" w:pos="284"/>
        </w:tabs>
        <w:overflowPunct w:val="0"/>
        <w:autoSpaceDE w:val="0"/>
        <w:autoSpaceDN w:val="0"/>
        <w:adjustRightInd w:val="0"/>
        <w:ind w:left="266" w:hanging="266"/>
        <w:textAlignment w:val="baseline"/>
        <w:rPr>
          <w:b/>
          <w:sz w:val="14"/>
          <w:szCs w:val="14"/>
          <w:lang w:val="en-GB"/>
        </w:rPr>
      </w:pPr>
    </w:p>
    <w:p w14:paraId="66051DCC" w14:textId="77777777" w:rsidR="005072F5" w:rsidRDefault="005072F5" w:rsidP="005072F5">
      <w:pPr>
        <w:overflowPunct w:val="0"/>
        <w:autoSpaceDE w:val="0"/>
        <w:autoSpaceDN w:val="0"/>
        <w:adjustRightInd w:val="0"/>
        <w:textAlignment w:val="baseline"/>
      </w:pPr>
      <w:r>
        <w:t>El CESE:</w:t>
      </w:r>
    </w:p>
    <w:p w14:paraId="6D550A73" w14:textId="77777777" w:rsidR="005072F5" w:rsidRPr="00CC0071" w:rsidRDefault="005072F5" w:rsidP="005072F5">
      <w:pPr>
        <w:overflowPunct w:val="0"/>
        <w:autoSpaceDE w:val="0"/>
        <w:autoSpaceDN w:val="0"/>
        <w:adjustRightInd w:val="0"/>
        <w:textAlignment w:val="baseline"/>
        <w:rPr>
          <w:bCs/>
          <w:iCs/>
          <w:sz w:val="14"/>
          <w:szCs w:val="14"/>
        </w:rPr>
      </w:pPr>
    </w:p>
    <w:p w14:paraId="727EDAD4" w14:textId="77777777" w:rsidR="005072F5" w:rsidRPr="000E08AB" w:rsidRDefault="005072F5" w:rsidP="005072F5">
      <w:pPr>
        <w:widowControl w:val="0"/>
        <w:numPr>
          <w:ilvl w:val="0"/>
          <w:numId w:val="79"/>
        </w:numPr>
        <w:overflowPunct w:val="0"/>
        <w:autoSpaceDE w:val="0"/>
        <w:autoSpaceDN w:val="0"/>
        <w:adjustRightInd w:val="0"/>
        <w:spacing w:line="264" w:lineRule="auto"/>
        <w:ind w:left="425" w:hanging="425"/>
        <w:textAlignment w:val="baseline"/>
        <w:rPr>
          <w:bCs/>
          <w:iCs/>
        </w:rPr>
      </w:pPr>
      <w:r>
        <w:t xml:space="preserve">reitera su petición de que </w:t>
      </w:r>
      <w:r>
        <w:rPr>
          <w:b/>
        </w:rPr>
        <w:t>se revise la estrategia europea para la industria, a fin de incorporar en ella de manera expresa cuestiones relacionadas con el agua</w:t>
      </w:r>
      <w:r>
        <w:t xml:space="preserve"> y considerar el agua como un elemento esencial de la estrategia industrial de la UE;</w:t>
      </w:r>
    </w:p>
    <w:p w14:paraId="079DFD5E" w14:textId="77777777" w:rsidR="005072F5" w:rsidRPr="000E08AB" w:rsidRDefault="005072F5" w:rsidP="005072F5">
      <w:pPr>
        <w:widowControl w:val="0"/>
        <w:numPr>
          <w:ilvl w:val="0"/>
          <w:numId w:val="79"/>
        </w:numPr>
        <w:overflowPunct w:val="0"/>
        <w:autoSpaceDE w:val="0"/>
        <w:autoSpaceDN w:val="0"/>
        <w:adjustRightInd w:val="0"/>
        <w:spacing w:line="264" w:lineRule="auto"/>
        <w:ind w:left="425" w:hanging="425"/>
        <w:textAlignment w:val="baseline"/>
        <w:rPr>
          <w:bCs/>
          <w:iCs/>
        </w:rPr>
      </w:pPr>
      <w:r>
        <w:t xml:space="preserve">pide a las instituciones de la UE que </w:t>
      </w:r>
      <w:r>
        <w:rPr>
          <w:b/>
        </w:rPr>
        <w:t>doten de una mayor coherencia a la política de aguas</w:t>
      </w:r>
      <w:r>
        <w:t xml:space="preserve"> y </w:t>
      </w:r>
      <w:r>
        <w:rPr>
          <w:b/>
        </w:rPr>
        <w:t>tengan en cuenta el nexo agua-energía en la gestión de los recursos hídricos</w:t>
      </w:r>
      <w:r>
        <w:t xml:space="preserve"> para reflejar la demanda de agua de la industria;</w:t>
      </w:r>
    </w:p>
    <w:p w14:paraId="530DA67C" w14:textId="77777777" w:rsidR="005072F5" w:rsidRPr="000E08AB" w:rsidRDefault="005072F5" w:rsidP="005072F5">
      <w:pPr>
        <w:widowControl w:val="0"/>
        <w:numPr>
          <w:ilvl w:val="0"/>
          <w:numId w:val="79"/>
        </w:numPr>
        <w:overflowPunct w:val="0"/>
        <w:autoSpaceDE w:val="0"/>
        <w:autoSpaceDN w:val="0"/>
        <w:adjustRightInd w:val="0"/>
        <w:spacing w:line="264" w:lineRule="auto"/>
        <w:ind w:left="425" w:hanging="425"/>
        <w:textAlignment w:val="baseline"/>
        <w:rPr>
          <w:bCs/>
          <w:iCs/>
        </w:rPr>
      </w:pPr>
      <w:r>
        <w:t xml:space="preserve">señala que la descarbonización puede trasladar las presiones medioambientales a los sistemas locales de suministro de agua, y recomienda </w:t>
      </w:r>
      <w:r>
        <w:rPr>
          <w:b/>
        </w:rPr>
        <w:t>elaborar políticas específicas que atajen la escasez de agua en las zonas industrializadas y en las zonas de estrés hídrico</w:t>
      </w:r>
      <w:r>
        <w:t xml:space="preserve">, promoviendo </w:t>
      </w:r>
      <w:r>
        <w:rPr>
          <w:b/>
        </w:rPr>
        <w:t>métodos alternativos de tratamiento y reutilización del agua</w:t>
      </w:r>
      <w:r>
        <w:t xml:space="preserve"> para garantizar el cumplimiento de la Directiva marco sobre el agua;</w:t>
      </w:r>
    </w:p>
    <w:p w14:paraId="4DB8CABF" w14:textId="77777777" w:rsidR="005072F5" w:rsidRPr="000E08AB" w:rsidRDefault="005072F5" w:rsidP="005072F5">
      <w:pPr>
        <w:widowControl w:val="0"/>
        <w:numPr>
          <w:ilvl w:val="0"/>
          <w:numId w:val="79"/>
        </w:numPr>
        <w:overflowPunct w:val="0"/>
        <w:autoSpaceDE w:val="0"/>
        <w:autoSpaceDN w:val="0"/>
        <w:adjustRightInd w:val="0"/>
        <w:spacing w:line="264" w:lineRule="auto"/>
        <w:ind w:left="425" w:hanging="425"/>
        <w:textAlignment w:val="baseline"/>
        <w:rPr>
          <w:bCs/>
          <w:iCs/>
        </w:rPr>
      </w:pPr>
      <w:r>
        <w:t xml:space="preserve">pide a la UE que haga del </w:t>
      </w:r>
      <w:r>
        <w:rPr>
          <w:b/>
        </w:rPr>
        <w:t>agua una prioridad estratégica en el próximo marco financiero plurianual</w:t>
      </w:r>
      <w:r>
        <w:t>;</w:t>
      </w:r>
    </w:p>
    <w:p w14:paraId="4546EA36" w14:textId="77777777" w:rsidR="005072F5" w:rsidRPr="000E08AB" w:rsidRDefault="005072F5" w:rsidP="005072F5">
      <w:pPr>
        <w:widowControl w:val="0"/>
        <w:numPr>
          <w:ilvl w:val="0"/>
          <w:numId w:val="79"/>
        </w:numPr>
        <w:overflowPunct w:val="0"/>
        <w:autoSpaceDE w:val="0"/>
        <w:autoSpaceDN w:val="0"/>
        <w:adjustRightInd w:val="0"/>
        <w:spacing w:line="264" w:lineRule="auto"/>
        <w:ind w:left="425" w:hanging="425"/>
        <w:textAlignment w:val="baseline"/>
        <w:rPr>
          <w:bCs/>
          <w:iCs/>
        </w:rPr>
      </w:pPr>
      <w:r>
        <w:t xml:space="preserve">recomienda </w:t>
      </w:r>
      <w:r>
        <w:rPr>
          <w:b/>
        </w:rPr>
        <w:t>prestar más apoyo político y financiero a las tecnologías de descarbonización eficientes en el uso del agua</w:t>
      </w:r>
      <w:r>
        <w:t xml:space="preserve">, por ejemplo a través de los proyectos importantes de interés común europeo y Horizonte Europa, e introducir </w:t>
      </w:r>
      <w:r>
        <w:rPr>
          <w:b/>
        </w:rPr>
        <w:t>incentivos financieros</w:t>
      </w:r>
      <w:r>
        <w:t xml:space="preserve"> o subvenciones para las industrias que adopten esa clase de tecnologías;</w:t>
      </w:r>
    </w:p>
    <w:p w14:paraId="4C93F7E0" w14:textId="77777777" w:rsidR="005072F5" w:rsidRPr="000E08AB" w:rsidRDefault="005072F5" w:rsidP="005072F5">
      <w:pPr>
        <w:widowControl w:val="0"/>
        <w:numPr>
          <w:ilvl w:val="0"/>
          <w:numId w:val="79"/>
        </w:numPr>
        <w:overflowPunct w:val="0"/>
        <w:autoSpaceDE w:val="0"/>
        <w:autoSpaceDN w:val="0"/>
        <w:adjustRightInd w:val="0"/>
        <w:spacing w:line="264" w:lineRule="auto"/>
        <w:ind w:left="425" w:hanging="425"/>
        <w:textAlignment w:val="baseline"/>
        <w:rPr>
          <w:bCs/>
          <w:iCs/>
        </w:rPr>
      </w:pPr>
      <w:r>
        <w:t xml:space="preserve">pide a la industria que dé prioridad a modelos y algoritmos de aprendizaje </w:t>
      </w:r>
      <w:r>
        <w:rPr>
          <w:b/>
        </w:rPr>
        <w:t>impulsados por inteligencia artificial menos intensivos en el consumo de energía</w:t>
      </w:r>
      <w:r>
        <w:t xml:space="preserve">, que utilice energías renovables que consuman menos energía y agua —como la solar o la eólica— para alimentar los centros de datos, que </w:t>
      </w:r>
      <w:r>
        <w:rPr>
          <w:b/>
        </w:rPr>
        <w:t>erija centros en regiones no expuestas al riesgo de sufrir escasez de agua</w:t>
      </w:r>
      <w:r>
        <w:t xml:space="preserve"> y que tenga en cuenta las necesidades de otros sectores de actividad;</w:t>
      </w:r>
    </w:p>
    <w:p w14:paraId="6399398B" w14:textId="77777777" w:rsidR="005072F5" w:rsidRPr="000E08AB" w:rsidRDefault="005072F5" w:rsidP="005072F5">
      <w:pPr>
        <w:widowControl w:val="0"/>
        <w:numPr>
          <w:ilvl w:val="0"/>
          <w:numId w:val="79"/>
        </w:numPr>
        <w:overflowPunct w:val="0"/>
        <w:autoSpaceDE w:val="0"/>
        <w:autoSpaceDN w:val="0"/>
        <w:adjustRightInd w:val="0"/>
        <w:spacing w:line="264" w:lineRule="auto"/>
        <w:ind w:left="425" w:hanging="425"/>
        <w:textAlignment w:val="baseline"/>
        <w:rPr>
          <w:bCs/>
          <w:iCs/>
        </w:rPr>
      </w:pPr>
      <w:r>
        <w:t xml:space="preserve">recomienda </w:t>
      </w:r>
      <w:r>
        <w:rPr>
          <w:b/>
        </w:rPr>
        <w:t>mejorar la interoperabilidad y la fiabilidad de los datos sobre los recursos hídricos</w:t>
      </w:r>
      <w:r>
        <w:t xml:space="preserve">, estableciendo </w:t>
      </w:r>
      <w:r>
        <w:rPr>
          <w:b/>
        </w:rPr>
        <w:t>normas comunes de recopilación, almacenamiento e intercambio de datos</w:t>
      </w:r>
      <w:r>
        <w:t xml:space="preserve"> y animando a las empresas tecnológicas y digitales a aumentar la transparencia de esos datos, en particular en lo que respecta a sus fuentes y volúmenes, las operaciones de valorización de residuos y las auditorías;</w:t>
      </w:r>
    </w:p>
    <w:p w14:paraId="08417C4A" w14:textId="77777777" w:rsidR="005072F5" w:rsidRPr="000E08AB" w:rsidRDefault="005072F5" w:rsidP="005072F5">
      <w:pPr>
        <w:widowControl w:val="0"/>
        <w:numPr>
          <w:ilvl w:val="0"/>
          <w:numId w:val="79"/>
        </w:numPr>
        <w:overflowPunct w:val="0"/>
        <w:autoSpaceDE w:val="0"/>
        <w:autoSpaceDN w:val="0"/>
        <w:adjustRightInd w:val="0"/>
        <w:spacing w:line="264" w:lineRule="auto"/>
        <w:ind w:left="425" w:hanging="425"/>
        <w:textAlignment w:val="baseline"/>
        <w:rPr>
          <w:bCs/>
          <w:iCs/>
        </w:rPr>
      </w:pPr>
      <w:r>
        <w:t xml:space="preserve">pide que </w:t>
      </w:r>
      <w:r>
        <w:rPr>
          <w:b/>
        </w:rPr>
        <w:t>se invierta en infraestructuras</w:t>
      </w:r>
      <w:r>
        <w:t xml:space="preserve"> para mejorar la </w:t>
      </w:r>
      <w:r>
        <w:rPr>
          <w:b/>
        </w:rPr>
        <w:t>cadena de suministro del agua</w:t>
      </w:r>
      <w:r>
        <w:t xml:space="preserve">, </w:t>
      </w:r>
      <w:r>
        <w:rPr>
          <w:b/>
        </w:rPr>
        <w:t>interconectar</w:t>
      </w:r>
      <w:r>
        <w:t xml:space="preserve"> las </w:t>
      </w:r>
      <w:r>
        <w:rPr>
          <w:b/>
        </w:rPr>
        <w:t>cuencas hidrográficas</w:t>
      </w:r>
      <w:r>
        <w:t xml:space="preserve"> europeas y reforzar las medidas de </w:t>
      </w:r>
      <w:r>
        <w:rPr>
          <w:b/>
        </w:rPr>
        <w:t>ciberseguridad</w:t>
      </w:r>
      <w:r>
        <w:t>;</w:t>
      </w:r>
    </w:p>
    <w:p w14:paraId="5349E0D9" w14:textId="77777777" w:rsidR="005072F5" w:rsidRPr="000E08AB" w:rsidRDefault="005072F5" w:rsidP="005072F5">
      <w:pPr>
        <w:widowControl w:val="0"/>
        <w:numPr>
          <w:ilvl w:val="0"/>
          <w:numId w:val="79"/>
        </w:numPr>
        <w:overflowPunct w:val="0"/>
        <w:autoSpaceDE w:val="0"/>
        <w:autoSpaceDN w:val="0"/>
        <w:adjustRightInd w:val="0"/>
        <w:spacing w:line="264" w:lineRule="auto"/>
        <w:ind w:left="425" w:hanging="425"/>
        <w:textAlignment w:val="baseline"/>
        <w:rPr>
          <w:bCs/>
          <w:iCs/>
        </w:rPr>
      </w:pPr>
      <w:r>
        <w:t xml:space="preserve">fomenta un </w:t>
      </w:r>
      <w:r>
        <w:rPr>
          <w:b/>
        </w:rPr>
        <w:t>diálogo social en materia de acceso a los recursos hídricos y su gestión</w:t>
      </w:r>
      <w:r>
        <w:t xml:space="preserve"> a lo largo de toda la cadena hídrica y la </w:t>
      </w:r>
      <w:r>
        <w:rPr>
          <w:b/>
        </w:rPr>
        <w:t>creación de programas de formación en materia de gestión y uso sostenible de los recursos hídricos</w:t>
      </w:r>
      <w:r>
        <w:t>, control de inundaciones y gestión de sequías, sobre todo en los ámbitos de la educación superior y de la educación y formación profesionales.</w:t>
      </w:r>
    </w:p>
    <w:p w14:paraId="5443C6FD" w14:textId="77777777" w:rsidR="005072F5" w:rsidRPr="00CC0071" w:rsidRDefault="005072F5" w:rsidP="005072F5">
      <w:pPr>
        <w:widowControl w:val="0"/>
        <w:overflowPunct w:val="0"/>
        <w:autoSpaceDE w:val="0"/>
        <w:autoSpaceDN w:val="0"/>
        <w:adjustRightInd w:val="0"/>
        <w:ind w:left="709"/>
        <w:textAlignment w:val="baseline"/>
        <w:rPr>
          <w:sz w:val="14"/>
          <w:szCs w:val="14"/>
          <w:lang w:val="en-GB"/>
        </w:rPr>
      </w:pPr>
    </w:p>
    <w:tbl>
      <w:tblPr>
        <w:tblW w:w="9322" w:type="dxa"/>
        <w:tblLook w:val="04A0" w:firstRow="1" w:lastRow="0" w:firstColumn="1" w:lastColumn="0" w:noHBand="0" w:noVBand="1"/>
      </w:tblPr>
      <w:tblGrid>
        <w:gridCol w:w="2235"/>
        <w:gridCol w:w="7087"/>
      </w:tblGrid>
      <w:tr w:rsidR="005072F5" w:rsidRPr="000E08AB" w14:paraId="0E511B78" w14:textId="77777777" w:rsidTr="00915390">
        <w:tc>
          <w:tcPr>
            <w:tcW w:w="2235" w:type="dxa"/>
          </w:tcPr>
          <w:p w14:paraId="4735AFCD" w14:textId="77777777" w:rsidR="005072F5" w:rsidRPr="000E08AB" w:rsidRDefault="005072F5" w:rsidP="00915390">
            <w:pPr>
              <w:overflowPunct w:val="0"/>
              <w:autoSpaceDE w:val="0"/>
              <w:autoSpaceDN w:val="0"/>
              <w:adjustRightInd w:val="0"/>
              <w:textAlignment w:val="baseline"/>
              <w:rPr>
                <w:i/>
              </w:rPr>
            </w:pPr>
            <w:r>
              <w:rPr>
                <w:b/>
                <w:i/>
              </w:rPr>
              <w:t>Contacto:</w:t>
            </w:r>
          </w:p>
        </w:tc>
        <w:tc>
          <w:tcPr>
            <w:tcW w:w="7087" w:type="dxa"/>
          </w:tcPr>
          <w:p w14:paraId="71A627C8" w14:textId="77777777" w:rsidR="005072F5" w:rsidRPr="000E08AB" w:rsidRDefault="005072F5" w:rsidP="00915390">
            <w:pPr>
              <w:overflowPunct w:val="0"/>
              <w:autoSpaceDE w:val="0"/>
              <w:autoSpaceDN w:val="0"/>
              <w:adjustRightInd w:val="0"/>
              <w:textAlignment w:val="baseline"/>
              <w:rPr>
                <w:i/>
              </w:rPr>
            </w:pPr>
            <w:r>
              <w:rPr>
                <w:i/>
              </w:rPr>
              <w:t>Heli Niemelä-Farrer</w:t>
            </w:r>
          </w:p>
        </w:tc>
      </w:tr>
      <w:tr w:rsidR="005072F5" w:rsidRPr="000E08AB" w14:paraId="5CFE2214" w14:textId="77777777" w:rsidTr="00915390">
        <w:tc>
          <w:tcPr>
            <w:tcW w:w="2235" w:type="dxa"/>
          </w:tcPr>
          <w:p w14:paraId="58978F27" w14:textId="77777777" w:rsidR="005072F5" w:rsidRPr="000E08AB" w:rsidRDefault="005072F5" w:rsidP="00915390">
            <w:pPr>
              <w:overflowPunct w:val="0"/>
              <w:autoSpaceDE w:val="0"/>
              <w:autoSpaceDN w:val="0"/>
              <w:adjustRightInd w:val="0"/>
              <w:textAlignment w:val="baseline"/>
              <w:rPr>
                <w:i/>
              </w:rPr>
            </w:pPr>
            <w:r>
              <w:rPr>
                <w:i/>
              </w:rPr>
              <w:t>Teléfono:</w:t>
            </w:r>
          </w:p>
        </w:tc>
        <w:tc>
          <w:tcPr>
            <w:tcW w:w="7087" w:type="dxa"/>
          </w:tcPr>
          <w:p w14:paraId="495BACB9" w14:textId="77777777" w:rsidR="005072F5" w:rsidRPr="000E08AB" w:rsidRDefault="005072F5" w:rsidP="00915390">
            <w:pPr>
              <w:overflowPunct w:val="0"/>
              <w:autoSpaceDE w:val="0"/>
              <w:autoSpaceDN w:val="0"/>
              <w:adjustRightInd w:val="0"/>
              <w:textAlignment w:val="baseline"/>
              <w:rPr>
                <w:i/>
              </w:rPr>
            </w:pPr>
            <w:r>
              <w:rPr>
                <w:i/>
              </w:rPr>
              <w:t>+32 2 282 2464</w:t>
            </w:r>
          </w:p>
        </w:tc>
      </w:tr>
      <w:tr w:rsidR="005072F5" w:rsidRPr="000E08AB" w14:paraId="5F807A56" w14:textId="77777777" w:rsidTr="00915390">
        <w:tc>
          <w:tcPr>
            <w:tcW w:w="2235" w:type="dxa"/>
          </w:tcPr>
          <w:p w14:paraId="1C6E302F" w14:textId="77777777" w:rsidR="005072F5" w:rsidRPr="000E08AB" w:rsidRDefault="005072F5" w:rsidP="00915390">
            <w:pPr>
              <w:overflowPunct w:val="0"/>
              <w:autoSpaceDE w:val="0"/>
              <w:autoSpaceDN w:val="0"/>
              <w:adjustRightInd w:val="0"/>
              <w:textAlignment w:val="baseline"/>
              <w:rPr>
                <w:i/>
              </w:rPr>
            </w:pPr>
            <w:r>
              <w:rPr>
                <w:i/>
              </w:rPr>
              <w:t>Correo electrónico:</w:t>
            </w:r>
          </w:p>
        </w:tc>
        <w:tc>
          <w:tcPr>
            <w:tcW w:w="7087" w:type="dxa"/>
          </w:tcPr>
          <w:p w14:paraId="4A3B4986" w14:textId="77777777" w:rsidR="005072F5" w:rsidRPr="000E08AB" w:rsidRDefault="005072F5" w:rsidP="00915390">
            <w:pPr>
              <w:overflowPunct w:val="0"/>
              <w:autoSpaceDE w:val="0"/>
              <w:autoSpaceDN w:val="0"/>
              <w:adjustRightInd w:val="0"/>
              <w:textAlignment w:val="baseline"/>
              <w:rPr>
                <w:i/>
              </w:rPr>
            </w:pPr>
            <w:hyperlink r:id="rId104" w:history="1">
              <w:r>
                <w:rPr>
                  <w:rStyle w:val="Hyperlink"/>
                  <w:i/>
                </w:rPr>
                <w:t>Heli.Niemela-Farrer@eesc.europa.eu</w:t>
              </w:r>
            </w:hyperlink>
          </w:p>
        </w:tc>
      </w:tr>
    </w:tbl>
    <w:p w14:paraId="5EE21B38" w14:textId="77777777" w:rsidR="005072F5" w:rsidRDefault="005072F5" w:rsidP="005072F5">
      <w:pPr>
        <w:jc w:val="left"/>
      </w:pPr>
    </w:p>
    <w:p w14:paraId="233B155A" w14:textId="77777777" w:rsidR="005072F5" w:rsidRPr="00EA2195" w:rsidRDefault="005072F5" w:rsidP="005072F5">
      <w:pPr>
        <w:keepNext/>
        <w:keepLines/>
        <w:numPr>
          <w:ilvl w:val="0"/>
          <w:numId w:val="27"/>
        </w:numPr>
        <w:overflowPunct w:val="0"/>
        <w:autoSpaceDE w:val="0"/>
        <w:autoSpaceDN w:val="0"/>
        <w:adjustRightInd w:val="0"/>
        <w:ind w:left="567" w:hanging="567"/>
        <w:contextualSpacing/>
        <w:jc w:val="left"/>
        <w:textAlignment w:val="baseline"/>
        <w:rPr>
          <w:b/>
          <w:bCs/>
          <w:i/>
          <w:iCs/>
          <w:sz w:val="28"/>
          <w:szCs w:val="28"/>
        </w:rPr>
      </w:pPr>
      <w:hyperlink r:id="rId105" w:history="1">
        <w:r>
          <w:rPr>
            <w:b/>
            <w:i/>
            <w:color w:val="0000FF"/>
            <w:sz w:val="28"/>
            <w:u w:val="single"/>
          </w:rPr>
          <w:t>Plan de Acción de la UE para el Acero y los Metales</w:t>
        </w:r>
      </w:hyperlink>
    </w:p>
    <w:p w14:paraId="2CAEE7A7" w14:textId="77777777" w:rsidR="005072F5" w:rsidRPr="007E5029" w:rsidRDefault="005072F5" w:rsidP="005072F5">
      <w:pPr>
        <w:keepNext/>
        <w:keepLines/>
        <w:overflowPunct w:val="0"/>
        <w:autoSpaceDE w:val="0"/>
        <w:autoSpaceDN w:val="0"/>
        <w:adjustRightInd w:val="0"/>
        <w:ind w:left="360"/>
        <w:contextualSpacing/>
        <w:jc w:val="left"/>
        <w:textAlignment w:val="baseline"/>
      </w:pPr>
    </w:p>
    <w:tbl>
      <w:tblPr>
        <w:tblW w:w="0" w:type="auto"/>
        <w:tblLook w:val="04A0" w:firstRow="1" w:lastRow="0" w:firstColumn="1" w:lastColumn="0" w:noHBand="0" w:noVBand="1"/>
      </w:tblPr>
      <w:tblGrid>
        <w:gridCol w:w="1701"/>
        <w:gridCol w:w="7621"/>
      </w:tblGrid>
      <w:tr w:rsidR="005072F5" w:rsidRPr="00D530A4" w14:paraId="1DB3AE4B" w14:textId="77777777" w:rsidTr="00915390">
        <w:tc>
          <w:tcPr>
            <w:tcW w:w="1701" w:type="dxa"/>
          </w:tcPr>
          <w:p w14:paraId="4CF9AFDC" w14:textId="77777777" w:rsidR="005072F5" w:rsidRPr="00D530A4"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621" w:type="dxa"/>
          </w:tcPr>
          <w:p w14:paraId="21DC5B9F" w14:textId="77777777" w:rsidR="005072F5" w:rsidRPr="00D530A4" w:rsidRDefault="005072F5" w:rsidP="00915390">
            <w:pPr>
              <w:tabs>
                <w:tab w:val="center" w:pos="284"/>
              </w:tabs>
              <w:overflowPunct w:val="0"/>
              <w:autoSpaceDE w:val="0"/>
              <w:autoSpaceDN w:val="0"/>
              <w:adjustRightInd w:val="0"/>
              <w:ind w:left="266" w:hanging="266"/>
              <w:textAlignment w:val="baseline"/>
            </w:pPr>
            <w:r>
              <w:t>Anastasis YIAPANIS (Grupo de Organizaciones de la Sociedad Civil – CY)</w:t>
            </w:r>
          </w:p>
        </w:tc>
      </w:tr>
      <w:tr w:rsidR="005072F5" w:rsidRPr="00D530A4" w14:paraId="0B0663E2" w14:textId="77777777" w:rsidTr="00915390">
        <w:tc>
          <w:tcPr>
            <w:tcW w:w="1701" w:type="dxa"/>
          </w:tcPr>
          <w:p w14:paraId="11322A52" w14:textId="77777777" w:rsidR="005072F5" w:rsidRPr="00D530A4"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7621" w:type="dxa"/>
          </w:tcPr>
          <w:p w14:paraId="4C8E52AC" w14:textId="77777777" w:rsidR="005072F5" w:rsidRPr="00D530A4" w:rsidRDefault="005072F5" w:rsidP="00915390">
            <w:pPr>
              <w:tabs>
                <w:tab w:val="center" w:pos="284"/>
              </w:tabs>
              <w:overflowPunct w:val="0"/>
              <w:autoSpaceDE w:val="0"/>
              <w:autoSpaceDN w:val="0"/>
              <w:adjustRightInd w:val="0"/>
              <w:ind w:left="266" w:hanging="266"/>
              <w:textAlignment w:val="baseline"/>
            </w:pPr>
            <w:r>
              <w:t>Michal PINTÉR (Cat. 1 – SK)</w:t>
            </w:r>
          </w:p>
        </w:tc>
      </w:tr>
      <w:tr w:rsidR="005072F5" w:rsidRPr="00087763" w14:paraId="373027BA" w14:textId="77777777" w:rsidTr="00915390">
        <w:tc>
          <w:tcPr>
            <w:tcW w:w="1701" w:type="dxa"/>
          </w:tcPr>
          <w:p w14:paraId="0F328EF3" w14:textId="77777777" w:rsidR="005072F5" w:rsidRPr="00D530A4" w:rsidRDefault="005072F5" w:rsidP="00915390">
            <w:pPr>
              <w:tabs>
                <w:tab w:val="center" w:pos="284"/>
              </w:tabs>
              <w:overflowPunct w:val="0"/>
              <w:autoSpaceDE w:val="0"/>
              <w:autoSpaceDN w:val="0"/>
              <w:adjustRightInd w:val="0"/>
              <w:ind w:left="266" w:hanging="266"/>
              <w:textAlignment w:val="baseline"/>
              <w:rPr>
                <w:b/>
              </w:rPr>
            </w:pPr>
            <w:r>
              <w:rPr>
                <w:b/>
              </w:rPr>
              <w:t>Referencias</w:t>
            </w:r>
          </w:p>
        </w:tc>
        <w:tc>
          <w:tcPr>
            <w:tcW w:w="7621" w:type="dxa"/>
          </w:tcPr>
          <w:p w14:paraId="21A2BC72" w14:textId="77777777" w:rsidR="005072F5" w:rsidRPr="00EA2195" w:rsidRDefault="005072F5" w:rsidP="00915390">
            <w:pPr>
              <w:tabs>
                <w:tab w:val="center" w:pos="284"/>
              </w:tabs>
              <w:overflowPunct w:val="0"/>
              <w:autoSpaceDE w:val="0"/>
              <w:autoSpaceDN w:val="0"/>
              <w:adjustRightInd w:val="0"/>
              <w:ind w:left="266" w:hanging="266"/>
              <w:textAlignment w:val="baseline"/>
            </w:pPr>
            <w:r>
              <w:t>COM(2025) 125 final</w:t>
            </w:r>
          </w:p>
          <w:p w14:paraId="7B2435C8" w14:textId="77777777" w:rsidR="005072F5" w:rsidRPr="00EA2195" w:rsidRDefault="005072F5" w:rsidP="00915390">
            <w:pPr>
              <w:tabs>
                <w:tab w:val="center" w:pos="284"/>
              </w:tabs>
              <w:overflowPunct w:val="0"/>
              <w:autoSpaceDE w:val="0"/>
              <w:autoSpaceDN w:val="0"/>
              <w:adjustRightInd w:val="0"/>
              <w:ind w:left="266" w:hanging="266"/>
              <w:textAlignment w:val="baseline"/>
            </w:pPr>
            <w:r>
              <w:t>EESC-2025-01425-00-00-AC</w:t>
            </w:r>
          </w:p>
        </w:tc>
      </w:tr>
    </w:tbl>
    <w:p w14:paraId="4D70DDF7" w14:textId="77777777" w:rsidR="005072F5" w:rsidRDefault="005072F5" w:rsidP="005072F5">
      <w:pPr>
        <w:tabs>
          <w:tab w:val="center" w:pos="284"/>
        </w:tabs>
        <w:overflowPunct w:val="0"/>
        <w:autoSpaceDE w:val="0"/>
        <w:autoSpaceDN w:val="0"/>
        <w:adjustRightInd w:val="0"/>
        <w:ind w:left="266" w:hanging="266"/>
        <w:textAlignment w:val="baseline"/>
        <w:rPr>
          <w:b/>
          <w:lang w:val="en-GB"/>
        </w:rPr>
      </w:pPr>
    </w:p>
    <w:p w14:paraId="7E002CEF" w14:textId="77777777" w:rsidR="005072F5" w:rsidRDefault="005072F5" w:rsidP="005072F5">
      <w:pPr>
        <w:tabs>
          <w:tab w:val="center" w:pos="284"/>
        </w:tabs>
        <w:overflowPunct w:val="0"/>
        <w:autoSpaceDE w:val="0"/>
        <w:autoSpaceDN w:val="0"/>
        <w:adjustRightInd w:val="0"/>
        <w:ind w:left="266" w:hanging="266"/>
        <w:textAlignment w:val="baseline"/>
        <w:rPr>
          <w:b/>
        </w:rPr>
      </w:pPr>
      <w:r>
        <w:rPr>
          <w:b/>
        </w:rPr>
        <w:t>Puntos clave</w:t>
      </w:r>
    </w:p>
    <w:p w14:paraId="67C8D5B7" w14:textId="77777777" w:rsidR="005072F5" w:rsidRPr="00D530A4" w:rsidRDefault="005072F5" w:rsidP="005072F5">
      <w:pPr>
        <w:tabs>
          <w:tab w:val="center" w:pos="284"/>
        </w:tabs>
        <w:overflowPunct w:val="0"/>
        <w:autoSpaceDE w:val="0"/>
        <w:autoSpaceDN w:val="0"/>
        <w:adjustRightInd w:val="0"/>
        <w:ind w:left="266" w:hanging="266"/>
        <w:textAlignment w:val="baseline"/>
        <w:rPr>
          <w:b/>
          <w:lang w:val="en-GB"/>
        </w:rPr>
      </w:pPr>
    </w:p>
    <w:p w14:paraId="1EBBC84A" w14:textId="77777777" w:rsidR="005072F5" w:rsidRDefault="005072F5" w:rsidP="005072F5">
      <w:pPr>
        <w:pStyle w:val="ListParagraph"/>
        <w:overflowPunct w:val="0"/>
        <w:autoSpaceDE w:val="0"/>
        <w:autoSpaceDN w:val="0"/>
        <w:adjustRightInd w:val="0"/>
        <w:ind w:left="0"/>
        <w:textAlignment w:val="baseline"/>
      </w:pPr>
      <w:r>
        <w:t>El CESE:</w:t>
      </w:r>
    </w:p>
    <w:p w14:paraId="24FF8D8F" w14:textId="77777777" w:rsidR="005072F5" w:rsidRPr="00061E08" w:rsidRDefault="005072F5" w:rsidP="005072F5">
      <w:pPr>
        <w:pStyle w:val="ListParagraph"/>
        <w:overflowPunct w:val="0"/>
        <w:autoSpaceDE w:val="0"/>
        <w:autoSpaceDN w:val="0"/>
        <w:adjustRightInd w:val="0"/>
        <w:ind w:left="0"/>
        <w:textAlignment w:val="baseline"/>
      </w:pPr>
    </w:p>
    <w:p w14:paraId="7AE67625" w14:textId="77777777" w:rsidR="005072F5" w:rsidRPr="00061E08" w:rsidRDefault="005072F5" w:rsidP="005072F5">
      <w:pPr>
        <w:pStyle w:val="ListParagraph"/>
        <w:numPr>
          <w:ilvl w:val="0"/>
          <w:numId w:val="98"/>
        </w:numPr>
        <w:tabs>
          <w:tab w:val="center" w:pos="284"/>
        </w:tabs>
        <w:overflowPunct w:val="0"/>
        <w:autoSpaceDE w:val="0"/>
        <w:autoSpaceDN w:val="0"/>
        <w:adjustRightInd w:val="0"/>
        <w:ind w:left="284" w:hanging="284"/>
        <w:textAlignment w:val="baseline"/>
      </w:pPr>
      <w:r>
        <w:t>expresa su profunda preocupación por la crisis a la que se enfrenta la industria siderúrgica de la UE y pide medidas urgentes para restablecer la competitividad, proteger el empleo y estimular la inversión en la transición de los sectores afectados;</w:t>
      </w:r>
    </w:p>
    <w:p w14:paraId="764F696A" w14:textId="77777777" w:rsidR="005072F5" w:rsidRPr="00061E08" w:rsidRDefault="005072F5" w:rsidP="005072F5">
      <w:pPr>
        <w:pStyle w:val="ListParagraph"/>
        <w:numPr>
          <w:ilvl w:val="0"/>
          <w:numId w:val="98"/>
        </w:numPr>
        <w:tabs>
          <w:tab w:val="center" w:pos="284"/>
        </w:tabs>
        <w:overflowPunct w:val="0"/>
        <w:autoSpaceDE w:val="0"/>
        <w:autoSpaceDN w:val="0"/>
        <w:adjustRightInd w:val="0"/>
        <w:ind w:left="284" w:hanging="284"/>
        <w:textAlignment w:val="baseline"/>
      </w:pPr>
      <w:r>
        <w:t>aboga por una nueva medida comercial integral que sustituya a la actual salvaguardia del acero antes de que esta expire el 1 de julio de 2026, la cual debería abarcar a todos los países y todos los productos siderúrgicos afectados y emplear contingentes arancelarios vinculados a la cuota de mercado y a la utilización de la capacidad;</w:t>
      </w:r>
    </w:p>
    <w:p w14:paraId="5F8C1100" w14:textId="77777777" w:rsidR="005072F5" w:rsidRPr="00061E08" w:rsidRDefault="005072F5" w:rsidP="005072F5">
      <w:pPr>
        <w:pStyle w:val="ListParagraph"/>
        <w:numPr>
          <w:ilvl w:val="0"/>
          <w:numId w:val="98"/>
        </w:numPr>
        <w:tabs>
          <w:tab w:val="center" w:pos="284"/>
        </w:tabs>
        <w:overflowPunct w:val="0"/>
        <w:autoSpaceDE w:val="0"/>
        <w:autoSpaceDN w:val="0"/>
        <w:adjustRightInd w:val="0"/>
        <w:ind w:left="284" w:hanging="284"/>
        <w:textAlignment w:val="baseline"/>
      </w:pPr>
      <w:r>
        <w:t>pide que se aplique de inmediato una norma de «fundido y vertido» para evitar la elusión y mejorar la trazabilidad del origen del acero, además de una suspensión de la regla del derecho inferior cuando sea necesario;</w:t>
      </w:r>
    </w:p>
    <w:p w14:paraId="1B7512D5" w14:textId="77777777" w:rsidR="005072F5" w:rsidRPr="00061E08" w:rsidRDefault="005072F5" w:rsidP="005072F5">
      <w:pPr>
        <w:pStyle w:val="ListParagraph"/>
        <w:numPr>
          <w:ilvl w:val="0"/>
          <w:numId w:val="98"/>
        </w:numPr>
        <w:tabs>
          <w:tab w:val="center" w:pos="284"/>
        </w:tabs>
        <w:overflowPunct w:val="0"/>
        <w:autoSpaceDE w:val="0"/>
        <w:autoSpaceDN w:val="0"/>
        <w:adjustRightInd w:val="0"/>
        <w:ind w:left="284" w:hanging="284"/>
        <w:textAlignment w:val="baseline"/>
      </w:pPr>
      <w:r>
        <w:t>solicita que se publique un proyecto legislativo para el Mecanismo de Ajuste en Frontera por Carbono (MAFC) que garantice la asignación gratuita de derechos de emisión para las exportaciones a terceros países que carezcan de políticas climáticas equiparables y amplíe el ámbito de aplicación de dicho mecanismo para abarcar sectores transformadores con utilización intensiva de acero;</w:t>
      </w:r>
    </w:p>
    <w:p w14:paraId="75602315" w14:textId="77777777" w:rsidR="005072F5" w:rsidRPr="00061E08" w:rsidRDefault="005072F5" w:rsidP="005072F5">
      <w:pPr>
        <w:pStyle w:val="ListParagraph"/>
        <w:numPr>
          <w:ilvl w:val="0"/>
          <w:numId w:val="98"/>
        </w:numPr>
        <w:tabs>
          <w:tab w:val="center" w:pos="284"/>
        </w:tabs>
        <w:overflowPunct w:val="0"/>
        <w:autoSpaceDE w:val="0"/>
        <w:autoSpaceDN w:val="0"/>
        <w:adjustRightInd w:val="0"/>
        <w:ind w:left="284" w:hanging="284"/>
        <w:textAlignment w:val="baseline"/>
      </w:pPr>
      <w:r>
        <w:t>apoya que se adopte con rapidez la propuesta ómnibus I para proteger a las pymes del exceso de cargas administrativas y de costes en el marco del MAFC sin socavar los objetivos medioambientales o sociales;</w:t>
      </w:r>
    </w:p>
    <w:p w14:paraId="042ED531" w14:textId="77777777" w:rsidR="005072F5" w:rsidRPr="00061E08" w:rsidRDefault="005072F5" w:rsidP="005072F5">
      <w:pPr>
        <w:pStyle w:val="ListParagraph"/>
        <w:numPr>
          <w:ilvl w:val="0"/>
          <w:numId w:val="98"/>
        </w:numPr>
        <w:tabs>
          <w:tab w:val="center" w:pos="284"/>
        </w:tabs>
        <w:overflowPunct w:val="0"/>
        <w:autoSpaceDE w:val="0"/>
        <w:autoSpaceDN w:val="0"/>
        <w:adjustRightInd w:val="0"/>
        <w:ind w:left="284" w:hanging="284"/>
        <w:textAlignment w:val="baseline"/>
      </w:pPr>
      <w:r>
        <w:t>pide a la Comisión Europea que reconozca la importancia estratégica de la chatarra como materia prima secundaria, proponga sistemas de seguimiento para las exportaciones de chatarra, incluya medidas como los derechos de exportación o los contingentes arancelarios, aplique de manera más estricta la normativa contra las exportaciones ilegales e incorpore el reciclado de chatarra a la legislación sobre residuos;</w:t>
      </w:r>
    </w:p>
    <w:p w14:paraId="13B57652" w14:textId="77777777" w:rsidR="005072F5" w:rsidRPr="00061E08" w:rsidRDefault="005072F5" w:rsidP="005072F5">
      <w:pPr>
        <w:pStyle w:val="ListParagraph"/>
        <w:numPr>
          <w:ilvl w:val="0"/>
          <w:numId w:val="98"/>
        </w:numPr>
        <w:tabs>
          <w:tab w:val="center" w:pos="284"/>
        </w:tabs>
        <w:overflowPunct w:val="0"/>
        <w:autoSpaceDE w:val="0"/>
        <w:autoSpaceDN w:val="0"/>
        <w:adjustRightInd w:val="0"/>
        <w:ind w:left="284" w:hanging="284"/>
        <w:textAlignment w:val="baseline"/>
      </w:pPr>
      <w:r>
        <w:t>recomienda una reforma estructural del mercado de la electricidad que incluya evaluaciones de impacto de los diseños alternativos del mercado al objeto de trasladar los beneficios del coste de la electricidad limpia tanto a los consumidores como a la industria;</w:t>
      </w:r>
    </w:p>
    <w:p w14:paraId="3388E023" w14:textId="77777777" w:rsidR="005072F5" w:rsidRPr="00061E08" w:rsidRDefault="005072F5" w:rsidP="005072F5">
      <w:pPr>
        <w:pStyle w:val="ListParagraph"/>
        <w:numPr>
          <w:ilvl w:val="0"/>
          <w:numId w:val="98"/>
        </w:numPr>
        <w:tabs>
          <w:tab w:val="center" w:pos="284"/>
        </w:tabs>
        <w:overflowPunct w:val="0"/>
        <w:autoSpaceDE w:val="0"/>
        <w:autoSpaceDN w:val="0"/>
        <w:adjustRightInd w:val="0"/>
        <w:ind w:left="284" w:hanging="284"/>
        <w:textAlignment w:val="baseline"/>
      </w:pPr>
      <w:r>
        <w:t>pide orientaciones específicas en el marco de las ayudas estatales del Pacto por una Industria Limpia en apoyo de los regímenes de reducción temporal de los precios de la energía para las industrias de gran consumo de energía afectadas por el comercio internacional;</w:t>
      </w:r>
    </w:p>
    <w:p w14:paraId="250B68F9" w14:textId="77777777" w:rsidR="005072F5" w:rsidRPr="00061E08" w:rsidRDefault="005072F5" w:rsidP="005072F5">
      <w:pPr>
        <w:pStyle w:val="ListParagraph"/>
        <w:numPr>
          <w:ilvl w:val="0"/>
          <w:numId w:val="98"/>
        </w:numPr>
        <w:tabs>
          <w:tab w:val="center" w:pos="284"/>
        </w:tabs>
        <w:overflowPunct w:val="0"/>
        <w:autoSpaceDE w:val="0"/>
        <w:autoSpaceDN w:val="0"/>
        <w:adjustRightInd w:val="0"/>
        <w:ind w:left="284" w:hanging="284"/>
        <w:textAlignment w:val="baseline"/>
      </w:pPr>
      <w:r>
        <w:t>hace hincapié en que se dé prioridad al acceso de la industria al hidrógeno mediante la asignación de presupuestos sectoriales en el marco de las futuras subastas del Banco Europeo del Hidrógeno, así como a la revisión del acto delegado sobre el hidrógeno renovable en pro de la producción interna y a la adopción de un acto delegado sobre el hidrógeno hipocarbónico;</w:t>
      </w:r>
    </w:p>
    <w:p w14:paraId="41C6CC28" w14:textId="77777777" w:rsidR="005072F5" w:rsidRPr="00061E08" w:rsidRDefault="005072F5" w:rsidP="005072F5">
      <w:pPr>
        <w:pStyle w:val="ListParagraph"/>
        <w:numPr>
          <w:ilvl w:val="0"/>
          <w:numId w:val="98"/>
        </w:numPr>
        <w:tabs>
          <w:tab w:val="center" w:pos="284"/>
        </w:tabs>
        <w:overflowPunct w:val="0"/>
        <w:autoSpaceDE w:val="0"/>
        <w:autoSpaceDN w:val="0"/>
        <w:adjustRightInd w:val="0"/>
        <w:ind w:left="284" w:hanging="284"/>
        <w:textAlignment w:val="baseline"/>
      </w:pPr>
      <w:r>
        <w:lastRenderedPageBreak/>
        <w:t>insta a que se establezcan criterios que refuercen la resiliencia y sostenibilidad de los productos limpios fabricados en la UE, como parte de la Ley de Aceleración de la Descarbonización Industrial;</w:t>
      </w:r>
    </w:p>
    <w:p w14:paraId="0293011D" w14:textId="77777777" w:rsidR="005072F5" w:rsidRPr="00061E08" w:rsidRDefault="005072F5" w:rsidP="005072F5">
      <w:pPr>
        <w:pStyle w:val="ListParagraph"/>
        <w:numPr>
          <w:ilvl w:val="0"/>
          <w:numId w:val="98"/>
        </w:numPr>
        <w:tabs>
          <w:tab w:val="center" w:pos="284"/>
        </w:tabs>
        <w:overflowPunct w:val="0"/>
        <w:autoSpaceDE w:val="0"/>
        <w:autoSpaceDN w:val="0"/>
        <w:adjustRightInd w:val="0"/>
        <w:ind w:left="284" w:hanging="284"/>
        <w:textAlignment w:val="baseline"/>
      </w:pPr>
      <w:r>
        <w:t>recomienda evaluar las necesidades de inversión de las industrias siderúrgica y metalúrgica y aumentar el apoyo financiero específico, acompañado de condicionalidades sociales, posiblemente empleando los fondos del MAFC y los ingresos del régimen de comercio de derechos de emisión de la UE (RCDE UE) para financiar proyectos de descarbonización industrial, también a través del futuro Banco de Descarbonización Industrial;</w:t>
      </w:r>
    </w:p>
    <w:p w14:paraId="5C9E5C32" w14:textId="77777777" w:rsidR="005072F5" w:rsidRPr="00061E08" w:rsidRDefault="005072F5" w:rsidP="005072F5">
      <w:pPr>
        <w:pStyle w:val="ListParagraph"/>
        <w:numPr>
          <w:ilvl w:val="0"/>
          <w:numId w:val="98"/>
        </w:numPr>
        <w:tabs>
          <w:tab w:val="center" w:pos="284"/>
        </w:tabs>
        <w:overflowPunct w:val="0"/>
        <w:autoSpaceDE w:val="0"/>
        <w:autoSpaceDN w:val="0"/>
        <w:adjustRightInd w:val="0"/>
        <w:ind w:left="284" w:hanging="284"/>
        <w:textAlignment w:val="baseline"/>
      </w:pPr>
      <w:r>
        <w:t>propone la creación de un Fondo de Transición Justa específico para las industrias de gran consumo de energía centrado en programas de reciclaje y perfeccionamiento profesional, así como en el apoyo a la movilidad de los trabajadores.</w:t>
      </w:r>
    </w:p>
    <w:p w14:paraId="4243DFE1" w14:textId="77777777" w:rsidR="005072F5" w:rsidRPr="00D530A4" w:rsidRDefault="005072F5" w:rsidP="005072F5">
      <w:pPr>
        <w:overflowPunct w:val="0"/>
        <w:autoSpaceDE w:val="0"/>
        <w:autoSpaceDN w:val="0"/>
        <w:adjustRightInd w:val="0"/>
        <w:textAlignment w:val="baseline"/>
        <w:rPr>
          <w:sz w:val="18"/>
          <w:szCs w:val="16"/>
          <w:lang w:val="en-GB"/>
        </w:rPr>
      </w:pPr>
    </w:p>
    <w:tbl>
      <w:tblPr>
        <w:tblW w:w="4942" w:type="pct"/>
        <w:tblLook w:val="04A0" w:firstRow="1" w:lastRow="0" w:firstColumn="1" w:lastColumn="0" w:noHBand="0" w:noVBand="1"/>
      </w:tblPr>
      <w:tblGrid>
        <w:gridCol w:w="2064"/>
        <w:gridCol w:w="7258"/>
      </w:tblGrid>
      <w:tr w:rsidR="005072F5" w:rsidRPr="00D530A4" w14:paraId="34C95F7C" w14:textId="77777777" w:rsidTr="00915390">
        <w:tc>
          <w:tcPr>
            <w:tcW w:w="1107" w:type="pct"/>
          </w:tcPr>
          <w:p w14:paraId="40F092EE" w14:textId="77777777" w:rsidR="005072F5" w:rsidRPr="00D530A4" w:rsidRDefault="005072F5" w:rsidP="00915390">
            <w:pPr>
              <w:overflowPunct w:val="0"/>
              <w:autoSpaceDE w:val="0"/>
              <w:autoSpaceDN w:val="0"/>
              <w:adjustRightInd w:val="0"/>
              <w:textAlignment w:val="baseline"/>
              <w:rPr>
                <w:i/>
              </w:rPr>
            </w:pPr>
            <w:r>
              <w:rPr>
                <w:b/>
                <w:i/>
              </w:rPr>
              <w:t>Contacto:</w:t>
            </w:r>
          </w:p>
        </w:tc>
        <w:tc>
          <w:tcPr>
            <w:tcW w:w="3893" w:type="pct"/>
          </w:tcPr>
          <w:p w14:paraId="68418648" w14:textId="77777777" w:rsidR="005072F5" w:rsidRPr="00BD4439" w:rsidRDefault="005072F5" w:rsidP="00915390">
            <w:pPr>
              <w:overflowPunct w:val="0"/>
              <w:autoSpaceDE w:val="0"/>
              <w:autoSpaceDN w:val="0"/>
              <w:adjustRightInd w:val="0"/>
              <w:textAlignment w:val="baseline"/>
              <w:rPr>
                <w:i/>
                <w:iCs/>
              </w:rPr>
            </w:pPr>
            <w:r w:rsidRPr="00BD4439">
              <w:rPr>
                <w:i/>
                <w:iCs/>
              </w:rPr>
              <w:t xml:space="preserve">Adam Dorywalski </w:t>
            </w:r>
          </w:p>
        </w:tc>
      </w:tr>
      <w:tr w:rsidR="005072F5" w:rsidRPr="00D530A4" w14:paraId="01007215" w14:textId="77777777" w:rsidTr="00915390">
        <w:tc>
          <w:tcPr>
            <w:tcW w:w="1107" w:type="pct"/>
          </w:tcPr>
          <w:p w14:paraId="2C60DE08" w14:textId="77777777" w:rsidR="005072F5" w:rsidRPr="00D530A4" w:rsidRDefault="005072F5" w:rsidP="00915390">
            <w:pPr>
              <w:overflowPunct w:val="0"/>
              <w:autoSpaceDE w:val="0"/>
              <w:autoSpaceDN w:val="0"/>
              <w:adjustRightInd w:val="0"/>
              <w:textAlignment w:val="baseline"/>
              <w:rPr>
                <w:i/>
              </w:rPr>
            </w:pPr>
            <w:r>
              <w:rPr>
                <w:i/>
              </w:rPr>
              <w:t>Teléfono:</w:t>
            </w:r>
          </w:p>
        </w:tc>
        <w:tc>
          <w:tcPr>
            <w:tcW w:w="3893" w:type="pct"/>
          </w:tcPr>
          <w:p w14:paraId="1B32A569" w14:textId="77777777" w:rsidR="005072F5" w:rsidRPr="00BD4439" w:rsidRDefault="005072F5" w:rsidP="00915390">
            <w:pPr>
              <w:overflowPunct w:val="0"/>
              <w:autoSpaceDE w:val="0"/>
              <w:autoSpaceDN w:val="0"/>
              <w:adjustRightInd w:val="0"/>
              <w:textAlignment w:val="baseline"/>
              <w:rPr>
                <w:i/>
                <w:iCs/>
              </w:rPr>
            </w:pPr>
            <w:r w:rsidRPr="00BD4439">
              <w:rPr>
                <w:i/>
                <w:iCs/>
              </w:rPr>
              <w:t>+32 2 546 9397</w:t>
            </w:r>
          </w:p>
        </w:tc>
      </w:tr>
      <w:tr w:rsidR="005072F5" w:rsidRPr="00D530A4" w14:paraId="3E2D6174" w14:textId="77777777" w:rsidTr="00915390">
        <w:tc>
          <w:tcPr>
            <w:tcW w:w="1107" w:type="pct"/>
          </w:tcPr>
          <w:p w14:paraId="0925474E" w14:textId="77777777" w:rsidR="005072F5" w:rsidRPr="00D530A4" w:rsidRDefault="005072F5" w:rsidP="00915390">
            <w:pPr>
              <w:overflowPunct w:val="0"/>
              <w:autoSpaceDE w:val="0"/>
              <w:autoSpaceDN w:val="0"/>
              <w:adjustRightInd w:val="0"/>
              <w:textAlignment w:val="baseline"/>
              <w:rPr>
                <w:i/>
              </w:rPr>
            </w:pPr>
            <w:r>
              <w:rPr>
                <w:i/>
              </w:rPr>
              <w:t>Correo electrónico:</w:t>
            </w:r>
          </w:p>
        </w:tc>
        <w:tc>
          <w:tcPr>
            <w:tcW w:w="3893" w:type="pct"/>
          </w:tcPr>
          <w:p w14:paraId="762D2D3D" w14:textId="77777777" w:rsidR="005072F5" w:rsidRPr="00BD4439" w:rsidRDefault="005072F5" w:rsidP="00915390">
            <w:pPr>
              <w:overflowPunct w:val="0"/>
              <w:autoSpaceDE w:val="0"/>
              <w:autoSpaceDN w:val="0"/>
              <w:adjustRightInd w:val="0"/>
              <w:textAlignment w:val="baseline"/>
              <w:rPr>
                <w:i/>
                <w:iCs/>
              </w:rPr>
            </w:pPr>
            <w:hyperlink r:id="rId106" w:history="1">
              <w:r w:rsidRPr="00BD4439">
                <w:rPr>
                  <w:i/>
                  <w:iCs/>
                  <w:color w:val="0000FF"/>
                  <w:u w:val="single"/>
                </w:rPr>
                <w:t>Adam.Dorywalski@eesc.europa.eu</w:t>
              </w:r>
            </w:hyperlink>
          </w:p>
        </w:tc>
      </w:tr>
    </w:tbl>
    <w:p w14:paraId="6E006ABE" w14:textId="77777777" w:rsidR="005072F5" w:rsidRDefault="005072F5" w:rsidP="005072F5">
      <w:pPr>
        <w:keepNext/>
        <w:keepLines/>
        <w:widowControl w:val="0"/>
        <w:overflowPunct w:val="0"/>
        <w:autoSpaceDE w:val="0"/>
        <w:autoSpaceDN w:val="0"/>
        <w:adjustRightInd w:val="0"/>
        <w:ind w:left="567"/>
        <w:contextualSpacing/>
        <w:jc w:val="left"/>
        <w:textAlignment w:val="baseline"/>
      </w:pPr>
    </w:p>
    <w:p w14:paraId="210BDF6E" w14:textId="77777777" w:rsidR="005072F5" w:rsidRDefault="005072F5" w:rsidP="005072F5">
      <w:pPr>
        <w:spacing w:after="160" w:line="259" w:lineRule="auto"/>
        <w:jc w:val="left"/>
      </w:pPr>
      <w:r>
        <w:br w:type="page"/>
      </w:r>
    </w:p>
    <w:p w14:paraId="5F8741B8" w14:textId="77777777" w:rsidR="005072F5" w:rsidRPr="00EA2195" w:rsidRDefault="005072F5" w:rsidP="005072F5">
      <w:pPr>
        <w:keepNext/>
        <w:keepLines/>
        <w:widowControl w:val="0"/>
        <w:numPr>
          <w:ilvl w:val="0"/>
          <w:numId w:val="27"/>
        </w:numPr>
        <w:overflowPunct w:val="0"/>
        <w:autoSpaceDE w:val="0"/>
        <w:autoSpaceDN w:val="0"/>
        <w:adjustRightInd w:val="0"/>
        <w:ind w:left="567" w:hanging="567"/>
        <w:contextualSpacing/>
        <w:jc w:val="left"/>
        <w:textAlignment w:val="baseline"/>
        <w:rPr>
          <w:sz w:val="28"/>
          <w:szCs w:val="28"/>
        </w:rPr>
      </w:pPr>
      <w:hyperlink r:id="rId107" w:history="1">
        <w:r>
          <w:rPr>
            <w:b/>
            <w:i/>
            <w:color w:val="0000FF"/>
            <w:sz w:val="28"/>
            <w:u w:val="single"/>
          </w:rPr>
          <w:t>Elementos constitutivos para reforzar la base manufacturera europea en el ámbito de las tecnologías limpias</w:t>
        </w:r>
      </w:hyperlink>
    </w:p>
    <w:p w14:paraId="62F129FA" w14:textId="77777777" w:rsidR="005072F5" w:rsidRPr="000D47EE" w:rsidRDefault="005072F5" w:rsidP="005072F5">
      <w:pPr>
        <w:keepNext/>
        <w:keepLines/>
        <w:widowControl w:val="0"/>
        <w:overflowPunct w:val="0"/>
        <w:autoSpaceDE w:val="0"/>
        <w:autoSpaceDN w:val="0"/>
        <w:adjustRightInd w:val="0"/>
        <w:ind w:left="567"/>
        <w:contextualSpacing/>
        <w:jc w:val="left"/>
        <w:textAlignment w:val="baseline"/>
        <w:rPr>
          <w:sz w:val="14"/>
          <w:szCs w:val="14"/>
        </w:rPr>
      </w:pPr>
    </w:p>
    <w:tbl>
      <w:tblPr>
        <w:tblW w:w="0" w:type="auto"/>
        <w:tblLook w:val="04A0" w:firstRow="1" w:lastRow="0" w:firstColumn="1" w:lastColumn="0" w:noHBand="0" w:noVBand="1"/>
      </w:tblPr>
      <w:tblGrid>
        <w:gridCol w:w="1526"/>
        <w:gridCol w:w="7263"/>
      </w:tblGrid>
      <w:tr w:rsidR="005072F5" w:rsidRPr="00703C9B" w14:paraId="512B2B69" w14:textId="77777777" w:rsidTr="00915390">
        <w:tc>
          <w:tcPr>
            <w:tcW w:w="1526" w:type="dxa"/>
          </w:tcPr>
          <w:p w14:paraId="58E43881" w14:textId="77777777" w:rsidR="005072F5" w:rsidRPr="00703C9B" w:rsidRDefault="005072F5" w:rsidP="00915390">
            <w:pPr>
              <w:tabs>
                <w:tab w:val="center" w:pos="284"/>
              </w:tabs>
              <w:overflowPunct w:val="0"/>
              <w:autoSpaceDE w:val="0"/>
              <w:autoSpaceDN w:val="0"/>
              <w:adjustRightInd w:val="0"/>
              <w:ind w:left="266" w:hanging="266"/>
              <w:textAlignment w:val="baseline"/>
              <w:rPr>
                <w:b/>
              </w:rPr>
            </w:pPr>
            <w:r>
              <w:rPr>
                <w:b/>
              </w:rPr>
              <w:t>Ponente</w:t>
            </w:r>
          </w:p>
        </w:tc>
        <w:tc>
          <w:tcPr>
            <w:tcW w:w="7263" w:type="dxa"/>
          </w:tcPr>
          <w:p w14:paraId="4658A127" w14:textId="77777777" w:rsidR="005072F5" w:rsidRPr="00703C9B" w:rsidRDefault="005072F5" w:rsidP="00915390">
            <w:pPr>
              <w:tabs>
                <w:tab w:val="center" w:pos="32"/>
              </w:tabs>
              <w:overflowPunct w:val="0"/>
              <w:autoSpaceDE w:val="0"/>
              <w:autoSpaceDN w:val="0"/>
              <w:adjustRightInd w:val="0"/>
              <w:ind w:left="32"/>
              <w:textAlignment w:val="baseline"/>
            </w:pPr>
            <w:r>
              <w:t>Corina MURAFA BENGA (Grupo de Organizaciones de la Sociedad Civil – RO)</w:t>
            </w:r>
          </w:p>
        </w:tc>
      </w:tr>
      <w:tr w:rsidR="005072F5" w:rsidRPr="00703C9B" w14:paraId="6115ACE8" w14:textId="77777777" w:rsidTr="00915390">
        <w:tc>
          <w:tcPr>
            <w:tcW w:w="1526" w:type="dxa"/>
          </w:tcPr>
          <w:p w14:paraId="002D379C" w14:textId="77777777" w:rsidR="005072F5" w:rsidRPr="00703C9B" w:rsidRDefault="005072F5" w:rsidP="00915390">
            <w:pPr>
              <w:tabs>
                <w:tab w:val="center" w:pos="284"/>
              </w:tabs>
              <w:overflowPunct w:val="0"/>
              <w:autoSpaceDE w:val="0"/>
              <w:autoSpaceDN w:val="0"/>
              <w:adjustRightInd w:val="0"/>
              <w:ind w:left="266" w:hanging="266"/>
              <w:textAlignment w:val="baseline"/>
              <w:rPr>
                <w:b/>
              </w:rPr>
            </w:pPr>
            <w:r>
              <w:rPr>
                <w:b/>
              </w:rPr>
              <w:t>Coponente</w:t>
            </w:r>
          </w:p>
        </w:tc>
        <w:tc>
          <w:tcPr>
            <w:tcW w:w="7263" w:type="dxa"/>
          </w:tcPr>
          <w:p w14:paraId="61BB14B1" w14:textId="77777777" w:rsidR="005072F5" w:rsidRPr="00703C9B" w:rsidRDefault="005072F5" w:rsidP="00915390">
            <w:pPr>
              <w:tabs>
                <w:tab w:val="center" w:pos="284"/>
              </w:tabs>
              <w:overflowPunct w:val="0"/>
              <w:autoSpaceDE w:val="0"/>
              <w:autoSpaceDN w:val="0"/>
              <w:adjustRightInd w:val="0"/>
              <w:ind w:left="266" w:hanging="266"/>
              <w:textAlignment w:val="baseline"/>
            </w:pPr>
            <w:r>
              <w:t>Guido NELISSEN (Categoría 2 – BE)</w:t>
            </w:r>
          </w:p>
        </w:tc>
      </w:tr>
      <w:tr w:rsidR="005072F5" w:rsidRPr="00703C9B" w14:paraId="0F486132" w14:textId="77777777" w:rsidTr="00915390">
        <w:tc>
          <w:tcPr>
            <w:tcW w:w="1526" w:type="dxa"/>
          </w:tcPr>
          <w:p w14:paraId="17972A02" w14:textId="77777777" w:rsidR="005072F5" w:rsidRPr="00703C9B" w:rsidRDefault="005072F5" w:rsidP="00915390">
            <w:pPr>
              <w:tabs>
                <w:tab w:val="center" w:pos="284"/>
              </w:tabs>
              <w:overflowPunct w:val="0"/>
              <w:autoSpaceDE w:val="0"/>
              <w:autoSpaceDN w:val="0"/>
              <w:adjustRightInd w:val="0"/>
              <w:ind w:left="266" w:hanging="266"/>
              <w:textAlignment w:val="baseline"/>
              <w:rPr>
                <w:b/>
              </w:rPr>
            </w:pPr>
            <w:r>
              <w:rPr>
                <w:b/>
              </w:rPr>
              <w:t>Referencia</w:t>
            </w:r>
          </w:p>
        </w:tc>
        <w:tc>
          <w:tcPr>
            <w:tcW w:w="7263" w:type="dxa"/>
          </w:tcPr>
          <w:p w14:paraId="1D334D85" w14:textId="77777777" w:rsidR="005072F5" w:rsidRDefault="005072F5" w:rsidP="00915390">
            <w:pPr>
              <w:tabs>
                <w:tab w:val="center" w:pos="284"/>
              </w:tabs>
              <w:overflowPunct w:val="0"/>
              <w:autoSpaceDE w:val="0"/>
              <w:autoSpaceDN w:val="0"/>
              <w:adjustRightInd w:val="0"/>
              <w:ind w:left="266" w:hanging="266"/>
              <w:textAlignment w:val="baseline"/>
            </w:pPr>
            <w:r>
              <w:t>Dictamen de iniciativa</w:t>
            </w:r>
          </w:p>
          <w:p w14:paraId="5431A309" w14:textId="77777777" w:rsidR="005072F5" w:rsidRPr="00703C9B" w:rsidRDefault="005072F5" w:rsidP="00915390">
            <w:pPr>
              <w:tabs>
                <w:tab w:val="center" w:pos="284"/>
              </w:tabs>
              <w:overflowPunct w:val="0"/>
              <w:autoSpaceDE w:val="0"/>
              <w:autoSpaceDN w:val="0"/>
              <w:adjustRightInd w:val="0"/>
              <w:ind w:left="266" w:hanging="266"/>
              <w:textAlignment w:val="baseline"/>
            </w:pPr>
            <w:r>
              <w:t>EESC-2025-00595-00-00-AC</w:t>
            </w:r>
          </w:p>
        </w:tc>
      </w:tr>
    </w:tbl>
    <w:p w14:paraId="66C5753B" w14:textId="77777777" w:rsidR="005072F5" w:rsidRPr="000D47EE" w:rsidRDefault="005072F5" w:rsidP="005072F5">
      <w:pPr>
        <w:keepNext/>
        <w:keepLines/>
        <w:tabs>
          <w:tab w:val="center" w:pos="284"/>
        </w:tabs>
        <w:overflowPunct w:val="0"/>
        <w:autoSpaceDE w:val="0"/>
        <w:autoSpaceDN w:val="0"/>
        <w:adjustRightInd w:val="0"/>
        <w:textAlignment w:val="baseline"/>
        <w:rPr>
          <w:b/>
          <w:sz w:val="14"/>
          <w:szCs w:val="14"/>
          <w:lang w:val="en-GB"/>
        </w:rPr>
      </w:pPr>
    </w:p>
    <w:p w14:paraId="402F4FDF" w14:textId="77777777" w:rsidR="005072F5" w:rsidRPr="00703C9B" w:rsidRDefault="005072F5" w:rsidP="005072F5">
      <w:pPr>
        <w:keepNext/>
        <w:keepLines/>
        <w:tabs>
          <w:tab w:val="center" w:pos="284"/>
        </w:tabs>
        <w:overflowPunct w:val="0"/>
        <w:autoSpaceDE w:val="0"/>
        <w:autoSpaceDN w:val="0"/>
        <w:adjustRightInd w:val="0"/>
        <w:textAlignment w:val="baseline"/>
        <w:rPr>
          <w:b/>
        </w:rPr>
      </w:pPr>
      <w:r>
        <w:rPr>
          <w:b/>
        </w:rPr>
        <w:t>Puntos clave</w:t>
      </w:r>
    </w:p>
    <w:p w14:paraId="7217E604" w14:textId="77777777" w:rsidR="005072F5" w:rsidRPr="000D47EE" w:rsidRDefault="005072F5" w:rsidP="005072F5">
      <w:pPr>
        <w:keepNext/>
        <w:keepLines/>
        <w:tabs>
          <w:tab w:val="center" w:pos="284"/>
        </w:tabs>
        <w:overflowPunct w:val="0"/>
        <w:autoSpaceDE w:val="0"/>
        <w:autoSpaceDN w:val="0"/>
        <w:adjustRightInd w:val="0"/>
        <w:ind w:left="266" w:hanging="266"/>
        <w:textAlignment w:val="baseline"/>
        <w:rPr>
          <w:b/>
          <w:sz w:val="14"/>
          <w:szCs w:val="14"/>
          <w:lang w:val="en-GB"/>
        </w:rPr>
      </w:pPr>
    </w:p>
    <w:p w14:paraId="19E016A6" w14:textId="77777777" w:rsidR="005072F5" w:rsidRDefault="005072F5" w:rsidP="005072F5">
      <w:pPr>
        <w:keepNext/>
        <w:keepLines/>
        <w:tabs>
          <w:tab w:val="center" w:pos="284"/>
        </w:tabs>
        <w:overflowPunct w:val="0"/>
        <w:autoSpaceDE w:val="0"/>
        <w:autoSpaceDN w:val="0"/>
        <w:adjustRightInd w:val="0"/>
        <w:ind w:left="266" w:hanging="266"/>
        <w:textAlignment w:val="baseline"/>
      </w:pPr>
      <w:r>
        <w:t>El CESE:</w:t>
      </w:r>
    </w:p>
    <w:p w14:paraId="44D1A70F" w14:textId="77777777" w:rsidR="005072F5" w:rsidRPr="000D47EE" w:rsidRDefault="005072F5" w:rsidP="005072F5">
      <w:pPr>
        <w:keepNext/>
        <w:keepLines/>
        <w:tabs>
          <w:tab w:val="center" w:pos="284"/>
        </w:tabs>
        <w:overflowPunct w:val="0"/>
        <w:autoSpaceDE w:val="0"/>
        <w:autoSpaceDN w:val="0"/>
        <w:adjustRightInd w:val="0"/>
        <w:ind w:left="266" w:hanging="266"/>
        <w:textAlignment w:val="baseline"/>
        <w:rPr>
          <w:bCs/>
          <w:sz w:val="14"/>
          <w:szCs w:val="14"/>
        </w:rPr>
      </w:pPr>
    </w:p>
    <w:p w14:paraId="3A02D29A" w14:textId="77777777" w:rsidR="005072F5" w:rsidRPr="00FE41E7" w:rsidRDefault="005072F5" w:rsidP="005072F5">
      <w:pPr>
        <w:pStyle w:val="ListParagraph"/>
        <w:numPr>
          <w:ilvl w:val="0"/>
          <w:numId w:val="91"/>
        </w:numPr>
        <w:spacing w:line="264" w:lineRule="auto"/>
        <w:ind w:left="284" w:hanging="284"/>
      </w:pPr>
      <w:bookmarkStart w:id="185" w:name="_Toc209713420"/>
      <w:bookmarkStart w:id="186" w:name="_Toc209713960"/>
      <w:r>
        <w:t>subraya que, si bien la UE alberga diversos ecosistemas de tecnologías limpias y cuenta con sólidos conocimientos especializados en investigación y desarrollo (I+D), la transición de la innovación a la distribución comercial sigue siendo problemática, especialmente si se compara con competidores mundiales como China y los Estados Unidos;</w:t>
      </w:r>
      <w:bookmarkEnd w:id="185"/>
      <w:bookmarkEnd w:id="186"/>
    </w:p>
    <w:p w14:paraId="195623DB" w14:textId="77777777" w:rsidR="005072F5" w:rsidRPr="00FE41E7" w:rsidRDefault="005072F5" w:rsidP="005072F5">
      <w:pPr>
        <w:pStyle w:val="ListParagraph"/>
        <w:numPr>
          <w:ilvl w:val="0"/>
          <w:numId w:val="91"/>
        </w:numPr>
        <w:spacing w:line="264" w:lineRule="auto"/>
        <w:ind w:left="284" w:hanging="284"/>
      </w:pPr>
      <w:bookmarkStart w:id="187" w:name="_Toc209713421"/>
      <w:bookmarkStart w:id="188" w:name="_Toc209713961"/>
      <w:r>
        <w:t>destaca que las políticas de los Estados Unidos y China ponen en cuestión la capacidad de Europa para aumentar las inversiones y reforzar su industria de tecnologías limpias, incluso en los sectores en los que se encuentra a la vanguardia. No obstante, si Europa adopta las políticas adecuadas, podría convertir los retos relacionados con la energía y el agua en oportunidades de creación de empleo, adquisición de nuevas capacidades y crecimiento empresarial;</w:t>
      </w:r>
      <w:bookmarkEnd w:id="187"/>
      <w:bookmarkEnd w:id="188"/>
    </w:p>
    <w:p w14:paraId="18AA4E18" w14:textId="77777777" w:rsidR="005072F5" w:rsidRPr="00FE41E7" w:rsidRDefault="005072F5" w:rsidP="005072F5">
      <w:pPr>
        <w:pStyle w:val="ListParagraph"/>
        <w:numPr>
          <w:ilvl w:val="0"/>
          <w:numId w:val="91"/>
        </w:numPr>
        <w:spacing w:line="264" w:lineRule="auto"/>
        <w:ind w:left="284" w:hanging="284"/>
      </w:pPr>
      <w:bookmarkStart w:id="189" w:name="_Toc209713422"/>
      <w:bookmarkStart w:id="190" w:name="_Toc209713962"/>
      <w:r>
        <w:t>pide a la Comisión que reconozca el sector de las tecnologías limpias como sector industrial diferenciado y apoye su desarrollo mediante el diseño de hojas de ruta tecnológicas, la reducción del riesgo de las innovaciones a través de proyectos piloto y asociaciones, y la mejora de la financiación, especialmente con cargo a Horizonte Europa y el décimo programa marco. La hoja de ruta de cada tecnología debería complementarse con una hoja de ruta de la dimensión humana y social a fin de propiciar la transición de todos los trabajadores hacia las nuevas capacidades;</w:t>
      </w:r>
      <w:bookmarkEnd w:id="189"/>
      <w:bookmarkEnd w:id="190"/>
    </w:p>
    <w:p w14:paraId="5882B7C6" w14:textId="77777777" w:rsidR="005072F5" w:rsidRPr="00FE41E7" w:rsidRDefault="005072F5" w:rsidP="005072F5">
      <w:pPr>
        <w:pStyle w:val="ListParagraph"/>
        <w:numPr>
          <w:ilvl w:val="0"/>
          <w:numId w:val="91"/>
        </w:numPr>
        <w:spacing w:line="264" w:lineRule="auto"/>
        <w:ind w:left="284" w:hanging="284"/>
      </w:pPr>
      <w:bookmarkStart w:id="191" w:name="_Toc209713423"/>
      <w:bookmarkStart w:id="192" w:name="_Toc209713963"/>
      <w:r>
        <w:t>pide una evaluación a escala de la UE de la escasez de mano de obra en el sector de las energías limpias y las tecnologías hídricas, velando por una elevada calidad del empleo y el acceso inclusivo de las mujeres y otros grupos desfavorecidos. La Comisión debe establecer una línea específica dedicada a las tecnologías limpias en el seno del Observatorio Europeo de Inteligencia Estratégica sobre Competencias, a su vez integrado en el marco de la Unión de las Competencias, para garantizar que dichas capacidades estén disponibles rápidamente;</w:t>
      </w:r>
      <w:bookmarkEnd w:id="191"/>
      <w:bookmarkEnd w:id="192"/>
    </w:p>
    <w:p w14:paraId="29D10497" w14:textId="77777777" w:rsidR="005072F5" w:rsidRPr="00FE41E7" w:rsidRDefault="005072F5" w:rsidP="005072F5">
      <w:pPr>
        <w:pStyle w:val="ListParagraph"/>
        <w:numPr>
          <w:ilvl w:val="0"/>
          <w:numId w:val="91"/>
        </w:numPr>
        <w:spacing w:line="264" w:lineRule="auto"/>
        <w:ind w:left="284" w:hanging="284"/>
      </w:pPr>
      <w:bookmarkStart w:id="193" w:name="_Toc209713424"/>
      <w:bookmarkStart w:id="194" w:name="_Toc209713964"/>
      <w:r>
        <w:t>insta a la UE a que desarrolle herramientas como un Pasaporte Europeo de Competencias, certificación armonizada y vínculos más sólidos entre el sistema educativo y la industria a fin de facilitar la transición hacia empleos de cero emisiones netas;</w:t>
      </w:r>
      <w:bookmarkEnd w:id="193"/>
      <w:bookmarkEnd w:id="194"/>
    </w:p>
    <w:p w14:paraId="52A9F0A4" w14:textId="77777777" w:rsidR="005072F5" w:rsidRPr="00FE41E7" w:rsidRDefault="005072F5" w:rsidP="005072F5">
      <w:pPr>
        <w:pStyle w:val="ListParagraph"/>
        <w:numPr>
          <w:ilvl w:val="0"/>
          <w:numId w:val="91"/>
        </w:numPr>
        <w:spacing w:line="264" w:lineRule="auto"/>
        <w:ind w:left="284" w:hanging="284"/>
      </w:pPr>
      <w:bookmarkStart w:id="195" w:name="_Toc209713425"/>
      <w:bookmarkStart w:id="196" w:name="_Toc209713965"/>
      <w:r>
        <w:t>hace hincapié en la necesidad de impulsar la base manufacturera de la UE en el ámbito de las tecnologías limpias a través de un Fondo Europeo de Competitividad, la reorientación del Fondo de Innovación y la anticipación de las inversiones del Banco Europeo de Inversiones (BEI), y a la vez asegure la cohesión y el acceso de las pymes;</w:t>
      </w:r>
      <w:bookmarkEnd w:id="195"/>
      <w:bookmarkEnd w:id="196"/>
    </w:p>
    <w:p w14:paraId="5C81B0F9" w14:textId="77777777" w:rsidR="005072F5" w:rsidRPr="00FE41E7" w:rsidRDefault="005072F5" w:rsidP="005072F5">
      <w:pPr>
        <w:pStyle w:val="ListParagraph"/>
        <w:numPr>
          <w:ilvl w:val="0"/>
          <w:numId w:val="91"/>
        </w:numPr>
        <w:spacing w:line="264" w:lineRule="auto"/>
        <w:ind w:left="284" w:hanging="284"/>
      </w:pPr>
      <w:bookmarkStart w:id="197" w:name="_Toc209713426"/>
      <w:bookmarkStart w:id="198" w:name="_Toc209713966"/>
      <w:r>
        <w:t>pide que se invierta en agrupaciones regionales de tecnologías limpias, redes eléctricas e integración del mercado de capitales, y acelere la concesión de permisos;</w:t>
      </w:r>
      <w:bookmarkEnd w:id="197"/>
      <w:bookmarkEnd w:id="198"/>
    </w:p>
    <w:p w14:paraId="766F21C9" w14:textId="77777777" w:rsidR="005072F5" w:rsidRPr="00FE41E7" w:rsidRDefault="005072F5" w:rsidP="005072F5">
      <w:pPr>
        <w:pStyle w:val="ListParagraph"/>
        <w:numPr>
          <w:ilvl w:val="0"/>
          <w:numId w:val="91"/>
        </w:numPr>
        <w:spacing w:line="264" w:lineRule="auto"/>
        <w:ind w:left="284" w:hanging="284"/>
      </w:pPr>
      <w:bookmarkStart w:id="199" w:name="_Toc209713427"/>
      <w:bookmarkStart w:id="200" w:name="_Toc209713967"/>
      <w:r>
        <w:t>propone que se integre la descarbonización y la eficiencia hídrica en los acuerdos comerciales y cree asociaciones estratégicas para reforzar las cadenas de suministro de tecnologías limpias.</w:t>
      </w:r>
      <w:bookmarkEnd w:id="199"/>
      <w:bookmarkEnd w:id="200"/>
    </w:p>
    <w:p w14:paraId="20701A5A" w14:textId="77777777" w:rsidR="005072F5" w:rsidRPr="00703C9B" w:rsidRDefault="005072F5" w:rsidP="005072F5">
      <w:pPr>
        <w:overflowPunct w:val="0"/>
        <w:autoSpaceDE w:val="0"/>
        <w:autoSpaceDN w:val="0"/>
        <w:adjustRightInd w:val="0"/>
        <w:textAlignment w:val="baseline"/>
        <w:rPr>
          <w:szCs w:val="20"/>
          <w:lang w:val="en-GB"/>
        </w:rPr>
      </w:pPr>
    </w:p>
    <w:tbl>
      <w:tblPr>
        <w:tblW w:w="0" w:type="auto"/>
        <w:tblLook w:val="04A0" w:firstRow="1" w:lastRow="0" w:firstColumn="1" w:lastColumn="0" w:noHBand="0" w:noVBand="1"/>
      </w:tblPr>
      <w:tblGrid>
        <w:gridCol w:w="2093"/>
        <w:gridCol w:w="7229"/>
      </w:tblGrid>
      <w:tr w:rsidR="005072F5" w:rsidRPr="00703C9B" w14:paraId="077E4F6E" w14:textId="77777777" w:rsidTr="00915390">
        <w:tc>
          <w:tcPr>
            <w:tcW w:w="2093" w:type="dxa"/>
          </w:tcPr>
          <w:p w14:paraId="07AFABC4" w14:textId="77777777" w:rsidR="005072F5" w:rsidRPr="00703C9B" w:rsidRDefault="005072F5" w:rsidP="00915390">
            <w:pPr>
              <w:overflowPunct w:val="0"/>
              <w:autoSpaceDE w:val="0"/>
              <w:autoSpaceDN w:val="0"/>
              <w:adjustRightInd w:val="0"/>
              <w:textAlignment w:val="baseline"/>
              <w:rPr>
                <w:i/>
              </w:rPr>
            </w:pPr>
            <w:r>
              <w:rPr>
                <w:b/>
                <w:i/>
              </w:rPr>
              <w:t>Contacto:</w:t>
            </w:r>
          </w:p>
        </w:tc>
        <w:tc>
          <w:tcPr>
            <w:tcW w:w="7229" w:type="dxa"/>
          </w:tcPr>
          <w:p w14:paraId="795D3319" w14:textId="77777777" w:rsidR="005072F5" w:rsidRPr="00703C9B" w:rsidRDefault="005072F5" w:rsidP="00915390">
            <w:pPr>
              <w:overflowPunct w:val="0"/>
              <w:autoSpaceDE w:val="0"/>
              <w:autoSpaceDN w:val="0"/>
              <w:adjustRightInd w:val="0"/>
              <w:textAlignment w:val="baseline"/>
              <w:rPr>
                <w:i/>
              </w:rPr>
            </w:pPr>
            <w:r>
              <w:rPr>
                <w:i/>
              </w:rPr>
              <w:t>Jacopo Caja</w:t>
            </w:r>
          </w:p>
        </w:tc>
      </w:tr>
      <w:tr w:rsidR="005072F5" w:rsidRPr="00703C9B" w14:paraId="7D5D45A7" w14:textId="77777777" w:rsidTr="00915390">
        <w:tc>
          <w:tcPr>
            <w:tcW w:w="2093" w:type="dxa"/>
          </w:tcPr>
          <w:p w14:paraId="13B9E07E" w14:textId="77777777" w:rsidR="005072F5" w:rsidRPr="00703C9B" w:rsidRDefault="005072F5" w:rsidP="00915390">
            <w:pPr>
              <w:overflowPunct w:val="0"/>
              <w:autoSpaceDE w:val="0"/>
              <w:autoSpaceDN w:val="0"/>
              <w:adjustRightInd w:val="0"/>
              <w:textAlignment w:val="baseline"/>
              <w:rPr>
                <w:i/>
              </w:rPr>
            </w:pPr>
            <w:r>
              <w:rPr>
                <w:i/>
              </w:rPr>
              <w:t>Teléfono:</w:t>
            </w:r>
          </w:p>
        </w:tc>
        <w:tc>
          <w:tcPr>
            <w:tcW w:w="7229" w:type="dxa"/>
          </w:tcPr>
          <w:p w14:paraId="5CE5F7B8" w14:textId="77777777" w:rsidR="005072F5" w:rsidRPr="00703C9B" w:rsidRDefault="005072F5" w:rsidP="00915390">
            <w:pPr>
              <w:overflowPunct w:val="0"/>
              <w:autoSpaceDE w:val="0"/>
              <w:autoSpaceDN w:val="0"/>
              <w:adjustRightInd w:val="0"/>
              <w:textAlignment w:val="baseline"/>
              <w:rPr>
                <w:i/>
              </w:rPr>
            </w:pPr>
            <w:r>
              <w:rPr>
                <w:i/>
              </w:rPr>
              <w:t>+32 2 546 9580</w:t>
            </w:r>
          </w:p>
        </w:tc>
      </w:tr>
      <w:tr w:rsidR="005072F5" w:rsidRPr="00703C9B" w14:paraId="207FCAF1" w14:textId="77777777" w:rsidTr="00915390">
        <w:trPr>
          <w:trHeight w:val="80"/>
        </w:trPr>
        <w:tc>
          <w:tcPr>
            <w:tcW w:w="2093" w:type="dxa"/>
          </w:tcPr>
          <w:p w14:paraId="7E460283" w14:textId="77777777" w:rsidR="005072F5" w:rsidRPr="00703C9B" w:rsidRDefault="005072F5" w:rsidP="00915390">
            <w:pPr>
              <w:overflowPunct w:val="0"/>
              <w:autoSpaceDE w:val="0"/>
              <w:autoSpaceDN w:val="0"/>
              <w:adjustRightInd w:val="0"/>
              <w:textAlignment w:val="baseline"/>
              <w:rPr>
                <w:i/>
              </w:rPr>
            </w:pPr>
            <w:r>
              <w:rPr>
                <w:i/>
              </w:rPr>
              <w:t>Correo electrónico:</w:t>
            </w:r>
          </w:p>
        </w:tc>
        <w:tc>
          <w:tcPr>
            <w:tcW w:w="7229" w:type="dxa"/>
          </w:tcPr>
          <w:p w14:paraId="5EDB5CB1" w14:textId="77777777" w:rsidR="005072F5" w:rsidRPr="007E5029" w:rsidRDefault="005072F5" w:rsidP="00915390">
            <w:pPr>
              <w:overflowPunct w:val="0"/>
              <w:autoSpaceDE w:val="0"/>
              <w:autoSpaceDN w:val="0"/>
              <w:adjustRightInd w:val="0"/>
              <w:textAlignment w:val="baseline"/>
              <w:rPr>
                <w:i/>
                <w:iCs/>
              </w:rPr>
            </w:pPr>
            <w:hyperlink r:id="rId108" w:history="1">
              <w:r>
                <w:rPr>
                  <w:i/>
                  <w:color w:val="0000FF"/>
                  <w:u w:val="single"/>
                </w:rPr>
                <w:t>JacopoErnesto.Caja@eesc.europa.eu</w:t>
              </w:r>
            </w:hyperlink>
          </w:p>
        </w:tc>
      </w:tr>
    </w:tbl>
    <w:p w14:paraId="619954D1" w14:textId="77777777" w:rsidR="005072F5" w:rsidRDefault="005072F5" w:rsidP="005072F5">
      <w:pPr>
        <w:spacing w:after="160" w:line="259" w:lineRule="auto"/>
        <w:jc w:val="left"/>
      </w:pPr>
    </w:p>
    <w:p w14:paraId="5257CAE3" w14:textId="77777777" w:rsidR="005072F5" w:rsidRPr="00987E15" w:rsidRDefault="005072F5" w:rsidP="005072F5">
      <w:pPr>
        <w:pStyle w:val="Heading1"/>
        <w:keepNext/>
        <w:keepLines/>
        <w:ind w:left="567" w:hanging="567"/>
        <w:rPr>
          <w:b/>
          <w:color w:val="222A35" w:themeColor="text2" w:themeShade="80"/>
        </w:rPr>
      </w:pPr>
      <w:bookmarkStart w:id="201" w:name="_Toc211345380"/>
      <w:r>
        <w:rPr>
          <w:b/>
          <w:color w:val="222A35" w:themeColor="text2" w:themeShade="80"/>
        </w:rPr>
        <w:t>ESTRATEGIA DE PREPARACIÓN DE LA UNIÓN EUROPEA</w:t>
      </w:r>
      <w:bookmarkEnd w:id="201"/>
    </w:p>
    <w:p w14:paraId="0D0F5510" w14:textId="77777777" w:rsidR="005072F5" w:rsidRPr="00EA2195" w:rsidRDefault="005072F5" w:rsidP="005072F5">
      <w:pPr>
        <w:keepNext/>
        <w:keepLines/>
        <w:rPr>
          <w:lang w:val="en-GB"/>
        </w:rPr>
      </w:pPr>
    </w:p>
    <w:p w14:paraId="203EFE30" w14:textId="77777777" w:rsidR="005072F5" w:rsidRPr="00446B9E" w:rsidRDefault="005072F5" w:rsidP="005072F5">
      <w:pPr>
        <w:keepNext/>
        <w:keepLines/>
        <w:widowControl w:val="0"/>
        <w:numPr>
          <w:ilvl w:val="0"/>
          <w:numId w:val="34"/>
        </w:numPr>
        <w:overflowPunct w:val="0"/>
        <w:autoSpaceDE w:val="0"/>
        <w:autoSpaceDN w:val="0"/>
        <w:adjustRightInd w:val="0"/>
        <w:ind w:left="567" w:hanging="567"/>
        <w:textAlignment w:val="baseline"/>
        <w:rPr>
          <w:b/>
          <w:bCs/>
          <w:i/>
          <w:iCs/>
          <w:sz w:val="28"/>
          <w:szCs w:val="28"/>
        </w:rPr>
      </w:pPr>
      <w:hyperlink r:id="rId109" w:history="1">
        <w:r>
          <w:rPr>
            <w:b/>
            <w:i/>
            <w:color w:val="0000FF"/>
            <w:sz w:val="28"/>
            <w:u w:val="single"/>
          </w:rPr>
          <w:t>Estrategia de Preparación de la Unión Europea</w:t>
        </w:r>
      </w:hyperlink>
    </w:p>
    <w:p w14:paraId="2BAA33D5" w14:textId="77777777" w:rsidR="005072F5" w:rsidRPr="00446B9E" w:rsidRDefault="005072F5" w:rsidP="005072F5">
      <w:pPr>
        <w:keepNext/>
        <w:keepLines/>
        <w:widowControl w:val="0"/>
        <w:overflowPunct w:val="0"/>
        <w:autoSpaceDE w:val="0"/>
        <w:autoSpaceDN w:val="0"/>
        <w:adjustRightInd w:val="0"/>
        <w:ind w:left="266"/>
        <w:textAlignment w:val="baseline"/>
        <w:rPr>
          <w:bCs/>
          <w:lang w:val="en-GB"/>
        </w:rPr>
      </w:pPr>
    </w:p>
    <w:tbl>
      <w:tblPr>
        <w:tblW w:w="5000" w:type="pct"/>
        <w:tblLook w:val="04A0" w:firstRow="1" w:lastRow="0" w:firstColumn="1" w:lastColumn="0" w:noHBand="0" w:noVBand="1"/>
      </w:tblPr>
      <w:tblGrid>
        <w:gridCol w:w="1950"/>
        <w:gridCol w:w="7481"/>
      </w:tblGrid>
      <w:tr w:rsidR="005072F5" w:rsidRPr="00446B9E" w14:paraId="015E2A4E" w14:textId="77777777" w:rsidTr="00915390">
        <w:tc>
          <w:tcPr>
            <w:tcW w:w="1034" w:type="pct"/>
          </w:tcPr>
          <w:p w14:paraId="3B93354A" w14:textId="77777777" w:rsidR="005072F5" w:rsidRPr="00EA2195" w:rsidRDefault="005072F5" w:rsidP="00915390">
            <w:pPr>
              <w:tabs>
                <w:tab w:val="center" w:pos="284"/>
              </w:tabs>
              <w:overflowPunct w:val="0"/>
              <w:autoSpaceDE w:val="0"/>
              <w:autoSpaceDN w:val="0"/>
              <w:adjustRightInd w:val="0"/>
              <w:ind w:left="266" w:hanging="266"/>
              <w:textAlignment w:val="baseline"/>
              <w:rPr>
                <w:b/>
                <w:sz w:val="20"/>
                <w:szCs w:val="20"/>
              </w:rPr>
            </w:pPr>
            <w:r>
              <w:rPr>
                <w:b/>
              </w:rPr>
              <w:t>Ponentes</w:t>
            </w:r>
          </w:p>
        </w:tc>
        <w:tc>
          <w:tcPr>
            <w:tcW w:w="3966" w:type="pct"/>
          </w:tcPr>
          <w:p w14:paraId="19703998" w14:textId="77777777" w:rsidR="005072F5" w:rsidRPr="00EA2195" w:rsidRDefault="005072F5" w:rsidP="00915390">
            <w:pPr>
              <w:tabs>
                <w:tab w:val="center" w:pos="284"/>
              </w:tabs>
              <w:overflowPunct w:val="0"/>
              <w:autoSpaceDE w:val="0"/>
              <w:autoSpaceDN w:val="0"/>
              <w:adjustRightInd w:val="0"/>
              <w:ind w:left="266" w:hanging="266"/>
              <w:textAlignment w:val="baseline"/>
              <w:rPr>
                <w:sz w:val="20"/>
                <w:szCs w:val="20"/>
              </w:rPr>
            </w:pPr>
            <w:r>
              <w:t>Tomas ARVIDSSON (Grupo de Empresarios – SE)</w:t>
            </w:r>
          </w:p>
        </w:tc>
      </w:tr>
      <w:tr w:rsidR="005072F5" w:rsidRPr="00446B9E" w14:paraId="2C86B6FB" w14:textId="77777777" w:rsidTr="00915390">
        <w:tc>
          <w:tcPr>
            <w:tcW w:w="1034" w:type="pct"/>
          </w:tcPr>
          <w:p w14:paraId="14899AA6" w14:textId="77777777" w:rsidR="005072F5" w:rsidRPr="00EA2195" w:rsidRDefault="005072F5" w:rsidP="00915390">
            <w:pPr>
              <w:tabs>
                <w:tab w:val="center" w:pos="284"/>
              </w:tabs>
              <w:overflowPunct w:val="0"/>
              <w:autoSpaceDE w:val="0"/>
              <w:autoSpaceDN w:val="0"/>
              <w:adjustRightInd w:val="0"/>
              <w:ind w:left="266" w:hanging="266"/>
              <w:textAlignment w:val="baseline"/>
              <w:rPr>
                <w:b/>
                <w:sz w:val="20"/>
                <w:szCs w:val="20"/>
                <w:lang w:val="en-GB"/>
              </w:rPr>
            </w:pPr>
          </w:p>
        </w:tc>
        <w:tc>
          <w:tcPr>
            <w:tcW w:w="3966" w:type="pct"/>
          </w:tcPr>
          <w:p w14:paraId="7DFEA180" w14:textId="77777777" w:rsidR="005072F5" w:rsidRPr="00EA2195" w:rsidRDefault="005072F5" w:rsidP="00915390">
            <w:pPr>
              <w:tabs>
                <w:tab w:val="center" w:pos="284"/>
              </w:tabs>
              <w:overflowPunct w:val="0"/>
              <w:autoSpaceDE w:val="0"/>
              <w:autoSpaceDN w:val="0"/>
              <w:adjustRightInd w:val="0"/>
              <w:ind w:left="266" w:hanging="266"/>
              <w:textAlignment w:val="baseline"/>
              <w:rPr>
                <w:sz w:val="20"/>
                <w:szCs w:val="20"/>
              </w:rPr>
            </w:pPr>
            <w:r>
              <w:t>Giulia BARBUCCI (Grupo de Trabajadores – IT)</w:t>
            </w:r>
          </w:p>
        </w:tc>
      </w:tr>
      <w:tr w:rsidR="005072F5" w:rsidRPr="00446B9E" w14:paraId="47CF9194" w14:textId="77777777" w:rsidTr="00915390">
        <w:tc>
          <w:tcPr>
            <w:tcW w:w="1034" w:type="pct"/>
          </w:tcPr>
          <w:p w14:paraId="472686A3" w14:textId="77777777" w:rsidR="005072F5" w:rsidRPr="00EA2195" w:rsidRDefault="005072F5" w:rsidP="00915390">
            <w:pPr>
              <w:tabs>
                <w:tab w:val="center" w:pos="284"/>
              </w:tabs>
              <w:overflowPunct w:val="0"/>
              <w:autoSpaceDE w:val="0"/>
              <w:autoSpaceDN w:val="0"/>
              <w:adjustRightInd w:val="0"/>
              <w:ind w:left="266" w:hanging="266"/>
              <w:textAlignment w:val="baseline"/>
              <w:rPr>
                <w:b/>
                <w:sz w:val="20"/>
                <w:szCs w:val="20"/>
              </w:rPr>
            </w:pPr>
          </w:p>
        </w:tc>
        <w:tc>
          <w:tcPr>
            <w:tcW w:w="3966" w:type="pct"/>
          </w:tcPr>
          <w:p w14:paraId="2C07F1AF" w14:textId="77777777" w:rsidR="005072F5" w:rsidRPr="00EA2195" w:rsidRDefault="005072F5" w:rsidP="00915390">
            <w:pPr>
              <w:tabs>
                <w:tab w:val="center" w:pos="284"/>
              </w:tabs>
              <w:overflowPunct w:val="0"/>
              <w:autoSpaceDE w:val="0"/>
              <w:autoSpaceDN w:val="0"/>
              <w:adjustRightInd w:val="0"/>
              <w:ind w:left="266" w:hanging="266"/>
              <w:textAlignment w:val="baseline"/>
            </w:pPr>
            <w:r>
              <w:t>Ariane RODERT (Grupo de Organizaciones de la Sociedad Civil – SE)</w:t>
            </w:r>
          </w:p>
        </w:tc>
      </w:tr>
      <w:tr w:rsidR="005072F5" w:rsidRPr="00446B9E" w14:paraId="5C3A63B7" w14:textId="77777777" w:rsidTr="00915390">
        <w:tc>
          <w:tcPr>
            <w:tcW w:w="1034" w:type="pct"/>
          </w:tcPr>
          <w:p w14:paraId="0110ADCA" w14:textId="77777777" w:rsidR="005072F5" w:rsidRPr="00EA2195" w:rsidRDefault="005072F5" w:rsidP="00915390">
            <w:pPr>
              <w:tabs>
                <w:tab w:val="center" w:pos="284"/>
              </w:tabs>
              <w:overflowPunct w:val="0"/>
              <w:autoSpaceDE w:val="0"/>
              <w:autoSpaceDN w:val="0"/>
              <w:adjustRightInd w:val="0"/>
              <w:ind w:left="266" w:hanging="266"/>
              <w:textAlignment w:val="baseline"/>
              <w:rPr>
                <w:b/>
                <w:sz w:val="20"/>
                <w:szCs w:val="20"/>
              </w:rPr>
            </w:pPr>
            <w:r>
              <w:rPr>
                <w:b/>
              </w:rPr>
              <w:t>Referencias</w:t>
            </w:r>
          </w:p>
        </w:tc>
        <w:tc>
          <w:tcPr>
            <w:tcW w:w="3966" w:type="pct"/>
          </w:tcPr>
          <w:p w14:paraId="77E7DBBF" w14:textId="77777777" w:rsidR="005072F5" w:rsidRDefault="005072F5" w:rsidP="00915390">
            <w:pPr>
              <w:tabs>
                <w:tab w:val="center" w:pos="284"/>
              </w:tabs>
              <w:overflowPunct w:val="0"/>
              <w:autoSpaceDE w:val="0"/>
              <w:autoSpaceDN w:val="0"/>
              <w:adjustRightInd w:val="0"/>
              <w:ind w:left="266" w:hanging="266"/>
              <w:textAlignment w:val="baseline"/>
            </w:pPr>
            <w:r>
              <w:t>JOIN(2025) 130 final</w:t>
            </w:r>
          </w:p>
          <w:p w14:paraId="14E62587" w14:textId="77777777" w:rsidR="005072F5" w:rsidRPr="00EA2195" w:rsidRDefault="005072F5" w:rsidP="00915390">
            <w:pPr>
              <w:tabs>
                <w:tab w:val="center" w:pos="284"/>
              </w:tabs>
              <w:overflowPunct w:val="0"/>
              <w:autoSpaceDE w:val="0"/>
              <w:autoSpaceDN w:val="0"/>
              <w:adjustRightInd w:val="0"/>
              <w:ind w:left="266" w:hanging="266"/>
              <w:textAlignment w:val="baseline"/>
              <w:rPr>
                <w:sz w:val="20"/>
                <w:szCs w:val="20"/>
              </w:rPr>
            </w:pPr>
            <w:r>
              <w:t>EESC-2025-01292-00-00-AC</w:t>
            </w:r>
          </w:p>
        </w:tc>
      </w:tr>
    </w:tbl>
    <w:p w14:paraId="47103BBF" w14:textId="77777777" w:rsidR="005072F5" w:rsidRPr="00446B9E"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54D0E72D" w14:textId="77777777" w:rsidR="005072F5" w:rsidRPr="00446B9E" w:rsidRDefault="005072F5" w:rsidP="005072F5">
      <w:pPr>
        <w:keepNext/>
        <w:keepLines/>
        <w:tabs>
          <w:tab w:val="center" w:pos="284"/>
        </w:tabs>
        <w:overflowPunct w:val="0"/>
        <w:autoSpaceDE w:val="0"/>
        <w:autoSpaceDN w:val="0"/>
        <w:adjustRightInd w:val="0"/>
        <w:ind w:left="266" w:hanging="266"/>
        <w:textAlignment w:val="baseline"/>
        <w:rPr>
          <w:b/>
        </w:rPr>
      </w:pPr>
      <w:r>
        <w:rPr>
          <w:b/>
        </w:rPr>
        <w:t>Puntos clave</w:t>
      </w:r>
    </w:p>
    <w:p w14:paraId="6D418C8D" w14:textId="77777777" w:rsidR="005072F5" w:rsidRPr="00446B9E" w:rsidRDefault="005072F5" w:rsidP="005072F5">
      <w:pPr>
        <w:keepNext/>
        <w:keepLines/>
        <w:tabs>
          <w:tab w:val="center" w:pos="284"/>
        </w:tabs>
        <w:overflowPunct w:val="0"/>
        <w:autoSpaceDE w:val="0"/>
        <w:autoSpaceDN w:val="0"/>
        <w:adjustRightInd w:val="0"/>
        <w:ind w:left="266" w:hanging="266"/>
        <w:textAlignment w:val="baseline"/>
        <w:rPr>
          <w:b/>
          <w:lang w:val="en-GB"/>
        </w:rPr>
      </w:pPr>
    </w:p>
    <w:p w14:paraId="06B9E9F3" w14:textId="77777777" w:rsidR="005072F5" w:rsidRDefault="005072F5" w:rsidP="005072F5">
      <w:pPr>
        <w:overflowPunct w:val="0"/>
        <w:autoSpaceDE w:val="0"/>
        <w:autoSpaceDN w:val="0"/>
        <w:adjustRightInd w:val="0"/>
        <w:textAlignment w:val="baseline"/>
      </w:pPr>
      <w:r>
        <w:t>El CESE:</w:t>
      </w:r>
    </w:p>
    <w:p w14:paraId="2550B1F9" w14:textId="77777777" w:rsidR="005072F5" w:rsidRDefault="005072F5" w:rsidP="005072F5">
      <w:pPr>
        <w:overflowPunct w:val="0"/>
        <w:autoSpaceDE w:val="0"/>
        <w:autoSpaceDN w:val="0"/>
        <w:adjustRightInd w:val="0"/>
        <w:textAlignment w:val="baseline"/>
        <w:rPr>
          <w:bCs/>
          <w:iCs/>
        </w:rPr>
      </w:pPr>
    </w:p>
    <w:p w14:paraId="23C854C2" w14:textId="77777777" w:rsidR="005072F5" w:rsidRPr="00446B9E" w:rsidRDefault="005072F5" w:rsidP="005072F5">
      <w:pPr>
        <w:numPr>
          <w:ilvl w:val="0"/>
          <w:numId w:val="82"/>
        </w:numPr>
        <w:overflowPunct w:val="0"/>
        <w:autoSpaceDE w:val="0"/>
        <w:autoSpaceDN w:val="0"/>
        <w:adjustRightInd w:val="0"/>
        <w:ind w:left="284" w:hanging="284"/>
        <w:textAlignment w:val="baseline"/>
        <w:rPr>
          <w:bCs/>
          <w:iCs/>
        </w:rPr>
      </w:pPr>
      <w:r>
        <w:t>considera que, en los actuales tiempos de incertidumbre caracterizados por crisis cada vez más complejas e interconectadas en toda Europa y en torno a ella, la preparación civil y la resiliencia de la sociedad, en particular la de naturaleza económica y social, son más importantes que nunca;</w:t>
      </w:r>
    </w:p>
    <w:p w14:paraId="57684BE6" w14:textId="77777777" w:rsidR="005072F5" w:rsidRPr="00446B9E" w:rsidRDefault="005072F5" w:rsidP="005072F5">
      <w:pPr>
        <w:numPr>
          <w:ilvl w:val="0"/>
          <w:numId w:val="82"/>
        </w:numPr>
        <w:overflowPunct w:val="0"/>
        <w:autoSpaceDE w:val="0"/>
        <w:autoSpaceDN w:val="0"/>
        <w:adjustRightInd w:val="0"/>
        <w:ind w:left="284" w:hanging="284"/>
        <w:textAlignment w:val="baseline"/>
        <w:rPr>
          <w:bCs/>
          <w:iCs/>
        </w:rPr>
      </w:pPr>
      <w:r>
        <w:t>acoge con satisfacción la Estrategia de Preparación de la Unión, y subraya que la preparación requiere un enfoque</w:t>
      </w:r>
      <w:r>
        <w:rPr>
          <w:i/>
        </w:rPr>
        <w:t xml:space="preserve"> que incluya a la sociedad en su conjunto</w:t>
      </w:r>
      <w:r>
        <w:t>, basado en las experiencias nacionales y el papel de las comunidades locales, y hace hincapié en que la preparación es un compromiso a largo plazo que abarca generaciones, por lo que debe comenzar a nivel preescolar y escolar e implicar a todos los grupos de la sociedad;</w:t>
      </w:r>
    </w:p>
    <w:p w14:paraId="5734A3F3" w14:textId="77777777" w:rsidR="005072F5" w:rsidRPr="00446B9E" w:rsidRDefault="005072F5" w:rsidP="005072F5">
      <w:pPr>
        <w:numPr>
          <w:ilvl w:val="0"/>
          <w:numId w:val="82"/>
        </w:numPr>
        <w:overflowPunct w:val="0"/>
        <w:autoSpaceDE w:val="0"/>
        <w:autoSpaceDN w:val="0"/>
        <w:adjustRightInd w:val="0"/>
        <w:ind w:left="284" w:hanging="284"/>
        <w:textAlignment w:val="baseline"/>
        <w:rPr>
          <w:bCs/>
          <w:iCs/>
        </w:rPr>
      </w:pPr>
      <w:r>
        <w:t xml:space="preserve">estima que este planteamiento intersectorial, multidisciplinario y coordinado es fundamental para mejorar la preparación de la Unión Europea y destaca la importancia de implicar a las partes interesadas pertinentes a lo largo de todo el proceso; </w:t>
      </w:r>
    </w:p>
    <w:p w14:paraId="1982829D" w14:textId="77777777" w:rsidR="005072F5" w:rsidRPr="00446B9E" w:rsidRDefault="005072F5" w:rsidP="005072F5">
      <w:pPr>
        <w:numPr>
          <w:ilvl w:val="0"/>
          <w:numId w:val="82"/>
        </w:numPr>
        <w:overflowPunct w:val="0"/>
        <w:autoSpaceDE w:val="0"/>
        <w:autoSpaceDN w:val="0"/>
        <w:adjustRightInd w:val="0"/>
        <w:ind w:left="284" w:hanging="284"/>
        <w:textAlignment w:val="baseline"/>
        <w:rPr>
          <w:bCs/>
          <w:iCs/>
        </w:rPr>
      </w:pPr>
      <w:r>
        <w:t>subraya que la sociedad civil organizada constituye un recurso clave en materia de preparación; se trata de un agente insustituible en la gestión de crisis ya que sus actividades abarcan desde el establecimiento de contacto con grupos vulnerables y la prestación de ayuda humanitaria hasta la formación de voluntarios;</w:t>
      </w:r>
    </w:p>
    <w:p w14:paraId="3ED972A3" w14:textId="77777777" w:rsidR="005072F5" w:rsidRPr="00446B9E" w:rsidRDefault="005072F5" w:rsidP="005072F5">
      <w:pPr>
        <w:numPr>
          <w:ilvl w:val="0"/>
          <w:numId w:val="82"/>
        </w:numPr>
        <w:overflowPunct w:val="0"/>
        <w:autoSpaceDE w:val="0"/>
        <w:autoSpaceDN w:val="0"/>
        <w:adjustRightInd w:val="0"/>
        <w:ind w:left="284" w:hanging="284"/>
        <w:textAlignment w:val="baseline"/>
        <w:rPr>
          <w:bCs/>
          <w:iCs/>
        </w:rPr>
      </w:pPr>
      <w:r>
        <w:t>pide que la Estrategia aplique un enfoque integral, también desde la perspectiva financiera, y que aclare los extremos que suscitan incertidumbre; es fundamental contar con una financiación estable y a largo plazo que, sin embargo, no debe afectar negativamente a otras políticas clave de la UE como la política agrícola, la política de cohesión y el Fondo de Solidaridad;</w:t>
      </w:r>
    </w:p>
    <w:p w14:paraId="370FBA7F" w14:textId="77777777" w:rsidR="005072F5" w:rsidRPr="00446B9E" w:rsidRDefault="005072F5" w:rsidP="005072F5">
      <w:pPr>
        <w:numPr>
          <w:ilvl w:val="0"/>
          <w:numId w:val="82"/>
        </w:numPr>
        <w:overflowPunct w:val="0"/>
        <w:autoSpaceDE w:val="0"/>
        <w:autoSpaceDN w:val="0"/>
        <w:adjustRightInd w:val="0"/>
        <w:ind w:left="284" w:hanging="284"/>
        <w:textAlignment w:val="baseline"/>
        <w:rPr>
          <w:bCs/>
          <w:iCs/>
        </w:rPr>
      </w:pPr>
      <w:r>
        <w:t>respalda la transición hacia una mayor anticipación y proactividad y el principio subyacente de «preparación desde el diseño»; señala, no obstante, que la Estrategia debe equilibrar mejor las diferencias y percepciones nacionales, empezando por la elaboración de definiciones conjuntas y una comprensión colectiva de las amenazas, entre las que se incluyen retos comunes urgentes para la seguridad;</w:t>
      </w:r>
    </w:p>
    <w:p w14:paraId="71726776" w14:textId="77777777" w:rsidR="005072F5" w:rsidRPr="007E5029" w:rsidRDefault="005072F5" w:rsidP="005072F5">
      <w:pPr>
        <w:numPr>
          <w:ilvl w:val="0"/>
          <w:numId w:val="82"/>
        </w:numPr>
        <w:overflowPunct w:val="0"/>
        <w:autoSpaceDE w:val="0"/>
        <w:autoSpaceDN w:val="0"/>
        <w:adjustRightInd w:val="0"/>
        <w:ind w:left="284" w:hanging="284"/>
        <w:textAlignment w:val="baseline"/>
        <w:rPr>
          <w:bCs/>
          <w:iCs/>
        </w:rPr>
      </w:pPr>
      <w:r>
        <w:t>subraya que es fundamental que la UE muestre una solidaridad específica, inmediata y coherente para lograr la pronta recuperación socioeconómica de las regiones afectadas por las crisis; por consiguiente, destaca la necesidad de un enfoque integrado para responder a las crisis, del que debe formar parte la fase de reconstrucción, ya que las emergencias solo cesan realmente cuando las personas y las empresas recuperan la normalidad;</w:t>
      </w:r>
    </w:p>
    <w:p w14:paraId="4CF80517" w14:textId="77777777" w:rsidR="005072F5" w:rsidRPr="00446B9E" w:rsidRDefault="005072F5" w:rsidP="005072F5">
      <w:pPr>
        <w:numPr>
          <w:ilvl w:val="0"/>
          <w:numId w:val="82"/>
        </w:numPr>
        <w:overflowPunct w:val="0"/>
        <w:autoSpaceDE w:val="0"/>
        <w:autoSpaceDN w:val="0"/>
        <w:adjustRightInd w:val="0"/>
        <w:ind w:left="284" w:hanging="284"/>
        <w:textAlignment w:val="baseline"/>
        <w:rPr>
          <w:bCs/>
          <w:iCs/>
        </w:rPr>
      </w:pPr>
      <w:r>
        <w:lastRenderedPageBreak/>
        <w:t>coincide en destacar la necesidad de que los hogares sean autosuficientes durante 72 horas, pero señala que los niveles de preparación varían debido a las circunstancias socioeconómicas y otras vulnerabilidades, ya que las crisis no afectan a todos los grupos por igual, por lo que pide que se preste un apoyo específico a los grupos vulnerables;</w:t>
      </w:r>
    </w:p>
    <w:p w14:paraId="61E81A7F" w14:textId="77777777" w:rsidR="005072F5" w:rsidRPr="00446B9E" w:rsidRDefault="005072F5" w:rsidP="005072F5">
      <w:pPr>
        <w:numPr>
          <w:ilvl w:val="0"/>
          <w:numId w:val="82"/>
        </w:numPr>
        <w:overflowPunct w:val="0"/>
        <w:autoSpaceDE w:val="0"/>
        <w:autoSpaceDN w:val="0"/>
        <w:adjustRightInd w:val="0"/>
        <w:ind w:left="284" w:hanging="284"/>
        <w:textAlignment w:val="baseline"/>
        <w:rPr>
          <w:bCs/>
          <w:iCs/>
        </w:rPr>
      </w:pPr>
      <w:r>
        <w:t>comparte la opinión de que la integridad y el buen funcionamiento del mercado interior son fundamentales y de que la UE debe permanecer interconectada para garantizar una solidaridad eficaz con carácter permanente e impulsar la resiliencia social y económica; por lo tanto, estima que es necesario proporcionar a las empresas un marco legislativo claro y previsible que les garantice una competencia leal en el mercado interior;</w:t>
      </w:r>
    </w:p>
    <w:p w14:paraId="204D5D7E" w14:textId="77777777" w:rsidR="005072F5" w:rsidRPr="00446B9E" w:rsidRDefault="005072F5" w:rsidP="005072F5">
      <w:pPr>
        <w:numPr>
          <w:ilvl w:val="0"/>
          <w:numId w:val="82"/>
        </w:numPr>
        <w:overflowPunct w:val="0"/>
        <w:autoSpaceDE w:val="0"/>
        <w:autoSpaceDN w:val="0"/>
        <w:adjustRightInd w:val="0"/>
        <w:ind w:left="284" w:hanging="284"/>
        <w:textAlignment w:val="baseline"/>
        <w:rPr>
          <w:bCs/>
          <w:iCs/>
        </w:rPr>
      </w:pPr>
      <w:r>
        <w:t>seguirá supervisando la puesta en marcha de las distintas iniciativas y expresa su deseo de participar plenamente en las nuevas estructuras e iniciativas que se desarrollen con posterioridad.</w:t>
      </w:r>
    </w:p>
    <w:p w14:paraId="53087F11" w14:textId="77777777" w:rsidR="005072F5" w:rsidRPr="00446B9E" w:rsidRDefault="005072F5" w:rsidP="005072F5">
      <w:pPr>
        <w:overflowPunct w:val="0"/>
        <w:autoSpaceDE w:val="0"/>
        <w:autoSpaceDN w:val="0"/>
        <w:adjustRightInd w:val="0"/>
        <w:ind w:left="720" w:hanging="720"/>
        <w:textAlignment w:val="baseline"/>
        <w:rPr>
          <w:bCs/>
          <w:iCs/>
          <w:lang w:val="en-GB"/>
        </w:rPr>
      </w:pPr>
    </w:p>
    <w:tbl>
      <w:tblPr>
        <w:tblW w:w="5000" w:type="pct"/>
        <w:tblLook w:val="04A0" w:firstRow="1" w:lastRow="0" w:firstColumn="1" w:lastColumn="0" w:noHBand="0" w:noVBand="1"/>
      </w:tblPr>
      <w:tblGrid>
        <w:gridCol w:w="2094"/>
        <w:gridCol w:w="7337"/>
      </w:tblGrid>
      <w:tr w:rsidR="005072F5" w:rsidRPr="00941A2F" w14:paraId="524A4BA9" w14:textId="77777777" w:rsidTr="00915390">
        <w:tc>
          <w:tcPr>
            <w:tcW w:w="1110" w:type="pct"/>
          </w:tcPr>
          <w:p w14:paraId="07FF9648" w14:textId="77777777" w:rsidR="005072F5" w:rsidRPr="00EA2195" w:rsidRDefault="005072F5" w:rsidP="00915390">
            <w:pPr>
              <w:overflowPunct w:val="0"/>
              <w:autoSpaceDE w:val="0"/>
              <w:autoSpaceDN w:val="0"/>
              <w:adjustRightInd w:val="0"/>
              <w:textAlignment w:val="baseline"/>
              <w:rPr>
                <w:i/>
                <w:sz w:val="20"/>
                <w:szCs w:val="20"/>
              </w:rPr>
            </w:pPr>
            <w:r>
              <w:rPr>
                <w:b/>
                <w:i/>
              </w:rPr>
              <w:t>Contacto:</w:t>
            </w:r>
          </w:p>
        </w:tc>
        <w:tc>
          <w:tcPr>
            <w:tcW w:w="3890" w:type="pct"/>
          </w:tcPr>
          <w:p w14:paraId="7334F93B" w14:textId="77777777" w:rsidR="005072F5" w:rsidRPr="00EA2195" w:rsidRDefault="005072F5" w:rsidP="00915390">
            <w:pPr>
              <w:overflowPunct w:val="0"/>
              <w:autoSpaceDE w:val="0"/>
              <w:autoSpaceDN w:val="0"/>
              <w:adjustRightInd w:val="0"/>
              <w:textAlignment w:val="baseline"/>
              <w:rPr>
                <w:i/>
                <w:sz w:val="20"/>
                <w:szCs w:val="20"/>
              </w:rPr>
            </w:pPr>
            <w:r>
              <w:rPr>
                <w:i/>
              </w:rPr>
              <w:t>Laura Ernsteina</w:t>
            </w:r>
          </w:p>
        </w:tc>
      </w:tr>
      <w:tr w:rsidR="005072F5" w:rsidRPr="00941A2F" w14:paraId="7D85D3ED" w14:textId="77777777" w:rsidTr="00915390">
        <w:tc>
          <w:tcPr>
            <w:tcW w:w="1110" w:type="pct"/>
          </w:tcPr>
          <w:p w14:paraId="07457CB9" w14:textId="77777777" w:rsidR="005072F5" w:rsidRPr="00EA2195" w:rsidRDefault="005072F5" w:rsidP="00915390">
            <w:pPr>
              <w:overflowPunct w:val="0"/>
              <w:autoSpaceDE w:val="0"/>
              <w:autoSpaceDN w:val="0"/>
              <w:adjustRightInd w:val="0"/>
              <w:textAlignment w:val="baseline"/>
              <w:rPr>
                <w:i/>
                <w:sz w:val="20"/>
                <w:szCs w:val="20"/>
              </w:rPr>
            </w:pPr>
            <w:r>
              <w:rPr>
                <w:i/>
              </w:rPr>
              <w:t>Teléfono:</w:t>
            </w:r>
          </w:p>
        </w:tc>
        <w:tc>
          <w:tcPr>
            <w:tcW w:w="3890" w:type="pct"/>
          </w:tcPr>
          <w:p w14:paraId="0FCE6F05" w14:textId="77777777" w:rsidR="005072F5" w:rsidRPr="00EA2195" w:rsidRDefault="005072F5" w:rsidP="00915390">
            <w:pPr>
              <w:overflowPunct w:val="0"/>
              <w:autoSpaceDE w:val="0"/>
              <w:autoSpaceDN w:val="0"/>
              <w:adjustRightInd w:val="0"/>
              <w:textAlignment w:val="baseline"/>
              <w:rPr>
                <w:i/>
                <w:sz w:val="20"/>
                <w:szCs w:val="20"/>
              </w:rPr>
            </w:pPr>
            <w:r>
              <w:rPr>
                <w:i/>
              </w:rPr>
              <w:t>+32 2 546 9194</w:t>
            </w:r>
          </w:p>
        </w:tc>
      </w:tr>
      <w:tr w:rsidR="005072F5" w:rsidRPr="00941A2F" w14:paraId="18C6B7F9" w14:textId="77777777" w:rsidTr="00915390">
        <w:tc>
          <w:tcPr>
            <w:tcW w:w="1110" w:type="pct"/>
          </w:tcPr>
          <w:p w14:paraId="12202562" w14:textId="77777777" w:rsidR="005072F5" w:rsidRPr="00EA2195" w:rsidRDefault="005072F5" w:rsidP="00915390">
            <w:pPr>
              <w:overflowPunct w:val="0"/>
              <w:autoSpaceDE w:val="0"/>
              <w:autoSpaceDN w:val="0"/>
              <w:adjustRightInd w:val="0"/>
              <w:textAlignment w:val="baseline"/>
              <w:rPr>
                <w:i/>
                <w:sz w:val="20"/>
                <w:szCs w:val="20"/>
              </w:rPr>
            </w:pPr>
            <w:r>
              <w:rPr>
                <w:i/>
              </w:rPr>
              <w:t>Correo electrónico:</w:t>
            </w:r>
          </w:p>
        </w:tc>
        <w:tc>
          <w:tcPr>
            <w:tcW w:w="3890" w:type="pct"/>
          </w:tcPr>
          <w:p w14:paraId="7646E4DC" w14:textId="77777777" w:rsidR="005072F5" w:rsidRPr="00EA2195" w:rsidRDefault="005072F5" w:rsidP="00915390">
            <w:pPr>
              <w:overflowPunct w:val="0"/>
              <w:autoSpaceDE w:val="0"/>
              <w:autoSpaceDN w:val="0"/>
              <w:adjustRightInd w:val="0"/>
              <w:textAlignment w:val="baseline"/>
              <w:rPr>
                <w:i/>
                <w:sz w:val="20"/>
                <w:szCs w:val="20"/>
              </w:rPr>
            </w:pPr>
            <w:hyperlink r:id="rId110" w:history="1">
              <w:r>
                <w:rPr>
                  <w:rStyle w:val="Hyperlink"/>
                  <w:i/>
                </w:rPr>
                <w:t>Laura.Ernsteina@eesc.europa.eu</w:t>
              </w:r>
            </w:hyperlink>
          </w:p>
        </w:tc>
      </w:tr>
    </w:tbl>
    <w:p w14:paraId="1A8C7C3D" w14:textId="77777777" w:rsidR="005072F5" w:rsidRPr="00EA2195" w:rsidRDefault="005072F5" w:rsidP="005072F5">
      <w:pPr>
        <w:rPr>
          <w:sz w:val="20"/>
          <w:szCs w:val="20"/>
          <w:lang w:val="en-GB"/>
        </w:rPr>
      </w:pPr>
    </w:p>
    <w:p w14:paraId="1A86ED28" w14:textId="77777777" w:rsidR="005072F5" w:rsidRPr="00D20AB4" w:rsidRDefault="005072F5" w:rsidP="005072F5">
      <w:pPr>
        <w:jc w:val="center"/>
        <w:rPr>
          <w:szCs w:val="20"/>
        </w:rPr>
      </w:pPr>
      <w:r>
        <w:t>_____________</w:t>
      </w:r>
    </w:p>
    <w:p w14:paraId="0D2DBE11" w14:textId="00733575" w:rsidR="000D394D" w:rsidRPr="005072F5" w:rsidRDefault="000D394D" w:rsidP="005072F5"/>
    <w:sectPr w:rsidR="000D394D" w:rsidRPr="005072F5" w:rsidSect="0091359A">
      <w:headerReference w:type="even" r:id="rId111"/>
      <w:headerReference w:type="default" r:id="rId112"/>
      <w:footerReference w:type="even" r:id="rId113"/>
      <w:footerReference w:type="default" r:id="rId114"/>
      <w:headerReference w:type="first" r:id="rId115"/>
      <w:footerReference w:type="first" r:id="rId116"/>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3561" w14:textId="77777777" w:rsidR="005072F5" w:rsidRPr="003E180D" w:rsidRDefault="005072F5" w:rsidP="003E1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533D" w14:textId="77777777" w:rsidR="005072F5" w:rsidRPr="003E180D" w:rsidRDefault="005072F5" w:rsidP="003E180D">
    <w:pPr>
      <w:pStyle w:val="Footer"/>
    </w:pPr>
    <w:r>
      <w:t xml:space="preserve">EESC-2025-02635-00-01-TCD-TRA (EN) </w:t>
    </w:r>
    <w:r>
      <w:fldChar w:fldCharType="begin"/>
    </w:r>
    <w:r>
      <w:instrText xml:space="preserve"> PAGE  \* Arabic  \* MERGEFORMAT </w:instrText>
    </w:r>
    <w:r>
      <w:fldChar w:fldCharType="separate"/>
    </w:r>
    <w:r>
      <w:t>1</w:t>
    </w:r>
    <w:r>
      <w:fldChar w:fldCharType="end"/>
    </w:r>
    <w:r>
      <w:t>/</w:t>
    </w:r>
    <w:r>
      <w:fldChar w:fldCharType="begin"/>
    </w:r>
    <w:r>
      <w:instrText xml:space="preserve"> NUMPAGES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FB04" w14:textId="77777777" w:rsidR="005072F5" w:rsidRPr="003E180D" w:rsidRDefault="005072F5" w:rsidP="003E18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91359A" w:rsidRDefault="00055407" w:rsidP="009135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7CF16449" w:rsidR="00055407" w:rsidRPr="0091359A" w:rsidRDefault="0091359A" w:rsidP="0091359A">
    <w:pPr>
      <w:pStyle w:val="Footer"/>
    </w:pPr>
    <w:r>
      <w:t xml:space="preserve">EESC-2025-02635-00-02-TCD-TRA (EN) </w:t>
    </w:r>
    <w:r>
      <w:fldChar w:fldCharType="begin"/>
    </w:r>
    <w:r>
      <w:instrText xml:space="preserve"> PAGE  \* Arabic  \* MERGEFORMAT </w:instrText>
    </w:r>
    <w:r>
      <w:fldChar w:fldCharType="separate"/>
    </w:r>
    <w:r>
      <w:t>2</w:t>
    </w:r>
    <w:r>
      <w:fldChar w:fldCharType="end"/>
    </w:r>
    <w:r>
      <w:t>/</w:t>
    </w:r>
    <w:r w:rsidR="006D4A6C">
      <w:fldChar w:fldCharType="begin"/>
    </w:r>
    <w:r w:rsidR="006D4A6C">
      <w:instrText xml:space="preserve"> NUMPAGES </w:instrText>
    </w:r>
    <w:r w:rsidR="006D4A6C">
      <w:fldChar w:fldCharType="separate"/>
    </w:r>
    <w:r>
      <w:t>49</w:t>
    </w:r>
    <w:r w:rsidR="006D4A6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91359A" w:rsidRDefault="00055407" w:rsidP="00913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77E6" w14:textId="77777777" w:rsidR="005072F5" w:rsidRPr="003E180D" w:rsidRDefault="005072F5" w:rsidP="003E1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4037" w14:textId="77777777" w:rsidR="005072F5" w:rsidRPr="003E180D" w:rsidRDefault="005072F5" w:rsidP="003E18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E768" w14:textId="77777777" w:rsidR="005072F5" w:rsidRPr="003E180D" w:rsidRDefault="005072F5" w:rsidP="003E18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91359A" w:rsidRDefault="00055407" w:rsidP="009135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4F158EAC" w:rsidR="00055407" w:rsidRPr="0091359A" w:rsidRDefault="00055407" w:rsidP="0091359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91359A" w:rsidRDefault="00055407" w:rsidP="009135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ECE530"/>
    <w:lvl w:ilvl="0">
      <w:start w:val="1"/>
      <w:numFmt w:val="decimal"/>
      <w:pStyle w:val="Heading1"/>
      <w:lvlText w:val="%1."/>
      <w:legacy w:legacy="1" w:legacySpace="0" w:legacyIndent="0"/>
      <w:lvlJc w:val="left"/>
      <w:rPr>
        <w:b w:val="0"/>
        <w:bCs/>
        <w:color w:val="000000" w:themeColor="text1"/>
        <w:sz w:val="22"/>
        <w:szCs w:val="22"/>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9460F6E"/>
    <w:lvl w:ilvl="0">
      <w:numFmt w:val="decimal"/>
      <w:lvlText w:val="*"/>
      <w:lvlJc w:val="left"/>
    </w:lvl>
  </w:abstractNum>
  <w:abstractNum w:abstractNumId="2" w15:restartNumberingAfterBreak="0">
    <w:nsid w:val="02396E01"/>
    <w:multiLevelType w:val="hybridMultilevel"/>
    <w:tmpl w:val="FC8C2D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4BE2B9F"/>
    <w:multiLevelType w:val="hybridMultilevel"/>
    <w:tmpl w:val="80026F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 w15:restartNumberingAfterBreak="0">
    <w:nsid w:val="05537D27"/>
    <w:multiLevelType w:val="hybridMultilevel"/>
    <w:tmpl w:val="4AC24B3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57576A0"/>
    <w:multiLevelType w:val="multilevel"/>
    <w:tmpl w:val="496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FB77F4"/>
    <w:multiLevelType w:val="hybridMultilevel"/>
    <w:tmpl w:val="3244BF1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7D646CA"/>
    <w:multiLevelType w:val="hybridMultilevel"/>
    <w:tmpl w:val="29F4E99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B951118"/>
    <w:multiLevelType w:val="hybridMultilevel"/>
    <w:tmpl w:val="F65EF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E176F"/>
    <w:multiLevelType w:val="hybridMultilevel"/>
    <w:tmpl w:val="DCBE043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6854C5"/>
    <w:multiLevelType w:val="hybridMultilevel"/>
    <w:tmpl w:val="AD66A58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0EB1589C"/>
    <w:multiLevelType w:val="hybridMultilevel"/>
    <w:tmpl w:val="F6A22D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1960EB"/>
    <w:multiLevelType w:val="hybridMultilevel"/>
    <w:tmpl w:val="B790ABE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F137FD"/>
    <w:multiLevelType w:val="hybridMultilevel"/>
    <w:tmpl w:val="445E1892"/>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C20C12"/>
    <w:multiLevelType w:val="hybridMultilevel"/>
    <w:tmpl w:val="A36CF6A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1AB1174"/>
    <w:multiLevelType w:val="hybridMultilevel"/>
    <w:tmpl w:val="7ADE3A5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17315B38"/>
    <w:multiLevelType w:val="hybridMultilevel"/>
    <w:tmpl w:val="5E6840F4"/>
    <w:lvl w:ilvl="0" w:tplc="8E864B0C">
      <w:start w:val="1"/>
      <w:numFmt w:val="bullet"/>
      <w:lvlText w:val=""/>
      <w:lvlJc w:val="left"/>
      <w:pPr>
        <w:ind w:left="1287" w:hanging="360"/>
      </w:pPr>
      <w:rPr>
        <w:rFonts w:ascii="Symbol" w:hAnsi="Symbol" w:hint="default"/>
        <w:color w:val="auto"/>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8"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9DB192E"/>
    <w:multiLevelType w:val="hybridMultilevel"/>
    <w:tmpl w:val="800CC6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2361BB"/>
    <w:multiLevelType w:val="hybridMultilevel"/>
    <w:tmpl w:val="270AF85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1" w15:restartNumberingAfterBreak="0">
    <w:nsid w:val="1A282C3B"/>
    <w:multiLevelType w:val="multilevel"/>
    <w:tmpl w:val="1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3504BF"/>
    <w:multiLevelType w:val="hybridMultilevel"/>
    <w:tmpl w:val="3DBA9BCA"/>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1BE37A15"/>
    <w:multiLevelType w:val="hybridMultilevel"/>
    <w:tmpl w:val="9B0CB4A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2025AB"/>
    <w:multiLevelType w:val="hybridMultilevel"/>
    <w:tmpl w:val="A29E15F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1EC8258B"/>
    <w:multiLevelType w:val="multilevel"/>
    <w:tmpl w:val="D092FA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116E1"/>
    <w:multiLevelType w:val="multilevel"/>
    <w:tmpl w:val="F2E85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5917E2"/>
    <w:multiLevelType w:val="hybridMultilevel"/>
    <w:tmpl w:val="E228B536"/>
    <w:lvl w:ilvl="0" w:tplc="080C0001">
      <w:start w:val="1"/>
      <w:numFmt w:val="bullet"/>
      <w:lvlText w:val=""/>
      <w:lvlJc w:val="left"/>
      <w:pPr>
        <w:ind w:left="720" w:hanging="360"/>
      </w:pPr>
      <w:rPr>
        <w:rFonts w:ascii="Symbol" w:hAnsi="Symbol" w:hint="default"/>
      </w:rPr>
    </w:lvl>
    <w:lvl w:ilvl="1" w:tplc="A87062BA">
      <w:start w:val="1"/>
      <w:numFmt w:val="lowerLetter"/>
      <w:lvlText w:val="%2."/>
      <w:lvlJc w:val="left"/>
      <w:pPr>
        <w:ind w:left="1440" w:hanging="360"/>
      </w:pPr>
    </w:lvl>
    <w:lvl w:ilvl="2" w:tplc="DDB27D70">
      <w:start w:val="1"/>
      <w:numFmt w:val="lowerRoman"/>
      <w:lvlText w:val="%3."/>
      <w:lvlJc w:val="right"/>
      <w:pPr>
        <w:ind w:left="2160" w:hanging="180"/>
      </w:pPr>
    </w:lvl>
    <w:lvl w:ilvl="3" w:tplc="92EA9164">
      <w:start w:val="1"/>
      <w:numFmt w:val="decimal"/>
      <w:lvlText w:val="%4."/>
      <w:lvlJc w:val="left"/>
      <w:pPr>
        <w:ind w:left="2880" w:hanging="360"/>
      </w:pPr>
    </w:lvl>
    <w:lvl w:ilvl="4" w:tplc="26363AE0">
      <w:start w:val="1"/>
      <w:numFmt w:val="lowerLetter"/>
      <w:lvlText w:val="%5."/>
      <w:lvlJc w:val="left"/>
      <w:pPr>
        <w:ind w:left="3600" w:hanging="360"/>
      </w:pPr>
    </w:lvl>
    <w:lvl w:ilvl="5" w:tplc="F7BA337A">
      <w:start w:val="1"/>
      <w:numFmt w:val="lowerRoman"/>
      <w:lvlText w:val="%6."/>
      <w:lvlJc w:val="right"/>
      <w:pPr>
        <w:ind w:left="4320" w:hanging="180"/>
      </w:pPr>
    </w:lvl>
    <w:lvl w:ilvl="6" w:tplc="58C26320">
      <w:start w:val="1"/>
      <w:numFmt w:val="decimal"/>
      <w:lvlText w:val="%7."/>
      <w:lvlJc w:val="left"/>
      <w:pPr>
        <w:ind w:left="5040" w:hanging="360"/>
      </w:pPr>
    </w:lvl>
    <w:lvl w:ilvl="7" w:tplc="507614A6">
      <w:start w:val="1"/>
      <w:numFmt w:val="lowerLetter"/>
      <w:lvlText w:val="%8."/>
      <w:lvlJc w:val="left"/>
      <w:pPr>
        <w:ind w:left="5760" w:hanging="360"/>
      </w:pPr>
    </w:lvl>
    <w:lvl w:ilvl="8" w:tplc="6B7E525A">
      <w:start w:val="1"/>
      <w:numFmt w:val="lowerRoman"/>
      <w:lvlText w:val="%9."/>
      <w:lvlJc w:val="right"/>
      <w:pPr>
        <w:ind w:left="6480" w:hanging="180"/>
      </w:pPr>
    </w:lvl>
  </w:abstractNum>
  <w:abstractNum w:abstractNumId="29" w15:restartNumberingAfterBreak="0">
    <w:nsid w:val="21962B0E"/>
    <w:multiLevelType w:val="multilevel"/>
    <w:tmpl w:val="0C4E5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960AB"/>
    <w:multiLevelType w:val="multilevel"/>
    <w:tmpl w:val="75CA54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540950"/>
    <w:multiLevelType w:val="hybridMultilevel"/>
    <w:tmpl w:val="F93ADCC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23715274"/>
    <w:multiLevelType w:val="hybridMultilevel"/>
    <w:tmpl w:val="5E2E793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4" w15:restartNumberingAfterBreak="0">
    <w:nsid w:val="2507406C"/>
    <w:multiLevelType w:val="hybridMultilevel"/>
    <w:tmpl w:val="D666A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A19408E"/>
    <w:multiLevelType w:val="hybridMultilevel"/>
    <w:tmpl w:val="33780F44"/>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3910AF"/>
    <w:multiLevelType w:val="hybridMultilevel"/>
    <w:tmpl w:val="BFA22C2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5600AB"/>
    <w:multiLevelType w:val="hybridMultilevel"/>
    <w:tmpl w:val="A84CF7C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2E147226"/>
    <w:multiLevelType w:val="hybridMultilevel"/>
    <w:tmpl w:val="4D28874C"/>
    <w:lvl w:ilvl="0" w:tplc="20000001">
      <w:start w:val="1"/>
      <w:numFmt w:val="bullet"/>
      <w:lvlText w:val=""/>
      <w:lvlJc w:val="left"/>
      <w:pPr>
        <w:ind w:left="3600" w:hanging="360"/>
      </w:pPr>
      <w:rPr>
        <w:rFonts w:ascii="Symbol" w:hAnsi="Symbol" w:hint="default"/>
      </w:rPr>
    </w:lvl>
    <w:lvl w:ilvl="1" w:tplc="10000003" w:tentative="1">
      <w:start w:val="1"/>
      <w:numFmt w:val="bullet"/>
      <w:lvlText w:val="o"/>
      <w:lvlJc w:val="left"/>
      <w:pPr>
        <w:ind w:left="4320" w:hanging="360"/>
      </w:pPr>
      <w:rPr>
        <w:rFonts w:ascii="Courier New" w:hAnsi="Courier New" w:cs="Courier New" w:hint="default"/>
      </w:rPr>
    </w:lvl>
    <w:lvl w:ilvl="2" w:tplc="10000005" w:tentative="1">
      <w:start w:val="1"/>
      <w:numFmt w:val="bullet"/>
      <w:lvlText w:val=""/>
      <w:lvlJc w:val="left"/>
      <w:pPr>
        <w:ind w:left="5040" w:hanging="360"/>
      </w:pPr>
      <w:rPr>
        <w:rFonts w:ascii="Wingdings" w:hAnsi="Wingdings" w:hint="default"/>
      </w:rPr>
    </w:lvl>
    <w:lvl w:ilvl="3" w:tplc="10000001" w:tentative="1">
      <w:start w:val="1"/>
      <w:numFmt w:val="bullet"/>
      <w:lvlText w:val=""/>
      <w:lvlJc w:val="left"/>
      <w:pPr>
        <w:ind w:left="5760" w:hanging="360"/>
      </w:pPr>
      <w:rPr>
        <w:rFonts w:ascii="Symbol" w:hAnsi="Symbol" w:hint="default"/>
      </w:rPr>
    </w:lvl>
    <w:lvl w:ilvl="4" w:tplc="10000003" w:tentative="1">
      <w:start w:val="1"/>
      <w:numFmt w:val="bullet"/>
      <w:lvlText w:val="o"/>
      <w:lvlJc w:val="left"/>
      <w:pPr>
        <w:ind w:left="6480" w:hanging="360"/>
      </w:pPr>
      <w:rPr>
        <w:rFonts w:ascii="Courier New" w:hAnsi="Courier New" w:cs="Courier New" w:hint="default"/>
      </w:rPr>
    </w:lvl>
    <w:lvl w:ilvl="5" w:tplc="10000005" w:tentative="1">
      <w:start w:val="1"/>
      <w:numFmt w:val="bullet"/>
      <w:lvlText w:val=""/>
      <w:lvlJc w:val="left"/>
      <w:pPr>
        <w:ind w:left="7200" w:hanging="360"/>
      </w:pPr>
      <w:rPr>
        <w:rFonts w:ascii="Wingdings" w:hAnsi="Wingdings" w:hint="default"/>
      </w:rPr>
    </w:lvl>
    <w:lvl w:ilvl="6" w:tplc="10000001" w:tentative="1">
      <w:start w:val="1"/>
      <w:numFmt w:val="bullet"/>
      <w:lvlText w:val=""/>
      <w:lvlJc w:val="left"/>
      <w:pPr>
        <w:ind w:left="7920" w:hanging="360"/>
      </w:pPr>
      <w:rPr>
        <w:rFonts w:ascii="Symbol" w:hAnsi="Symbol" w:hint="default"/>
      </w:rPr>
    </w:lvl>
    <w:lvl w:ilvl="7" w:tplc="10000003" w:tentative="1">
      <w:start w:val="1"/>
      <w:numFmt w:val="bullet"/>
      <w:lvlText w:val="o"/>
      <w:lvlJc w:val="left"/>
      <w:pPr>
        <w:ind w:left="8640" w:hanging="360"/>
      </w:pPr>
      <w:rPr>
        <w:rFonts w:ascii="Courier New" w:hAnsi="Courier New" w:cs="Courier New" w:hint="default"/>
      </w:rPr>
    </w:lvl>
    <w:lvl w:ilvl="8" w:tplc="10000005" w:tentative="1">
      <w:start w:val="1"/>
      <w:numFmt w:val="bullet"/>
      <w:lvlText w:val=""/>
      <w:lvlJc w:val="left"/>
      <w:pPr>
        <w:ind w:left="9360" w:hanging="360"/>
      </w:pPr>
      <w:rPr>
        <w:rFonts w:ascii="Wingdings" w:hAnsi="Wingdings" w:hint="default"/>
      </w:rPr>
    </w:lvl>
  </w:abstractNum>
  <w:abstractNum w:abstractNumId="4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30B83FFF"/>
    <w:multiLevelType w:val="hybridMultilevel"/>
    <w:tmpl w:val="99C6D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316F1BF8"/>
    <w:multiLevelType w:val="hybridMultilevel"/>
    <w:tmpl w:val="6534E0C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3" w15:restartNumberingAfterBreak="0">
    <w:nsid w:val="330B707D"/>
    <w:multiLevelType w:val="hybridMultilevel"/>
    <w:tmpl w:val="83C835B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36C69F5"/>
    <w:multiLevelType w:val="hybridMultilevel"/>
    <w:tmpl w:val="6F34A64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5" w15:restartNumberingAfterBreak="0">
    <w:nsid w:val="39651DEE"/>
    <w:multiLevelType w:val="hybridMultilevel"/>
    <w:tmpl w:val="3968B5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B6F58A2"/>
    <w:multiLevelType w:val="hybridMultilevel"/>
    <w:tmpl w:val="10AE22A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7" w15:restartNumberingAfterBreak="0">
    <w:nsid w:val="3C7342D9"/>
    <w:multiLevelType w:val="hybridMultilevel"/>
    <w:tmpl w:val="3C306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0F36C3"/>
    <w:multiLevelType w:val="hybridMultilevel"/>
    <w:tmpl w:val="2EF84AB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9" w15:restartNumberingAfterBreak="0">
    <w:nsid w:val="3DBC0E33"/>
    <w:multiLevelType w:val="hybridMultilevel"/>
    <w:tmpl w:val="F2727E9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0"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1" w15:restartNumberingAfterBreak="0">
    <w:nsid w:val="40A12C2A"/>
    <w:multiLevelType w:val="multilevel"/>
    <w:tmpl w:val="FC2EF738"/>
    <w:lvl w:ilvl="0">
      <w:start w:val="1"/>
      <w:numFmt w:val="bullet"/>
      <w:lvlText w:val=""/>
      <w:lvlJc w:val="left"/>
      <w:rPr>
        <w:rFonts w:ascii="Symbol" w:hAnsi="Symbol" w:hint="default"/>
      </w:rPr>
    </w:lvl>
    <w:lvl w:ilvl="1">
      <w:start w:val="1"/>
      <w:numFmt w:val="bullet"/>
      <w:lvlText w:val=""/>
      <w:lvlJc w:val="left"/>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2" w15:restartNumberingAfterBreak="0">
    <w:nsid w:val="42770A74"/>
    <w:multiLevelType w:val="hybridMultilevel"/>
    <w:tmpl w:val="8DE63F0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2E317A"/>
    <w:multiLevelType w:val="multilevel"/>
    <w:tmpl w:val="DA08FA9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D96977"/>
    <w:multiLevelType w:val="hybridMultilevel"/>
    <w:tmpl w:val="C3402B9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AF56003"/>
    <w:multiLevelType w:val="hybridMultilevel"/>
    <w:tmpl w:val="4126D8CA"/>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B71692B"/>
    <w:multiLevelType w:val="hybridMultilevel"/>
    <w:tmpl w:val="AF840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8" w15:restartNumberingAfterBreak="0">
    <w:nsid w:val="510F63E8"/>
    <w:multiLevelType w:val="hybridMultilevel"/>
    <w:tmpl w:val="06DEDA48"/>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41653E"/>
    <w:multiLevelType w:val="hybridMultilevel"/>
    <w:tmpl w:val="AC62963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292760A"/>
    <w:multiLevelType w:val="hybridMultilevel"/>
    <w:tmpl w:val="7148756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1" w15:restartNumberingAfterBreak="0">
    <w:nsid w:val="53523FCA"/>
    <w:multiLevelType w:val="hybridMultilevel"/>
    <w:tmpl w:val="B37AC71C"/>
    <w:lvl w:ilvl="0" w:tplc="8E864B0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2" w15:restartNumberingAfterBreak="0">
    <w:nsid w:val="55E45A1A"/>
    <w:multiLevelType w:val="hybridMultilevel"/>
    <w:tmpl w:val="134C92AC"/>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3" w15:restartNumberingAfterBreak="0">
    <w:nsid w:val="566656E7"/>
    <w:multiLevelType w:val="hybridMultilevel"/>
    <w:tmpl w:val="547A4F66"/>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65" w15:restartNumberingAfterBreak="0">
    <w:nsid w:val="58B03040"/>
    <w:multiLevelType w:val="hybridMultilevel"/>
    <w:tmpl w:val="9BF6AE4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6" w15:restartNumberingAfterBreak="0">
    <w:nsid w:val="5DA8424D"/>
    <w:multiLevelType w:val="hybridMultilevel"/>
    <w:tmpl w:val="A57CF5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7"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253462F"/>
    <w:multiLevelType w:val="hybridMultilevel"/>
    <w:tmpl w:val="8B8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AD5649"/>
    <w:multiLevelType w:val="hybridMultilevel"/>
    <w:tmpl w:val="090C5B94"/>
    <w:lvl w:ilvl="0" w:tplc="04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1" w15:restartNumberingAfterBreak="0">
    <w:nsid w:val="67027F67"/>
    <w:multiLevelType w:val="hybridMultilevel"/>
    <w:tmpl w:val="D8780E7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89A325B"/>
    <w:multiLevelType w:val="hybridMultilevel"/>
    <w:tmpl w:val="00FC36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8E72E5B"/>
    <w:multiLevelType w:val="hybridMultilevel"/>
    <w:tmpl w:val="3E967F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AAF7C96"/>
    <w:multiLevelType w:val="hybridMultilevel"/>
    <w:tmpl w:val="AA48F77C"/>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B415ABF"/>
    <w:multiLevelType w:val="hybridMultilevel"/>
    <w:tmpl w:val="1B948180"/>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BB67706"/>
    <w:multiLevelType w:val="hybridMultilevel"/>
    <w:tmpl w:val="EF788D8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8" w15:restartNumberingAfterBreak="0">
    <w:nsid w:val="6BC77558"/>
    <w:multiLevelType w:val="hybridMultilevel"/>
    <w:tmpl w:val="A2DC4B5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9" w15:restartNumberingAfterBreak="0">
    <w:nsid w:val="6C3D29A0"/>
    <w:multiLevelType w:val="hybridMultilevel"/>
    <w:tmpl w:val="2BD29750"/>
    <w:lvl w:ilvl="0" w:tplc="8E864B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DA11CE"/>
    <w:multiLevelType w:val="hybridMultilevel"/>
    <w:tmpl w:val="C8D06C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DF82479"/>
    <w:multiLevelType w:val="hybridMultilevel"/>
    <w:tmpl w:val="F47830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2" w15:restartNumberingAfterBreak="0">
    <w:nsid w:val="70AA697E"/>
    <w:multiLevelType w:val="hybridMultilevel"/>
    <w:tmpl w:val="3E62B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3" w15:restartNumberingAfterBreak="0">
    <w:nsid w:val="77943575"/>
    <w:multiLevelType w:val="multilevel"/>
    <w:tmpl w:val="87D8081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163618"/>
    <w:multiLevelType w:val="hybridMultilevel"/>
    <w:tmpl w:val="C6B8166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5" w15:restartNumberingAfterBreak="0">
    <w:nsid w:val="786505A8"/>
    <w:multiLevelType w:val="hybridMultilevel"/>
    <w:tmpl w:val="499AEDE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86" w15:restartNumberingAfterBreak="0">
    <w:nsid w:val="794051F4"/>
    <w:multiLevelType w:val="hybridMultilevel"/>
    <w:tmpl w:val="92C2AB2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9477B2C"/>
    <w:multiLevelType w:val="hybridMultilevel"/>
    <w:tmpl w:val="174C335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8" w15:restartNumberingAfterBreak="0">
    <w:nsid w:val="796D0ACB"/>
    <w:multiLevelType w:val="hybridMultilevel"/>
    <w:tmpl w:val="D0002E9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color w:val="auto"/>
          <w:sz w:val="24"/>
          <w:szCs w:val="24"/>
        </w:rPr>
      </w:lvl>
    </w:lvlOverride>
  </w:num>
  <w:num w:numId="4">
    <w:abstractNumId w:val="29"/>
  </w:num>
  <w:num w:numId="5">
    <w:abstractNumId w:val="40"/>
  </w:num>
  <w:num w:numId="6">
    <w:abstractNumId w:val="36"/>
  </w:num>
  <w:num w:numId="7">
    <w:abstractNumId w:val="57"/>
  </w:num>
  <w:num w:numId="8">
    <w:abstractNumId w:val="69"/>
  </w:num>
  <w:num w:numId="9">
    <w:abstractNumId w:val="8"/>
  </w:num>
  <w:num w:numId="10">
    <w:abstractNumId w:val="1"/>
    <w:lvlOverride w:ilvl="0">
      <w:lvl w:ilvl="0">
        <w:start w:val="1"/>
        <w:numFmt w:val="bullet"/>
        <w:lvlText w:val=""/>
        <w:lvlJc w:val="left"/>
        <w:pPr>
          <w:ind w:left="720" w:hanging="360"/>
        </w:pPr>
        <w:rPr>
          <w:rFonts w:ascii="Symbol" w:hAnsi="Symbol" w:hint="default"/>
          <w:color w:val="auto"/>
        </w:rPr>
      </w:lvl>
    </w:lvlOverride>
  </w:num>
  <w:num w:numId="11">
    <w:abstractNumId w:val="34"/>
  </w:num>
  <w:num w:numId="12">
    <w:abstractNumId w:val="66"/>
  </w:num>
  <w:num w:numId="13">
    <w:abstractNumId w:val="74"/>
  </w:num>
  <w:num w:numId="14">
    <w:abstractNumId w:val="70"/>
  </w:num>
  <w:num w:numId="15">
    <w:abstractNumId w:val="27"/>
  </w:num>
  <w:num w:numId="16">
    <w:abstractNumId w:val="67"/>
  </w:num>
  <w:num w:numId="17">
    <w:abstractNumId w:val="73"/>
  </w:num>
  <w:num w:numId="18">
    <w:abstractNumId w:val="86"/>
  </w:num>
  <w:num w:numId="19">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20">
    <w:abstractNumId w:val="18"/>
  </w:num>
  <w:num w:numId="21">
    <w:abstractNumId w:val="68"/>
  </w:num>
  <w:num w:numId="22">
    <w:abstractNumId w:val="47"/>
  </w:num>
  <w:num w:numId="23">
    <w:abstractNumId w:val="50"/>
  </w:num>
  <w:num w:numId="24">
    <w:abstractNumId w:val="51"/>
  </w:num>
  <w:num w:numId="25">
    <w:abstractNumId w:val="64"/>
  </w:num>
  <w:num w:numId="26">
    <w:abstractNumId w:val="56"/>
  </w:num>
  <w:num w:numId="27">
    <w:abstractNumId w:val="15"/>
  </w:num>
  <w:num w:numId="28">
    <w:abstractNumId w:val="5"/>
  </w:num>
  <w:num w:numId="2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0">
    <w:abstractNumId w:val="28"/>
  </w:num>
  <w:num w:numId="31">
    <w:abstractNumId w:val="72"/>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82"/>
  </w:num>
  <w:num w:numId="34">
    <w:abstractNumId w:val="1"/>
    <w:lvlOverride w:ilvl="0">
      <w:lvl w:ilvl="0">
        <w:start w:val="1"/>
        <w:numFmt w:val="bullet"/>
        <w:lvlText w:val=""/>
        <w:legacy w:legacy="1" w:legacySpace="0" w:legacyIndent="283"/>
        <w:lvlJc w:val="left"/>
        <w:pPr>
          <w:ind w:left="851" w:hanging="283"/>
        </w:pPr>
        <w:rPr>
          <w:rFonts w:ascii="Symbol" w:hAnsi="Symbol" w:hint="default"/>
          <w:color w:val="auto"/>
          <w:sz w:val="24"/>
          <w:szCs w:val="24"/>
        </w:rPr>
      </w:lvl>
    </w:lvlOverride>
  </w:num>
  <w:num w:numId="35">
    <w:abstractNumId w:val="33"/>
  </w:num>
  <w:num w:numId="36">
    <w:abstractNumId w:val="39"/>
  </w:num>
  <w:num w:numId="37">
    <w:abstractNumId w:val="0"/>
  </w:num>
  <w:num w:numId="38">
    <w:abstractNumId w:val="30"/>
  </w:num>
  <w:num w:numId="39">
    <w:abstractNumId w:val="26"/>
  </w:num>
  <w:num w:numId="40">
    <w:abstractNumId w:val="53"/>
  </w:num>
  <w:num w:numId="41">
    <w:abstractNumId w:val="2"/>
  </w:num>
  <w:num w:numId="42">
    <w:abstractNumId w:val="80"/>
  </w:num>
  <w:num w:numId="43">
    <w:abstractNumId w:val="22"/>
  </w:num>
  <w:num w:numId="44">
    <w:abstractNumId w:val="11"/>
  </w:num>
  <w:num w:numId="45">
    <w:abstractNumId w:val="76"/>
  </w:num>
  <w:num w:numId="46">
    <w:abstractNumId w:val="3"/>
  </w:num>
  <w:num w:numId="47">
    <w:abstractNumId w:val="41"/>
  </w:num>
  <w:num w:numId="48">
    <w:abstractNumId w:val="54"/>
  </w:num>
  <w:num w:numId="49">
    <w:abstractNumId w:val="65"/>
  </w:num>
  <w:num w:numId="50">
    <w:abstractNumId w:val="45"/>
  </w:num>
  <w:num w:numId="51">
    <w:abstractNumId w:val="42"/>
  </w:num>
  <w:num w:numId="52">
    <w:abstractNumId w:val="9"/>
  </w:num>
  <w:num w:numId="53">
    <w:abstractNumId w:val="59"/>
  </w:num>
  <w:num w:numId="54">
    <w:abstractNumId w:val="48"/>
  </w:num>
  <w:num w:numId="55">
    <w:abstractNumId w:val="83"/>
  </w:num>
  <w:num w:numId="56">
    <w:abstractNumId w:val="37"/>
  </w:num>
  <w:num w:numId="57">
    <w:abstractNumId w:val="14"/>
  </w:num>
  <w:num w:numId="58">
    <w:abstractNumId w:val="32"/>
  </w:num>
  <w:num w:numId="59">
    <w:abstractNumId w:val="17"/>
  </w:num>
  <w:num w:numId="60">
    <w:abstractNumId w:val="61"/>
  </w:num>
  <w:num w:numId="61">
    <w:abstractNumId w:val="35"/>
  </w:num>
  <w:num w:numId="62">
    <w:abstractNumId w:val="77"/>
  </w:num>
  <w:num w:numId="63">
    <w:abstractNumId w:val="6"/>
  </w:num>
  <w:num w:numId="64">
    <w:abstractNumId w:val="44"/>
  </w:num>
  <w:num w:numId="65">
    <w:abstractNumId w:val="20"/>
  </w:num>
  <w:num w:numId="66">
    <w:abstractNumId w:val="88"/>
  </w:num>
  <w:num w:numId="67">
    <w:abstractNumId w:val="84"/>
  </w:num>
  <w:num w:numId="68">
    <w:abstractNumId w:val="4"/>
  </w:num>
  <w:num w:numId="69">
    <w:abstractNumId w:val="81"/>
  </w:num>
  <w:num w:numId="70">
    <w:abstractNumId w:val="24"/>
  </w:num>
  <w:num w:numId="71">
    <w:abstractNumId w:val="10"/>
  </w:num>
  <w:num w:numId="72">
    <w:abstractNumId w:val="60"/>
  </w:num>
  <w:num w:numId="73">
    <w:abstractNumId w:val="7"/>
  </w:num>
  <w:num w:numId="74">
    <w:abstractNumId w:val="49"/>
  </w:num>
  <w:num w:numId="75">
    <w:abstractNumId w:val="78"/>
  </w:num>
  <w:num w:numId="76">
    <w:abstractNumId w:val="31"/>
  </w:num>
  <w:num w:numId="77">
    <w:abstractNumId w:val="46"/>
  </w:num>
  <w:num w:numId="78">
    <w:abstractNumId w:val="85"/>
  </w:num>
  <w:num w:numId="79">
    <w:abstractNumId w:val="16"/>
  </w:num>
  <w:num w:numId="80">
    <w:abstractNumId w:val="25"/>
  </w:num>
  <w:num w:numId="81">
    <w:abstractNumId w:val="87"/>
  </w:num>
  <w:num w:numId="82">
    <w:abstractNumId w:val="62"/>
  </w:num>
  <w:num w:numId="83">
    <w:abstractNumId w:val="0"/>
  </w:num>
  <w:num w:numId="84">
    <w:abstractNumId w:val="21"/>
  </w:num>
  <w:num w:numId="85">
    <w:abstractNumId w:val="0"/>
  </w:num>
  <w:num w:numId="86">
    <w:abstractNumId w:val="38"/>
  </w:num>
  <w:num w:numId="87">
    <w:abstractNumId w:val="12"/>
  </w:num>
  <w:num w:numId="88">
    <w:abstractNumId w:val="79"/>
  </w:num>
  <w:num w:numId="89">
    <w:abstractNumId w:val="75"/>
  </w:num>
  <w:num w:numId="90">
    <w:abstractNumId w:val="19"/>
  </w:num>
  <w:num w:numId="91">
    <w:abstractNumId w:val="63"/>
  </w:num>
  <w:num w:numId="92">
    <w:abstractNumId w:val="55"/>
  </w:num>
  <w:num w:numId="93">
    <w:abstractNumId w:val="71"/>
  </w:num>
  <w:num w:numId="94">
    <w:abstractNumId w:val="43"/>
  </w:num>
  <w:num w:numId="95">
    <w:abstractNumId w:val="58"/>
  </w:num>
  <w:num w:numId="96">
    <w:abstractNumId w:val="13"/>
  </w:num>
  <w:num w:numId="97">
    <w:abstractNumId w:val="23"/>
  </w:num>
  <w:num w:numId="98">
    <w:abstractNumId w:val="5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976"/>
    <w:rsid w:val="00010A4D"/>
    <w:rsid w:val="000159A8"/>
    <w:rsid w:val="00040C95"/>
    <w:rsid w:val="00043305"/>
    <w:rsid w:val="0004393E"/>
    <w:rsid w:val="00055407"/>
    <w:rsid w:val="00061E08"/>
    <w:rsid w:val="00063DFF"/>
    <w:rsid w:val="0007256A"/>
    <w:rsid w:val="00075030"/>
    <w:rsid w:val="00075A21"/>
    <w:rsid w:val="0007712E"/>
    <w:rsid w:val="0008612E"/>
    <w:rsid w:val="00087763"/>
    <w:rsid w:val="000959E6"/>
    <w:rsid w:val="00097AD8"/>
    <w:rsid w:val="00097ECD"/>
    <w:rsid w:val="000A075F"/>
    <w:rsid w:val="000A324C"/>
    <w:rsid w:val="000B46A5"/>
    <w:rsid w:val="000B520C"/>
    <w:rsid w:val="000C6024"/>
    <w:rsid w:val="000C63A4"/>
    <w:rsid w:val="000C6613"/>
    <w:rsid w:val="000D394D"/>
    <w:rsid w:val="000D4611"/>
    <w:rsid w:val="000E08AB"/>
    <w:rsid w:val="000E6568"/>
    <w:rsid w:val="000E7056"/>
    <w:rsid w:val="000E7235"/>
    <w:rsid w:val="000F397E"/>
    <w:rsid w:val="00103FFC"/>
    <w:rsid w:val="00106765"/>
    <w:rsid w:val="00123381"/>
    <w:rsid w:val="001241C2"/>
    <w:rsid w:val="001379F6"/>
    <w:rsid w:val="00150100"/>
    <w:rsid w:val="0015046D"/>
    <w:rsid w:val="00156659"/>
    <w:rsid w:val="00156D53"/>
    <w:rsid w:val="00162387"/>
    <w:rsid w:val="00163115"/>
    <w:rsid w:val="001719F6"/>
    <w:rsid w:val="00171B2B"/>
    <w:rsid w:val="001904BF"/>
    <w:rsid w:val="00191443"/>
    <w:rsid w:val="001957CA"/>
    <w:rsid w:val="0019737D"/>
    <w:rsid w:val="001A0F35"/>
    <w:rsid w:val="001A758C"/>
    <w:rsid w:val="001B63A4"/>
    <w:rsid w:val="001B7DAA"/>
    <w:rsid w:val="001C51A7"/>
    <w:rsid w:val="001C720D"/>
    <w:rsid w:val="001E117C"/>
    <w:rsid w:val="001E19E2"/>
    <w:rsid w:val="001E391D"/>
    <w:rsid w:val="001E70B2"/>
    <w:rsid w:val="001F29AD"/>
    <w:rsid w:val="001F35C7"/>
    <w:rsid w:val="001F74E0"/>
    <w:rsid w:val="0020025C"/>
    <w:rsid w:val="0020422A"/>
    <w:rsid w:val="00211221"/>
    <w:rsid w:val="00212375"/>
    <w:rsid w:val="00231020"/>
    <w:rsid w:val="00240934"/>
    <w:rsid w:val="00240939"/>
    <w:rsid w:val="00240FD7"/>
    <w:rsid w:val="0024369B"/>
    <w:rsid w:val="00246DAA"/>
    <w:rsid w:val="00254761"/>
    <w:rsid w:val="0026311A"/>
    <w:rsid w:val="002666A0"/>
    <w:rsid w:val="00266E81"/>
    <w:rsid w:val="00271444"/>
    <w:rsid w:val="002725BF"/>
    <w:rsid w:val="00280705"/>
    <w:rsid w:val="002857BC"/>
    <w:rsid w:val="002950A0"/>
    <w:rsid w:val="002A412B"/>
    <w:rsid w:val="002A422B"/>
    <w:rsid w:val="002A5636"/>
    <w:rsid w:val="002B1E66"/>
    <w:rsid w:val="002B7981"/>
    <w:rsid w:val="002B7FC1"/>
    <w:rsid w:val="002C137B"/>
    <w:rsid w:val="002E1FD0"/>
    <w:rsid w:val="002E51CD"/>
    <w:rsid w:val="002E635F"/>
    <w:rsid w:val="00303A9D"/>
    <w:rsid w:val="003066BE"/>
    <w:rsid w:val="003151D0"/>
    <w:rsid w:val="0031520F"/>
    <w:rsid w:val="003161AA"/>
    <w:rsid w:val="00320FF5"/>
    <w:rsid w:val="003227CC"/>
    <w:rsid w:val="00345BDD"/>
    <w:rsid w:val="0034685F"/>
    <w:rsid w:val="00351E5A"/>
    <w:rsid w:val="003572EF"/>
    <w:rsid w:val="00377C34"/>
    <w:rsid w:val="00382E57"/>
    <w:rsid w:val="00387554"/>
    <w:rsid w:val="00391812"/>
    <w:rsid w:val="00395E76"/>
    <w:rsid w:val="003A0248"/>
    <w:rsid w:val="003B35DF"/>
    <w:rsid w:val="003B4310"/>
    <w:rsid w:val="003B732D"/>
    <w:rsid w:val="003C2D04"/>
    <w:rsid w:val="003C5BBE"/>
    <w:rsid w:val="003C7AC6"/>
    <w:rsid w:val="003D17E4"/>
    <w:rsid w:val="003D1D34"/>
    <w:rsid w:val="003D4071"/>
    <w:rsid w:val="003E180D"/>
    <w:rsid w:val="003E60F0"/>
    <w:rsid w:val="003F1917"/>
    <w:rsid w:val="003F326D"/>
    <w:rsid w:val="003F79EF"/>
    <w:rsid w:val="0040116B"/>
    <w:rsid w:val="00420152"/>
    <w:rsid w:val="00421577"/>
    <w:rsid w:val="0042320F"/>
    <w:rsid w:val="00423757"/>
    <w:rsid w:val="0043191A"/>
    <w:rsid w:val="00432B76"/>
    <w:rsid w:val="00435348"/>
    <w:rsid w:val="004361A9"/>
    <w:rsid w:val="00441DA6"/>
    <w:rsid w:val="004428A5"/>
    <w:rsid w:val="0044641C"/>
    <w:rsid w:val="00446B9E"/>
    <w:rsid w:val="00447C83"/>
    <w:rsid w:val="00450837"/>
    <w:rsid w:val="0045136E"/>
    <w:rsid w:val="004710BF"/>
    <w:rsid w:val="004721D7"/>
    <w:rsid w:val="00473E13"/>
    <w:rsid w:val="00476446"/>
    <w:rsid w:val="004801BE"/>
    <w:rsid w:val="0048203F"/>
    <w:rsid w:val="00482173"/>
    <w:rsid w:val="004A478E"/>
    <w:rsid w:val="004A5CD7"/>
    <w:rsid w:val="004B123B"/>
    <w:rsid w:val="004B1306"/>
    <w:rsid w:val="004B4275"/>
    <w:rsid w:val="004B6F63"/>
    <w:rsid w:val="004B7430"/>
    <w:rsid w:val="004B7C66"/>
    <w:rsid w:val="004C4FB7"/>
    <w:rsid w:val="004C707D"/>
    <w:rsid w:val="004D7354"/>
    <w:rsid w:val="004D7AC0"/>
    <w:rsid w:val="004F1C50"/>
    <w:rsid w:val="004F51B1"/>
    <w:rsid w:val="004F6E52"/>
    <w:rsid w:val="00503E62"/>
    <w:rsid w:val="0050548B"/>
    <w:rsid w:val="0050639F"/>
    <w:rsid w:val="005072F5"/>
    <w:rsid w:val="005077D8"/>
    <w:rsid w:val="005215A3"/>
    <w:rsid w:val="0052279D"/>
    <w:rsid w:val="00526859"/>
    <w:rsid w:val="005275B5"/>
    <w:rsid w:val="00532089"/>
    <w:rsid w:val="00554171"/>
    <w:rsid w:val="005572F5"/>
    <w:rsid w:val="00562E90"/>
    <w:rsid w:val="00572CBE"/>
    <w:rsid w:val="00573B02"/>
    <w:rsid w:val="005823B7"/>
    <w:rsid w:val="00586B4B"/>
    <w:rsid w:val="0059746F"/>
    <w:rsid w:val="005A0638"/>
    <w:rsid w:val="005A0BDA"/>
    <w:rsid w:val="005A7EB4"/>
    <w:rsid w:val="005C0A93"/>
    <w:rsid w:val="005C73A1"/>
    <w:rsid w:val="005D51A7"/>
    <w:rsid w:val="005D59E4"/>
    <w:rsid w:val="005D7E37"/>
    <w:rsid w:val="005E2160"/>
    <w:rsid w:val="005E31A8"/>
    <w:rsid w:val="005E432E"/>
    <w:rsid w:val="005E54D2"/>
    <w:rsid w:val="005E7651"/>
    <w:rsid w:val="005F1C0E"/>
    <w:rsid w:val="005F797E"/>
    <w:rsid w:val="00600704"/>
    <w:rsid w:val="00601D67"/>
    <w:rsid w:val="00602235"/>
    <w:rsid w:val="00606BD2"/>
    <w:rsid w:val="006179EF"/>
    <w:rsid w:val="00620BBA"/>
    <w:rsid w:val="0062258C"/>
    <w:rsid w:val="00625CA3"/>
    <w:rsid w:val="00634871"/>
    <w:rsid w:val="00641262"/>
    <w:rsid w:val="0064172F"/>
    <w:rsid w:val="00651562"/>
    <w:rsid w:val="006537CB"/>
    <w:rsid w:val="006602A1"/>
    <w:rsid w:val="006828D7"/>
    <w:rsid w:val="006840FB"/>
    <w:rsid w:val="006862F4"/>
    <w:rsid w:val="00691FD1"/>
    <w:rsid w:val="006B73A8"/>
    <w:rsid w:val="006C6E6B"/>
    <w:rsid w:val="006D179E"/>
    <w:rsid w:val="006D2C8A"/>
    <w:rsid w:val="006D2D64"/>
    <w:rsid w:val="006D4A6C"/>
    <w:rsid w:val="006D5AE4"/>
    <w:rsid w:val="006D6F38"/>
    <w:rsid w:val="006F2DB4"/>
    <w:rsid w:val="006F5B54"/>
    <w:rsid w:val="006F6B7F"/>
    <w:rsid w:val="00703C9B"/>
    <w:rsid w:val="007317A5"/>
    <w:rsid w:val="0073570C"/>
    <w:rsid w:val="0074006B"/>
    <w:rsid w:val="0074077F"/>
    <w:rsid w:val="00740F1B"/>
    <w:rsid w:val="007435E6"/>
    <w:rsid w:val="00752D51"/>
    <w:rsid w:val="00754027"/>
    <w:rsid w:val="0075742D"/>
    <w:rsid w:val="0076248A"/>
    <w:rsid w:val="00766B1A"/>
    <w:rsid w:val="00770396"/>
    <w:rsid w:val="00772CE7"/>
    <w:rsid w:val="00783D73"/>
    <w:rsid w:val="00797AAF"/>
    <w:rsid w:val="007A5F20"/>
    <w:rsid w:val="007B5952"/>
    <w:rsid w:val="007C4222"/>
    <w:rsid w:val="007D0A87"/>
    <w:rsid w:val="007E29E0"/>
    <w:rsid w:val="007E5029"/>
    <w:rsid w:val="007F220C"/>
    <w:rsid w:val="007F5784"/>
    <w:rsid w:val="007F7A42"/>
    <w:rsid w:val="00800101"/>
    <w:rsid w:val="00801F5F"/>
    <w:rsid w:val="0080201B"/>
    <w:rsid w:val="00805E64"/>
    <w:rsid w:val="00807D99"/>
    <w:rsid w:val="0081131F"/>
    <w:rsid w:val="00812B5E"/>
    <w:rsid w:val="00833A61"/>
    <w:rsid w:val="008405A6"/>
    <w:rsid w:val="00844CF3"/>
    <w:rsid w:val="00845F24"/>
    <w:rsid w:val="00847840"/>
    <w:rsid w:val="00853A75"/>
    <w:rsid w:val="00856DC3"/>
    <w:rsid w:val="00863217"/>
    <w:rsid w:val="0088219D"/>
    <w:rsid w:val="0089162C"/>
    <w:rsid w:val="008943CC"/>
    <w:rsid w:val="00895A12"/>
    <w:rsid w:val="008A1060"/>
    <w:rsid w:val="008B2C05"/>
    <w:rsid w:val="008B600E"/>
    <w:rsid w:val="008B7F21"/>
    <w:rsid w:val="008C17E3"/>
    <w:rsid w:val="008D138E"/>
    <w:rsid w:val="008D5CE9"/>
    <w:rsid w:val="008F5570"/>
    <w:rsid w:val="00904422"/>
    <w:rsid w:val="0091359A"/>
    <w:rsid w:val="0092144C"/>
    <w:rsid w:val="00930DDA"/>
    <w:rsid w:val="00941A2F"/>
    <w:rsid w:val="00942860"/>
    <w:rsid w:val="009770F1"/>
    <w:rsid w:val="00987E15"/>
    <w:rsid w:val="00993832"/>
    <w:rsid w:val="009964F4"/>
    <w:rsid w:val="009A3B12"/>
    <w:rsid w:val="009B1E1C"/>
    <w:rsid w:val="009C43EB"/>
    <w:rsid w:val="009D7456"/>
    <w:rsid w:val="009E1A73"/>
    <w:rsid w:val="009E3668"/>
    <w:rsid w:val="009F0605"/>
    <w:rsid w:val="009F43C9"/>
    <w:rsid w:val="00A02EB9"/>
    <w:rsid w:val="00A1625F"/>
    <w:rsid w:val="00A174E9"/>
    <w:rsid w:val="00A20E9D"/>
    <w:rsid w:val="00A236F4"/>
    <w:rsid w:val="00A272B2"/>
    <w:rsid w:val="00A33B9E"/>
    <w:rsid w:val="00A447FD"/>
    <w:rsid w:val="00A459C3"/>
    <w:rsid w:val="00A50553"/>
    <w:rsid w:val="00A51056"/>
    <w:rsid w:val="00A52C24"/>
    <w:rsid w:val="00A554F2"/>
    <w:rsid w:val="00A6461A"/>
    <w:rsid w:val="00A74B3C"/>
    <w:rsid w:val="00A76F7D"/>
    <w:rsid w:val="00A771C0"/>
    <w:rsid w:val="00A77B24"/>
    <w:rsid w:val="00A8703B"/>
    <w:rsid w:val="00A9750A"/>
    <w:rsid w:val="00AA2E19"/>
    <w:rsid w:val="00AA779E"/>
    <w:rsid w:val="00AC3033"/>
    <w:rsid w:val="00AC3348"/>
    <w:rsid w:val="00AC3821"/>
    <w:rsid w:val="00AC4416"/>
    <w:rsid w:val="00AC465A"/>
    <w:rsid w:val="00AD517B"/>
    <w:rsid w:val="00AE0DEC"/>
    <w:rsid w:val="00AE1A95"/>
    <w:rsid w:val="00AE7912"/>
    <w:rsid w:val="00AF27EF"/>
    <w:rsid w:val="00B00208"/>
    <w:rsid w:val="00B076E3"/>
    <w:rsid w:val="00B13E89"/>
    <w:rsid w:val="00B143C4"/>
    <w:rsid w:val="00B203DA"/>
    <w:rsid w:val="00B20505"/>
    <w:rsid w:val="00B33003"/>
    <w:rsid w:val="00B50DC1"/>
    <w:rsid w:val="00B518C9"/>
    <w:rsid w:val="00B52F62"/>
    <w:rsid w:val="00B55AA9"/>
    <w:rsid w:val="00B56F4F"/>
    <w:rsid w:val="00B628D1"/>
    <w:rsid w:val="00B71CD1"/>
    <w:rsid w:val="00B751DC"/>
    <w:rsid w:val="00B7677F"/>
    <w:rsid w:val="00B815F3"/>
    <w:rsid w:val="00B85E7F"/>
    <w:rsid w:val="00B92D7E"/>
    <w:rsid w:val="00B9471C"/>
    <w:rsid w:val="00B954D6"/>
    <w:rsid w:val="00BA6F6C"/>
    <w:rsid w:val="00BA77F1"/>
    <w:rsid w:val="00BB4A14"/>
    <w:rsid w:val="00BC57D4"/>
    <w:rsid w:val="00BC7002"/>
    <w:rsid w:val="00BD11E7"/>
    <w:rsid w:val="00BD4876"/>
    <w:rsid w:val="00BE0EC7"/>
    <w:rsid w:val="00BE355C"/>
    <w:rsid w:val="00BE54B3"/>
    <w:rsid w:val="00BF784D"/>
    <w:rsid w:val="00C008B4"/>
    <w:rsid w:val="00C01317"/>
    <w:rsid w:val="00C17ABD"/>
    <w:rsid w:val="00C2185C"/>
    <w:rsid w:val="00C24118"/>
    <w:rsid w:val="00C25787"/>
    <w:rsid w:val="00C26C67"/>
    <w:rsid w:val="00C3618F"/>
    <w:rsid w:val="00C36C03"/>
    <w:rsid w:val="00C36D75"/>
    <w:rsid w:val="00C47A12"/>
    <w:rsid w:val="00C504F7"/>
    <w:rsid w:val="00C544DA"/>
    <w:rsid w:val="00C73574"/>
    <w:rsid w:val="00C737A5"/>
    <w:rsid w:val="00C74A8F"/>
    <w:rsid w:val="00C821A5"/>
    <w:rsid w:val="00C86ABE"/>
    <w:rsid w:val="00CB1244"/>
    <w:rsid w:val="00CB423C"/>
    <w:rsid w:val="00CC205F"/>
    <w:rsid w:val="00CD2C0D"/>
    <w:rsid w:val="00CD4846"/>
    <w:rsid w:val="00CD7D35"/>
    <w:rsid w:val="00CE3CAA"/>
    <w:rsid w:val="00CE4481"/>
    <w:rsid w:val="00CF1ECC"/>
    <w:rsid w:val="00D009C9"/>
    <w:rsid w:val="00D04355"/>
    <w:rsid w:val="00D11783"/>
    <w:rsid w:val="00D20AB4"/>
    <w:rsid w:val="00D228C8"/>
    <w:rsid w:val="00D264E4"/>
    <w:rsid w:val="00D43613"/>
    <w:rsid w:val="00D46D46"/>
    <w:rsid w:val="00D5108B"/>
    <w:rsid w:val="00D5301C"/>
    <w:rsid w:val="00D530A4"/>
    <w:rsid w:val="00D565C4"/>
    <w:rsid w:val="00D64EC4"/>
    <w:rsid w:val="00D7076A"/>
    <w:rsid w:val="00D81F5E"/>
    <w:rsid w:val="00D8424F"/>
    <w:rsid w:val="00D92269"/>
    <w:rsid w:val="00D9226F"/>
    <w:rsid w:val="00D95315"/>
    <w:rsid w:val="00DA07F5"/>
    <w:rsid w:val="00DB3F37"/>
    <w:rsid w:val="00DB7910"/>
    <w:rsid w:val="00DD0EAE"/>
    <w:rsid w:val="00DD323D"/>
    <w:rsid w:val="00DD6A92"/>
    <w:rsid w:val="00DE176A"/>
    <w:rsid w:val="00DE268A"/>
    <w:rsid w:val="00DF2F81"/>
    <w:rsid w:val="00E00A6B"/>
    <w:rsid w:val="00E02BCF"/>
    <w:rsid w:val="00E030D5"/>
    <w:rsid w:val="00E041AD"/>
    <w:rsid w:val="00E04FC8"/>
    <w:rsid w:val="00E11CA7"/>
    <w:rsid w:val="00E1573A"/>
    <w:rsid w:val="00E17945"/>
    <w:rsid w:val="00E32C54"/>
    <w:rsid w:val="00E34939"/>
    <w:rsid w:val="00E4166F"/>
    <w:rsid w:val="00E417BC"/>
    <w:rsid w:val="00E41CA4"/>
    <w:rsid w:val="00E437F3"/>
    <w:rsid w:val="00E449A3"/>
    <w:rsid w:val="00E4621B"/>
    <w:rsid w:val="00E56408"/>
    <w:rsid w:val="00E661EA"/>
    <w:rsid w:val="00E77899"/>
    <w:rsid w:val="00E7797E"/>
    <w:rsid w:val="00E81B4C"/>
    <w:rsid w:val="00E8520F"/>
    <w:rsid w:val="00E94B6F"/>
    <w:rsid w:val="00EA0225"/>
    <w:rsid w:val="00EA2195"/>
    <w:rsid w:val="00EA2299"/>
    <w:rsid w:val="00EA5508"/>
    <w:rsid w:val="00EB2EC4"/>
    <w:rsid w:val="00EB408A"/>
    <w:rsid w:val="00ED75E0"/>
    <w:rsid w:val="00EE2B48"/>
    <w:rsid w:val="00EE332D"/>
    <w:rsid w:val="00EE3630"/>
    <w:rsid w:val="00F01E95"/>
    <w:rsid w:val="00F06AA1"/>
    <w:rsid w:val="00F225C2"/>
    <w:rsid w:val="00F267B0"/>
    <w:rsid w:val="00F43B19"/>
    <w:rsid w:val="00F602BA"/>
    <w:rsid w:val="00F70284"/>
    <w:rsid w:val="00F73DD0"/>
    <w:rsid w:val="00F837B3"/>
    <w:rsid w:val="00F83C17"/>
    <w:rsid w:val="00F84934"/>
    <w:rsid w:val="00F93BDC"/>
    <w:rsid w:val="00F93DBB"/>
    <w:rsid w:val="00F96D7F"/>
    <w:rsid w:val="00FB4947"/>
    <w:rsid w:val="00FC2F4C"/>
    <w:rsid w:val="00FC4072"/>
    <w:rsid w:val="00FC456F"/>
    <w:rsid w:val="00FD2A1E"/>
    <w:rsid w:val="00FD5661"/>
    <w:rsid w:val="00FE0218"/>
    <w:rsid w:val="00FE2236"/>
    <w:rsid w:val="00FE41E7"/>
    <w:rsid w:val="00FF06E7"/>
    <w:rsid w:val="00FF4F6D"/>
    <w:rsid w:val="00FF7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815F3"/>
    <w:pPr>
      <w:tabs>
        <w:tab w:val="left" w:pos="440"/>
        <w:tab w:val="right" w:leader="dot" w:pos="9205"/>
      </w:tabs>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B815F3"/>
    <w:pPr>
      <w:tabs>
        <w:tab w:val="left" w:pos="660"/>
        <w:tab w:val="right" w:leader="dot" w:pos="9205"/>
      </w:tabs>
      <w:spacing w:after="100"/>
      <w:ind w:left="220"/>
    </w:pPr>
  </w:style>
  <w:style w:type="paragraph" w:styleId="TOC3">
    <w:name w:val="toc 3"/>
    <w:basedOn w:val="Normal"/>
    <w:next w:val="Normal"/>
    <w:autoRedefine/>
    <w:uiPriority w:val="39"/>
    <w:unhideWhenUsed/>
    <w:rsid w:val="00162387"/>
    <w:pPr>
      <w:spacing w:after="100" w:line="259" w:lineRule="auto"/>
      <w:ind w:left="440"/>
      <w:jc w:val="left"/>
    </w:pPr>
    <w:rPr>
      <w:rFonts w:asciiTheme="minorHAnsi" w:eastAsiaTheme="minorEastAsia" w:hAnsiTheme="minorHAnsi" w:cstheme="minorBidi"/>
      <w:lang w:eastAsia="ja-JP"/>
    </w:rPr>
  </w:style>
  <w:style w:type="paragraph" w:styleId="TOC4">
    <w:name w:val="toc 4"/>
    <w:basedOn w:val="Normal"/>
    <w:next w:val="Normal"/>
    <w:autoRedefine/>
    <w:uiPriority w:val="39"/>
    <w:unhideWhenUsed/>
    <w:rsid w:val="00162387"/>
    <w:pPr>
      <w:spacing w:after="100" w:line="259" w:lineRule="auto"/>
      <w:ind w:left="660"/>
      <w:jc w:val="left"/>
    </w:pPr>
    <w:rPr>
      <w:rFonts w:asciiTheme="minorHAnsi" w:eastAsiaTheme="minorEastAsia" w:hAnsiTheme="minorHAnsi" w:cstheme="minorBidi"/>
      <w:lang w:eastAsia="ja-JP"/>
    </w:rPr>
  </w:style>
  <w:style w:type="paragraph" w:styleId="TOC5">
    <w:name w:val="toc 5"/>
    <w:basedOn w:val="Normal"/>
    <w:next w:val="Normal"/>
    <w:autoRedefine/>
    <w:uiPriority w:val="39"/>
    <w:unhideWhenUsed/>
    <w:rsid w:val="00162387"/>
    <w:pPr>
      <w:spacing w:after="100" w:line="259" w:lineRule="auto"/>
      <w:ind w:left="880"/>
      <w:jc w:val="left"/>
    </w:pPr>
    <w:rPr>
      <w:rFonts w:asciiTheme="minorHAnsi" w:eastAsiaTheme="minorEastAsia" w:hAnsiTheme="minorHAnsi" w:cstheme="minorBidi"/>
      <w:lang w:eastAsia="ja-JP"/>
    </w:rPr>
  </w:style>
  <w:style w:type="paragraph" w:styleId="TOC6">
    <w:name w:val="toc 6"/>
    <w:basedOn w:val="Normal"/>
    <w:next w:val="Normal"/>
    <w:autoRedefine/>
    <w:uiPriority w:val="39"/>
    <w:unhideWhenUsed/>
    <w:rsid w:val="00162387"/>
    <w:pPr>
      <w:spacing w:after="100" w:line="259" w:lineRule="auto"/>
      <w:ind w:left="1100"/>
      <w:jc w:val="left"/>
    </w:pPr>
    <w:rPr>
      <w:rFonts w:asciiTheme="minorHAnsi" w:eastAsiaTheme="minorEastAsia" w:hAnsiTheme="minorHAnsi" w:cstheme="minorBidi"/>
      <w:lang w:eastAsia="ja-JP"/>
    </w:rPr>
  </w:style>
  <w:style w:type="paragraph" w:styleId="TOC7">
    <w:name w:val="toc 7"/>
    <w:basedOn w:val="Normal"/>
    <w:next w:val="Normal"/>
    <w:autoRedefine/>
    <w:uiPriority w:val="39"/>
    <w:unhideWhenUsed/>
    <w:rsid w:val="00162387"/>
    <w:pPr>
      <w:spacing w:after="100" w:line="259" w:lineRule="auto"/>
      <w:ind w:left="1320"/>
      <w:jc w:val="left"/>
    </w:pPr>
    <w:rPr>
      <w:rFonts w:asciiTheme="minorHAnsi" w:eastAsiaTheme="minorEastAsia" w:hAnsiTheme="minorHAnsi" w:cstheme="minorBidi"/>
      <w:lang w:eastAsia="ja-JP"/>
    </w:rPr>
  </w:style>
  <w:style w:type="paragraph" w:styleId="TOC8">
    <w:name w:val="toc 8"/>
    <w:basedOn w:val="Normal"/>
    <w:next w:val="Normal"/>
    <w:autoRedefine/>
    <w:uiPriority w:val="39"/>
    <w:unhideWhenUsed/>
    <w:rsid w:val="00162387"/>
    <w:pPr>
      <w:spacing w:after="100" w:line="259" w:lineRule="auto"/>
      <w:ind w:left="1540"/>
      <w:jc w:val="left"/>
    </w:pPr>
    <w:rPr>
      <w:rFonts w:asciiTheme="minorHAnsi" w:eastAsiaTheme="minorEastAsia" w:hAnsiTheme="minorHAnsi" w:cstheme="minorBidi"/>
      <w:lang w:eastAsia="ja-JP"/>
    </w:rPr>
  </w:style>
  <w:style w:type="paragraph" w:styleId="TOC9">
    <w:name w:val="toc 9"/>
    <w:basedOn w:val="Normal"/>
    <w:next w:val="Normal"/>
    <w:autoRedefine/>
    <w:uiPriority w:val="39"/>
    <w:unhideWhenUsed/>
    <w:rsid w:val="00162387"/>
    <w:pPr>
      <w:spacing w:after="100" w:line="259" w:lineRule="auto"/>
      <w:ind w:left="1760"/>
      <w:jc w:val="left"/>
    </w:pPr>
    <w:rPr>
      <w:rFonts w:asciiTheme="minorHAnsi" w:eastAsiaTheme="minorEastAsia" w:hAnsiTheme="minorHAnsi" w:cstheme="minorBidi"/>
      <w:lang w:eastAsia="ja-JP"/>
    </w:rPr>
  </w:style>
  <w:style w:type="character" w:customStyle="1" w:styleId="UnresolvedMention1">
    <w:name w:val="Unresolved Mention1"/>
    <w:basedOn w:val="DefaultParagraphFont"/>
    <w:uiPriority w:val="99"/>
    <w:semiHidden/>
    <w:unhideWhenUsed/>
    <w:rsid w:val="00162387"/>
    <w:rPr>
      <w:color w:val="605E5C"/>
      <w:shd w:val="clear" w:color="auto" w:fill="E1DFDD"/>
    </w:rPr>
  </w:style>
  <w:style w:type="character" w:styleId="CommentReference">
    <w:name w:val="annotation reference"/>
    <w:basedOn w:val="DefaultParagraphFont"/>
    <w:uiPriority w:val="99"/>
    <w:semiHidden/>
    <w:unhideWhenUsed/>
    <w:rsid w:val="00162387"/>
    <w:rPr>
      <w:sz w:val="16"/>
      <w:szCs w:val="16"/>
    </w:rPr>
  </w:style>
  <w:style w:type="paragraph" w:styleId="CommentText">
    <w:name w:val="annotation text"/>
    <w:basedOn w:val="Normal"/>
    <w:link w:val="CommentTextChar"/>
    <w:uiPriority w:val="99"/>
    <w:semiHidden/>
    <w:unhideWhenUsed/>
    <w:rsid w:val="00162387"/>
    <w:pPr>
      <w:spacing w:line="240" w:lineRule="auto"/>
    </w:pPr>
    <w:rPr>
      <w:sz w:val="20"/>
      <w:szCs w:val="20"/>
    </w:rPr>
  </w:style>
  <w:style w:type="character" w:customStyle="1" w:styleId="CommentTextChar">
    <w:name w:val="Comment Text Char"/>
    <w:basedOn w:val="DefaultParagraphFont"/>
    <w:link w:val="CommentText"/>
    <w:uiPriority w:val="99"/>
    <w:semiHidden/>
    <w:rsid w:val="001623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387"/>
    <w:rPr>
      <w:b/>
      <w:bCs/>
    </w:rPr>
  </w:style>
  <w:style w:type="character" w:customStyle="1" w:styleId="CommentSubjectChar">
    <w:name w:val="Comment Subject Char"/>
    <w:basedOn w:val="CommentTextChar"/>
    <w:link w:val="CommentSubject"/>
    <w:uiPriority w:val="99"/>
    <w:semiHidden/>
    <w:rsid w:val="001623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es/our-work/opinions-information-reports/opinions/european-public-goods-policy-priority-financing-eus-sustainability-growth-and-facing-global-challenges" TargetMode="External"/><Relationship Id="rId117" Type="http://schemas.openxmlformats.org/officeDocument/2006/relationships/fontTable" Target="fontTable.xml"/><Relationship Id="rId21" Type="http://schemas.openxmlformats.org/officeDocument/2006/relationships/hyperlink" Target="https://www.eesc.europa.eu/es/documents/resolution/defending-eus-values-and-strengthening-its-future-new-geopolitical-order" TargetMode="External"/><Relationship Id="rId42" Type="http://schemas.openxmlformats.org/officeDocument/2006/relationships/hyperlink" Target="mailto:Triin.AasmaaGomes@eesc.europa.eu" TargetMode="External"/><Relationship Id="rId47" Type="http://schemas.openxmlformats.org/officeDocument/2006/relationships/hyperlink" Target="https://www.eesc.europa.eu/es/our-work/opinions-information-reports/opinions/how-ensure-green-skills-and-promote-green-vocational-institutions" TargetMode="External"/><Relationship Id="rId63" Type="http://schemas.openxmlformats.org/officeDocument/2006/relationships/hyperlink" Target="https://www.eesc.europa.eu/es/our-work/opinions-information-reports/opinions/extension-eurovignette-directive" TargetMode="External"/><Relationship Id="rId68" Type="http://schemas.openxmlformats.org/officeDocument/2006/relationships/hyperlink" Target="mailto:Annalisa.Tessarolo@eesc.europa.eu" TargetMode="External"/><Relationship Id="rId84" Type="http://schemas.openxmlformats.org/officeDocument/2006/relationships/hyperlink" Target="mailto:Caroline.Verhelst@eesc.europa.eu" TargetMode="External"/><Relationship Id="rId89" Type="http://schemas.openxmlformats.org/officeDocument/2006/relationships/hyperlink" Target="mailto:Myrto.Kolyva@eesc.europa.eu" TargetMode="External"/><Relationship Id="rId112" Type="http://schemas.openxmlformats.org/officeDocument/2006/relationships/header" Target="header5.xml"/><Relationship Id="rId16" Type="http://schemas.openxmlformats.org/officeDocument/2006/relationships/header" Target="header2.xml"/><Relationship Id="rId107" Type="http://schemas.openxmlformats.org/officeDocument/2006/relationships/hyperlink" Target="https://www.eesc.europa.eu/es/our-work/opinions-information-reports/opinions/building-blocks-strengthening-europes-manufacturing-base-cleantech" TargetMode="External"/><Relationship Id="rId11" Type="http://schemas.openxmlformats.org/officeDocument/2006/relationships/endnotes" Target="endnotes.xml"/><Relationship Id="rId24" Type="http://schemas.openxmlformats.org/officeDocument/2006/relationships/hyperlink" Target="https://www.eesc.europa.eu/es/our-work/opinions-information-reports/opinions/additional-considerations-euro-area-economic-policy-2025" TargetMode="External"/><Relationship Id="rId32" Type="http://schemas.openxmlformats.org/officeDocument/2006/relationships/hyperlink" Target="https://www.eesc.europa.eu/es/our-work/opinions-information-reports/opinions/additional-considerations-way-forward-european-semester-2025" TargetMode="External"/><Relationship Id="rId37" Type="http://schemas.openxmlformats.org/officeDocument/2006/relationships/hyperlink" Target="mailto:Ana.Dumitrache@eesc.europa.eu" TargetMode="External"/><Relationship Id="rId40" Type="http://schemas.openxmlformats.org/officeDocument/2006/relationships/hyperlink" Target="mailto:Ana.Dumitrache@eesc.europa.eu" TargetMode="External"/><Relationship Id="rId45" Type="http://schemas.openxmlformats.org/officeDocument/2006/relationships/hyperlink" Target="https://www.eesc.europa.eu/es/our-work/opinions-information-reports/opinions/reducing-barriers-inclusive-entrepreneurship-promoting-innovation-and-providing-equal-opportunities-all" TargetMode="External"/><Relationship Id="rId53" Type="http://schemas.openxmlformats.org/officeDocument/2006/relationships/hyperlink" Target="https://www.eesc.europa.eu/es/our-work/opinions-information-reports/opinions/ai-big-data-and-rare-diseases" TargetMode="External"/><Relationship Id="rId58" Type="http://schemas.openxmlformats.org/officeDocument/2006/relationships/hyperlink" Target="mailto:Francesco.Napolitano@eesc.europa.eu" TargetMode="External"/><Relationship Id="rId66" Type="http://schemas.openxmlformats.org/officeDocument/2006/relationships/hyperlink" Target="mailto:Marco.Manfroni@eesc.europa.eu" TargetMode="External"/><Relationship Id="rId74" Type="http://schemas.openxmlformats.org/officeDocument/2006/relationships/hyperlink" Target="mailto:Alice.Tetu@eesc.europa.eu" TargetMode="External"/><Relationship Id="rId79" Type="http://schemas.openxmlformats.org/officeDocument/2006/relationships/hyperlink" Target="https://www.eesc.europa.eu/es/our-work/opinions-information-reports/opinions/strengthening-enforcement-single-market-rules-revision-current-tools-and-framework" TargetMode="External"/><Relationship Id="rId87" Type="http://schemas.openxmlformats.org/officeDocument/2006/relationships/hyperlink" Target="mailto:Myrto.Kolyva@eesc.europa.eu" TargetMode="External"/><Relationship Id="rId102" Type="http://schemas.openxmlformats.org/officeDocument/2006/relationships/hyperlink" Target="mailto:Heli.Niemela-Farrer@eesc.europa.eu" TargetMode="External"/><Relationship Id="rId110" Type="http://schemas.openxmlformats.org/officeDocument/2006/relationships/hyperlink" Target="mailto:Laura.Ernsteina@eesc.europa.eu" TargetMode="External"/><Relationship Id="rId115" Type="http://schemas.openxmlformats.org/officeDocument/2006/relationships/header" Target="header6.xml"/><Relationship Id="rId5" Type="http://schemas.openxmlformats.org/officeDocument/2006/relationships/customXml" Target="../customXml/item5.xml"/><Relationship Id="rId61" Type="http://schemas.openxmlformats.org/officeDocument/2006/relationships/hyperlink" Target="https://www.eesc.europa.eu/es/our-work/opinions-information-reports/opinions/ending-russian-energy-imports" TargetMode="External"/><Relationship Id="rId82" Type="http://schemas.openxmlformats.org/officeDocument/2006/relationships/hyperlink" Target="mailto:Silvia.Staffa@eesc.europa.eu" TargetMode="External"/><Relationship Id="rId90" Type="http://schemas.openxmlformats.org/officeDocument/2006/relationships/hyperlink" Target="mailto:Arturo.Iniguez@eesc.europa.eu" TargetMode="External"/><Relationship Id="rId95" Type="http://schemas.openxmlformats.org/officeDocument/2006/relationships/hyperlink" Target="https://www.eesc.europa.eu/es/our-work/opinions-information-reports/information-reports/social-media-and-ai-algorithms-ensuring-right-accurate-information-and-visibility-high-quality-content-across-europe"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Pierluigi.Brombo@eesc.europa.eu" TargetMode="External"/><Relationship Id="rId27" Type="http://schemas.openxmlformats.org/officeDocument/2006/relationships/hyperlink" Target="mailto:Gerald.Klec@eesc.europa.eu" TargetMode="External"/><Relationship Id="rId30" Type="http://schemas.openxmlformats.org/officeDocument/2006/relationships/hyperlink" Target="https://www.eesc.europa.eu/es/our-work/opinions-information-reports/opinions/review-securitisation-regulation" TargetMode="External"/><Relationship Id="rId35" Type="http://schemas.openxmlformats.org/officeDocument/2006/relationships/hyperlink" Target="mailto:Gerald.Klec@eesc.europa.eu" TargetMode="External"/><Relationship Id="rId43" Type="http://schemas.openxmlformats.org/officeDocument/2006/relationships/hyperlink" Target="https://www.eesc.europa.eu/es/our-work/opinions-information-reports/opinions/european-democracy-shield" TargetMode="External"/><Relationship Id="rId48" Type="http://schemas.openxmlformats.org/officeDocument/2006/relationships/hyperlink" Target="mailto:Triin.AasmaaGomes@eesc.europa.eu" TargetMode="External"/><Relationship Id="rId56" Type="http://schemas.openxmlformats.org/officeDocument/2006/relationships/hyperlink" Target="mailto:Francesco.Napolitano@eesc.europa.eu" TargetMode="External"/><Relationship Id="rId64" Type="http://schemas.openxmlformats.org/officeDocument/2006/relationships/hyperlink" Target="mailto:Maja.Radman@eesc.europa.eu" TargetMode="External"/><Relationship Id="rId69" Type="http://schemas.openxmlformats.org/officeDocument/2006/relationships/hyperlink" Target="https://www.eesc.europa.eu/es/our-work/opinions-information-reports/opinions/call-fair-competition-regard-3rd-country-platforms" TargetMode="External"/><Relationship Id="rId77" Type="http://schemas.openxmlformats.org/officeDocument/2006/relationships/hyperlink" Target="https://www.eesc.europa.eu/es/our-work/opinions-information-reports/opinions/interdependences-between-ai-applications-and-liberal-professions-services-addressing-urgent-societal-needs" TargetMode="External"/><Relationship Id="rId100" Type="http://schemas.openxmlformats.org/officeDocument/2006/relationships/hyperlink" Target="mailto:Andreas.Berger@eesc.europa.eu" TargetMode="External"/><Relationship Id="rId105" Type="http://schemas.openxmlformats.org/officeDocument/2006/relationships/hyperlink" Target="https://www.eesc.europa.eu/es/our-work/opinions-information-reports/opinions/eu-steel-and-metals-action-plan" TargetMode="External"/><Relationship Id="rId113" Type="http://schemas.openxmlformats.org/officeDocument/2006/relationships/footer" Target="footer4.xml"/><Relationship Id="rId118"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es/our-work/opinions-information-reports/opinions/evaluating-impact-public-policies-medium-and-long-term-through-intergenerational-budgeting" TargetMode="External"/><Relationship Id="rId72" Type="http://schemas.openxmlformats.org/officeDocument/2006/relationships/hyperlink" Target="mailto:Annalisa.Tessarolo@eesc.europa.eu" TargetMode="External"/><Relationship Id="rId80" Type="http://schemas.openxmlformats.org/officeDocument/2006/relationships/hyperlink" Target="mailto:Annalisa.Tessarolo@eesc.europa.eu" TargetMode="External"/><Relationship Id="rId85" Type="http://schemas.openxmlformats.org/officeDocument/2006/relationships/hyperlink" Target="mailto:Gaizka.MaloElcoro-Iribe@eesc.europa.eu" TargetMode="External"/><Relationship Id="rId93" Type="http://schemas.openxmlformats.org/officeDocument/2006/relationships/hyperlink" Target="https://www.eesc.europa.eu/es/our-work/opinions-information-reports/opinions/new-pact-mediterranean" TargetMode="External"/><Relationship Id="rId98" Type="http://schemas.openxmlformats.org/officeDocument/2006/relationships/hyperlink" Target="mailto:Marie-Laurence.Drillon@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Omar.Bello@eesc.europa.eu" TargetMode="External"/><Relationship Id="rId33" Type="http://schemas.openxmlformats.org/officeDocument/2006/relationships/hyperlink" Target="mailto:anna.pantazi@eesc.europa.eu" TargetMode="External"/><Relationship Id="rId38" Type="http://schemas.openxmlformats.org/officeDocument/2006/relationships/hyperlink" Target="https://www.eesc.europa.eu/es/our-work/opinions-information-reports/opinions/guidelines-employment-policies-member-states-5" TargetMode="External"/><Relationship Id="rId46" Type="http://schemas.openxmlformats.org/officeDocument/2006/relationships/hyperlink" Target="mailto:Bartek.Bednarowicz@eesc.europa.eu" TargetMode="External"/><Relationship Id="rId59" Type="http://schemas.openxmlformats.org/officeDocument/2006/relationships/hyperlink" Target="https://www.eesc.europa.eu/es/our-work/opinions-information-reports/opinions/revision-directives-roadworthiness-package" TargetMode="External"/><Relationship Id="rId67" Type="http://schemas.openxmlformats.org/officeDocument/2006/relationships/hyperlink" Target="https://www.eesc.europa.eu/es/our-work/opinions-information-reports/opinions/challenge-single-market-european-defence-policy-well-balanced-needs-citizens" TargetMode="External"/><Relationship Id="rId103" Type="http://schemas.openxmlformats.org/officeDocument/2006/relationships/hyperlink" Target="https://www.eesc.europa.eu/es/our-work/opinions-information-reports/opinions/water-resilience-and-twin-transition-industrial-approaches-addressing-relationship-between-water-digitalisation-and" TargetMode="External"/><Relationship Id="rId108" Type="http://schemas.openxmlformats.org/officeDocument/2006/relationships/hyperlink" Target="mailto:JacopoErnesto.Caja@eesc.europa.eu" TargetMode="External"/><Relationship Id="rId116"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https://www.eesc.europa.eu/es/our-work/opinions-information-reports/opinions/establishing-common-system-return-third-country-nationals-staying-illegally-union" TargetMode="External"/><Relationship Id="rId54" Type="http://schemas.openxmlformats.org/officeDocument/2006/relationships/hyperlink" Target="mailto:Alessia.Cova@eesc.europa.eu" TargetMode="External"/><Relationship Id="rId62" Type="http://schemas.openxmlformats.org/officeDocument/2006/relationships/hyperlink" Target="mailto:GiorgiaAndrea.Bordignon@eesc.europa.eu" TargetMode="External"/><Relationship Id="rId70" Type="http://schemas.openxmlformats.org/officeDocument/2006/relationships/hyperlink" Target="mailto:Radoslava.Stefankova@eesc.europa.eu" TargetMode="External"/><Relationship Id="rId75" Type="http://schemas.openxmlformats.org/officeDocument/2006/relationships/hyperlink" Target="https://www.eesc.europa.eu/es/our-work/opinions-information-reports/opinions/european-start-ups-and-scale-ups" TargetMode="External"/><Relationship Id="rId83" Type="http://schemas.openxmlformats.org/officeDocument/2006/relationships/hyperlink" Target="https://www.eesc.europa.eu/es/our-work/opinions-information-reports/opinions/european-climate-law-amendment" TargetMode="External"/><Relationship Id="rId88" Type="http://schemas.openxmlformats.org/officeDocument/2006/relationships/hyperlink" Target="https://www.eesc.europa.eu/es/our-work/opinions-information-reports/opinions/cap-simplification-package" TargetMode="External"/><Relationship Id="rId91" Type="http://schemas.openxmlformats.org/officeDocument/2006/relationships/hyperlink" Target="https://www.eesc.europa.eu/es/our-work/opinions-information-reports/opinions/healthy-planet-healthy-people-towards-comprehensive-one-health-approach" TargetMode="External"/><Relationship Id="rId96" Type="http://schemas.openxmlformats.org/officeDocument/2006/relationships/hyperlink" Target="mailto:Daniele.Vitali@eesc.europa.eu" TargetMode="External"/><Relationship Id="rId11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Lilla.Szabo@eesc.europa.eu" TargetMode="External"/><Relationship Id="rId28" Type="http://schemas.openxmlformats.org/officeDocument/2006/relationships/hyperlink" Target="https://www.eesc.europa.eu/es/our-work/opinions-information-reports/opinions/defence-related-investments-eu-budget" TargetMode="External"/><Relationship Id="rId36" Type="http://schemas.openxmlformats.org/officeDocument/2006/relationships/hyperlink" Target="https://www.eesc.europa.eu/es/our-work/opinions-information-reports/opinions/how-can-active-and-inclusive-prevention-approach-contribute-better-health-and-safety-workplace-0-death-goals" TargetMode="External"/><Relationship Id="rId49" Type="http://schemas.openxmlformats.org/officeDocument/2006/relationships/hyperlink" Target="https://www.eesc.europa.eu/es/our-work/opinions-information-reports/opinions/how-apprenticeships-and-dual-learning-schemes-can-bolster-skills-businesses-need-order-face-challenges-green-and-digital" TargetMode="External"/><Relationship Id="rId57" Type="http://schemas.openxmlformats.org/officeDocument/2006/relationships/hyperlink" Target="https://www.eesc.europa.eu/es/our-work/opinions-information-reports/opinions/citizens-energy-package-citizens-engagement-energy-communities-and-prosumerism" TargetMode="External"/><Relationship Id="rId106" Type="http://schemas.openxmlformats.org/officeDocument/2006/relationships/hyperlink" Target="mailto:Adam.Dorywalski@eesc.europa.eu" TargetMode="External"/><Relationship Id="rId114"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mailto:Sergio.Lorenciomatallana@eesc.europa.eu" TargetMode="External"/><Relationship Id="rId44" Type="http://schemas.openxmlformats.org/officeDocument/2006/relationships/hyperlink" Target="mailto:JeanMarie.Rogue@eesc.europa.eu" TargetMode="External"/><Relationship Id="rId52" Type="http://schemas.openxmlformats.org/officeDocument/2006/relationships/hyperlink" Target="mailto:Sabrina.Borg@eesc.europa.eu" TargetMode="External"/><Relationship Id="rId60" Type="http://schemas.openxmlformats.org/officeDocument/2006/relationships/hyperlink" Target="mailto:Albert.Precup@eesc.europa.eu" TargetMode="External"/><Relationship Id="rId65" Type="http://schemas.openxmlformats.org/officeDocument/2006/relationships/hyperlink" Target="https://www.eesc.europa.eu/es/our-work/opinions-information-reports/opinions/omnibus-small-mid-caps" TargetMode="External"/><Relationship Id="rId73" Type="http://schemas.openxmlformats.org/officeDocument/2006/relationships/hyperlink" Target="https://www.eesc.europa.eu/es/our-work/opinions-information-reports/opinions/establishing-european-high-performance-computing-joint-undertaking" TargetMode="External"/><Relationship Id="rId78" Type="http://schemas.openxmlformats.org/officeDocument/2006/relationships/hyperlink" Target="mailto:Yousra.AsbouniElOuahabi@eesc.europa.eu" TargetMode="External"/><Relationship Id="rId81" Type="http://schemas.openxmlformats.org/officeDocument/2006/relationships/hyperlink" Target="https://www.eesc.europa.eu/es/our-work/opinions-information-reports/opinions/commercial-determinants-health" TargetMode="External"/><Relationship Id="rId86" Type="http://schemas.openxmlformats.org/officeDocument/2006/relationships/hyperlink" Target="https://www.eesc.europa.eu/es/our-work/opinions-information-reports/opinions/future-organic-and-quality-foods-and-how-we-can-step-consumption" TargetMode="External"/><Relationship Id="rId94" Type="http://schemas.openxmlformats.org/officeDocument/2006/relationships/hyperlink" Target="mailto:Andreas.Berger@eesc.europa.eu" TargetMode="External"/><Relationship Id="rId99" Type="http://schemas.openxmlformats.org/officeDocument/2006/relationships/hyperlink" Target="https://www.eesc.europa.eu/es/our-work/opinions-information-reports/opinions/boosting-sustainable-growth-and-quality-jobs-euromed-promoting-entrepreneurship-and-tapping-potential-women-and-young" TargetMode="External"/><Relationship Id="rId101" Type="http://schemas.openxmlformats.org/officeDocument/2006/relationships/hyperlink" Target="https://www.eesc.europa.eu/es/our-work/opinions-information-reports/opinions/initiative-water-resilience"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es/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Antoni.Torrasestruch@eesc.europa.eu" TargetMode="External"/><Relationship Id="rId109" Type="http://schemas.openxmlformats.org/officeDocument/2006/relationships/hyperlink" Target="https://www.eesc.europa.eu/es/our-work/opinions-information-reports/opinions/european-preparedness-union-strategy" TargetMode="External"/><Relationship Id="rId34" Type="http://schemas.openxmlformats.org/officeDocument/2006/relationships/hyperlink" Target="https://www.eesc.europa.eu/es/our-work/opinions-information-reports/opinions/new-impetus-european-sustainable-finance-framework" TargetMode="External"/><Relationship Id="rId50" Type="http://schemas.openxmlformats.org/officeDocument/2006/relationships/hyperlink" Target="mailto:Sabrina.Borg@eesc.europa.eu" TargetMode="External"/><Relationship Id="rId55" Type="http://schemas.openxmlformats.org/officeDocument/2006/relationships/hyperlink" Target="https://www.eesc.europa.eu/es/our-work/opinions-information-reports/opinions/european-affordable-housing-plan-contribution-civil-society" TargetMode="External"/><Relationship Id="rId76" Type="http://schemas.openxmlformats.org/officeDocument/2006/relationships/hyperlink" Target="mailto:Marco.Manfroni@eesc.europa.eu" TargetMode="External"/><Relationship Id="rId97" Type="http://schemas.openxmlformats.org/officeDocument/2006/relationships/hyperlink" Target="https://www.eesc.europa.eu/es/our-work/opinions-information-reports/opinions/blue-diplomacy-and-water-cooperation-solutions-relieve-pressure-climate-induced-migration" TargetMode="External"/><Relationship Id="rId104" Type="http://schemas.openxmlformats.org/officeDocument/2006/relationships/hyperlink" Target="mailto:Heli.Niemela-Farrer@eesc.europa.eu" TargetMode="External"/><Relationship Id="rId7" Type="http://schemas.openxmlformats.org/officeDocument/2006/relationships/styles" Target="styles.xml"/><Relationship Id="rId71" Type="http://schemas.openxmlformats.org/officeDocument/2006/relationships/hyperlink" Target="https://www.eesc.europa.eu/es/our-work/opinions-information-reports/opinions/omnibus-defence" TargetMode="External"/><Relationship Id="rId92" Type="http://schemas.openxmlformats.org/officeDocument/2006/relationships/hyperlink" Target="mailto:Gaia.Bottoni@eesc.europa.eu" TargetMode="External"/><Relationship Id="rId2" Type="http://schemas.openxmlformats.org/officeDocument/2006/relationships/customXml" Target="../customXml/item2.xml"/><Relationship Id="rId29" Type="http://schemas.openxmlformats.org/officeDocument/2006/relationships/hyperlink" Target="mailto:Gerald.Klec@eesc.europa.eu"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A6WAAD5KZT2Q-235352946-6927</_dlc_DocId>
    <_dlc_DocIdUrl xmlns="1a33af13-4045-4f88-9d7b-618e30f79918">
      <Url>http://dm/eesc/2025/_layouts/15/DocIdRedir.aspx?ID=A6WAAD5KZT2Q-235352946-6927</Url>
      <Description>A6WAAD5KZT2Q-235352946-6927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2025-10-14T12:00:00+00:00</ProductionDate>
    <DocumentNumber xmlns="a3e83899-37aa-47c6-ba54-4ea80e9c17cf">2635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2025-10-21T12:00:00+00:00</MeetingDate>
    <TaxCatchAll xmlns="1a33af13-4045-4f88-9d7b-618e30f79918">
      <Value>67</Value>
      <Value>50</Value>
      <Value>47</Value>
      <Value>46</Value>
      <Value>42</Value>
      <Value>41</Value>
      <Value>40</Value>
      <Value>39</Value>
      <Value>37</Value>
      <Value>36</Value>
      <Value>35</Value>
      <Value>34</Value>
      <Value>33</Value>
      <Value>31</Value>
      <Value>30</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295485</FicheNumber>
    <OriginalSender xmlns="1a33af13-4045-4f88-9d7b-618e30f79918">
      <UserInfo>
        <DisplayName>Rosa Garcia Alba Maria</DisplayName>
        <AccountId>2051</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600</MeetingNumber>
    <DossierName_0 xmlns="http://schemas.microsoft.com/sharepoint/v3/fields">
      <Terms xmlns="http://schemas.microsoft.com/office/infopath/2007/PartnerControls"/>
    </DossierName_0>
    <DocumentVersion xmlns="1a33af13-4045-4f88-9d7b-618e30f79918">2</Document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7C823-1F7B-4634-81C5-C91DA83808F0}">
  <ds:schemaRefs>
    <ds:schemaRef ds:uri="http://schemas.microsoft.com/sharepoint/v3/contenttype/forms"/>
  </ds:schemaRefs>
</ds:datastoreItem>
</file>

<file path=customXml/itemProps2.xml><?xml version="1.0" encoding="utf-8"?>
<ds:datastoreItem xmlns:ds="http://schemas.openxmlformats.org/officeDocument/2006/customXml" ds:itemID="{251DA164-654E-4830-A30E-6551B086BD55}">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a382cf6-584e-4bd2-bd73-0bac1a20efcb"/>
  </ds:schemaRefs>
</ds:datastoreItem>
</file>

<file path=customXml/itemProps3.xml><?xml version="1.0" encoding="utf-8"?>
<ds:datastoreItem xmlns:ds="http://schemas.openxmlformats.org/officeDocument/2006/customXml" ds:itemID="{A384BC5F-0165-4DD8-B180-B4D4A38767C3}">
  <ds:schemaRefs>
    <ds:schemaRef ds:uri="http://schemas.openxmlformats.org/officeDocument/2006/bibliography"/>
  </ds:schemaRefs>
</ds:datastoreItem>
</file>

<file path=customXml/itemProps4.xml><?xml version="1.0" encoding="utf-8"?>
<ds:datastoreItem xmlns:ds="http://schemas.openxmlformats.org/officeDocument/2006/customXml" ds:itemID="{E02E93AC-4898-4109-AE1C-782FF6D9207D}">
  <ds:schemaRefs>
    <ds:schemaRef ds:uri="http://schemas.microsoft.com/sharepoint/events"/>
  </ds:schemaRefs>
</ds:datastoreItem>
</file>

<file path=customXml/itemProps5.xml><?xml version="1.0" encoding="utf-8"?>
<ds:datastoreItem xmlns:ds="http://schemas.openxmlformats.org/officeDocument/2006/customXml" ds:itemID="{20F30BCC-D283-4423-B9AD-9F3634525413}"/>
</file>

<file path=docProps/app.xml><?xml version="1.0" encoding="utf-8"?>
<Properties xmlns="http://schemas.openxmlformats.org/officeDocument/2006/extended-properties" xmlns:vt="http://schemas.openxmlformats.org/officeDocument/2006/docPropsVTypes">
  <Template>Normal</Template>
  <TotalTime>0</TotalTime>
  <Pages>53</Pages>
  <Words>19119</Words>
  <Characters>108982</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Summary of  opinions - 597th plenary session - June 2025</vt:lpstr>
    </vt:vector>
  </TitlesOfParts>
  <Manager/>
  <Company/>
  <LinksUpToDate>false</LinksUpToDate>
  <CharactersWithSpaces>127846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dictámenes - 599.º pleno - septiembre de 2025</dc:title>
  <dc:subject>TCD</dc:subject>
  <dc:creator/>
  <cp:keywords>EESC-2025-01645-00-00-TCD-TRA-EN</cp:keywords>
  <dc:description>Rapporteur:  - Original language: EN - Date of document: 26-06-2025 - Date of meeting: 30-16-2025 14:30 - External documents:  - Administrator: MME TAMASAUSKIENE Julija</dc:description>
  <cp:lastModifiedBy/>
  <cp:revision>9</cp:revision>
  <cp:lastPrinted>2025-09-25T14:38:00Z</cp:lastPrinted>
  <dcterms:created xsi:type="dcterms:W3CDTF">2025-10-14T11:47:00Z</dcterms:created>
  <dcterms:modified xsi:type="dcterms:W3CDTF">2025-10-14T13:00:00Z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14/10/2025, 10/10/2025, 07/10/2025, 24/06/2025, 02/05/2022, 02/05/2022, 28/06/2021</vt:lpwstr>
  </property>
  <property fmtid="{D5CDD505-2E9C-101B-9397-08002B2CF9AE}" pid="4" name="Pref_Time">
    <vt:lpwstr>13:47:39, 17:20:33, 14:08:15, 16:06:11, 12:28:29, 12:25:37, 08:41:48</vt:lpwstr>
  </property>
  <property fmtid="{D5CDD505-2E9C-101B-9397-08002B2CF9AE}" pid="5" name="Pref_User">
    <vt:lpwstr>pacup, pacup, amett, pacup, enied, enied, enied</vt:lpwstr>
  </property>
  <property fmtid="{D5CDD505-2E9C-101B-9397-08002B2CF9AE}" pid="6" name="Pref_FileName">
    <vt:lpwstr>EESC-2025-02635-00-02-TCD-ORI.docx, EESC-2025-02635-00-01-TCD-ORI.docx, EESC-2025-02635-00-00-TCD-ORI.docx, EESC-2025-01645-00-00-TCD-ORI.docx, Summary of opinions.docx, COR-EESC-2022-02370-00-00-ADMIN-ORI.docx, Synthese des avis Template.docx</vt:lpwstr>
  </property>
  <property fmtid="{D5CDD505-2E9C-101B-9397-08002B2CF9AE}" pid="7" name="ContentTypeId">
    <vt:lpwstr>0x010100EA97B91038054C99906057A708A1480A004B94E0CD93B68F4F96D67EEBEC8A7176</vt:lpwstr>
  </property>
  <property fmtid="{D5CDD505-2E9C-101B-9397-08002B2CF9AE}" pid="8" name="_dlc_DocIdItemGuid">
    <vt:lpwstr>7bc605e3-710e-4b9d-ac21-d8dacddb287a</vt:lpwstr>
  </property>
  <property fmtid="{D5CDD505-2E9C-101B-9397-08002B2CF9AE}" pid="9" name="AvailableTranslations">
    <vt:lpwstr>42;#EL|6d4f4d51-af9b-4650-94b4-4276bee85c91;#39;#LV|46f7e311-5d9f-4663-b433-18aeccb7ace7;#24;#PL|1e03da61-4678-4e07-b136-b5024ca9197b;#31;#SL|98a412ae-eb01-49e9-ae3d-585a81724cfc;#35;#FI|87606a43-d45f-42d6-b8c9-e1a3457db5b7;#47;#BG|1a1b3951-7821-4e6a-85f5-5673fc08bd2c;#40;#DA|5d49c027-8956-412b-aa16-e85a0f96ad0e;#46;#SK|46d9fce0-ef79-4f71-b89b-cd6aa82426b8;#23;#DE|f6b31e5a-26fa-4935-b661-318e46daf27e;#50;#HR|2f555653-ed1a-4fe6-8362-9082d95989e5;#12;#FR|d2afafd3-4c81-4f60-8f52-ee33f2f54ff3;#36;#RO|feb747a2-64cd-4299-af12-4833ddc30497;#27;#NL|55c6556c-b4f4-441d-9acf-c498d4f838bd;#37;#HU|6b229040-c589-4408-b4c1-4285663d20a8;#33;#PT|50ccc04a-eadd-42ae-a0cb-acaf45f812ba;#30;#LT|a7ff5ce7-6123-4f68-865a-a57c31810414;#34;#IT|0774613c-01ed-4e5d-a25d-11d2388de825;#28;#SV|c2ed69e7-a339-43d7-8f22-d93680a92aa0;#16;#ES|e7a6b05b-ae16-40c8-add9-68b64b03aeba;#41;#ET|ff6c3f4c-b02c-4c3c-ab07-2c37995a7a0a;#5;#EN|f2175f21-25d7-44a3-96da-d6a61b075e1b</vt:lpwstr>
  </property>
  <property fmtid="{D5CDD505-2E9C-101B-9397-08002B2CF9AE}" pid="10" name="DocumentType_0">
    <vt:lpwstr>TCD|cd9d6eb6-3f4f-424a-b2d1-57c9d450eaaf</vt:lpwstr>
  </property>
  <property fmtid="{D5CDD505-2E9C-101B-9397-08002B2CF9AE}" pid="11" name="MeetingNumber">
    <vt:i4>600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DocumentVersion">
    <vt:i4>2</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19;#TCD|cd9d6eb6-3f4f-424a-b2d1-57c9d450eaaf</vt:lpwstr>
  </property>
  <property fmtid="{D5CDD505-2E9C-101B-9397-08002B2CF9AE}" pid="21" name="RequestingService">
    <vt:lpwstr>Greffe</vt:lpwstr>
  </property>
  <property fmtid="{D5CDD505-2E9C-101B-9397-08002B2CF9AE}" pid="22" name="Confidentiality">
    <vt:lpwstr>15;#Unrestricted|826e22d7-d029-4ec0-a450-0c28ff673572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67;#SPL-CES|32d8cb1f-c9ec-4365-95c7-8385a18618ac</vt:lpwstr>
  </property>
  <property fmtid="{D5CDD505-2E9C-101B-9397-08002B2CF9AE}" pid="27" name="MeetingDate">
    <vt:filetime>2025-10-21T12:00:00Z</vt:filetime>
  </property>
  <property fmtid="{D5CDD505-2E9C-101B-9397-08002B2CF9AE}" pid="28" name="AvailableTranslations_0">
    <vt:lpwstr>FI|87606a43-d45f-42d6-b8c9-e1a3457db5b7;BG|1a1b3951-7821-4e6a-85f5-5673fc08bd2c;DE|f6b31e5a-26fa-4935-b661-318e46daf27e;HR|2f555653-ed1a-4fe6-8362-9082d95989e5;NL|55c6556c-b4f4-441d-9acf-c498d4f838bd;IT|0774613c-01ed-4e5d-a25d-11d2388de825;EN|f2175f21-25d7-44a3-96da-d6a61b075e1b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35;#FI|87606a43-d45f-42d6-b8c9-e1a3457db5b7;#34;#IT|0774613c-01ed-4e5d-a25d-11d2388de825;#13;#TRA|150d2a88-1431-44e6-a8ca-0bb753ab8672;#67;#SPL-CES|32d8cb1f-c9ec-4365-95c7-8385a18618ac;#27;#NL|55c6556c-b4f4-441d-9acf-c498d4f838bd;#23;#DE|f6b31e5a-26fa-4935-b661-318e46daf27e;#19;#TCD|cd9d6eb6-3f4f-424a-b2d1-57c9d450eaaf;#15;#Unrestricted|826e22d7-d029-4ec0-a450-0c28ff673572;#50;#HR|2f555653-ed1a-4fe6-8362-9082d95989e5;#47;#BG|1a1b3951-7821-4e6a-85f5-5673fc08bd2c;#8;#Final|ea5e6674-7b27-4bac-b091-73adbb394efe;#5;#EN|f2175f21-25d7-44a3-96da-d6a61b075e1b;#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295485</vt:i4>
  </property>
  <property fmtid="{D5CDD505-2E9C-101B-9397-08002B2CF9AE}" pid="36" name="DocumentLanguage">
    <vt:lpwstr>16;#ES|e7a6b05b-ae16-40c8-add9-68b64b03aeba</vt:lpwstr>
  </property>
  <property fmtid="{D5CDD505-2E9C-101B-9397-08002B2CF9AE}" pid="37" name="_docset_NoMedatataSyncRequired">
    <vt:lpwstr>False</vt:lpwstr>
  </property>
  <property fmtid="{D5CDD505-2E9C-101B-9397-08002B2CF9AE}" pid="38" name="DocumentLanguage_0">
    <vt:lpwstr>EN|f2175f21-25d7-44a3-96da-d6a61b075e1b</vt:lpwstr>
  </property>
</Properties>
</file>