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25"/>
      </w:tblGrid>
      <w:tr w:rsidR="001C4138" w:rsidRPr="005B02BD" w14:paraId="7E6372DC" w14:textId="77777777" w:rsidTr="00185C16">
        <w:trPr>
          <w:jc w:val="center"/>
        </w:trPr>
        <w:tc>
          <w:tcPr>
            <w:tcW w:w="10325" w:type="dxa"/>
          </w:tcPr>
          <w:p w14:paraId="3A4EDC3A" w14:textId="19962715" w:rsidR="007F5BCB" w:rsidRPr="005B02BD" w:rsidRDefault="00E10FF9" w:rsidP="005B02BD">
            <w:pPr>
              <w:spacing w:before="120" w:after="120"/>
              <w:rPr>
                <w:rFonts w:ascii="Times New Roman" w:hAnsi="Times New Roman"/>
                <w:b/>
                <w:sz w:val="24"/>
                <w:szCs w:val="24"/>
                <w:lang w:val="en-IE"/>
              </w:rPr>
            </w:pPr>
            <w:r w:rsidRPr="00D02BCE">
              <w:rPr>
                <w:rFonts w:ascii="Times New Roman" w:hAnsi="Times New Roman"/>
                <w:b/>
                <w:sz w:val="24"/>
                <w:szCs w:val="24"/>
              </w:rPr>
              <w:t>Developing Europe’s strategy for the Arctic in dialogue with civil society</w:t>
            </w:r>
            <w:r w:rsidR="005B02BD">
              <w:rPr>
                <w:rFonts w:ascii="Times New Roman" w:hAnsi="Times New Roman"/>
                <w:b/>
                <w:sz w:val="24"/>
                <w:szCs w:val="24"/>
              </w:rPr>
              <w:br/>
            </w:r>
            <w:r w:rsidR="00873053" w:rsidRPr="00D02BCE">
              <w:rPr>
                <w:rFonts w:ascii="Times New Roman" w:hAnsi="Times New Roman"/>
                <w:b/>
                <w:sz w:val="24"/>
                <w:szCs w:val="24"/>
                <w:lang w:val="en-IE"/>
              </w:rPr>
              <w:t>(own-initiative opinion)</w:t>
            </w:r>
            <w:r w:rsidR="005B02BD">
              <w:rPr>
                <w:rFonts w:ascii="Times New Roman" w:hAnsi="Times New Roman"/>
                <w:b/>
                <w:sz w:val="24"/>
                <w:szCs w:val="24"/>
                <w:lang w:val="en-IE"/>
              </w:rPr>
              <w:br/>
            </w:r>
            <w:r w:rsidR="00BF52F4" w:rsidRPr="00D02BCE">
              <w:rPr>
                <w:rFonts w:ascii="Times New Roman" w:hAnsi="Times New Roman"/>
                <w:b/>
                <w:sz w:val="24"/>
                <w:szCs w:val="24"/>
                <w:lang w:val="en-IE"/>
              </w:rPr>
              <w:t>EESC-2024-03182</w:t>
            </w:r>
            <w:r w:rsidR="005B02BD">
              <w:rPr>
                <w:rFonts w:ascii="Times New Roman" w:hAnsi="Times New Roman"/>
                <w:b/>
                <w:sz w:val="24"/>
                <w:szCs w:val="24"/>
                <w:lang w:val="en-IE"/>
              </w:rPr>
              <w:t xml:space="preserve"> </w:t>
            </w:r>
            <w:r w:rsidR="005B02BD" w:rsidRPr="00D02BCE">
              <w:rPr>
                <w:rFonts w:ascii="Times New Roman" w:hAnsi="Times New Roman"/>
                <w:b/>
                <w:sz w:val="24"/>
                <w:szCs w:val="24"/>
              </w:rPr>
              <w:t>–</w:t>
            </w:r>
            <w:r w:rsidR="005B02BD">
              <w:rPr>
                <w:rFonts w:ascii="Times New Roman" w:hAnsi="Times New Roman"/>
                <w:b/>
                <w:sz w:val="24"/>
                <w:szCs w:val="24"/>
              </w:rPr>
              <w:t xml:space="preserve"> </w:t>
            </w:r>
            <w:r w:rsidR="00873053" w:rsidRPr="00D02BCE">
              <w:rPr>
                <w:rFonts w:ascii="Times New Roman" w:hAnsi="Times New Roman"/>
                <w:b/>
                <w:sz w:val="24"/>
                <w:szCs w:val="24"/>
              </w:rPr>
              <w:t>REX/592</w:t>
            </w:r>
            <w:r w:rsidR="005B02BD">
              <w:rPr>
                <w:rFonts w:ascii="Times New Roman" w:hAnsi="Times New Roman"/>
                <w:b/>
                <w:sz w:val="24"/>
                <w:szCs w:val="24"/>
              </w:rPr>
              <w:br/>
            </w:r>
            <w:r w:rsidR="005B02BD" w:rsidRPr="005B02BD">
              <w:rPr>
                <w:rFonts w:ascii="Times New Roman" w:hAnsi="Times New Roman"/>
                <w:b/>
                <w:sz w:val="24"/>
                <w:szCs w:val="24"/>
              </w:rPr>
              <w:t>58</w:t>
            </w:r>
            <w:r w:rsidR="005B02BD">
              <w:rPr>
                <w:rFonts w:ascii="Times New Roman" w:hAnsi="Times New Roman"/>
                <w:b/>
                <w:sz w:val="24"/>
                <w:szCs w:val="24"/>
              </w:rPr>
              <w:t>3</w:t>
            </w:r>
            <w:r w:rsidR="005B02BD" w:rsidRPr="00C37140">
              <w:rPr>
                <w:rFonts w:ascii="Times New Roman" w:hAnsi="Times New Roman"/>
                <w:b/>
                <w:sz w:val="24"/>
                <w:szCs w:val="24"/>
                <w:vertAlign w:val="superscript"/>
              </w:rPr>
              <w:t>rd</w:t>
            </w:r>
            <w:r w:rsidR="005B02BD" w:rsidRPr="00D02BCE">
              <w:rPr>
                <w:rFonts w:ascii="Times New Roman" w:hAnsi="Times New Roman"/>
                <w:b/>
                <w:sz w:val="24"/>
                <w:szCs w:val="24"/>
              </w:rPr>
              <w:t xml:space="preserve"> </w:t>
            </w:r>
            <w:r w:rsidR="001C4138" w:rsidRPr="00D02BCE">
              <w:rPr>
                <w:rFonts w:ascii="Times New Roman" w:hAnsi="Times New Roman"/>
                <w:b/>
                <w:sz w:val="24"/>
                <w:szCs w:val="24"/>
              </w:rPr>
              <w:t xml:space="preserve">Plenary Session – </w:t>
            </w:r>
            <w:r w:rsidR="00475EB8" w:rsidRPr="00D02BCE">
              <w:rPr>
                <w:rFonts w:ascii="Times New Roman" w:hAnsi="Times New Roman"/>
                <w:b/>
                <w:sz w:val="24"/>
                <w:szCs w:val="24"/>
              </w:rPr>
              <w:t>Jan</w:t>
            </w:r>
            <w:r w:rsidR="005B02BD">
              <w:rPr>
                <w:rFonts w:ascii="Times New Roman" w:hAnsi="Times New Roman"/>
                <w:b/>
                <w:sz w:val="24"/>
                <w:szCs w:val="24"/>
              </w:rPr>
              <w:t>uary</w:t>
            </w:r>
            <w:r w:rsidR="00475EB8" w:rsidRPr="00D02BCE">
              <w:rPr>
                <w:rFonts w:ascii="Times New Roman" w:hAnsi="Times New Roman"/>
                <w:b/>
                <w:sz w:val="24"/>
                <w:szCs w:val="24"/>
              </w:rPr>
              <w:t xml:space="preserve"> 2025</w:t>
            </w:r>
            <w:r w:rsidR="001C4138" w:rsidRPr="00D02BCE">
              <w:rPr>
                <w:rFonts w:ascii="Times New Roman" w:hAnsi="Times New Roman"/>
                <w:b/>
                <w:sz w:val="24"/>
                <w:szCs w:val="24"/>
                <w:lang w:val="da-DK"/>
              </w:rPr>
              <w:br/>
              <w:t>Rapporteur:</w:t>
            </w:r>
            <w:r w:rsidR="007F5BCB" w:rsidRPr="00D02BCE">
              <w:rPr>
                <w:rFonts w:ascii="Times New Roman" w:hAnsi="Times New Roman"/>
                <w:b/>
                <w:sz w:val="24"/>
                <w:szCs w:val="24"/>
                <w:lang w:val="da-DK"/>
              </w:rPr>
              <w:t xml:space="preserve"> Anders LADEFOGED (DK</w:t>
            </w:r>
            <w:r w:rsidR="00223EB5" w:rsidRPr="00D02BCE">
              <w:rPr>
                <w:rFonts w:ascii="Times New Roman" w:hAnsi="Times New Roman"/>
                <w:b/>
                <w:sz w:val="24"/>
                <w:szCs w:val="24"/>
                <w:lang w:val="da-DK"/>
              </w:rPr>
              <w:t>-I</w:t>
            </w:r>
            <w:r w:rsidR="007F5BCB" w:rsidRPr="00D02BCE">
              <w:rPr>
                <w:rFonts w:ascii="Times New Roman" w:hAnsi="Times New Roman"/>
                <w:b/>
                <w:sz w:val="24"/>
                <w:szCs w:val="24"/>
                <w:lang w:val="da-DK"/>
              </w:rPr>
              <w:t>)</w:t>
            </w:r>
            <w:r w:rsidR="005B02BD">
              <w:rPr>
                <w:rFonts w:ascii="Times New Roman" w:hAnsi="Times New Roman"/>
                <w:b/>
                <w:sz w:val="24"/>
                <w:szCs w:val="24"/>
                <w:lang w:val="da-DK"/>
              </w:rPr>
              <w:br/>
            </w:r>
            <w:r w:rsidR="007F5BCB" w:rsidRPr="005B02BD">
              <w:rPr>
                <w:rFonts w:ascii="Times New Roman" w:hAnsi="Times New Roman"/>
                <w:b/>
                <w:sz w:val="24"/>
                <w:szCs w:val="24"/>
              </w:rPr>
              <w:t>Co-rapporteur: Christian MOOS (</w:t>
            </w:r>
            <w:r w:rsidR="00223EB5" w:rsidRPr="005B02BD">
              <w:rPr>
                <w:rFonts w:ascii="Times New Roman" w:hAnsi="Times New Roman"/>
                <w:b/>
                <w:sz w:val="24"/>
                <w:szCs w:val="24"/>
              </w:rPr>
              <w:t>DE-III)</w:t>
            </w:r>
            <w:r w:rsidR="005B02BD">
              <w:rPr>
                <w:rFonts w:ascii="Times New Roman" w:hAnsi="Times New Roman"/>
                <w:b/>
                <w:sz w:val="24"/>
                <w:szCs w:val="24"/>
              </w:rPr>
              <w:br/>
            </w:r>
            <w:r w:rsidR="005B02BD" w:rsidRPr="002F1947">
              <w:rPr>
                <w:rFonts w:ascii="Times New Roman" w:hAnsi="Times New Roman"/>
                <w:b/>
                <w:sz w:val="24"/>
                <w:szCs w:val="24"/>
              </w:rPr>
              <w:t>E</w:t>
            </w:r>
            <w:r w:rsidR="005B02BD">
              <w:rPr>
                <w:rFonts w:ascii="Times New Roman" w:hAnsi="Times New Roman"/>
                <w:b/>
                <w:sz w:val="24"/>
                <w:szCs w:val="24"/>
              </w:rPr>
              <w:t>EAS</w:t>
            </w:r>
            <w:r w:rsidR="005B02BD" w:rsidRPr="002F1947">
              <w:rPr>
                <w:rFonts w:ascii="Times New Roman" w:hAnsi="Times New Roman"/>
                <w:b/>
                <w:sz w:val="24"/>
                <w:szCs w:val="24"/>
              </w:rPr>
              <w:t xml:space="preserve"> – </w:t>
            </w:r>
            <w:r w:rsidR="005B02BD" w:rsidRPr="005B02BD">
              <w:rPr>
                <w:rFonts w:ascii="Times New Roman" w:hAnsi="Times New Roman"/>
                <w:b/>
                <w:sz w:val="24"/>
                <w:szCs w:val="24"/>
              </w:rPr>
              <w:t>High Representative for Foreign Affairs and Security Policy</w:t>
            </w:r>
            <w:r w:rsidR="005B02BD">
              <w:rPr>
                <w:rFonts w:ascii="Times New Roman" w:hAnsi="Times New Roman"/>
                <w:b/>
                <w:sz w:val="24"/>
                <w:szCs w:val="24"/>
              </w:rPr>
              <w:t xml:space="preserve"> / </w:t>
            </w:r>
            <w:r w:rsidR="005B02BD" w:rsidRPr="005B02BD">
              <w:rPr>
                <w:rFonts w:ascii="Times New Roman" w:hAnsi="Times New Roman"/>
                <w:b/>
                <w:sz w:val="24"/>
                <w:szCs w:val="24"/>
              </w:rPr>
              <w:t>Vice-President</w:t>
            </w:r>
            <w:r w:rsidR="005B02BD">
              <w:rPr>
                <w:rFonts w:ascii="Times New Roman" w:hAnsi="Times New Roman"/>
                <w:b/>
                <w:sz w:val="24"/>
                <w:szCs w:val="24"/>
              </w:rPr>
              <w:t xml:space="preserve"> KALLAS</w:t>
            </w:r>
          </w:p>
        </w:tc>
      </w:tr>
      <w:tr w:rsidR="00734613" w:rsidRPr="005B02BD" w14:paraId="1937071F" w14:textId="77777777" w:rsidTr="00185C16">
        <w:trPr>
          <w:jc w:val="center"/>
        </w:trPr>
        <w:tc>
          <w:tcPr>
            <w:tcW w:w="10325" w:type="dxa"/>
          </w:tcPr>
          <w:p w14:paraId="1E50B4DB" w14:textId="37BAF84D" w:rsidR="00734613" w:rsidRPr="005B02BD" w:rsidRDefault="005B02BD" w:rsidP="004F6117">
            <w:pPr>
              <w:spacing w:before="120" w:after="120"/>
              <w:jc w:val="center"/>
              <w:rPr>
                <w:rFonts w:ascii="Times New Roman" w:hAnsi="Times New Roman"/>
                <w:b/>
                <w:sz w:val="24"/>
                <w:szCs w:val="24"/>
              </w:rPr>
            </w:pPr>
            <w:r w:rsidRPr="002F1947">
              <w:rPr>
                <w:rFonts w:ascii="Times New Roman" w:hAnsi="Times New Roman"/>
                <w:b/>
                <w:sz w:val="24"/>
                <w:szCs w:val="24"/>
              </w:rPr>
              <w:t>European Commission position on points</w:t>
            </w:r>
            <w:r w:rsidRPr="002F1947">
              <w:rPr>
                <w:rFonts w:ascii="Times New Roman" w:hAnsi="Times New Roman"/>
                <w:b/>
                <w:sz w:val="24"/>
                <w:szCs w:val="24"/>
              </w:rPr>
              <w:br/>
              <w:t xml:space="preserve">of the European Economic and Social Committee </w:t>
            </w:r>
            <w:r>
              <w:rPr>
                <w:rFonts w:ascii="Times New Roman" w:hAnsi="Times New Roman"/>
                <w:b/>
                <w:sz w:val="24"/>
                <w:szCs w:val="24"/>
              </w:rPr>
              <w:t xml:space="preserve">(EESC) </w:t>
            </w:r>
            <w:r w:rsidRPr="002F1947">
              <w:rPr>
                <w:rFonts w:ascii="Times New Roman" w:hAnsi="Times New Roman"/>
                <w:b/>
                <w:sz w:val="24"/>
                <w:szCs w:val="24"/>
              </w:rPr>
              <w:t>opinion considered as essential</w:t>
            </w:r>
          </w:p>
        </w:tc>
      </w:tr>
      <w:tr w:rsidR="00734613" w:rsidRPr="00D02BCE" w14:paraId="673DDC1B" w14:textId="77777777" w:rsidTr="00185C16">
        <w:trPr>
          <w:jc w:val="center"/>
        </w:trPr>
        <w:tc>
          <w:tcPr>
            <w:tcW w:w="10325" w:type="dxa"/>
          </w:tcPr>
          <w:p w14:paraId="2C785F7B" w14:textId="4EBAC945" w:rsidR="00CE3386" w:rsidRPr="00D02BCE" w:rsidRDefault="00CE3386" w:rsidP="00185C16">
            <w:pPr>
              <w:widowControl w:val="0"/>
              <w:spacing w:before="120" w:after="120"/>
              <w:ind w:right="30"/>
              <w:jc w:val="both"/>
              <w:rPr>
                <w:rFonts w:ascii="Times New Roman" w:hAnsi="Times New Roman"/>
                <w:sz w:val="24"/>
                <w:szCs w:val="24"/>
                <w:u w:val="single"/>
              </w:rPr>
            </w:pPr>
            <w:r w:rsidRPr="00D02BCE">
              <w:rPr>
                <w:rFonts w:ascii="Times New Roman" w:hAnsi="Times New Roman"/>
                <w:sz w:val="24"/>
                <w:szCs w:val="24"/>
                <w:u w:val="single"/>
              </w:rPr>
              <w:t>Introduction/background</w:t>
            </w:r>
            <w:r w:rsidR="00185C16">
              <w:rPr>
                <w:rFonts w:ascii="Times New Roman" w:hAnsi="Times New Roman"/>
                <w:sz w:val="24"/>
                <w:szCs w:val="24"/>
                <w:u w:val="single"/>
              </w:rPr>
              <w:t>:</w:t>
            </w:r>
          </w:p>
          <w:p w14:paraId="0CB8B971" w14:textId="5FFB980F" w:rsidR="00C610D9" w:rsidRPr="00D02BCE" w:rsidRDefault="00781BD9" w:rsidP="00185C16">
            <w:pPr>
              <w:widowControl w:val="0"/>
              <w:spacing w:before="120" w:after="120"/>
              <w:ind w:right="30"/>
              <w:jc w:val="both"/>
              <w:rPr>
                <w:rFonts w:ascii="Times New Roman" w:hAnsi="Times New Roman"/>
                <w:sz w:val="24"/>
                <w:szCs w:val="24"/>
              </w:rPr>
            </w:pPr>
            <w:r w:rsidRPr="00D02BCE">
              <w:rPr>
                <w:rFonts w:ascii="Times New Roman" w:hAnsi="Times New Roman"/>
                <w:sz w:val="24"/>
                <w:szCs w:val="24"/>
              </w:rPr>
              <w:t>The Commission welcomes this</w:t>
            </w:r>
            <w:r w:rsidR="006D09EE" w:rsidRPr="00D02BCE">
              <w:rPr>
                <w:rFonts w:ascii="Times New Roman" w:hAnsi="Times New Roman"/>
                <w:sz w:val="24"/>
                <w:szCs w:val="24"/>
              </w:rPr>
              <w:t xml:space="preserve"> own-initiative opinion </w:t>
            </w:r>
            <w:r w:rsidRPr="00D02BCE">
              <w:rPr>
                <w:rFonts w:ascii="Times New Roman" w:hAnsi="Times New Roman"/>
                <w:sz w:val="24"/>
                <w:szCs w:val="24"/>
              </w:rPr>
              <w:t xml:space="preserve">from </w:t>
            </w:r>
            <w:r w:rsidR="006D09EE" w:rsidRPr="00D02BCE">
              <w:rPr>
                <w:rFonts w:ascii="Times New Roman" w:hAnsi="Times New Roman"/>
                <w:sz w:val="24"/>
                <w:szCs w:val="24"/>
              </w:rPr>
              <w:t xml:space="preserve">the </w:t>
            </w:r>
            <w:r w:rsidRPr="00D02BCE">
              <w:rPr>
                <w:rFonts w:ascii="Times New Roman" w:hAnsi="Times New Roman"/>
                <w:sz w:val="24"/>
                <w:szCs w:val="24"/>
              </w:rPr>
              <w:t>Committee</w:t>
            </w:r>
            <w:r w:rsidR="006D09EE" w:rsidRPr="00D02BCE">
              <w:rPr>
                <w:rFonts w:ascii="Times New Roman" w:hAnsi="Times New Roman"/>
                <w:sz w:val="24"/>
                <w:szCs w:val="24"/>
              </w:rPr>
              <w:t xml:space="preserve">. </w:t>
            </w:r>
            <w:r w:rsidRPr="00D02BCE">
              <w:rPr>
                <w:rFonts w:ascii="Times New Roman" w:hAnsi="Times New Roman"/>
                <w:sz w:val="24"/>
                <w:szCs w:val="24"/>
              </w:rPr>
              <w:t xml:space="preserve">The opinion </w:t>
            </w:r>
            <w:r w:rsidR="006D09EE" w:rsidRPr="00D02BCE">
              <w:rPr>
                <w:rFonts w:ascii="Times New Roman" w:hAnsi="Times New Roman"/>
                <w:sz w:val="24"/>
                <w:szCs w:val="24"/>
              </w:rPr>
              <w:t xml:space="preserve">should be seen in the context of the on-going incremental development of the EU Arctic policy, </w:t>
            </w:r>
            <w:r w:rsidR="00983D5D" w:rsidRPr="00D02BCE">
              <w:rPr>
                <w:rFonts w:ascii="Times New Roman" w:hAnsi="Times New Roman"/>
                <w:sz w:val="24"/>
                <w:szCs w:val="24"/>
              </w:rPr>
              <w:t>as set out in a</w:t>
            </w:r>
            <w:r w:rsidR="00C37140">
              <w:rPr>
                <w:rFonts w:ascii="Times New Roman" w:hAnsi="Times New Roman"/>
                <w:sz w:val="24"/>
                <w:szCs w:val="24"/>
              </w:rPr>
              <w:t> </w:t>
            </w:r>
            <w:r w:rsidR="006D09EE" w:rsidRPr="00D02BCE">
              <w:rPr>
                <w:rFonts w:ascii="Times New Roman" w:hAnsi="Times New Roman"/>
                <w:sz w:val="24"/>
                <w:szCs w:val="24"/>
              </w:rPr>
              <w:t>Com</w:t>
            </w:r>
            <w:r w:rsidR="00983D5D" w:rsidRPr="00D02BCE">
              <w:rPr>
                <w:rFonts w:ascii="Times New Roman" w:hAnsi="Times New Roman"/>
                <w:sz w:val="24"/>
                <w:szCs w:val="24"/>
              </w:rPr>
              <w:t>munication and three J</w:t>
            </w:r>
            <w:r w:rsidR="006D09EE" w:rsidRPr="00D02BCE">
              <w:rPr>
                <w:rFonts w:ascii="Times New Roman" w:hAnsi="Times New Roman"/>
                <w:sz w:val="24"/>
                <w:szCs w:val="24"/>
              </w:rPr>
              <w:t xml:space="preserve">oint Communications </w:t>
            </w:r>
            <w:r w:rsidR="00694713" w:rsidRPr="00D02BCE">
              <w:rPr>
                <w:rFonts w:ascii="Times New Roman" w:hAnsi="Times New Roman"/>
                <w:sz w:val="24"/>
                <w:szCs w:val="24"/>
              </w:rPr>
              <w:t>issued by the Commission in 2008</w:t>
            </w:r>
            <w:r w:rsidR="00C610D9" w:rsidRPr="00D02BCE">
              <w:rPr>
                <w:rStyle w:val="FootnoteReference"/>
                <w:rFonts w:ascii="Times New Roman" w:hAnsi="Times New Roman"/>
                <w:sz w:val="24"/>
                <w:szCs w:val="24"/>
              </w:rPr>
              <w:footnoteReference w:id="2"/>
            </w:r>
            <w:r w:rsidR="00694713" w:rsidRPr="00D02BCE">
              <w:rPr>
                <w:rFonts w:ascii="Times New Roman" w:hAnsi="Times New Roman"/>
                <w:sz w:val="24"/>
                <w:szCs w:val="24"/>
              </w:rPr>
              <w:t xml:space="preserve"> and by the High Representative for Foreign and Security jointly with the Commission in 2012</w:t>
            </w:r>
            <w:r w:rsidR="00C610D9" w:rsidRPr="00D02BCE">
              <w:rPr>
                <w:rStyle w:val="FootnoteReference"/>
                <w:rFonts w:ascii="Times New Roman" w:hAnsi="Times New Roman"/>
                <w:sz w:val="24"/>
                <w:szCs w:val="24"/>
              </w:rPr>
              <w:footnoteReference w:id="3"/>
            </w:r>
            <w:r w:rsidR="00694713" w:rsidRPr="00D02BCE">
              <w:rPr>
                <w:rFonts w:ascii="Times New Roman" w:hAnsi="Times New Roman"/>
                <w:sz w:val="24"/>
                <w:szCs w:val="24"/>
              </w:rPr>
              <w:t>, 2016</w:t>
            </w:r>
            <w:r w:rsidR="00A4479C" w:rsidRPr="00D02BCE">
              <w:rPr>
                <w:rStyle w:val="FootnoteReference"/>
                <w:rFonts w:ascii="Times New Roman" w:hAnsi="Times New Roman"/>
                <w:sz w:val="24"/>
                <w:szCs w:val="24"/>
              </w:rPr>
              <w:footnoteReference w:id="4"/>
            </w:r>
            <w:r w:rsidR="00694713" w:rsidRPr="00D02BCE">
              <w:rPr>
                <w:rFonts w:ascii="Times New Roman" w:hAnsi="Times New Roman"/>
                <w:sz w:val="24"/>
                <w:szCs w:val="24"/>
              </w:rPr>
              <w:t xml:space="preserve"> and 2021</w:t>
            </w:r>
            <w:r w:rsidR="009B5287" w:rsidRPr="00D02BCE">
              <w:rPr>
                <w:rStyle w:val="FootnoteReference"/>
                <w:rFonts w:ascii="Times New Roman" w:hAnsi="Times New Roman"/>
                <w:sz w:val="24"/>
                <w:szCs w:val="24"/>
              </w:rPr>
              <w:footnoteReference w:id="5"/>
            </w:r>
            <w:r w:rsidR="00694713" w:rsidRPr="00D02BCE">
              <w:rPr>
                <w:rFonts w:ascii="Times New Roman" w:hAnsi="Times New Roman"/>
                <w:sz w:val="24"/>
                <w:szCs w:val="24"/>
              </w:rPr>
              <w:t xml:space="preserve">. </w:t>
            </w:r>
            <w:r w:rsidRPr="00D02BCE">
              <w:rPr>
                <w:rFonts w:ascii="Times New Roman" w:hAnsi="Times New Roman"/>
                <w:sz w:val="24"/>
                <w:szCs w:val="24"/>
              </w:rPr>
              <w:t>Already in 2016, t</w:t>
            </w:r>
            <w:r w:rsidR="00EA10C9" w:rsidRPr="00D02BCE">
              <w:rPr>
                <w:rFonts w:ascii="Times New Roman" w:hAnsi="Times New Roman"/>
                <w:sz w:val="24"/>
                <w:szCs w:val="24"/>
              </w:rPr>
              <w:t>he EESC</w:t>
            </w:r>
            <w:r w:rsidR="00787E1F" w:rsidRPr="00D02BCE">
              <w:rPr>
                <w:rFonts w:ascii="Times New Roman" w:hAnsi="Times New Roman"/>
                <w:sz w:val="24"/>
                <w:szCs w:val="24"/>
              </w:rPr>
              <w:t xml:space="preserve"> manifested</w:t>
            </w:r>
            <w:r w:rsidR="00EA10C9" w:rsidRPr="00D02BCE">
              <w:rPr>
                <w:rFonts w:ascii="Times New Roman" w:hAnsi="Times New Roman"/>
                <w:sz w:val="24"/>
                <w:szCs w:val="24"/>
              </w:rPr>
              <w:t xml:space="preserve"> </w:t>
            </w:r>
            <w:r w:rsidR="00F45CA7" w:rsidRPr="00D02BCE">
              <w:rPr>
                <w:rFonts w:ascii="Times New Roman" w:hAnsi="Times New Roman"/>
                <w:sz w:val="24"/>
                <w:szCs w:val="24"/>
              </w:rPr>
              <w:t xml:space="preserve">its interest in Arctic matters </w:t>
            </w:r>
            <w:r w:rsidR="00EA10C9" w:rsidRPr="00D02BCE">
              <w:rPr>
                <w:rFonts w:ascii="Times New Roman" w:hAnsi="Times New Roman"/>
                <w:sz w:val="24"/>
                <w:szCs w:val="24"/>
              </w:rPr>
              <w:t>in an opinion</w:t>
            </w:r>
            <w:r w:rsidR="00787E1F" w:rsidRPr="00D02BCE">
              <w:rPr>
                <w:rStyle w:val="FootnoteReference"/>
                <w:rFonts w:ascii="Times New Roman" w:hAnsi="Times New Roman"/>
                <w:sz w:val="24"/>
                <w:szCs w:val="24"/>
              </w:rPr>
              <w:footnoteReference w:id="6"/>
            </w:r>
            <w:r w:rsidR="00EA10C9" w:rsidRPr="00D02BCE">
              <w:rPr>
                <w:rFonts w:ascii="Times New Roman" w:hAnsi="Times New Roman"/>
                <w:sz w:val="24"/>
                <w:szCs w:val="24"/>
              </w:rPr>
              <w:t xml:space="preserve"> in reaction to the 2016 Joint Communication</w:t>
            </w:r>
            <w:r w:rsidR="00C610D9" w:rsidRPr="00D02BCE">
              <w:rPr>
                <w:rFonts w:ascii="Times New Roman" w:hAnsi="Times New Roman"/>
                <w:sz w:val="24"/>
                <w:szCs w:val="24"/>
              </w:rPr>
              <w:t>.</w:t>
            </w:r>
          </w:p>
          <w:p w14:paraId="30D14481" w14:textId="5DA6446F" w:rsidR="006D09EE" w:rsidRPr="00D02BCE" w:rsidRDefault="00C610D9" w:rsidP="00185C16">
            <w:pPr>
              <w:widowControl w:val="0"/>
              <w:spacing w:before="120" w:after="120"/>
              <w:ind w:right="30"/>
              <w:jc w:val="both"/>
              <w:rPr>
                <w:rFonts w:ascii="Times New Roman" w:hAnsi="Times New Roman"/>
                <w:sz w:val="24"/>
                <w:szCs w:val="24"/>
              </w:rPr>
            </w:pPr>
            <w:r w:rsidRPr="00D02BCE">
              <w:rPr>
                <w:rFonts w:ascii="Times New Roman" w:hAnsi="Times New Roman"/>
                <w:sz w:val="24"/>
                <w:szCs w:val="24"/>
              </w:rPr>
              <w:t xml:space="preserve">Following the publication of the Joint Communication in October 2021, the invasion of Ukraine by Russia in February 2022 </w:t>
            </w:r>
            <w:r w:rsidR="00E526A9" w:rsidRPr="00D02BCE">
              <w:rPr>
                <w:rFonts w:ascii="Times New Roman" w:hAnsi="Times New Roman"/>
                <w:sz w:val="24"/>
                <w:szCs w:val="24"/>
              </w:rPr>
              <w:t xml:space="preserve">severely </w:t>
            </w:r>
            <w:r w:rsidRPr="00D02BCE">
              <w:rPr>
                <w:rFonts w:ascii="Times New Roman" w:hAnsi="Times New Roman"/>
                <w:sz w:val="24"/>
                <w:szCs w:val="24"/>
              </w:rPr>
              <w:t xml:space="preserve">altered relations with </w:t>
            </w:r>
            <w:r w:rsidR="00983D5D" w:rsidRPr="00D02BCE">
              <w:rPr>
                <w:rFonts w:ascii="Times New Roman" w:hAnsi="Times New Roman"/>
                <w:sz w:val="24"/>
                <w:szCs w:val="24"/>
              </w:rPr>
              <w:t>Russian interlocutors incl</w:t>
            </w:r>
            <w:r w:rsidR="00781BD9" w:rsidRPr="00D02BCE">
              <w:rPr>
                <w:rFonts w:ascii="Times New Roman" w:hAnsi="Times New Roman"/>
                <w:sz w:val="24"/>
                <w:szCs w:val="24"/>
              </w:rPr>
              <w:t>uding</w:t>
            </w:r>
            <w:r w:rsidR="00983D5D" w:rsidRPr="00D02BCE">
              <w:rPr>
                <w:rFonts w:ascii="Times New Roman" w:hAnsi="Times New Roman"/>
                <w:sz w:val="24"/>
                <w:szCs w:val="24"/>
              </w:rPr>
              <w:t xml:space="preserve"> </w:t>
            </w:r>
            <w:r w:rsidRPr="00D02BCE">
              <w:rPr>
                <w:rFonts w:ascii="Times New Roman" w:hAnsi="Times New Roman"/>
                <w:sz w:val="24"/>
                <w:szCs w:val="24"/>
              </w:rPr>
              <w:t>in Arctic contexts.</w:t>
            </w:r>
            <w:r w:rsidR="00983D5D" w:rsidRPr="00D02BCE">
              <w:rPr>
                <w:rFonts w:ascii="Times New Roman" w:hAnsi="Times New Roman"/>
                <w:sz w:val="24"/>
                <w:szCs w:val="24"/>
              </w:rPr>
              <w:t xml:space="preserve"> </w:t>
            </w:r>
            <w:proofErr w:type="gramStart"/>
            <w:r w:rsidR="00983D5D" w:rsidRPr="00D02BCE">
              <w:rPr>
                <w:rFonts w:ascii="Times New Roman" w:hAnsi="Times New Roman"/>
                <w:sz w:val="24"/>
                <w:szCs w:val="24"/>
              </w:rPr>
              <w:t>As a</w:t>
            </w:r>
            <w:r w:rsidR="002D19EC">
              <w:rPr>
                <w:rFonts w:ascii="Times New Roman" w:hAnsi="Times New Roman"/>
                <w:sz w:val="24"/>
                <w:szCs w:val="24"/>
              </w:rPr>
              <w:t> </w:t>
            </w:r>
            <w:r w:rsidR="00983D5D" w:rsidRPr="00D02BCE">
              <w:rPr>
                <w:rFonts w:ascii="Times New Roman" w:hAnsi="Times New Roman"/>
                <w:sz w:val="24"/>
                <w:szCs w:val="24"/>
              </w:rPr>
              <w:t>consequence</w:t>
            </w:r>
            <w:proofErr w:type="gramEnd"/>
            <w:r w:rsidRPr="00D02BCE">
              <w:rPr>
                <w:rFonts w:ascii="Times New Roman" w:hAnsi="Times New Roman"/>
                <w:sz w:val="24"/>
                <w:szCs w:val="24"/>
              </w:rPr>
              <w:t xml:space="preserve">, the EESC </w:t>
            </w:r>
            <w:r w:rsidR="00781BD9" w:rsidRPr="00D02BCE">
              <w:rPr>
                <w:rFonts w:ascii="Times New Roman" w:hAnsi="Times New Roman"/>
                <w:sz w:val="24"/>
                <w:szCs w:val="24"/>
              </w:rPr>
              <w:t>has</w:t>
            </w:r>
            <w:r w:rsidR="00983D5D" w:rsidRPr="00D02BCE">
              <w:rPr>
                <w:rFonts w:ascii="Times New Roman" w:hAnsi="Times New Roman"/>
                <w:sz w:val="24"/>
                <w:szCs w:val="24"/>
              </w:rPr>
              <w:t xml:space="preserve"> issued </w:t>
            </w:r>
            <w:r w:rsidR="00781BD9" w:rsidRPr="00D02BCE">
              <w:rPr>
                <w:rFonts w:ascii="Times New Roman" w:hAnsi="Times New Roman"/>
                <w:sz w:val="24"/>
                <w:szCs w:val="24"/>
              </w:rPr>
              <w:t xml:space="preserve">another opinion </w:t>
            </w:r>
            <w:r w:rsidR="00FE33CE">
              <w:rPr>
                <w:rFonts w:ascii="Times New Roman" w:hAnsi="Times New Roman"/>
                <w:sz w:val="24"/>
                <w:szCs w:val="24"/>
              </w:rPr>
              <w:t>in January 2025</w:t>
            </w:r>
            <w:r w:rsidR="00983D5D" w:rsidRPr="00D02BCE">
              <w:rPr>
                <w:rFonts w:ascii="Times New Roman" w:hAnsi="Times New Roman"/>
                <w:sz w:val="24"/>
                <w:szCs w:val="24"/>
              </w:rPr>
              <w:t>.</w:t>
            </w:r>
          </w:p>
        </w:tc>
      </w:tr>
      <w:tr w:rsidR="001C4138" w:rsidRPr="00D02BCE" w14:paraId="30B76F57" w14:textId="77777777" w:rsidTr="00185C16">
        <w:trPr>
          <w:jc w:val="center"/>
        </w:trPr>
        <w:tc>
          <w:tcPr>
            <w:tcW w:w="10325" w:type="dxa"/>
          </w:tcPr>
          <w:p w14:paraId="58BADE7B" w14:textId="4B6CFF38" w:rsidR="001C4138" w:rsidRPr="00D02BCE" w:rsidRDefault="00CE3386" w:rsidP="00185C16">
            <w:pPr>
              <w:widowControl w:val="0"/>
              <w:spacing w:before="120" w:after="120"/>
              <w:ind w:right="30"/>
              <w:jc w:val="both"/>
              <w:rPr>
                <w:rFonts w:ascii="Times New Roman" w:hAnsi="Times New Roman"/>
                <w:sz w:val="24"/>
                <w:szCs w:val="24"/>
                <w:u w:val="single"/>
              </w:rPr>
            </w:pPr>
            <w:r w:rsidRPr="00D02BCE">
              <w:rPr>
                <w:rFonts w:ascii="Times New Roman" w:hAnsi="Times New Roman"/>
                <w:sz w:val="24"/>
                <w:szCs w:val="24"/>
                <w:u w:val="single"/>
              </w:rPr>
              <w:t>Observations</w:t>
            </w:r>
            <w:r w:rsidR="00185C16">
              <w:rPr>
                <w:rFonts w:ascii="Times New Roman" w:hAnsi="Times New Roman"/>
                <w:sz w:val="24"/>
                <w:szCs w:val="24"/>
                <w:u w:val="single"/>
              </w:rPr>
              <w:t>:</w:t>
            </w:r>
          </w:p>
          <w:p w14:paraId="613049C9" w14:textId="4E9C3EEC" w:rsidR="00CE3386" w:rsidRPr="00D02BCE" w:rsidRDefault="00CE3386" w:rsidP="00185C16">
            <w:pPr>
              <w:widowControl w:val="0"/>
              <w:spacing w:before="120" w:after="120"/>
              <w:ind w:right="30"/>
              <w:jc w:val="both"/>
              <w:rPr>
                <w:rFonts w:ascii="Times New Roman" w:hAnsi="Times New Roman"/>
                <w:sz w:val="24"/>
                <w:szCs w:val="24"/>
              </w:rPr>
            </w:pPr>
            <w:r w:rsidRPr="00D02BCE">
              <w:rPr>
                <w:rFonts w:ascii="Times New Roman" w:hAnsi="Times New Roman"/>
                <w:sz w:val="24"/>
                <w:szCs w:val="24"/>
              </w:rPr>
              <w:t xml:space="preserve">The </w:t>
            </w:r>
            <w:r w:rsidR="006B3A5B" w:rsidRPr="00D02BCE">
              <w:rPr>
                <w:rFonts w:ascii="Times New Roman" w:hAnsi="Times New Roman"/>
                <w:sz w:val="24"/>
                <w:szCs w:val="24"/>
              </w:rPr>
              <w:t xml:space="preserve">Commission and the </w:t>
            </w:r>
            <w:r w:rsidR="00781BD9" w:rsidRPr="00D02BCE">
              <w:rPr>
                <w:rFonts w:ascii="Times New Roman" w:hAnsi="Times New Roman"/>
                <w:sz w:val="24"/>
                <w:szCs w:val="24"/>
              </w:rPr>
              <w:t>European External Action Service (</w:t>
            </w:r>
            <w:r w:rsidRPr="00D02BCE">
              <w:rPr>
                <w:rFonts w:ascii="Times New Roman" w:hAnsi="Times New Roman"/>
                <w:sz w:val="24"/>
                <w:szCs w:val="24"/>
              </w:rPr>
              <w:t>EEAS</w:t>
            </w:r>
            <w:r w:rsidR="00781BD9" w:rsidRPr="00D02BCE">
              <w:rPr>
                <w:rFonts w:ascii="Times New Roman" w:hAnsi="Times New Roman"/>
                <w:sz w:val="24"/>
                <w:szCs w:val="24"/>
              </w:rPr>
              <w:t>)</w:t>
            </w:r>
            <w:r w:rsidRPr="00D02BCE">
              <w:rPr>
                <w:rFonts w:ascii="Times New Roman" w:hAnsi="Times New Roman"/>
                <w:sz w:val="24"/>
                <w:szCs w:val="24"/>
              </w:rPr>
              <w:t xml:space="preserve"> </w:t>
            </w:r>
            <w:r w:rsidR="00781BD9" w:rsidRPr="00D02BCE">
              <w:rPr>
                <w:rFonts w:ascii="Times New Roman" w:hAnsi="Times New Roman"/>
                <w:sz w:val="24"/>
                <w:szCs w:val="24"/>
              </w:rPr>
              <w:t xml:space="preserve">identify </w:t>
            </w:r>
            <w:r w:rsidRPr="00D02BCE">
              <w:rPr>
                <w:rFonts w:ascii="Times New Roman" w:hAnsi="Times New Roman"/>
                <w:sz w:val="24"/>
                <w:szCs w:val="24"/>
              </w:rPr>
              <w:t xml:space="preserve">4 key </w:t>
            </w:r>
            <w:r w:rsidR="00F41A67" w:rsidRPr="00D02BCE">
              <w:rPr>
                <w:rFonts w:ascii="Times New Roman" w:hAnsi="Times New Roman"/>
                <w:sz w:val="24"/>
                <w:szCs w:val="24"/>
              </w:rPr>
              <w:t>elements in this opinion</w:t>
            </w:r>
            <w:r w:rsidR="002D19EC">
              <w:rPr>
                <w:rFonts w:ascii="Times New Roman" w:hAnsi="Times New Roman"/>
                <w:sz w:val="24"/>
                <w:szCs w:val="24"/>
              </w:rPr>
              <w:t>:</w:t>
            </w:r>
          </w:p>
          <w:p w14:paraId="51DDBFE5" w14:textId="7B8ADC4F" w:rsidR="00F41A67" w:rsidRPr="00D02BCE" w:rsidRDefault="002D19EC" w:rsidP="00185C16">
            <w:pPr>
              <w:pStyle w:val="ListParagraph"/>
              <w:widowControl w:val="0"/>
              <w:numPr>
                <w:ilvl w:val="0"/>
                <w:numId w:val="1"/>
              </w:numPr>
              <w:spacing w:before="120" w:after="120"/>
              <w:ind w:left="435" w:right="30" w:hanging="425"/>
              <w:contextualSpacing w:val="0"/>
              <w:jc w:val="both"/>
              <w:rPr>
                <w:rFonts w:ascii="Times New Roman" w:hAnsi="Times New Roman"/>
                <w:sz w:val="24"/>
                <w:szCs w:val="24"/>
              </w:rPr>
            </w:pPr>
            <w:r>
              <w:rPr>
                <w:rFonts w:ascii="Times New Roman" w:hAnsi="Times New Roman"/>
                <w:sz w:val="24"/>
                <w:szCs w:val="24"/>
              </w:rPr>
              <w:t>i</w:t>
            </w:r>
            <w:r w:rsidR="00F41A67" w:rsidRPr="00D02BCE">
              <w:rPr>
                <w:rFonts w:ascii="Times New Roman" w:hAnsi="Times New Roman"/>
                <w:sz w:val="24"/>
                <w:szCs w:val="24"/>
              </w:rPr>
              <w:t xml:space="preserve">t </w:t>
            </w:r>
            <w:r w:rsidR="006B3A5B" w:rsidRPr="00D02BCE">
              <w:rPr>
                <w:rFonts w:ascii="Times New Roman" w:hAnsi="Times New Roman"/>
                <w:sz w:val="24"/>
                <w:szCs w:val="24"/>
              </w:rPr>
              <w:t xml:space="preserve">notes that </w:t>
            </w:r>
            <w:r w:rsidR="00781BD9" w:rsidRPr="00D02BCE">
              <w:rPr>
                <w:rFonts w:ascii="Times New Roman" w:hAnsi="Times New Roman"/>
                <w:sz w:val="24"/>
                <w:szCs w:val="24"/>
              </w:rPr>
              <w:t>‘</w:t>
            </w:r>
            <w:r w:rsidR="006B3A5B" w:rsidRPr="00D02BCE">
              <w:rPr>
                <w:rFonts w:ascii="Times New Roman" w:hAnsi="Times New Roman"/>
                <w:sz w:val="24"/>
                <w:szCs w:val="24"/>
              </w:rPr>
              <w:t>the start of the new institutional cycle is an obvious opportunity [for the EU] to take stock of its Arctic policy</w:t>
            </w:r>
            <w:r w:rsidR="00781BD9" w:rsidRPr="00D02BCE">
              <w:rPr>
                <w:rFonts w:ascii="Times New Roman" w:hAnsi="Times New Roman"/>
                <w:sz w:val="24"/>
                <w:szCs w:val="24"/>
              </w:rPr>
              <w:t>’</w:t>
            </w:r>
            <w:r w:rsidR="006B3A5B" w:rsidRPr="00D02BCE">
              <w:rPr>
                <w:rFonts w:ascii="Times New Roman" w:hAnsi="Times New Roman"/>
                <w:sz w:val="24"/>
                <w:szCs w:val="24"/>
              </w:rPr>
              <w:t xml:space="preserve">, which could be accompanied or preceded by a stocktaking </w:t>
            </w:r>
            <w:proofErr w:type="gramStart"/>
            <w:r w:rsidR="006B3A5B" w:rsidRPr="00D02BCE">
              <w:rPr>
                <w:rFonts w:ascii="Times New Roman" w:hAnsi="Times New Roman"/>
                <w:sz w:val="24"/>
                <w:szCs w:val="24"/>
              </w:rPr>
              <w:t>exercise</w:t>
            </w:r>
            <w:r>
              <w:rPr>
                <w:rFonts w:ascii="Times New Roman" w:hAnsi="Times New Roman"/>
                <w:sz w:val="24"/>
                <w:szCs w:val="24"/>
              </w:rPr>
              <w:t>;</w:t>
            </w:r>
            <w:proofErr w:type="gramEnd"/>
          </w:p>
          <w:p w14:paraId="4400C555" w14:textId="493E42C1" w:rsidR="00F41A67" w:rsidRPr="00D02BCE" w:rsidRDefault="002D19EC" w:rsidP="00185C16">
            <w:pPr>
              <w:pStyle w:val="ListParagraph"/>
              <w:widowControl w:val="0"/>
              <w:numPr>
                <w:ilvl w:val="0"/>
                <w:numId w:val="1"/>
              </w:numPr>
              <w:spacing w:before="120" w:after="120"/>
              <w:ind w:left="435" w:right="30" w:hanging="425"/>
              <w:contextualSpacing w:val="0"/>
              <w:jc w:val="both"/>
              <w:rPr>
                <w:rFonts w:ascii="Times New Roman" w:hAnsi="Times New Roman"/>
                <w:sz w:val="24"/>
                <w:szCs w:val="24"/>
              </w:rPr>
            </w:pPr>
            <w:r>
              <w:rPr>
                <w:rFonts w:ascii="Times New Roman" w:hAnsi="Times New Roman"/>
                <w:sz w:val="24"/>
                <w:szCs w:val="24"/>
              </w:rPr>
              <w:t>i</w:t>
            </w:r>
            <w:r w:rsidR="00F41A67" w:rsidRPr="00D02BCE">
              <w:rPr>
                <w:rFonts w:ascii="Times New Roman" w:hAnsi="Times New Roman"/>
                <w:sz w:val="24"/>
                <w:szCs w:val="24"/>
              </w:rPr>
              <w:t>t emphasises the pivotal role of civil society involvement</w:t>
            </w:r>
            <w:r w:rsidR="006B3A5B" w:rsidRPr="00D02BCE">
              <w:rPr>
                <w:rFonts w:ascii="Times New Roman" w:hAnsi="Times New Roman"/>
                <w:sz w:val="24"/>
                <w:szCs w:val="24"/>
              </w:rPr>
              <w:t xml:space="preserve">, including regarding multilevel (local, regional, national or EU) decision-making, with a particular focus on economic development </w:t>
            </w:r>
            <w:proofErr w:type="gramStart"/>
            <w:r w:rsidR="006B3A5B" w:rsidRPr="00D02BCE">
              <w:rPr>
                <w:rFonts w:ascii="Times New Roman" w:hAnsi="Times New Roman"/>
                <w:sz w:val="24"/>
                <w:szCs w:val="24"/>
              </w:rPr>
              <w:t>activities</w:t>
            </w:r>
            <w:r>
              <w:rPr>
                <w:rFonts w:ascii="Times New Roman" w:hAnsi="Times New Roman"/>
                <w:sz w:val="24"/>
                <w:szCs w:val="24"/>
              </w:rPr>
              <w:t>;</w:t>
            </w:r>
            <w:proofErr w:type="gramEnd"/>
          </w:p>
          <w:p w14:paraId="30457F77" w14:textId="634624AA" w:rsidR="00F41A67" w:rsidRPr="00D02BCE" w:rsidRDefault="002D19EC" w:rsidP="00185C16">
            <w:pPr>
              <w:pStyle w:val="ListParagraph"/>
              <w:widowControl w:val="0"/>
              <w:numPr>
                <w:ilvl w:val="0"/>
                <w:numId w:val="1"/>
              </w:numPr>
              <w:spacing w:before="120" w:after="120"/>
              <w:ind w:left="435" w:right="30" w:hanging="425"/>
              <w:contextualSpacing w:val="0"/>
              <w:jc w:val="both"/>
              <w:rPr>
                <w:rFonts w:ascii="Times New Roman" w:hAnsi="Times New Roman"/>
                <w:sz w:val="24"/>
                <w:szCs w:val="24"/>
              </w:rPr>
            </w:pPr>
            <w:r>
              <w:rPr>
                <w:rFonts w:ascii="Times New Roman" w:hAnsi="Times New Roman"/>
                <w:sz w:val="24"/>
                <w:szCs w:val="24"/>
              </w:rPr>
              <w:t>i</w:t>
            </w:r>
            <w:r w:rsidR="006A6ACA" w:rsidRPr="00D02BCE">
              <w:rPr>
                <w:rFonts w:ascii="Times New Roman" w:hAnsi="Times New Roman"/>
                <w:sz w:val="24"/>
                <w:szCs w:val="24"/>
              </w:rPr>
              <w:t>t insists</w:t>
            </w:r>
            <w:r w:rsidR="00B43CFE" w:rsidRPr="00D02BCE">
              <w:rPr>
                <w:rFonts w:ascii="Times New Roman" w:hAnsi="Times New Roman"/>
                <w:sz w:val="24"/>
                <w:szCs w:val="24"/>
              </w:rPr>
              <w:t xml:space="preserve"> that economic activities in</w:t>
            </w:r>
            <w:r w:rsidR="006A6ACA" w:rsidRPr="00D02BCE">
              <w:rPr>
                <w:rFonts w:ascii="Times New Roman" w:hAnsi="Times New Roman"/>
                <w:sz w:val="24"/>
                <w:szCs w:val="24"/>
              </w:rPr>
              <w:t xml:space="preserve"> Arctic regions should be seen in a broad context, pointing to Arctic decision-makers at all levels (whether international, EU, national, regional or local</w:t>
            </w:r>
            <w:r>
              <w:rPr>
                <w:rFonts w:ascii="Times New Roman" w:hAnsi="Times New Roman"/>
                <w:sz w:val="24"/>
                <w:szCs w:val="24"/>
              </w:rPr>
              <w:t>)</w:t>
            </w:r>
            <w:r w:rsidR="006A6ACA" w:rsidRPr="00D02BCE">
              <w:rPr>
                <w:rFonts w:ascii="Times New Roman" w:hAnsi="Times New Roman"/>
                <w:sz w:val="24"/>
                <w:szCs w:val="24"/>
              </w:rPr>
              <w:t>.</w:t>
            </w:r>
            <w:r w:rsidR="00180A28" w:rsidRPr="00D02BCE">
              <w:rPr>
                <w:rFonts w:ascii="Times New Roman" w:hAnsi="Times New Roman"/>
                <w:sz w:val="24"/>
                <w:szCs w:val="24"/>
              </w:rPr>
              <w:t xml:space="preserve"> </w:t>
            </w:r>
            <w:r w:rsidR="006B3A5B" w:rsidRPr="00D02BCE">
              <w:rPr>
                <w:rFonts w:ascii="Times New Roman" w:hAnsi="Times New Roman"/>
                <w:sz w:val="24"/>
                <w:szCs w:val="24"/>
              </w:rPr>
              <w:t xml:space="preserve">It notes the relevance and impact the Arctic can play in fighting and climate change and contributing to Europe’s </w:t>
            </w:r>
            <w:proofErr w:type="gramStart"/>
            <w:r w:rsidR="006B3A5B" w:rsidRPr="00D02BCE">
              <w:rPr>
                <w:rFonts w:ascii="Times New Roman" w:hAnsi="Times New Roman"/>
                <w:sz w:val="24"/>
                <w:szCs w:val="24"/>
              </w:rPr>
              <w:t>self-reliance</w:t>
            </w:r>
            <w:r>
              <w:rPr>
                <w:rFonts w:ascii="Times New Roman" w:hAnsi="Times New Roman"/>
                <w:sz w:val="24"/>
                <w:szCs w:val="24"/>
              </w:rPr>
              <w:t>;</w:t>
            </w:r>
            <w:proofErr w:type="gramEnd"/>
          </w:p>
          <w:p w14:paraId="648326D4" w14:textId="14F978FC" w:rsidR="006A6ACA" w:rsidRPr="00D02BCE" w:rsidRDefault="002D19EC" w:rsidP="00185C16">
            <w:pPr>
              <w:pStyle w:val="ListParagraph"/>
              <w:widowControl w:val="0"/>
              <w:numPr>
                <w:ilvl w:val="0"/>
                <w:numId w:val="1"/>
              </w:numPr>
              <w:spacing w:before="120" w:after="120"/>
              <w:ind w:left="435" w:right="30" w:hanging="425"/>
              <w:contextualSpacing w:val="0"/>
              <w:jc w:val="both"/>
              <w:rPr>
                <w:rFonts w:ascii="Times New Roman" w:hAnsi="Times New Roman"/>
                <w:sz w:val="24"/>
                <w:szCs w:val="24"/>
              </w:rPr>
            </w:pPr>
            <w:r>
              <w:rPr>
                <w:rFonts w:ascii="Times New Roman" w:hAnsi="Times New Roman"/>
                <w:sz w:val="24"/>
                <w:szCs w:val="24"/>
              </w:rPr>
              <w:lastRenderedPageBreak/>
              <w:t>i</w:t>
            </w:r>
            <w:r w:rsidR="006A6ACA" w:rsidRPr="00D02BCE">
              <w:rPr>
                <w:rFonts w:ascii="Times New Roman" w:hAnsi="Times New Roman"/>
                <w:sz w:val="24"/>
                <w:szCs w:val="24"/>
              </w:rPr>
              <w:t>t advocates enhanced cooperation with Greenland.</w:t>
            </w:r>
          </w:p>
          <w:p w14:paraId="6004A4F8" w14:textId="5D9D0D07" w:rsidR="00CE3386" w:rsidRPr="00D02BCE" w:rsidRDefault="00841E93" w:rsidP="00185C16">
            <w:pPr>
              <w:widowControl w:val="0"/>
              <w:spacing w:before="120" w:after="120"/>
              <w:ind w:right="30"/>
              <w:jc w:val="both"/>
              <w:rPr>
                <w:rFonts w:ascii="Times New Roman" w:hAnsi="Times New Roman"/>
                <w:sz w:val="24"/>
                <w:szCs w:val="24"/>
                <w:u w:val="single"/>
              </w:rPr>
            </w:pPr>
            <w:r w:rsidRPr="00D02BCE">
              <w:rPr>
                <w:rFonts w:ascii="Times New Roman" w:hAnsi="Times New Roman"/>
                <w:sz w:val="24"/>
                <w:szCs w:val="24"/>
                <w:u w:val="single"/>
              </w:rPr>
              <w:t>Remarks and recommendations</w:t>
            </w:r>
            <w:r w:rsidR="002D19EC">
              <w:rPr>
                <w:rFonts w:ascii="Times New Roman" w:hAnsi="Times New Roman"/>
                <w:sz w:val="24"/>
                <w:szCs w:val="24"/>
                <w:u w:val="single"/>
              </w:rPr>
              <w:t>:</w:t>
            </w:r>
          </w:p>
          <w:p w14:paraId="0EEC6DAD" w14:textId="14C46575" w:rsidR="00841E93" w:rsidRPr="00D02BCE" w:rsidRDefault="00A16724" w:rsidP="00185C16">
            <w:pPr>
              <w:widowControl w:val="0"/>
              <w:spacing w:before="120" w:after="120"/>
              <w:ind w:right="30"/>
              <w:jc w:val="both"/>
              <w:rPr>
                <w:rFonts w:ascii="Times New Roman" w:hAnsi="Times New Roman"/>
                <w:sz w:val="24"/>
                <w:szCs w:val="24"/>
              </w:rPr>
            </w:pPr>
            <w:proofErr w:type="gramStart"/>
            <w:r w:rsidRPr="00D02BCE">
              <w:rPr>
                <w:rFonts w:ascii="Times New Roman" w:hAnsi="Times New Roman"/>
                <w:sz w:val="24"/>
                <w:szCs w:val="24"/>
              </w:rPr>
              <w:t>W</w:t>
            </w:r>
            <w:r w:rsidR="00841E93" w:rsidRPr="00D02BCE">
              <w:rPr>
                <w:rFonts w:ascii="Times New Roman" w:hAnsi="Times New Roman"/>
                <w:sz w:val="24"/>
                <w:szCs w:val="24"/>
              </w:rPr>
              <w:t xml:space="preserve">ith </w:t>
            </w:r>
            <w:r w:rsidRPr="00D02BCE">
              <w:rPr>
                <w:rFonts w:ascii="Times New Roman" w:hAnsi="Times New Roman"/>
                <w:sz w:val="24"/>
                <w:szCs w:val="24"/>
              </w:rPr>
              <w:t>regard to</w:t>
            </w:r>
            <w:proofErr w:type="gramEnd"/>
            <w:r w:rsidRPr="00D02BCE">
              <w:rPr>
                <w:rFonts w:ascii="Times New Roman" w:hAnsi="Times New Roman"/>
                <w:sz w:val="24"/>
                <w:szCs w:val="24"/>
              </w:rPr>
              <w:t xml:space="preserve"> </w:t>
            </w:r>
            <w:r w:rsidR="00841E93" w:rsidRPr="00D02BCE">
              <w:rPr>
                <w:rFonts w:ascii="Times New Roman" w:hAnsi="Times New Roman"/>
                <w:sz w:val="24"/>
                <w:szCs w:val="24"/>
              </w:rPr>
              <w:t>the call for a</w:t>
            </w:r>
            <w:r w:rsidR="00602816" w:rsidRPr="00D02BCE">
              <w:rPr>
                <w:rFonts w:ascii="Times New Roman" w:hAnsi="Times New Roman"/>
                <w:sz w:val="24"/>
                <w:szCs w:val="24"/>
              </w:rPr>
              <w:t>n</w:t>
            </w:r>
            <w:r w:rsidRPr="00D02BCE">
              <w:rPr>
                <w:rFonts w:ascii="Times New Roman" w:hAnsi="Times New Roman"/>
                <w:sz w:val="24"/>
                <w:szCs w:val="24"/>
              </w:rPr>
              <w:t xml:space="preserve"> updated </w:t>
            </w:r>
            <w:r w:rsidR="00602816" w:rsidRPr="00D02BCE">
              <w:rPr>
                <w:rFonts w:ascii="Times New Roman" w:hAnsi="Times New Roman"/>
                <w:sz w:val="24"/>
                <w:szCs w:val="24"/>
              </w:rPr>
              <w:t xml:space="preserve">EU Arctic Policy </w:t>
            </w:r>
            <w:r w:rsidRPr="00D02BCE">
              <w:rPr>
                <w:rFonts w:ascii="Times New Roman" w:hAnsi="Times New Roman"/>
                <w:sz w:val="24"/>
                <w:szCs w:val="24"/>
              </w:rPr>
              <w:t>document,</w:t>
            </w:r>
            <w:r w:rsidR="00841E93" w:rsidRPr="00D02BCE">
              <w:rPr>
                <w:rFonts w:ascii="Times New Roman" w:hAnsi="Times New Roman"/>
                <w:sz w:val="24"/>
                <w:szCs w:val="24"/>
              </w:rPr>
              <w:t xml:space="preserve"> </w:t>
            </w:r>
            <w:r w:rsidRPr="00D02BCE">
              <w:rPr>
                <w:rFonts w:ascii="Times New Roman" w:hAnsi="Times New Roman"/>
                <w:sz w:val="24"/>
                <w:szCs w:val="24"/>
              </w:rPr>
              <w:t xml:space="preserve">the </w:t>
            </w:r>
            <w:r w:rsidR="00F35FE7" w:rsidRPr="00D02BCE">
              <w:rPr>
                <w:rFonts w:ascii="Times New Roman" w:hAnsi="Times New Roman"/>
                <w:sz w:val="24"/>
                <w:szCs w:val="24"/>
              </w:rPr>
              <w:t xml:space="preserve">Commission and the </w:t>
            </w:r>
            <w:r w:rsidRPr="00D02BCE">
              <w:rPr>
                <w:rFonts w:ascii="Times New Roman" w:hAnsi="Times New Roman"/>
                <w:sz w:val="24"/>
                <w:szCs w:val="24"/>
              </w:rPr>
              <w:t xml:space="preserve">EEAS </w:t>
            </w:r>
            <w:r w:rsidR="00781BD9" w:rsidRPr="00D02BCE">
              <w:rPr>
                <w:rFonts w:ascii="Times New Roman" w:hAnsi="Times New Roman"/>
                <w:sz w:val="24"/>
                <w:szCs w:val="24"/>
              </w:rPr>
              <w:t xml:space="preserve">agree with the Committee’s opinion and would </w:t>
            </w:r>
            <w:r w:rsidR="00DD7D19" w:rsidRPr="00D02BCE">
              <w:rPr>
                <w:rFonts w:ascii="Times New Roman" w:hAnsi="Times New Roman"/>
                <w:sz w:val="24"/>
                <w:szCs w:val="24"/>
              </w:rPr>
              <w:t>further note the following</w:t>
            </w:r>
            <w:r w:rsidRPr="00D02BCE">
              <w:rPr>
                <w:rFonts w:ascii="Times New Roman" w:hAnsi="Times New Roman"/>
                <w:sz w:val="24"/>
                <w:szCs w:val="24"/>
              </w:rPr>
              <w:t>:</w:t>
            </w:r>
          </w:p>
          <w:p w14:paraId="2B6E034E" w14:textId="41A30C40" w:rsidR="008A6D28" w:rsidRPr="00D02BCE" w:rsidRDefault="00A16724" w:rsidP="00185C16">
            <w:pPr>
              <w:pStyle w:val="ListParagraph"/>
              <w:widowControl w:val="0"/>
              <w:numPr>
                <w:ilvl w:val="0"/>
                <w:numId w:val="3"/>
              </w:numPr>
              <w:spacing w:before="120" w:after="120"/>
              <w:ind w:left="294" w:right="30" w:hanging="284"/>
              <w:contextualSpacing w:val="0"/>
              <w:jc w:val="both"/>
              <w:rPr>
                <w:rFonts w:ascii="Times New Roman" w:hAnsi="Times New Roman"/>
                <w:sz w:val="24"/>
                <w:szCs w:val="24"/>
              </w:rPr>
            </w:pPr>
            <w:r w:rsidRPr="00D02BCE">
              <w:rPr>
                <w:rFonts w:ascii="Times New Roman" w:hAnsi="Times New Roman"/>
                <w:sz w:val="24"/>
                <w:szCs w:val="24"/>
              </w:rPr>
              <w:t>The</w:t>
            </w:r>
            <w:r w:rsidR="00C0027C" w:rsidRPr="00D02BCE">
              <w:rPr>
                <w:rFonts w:ascii="Times New Roman" w:hAnsi="Times New Roman"/>
                <w:sz w:val="24"/>
                <w:szCs w:val="24"/>
              </w:rPr>
              <w:t xml:space="preserve"> </w:t>
            </w:r>
            <w:r w:rsidRPr="00D02BCE">
              <w:rPr>
                <w:rFonts w:ascii="Times New Roman" w:hAnsi="Times New Roman"/>
                <w:sz w:val="24"/>
                <w:szCs w:val="24"/>
              </w:rPr>
              <w:t xml:space="preserve">political, </w:t>
            </w:r>
            <w:r w:rsidR="00C0027C" w:rsidRPr="00D02BCE">
              <w:rPr>
                <w:rFonts w:ascii="Times New Roman" w:hAnsi="Times New Roman"/>
                <w:sz w:val="24"/>
                <w:szCs w:val="24"/>
              </w:rPr>
              <w:t xml:space="preserve">security-related, </w:t>
            </w:r>
            <w:r w:rsidRPr="00D02BCE">
              <w:rPr>
                <w:rFonts w:ascii="Times New Roman" w:hAnsi="Times New Roman"/>
                <w:sz w:val="24"/>
                <w:szCs w:val="24"/>
              </w:rPr>
              <w:t>economic</w:t>
            </w:r>
            <w:r w:rsidR="00C0027C" w:rsidRPr="00D02BCE">
              <w:rPr>
                <w:rFonts w:ascii="Times New Roman" w:hAnsi="Times New Roman"/>
                <w:sz w:val="24"/>
                <w:szCs w:val="24"/>
              </w:rPr>
              <w:t xml:space="preserve">, environmental </w:t>
            </w:r>
            <w:r w:rsidR="00B7598F" w:rsidRPr="00D02BCE">
              <w:rPr>
                <w:rFonts w:ascii="Times New Roman" w:hAnsi="Times New Roman"/>
                <w:sz w:val="24"/>
                <w:szCs w:val="24"/>
              </w:rPr>
              <w:t>and social landscapes</w:t>
            </w:r>
            <w:r w:rsidRPr="00D02BCE">
              <w:rPr>
                <w:rFonts w:ascii="Times New Roman" w:hAnsi="Times New Roman"/>
                <w:sz w:val="24"/>
                <w:szCs w:val="24"/>
              </w:rPr>
              <w:t xml:space="preserve"> </w:t>
            </w:r>
            <w:r w:rsidR="00C0027C" w:rsidRPr="00D02BCE">
              <w:rPr>
                <w:rFonts w:ascii="Times New Roman" w:hAnsi="Times New Roman"/>
                <w:sz w:val="24"/>
                <w:szCs w:val="24"/>
              </w:rPr>
              <w:t xml:space="preserve">have mutated and </w:t>
            </w:r>
            <w:r w:rsidR="00B7598F" w:rsidRPr="00D02BCE">
              <w:rPr>
                <w:rFonts w:ascii="Times New Roman" w:hAnsi="Times New Roman"/>
                <w:sz w:val="24"/>
                <w:szCs w:val="24"/>
              </w:rPr>
              <w:t>b</w:t>
            </w:r>
            <w:r w:rsidR="00C0027C" w:rsidRPr="00D02BCE">
              <w:rPr>
                <w:rFonts w:ascii="Times New Roman" w:hAnsi="Times New Roman"/>
                <w:sz w:val="24"/>
                <w:szCs w:val="24"/>
              </w:rPr>
              <w:t>een reshuffled considerably after October 2021</w:t>
            </w:r>
            <w:r w:rsidR="00955AC4" w:rsidRPr="00D02BCE">
              <w:rPr>
                <w:rFonts w:ascii="Times New Roman" w:hAnsi="Times New Roman"/>
                <w:sz w:val="24"/>
                <w:szCs w:val="24"/>
              </w:rPr>
              <w:t>.</w:t>
            </w:r>
            <w:r w:rsidR="00594FC4" w:rsidRPr="00D02BCE">
              <w:rPr>
                <w:rFonts w:ascii="Times New Roman" w:hAnsi="Times New Roman"/>
                <w:sz w:val="24"/>
                <w:szCs w:val="24"/>
              </w:rPr>
              <w:t xml:space="preserve"> </w:t>
            </w:r>
            <w:r w:rsidR="00955AC4" w:rsidRPr="00D02BCE">
              <w:rPr>
                <w:rFonts w:ascii="Times New Roman" w:hAnsi="Times New Roman"/>
                <w:sz w:val="24"/>
                <w:szCs w:val="24"/>
              </w:rPr>
              <w:t>First</w:t>
            </w:r>
            <w:r w:rsidR="0019679A" w:rsidRPr="00D02BCE">
              <w:rPr>
                <w:rFonts w:ascii="Times New Roman" w:hAnsi="Times New Roman"/>
                <w:sz w:val="24"/>
                <w:szCs w:val="24"/>
              </w:rPr>
              <w:t>,</w:t>
            </w:r>
            <w:r w:rsidR="00955AC4" w:rsidRPr="00D02BCE">
              <w:rPr>
                <w:rFonts w:ascii="Times New Roman" w:hAnsi="Times New Roman"/>
                <w:sz w:val="24"/>
                <w:szCs w:val="24"/>
              </w:rPr>
              <w:t xml:space="preserve"> </w:t>
            </w:r>
            <w:r w:rsidR="00594FC4" w:rsidRPr="00D02BCE">
              <w:rPr>
                <w:rFonts w:ascii="Times New Roman" w:hAnsi="Times New Roman"/>
                <w:sz w:val="24"/>
                <w:szCs w:val="24"/>
              </w:rPr>
              <w:t xml:space="preserve">by Russia´s </w:t>
            </w:r>
            <w:r w:rsidR="00EB6AEB" w:rsidRPr="00D02BCE">
              <w:rPr>
                <w:rFonts w:ascii="Times New Roman" w:hAnsi="Times New Roman"/>
                <w:sz w:val="24"/>
                <w:szCs w:val="24"/>
              </w:rPr>
              <w:t xml:space="preserve">war of </w:t>
            </w:r>
            <w:r w:rsidR="00594FC4" w:rsidRPr="00D02BCE">
              <w:rPr>
                <w:rFonts w:ascii="Times New Roman" w:hAnsi="Times New Roman"/>
                <w:sz w:val="24"/>
                <w:szCs w:val="24"/>
              </w:rPr>
              <w:t>aggression</w:t>
            </w:r>
            <w:r w:rsidR="00EB6AEB" w:rsidRPr="00D02BCE">
              <w:rPr>
                <w:rFonts w:ascii="Times New Roman" w:hAnsi="Times New Roman"/>
                <w:sz w:val="24"/>
                <w:szCs w:val="24"/>
              </w:rPr>
              <w:t xml:space="preserve"> against Ukraine</w:t>
            </w:r>
            <w:r w:rsidR="00594FC4" w:rsidRPr="00D02BCE">
              <w:rPr>
                <w:rFonts w:ascii="Times New Roman" w:hAnsi="Times New Roman"/>
                <w:sz w:val="24"/>
                <w:szCs w:val="24"/>
              </w:rPr>
              <w:t xml:space="preserve"> and </w:t>
            </w:r>
            <w:r w:rsidR="00C0027C" w:rsidRPr="00D02BCE">
              <w:rPr>
                <w:rFonts w:ascii="Times New Roman" w:hAnsi="Times New Roman"/>
                <w:sz w:val="24"/>
                <w:szCs w:val="24"/>
              </w:rPr>
              <w:t>the proliferation of hybrid actions</w:t>
            </w:r>
            <w:r w:rsidR="0065755C" w:rsidRPr="00D02BCE">
              <w:rPr>
                <w:rFonts w:ascii="Times New Roman" w:hAnsi="Times New Roman"/>
                <w:sz w:val="24"/>
                <w:szCs w:val="24"/>
              </w:rPr>
              <w:t>.</w:t>
            </w:r>
            <w:r w:rsidR="00594FC4" w:rsidRPr="00D02BCE">
              <w:rPr>
                <w:rFonts w:ascii="Times New Roman" w:hAnsi="Times New Roman"/>
                <w:sz w:val="24"/>
                <w:szCs w:val="24"/>
              </w:rPr>
              <w:t xml:space="preserve"> </w:t>
            </w:r>
            <w:r w:rsidR="00955AC4" w:rsidRPr="00D02BCE">
              <w:rPr>
                <w:rFonts w:ascii="Times New Roman" w:hAnsi="Times New Roman"/>
                <w:sz w:val="24"/>
                <w:szCs w:val="24"/>
              </w:rPr>
              <w:t xml:space="preserve">Second, </w:t>
            </w:r>
            <w:r w:rsidR="00594FC4" w:rsidRPr="00D02BCE">
              <w:rPr>
                <w:rFonts w:ascii="Times New Roman" w:hAnsi="Times New Roman"/>
                <w:sz w:val="24"/>
                <w:szCs w:val="24"/>
              </w:rPr>
              <w:t>by the impossibility of any meaningful cooperation with Russian interlocutors</w:t>
            </w:r>
            <w:r w:rsidR="008A6D28" w:rsidRPr="00D02BCE">
              <w:rPr>
                <w:rFonts w:ascii="Times New Roman" w:hAnsi="Times New Roman"/>
                <w:sz w:val="24"/>
                <w:szCs w:val="24"/>
              </w:rPr>
              <w:t xml:space="preserve"> </w:t>
            </w:r>
            <w:r w:rsidR="00781BD9" w:rsidRPr="00D02BCE">
              <w:rPr>
                <w:rFonts w:ascii="Times New Roman" w:hAnsi="Times New Roman"/>
                <w:sz w:val="24"/>
                <w:szCs w:val="24"/>
              </w:rPr>
              <w:t xml:space="preserve">which has resulted, amongst others in </w:t>
            </w:r>
            <w:r w:rsidR="00BB55B9" w:rsidRPr="00D02BCE">
              <w:rPr>
                <w:rFonts w:ascii="Times New Roman" w:hAnsi="Times New Roman"/>
                <w:sz w:val="24"/>
                <w:szCs w:val="24"/>
              </w:rPr>
              <w:t>limiting the activity</w:t>
            </w:r>
            <w:r w:rsidR="00875522" w:rsidRPr="00D02BCE">
              <w:rPr>
                <w:rFonts w:ascii="Times New Roman" w:hAnsi="Times New Roman"/>
                <w:sz w:val="24"/>
                <w:szCs w:val="24"/>
              </w:rPr>
              <w:t xml:space="preserve"> of the Arctic Council and </w:t>
            </w:r>
            <w:r w:rsidR="00781BD9" w:rsidRPr="00D02BCE">
              <w:rPr>
                <w:rFonts w:ascii="Times New Roman" w:hAnsi="Times New Roman"/>
                <w:sz w:val="24"/>
                <w:szCs w:val="24"/>
              </w:rPr>
              <w:t xml:space="preserve">the </w:t>
            </w:r>
            <w:r w:rsidR="00BB55B9" w:rsidRPr="00D02BCE">
              <w:rPr>
                <w:rFonts w:ascii="Times New Roman" w:hAnsi="Times New Roman"/>
                <w:sz w:val="24"/>
                <w:szCs w:val="24"/>
              </w:rPr>
              <w:t>suspension</w:t>
            </w:r>
            <w:r w:rsidR="00D02BCE">
              <w:rPr>
                <w:rFonts w:ascii="Times New Roman" w:hAnsi="Times New Roman"/>
                <w:sz w:val="24"/>
                <w:szCs w:val="24"/>
              </w:rPr>
              <w:t xml:space="preserve"> of other Arctic for a </w:t>
            </w:r>
            <w:r w:rsidR="00875522" w:rsidRPr="00D02BCE">
              <w:rPr>
                <w:rFonts w:ascii="Times New Roman" w:hAnsi="Times New Roman"/>
                <w:sz w:val="24"/>
                <w:szCs w:val="24"/>
              </w:rPr>
              <w:t xml:space="preserve">as well as </w:t>
            </w:r>
            <w:r w:rsidR="008A6D28" w:rsidRPr="00D02BCE">
              <w:rPr>
                <w:rFonts w:ascii="Times New Roman" w:hAnsi="Times New Roman"/>
                <w:sz w:val="24"/>
                <w:szCs w:val="24"/>
              </w:rPr>
              <w:t xml:space="preserve">a lack of </w:t>
            </w:r>
            <w:r w:rsidR="00DE2AE5" w:rsidRPr="00D02BCE">
              <w:rPr>
                <w:rFonts w:ascii="Times New Roman" w:hAnsi="Times New Roman"/>
                <w:sz w:val="24"/>
                <w:szCs w:val="24"/>
              </w:rPr>
              <w:t xml:space="preserve">access to </w:t>
            </w:r>
            <w:r w:rsidR="00875522" w:rsidRPr="00D02BCE">
              <w:rPr>
                <w:rFonts w:ascii="Times New Roman" w:hAnsi="Times New Roman"/>
                <w:sz w:val="24"/>
                <w:szCs w:val="24"/>
              </w:rPr>
              <w:t xml:space="preserve">important </w:t>
            </w:r>
            <w:r w:rsidR="008A6D28" w:rsidRPr="00D02BCE">
              <w:rPr>
                <w:rFonts w:ascii="Times New Roman" w:hAnsi="Times New Roman"/>
                <w:sz w:val="24"/>
                <w:szCs w:val="24"/>
              </w:rPr>
              <w:t>data</w:t>
            </w:r>
            <w:r w:rsidR="00DE2AE5" w:rsidRPr="00D02BCE">
              <w:rPr>
                <w:rFonts w:ascii="Times New Roman" w:hAnsi="Times New Roman"/>
                <w:sz w:val="24"/>
                <w:szCs w:val="24"/>
              </w:rPr>
              <w:t xml:space="preserve"> on climate resear</w:t>
            </w:r>
            <w:r w:rsidR="00EB6AEB" w:rsidRPr="00D02BCE">
              <w:rPr>
                <w:rFonts w:ascii="Times New Roman" w:hAnsi="Times New Roman"/>
                <w:sz w:val="24"/>
                <w:szCs w:val="24"/>
              </w:rPr>
              <w:t>ch</w:t>
            </w:r>
            <w:r w:rsidR="0019679A" w:rsidRPr="00D02BCE">
              <w:rPr>
                <w:rFonts w:ascii="Times New Roman" w:hAnsi="Times New Roman"/>
                <w:sz w:val="24"/>
                <w:szCs w:val="24"/>
              </w:rPr>
              <w:t>. T</w:t>
            </w:r>
            <w:r w:rsidR="00C0027C" w:rsidRPr="00D02BCE">
              <w:rPr>
                <w:rFonts w:ascii="Times New Roman" w:hAnsi="Times New Roman"/>
                <w:sz w:val="24"/>
                <w:szCs w:val="24"/>
              </w:rPr>
              <w:t xml:space="preserve">hird, by </w:t>
            </w:r>
            <w:r w:rsidR="00594FC4" w:rsidRPr="00D02BCE">
              <w:rPr>
                <w:rFonts w:ascii="Times New Roman" w:hAnsi="Times New Roman"/>
                <w:sz w:val="24"/>
                <w:szCs w:val="24"/>
              </w:rPr>
              <w:t xml:space="preserve">dramatic changes in </w:t>
            </w:r>
            <w:r w:rsidR="00C0027C" w:rsidRPr="00D02BCE">
              <w:rPr>
                <w:rFonts w:ascii="Times New Roman" w:hAnsi="Times New Roman"/>
                <w:sz w:val="24"/>
                <w:szCs w:val="24"/>
              </w:rPr>
              <w:t>US</w:t>
            </w:r>
            <w:r w:rsidR="00594FC4" w:rsidRPr="00D02BCE">
              <w:rPr>
                <w:rFonts w:ascii="Times New Roman" w:hAnsi="Times New Roman"/>
                <w:sz w:val="24"/>
                <w:szCs w:val="24"/>
              </w:rPr>
              <w:t xml:space="preserve"> policy</w:t>
            </w:r>
            <w:r w:rsidR="00781BD9" w:rsidRPr="00D02BCE">
              <w:rPr>
                <w:rFonts w:ascii="Times New Roman" w:hAnsi="Times New Roman"/>
                <w:sz w:val="24"/>
                <w:szCs w:val="24"/>
              </w:rPr>
              <w:t>,</w:t>
            </w:r>
            <w:r w:rsidR="00594FC4" w:rsidRPr="00D02BCE">
              <w:rPr>
                <w:rFonts w:ascii="Times New Roman" w:hAnsi="Times New Roman"/>
                <w:sz w:val="24"/>
                <w:szCs w:val="24"/>
              </w:rPr>
              <w:t xml:space="preserve"> affecting </w:t>
            </w:r>
            <w:r w:rsidR="002D19EC" w:rsidRPr="00D02BCE">
              <w:rPr>
                <w:rFonts w:ascii="Times New Roman" w:hAnsi="Times New Roman"/>
                <w:sz w:val="24"/>
                <w:szCs w:val="24"/>
              </w:rPr>
              <w:t>several</w:t>
            </w:r>
            <w:r w:rsidR="00594FC4" w:rsidRPr="00D02BCE">
              <w:rPr>
                <w:rFonts w:ascii="Times New Roman" w:hAnsi="Times New Roman"/>
                <w:sz w:val="24"/>
                <w:szCs w:val="24"/>
              </w:rPr>
              <w:t xml:space="preserve"> fundamental principles</w:t>
            </w:r>
            <w:r w:rsidR="008A6D28" w:rsidRPr="00D02BCE">
              <w:rPr>
                <w:rFonts w:ascii="Times New Roman" w:hAnsi="Times New Roman"/>
                <w:sz w:val="24"/>
                <w:szCs w:val="24"/>
              </w:rPr>
              <w:t xml:space="preserve"> in international relations and among allied partners.</w:t>
            </w:r>
          </w:p>
          <w:p w14:paraId="52642938" w14:textId="3A3990B9" w:rsidR="00B32EBE" w:rsidRPr="00D02BCE" w:rsidRDefault="00254AFB" w:rsidP="00185C16">
            <w:pPr>
              <w:pStyle w:val="ListParagraph"/>
              <w:widowControl w:val="0"/>
              <w:numPr>
                <w:ilvl w:val="0"/>
                <w:numId w:val="3"/>
              </w:numPr>
              <w:spacing w:before="120" w:after="120"/>
              <w:ind w:left="294" w:right="30" w:hanging="284"/>
              <w:contextualSpacing w:val="0"/>
              <w:jc w:val="both"/>
              <w:rPr>
                <w:rFonts w:ascii="Times New Roman" w:hAnsi="Times New Roman"/>
                <w:sz w:val="24"/>
                <w:szCs w:val="24"/>
              </w:rPr>
            </w:pPr>
            <w:r w:rsidRPr="00D02BCE">
              <w:rPr>
                <w:rFonts w:ascii="Times New Roman" w:hAnsi="Times New Roman"/>
                <w:sz w:val="24"/>
                <w:szCs w:val="24"/>
              </w:rPr>
              <w:t xml:space="preserve">The EU´s engagement in Arctic affairs cannot be abandoned. Rather, it will need to be refined and possibly enhanced. </w:t>
            </w:r>
            <w:r w:rsidR="00F35FE7" w:rsidRPr="00D02BCE">
              <w:rPr>
                <w:rFonts w:ascii="Times New Roman" w:hAnsi="Times New Roman"/>
                <w:sz w:val="24"/>
                <w:szCs w:val="24"/>
              </w:rPr>
              <w:t xml:space="preserve">Should the EU deem necessary to update its Arctic policy </w:t>
            </w:r>
            <w:proofErr w:type="gramStart"/>
            <w:r w:rsidR="00F35FE7" w:rsidRPr="00D02BCE">
              <w:rPr>
                <w:rFonts w:ascii="Times New Roman" w:hAnsi="Times New Roman"/>
                <w:sz w:val="24"/>
                <w:szCs w:val="24"/>
              </w:rPr>
              <w:t>in the near future</w:t>
            </w:r>
            <w:proofErr w:type="gramEnd"/>
            <w:r w:rsidR="00F35FE7" w:rsidRPr="00D02BCE">
              <w:rPr>
                <w:rFonts w:ascii="Times New Roman" w:hAnsi="Times New Roman"/>
                <w:sz w:val="24"/>
                <w:szCs w:val="24"/>
              </w:rPr>
              <w:t xml:space="preserve">, the points outlined by the </w:t>
            </w:r>
            <w:r w:rsidR="00DD7D19" w:rsidRPr="00D02BCE">
              <w:rPr>
                <w:rFonts w:ascii="Times New Roman" w:hAnsi="Times New Roman"/>
                <w:sz w:val="24"/>
                <w:szCs w:val="24"/>
              </w:rPr>
              <w:t>EESC</w:t>
            </w:r>
            <w:r w:rsidR="00F35FE7" w:rsidRPr="00D02BCE">
              <w:rPr>
                <w:rFonts w:ascii="Times New Roman" w:hAnsi="Times New Roman"/>
                <w:sz w:val="24"/>
                <w:szCs w:val="24"/>
              </w:rPr>
              <w:t xml:space="preserve"> are valid and </w:t>
            </w:r>
            <w:r w:rsidR="00781BD9" w:rsidRPr="00D02BCE">
              <w:rPr>
                <w:rFonts w:ascii="Times New Roman" w:hAnsi="Times New Roman"/>
                <w:sz w:val="24"/>
                <w:szCs w:val="24"/>
              </w:rPr>
              <w:t xml:space="preserve">will </w:t>
            </w:r>
            <w:r w:rsidR="00F35FE7" w:rsidRPr="00D02BCE">
              <w:rPr>
                <w:rFonts w:ascii="Times New Roman" w:hAnsi="Times New Roman"/>
                <w:sz w:val="24"/>
                <w:szCs w:val="24"/>
              </w:rPr>
              <w:t xml:space="preserve">be taken into </w:t>
            </w:r>
            <w:r w:rsidR="00FE33CE">
              <w:rPr>
                <w:rFonts w:ascii="Times New Roman" w:hAnsi="Times New Roman"/>
                <w:sz w:val="24"/>
                <w:szCs w:val="24"/>
              </w:rPr>
              <w:t>account throughout the process.</w:t>
            </w:r>
          </w:p>
          <w:p w14:paraId="5B893167" w14:textId="2719CFA3" w:rsidR="00AA1BB1" w:rsidRPr="00D02BCE" w:rsidRDefault="00D02BCE" w:rsidP="00185C16">
            <w:pPr>
              <w:widowControl w:val="0"/>
              <w:spacing w:before="120" w:after="120"/>
              <w:ind w:right="30"/>
              <w:jc w:val="both"/>
              <w:rPr>
                <w:rFonts w:ascii="Times New Roman" w:hAnsi="Times New Roman"/>
                <w:sz w:val="24"/>
                <w:szCs w:val="24"/>
              </w:rPr>
            </w:pPr>
            <w:r>
              <w:rPr>
                <w:rFonts w:ascii="Times New Roman" w:hAnsi="Times New Roman"/>
                <w:sz w:val="24"/>
                <w:szCs w:val="24"/>
              </w:rPr>
              <w:t xml:space="preserve">With regards to the involvement of civil society in Arctic matters, </w:t>
            </w:r>
            <w:r w:rsidR="00781BD9" w:rsidRPr="00D02BCE">
              <w:rPr>
                <w:rFonts w:ascii="Times New Roman" w:hAnsi="Times New Roman"/>
                <w:sz w:val="24"/>
                <w:szCs w:val="24"/>
              </w:rPr>
              <w:t>t</w:t>
            </w:r>
            <w:r w:rsidR="00F35FE7" w:rsidRPr="00D02BCE">
              <w:rPr>
                <w:rFonts w:ascii="Times New Roman" w:hAnsi="Times New Roman"/>
                <w:sz w:val="24"/>
                <w:szCs w:val="24"/>
              </w:rPr>
              <w:t xml:space="preserve">he Commission and the EEAS agree </w:t>
            </w:r>
            <w:r w:rsidR="00781BD9" w:rsidRPr="00D02BCE">
              <w:rPr>
                <w:rFonts w:ascii="Times New Roman" w:hAnsi="Times New Roman"/>
                <w:sz w:val="24"/>
                <w:szCs w:val="24"/>
              </w:rPr>
              <w:t>on</w:t>
            </w:r>
            <w:r w:rsidR="00DF59F2" w:rsidRPr="00D02BCE">
              <w:rPr>
                <w:rFonts w:ascii="Times New Roman" w:hAnsi="Times New Roman"/>
                <w:sz w:val="24"/>
                <w:szCs w:val="24"/>
              </w:rPr>
              <w:t xml:space="preserve"> the importance of engagement with all level</w:t>
            </w:r>
            <w:r w:rsidR="00781BD9" w:rsidRPr="00D02BCE">
              <w:rPr>
                <w:rFonts w:ascii="Times New Roman" w:hAnsi="Times New Roman"/>
                <w:sz w:val="24"/>
                <w:szCs w:val="24"/>
              </w:rPr>
              <w:t>s</w:t>
            </w:r>
            <w:r w:rsidR="00DF59F2" w:rsidRPr="00D02BCE">
              <w:rPr>
                <w:rFonts w:ascii="Times New Roman" w:hAnsi="Times New Roman"/>
                <w:sz w:val="24"/>
                <w:szCs w:val="24"/>
              </w:rPr>
              <w:t xml:space="preserve"> of decision-makers to ensure that economic activities in Arctic regions stand o</w:t>
            </w:r>
            <w:r w:rsidR="0006023F" w:rsidRPr="00D02BCE">
              <w:rPr>
                <w:rFonts w:ascii="Times New Roman" w:hAnsi="Times New Roman"/>
                <w:sz w:val="24"/>
                <w:szCs w:val="24"/>
              </w:rPr>
              <w:t>n</w:t>
            </w:r>
            <w:r w:rsidR="00DF59F2" w:rsidRPr="00D02BCE">
              <w:rPr>
                <w:rFonts w:ascii="Times New Roman" w:hAnsi="Times New Roman"/>
                <w:sz w:val="24"/>
                <w:szCs w:val="24"/>
              </w:rPr>
              <w:t xml:space="preserve"> </w:t>
            </w:r>
            <w:r w:rsidR="00CB3C6F" w:rsidRPr="00D02BCE">
              <w:rPr>
                <w:rFonts w:ascii="Times New Roman" w:hAnsi="Times New Roman"/>
                <w:sz w:val="24"/>
                <w:szCs w:val="24"/>
              </w:rPr>
              <w:t xml:space="preserve">a </w:t>
            </w:r>
            <w:r w:rsidR="00DF59F2" w:rsidRPr="00D02BCE">
              <w:rPr>
                <w:rFonts w:ascii="Times New Roman" w:hAnsi="Times New Roman"/>
                <w:sz w:val="24"/>
                <w:szCs w:val="24"/>
              </w:rPr>
              <w:t>sound footing.</w:t>
            </w:r>
            <w:r w:rsidR="00F35FE7" w:rsidRPr="00D02BCE">
              <w:rPr>
                <w:rFonts w:ascii="Times New Roman" w:hAnsi="Times New Roman"/>
                <w:sz w:val="24"/>
                <w:szCs w:val="24"/>
              </w:rPr>
              <w:t xml:space="preserve"> </w:t>
            </w:r>
            <w:r w:rsidR="009C6480" w:rsidRPr="00D02BCE">
              <w:rPr>
                <w:rFonts w:ascii="Times New Roman" w:hAnsi="Times New Roman"/>
                <w:sz w:val="24"/>
                <w:szCs w:val="24"/>
              </w:rPr>
              <w:t>Sustainable way forward requires inclusive dialogue, diversity and meaningful participation in decision-making at all levels</w:t>
            </w:r>
            <w:r w:rsidR="00244785" w:rsidRPr="00D02BCE">
              <w:rPr>
                <w:rFonts w:ascii="Times New Roman" w:hAnsi="Times New Roman"/>
                <w:sz w:val="24"/>
                <w:szCs w:val="24"/>
              </w:rPr>
              <w:t xml:space="preserve">, including Indigenous </w:t>
            </w:r>
            <w:r w:rsidR="002D19EC">
              <w:rPr>
                <w:rFonts w:ascii="Times New Roman" w:hAnsi="Times New Roman"/>
                <w:sz w:val="24"/>
                <w:szCs w:val="24"/>
              </w:rPr>
              <w:t>p</w:t>
            </w:r>
            <w:r w:rsidR="00244785" w:rsidRPr="00D02BCE">
              <w:rPr>
                <w:rFonts w:ascii="Times New Roman" w:hAnsi="Times New Roman"/>
                <w:sz w:val="24"/>
                <w:szCs w:val="24"/>
              </w:rPr>
              <w:t>eoples</w:t>
            </w:r>
            <w:r w:rsidR="00FE33CE">
              <w:rPr>
                <w:rFonts w:ascii="Times New Roman" w:hAnsi="Times New Roman"/>
                <w:sz w:val="24"/>
                <w:szCs w:val="24"/>
              </w:rPr>
              <w:t xml:space="preserve"> and local communities</w:t>
            </w:r>
            <w:r w:rsidR="009C6480" w:rsidRPr="00D02BCE">
              <w:rPr>
                <w:rFonts w:ascii="Times New Roman" w:hAnsi="Times New Roman"/>
                <w:sz w:val="24"/>
                <w:szCs w:val="24"/>
              </w:rPr>
              <w:t xml:space="preserve">. </w:t>
            </w:r>
            <w:r w:rsidR="00F35FE7" w:rsidRPr="00D02BCE">
              <w:rPr>
                <w:rFonts w:ascii="Times New Roman" w:hAnsi="Times New Roman"/>
                <w:sz w:val="24"/>
                <w:szCs w:val="24"/>
              </w:rPr>
              <w:t>However, the Commission and the EEAS note that much of that work needs to be done at local, regional and national levels, as the EU influence in such processes is limited</w:t>
            </w:r>
            <w:r w:rsidR="009C6480" w:rsidRPr="00D02BCE">
              <w:rPr>
                <w:rFonts w:ascii="Times New Roman" w:hAnsi="Times New Roman"/>
                <w:sz w:val="24"/>
                <w:szCs w:val="24"/>
              </w:rPr>
              <w:t xml:space="preserve"> and the Arctic States </w:t>
            </w:r>
            <w:r w:rsidR="002E6E17" w:rsidRPr="00D02BCE">
              <w:rPr>
                <w:rFonts w:ascii="Times New Roman" w:hAnsi="Times New Roman"/>
                <w:sz w:val="24"/>
                <w:szCs w:val="24"/>
              </w:rPr>
              <w:t>retain</w:t>
            </w:r>
            <w:r w:rsidR="009C6480" w:rsidRPr="00D02BCE">
              <w:rPr>
                <w:rFonts w:ascii="Times New Roman" w:hAnsi="Times New Roman"/>
                <w:sz w:val="24"/>
                <w:szCs w:val="24"/>
              </w:rPr>
              <w:t xml:space="preserve"> the primary responsibility for tackling challenges and opportunities within their territories.</w:t>
            </w:r>
          </w:p>
          <w:p w14:paraId="1DAF6CBF" w14:textId="02312CB6" w:rsidR="00372BDF" w:rsidRPr="00D02BCE" w:rsidRDefault="00DF59F2" w:rsidP="00185C16">
            <w:pPr>
              <w:pStyle w:val="Default"/>
              <w:widowControl w:val="0"/>
              <w:spacing w:before="120" w:after="120" w:line="276" w:lineRule="auto"/>
              <w:ind w:right="30"/>
              <w:jc w:val="both"/>
            </w:pPr>
            <w:r w:rsidRPr="00D02BCE">
              <w:t xml:space="preserve">In relation to Greenland, </w:t>
            </w:r>
            <w:r w:rsidR="0069626E" w:rsidRPr="00D02BCE">
              <w:t xml:space="preserve">the EU </w:t>
            </w:r>
            <w:r w:rsidR="00BB55B9" w:rsidRPr="00D02BCE">
              <w:t xml:space="preserve">has developed an </w:t>
            </w:r>
            <w:r w:rsidR="0069626E" w:rsidRPr="00D02BCE">
              <w:t xml:space="preserve">important partnership with Greenland. </w:t>
            </w:r>
            <w:r w:rsidR="00372BDF" w:rsidRPr="00D02BCE">
              <w:t xml:space="preserve">The opening of an EU Office in Nuuk in 2024 represents a significant milestone in this partnership. </w:t>
            </w:r>
            <w:r w:rsidR="00BB55B9" w:rsidRPr="00D02BCE">
              <w:t>In addition</w:t>
            </w:r>
            <w:r w:rsidR="00372BDF" w:rsidRPr="00D02BCE">
              <w:t xml:space="preserve">, </w:t>
            </w:r>
            <w:r w:rsidRPr="00D02BCE">
              <w:t>the developments that have taken place after this opinion was adopted</w:t>
            </w:r>
            <w:r w:rsidR="0011123E" w:rsidRPr="00D02BCE">
              <w:t xml:space="preserve"> only further</w:t>
            </w:r>
            <w:r w:rsidRPr="00D02BCE">
              <w:t xml:space="preserve"> strengthen the rationale for the EU </w:t>
            </w:r>
            <w:r w:rsidR="0011123E" w:rsidRPr="00D02BCE">
              <w:t xml:space="preserve">to enhance </w:t>
            </w:r>
            <w:r w:rsidR="0019679A" w:rsidRPr="00D02BCE">
              <w:t xml:space="preserve">its </w:t>
            </w:r>
            <w:r w:rsidR="0011123E" w:rsidRPr="00D02BCE">
              <w:t>engagement with Greenland</w:t>
            </w:r>
            <w:r w:rsidR="001B3922" w:rsidRPr="00D02BCE">
              <w:t>.</w:t>
            </w:r>
          </w:p>
          <w:p w14:paraId="79D806F3" w14:textId="776B0D5C" w:rsidR="00DF59F2" w:rsidRPr="00D02BCE" w:rsidRDefault="002E6E17" w:rsidP="00185C16">
            <w:pPr>
              <w:pStyle w:val="Default"/>
              <w:widowControl w:val="0"/>
              <w:spacing w:before="120" w:after="120" w:line="276" w:lineRule="auto"/>
              <w:ind w:right="30"/>
              <w:jc w:val="both"/>
            </w:pPr>
            <w:r w:rsidRPr="00D02BCE">
              <w:t xml:space="preserve">In this context, the EU reiterates </w:t>
            </w:r>
            <w:r w:rsidR="001B3922" w:rsidRPr="00D02BCE">
              <w:t>its commitment to international law and a rules-based global order, founded on the principles of sovere</w:t>
            </w:r>
            <w:r w:rsidR="0069626E" w:rsidRPr="00D02BCE">
              <w:t>ignty and territorial integrity</w:t>
            </w:r>
            <w:r w:rsidR="00BB55B9" w:rsidRPr="00D02BCE">
              <w:t>.</w:t>
            </w:r>
          </w:p>
          <w:p w14:paraId="39E0E927" w14:textId="7F25A50D" w:rsidR="004C7AEE" w:rsidRPr="00D02BCE" w:rsidRDefault="00752C8D" w:rsidP="00185C16">
            <w:pPr>
              <w:widowControl w:val="0"/>
              <w:spacing w:before="120" w:after="120"/>
              <w:ind w:right="30"/>
              <w:jc w:val="both"/>
              <w:rPr>
                <w:rFonts w:ascii="Times New Roman" w:hAnsi="Times New Roman"/>
                <w:sz w:val="24"/>
                <w:szCs w:val="24"/>
              </w:rPr>
            </w:pPr>
            <w:r w:rsidRPr="00D02BCE">
              <w:rPr>
                <w:rFonts w:ascii="Times New Roman" w:hAnsi="Times New Roman"/>
                <w:sz w:val="24"/>
                <w:szCs w:val="24"/>
              </w:rPr>
              <w:t>On point 3.14, i</w:t>
            </w:r>
            <w:r w:rsidR="004C7AEE" w:rsidRPr="00D02BCE">
              <w:rPr>
                <w:rFonts w:ascii="Times New Roman" w:hAnsi="Times New Roman"/>
                <w:sz w:val="24"/>
                <w:szCs w:val="24"/>
              </w:rPr>
              <w:t>n relation to the use of EU programmes by youth organisations and young people, the Commission would like to highlight that small-scale actors, youth organisations and individuals in the Arctic are already participating in actions funded by the Erasmus+ programme</w:t>
            </w:r>
            <w:r w:rsidR="004C7AEE" w:rsidRPr="00D02BCE">
              <w:rPr>
                <w:rStyle w:val="FootnoteReference"/>
                <w:rFonts w:ascii="Times New Roman" w:hAnsi="Times New Roman"/>
                <w:sz w:val="24"/>
                <w:szCs w:val="24"/>
              </w:rPr>
              <w:footnoteReference w:id="7"/>
            </w:r>
            <w:r w:rsidR="004C7AEE" w:rsidRPr="00D02BCE">
              <w:rPr>
                <w:rFonts w:ascii="Times New Roman" w:hAnsi="Times New Roman"/>
                <w:sz w:val="24"/>
                <w:szCs w:val="24"/>
              </w:rPr>
              <w:t xml:space="preserve"> to develop projects and offer information about work, study and training opportunities, experience learning mobility or other opportunities </w:t>
            </w:r>
            <w:r w:rsidR="00E911D6" w:rsidRPr="00D02BCE">
              <w:rPr>
                <w:rFonts w:ascii="Times New Roman" w:hAnsi="Times New Roman"/>
                <w:sz w:val="24"/>
                <w:szCs w:val="24"/>
              </w:rPr>
              <w:t xml:space="preserve">promoting active </w:t>
            </w:r>
            <w:r w:rsidR="004C7AEE" w:rsidRPr="00D02BCE">
              <w:rPr>
                <w:rFonts w:ascii="Times New Roman" w:hAnsi="Times New Roman"/>
                <w:sz w:val="24"/>
                <w:szCs w:val="24"/>
              </w:rPr>
              <w:t>citizens</w:t>
            </w:r>
            <w:r w:rsidR="00E911D6" w:rsidRPr="00D02BCE">
              <w:rPr>
                <w:rFonts w:ascii="Times New Roman" w:hAnsi="Times New Roman"/>
                <w:sz w:val="24"/>
                <w:szCs w:val="24"/>
              </w:rPr>
              <w:t>hip</w:t>
            </w:r>
            <w:r w:rsidR="004C7AEE" w:rsidRPr="00D02BCE">
              <w:rPr>
                <w:rFonts w:ascii="Times New Roman" w:hAnsi="Times New Roman"/>
                <w:sz w:val="24"/>
                <w:szCs w:val="24"/>
              </w:rPr>
              <w:t>. Over the past years, efforts have been made to facilitate the participation of small-scale actors and organisations in Erasmus+. Actors from Iceland and Norway can also participate in parts of the European Solidary Corps</w:t>
            </w:r>
            <w:r w:rsidR="004C7AEE" w:rsidRPr="00D02BCE">
              <w:rPr>
                <w:rStyle w:val="FootnoteReference"/>
                <w:rFonts w:ascii="Times New Roman" w:hAnsi="Times New Roman"/>
                <w:sz w:val="24"/>
                <w:szCs w:val="24"/>
              </w:rPr>
              <w:footnoteReference w:id="8"/>
            </w:r>
            <w:r w:rsidR="004C7AEE" w:rsidRPr="00D02BCE">
              <w:rPr>
                <w:rFonts w:ascii="Times New Roman" w:hAnsi="Times New Roman"/>
                <w:sz w:val="24"/>
                <w:szCs w:val="24"/>
              </w:rPr>
              <w:t>, promoting volunteering activities and solidary projects.</w:t>
            </w:r>
          </w:p>
          <w:p w14:paraId="3A99935F" w14:textId="32039F37" w:rsidR="00AA1BB1" w:rsidRPr="005B02BD" w:rsidRDefault="004C7AEE" w:rsidP="00185C16">
            <w:pPr>
              <w:widowControl w:val="0"/>
              <w:spacing w:before="120" w:after="120"/>
              <w:ind w:right="30"/>
              <w:jc w:val="both"/>
              <w:rPr>
                <w:rFonts w:ascii="Times New Roman" w:hAnsi="Times New Roman"/>
                <w:sz w:val="24"/>
                <w:szCs w:val="24"/>
              </w:rPr>
            </w:pPr>
            <w:r w:rsidRPr="00D02BCE">
              <w:rPr>
                <w:rFonts w:ascii="Times New Roman" w:hAnsi="Times New Roman"/>
                <w:sz w:val="24"/>
                <w:szCs w:val="24"/>
              </w:rPr>
              <w:t>National Agencies and Erasmus+ National Focal Points play a key role in information provision and support to potential applicants. In the case of the Kingdom of Denmark (Greenland), Finland, Iceland, Norway, and Sweden, the National Agencies, located in EU Member States and third countries associated to the Programme, play a vital role in Erasmus+ and the European Solidary Corps. They provide information, select and fund projects, monitor and evaluate initiatives, support applicants and participants, collaborate with other agencies and the EU, promote the programme, and share success stories and best practices. Regarding Canada, the Erasmus+ National Focal Points assist individuals and organisations by providing guidance on participating in Erasmus+. They also help to promote the programme by organising events and showcasing successful projects, with support from the Commission.</w:t>
            </w:r>
          </w:p>
        </w:tc>
      </w:tr>
    </w:tbl>
    <w:p w14:paraId="6AF07B14" w14:textId="26AEAB66" w:rsidR="004F6117" w:rsidRPr="005B02BD" w:rsidRDefault="004F6117" w:rsidP="000278CA">
      <w:pPr>
        <w:spacing w:after="0" w:line="240" w:lineRule="auto"/>
        <w:ind w:left="-709"/>
        <w:rPr>
          <w:rFonts w:ascii="Times New Roman" w:hAnsi="Times New Roman"/>
          <w:bCs/>
          <w:strike/>
          <w:sz w:val="16"/>
          <w:szCs w:val="16"/>
        </w:rPr>
      </w:pPr>
    </w:p>
    <w:sectPr w:rsidR="004F6117" w:rsidRPr="005B02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6C7C" w14:textId="77777777" w:rsidR="005B2BB5" w:rsidRDefault="005B2BB5" w:rsidP="00FF63EA">
      <w:pPr>
        <w:spacing w:after="0" w:line="240" w:lineRule="auto"/>
      </w:pPr>
      <w:r>
        <w:separator/>
      </w:r>
    </w:p>
  </w:endnote>
  <w:endnote w:type="continuationSeparator" w:id="0">
    <w:p w14:paraId="59EF76F9" w14:textId="77777777" w:rsidR="005B2BB5" w:rsidRDefault="005B2BB5" w:rsidP="00FF63EA">
      <w:pPr>
        <w:spacing w:after="0" w:line="240" w:lineRule="auto"/>
      </w:pPr>
      <w:r>
        <w:continuationSeparator/>
      </w:r>
    </w:p>
  </w:endnote>
  <w:endnote w:type="continuationNotice" w:id="1">
    <w:p w14:paraId="5FD19BBA" w14:textId="77777777" w:rsidR="005B2BB5" w:rsidRDefault="005B2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4F51" w14:textId="77777777" w:rsidR="005B2BB5" w:rsidRDefault="005B2BB5" w:rsidP="00FF63EA">
      <w:pPr>
        <w:spacing w:after="0" w:line="240" w:lineRule="auto"/>
      </w:pPr>
      <w:r>
        <w:separator/>
      </w:r>
    </w:p>
  </w:footnote>
  <w:footnote w:type="continuationSeparator" w:id="0">
    <w:p w14:paraId="19E50F4B" w14:textId="77777777" w:rsidR="005B2BB5" w:rsidRDefault="005B2BB5" w:rsidP="00FF63EA">
      <w:pPr>
        <w:spacing w:after="0" w:line="240" w:lineRule="auto"/>
      </w:pPr>
      <w:r>
        <w:continuationSeparator/>
      </w:r>
    </w:p>
  </w:footnote>
  <w:footnote w:type="continuationNotice" w:id="1">
    <w:p w14:paraId="237459C0" w14:textId="77777777" w:rsidR="005B2BB5" w:rsidRDefault="005B2BB5">
      <w:pPr>
        <w:spacing w:after="0" w:line="240" w:lineRule="auto"/>
      </w:pPr>
    </w:p>
  </w:footnote>
  <w:footnote w:id="2">
    <w:p w14:paraId="2F84C833" w14:textId="1478D356" w:rsidR="00C610D9" w:rsidRPr="00C37140" w:rsidRDefault="00C610D9" w:rsidP="00C37140">
      <w:pPr>
        <w:pStyle w:val="FootnoteText"/>
        <w:widowControl w:val="0"/>
        <w:ind w:left="-141" w:right="-567" w:hanging="426"/>
        <w:jc w:val="both"/>
        <w:rPr>
          <w:rFonts w:ascii="Times New Roman" w:hAnsi="Times New Roman"/>
          <w:lang w:val="en-IE"/>
        </w:rPr>
      </w:pPr>
      <w:r w:rsidRPr="00C37140">
        <w:rPr>
          <w:rStyle w:val="FootnoteReference"/>
          <w:rFonts w:ascii="Times New Roman" w:hAnsi="Times New Roman"/>
        </w:rPr>
        <w:footnoteRef/>
      </w:r>
      <w:r w:rsidRPr="00C37140">
        <w:rPr>
          <w:rFonts w:ascii="Times New Roman" w:hAnsi="Times New Roman"/>
          <w:lang w:val="en-IE"/>
        </w:rPr>
        <w:t xml:space="preserve"> </w:t>
      </w:r>
      <w:r w:rsidR="00185C16" w:rsidRPr="00C37140">
        <w:rPr>
          <w:rFonts w:ascii="Times New Roman" w:hAnsi="Times New Roman"/>
          <w:lang w:val="en-IE"/>
        </w:rPr>
        <w:tab/>
      </w:r>
      <w:r w:rsidRPr="00C37140">
        <w:rPr>
          <w:rFonts w:ascii="Times New Roman" w:hAnsi="Times New Roman"/>
          <w:lang w:val="en-IE"/>
        </w:rPr>
        <w:t>Communication</w:t>
      </w:r>
      <w:r w:rsidR="00DC34DC">
        <w:rPr>
          <w:rFonts w:ascii="Times New Roman" w:hAnsi="Times New Roman"/>
          <w:lang w:val="en-IE"/>
        </w:rPr>
        <w:t>:</w:t>
      </w:r>
      <w:r w:rsidR="00106135" w:rsidRPr="00C37140">
        <w:rPr>
          <w:rFonts w:ascii="Times New Roman" w:hAnsi="Times New Roman"/>
          <w:color w:val="333333"/>
          <w:shd w:val="clear" w:color="auto" w:fill="FFFFFF"/>
        </w:rPr>
        <w:t xml:space="preserve"> </w:t>
      </w:r>
      <w:r w:rsidR="00106135" w:rsidRPr="00C37140">
        <w:rPr>
          <w:rFonts w:ascii="Times New Roman" w:hAnsi="Times New Roman"/>
        </w:rPr>
        <w:t>The European Union and the arctic region</w:t>
      </w:r>
      <w:r w:rsidR="00106135" w:rsidRPr="002D19EC">
        <w:rPr>
          <w:rFonts w:ascii="Times New Roman" w:hAnsi="Times New Roman"/>
        </w:rPr>
        <w:t>,</w:t>
      </w:r>
      <w:r w:rsidR="00106135" w:rsidRPr="00C37140">
        <w:rPr>
          <w:rFonts w:ascii="Times New Roman" w:hAnsi="Times New Roman"/>
          <w:lang w:val="en-IE"/>
        </w:rPr>
        <w:t xml:space="preserve"> COM(2008) 763 final (</w:t>
      </w:r>
      <w:hyperlink r:id="rId1" w:anchor=":~:text=This%20Communication%20sets%20out%20EU%20interests%20and%20proposes,resources%20-%20Contributing%20to%20enhanced%20Arctic%20multilateral%20governance" w:history="1">
        <w:r w:rsidR="00106135" w:rsidRPr="00C37140">
          <w:rPr>
            <w:rStyle w:val="Hyperlink"/>
            <w:rFonts w:ascii="Times New Roman" w:hAnsi="Times New Roman"/>
            <w:lang w:val="en-IE"/>
          </w:rPr>
          <w:t>EUR-Lex - 52008DC0763 - EN - EUR-Lex</w:t>
        </w:r>
      </w:hyperlink>
      <w:r w:rsidR="00106135" w:rsidRPr="00C37140">
        <w:rPr>
          <w:rFonts w:ascii="Times New Roman" w:hAnsi="Times New Roman"/>
          <w:lang w:val="en-IE"/>
        </w:rPr>
        <w:t>).</w:t>
      </w:r>
    </w:p>
  </w:footnote>
  <w:footnote w:id="3">
    <w:p w14:paraId="0A35F1FC" w14:textId="7A50528B" w:rsidR="00C610D9" w:rsidRPr="00C37140" w:rsidRDefault="00C610D9" w:rsidP="00C37140">
      <w:pPr>
        <w:pStyle w:val="FootnoteText"/>
        <w:widowControl w:val="0"/>
        <w:ind w:left="-141" w:right="-567" w:hanging="426"/>
        <w:jc w:val="both"/>
        <w:rPr>
          <w:rFonts w:ascii="Times New Roman" w:hAnsi="Times New Roman"/>
          <w:lang w:val="en-IE"/>
        </w:rPr>
      </w:pPr>
      <w:r w:rsidRPr="00C37140">
        <w:rPr>
          <w:rStyle w:val="FootnoteReference"/>
          <w:rFonts w:ascii="Times New Roman" w:hAnsi="Times New Roman"/>
        </w:rPr>
        <w:footnoteRef/>
      </w:r>
      <w:r w:rsidRPr="00C37140">
        <w:rPr>
          <w:rFonts w:ascii="Times New Roman" w:hAnsi="Times New Roman"/>
          <w:lang w:val="en-IE"/>
        </w:rPr>
        <w:t xml:space="preserve"> </w:t>
      </w:r>
      <w:r w:rsidR="00185C16" w:rsidRPr="00C37140">
        <w:rPr>
          <w:rFonts w:ascii="Times New Roman" w:hAnsi="Times New Roman"/>
          <w:lang w:val="en-IE"/>
        </w:rPr>
        <w:tab/>
      </w:r>
      <w:r w:rsidRPr="00C37140">
        <w:rPr>
          <w:rFonts w:ascii="Times New Roman" w:hAnsi="Times New Roman"/>
          <w:lang w:val="en-IE"/>
        </w:rPr>
        <w:t>Joint Communication</w:t>
      </w:r>
      <w:r w:rsidR="00DC34DC">
        <w:rPr>
          <w:rFonts w:ascii="Times New Roman" w:hAnsi="Times New Roman"/>
          <w:lang w:val="en-IE"/>
        </w:rPr>
        <w:t>:</w:t>
      </w:r>
      <w:r w:rsidRPr="00C37140">
        <w:rPr>
          <w:rFonts w:ascii="Times New Roman" w:hAnsi="Times New Roman"/>
          <w:lang w:val="en-IE"/>
        </w:rPr>
        <w:t xml:space="preserve"> </w:t>
      </w:r>
      <w:r w:rsidR="002D19EC" w:rsidRPr="00C37140">
        <w:rPr>
          <w:rFonts w:ascii="Times New Roman" w:hAnsi="Times New Roman"/>
          <w:color w:val="333333"/>
          <w:shd w:val="clear" w:color="auto" w:fill="FFFFFF"/>
        </w:rPr>
        <w:t>D</w:t>
      </w:r>
      <w:r w:rsidR="002D19EC" w:rsidRPr="00C37140">
        <w:rPr>
          <w:rFonts w:ascii="Times New Roman" w:hAnsi="Times New Roman"/>
        </w:rPr>
        <w:t>eveloping a European Union Policy towards the Arctic Region: progress since 2008 and next steps</w:t>
      </w:r>
      <w:r w:rsidR="002D19EC">
        <w:rPr>
          <w:rFonts w:ascii="Times New Roman" w:hAnsi="Times New Roman"/>
        </w:rPr>
        <w:t>,</w:t>
      </w:r>
      <w:r w:rsidR="002D19EC" w:rsidRPr="00C37140">
        <w:rPr>
          <w:rFonts w:ascii="Times New Roman" w:hAnsi="Times New Roman"/>
          <w:lang w:val="en-IE"/>
        </w:rPr>
        <w:t xml:space="preserve"> </w:t>
      </w:r>
      <w:r w:rsidR="00106135" w:rsidRPr="00C37140">
        <w:rPr>
          <w:rFonts w:ascii="Times New Roman" w:hAnsi="Times New Roman"/>
          <w:lang w:val="en-IE"/>
        </w:rPr>
        <w:t>JOIN(201) 19 final (</w:t>
      </w:r>
      <w:hyperlink r:id="rId2" w:history="1">
        <w:r w:rsidR="00106135" w:rsidRPr="00C37140">
          <w:rPr>
            <w:rStyle w:val="Hyperlink"/>
            <w:rFonts w:ascii="Times New Roman" w:hAnsi="Times New Roman"/>
            <w:lang w:val="en-IE"/>
          </w:rPr>
          <w:t>EUR-Lex - 52012JC0019 - EN - EUR-Lex</w:t>
        </w:r>
      </w:hyperlink>
      <w:r w:rsidR="00106135" w:rsidRPr="00C37140">
        <w:rPr>
          <w:rFonts w:ascii="Times New Roman" w:hAnsi="Times New Roman"/>
          <w:lang w:val="en-IE"/>
        </w:rPr>
        <w:t>).</w:t>
      </w:r>
    </w:p>
  </w:footnote>
  <w:footnote w:id="4">
    <w:p w14:paraId="12C55D0E" w14:textId="0124D7F3" w:rsidR="00A4479C" w:rsidRPr="00C37140" w:rsidRDefault="00A4479C" w:rsidP="00C37140">
      <w:pPr>
        <w:pStyle w:val="FootnoteText"/>
        <w:widowControl w:val="0"/>
        <w:ind w:left="-141" w:right="-567" w:hanging="426"/>
        <w:jc w:val="both"/>
        <w:rPr>
          <w:rFonts w:ascii="Times New Roman" w:hAnsi="Times New Roman"/>
          <w:lang w:val="en-IE"/>
        </w:rPr>
      </w:pPr>
      <w:r w:rsidRPr="00C37140">
        <w:rPr>
          <w:rStyle w:val="FootnoteReference"/>
          <w:rFonts w:ascii="Times New Roman" w:hAnsi="Times New Roman"/>
        </w:rPr>
        <w:footnoteRef/>
      </w:r>
      <w:r w:rsidRPr="00C37140">
        <w:rPr>
          <w:rFonts w:ascii="Times New Roman" w:hAnsi="Times New Roman"/>
          <w:lang w:val="en-IE"/>
        </w:rPr>
        <w:t xml:space="preserve"> </w:t>
      </w:r>
      <w:r w:rsidR="00185C16" w:rsidRPr="00C37140">
        <w:rPr>
          <w:rFonts w:ascii="Times New Roman" w:hAnsi="Times New Roman"/>
          <w:lang w:val="en-IE"/>
        </w:rPr>
        <w:tab/>
      </w:r>
      <w:r w:rsidRPr="00C37140">
        <w:rPr>
          <w:rFonts w:ascii="Times New Roman" w:hAnsi="Times New Roman"/>
          <w:lang w:val="en-IE"/>
        </w:rPr>
        <w:t>Joint Communication</w:t>
      </w:r>
      <w:r w:rsidR="00DC34DC">
        <w:rPr>
          <w:rFonts w:ascii="Times New Roman" w:hAnsi="Times New Roman"/>
          <w:lang w:val="en-IE"/>
        </w:rPr>
        <w:t>:</w:t>
      </w:r>
      <w:r w:rsidRPr="00C37140">
        <w:rPr>
          <w:rFonts w:ascii="Times New Roman" w:hAnsi="Times New Roman"/>
          <w:lang w:val="en-IE"/>
        </w:rPr>
        <w:t xml:space="preserve"> </w:t>
      </w:r>
      <w:r w:rsidR="002D19EC" w:rsidRPr="00C37140">
        <w:rPr>
          <w:rFonts w:ascii="Times New Roman" w:hAnsi="Times New Roman"/>
          <w:lang w:val="en-IE"/>
        </w:rPr>
        <w:t>A</w:t>
      </w:r>
      <w:r w:rsidRPr="00C37140">
        <w:rPr>
          <w:rFonts w:ascii="Times New Roman" w:hAnsi="Times New Roman"/>
          <w:lang w:val="en-IE"/>
        </w:rPr>
        <w:t>n integrated EU policy for the Arctic, JOIN(2016) 21</w:t>
      </w:r>
      <w:r w:rsidR="00787E1F" w:rsidRPr="00C37140">
        <w:rPr>
          <w:rFonts w:ascii="Times New Roman" w:hAnsi="Times New Roman"/>
          <w:lang w:val="en-IE"/>
        </w:rPr>
        <w:t xml:space="preserve"> final (</w:t>
      </w:r>
      <w:r w:rsidR="00106135" w:rsidRPr="00C37140">
        <w:rPr>
          <w:rFonts w:ascii="Times New Roman" w:hAnsi="Times New Roman"/>
          <w:lang w:val="en-IE"/>
        </w:rPr>
        <w:t xml:space="preserve"> </w:t>
      </w:r>
      <w:hyperlink r:id="rId3" w:history="1">
        <w:r w:rsidR="00106135" w:rsidRPr="00C37140">
          <w:rPr>
            <w:rStyle w:val="Hyperlink"/>
            <w:rFonts w:ascii="Times New Roman" w:hAnsi="Times New Roman"/>
            <w:lang w:val="en-IE"/>
          </w:rPr>
          <w:t>EUR-Lex - 52016JC0021 - EN - EUR-Lex</w:t>
        </w:r>
      </w:hyperlink>
      <w:r w:rsidR="00787E1F" w:rsidRPr="00C37140">
        <w:rPr>
          <w:rFonts w:ascii="Times New Roman" w:hAnsi="Times New Roman"/>
          <w:lang w:val="en-IE"/>
        </w:rPr>
        <w:t>)</w:t>
      </w:r>
    </w:p>
  </w:footnote>
  <w:footnote w:id="5">
    <w:p w14:paraId="039DC571" w14:textId="767BA98F" w:rsidR="009B5287" w:rsidRPr="00C37140" w:rsidRDefault="009B5287" w:rsidP="00C37140">
      <w:pPr>
        <w:pStyle w:val="FootnoteText"/>
        <w:widowControl w:val="0"/>
        <w:ind w:left="-141" w:right="-567" w:hanging="426"/>
        <w:jc w:val="both"/>
        <w:rPr>
          <w:rFonts w:ascii="Times New Roman" w:hAnsi="Times New Roman"/>
          <w:lang w:val="en-IE"/>
        </w:rPr>
      </w:pPr>
      <w:r w:rsidRPr="00C37140">
        <w:rPr>
          <w:rStyle w:val="FootnoteReference"/>
          <w:rFonts w:ascii="Times New Roman" w:hAnsi="Times New Roman"/>
        </w:rPr>
        <w:footnoteRef/>
      </w:r>
      <w:r w:rsidRPr="00C37140">
        <w:rPr>
          <w:rFonts w:ascii="Times New Roman" w:hAnsi="Times New Roman"/>
          <w:lang w:val="en-IE"/>
        </w:rPr>
        <w:t xml:space="preserve"> </w:t>
      </w:r>
      <w:r w:rsidR="00185C16" w:rsidRPr="00C37140">
        <w:rPr>
          <w:rFonts w:ascii="Times New Roman" w:hAnsi="Times New Roman"/>
          <w:lang w:val="en-IE"/>
        </w:rPr>
        <w:tab/>
      </w:r>
      <w:r w:rsidRPr="00C37140">
        <w:rPr>
          <w:rFonts w:ascii="Times New Roman" w:hAnsi="Times New Roman"/>
          <w:lang w:val="en-IE"/>
        </w:rPr>
        <w:t>Joint Communication</w:t>
      </w:r>
      <w:r w:rsidR="00DC34DC">
        <w:rPr>
          <w:rFonts w:ascii="Times New Roman" w:hAnsi="Times New Roman"/>
          <w:lang w:val="en-IE"/>
        </w:rPr>
        <w:t>:</w:t>
      </w:r>
      <w:r w:rsidRPr="00C37140">
        <w:rPr>
          <w:rFonts w:ascii="Times New Roman" w:hAnsi="Times New Roman"/>
          <w:lang w:val="en-IE"/>
        </w:rPr>
        <w:t xml:space="preserve"> </w:t>
      </w:r>
      <w:r w:rsidR="00C8353C" w:rsidRPr="00C37140">
        <w:rPr>
          <w:rFonts w:ascii="Times New Roman" w:hAnsi="Times New Roman"/>
          <w:lang w:val="en-IE"/>
        </w:rPr>
        <w:t xml:space="preserve">A stronger EU engagement for a peaceful, sustainable and prosperous Arctic, </w:t>
      </w:r>
      <w:r w:rsidR="00106135" w:rsidRPr="00C37140">
        <w:rPr>
          <w:rFonts w:ascii="Times New Roman" w:hAnsi="Times New Roman"/>
          <w:lang w:val="en-IE"/>
        </w:rPr>
        <w:br/>
      </w:r>
      <w:r w:rsidR="00C8353C" w:rsidRPr="00C37140">
        <w:rPr>
          <w:rFonts w:ascii="Times New Roman" w:hAnsi="Times New Roman"/>
          <w:lang w:val="en-IE"/>
        </w:rPr>
        <w:t>JOIN (2021) 27 final, (</w:t>
      </w:r>
      <w:r w:rsidR="00106135" w:rsidRPr="00C37140">
        <w:rPr>
          <w:rFonts w:ascii="Times New Roman" w:hAnsi="Times New Roman"/>
          <w:lang w:val="en-IE"/>
        </w:rPr>
        <w:t xml:space="preserve"> </w:t>
      </w:r>
      <w:hyperlink r:id="rId4" w:history="1">
        <w:r w:rsidR="00106135" w:rsidRPr="00C37140">
          <w:rPr>
            <w:rStyle w:val="Hyperlink"/>
            <w:rFonts w:ascii="Times New Roman" w:hAnsi="Times New Roman"/>
            <w:lang w:val="en-IE"/>
          </w:rPr>
          <w:t>EUR-Lex - 52021JC0027 - EN - EUR-Lex</w:t>
        </w:r>
      </w:hyperlink>
      <w:r w:rsidR="00C8353C" w:rsidRPr="00C37140">
        <w:rPr>
          <w:rFonts w:ascii="Times New Roman" w:hAnsi="Times New Roman"/>
          <w:lang w:val="en-IE"/>
        </w:rPr>
        <w:t>)</w:t>
      </w:r>
      <w:r w:rsidR="00106135" w:rsidRPr="000278CA">
        <w:rPr>
          <w:rFonts w:ascii="Times New Roman" w:hAnsi="Times New Roman"/>
          <w:lang w:val="en-IE"/>
        </w:rPr>
        <w:t>.</w:t>
      </w:r>
    </w:p>
  </w:footnote>
  <w:footnote w:id="6">
    <w:p w14:paraId="39D0D98A" w14:textId="7BB93EBE" w:rsidR="00787E1F" w:rsidRPr="00C37140" w:rsidRDefault="00787E1F" w:rsidP="00C37140">
      <w:pPr>
        <w:pStyle w:val="FootnoteText"/>
        <w:widowControl w:val="0"/>
        <w:ind w:left="-141" w:right="-567" w:hanging="426"/>
        <w:jc w:val="both"/>
        <w:rPr>
          <w:rFonts w:ascii="Times New Roman" w:hAnsi="Times New Roman"/>
        </w:rPr>
      </w:pPr>
      <w:r w:rsidRPr="00C37140">
        <w:rPr>
          <w:rStyle w:val="FootnoteReference"/>
          <w:rFonts w:ascii="Times New Roman" w:hAnsi="Times New Roman"/>
        </w:rPr>
        <w:footnoteRef/>
      </w:r>
      <w:r w:rsidRPr="00C37140">
        <w:rPr>
          <w:rFonts w:ascii="Times New Roman" w:hAnsi="Times New Roman"/>
        </w:rPr>
        <w:t xml:space="preserve"> </w:t>
      </w:r>
      <w:r w:rsidR="00185C16" w:rsidRPr="00C37140">
        <w:rPr>
          <w:rFonts w:ascii="Times New Roman" w:hAnsi="Times New Roman"/>
        </w:rPr>
        <w:tab/>
      </w:r>
      <w:r w:rsidRPr="00C37140">
        <w:rPr>
          <w:rFonts w:ascii="Times New Roman" w:hAnsi="Times New Roman"/>
        </w:rPr>
        <w:t xml:space="preserve">EESC </w:t>
      </w:r>
      <w:r w:rsidR="00EF7D33" w:rsidRPr="00C37140">
        <w:rPr>
          <w:rFonts w:ascii="Times New Roman" w:hAnsi="Times New Roman"/>
        </w:rPr>
        <w:t xml:space="preserve">Opinion REX/470, adopted </w:t>
      </w:r>
      <w:r w:rsidR="00106135" w:rsidRPr="002D19EC">
        <w:rPr>
          <w:rFonts w:ascii="Times New Roman" w:hAnsi="Times New Roman"/>
        </w:rPr>
        <w:t xml:space="preserve">on </w:t>
      </w:r>
      <w:r w:rsidR="00EF7D33" w:rsidRPr="00C37140">
        <w:rPr>
          <w:rFonts w:ascii="Times New Roman" w:hAnsi="Times New Roman"/>
        </w:rPr>
        <w:t>14.12.2016</w:t>
      </w:r>
      <w:r w:rsidR="00106135" w:rsidRPr="002D19EC">
        <w:rPr>
          <w:rFonts w:ascii="Times New Roman" w:hAnsi="Times New Roman"/>
        </w:rPr>
        <w:t>.</w:t>
      </w:r>
    </w:p>
  </w:footnote>
  <w:footnote w:id="7">
    <w:p w14:paraId="0ACBC5D1" w14:textId="3D84E8E6" w:rsidR="004C7AEE" w:rsidRPr="00602F44" w:rsidRDefault="004C7AEE" w:rsidP="00C37140">
      <w:pPr>
        <w:pStyle w:val="FootnoteText"/>
        <w:widowControl w:val="0"/>
        <w:ind w:left="-142" w:right="-567" w:hanging="425"/>
        <w:jc w:val="both"/>
        <w:rPr>
          <w:rFonts w:ascii="Times New Roman" w:hAnsi="Times New Roman"/>
        </w:rPr>
      </w:pPr>
      <w:r w:rsidRPr="00BD1A03">
        <w:rPr>
          <w:rStyle w:val="FootnoteReference"/>
          <w:rFonts w:ascii="Times New Roman" w:hAnsi="Times New Roman"/>
        </w:rPr>
        <w:footnoteRef/>
      </w:r>
      <w:r w:rsidRPr="00602F44">
        <w:rPr>
          <w:rFonts w:ascii="Times New Roman" w:hAnsi="Times New Roman"/>
        </w:rPr>
        <w:t xml:space="preserve"> </w:t>
      </w:r>
      <w:r w:rsidR="00185C16">
        <w:rPr>
          <w:rFonts w:ascii="Times New Roman" w:hAnsi="Times New Roman"/>
        </w:rPr>
        <w:tab/>
      </w:r>
      <w:hyperlink r:id="rId5" w:history="1">
        <w:r w:rsidR="00185C16" w:rsidRPr="00185C16">
          <w:rPr>
            <w:rStyle w:val="Hyperlink"/>
            <w:rFonts w:ascii="Times New Roman" w:hAnsi="Times New Roman"/>
          </w:rPr>
          <w:t>https://erasmus-plus.ec.europa.eu/</w:t>
        </w:r>
      </w:hyperlink>
      <w:r w:rsidR="002D19EC">
        <w:rPr>
          <w:rFonts w:ascii="Times New Roman" w:hAnsi="Times New Roman"/>
        </w:rPr>
        <w:t>.</w:t>
      </w:r>
    </w:p>
  </w:footnote>
  <w:footnote w:id="8">
    <w:p w14:paraId="4670A1F1" w14:textId="08E5CBA8" w:rsidR="004C7AEE" w:rsidRPr="008500E0" w:rsidRDefault="004C7AEE" w:rsidP="00C37140">
      <w:pPr>
        <w:pStyle w:val="FootnoteText"/>
        <w:widowControl w:val="0"/>
        <w:ind w:left="-142" w:right="-567" w:hanging="425"/>
        <w:jc w:val="both"/>
      </w:pPr>
      <w:r w:rsidRPr="00602F44">
        <w:rPr>
          <w:rStyle w:val="FootnoteReference"/>
          <w:rFonts w:ascii="Times New Roman" w:hAnsi="Times New Roman"/>
        </w:rPr>
        <w:footnoteRef/>
      </w:r>
      <w:r w:rsidRPr="00602F44">
        <w:rPr>
          <w:rFonts w:ascii="Times New Roman" w:hAnsi="Times New Roman"/>
        </w:rPr>
        <w:t xml:space="preserve"> </w:t>
      </w:r>
      <w:r w:rsidR="00185C16">
        <w:rPr>
          <w:rFonts w:ascii="Times New Roman" w:hAnsi="Times New Roman"/>
        </w:rPr>
        <w:tab/>
      </w:r>
      <w:hyperlink r:id="rId6" w:history="1">
        <w:r w:rsidR="00185C16" w:rsidRPr="00185C16">
          <w:rPr>
            <w:rStyle w:val="Hyperlink"/>
            <w:rFonts w:ascii="Times New Roman" w:hAnsi="Times New Roman"/>
          </w:rPr>
          <w:t>https://youth.europa.eu/solidarity_en</w:t>
        </w:r>
      </w:hyperlink>
      <w:r w:rsidR="002D19EC">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15C02"/>
    <w:multiLevelType w:val="hybridMultilevel"/>
    <w:tmpl w:val="5CD82C56"/>
    <w:lvl w:ilvl="0" w:tplc="9984F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1C7313"/>
    <w:multiLevelType w:val="hybridMultilevel"/>
    <w:tmpl w:val="3392D1F4"/>
    <w:lvl w:ilvl="0" w:tplc="96D87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DC4F63"/>
    <w:multiLevelType w:val="hybridMultilevel"/>
    <w:tmpl w:val="60669F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2431211">
    <w:abstractNumId w:val="2"/>
  </w:num>
  <w:num w:numId="2" w16cid:durableId="551892364">
    <w:abstractNumId w:val="1"/>
  </w:num>
  <w:num w:numId="3" w16cid:durableId="104171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ctiveWritingStyle w:appName="MSWord" w:lang="en-IE" w:vendorID="64" w:dllVersion="0" w:nlCheck="1" w:checkStyle="0"/>
  <w:activeWritingStyle w:appName="MSWord" w:lang="da-DK" w:vendorID="64" w:dllVersion="0" w:nlCheck="1" w:checkStyle="0"/>
  <w:activeWritingStyle w:appName="MSWord" w:lang="fr-BE" w:vendorID="64" w:dllVersion="0" w:nlCheck="1" w:checkStyle="0"/>
  <w:proofState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77C4F"/>
    <w:rsid w:val="00012A37"/>
    <w:rsid w:val="000278CA"/>
    <w:rsid w:val="000441D6"/>
    <w:rsid w:val="00046B15"/>
    <w:rsid w:val="00050DC7"/>
    <w:rsid w:val="0006023F"/>
    <w:rsid w:val="00070CC9"/>
    <w:rsid w:val="00076109"/>
    <w:rsid w:val="00077C4F"/>
    <w:rsid w:val="000F5FD8"/>
    <w:rsid w:val="00106135"/>
    <w:rsid w:val="0011123E"/>
    <w:rsid w:val="00115F95"/>
    <w:rsid w:val="00116577"/>
    <w:rsid w:val="001167C0"/>
    <w:rsid w:val="00135C2A"/>
    <w:rsid w:val="00144690"/>
    <w:rsid w:val="00180A28"/>
    <w:rsid w:val="00185C16"/>
    <w:rsid w:val="0019679A"/>
    <w:rsid w:val="001A3C7E"/>
    <w:rsid w:val="001B0E0B"/>
    <w:rsid w:val="001B3922"/>
    <w:rsid w:val="001C0201"/>
    <w:rsid w:val="001C4138"/>
    <w:rsid w:val="001C7F87"/>
    <w:rsid w:val="001D1FA1"/>
    <w:rsid w:val="001D2ABA"/>
    <w:rsid w:val="001F2EC6"/>
    <w:rsid w:val="001F2EFA"/>
    <w:rsid w:val="001F65D0"/>
    <w:rsid w:val="00217E59"/>
    <w:rsid w:val="00223EB5"/>
    <w:rsid w:val="00235D3C"/>
    <w:rsid w:val="00244785"/>
    <w:rsid w:val="00254AFB"/>
    <w:rsid w:val="002816CF"/>
    <w:rsid w:val="002B1D82"/>
    <w:rsid w:val="002D19EC"/>
    <w:rsid w:val="002E6E17"/>
    <w:rsid w:val="002F03FA"/>
    <w:rsid w:val="003004D2"/>
    <w:rsid w:val="003349A3"/>
    <w:rsid w:val="00371E18"/>
    <w:rsid w:val="00372BDF"/>
    <w:rsid w:val="00377967"/>
    <w:rsid w:val="00386143"/>
    <w:rsid w:val="003917E8"/>
    <w:rsid w:val="003A76C0"/>
    <w:rsid w:val="003A7C04"/>
    <w:rsid w:val="003B58DC"/>
    <w:rsid w:val="003C39DF"/>
    <w:rsid w:val="003F686E"/>
    <w:rsid w:val="00414914"/>
    <w:rsid w:val="004163CE"/>
    <w:rsid w:val="00442552"/>
    <w:rsid w:val="00455A1C"/>
    <w:rsid w:val="004675B5"/>
    <w:rsid w:val="00475EB8"/>
    <w:rsid w:val="004770D6"/>
    <w:rsid w:val="0049246C"/>
    <w:rsid w:val="004B4A44"/>
    <w:rsid w:val="004C7AEE"/>
    <w:rsid w:val="004F6117"/>
    <w:rsid w:val="004F63F1"/>
    <w:rsid w:val="004F651E"/>
    <w:rsid w:val="0052596B"/>
    <w:rsid w:val="005274CB"/>
    <w:rsid w:val="0053731C"/>
    <w:rsid w:val="00554D8D"/>
    <w:rsid w:val="00573835"/>
    <w:rsid w:val="00581306"/>
    <w:rsid w:val="00594FC4"/>
    <w:rsid w:val="005B02BD"/>
    <w:rsid w:val="005B2BB5"/>
    <w:rsid w:val="005C3105"/>
    <w:rsid w:val="00602816"/>
    <w:rsid w:val="00602F44"/>
    <w:rsid w:val="006270A8"/>
    <w:rsid w:val="0065755C"/>
    <w:rsid w:val="00663802"/>
    <w:rsid w:val="00692C2F"/>
    <w:rsid w:val="00694713"/>
    <w:rsid w:val="00695797"/>
    <w:rsid w:val="0069626E"/>
    <w:rsid w:val="00696A5E"/>
    <w:rsid w:val="006A6ACA"/>
    <w:rsid w:val="006B3A5B"/>
    <w:rsid w:val="006B3B69"/>
    <w:rsid w:val="006D09EE"/>
    <w:rsid w:val="006F0DAF"/>
    <w:rsid w:val="00734613"/>
    <w:rsid w:val="00751910"/>
    <w:rsid w:val="00751E60"/>
    <w:rsid w:val="00752C8D"/>
    <w:rsid w:val="007547B5"/>
    <w:rsid w:val="00781BD9"/>
    <w:rsid w:val="00787E1F"/>
    <w:rsid w:val="00795A9E"/>
    <w:rsid w:val="007A606D"/>
    <w:rsid w:val="007C2214"/>
    <w:rsid w:val="007F5BCB"/>
    <w:rsid w:val="00807B48"/>
    <w:rsid w:val="008135CA"/>
    <w:rsid w:val="0081584F"/>
    <w:rsid w:val="00841E93"/>
    <w:rsid w:val="008703BF"/>
    <w:rsid w:val="00873053"/>
    <w:rsid w:val="00875522"/>
    <w:rsid w:val="008925CE"/>
    <w:rsid w:val="008A6D28"/>
    <w:rsid w:val="008B50CE"/>
    <w:rsid w:val="008C4D41"/>
    <w:rsid w:val="008D4D58"/>
    <w:rsid w:val="008F1B00"/>
    <w:rsid w:val="00955AC4"/>
    <w:rsid w:val="00981F45"/>
    <w:rsid w:val="00983D5D"/>
    <w:rsid w:val="00994D12"/>
    <w:rsid w:val="009B128B"/>
    <w:rsid w:val="009B5287"/>
    <w:rsid w:val="009B5974"/>
    <w:rsid w:val="009C6480"/>
    <w:rsid w:val="00A16724"/>
    <w:rsid w:val="00A16F07"/>
    <w:rsid w:val="00A4479C"/>
    <w:rsid w:val="00A62C7B"/>
    <w:rsid w:val="00A7709A"/>
    <w:rsid w:val="00A77EA1"/>
    <w:rsid w:val="00AA1BB1"/>
    <w:rsid w:val="00AE1842"/>
    <w:rsid w:val="00AE3C7C"/>
    <w:rsid w:val="00B31306"/>
    <w:rsid w:val="00B32EBE"/>
    <w:rsid w:val="00B42814"/>
    <w:rsid w:val="00B43CFE"/>
    <w:rsid w:val="00B7598F"/>
    <w:rsid w:val="00B83936"/>
    <w:rsid w:val="00BB55B9"/>
    <w:rsid w:val="00BD086F"/>
    <w:rsid w:val="00BD1A03"/>
    <w:rsid w:val="00BD6EB7"/>
    <w:rsid w:val="00BE0E0D"/>
    <w:rsid w:val="00BF52F4"/>
    <w:rsid w:val="00C0027C"/>
    <w:rsid w:val="00C32A0E"/>
    <w:rsid w:val="00C33004"/>
    <w:rsid w:val="00C37140"/>
    <w:rsid w:val="00C54D27"/>
    <w:rsid w:val="00C55727"/>
    <w:rsid w:val="00C610D9"/>
    <w:rsid w:val="00C72DD1"/>
    <w:rsid w:val="00C76EEB"/>
    <w:rsid w:val="00C8353C"/>
    <w:rsid w:val="00CA5425"/>
    <w:rsid w:val="00CB3C6F"/>
    <w:rsid w:val="00CB6A47"/>
    <w:rsid w:val="00CE26F1"/>
    <w:rsid w:val="00CE3386"/>
    <w:rsid w:val="00D01F5A"/>
    <w:rsid w:val="00D02BCE"/>
    <w:rsid w:val="00D03565"/>
    <w:rsid w:val="00D1716E"/>
    <w:rsid w:val="00D5464A"/>
    <w:rsid w:val="00D56B6C"/>
    <w:rsid w:val="00D64E05"/>
    <w:rsid w:val="00D674BE"/>
    <w:rsid w:val="00D85A08"/>
    <w:rsid w:val="00D92FD3"/>
    <w:rsid w:val="00DA3B6E"/>
    <w:rsid w:val="00DB7581"/>
    <w:rsid w:val="00DC34DC"/>
    <w:rsid w:val="00DC4E91"/>
    <w:rsid w:val="00DC70C1"/>
    <w:rsid w:val="00DD7D19"/>
    <w:rsid w:val="00DE2AE5"/>
    <w:rsid w:val="00DF59F2"/>
    <w:rsid w:val="00E033A1"/>
    <w:rsid w:val="00E10FF9"/>
    <w:rsid w:val="00E5247D"/>
    <w:rsid w:val="00E526A9"/>
    <w:rsid w:val="00E665A5"/>
    <w:rsid w:val="00E83C12"/>
    <w:rsid w:val="00E904C8"/>
    <w:rsid w:val="00E911D6"/>
    <w:rsid w:val="00EA10C9"/>
    <w:rsid w:val="00EA1BBF"/>
    <w:rsid w:val="00EB29A9"/>
    <w:rsid w:val="00EB6AEB"/>
    <w:rsid w:val="00EB77D2"/>
    <w:rsid w:val="00EF7D33"/>
    <w:rsid w:val="00F163A9"/>
    <w:rsid w:val="00F316C8"/>
    <w:rsid w:val="00F35FE7"/>
    <w:rsid w:val="00F41A67"/>
    <w:rsid w:val="00F45CA7"/>
    <w:rsid w:val="00F632DE"/>
    <w:rsid w:val="00F735E4"/>
    <w:rsid w:val="00FB7834"/>
    <w:rsid w:val="00FD4B6A"/>
    <w:rsid w:val="00FE33CE"/>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47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79C"/>
    <w:rPr>
      <w:lang w:eastAsia="en-US"/>
    </w:rPr>
  </w:style>
  <w:style w:type="character" w:styleId="FootnoteReference">
    <w:name w:val="footnote reference"/>
    <w:basedOn w:val="DefaultParagraphFont"/>
    <w:uiPriority w:val="99"/>
    <w:semiHidden/>
    <w:unhideWhenUsed/>
    <w:rsid w:val="00A4479C"/>
    <w:rPr>
      <w:vertAlign w:val="superscript"/>
    </w:rPr>
  </w:style>
  <w:style w:type="paragraph" w:styleId="ListParagraph">
    <w:name w:val="List Paragraph"/>
    <w:basedOn w:val="Normal"/>
    <w:uiPriority w:val="34"/>
    <w:qFormat/>
    <w:rsid w:val="00F41A67"/>
    <w:pPr>
      <w:ind w:left="720"/>
      <w:contextualSpacing/>
    </w:pPr>
  </w:style>
  <w:style w:type="paragraph" w:styleId="BalloonText">
    <w:name w:val="Balloon Text"/>
    <w:basedOn w:val="Normal"/>
    <w:link w:val="BalloonTextChar"/>
    <w:uiPriority w:val="99"/>
    <w:semiHidden/>
    <w:unhideWhenUsed/>
    <w:rsid w:val="00AA1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BB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602816"/>
    <w:rPr>
      <w:sz w:val="16"/>
      <w:szCs w:val="16"/>
    </w:rPr>
  </w:style>
  <w:style w:type="paragraph" w:styleId="CommentText">
    <w:name w:val="annotation text"/>
    <w:basedOn w:val="Normal"/>
    <w:link w:val="CommentTextChar"/>
    <w:uiPriority w:val="99"/>
    <w:unhideWhenUsed/>
    <w:rsid w:val="00602816"/>
    <w:pPr>
      <w:spacing w:line="240" w:lineRule="auto"/>
    </w:pPr>
    <w:rPr>
      <w:sz w:val="20"/>
      <w:szCs w:val="20"/>
    </w:rPr>
  </w:style>
  <w:style w:type="character" w:customStyle="1" w:styleId="CommentTextChar">
    <w:name w:val="Comment Text Char"/>
    <w:basedOn w:val="DefaultParagraphFont"/>
    <w:link w:val="CommentText"/>
    <w:uiPriority w:val="99"/>
    <w:rsid w:val="00602816"/>
    <w:rPr>
      <w:lang w:eastAsia="en-US"/>
    </w:rPr>
  </w:style>
  <w:style w:type="paragraph" w:styleId="CommentSubject">
    <w:name w:val="annotation subject"/>
    <w:basedOn w:val="CommentText"/>
    <w:next w:val="CommentText"/>
    <w:link w:val="CommentSubjectChar"/>
    <w:uiPriority w:val="99"/>
    <w:semiHidden/>
    <w:unhideWhenUsed/>
    <w:rsid w:val="00602816"/>
    <w:rPr>
      <w:b/>
      <w:bCs/>
    </w:rPr>
  </w:style>
  <w:style w:type="character" w:customStyle="1" w:styleId="CommentSubjectChar">
    <w:name w:val="Comment Subject Char"/>
    <w:basedOn w:val="CommentTextChar"/>
    <w:link w:val="CommentSubject"/>
    <w:uiPriority w:val="99"/>
    <w:semiHidden/>
    <w:rsid w:val="00602816"/>
    <w:rPr>
      <w:b/>
      <w:bCs/>
      <w:lang w:eastAsia="en-US"/>
    </w:rPr>
  </w:style>
  <w:style w:type="paragraph" w:styleId="Revision">
    <w:name w:val="Revision"/>
    <w:hidden/>
    <w:uiPriority w:val="99"/>
    <w:semiHidden/>
    <w:rsid w:val="001D2ABA"/>
    <w:rPr>
      <w:sz w:val="22"/>
      <w:szCs w:val="22"/>
      <w:lang w:eastAsia="en-US"/>
    </w:rPr>
  </w:style>
  <w:style w:type="character" w:styleId="Hyperlink">
    <w:name w:val="Hyperlink"/>
    <w:basedOn w:val="DefaultParagraphFont"/>
    <w:uiPriority w:val="99"/>
    <w:unhideWhenUsed/>
    <w:rsid w:val="004C7AEE"/>
    <w:rPr>
      <w:color w:val="0563C1" w:themeColor="hyperlink"/>
      <w:u w:val="single"/>
    </w:rPr>
  </w:style>
  <w:style w:type="paragraph" w:styleId="Header">
    <w:name w:val="header"/>
    <w:basedOn w:val="Normal"/>
    <w:link w:val="HeaderChar"/>
    <w:uiPriority w:val="99"/>
    <w:semiHidden/>
    <w:unhideWhenUsed/>
    <w:rsid w:val="001D1F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D1FA1"/>
    <w:rPr>
      <w:sz w:val="22"/>
      <w:szCs w:val="22"/>
      <w:lang w:eastAsia="en-US"/>
    </w:rPr>
  </w:style>
  <w:style w:type="paragraph" w:styleId="Footer">
    <w:name w:val="footer"/>
    <w:basedOn w:val="Normal"/>
    <w:link w:val="FooterChar"/>
    <w:uiPriority w:val="99"/>
    <w:semiHidden/>
    <w:unhideWhenUsed/>
    <w:rsid w:val="001D1F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D1FA1"/>
    <w:rPr>
      <w:sz w:val="22"/>
      <w:szCs w:val="22"/>
      <w:lang w:eastAsia="en-US"/>
    </w:rPr>
  </w:style>
  <w:style w:type="paragraph" w:customStyle="1" w:styleId="Default">
    <w:name w:val="Default"/>
    <w:rsid w:val="001B3922"/>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185C16"/>
    <w:rPr>
      <w:color w:val="605E5C"/>
      <w:shd w:val="clear" w:color="auto" w:fill="E1DFDD"/>
    </w:rPr>
  </w:style>
  <w:style w:type="character" w:styleId="FollowedHyperlink">
    <w:name w:val="FollowedHyperlink"/>
    <w:basedOn w:val="DefaultParagraphFont"/>
    <w:uiPriority w:val="99"/>
    <w:semiHidden/>
    <w:unhideWhenUsed/>
    <w:rsid w:val="001061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16JC0021" TargetMode="External"/><Relationship Id="rId2" Type="http://schemas.openxmlformats.org/officeDocument/2006/relationships/hyperlink" Target="https://eur-lex.europa.eu/legal-content/EN/TXT/?uri=join:JOIN_2012_384" TargetMode="External"/><Relationship Id="rId1" Type="http://schemas.openxmlformats.org/officeDocument/2006/relationships/hyperlink" Target="https://eur-lex.europa.eu/legal-content/en/TXT/?uri=CELEX%3A52008DC0763" TargetMode="External"/><Relationship Id="rId6" Type="http://schemas.openxmlformats.org/officeDocument/2006/relationships/hyperlink" Target="https://youth.europa.eu/solidarity_en" TargetMode="External"/><Relationship Id="rId5" Type="http://schemas.openxmlformats.org/officeDocument/2006/relationships/hyperlink" Target="https://erasmus-plus.ec.europa.eu/" TargetMode="External"/><Relationship Id="rId4" Type="http://schemas.openxmlformats.org/officeDocument/2006/relationships/hyperlink" Target="https://eur-lex.europa.eu/legal-content/EN/TXT/?uri=CELEX:52021JC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24" ma:contentTypeDescription="Create a new document." ma:contentTypeScope="" ma:versionID="f979412c6f2bf37cf62faec711ad7a8f">
  <xsd:schema xmlns:xsd="http://www.w3.org/2001/XMLSchema" xmlns:xs="http://www.w3.org/2001/XMLSchema" xmlns:p="http://schemas.microsoft.com/office/2006/metadata/properties" xmlns:ns1="http://schemas.microsoft.com/sharepoint/v3" xmlns:ns2="a280f3ed-f921-4226-9525-27fa6d577539" xmlns:ns3="278287c8-5be4-4613-8138-480f9be48247" xmlns:ns4="http://schemas.microsoft.com/sharepoint/v4" targetNamespace="http://schemas.microsoft.com/office/2006/metadata/properties" ma:root="true" ma:fieldsID="85bf9b2ed782f26f5413a254fe8b38e5" ns1:_="" ns2:_="" ns3:_="" ns4:_="">
    <xsd:import namespace="http://schemas.microsoft.com/sharepoint/v3"/>
    <xsd:import namespace="a280f3ed-f921-4226-9525-27fa6d577539"/>
    <xsd:import namespace="278287c8-5be4-4613-8138-480f9be4824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element ref="ns4:IconOverlay" minOccurs="0"/>
                <xsd:element ref="ns1:_vti_ItemDeclaredRecord" minOccurs="0"/>
                <xsd:element ref="ns1:_vti_ItemHoldRecord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03ac72e2-97ce-4cc7-a917-47074297667e}" ma:internalName="TaxCatchAll" ma:showField="CatchAllData" ma:web="278287c8-5be4-4613-8138-480f9be48247">
      <xsd:complexType>
        <xsd:complexContent>
          <xsd:extension base="dms:MultiChoiceLookup">
            <xsd:sequence>
              <xsd:element name="Value" type="dms:Lookup" maxOccurs="unbounded" minOccurs="0" nillable="true"/>
            </xsd:sequence>
          </xsd:extension>
        </xsd:complexContent>
      </xsd:complexType>
    </xsd:element>
    <xsd:element name="EC_ARES_NUMBER" ma:index="2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5" nillable="true" ma:displayName="Transferred to Ares" ma:format="DateTime" ma:hidden="true" ma:internalName="EC_ARES_DATE_TRANSFERRED">
      <xsd:simpleType>
        <xsd:restriction base="dms:DateTime"/>
      </xsd:simpleType>
    </xsd:element>
    <xsd:element name="EC_ARES_TRANSFERRED_BY" ma:index="26"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ARES_NUMBER xmlns="278287c8-5be4-4613-8138-480f9be48247">
      <Url xsi:nil="true"/>
      <Description xsi:nil="true"/>
    </EC_ARES_NUMBER>
    <EC_ARES_TRANSFERRED_BY xmlns="278287c8-5be4-4613-8138-480f9be48247" xsi:nil="true"/>
    <IconOverlay xmlns="http://schemas.microsoft.com/sharepoint/v4" xsi:nil="true"/>
    <TaxCatchAll xmlns="278287c8-5be4-4613-8138-480f9be48247" xsi:nil="true"/>
    <EC_ARES_DATE_TRANSFERRED xmlns="278287c8-5be4-4613-8138-480f9be48247" xsi:nil="true"/>
    <lcf76f155ced4ddcb4097134ff3c332f xmlns="a280f3ed-f921-4226-9525-27fa6d5775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545B0C1D-8DE1-4143-B56C-F4483332D54B}">
  <ds:schemaRefs>
    <ds:schemaRef ds:uri="http://schemas.microsoft.com/sharepoint/v3/contenttype/forms"/>
  </ds:schemaRefs>
</ds:datastoreItem>
</file>

<file path=customXml/itemProps2.xml><?xml version="1.0" encoding="utf-8"?>
<ds:datastoreItem xmlns:ds="http://schemas.openxmlformats.org/officeDocument/2006/customXml" ds:itemID="{36FD135F-593E-476D-9FAB-8EAA08B481EA}">
  <ds:schemaRefs>
    <ds:schemaRef ds:uri="http://schemas.openxmlformats.org/officeDocument/2006/bibliography"/>
  </ds:schemaRefs>
</ds:datastoreItem>
</file>

<file path=customXml/itemProps3.xml><?xml version="1.0" encoding="utf-8"?>
<ds:datastoreItem xmlns:ds="http://schemas.openxmlformats.org/officeDocument/2006/customXml" ds:itemID="{080CD932-7A17-410D-AA89-14B9C6912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80f3ed-f921-4226-9525-27fa6d577539"/>
    <ds:schemaRef ds:uri="278287c8-5be4-4613-8138-480f9be4824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E139A-6393-403A-91D0-AAE0C8D6E0B4}">
  <ds:schemaRefs>
    <ds:schemaRef ds:uri="http://schemas.microsoft.com/office/2006/metadata/properties"/>
    <ds:schemaRef ds:uri="http://schemas.microsoft.com/office/infopath/2007/PartnerControls"/>
    <ds:schemaRef ds:uri="278287c8-5be4-4613-8138-480f9be48247"/>
    <ds:schemaRef ds:uri="http://schemas.microsoft.com/sharepoint/v4"/>
    <ds:schemaRef ds:uri="a280f3ed-f921-4226-9525-27fa6d5775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5264</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2</cp:revision>
  <cp:lastPrinted>2025-04-15T08:48:00Z</cp:lastPrinted>
  <dcterms:created xsi:type="dcterms:W3CDTF">2025-10-17T12:06:00Z</dcterms:created>
  <dcterms:modified xsi:type="dcterms:W3CDTF">2025-10-17T12:06:00Z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0x010100F099A588E0F14746BFAC081FD6A566B8</vt:lpwstr>
  </property>
  <property fmtid="{D5CDD505-2E9C-101B-9397-08002B2CF9AE}" pid="10" name="MediaServiceImageTags">
    <vt:lpwstr/>
  </property>
</Properties>
</file>