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5A82F912" w:rsidR="00077C4F" w:rsidRPr="00595C15" w:rsidRDefault="00077C4F" w:rsidP="00D22FEF">
      <w:pPr>
        <w:spacing w:after="0" w:line="240" w:lineRule="auto"/>
        <w:ind w:left="-142"/>
        <w:rPr>
          <w:rFonts w:ascii="Times New Roman" w:hAnsi="Times New Roman"/>
          <w:bCs/>
          <w:sz w:val="16"/>
          <w:szCs w:val="16"/>
        </w:rPr>
      </w:pPr>
    </w:p>
    <w:tbl>
      <w:tblPr>
        <w:tblW w:w="932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324"/>
      </w:tblGrid>
      <w:tr w:rsidR="001C4138" w:rsidRPr="00442552" w14:paraId="7E6372DC" w14:textId="77777777" w:rsidTr="00775DE0">
        <w:trPr>
          <w:jc w:val="center"/>
        </w:trPr>
        <w:tc>
          <w:tcPr>
            <w:tcW w:w="9324" w:type="dxa"/>
          </w:tcPr>
          <w:p w14:paraId="3A4EDC3A" w14:textId="58FB0E85" w:rsidR="001C4138" w:rsidRPr="004F6117" w:rsidRDefault="00BA0785" w:rsidP="001C4138">
            <w:pPr>
              <w:spacing w:before="120" w:after="120"/>
              <w:rPr>
                <w:rFonts w:ascii="Times New Roman" w:hAnsi="Times New Roman"/>
                <w:b/>
                <w:sz w:val="24"/>
                <w:szCs w:val="24"/>
              </w:rPr>
            </w:pPr>
            <w:r w:rsidRPr="00BA0785">
              <w:rPr>
                <w:rFonts w:ascii="Times New Roman" w:hAnsi="Times New Roman"/>
                <w:b/>
                <w:sz w:val="24"/>
                <w:szCs w:val="24"/>
              </w:rPr>
              <w:t xml:space="preserve">Violence against women as a human rights issue: state of play of measures across the </w:t>
            </w:r>
            <w:r>
              <w:rPr>
                <w:rFonts w:ascii="Times New Roman" w:hAnsi="Times New Roman"/>
                <w:b/>
                <w:sz w:val="24"/>
                <w:szCs w:val="24"/>
              </w:rPr>
              <w:t>EU</w:t>
            </w:r>
            <w:r w:rsidR="00775DE0">
              <w:rPr>
                <w:rFonts w:ascii="Times New Roman" w:hAnsi="Times New Roman"/>
                <w:b/>
                <w:sz w:val="24"/>
                <w:szCs w:val="24"/>
              </w:rPr>
              <w:br/>
            </w:r>
            <w:r w:rsidRPr="00BA0785">
              <w:rPr>
                <w:rFonts w:ascii="Times New Roman" w:hAnsi="Times New Roman"/>
                <w:b/>
                <w:sz w:val="24"/>
                <w:szCs w:val="24"/>
              </w:rPr>
              <w:t>(own-initiative opinion)</w:t>
            </w:r>
            <w:r w:rsidR="001C4138" w:rsidRPr="00807B48">
              <w:rPr>
                <w:rFonts w:ascii="Times New Roman" w:hAnsi="Times New Roman"/>
                <w:b/>
                <w:sz w:val="24"/>
                <w:szCs w:val="24"/>
              </w:rPr>
              <w:br/>
            </w:r>
            <w:r w:rsidR="001C4138">
              <w:rPr>
                <w:rFonts w:ascii="Times New Roman" w:hAnsi="Times New Roman"/>
                <w:b/>
                <w:sz w:val="24"/>
                <w:szCs w:val="24"/>
                <w:lang w:val="en-IE"/>
              </w:rPr>
              <w:t>EESC</w:t>
            </w:r>
            <w:r w:rsidR="00E843D8">
              <w:rPr>
                <w:rFonts w:ascii="Times New Roman" w:hAnsi="Times New Roman"/>
                <w:b/>
                <w:sz w:val="24"/>
                <w:szCs w:val="24"/>
                <w:lang w:val="en-IE"/>
              </w:rPr>
              <w:t>-</w:t>
            </w:r>
            <w:r w:rsidR="00A150FE" w:rsidRPr="00A150FE">
              <w:rPr>
                <w:rFonts w:ascii="Times New Roman" w:hAnsi="Times New Roman"/>
                <w:b/>
                <w:sz w:val="24"/>
                <w:szCs w:val="24"/>
                <w:lang w:val="en-IE"/>
              </w:rPr>
              <w:t>2024-01831</w:t>
            </w:r>
            <w:r w:rsidR="00E843D8">
              <w:rPr>
                <w:rFonts w:ascii="Times New Roman" w:hAnsi="Times New Roman"/>
                <w:b/>
                <w:sz w:val="24"/>
                <w:szCs w:val="24"/>
                <w:lang w:val="en-IE"/>
              </w:rPr>
              <w:t xml:space="preserve"> </w:t>
            </w:r>
            <w:r w:rsidR="00595C15" w:rsidRPr="00807B48">
              <w:rPr>
                <w:rFonts w:ascii="Times New Roman" w:hAnsi="Times New Roman"/>
                <w:b/>
                <w:sz w:val="24"/>
                <w:szCs w:val="24"/>
              </w:rPr>
              <w:t>–</w:t>
            </w:r>
            <w:r w:rsidR="00A150FE">
              <w:rPr>
                <w:rFonts w:ascii="Times New Roman" w:hAnsi="Times New Roman"/>
                <w:b/>
                <w:sz w:val="24"/>
                <w:szCs w:val="24"/>
                <w:lang w:val="en-IE"/>
              </w:rPr>
              <w:t xml:space="preserve"> </w:t>
            </w:r>
            <w:r w:rsidR="00A150FE" w:rsidRPr="00A150FE">
              <w:rPr>
                <w:rFonts w:ascii="Times New Roman" w:hAnsi="Times New Roman"/>
                <w:b/>
                <w:sz w:val="24"/>
                <w:szCs w:val="24"/>
              </w:rPr>
              <w:t>SOC/798</w:t>
            </w:r>
            <w:r w:rsidR="001C4138" w:rsidRPr="00807B48">
              <w:rPr>
                <w:rFonts w:ascii="Times New Roman" w:hAnsi="Times New Roman"/>
                <w:b/>
                <w:sz w:val="24"/>
                <w:szCs w:val="24"/>
              </w:rPr>
              <w:br/>
            </w:r>
            <w:r w:rsidR="00A150FE" w:rsidRPr="00A150FE">
              <w:rPr>
                <w:rFonts w:ascii="Times New Roman" w:hAnsi="Times New Roman"/>
                <w:b/>
                <w:sz w:val="24"/>
                <w:szCs w:val="24"/>
              </w:rPr>
              <w:t>594</w:t>
            </w:r>
            <w:r w:rsidR="00A150FE" w:rsidRPr="00E81EB2">
              <w:rPr>
                <w:rFonts w:ascii="Times New Roman" w:hAnsi="Times New Roman"/>
                <w:b/>
                <w:sz w:val="24"/>
                <w:szCs w:val="24"/>
                <w:vertAlign w:val="superscript"/>
              </w:rPr>
              <w:t>th</w:t>
            </w:r>
            <w:r w:rsidR="00A150FE" w:rsidRPr="00A150FE">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sidR="00595C15">
              <w:rPr>
                <w:rFonts w:ascii="Times New Roman" w:hAnsi="Times New Roman"/>
                <w:b/>
                <w:sz w:val="24"/>
                <w:szCs w:val="24"/>
              </w:rPr>
              <w:t xml:space="preserve">February </w:t>
            </w:r>
            <w:r w:rsidRPr="00BA0785">
              <w:rPr>
                <w:rFonts w:ascii="Times New Roman" w:hAnsi="Times New Roman"/>
                <w:b/>
                <w:sz w:val="24"/>
                <w:szCs w:val="24"/>
              </w:rPr>
              <w:t>2025</w:t>
            </w:r>
            <w:r w:rsidR="001C4138" w:rsidRPr="00807B48">
              <w:rPr>
                <w:rFonts w:ascii="Times New Roman" w:hAnsi="Times New Roman"/>
                <w:b/>
                <w:sz w:val="24"/>
                <w:szCs w:val="24"/>
              </w:rPr>
              <w:br/>
              <w:t xml:space="preserve">Rapporteur: </w:t>
            </w:r>
            <w:r w:rsidRPr="00BA0785">
              <w:rPr>
                <w:rFonts w:ascii="Times New Roman" w:hAnsi="Times New Roman"/>
                <w:b/>
                <w:sz w:val="24"/>
                <w:szCs w:val="24"/>
              </w:rPr>
              <w:t>José Antonio MORENO DÍAZ</w:t>
            </w:r>
            <w:r w:rsidR="00D16849">
              <w:rPr>
                <w:rFonts w:ascii="Times New Roman" w:hAnsi="Times New Roman"/>
                <w:b/>
                <w:sz w:val="24"/>
                <w:szCs w:val="24"/>
              </w:rPr>
              <w:t xml:space="preserve"> (</w:t>
            </w:r>
            <w:r w:rsidR="00E843D8">
              <w:rPr>
                <w:rFonts w:ascii="Times New Roman" w:hAnsi="Times New Roman"/>
                <w:b/>
                <w:sz w:val="24"/>
                <w:szCs w:val="24"/>
              </w:rPr>
              <w:t>ES-</w:t>
            </w:r>
            <w:r w:rsidR="00D16849" w:rsidRPr="00D16849">
              <w:rPr>
                <w:rFonts w:ascii="Times New Roman" w:hAnsi="Times New Roman"/>
                <w:b/>
                <w:sz w:val="24"/>
                <w:szCs w:val="24"/>
              </w:rPr>
              <w:t>II</w:t>
            </w:r>
            <w:r w:rsidR="00D16849">
              <w:rPr>
                <w:rFonts w:ascii="Times New Roman" w:hAnsi="Times New Roman"/>
                <w:b/>
                <w:sz w:val="24"/>
                <w:szCs w:val="24"/>
              </w:rPr>
              <w:t>)</w:t>
            </w:r>
            <w:r>
              <w:rPr>
                <w:rFonts w:ascii="Times New Roman" w:hAnsi="Times New Roman"/>
                <w:b/>
                <w:sz w:val="24"/>
                <w:szCs w:val="24"/>
              </w:rPr>
              <w:br/>
            </w:r>
            <w:r w:rsidRPr="00BA0785">
              <w:rPr>
                <w:rFonts w:ascii="Times New Roman" w:hAnsi="Times New Roman"/>
                <w:b/>
                <w:sz w:val="24"/>
                <w:szCs w:val="24"/>
              </w:rPr>
              <w:t>Co-rapporteur: Dovilė JUODKAITĖ</w:t>
            </w:r>
            <w:r w:rsidR="00D16849">
              <w:t xml:space="preserve"> (</w:t>
            </w:r>
            <w:r w:rsidR="00E843D8" w:rsidRPr="00F621FD">
              <w:rPr>
                <w:rFonts w:ascii="Times New Roman" w:hAnsi="Times New Roman"/>
                <w:b/>
                <w:sz w:val="24"/>
                <w:szCs w:val="24"/>
              </w:rPr>
              <w:t>LT-</w:t>
            </w:r>
            <w:r w:rsidR="00D16849" w:rsidRPr="00D16849">
              <w:rPr>
                <w:rFonts w:ascii="Times New Roman" w:hAnsi="Times New Roman"/>
                <w:b/>
                <w:sz w:val="24"/>
                <w:szCs w:val="24"/>
              </w:rPr>
              <w:t>III)</w:t>
            </w:r>
            <w:r w:rsidR="00A150FE">
              <w:rPr>
                <w:rFonts w:ascii="Times New Roman" w:hAnsi="Times New Roman"/>
                <w:b/>
                <w:sz w:val="24"/>
                <w:szCs w:val="24"/>
              </w:rPr>
              <w:br/>
            </w:r>
            <w:r w:rsidR="001C4138" w:rsidRPr="00807B48">
              <w:rPr>
                <w:rFonts w:ascii="Times New Roman" w:hAnsi="Times New Roman"/>
                <w:b/>
                <w:sz w:val="24"/>
                <w:szCs w:val="24"/>
              </w:rPr>
              <w:t xml:space="preserve">DG </w:t>
            </w:r>
            <w:r w:rsidR="00A150FE">
              <w:rPr>
                <w:rFonts w:ascii="Times New Roman" w:hAnsi="Times New Roman"/>
                <w:b/>
                <w:sz w:val="24"/>
                <w:szCs w:val="24"/>
              </w:rPr>
              <w:t>JUST</w:t>
            </w:r>
            <w:r w:rsidR="001C4138" w:rsidRPr="00807B48">
              <w:rPr>
                <w:rFonts w:ascii="Times New Roman" w:hAnsi="Times New Roman"/>
                <w:b/>
                <w:sz w:val="24"/>
                <w:szCs w:val="24"/>
              </w:rPr>
              <w:t xml:space="preserve"> – Commissioner </w:t>
            </w:r>
            <w:r w:rsidR="00A150FE">
              <w:rPr>
                <w:rFonts w:ascii="Times New Roman" w:hAnsi="Times New Roman"/>
                <w:b/>
                <w:sz w:val="24"/>
                <w:szCs w:val="24"/>
              </w:rPr>
              <w:t>LAHBIB</w:t>
            </w:r>
          </w:p>
        </w:tc>
      </w:tr>
      <w:tr w:rsidR="00734613" w:rsidRPr="00442552" w14:paraId="1937071F" w14:textId="77777777" w:rsidTr="00775DE0">
        <w:trPr>
          <w:jc w:val="center"/>
        </w:trPr>
        <w:tc>
          <w:tcPr>
            <w:tcW w:w="9324" w:type="dxa"/>
          </w:tcPr>
          <w:p w14:paraId="1E50B4DB" w14:textId="22A32D5D"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of the European Economic and Social Committee</w:t>
            </w:r>
            <w:r w:rsidR="00595C15">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775DE0">
        <w:trPr>
          <w:jc w:val="center"/>
        </w:trPr>
        <w:tc>
          <w:tcPr>
            <w:tcW w:w="9324" w:type="dxa"/>
          </w:tcPr>
          <w:p w14:paraId="301EF735" w14:textId="7799817F" w:rsidR="000F6707" w:rsidRDefault="00D16849" w:rsidP="00595C15">
            <w:pPr>
              <w:spacing w:before="120" w:after="120"/>
              <w:ind w:right="33"/>
              <w:jc w:val="both"/>
              <w:rPr>
                <w:rFonts w:ascii="Times New Roman" w:hAnsi="Times New Roman"/>
                <w:sz w:val="24"/>
                <w:szCs w:val="24"/>
              </w:rPr>
            </w:pPr>
            <w:r w:rsidRPr="00D16849">
              <w:rPr>
                <w:rFonts w:ascii="Times New Roman" w:hAnsi="Times New Roman"/>
                <w:sz w:val="24"/>
                <w:szCs w:val="24"/>
                <w:u w:val="single"/>
              </w:rPr>
              <w:t>Point 1.4 of the opinion</w:t>
            </w:r>
            <w:r>
              <w:rPr>
                <w:rFonts w:ascii="Times New Roman" w:hAnsi="Times New Roman"/>
                <w:sz w:val="24"/>
                <w:szCs w:val="24"/>
              </w:rPr>
              <w:t xml:space="preserve">: </w:t>
            </w:r>
            <w:r w:rsidRPr="00D16849">
              <w:rPr>
                <w:rFonts w:ascii="Times New Roman" w:hAnsi="Times New Roman"/>
                <w:sz w:val="24"/>
                <w:szCs w:val="24"/>
              </w:rPr>
              <w:t xml:space="preserve">Directive on combating violence against women and domestic violence </w:t>
            </w:r>
            <w:r>
              <w:rPr>
                <w:rFonts w:ascii="Times New Roman" w:hAnsi="Times New Roman"/>
                <w:sz w:val="24"/>
                <w:szCs w:val="24"/>
              </w:rPr>
              <w:t>(‘VAW Directive’)</w:t>
            </w:r>
            <w:r>
              <w:rPr>
                <w:rStyle w:val="FootnoteReference"/>
                <w:rFonts w:ascii="Times New Roman" w:hAnsi="Times New Roman"/>
                <w:sz w:val="24"/>
                <w:szCs w:val="24"/>
              </w:rPr>
              <w:footnoteReference w:id="2"/>
            </w:r>
            <w:r>
              <w:rPr>
                <w:rFonts w:ascii="Times New Roman" w:hAnsi="Times New Roman"/>
                <w:sz w:val="24"/>
                <w:szCs w:val="24"/>
              </w:rPr>
              <w:t xml:space="preserve"> addresses all forms </w:t>
            </w:r>
            <w:r w:rsidRPr="00D16849">
              <w:rPr>
                <w:rFonts w:ascii="Times New Roman" w:hAnsi="Times New Roman"/>
                <w:sz w:val="24"/>
                <w:szCs w:val="24"/>
              </w:rPr>
              <w:t>of violence against women</w:t>
            </w:r>
            <w:r>
              <w:rPr>
                <w:rFonts w:ascii="Times New Roman" w:hAnsi="Times New Roman"/>
                <w:sz w:val="24"/>
                <w:szCs w:val="24"/>
              </w:rPr>
              <w:t xml:space="preserve">, that is </w:t>
            </w:r>
            <w:r w:rsidR="001845B1">
              <w:rPr>
                <w:rFonts w:ascii="Times New Roman" w:hAnsi="Times New Roman"/>
                <w:sz w:val="24"/>
                <w:szCs w:val="24"/>
              </w:rPr>
              <w:t>‘</w:t>
            </w:r>
            <w:r w:rsidRPr="00D16849">
              <w:rPr>
                <w:rFonts w:ascii="Times New Roman" w:hAnsi="Times New Roman"/>
                <w:sz w:val="24"/>
                <w:szCs w:val="24"/>
              </w:rPr>
              <w:t>all acts of gender-based violence directed against a woman or a girl because she is a woman or a girl or that affect women or girls disproportionately, that result in or are likely to result in physical, sexual, psychological or economic harm or suffering, including threats of such acts, coercion or arbitrary deprivation of liberty, whether occurring in public or in private life</w:t>
            </w:r>
            <w:r w:rsidR="001845B1">
              <w:rPr>
                <w:rFonts w:ascii="Times New Roman" w:hAnsi="Times New Roman"/>
                <w:sz w:val="24"/>
                <w:szCs w:val="24"/>
              </w:rPr>
              <w:t>’</w:t>
            </w:r>
            <w:r w:rsidR="005A2C71">
              <w:rPr>
                <w:rStyle w:val="FootnoteReference"/>
                <w:rFonts w:ascii="Times New Roman" w:hAnsi="Times New Roman"/>
                <w:sz w:val="24"/>
                <w:szCs w:val="24"/>
              </w:rPr>
              <w:footnoteReference w:id="3"/>
            </w:r>
            <w:r w:rsidR="000F6707">
              <w:rPr>
                <w:rFonts w:ascii="Times New Roman" w:hAnsi="Times New Roman"/>
                <w:sz w:val="24"/>
                <w:szCs w:val="24"/>
              </w:rPr>
              <w:t xml:space="preserve">. Even though the </w:t>
            </w:r>
            <w:r w:rsidR="001845B1">
              <w:rPr>
                <w:rFonts w:ascii="Times New Roman" w:hAnsi="Times New Roman"/>
                <w:sz w:val="24"/>
                <w:szCs w:val="24"/>
              </w:rPr>
              <w:t xml:space="preserve">VAW </w:t>
            </w:r>
            <w:r w:rsidR="000F6707">
              <w:rPr>
                <w:rFonts w:ascii="Times New Roman" w:hAnsi="Times New Roman"/>
                <w:sz w:val="24"/>
                <w:szCs w:val="24"/>
              </w:rPr>
              <w:t>Directive</w:t>
            </w:r>
            <w:r w:rsidR="00E66DC2">
              <w:rPr>
                <w:rFonts w:ascii="Times New Roman" w:hAnsi="Times New Roman"/>
                <w:sz w:val="24"/>
                <w:szCs w:val="24"/>
              </w:rPr>
              <w:t xml:space="preserve"> criminalises only certain forms of violence against women</w:t>
            </w:r>
            <w:r w:rsidR="00874200">
              <w:rPr>
                <w:rFonts w:ascii="Times New Roman" w:hAnsi="Times New Roman"/>
                <w:sz w:val="24"/>
                <w:szCs w:val="24"/>
              </w:rPr>
              <w:t xml:space="preserve"> </w:t>
            </w:r>
            <w:r w:rsidR="00354B18">
              <w:rPr>
                <w:rFonts w:ascii="Times New Roman" w:hAnsi="Times New Roman"/>
                <w:sz w:val="24"/>
                <w:szCs w:val="24"/>
              </w:rPr>
              <w:t xml:space="preserve">(the EU can only legislate within the limited areas of crime defined in Article 83(1) </w:t>
            </w:r>
            <w:r w:rsidR="005A2C71">
              <w:rPr>
                <w:rFonts w:ascii="Times New Roman" w:hAnsi="Times New Roman"/>
                <w:sz w:val="24"/>
                <w:szCs w:val="24"/>
              </w:rPr>
              <w:t xml:space="preserve">of the </w:t>
            </w:r>
            <w:r w:rsidR="005A2C71" w:rsidRPr="005A2C71">
              <w:rPr>
                <w:rFonts w:ascii="Times New Roman" w:hAnsi="Times New Roman"/>
                <w:sz w:val="24"/>
                <w:szCs w:val="24"/>
              </w:rPr>
              <w:t>Treaty on the Functioning of the European Union</w:t>
            </w:r>
            <w:r w:rsidR="00767208">
              <w:rPr>
                <w:rFonts w:ascii="Times New Roman" w:hAnsi="Times New Roman"/>
                <w:sz w:val="24"/>
                <w:szCs w:val="24"/>
              </w:rPr>
              <w:t xml:space="preserve"> </w:t>
            </w:r>
            <w:r w:rsidR="005A2C71">
              <w:rPr>
                <w:rFonts w:ascii="Times New Roman" w:hAnsi="Times New Roman"/>
                <w:sz w:val="24"/>
                <w:szCs w:val="24"/>
              </w:rPr>
              <w:t>(</w:t>
            </w:r>
            <w:r w:rsidR="00354B18">
              <w:rPr>
                <w:rFonts w:ascii="Times New Roman" w:hAnsi="Times New Roman"/>
                <w:sz w:val="24"/>
                <w:szCs w:val="24"/>
              </w:rPr>
              <w:t>TFEU)</w:t>
            </w:r>
            <w:r w:rsidR="005A2C71">
              <w:rPr>
                <w:rFonts w:ascii="Times New Roman" w:hAnsi="Times New Roman"/>
                <w:sz w:val="24"/>
                <w:szCs w:val="24"/>
              </w:rPr>
              <w:t>)</w:t>
            </w:r>
            <w:r w:rsidR="000F6707">
              <w:rPr>
                <w:rFonts w:ascii="Times New Roman" w:hAnsi="Times New Roman"/>
                <w:sz w:val="24"/>
                <w:szCs w:val="24"/>
              </w:rPr>
              <w:t>, all the rights of support, protection</w:t>
            </w:r>
            <w:r w:rsidR="001845B1">
              <w:rPr>
                <w:rFonts w:ascii="Times New Roman" w:hAnsi="Times New Roman"/>
                <w:sz w:val="24"/>
                <w:szCs w:val="24"/>
              </w:rPr>
              <w:t xml:space="preserve"> and</w:t>
            </w:r>
            <w:r w:rsidR="000F6707">
              <w:rPr>
                <w:rFonts w:ascii="Times New Roman" w:hAnsi="Times New Roman"/>
                <w:sz w:val="24"/>
                <w:szCs w:val="24"/>
              </w:rPr>
              <w:t xml:space="preserve"> access to justice are granted to any victim of any form of violence against women criminalised under national or Union law.</w:t>
            </w:r>
          </w:p>
          <w:p w14:paraId="012A1C02" w14:textId="5002A151" w:rsidR="00231B41" w:rsidRDefault="000F6707" w:rsidP="00595C15">
            <w:pPr>
              <w:spacing w:before="120" w:after="120"/>
              <w:ind w:right="33"/>
              <w:jc w:val="both"/>
              <w:rPr>
                <w:rFonts w:ascii="Times New Roman" w:hAnsi="Times New Roman"/>
                <w:sz w:val="24"/>
                <w:szCs w:val="24"/>
              </w:rPr>
            </w:pPr>
            <w:r w:rsidRPr="000F6707">
              <w:rPr>
                <w:rFonts w:ascii="Times New Roman" w:hAnsi="Times New Roman"/>
                <w:sz w:val="24"/>
                <w:szCs w:val="24"/>
                <w:u w:val="single"/>
              </w:rPr>
              <w:t>Point 1.5 of the opinion</w:t>
            </w:r>
            <w:r>
              <w:rPr>
                <w:rFonts w:ascii="Times New Roman" w:hAnsi="Times New Roman"/>
                <w:sz w:val="24"/>
                <w:szCs w:val="24"/>
              </w:rPr>
              <w:t>: the Commission proposal for a Directive on combating violence against women and domestic violence included the definition of the crime of rape based on lack of consent (which also included a definition of lack of consent as constituent element of the crime</w:t>
            </w:r>
            <w:r w:rsidR="006A73D5">
              <w:rPr>
                <w:rFonts w:ascii="Times New Roman" w:hAnsi="Times New Roman"/>
                <w:sz w:val="24"/>
                <w:szCs w:val="24"/>
              </w:rPr>
              <w:t xml:space="preserve">). While </w:t>
            </w:r>
            <w:r w:rsidR="00DD4D58">
              <w:rPr>
                <w:rFonts w:ascii="Times New Roman" w:hAnsi="Times New Roman"/>
                <w:sz w:val="24"/>
                <w:szCs w:val="24"/>
              </w:rPr>
              <w:t xml:space="preserve">the co-legislators could not find an agreement on </w:t>
            </w:r>
            <w:r w:rsidR="006A73D5">
              <w:rPr>
                <w:rFonts w:ascii="Times New Roman" w:hAnsi="Times New Roman"/>
                <w:sz w:val="24"/>
                <w:szCs w:val="24"/>
              </w:rPr>
              <w:t>the inclusion of the crime of rape, an extensive Article on</w:t>
            </w:r>
            <w:r w:rsidR="00DD2F05">
              <w:rPr>
                <w:rFonts w:ascii="Times New Roman" w:hAnsi="Times New Roman"/>
                <w:sz w:val="24"/>
                <w:szCs w:val="24"/>
              </w:rPr>
              <w:t xml:space="preserve"> ‘</w:t>
            </w:r>
            <w:r w:rsidR="00DD2F05" w:rsidRPr="00DD2F05">
              <w:rPr>
                <w:rFonts w:ascii="Times New Roman" w:hAnsi="Times New Roman"/>
                <w:sz w:val="24"/>
                <w:szCs w:val="24"/>
              </w:rPr>
              <w:t>Specific measures to prevent rape and to promote the central role of consent in sexual relationships</w:t>
            </w:r>
            <w:r w:rsidR="00DD2F05">
              <w:rPr>
                <w:rFonts w:ascii="Times New Roman" w:hAnsi="Times New Roman"/>
                <w:sz w:val="24"/>
                <w:szCs w:val="24"/>
              </w:rPr>
              <w:t xml:space="preserve">’ </w:t>
            </w:r>
            <w:r w:rsidR="00DD4D58">
              <w:rPr>
                <w:rFonts w:ascii="Times New Roman" w:hAnsi="Times New Roman"/>
                <w:sz w:val="24"/>
                <w:szCs w:val="24"/>
              </w:rPr>
              <w:t>could be agreed</w:t>
            </w:r>
            <w:r w:rsidR="00DD2F05">
              <w:rPr>
                <w:rFonts w:ascii="Times New Roman" w:hAnsi="Times New Roman"/>
                <w:sz w:val="24"/>
                <w:szCs w:val="24"/>
              </w:rPr>
              <w:t>, requiring Member States</w:t>
            </w:r>
            <w:r w:rsidR="00725C78">
              <w:rPr>
                <w:rFonts w:ascii="Times New Roman" w:hAnsi="Times New Roman"/>
                <w:sz w:val="24"/>
                <w:szCs w:val="24"/>
              </w:rPr>
              <w:t xml:space="preserve">, among other things, to </w:t>
            </w:r>
            <w:r w:rsidR="00231B41">
              <w:rPr>
                <w:rFonts w:ascii="Times New Roman" w:hAnsi="Times New Roman"/>
                <w:sz w:val="24"/>
                <w:szCs w:val="24"/>
              </w:rPr>
              <w:t xml:space="preserve">ensure </w:t>
            </w:r>
            <w:r w:rsidR="005A2C71">
              <w:rPr>
                <w:rFonts w:ascii="Times New Roman" w:hAnsi="Times New Roman"/>
                <w:sz w:val="24"/>
                <w:szCs w:val="24"/>
              </w:rPr>
              <w:t>i</w:t>
            </w:r>
            <w:r w:rsidR="00725C78">
              <w:rPr>
                <w:rFonts w:ascii="Times New Roman" w:hAnsi="Times New Roman"/>
                <w:sz w:val="24"/>
                <w:szCs w:val="24"/>
              </w:rPr>
              <w:t xml:space="preserve">) </w:t>
            </w:r>
            <w:r w:rsidR="00725C78" w:rsidRPr="00725C78">
              <w:rPr>
                <w:rFonts w:ascii="Times New Roman" w:hAnsi="Times New Roman"/>
                <w:sz w:val="24"/>
                <w:szCs w:val="24"/>
              </w:rPr>
              <w:t>awareness-raising campaigns or programmes</w:t>
            </w:r>
            <w:r w:rsidR="00725C78">
              <w:rPr>
                <w:rFonts w:ascii="Times New Roman" w:hAnsi="Times New Roman"/>
                <w:sz w:val="24"/>
                <w:szCs w:val="24"/>
              </w:rPr>
              <w:t xml:space="preserve"> aim</w:t>
            </w:r>
            <w:r w:rsidR="00231B41">
              <w:rPr>
                <w:rFonts w:ascii="Times New Roman" w:hAnsi="Times New Roman"/>
                <w:sz w:val="24"/>
                <w:szCs w:val="24"/>
              </w:rPr>
              <w:t>ing</w:t>
            </w:r>
            <w:r w:rsidR="00725C78">
              <w:rPr>
                <w:rFonts w:ascii="Times New Roman" w:hAnsi="Times New Roman"/>
                <w:sz w:val="24"/>
                <w:szCs w:val="24"/>
              </w:rPr>
              <w:t xml:space="preserve"> to</w:t>
            </w:r>
            <w:r w:rsidR="00725C78">
              <w:t xml:space="preserve"> </w:t>
            </w:r>
            <w:r w:rsidR="00725C78" w:rsidRPr="00725C78">
              <w:rPr>
                <w:rFonts w:ascii="Times New Roman" w:hAnsi="Times New Roman"/>
                <w:sz w:val="24"/>
                <w:szCs w:val="24"/>
              </w:rPr>
              <w:t xml:space="preserve">increase knowledge of the fact that non-consensual sex is considered a criminal offence, </w:t>
            </w:r>
            <w:r w:rsidR="00725C78">
              <w:rPr>
                <w:rFonts w:ascii="Times New Roman" w:hAnsi="Times New Roman"/>
                <w:sz w:val="24"/>
                <w:szCs w:val="24"/>
              </w:rPr>
              <w:t xml:space="preserve">ii) </w:t>
            </w:r>
            <w:r w:rsidR="00DD4D58">
              <w:rPr>
                <w:rFonts w:ascii="Times New Roman" w:hAnsi="Times New Roman"/>
                <w:sz w:val="24"/>
                <w:szCs w:val="24"/>
              </w:rPr>
              <w:t>that</w:t>
            </w:r>
            <w:r w:rsidR="00725C78" w:rsidRPr="00725C78">
              <w:rPr>
                <w:rFonts w:ascii="Times New Roman" w:hAnsi="Times New Roman"/>
                <w:sz w:val="24"/>
                <w:szCs w:val="24"/>
              </w:rPr>
              <w:t xml:space="preserve"> consent education material </w:t>
            </w:r>
            <w:r w:rsidR="00DD4D58">
              <w:rPr>
                <w:rFonts w:ascii="Times New Roman" w:hAnsi="Times New Roman"/>
                <w:sz w:val="24"/>
                <w:szCs w:val="24"/>
              </w:rPr>
              <w:t xml:space="preserve">is made available and distributed to </w:t>
            </w:r>
            <w:r w:rsidR="00231B41" w:rsidRPr="00231B41">
              <w:rPr>
                <w:rFonts w:ascii="Times New Roman" w:hAnsi="Times New Roman"/>
                <w:sz w:val="24"/>
                <w:szCs w:val="24"/>
              </w:rPr>
              <w:t>promote the understanding that consent must be given voluntarily as a result of a person’s free will, mutual respect, and the right to sexual integrity and bodily autonomy</w:t>
            </w:r>
            <w:r w:rsidR="00231B41">
              <w:rPr>
                <w:rFonts w:ascii="Times New Roman" w:hAnsi="Times New Roman"/>
                <w:sz w:val="24"/>
                <w:szCs w:val="24"/>
              </w:rPr>
              <w:t>,</w:t>
            </w:r>
            <w:r w:rsidR="00231B41" w:rsidRPr="00231B41">
              <w:rPr>
                <w:rFonts w:ascii="Times New Roman" w:hAnsi="Times New Roman"/>
                <w:sz w:val="24"/>
                <w:szCs w:val="24"/>
              </w:rPr>
              <w:t xml:space="preserve"> </w:t>
            </w:r>
            <w:r w:rsidR="00725C78" w:rsidRPr="00725C78">
              <w:rPr>
                <w:rFonts w:ascii="Times New Roman" w:hAnsi="Times New Roman"/>
                <w:sz w:val="24"/>
                <w:szCs w:val="24"/>
              </w:rPr>
              <w:t xml:space="preserve">and </w:t>
            </w:r>
            <w:r w:rsidR="00231B41">
              <w:rPr>
                <w:rFonts w:ascii="Times New Roman" w:hAnsi="Times New Roman"/>
                <w:sz w:val="24"/>
                <w:szCs w:val="24"/>
              </w:rPr>
              <w:t xml:space="preserve">iii) </w:t>
            </w:r>
            <w:r w:rsidR="00725C78" w:rsidRPr="00725C78">
              <w:rPr>
                <w:rFonts w:ascii="Times New Roman" w:hAnsi="Times New Roman"/>
                <w:sz w:val="24"/>
                <w:szCs w:val="24"/>
              </w:rPr>
              <w:t>the wide dissemination of information on measures of rape prevention</w:t>
            </w:r>
            <w:r w:rsidR="005A2C71">
              <w:rPr>
                <w:rStyle w:val="FootnoteReference"/>
                <w:rFonts w:ascii="Times New Roman" w:hAnsi="Times New Roman"/>
                <w:sz w:val="24"/>
                <w:szCs w:val="24"/>
              </w:rPr>
              <w:footnoteReference w:id="4"/>
            </w:r>
            <w:r w:rsidR="00725C78" w:rsidRPr="00725C78">
              <w:rPr>
                <w:rFonts w:ascii="Times New Roman" w:hAnsi="Times New Roman"/>
                <w:sz w:val="24"/>
                <w:szCs w:val="24"/>
              </w:rPr>
              <w:t>.</w:t>
            </w:r>
            <w:r w:rsidR="00DD2F05">
              <w:rPr>
                <w:rFonts w:ascii="Times New Roman" w:hAnsi="Times New Roman"/>
                <w:sz w:val="24"/>
                <w:szCs w:val="24"/>
              </w:rPr>
              <w:t xml:space="preserve"> </w:t>
            </w:r>
            <w:r w:rsidR="00830BFE">
              <w:rPr>
                <w:rFonts w:ascii="Times New Roman" w:hAnsi="Times New Roman"/>
                <w:sz w:val="24"/>
                <w:szCs w:val="24"/>
              </w:rPr>
              <w:t>The Commission will closely monitor the implementation of this obligation.</w:t>
            </w:r>
          </w:p>
          <w:p w14:paraId="7658B85C" w14:textId="4549A415" w:rsidR="00256285" w:rsidRDefault="00231B41" w:rsidP="00595C15">
            <w:pPr>
              <w:spacing w:before="120" w:after="120"/>
              <w:ind w:right="33"/>
              <w:jc w:val="both"/>
              <w:rPr>
                <w:rFonts w:ascii="Times New Roman" w:hAnsi="Times New Roman"/>
                <w:sz w:val="24"/>
                <w:szCs w:val="24"/>
              </w:rPr>
            </w:pPr>
            <w:r w:rsidRPr="000F6707">
              <w:rPr>
                <w:rFonts w:ascii="Times New Roman" w:hAnsi="Times New Roman"/>
                <w:sz w:val="24"/>
                <w:szCs w:val="24"/>
                <w:u w:val="single"/>
              </w:rPr>
              <w:t>Point 1.</w:t>
            </w:r>
            <w:r w:rsidR="006C1A25">
              <w:rPr>
                <w:rFonts w:ascii="Times New Roman" w:hAnsi="Times New Roman"/>
                <w:sz w:val="24"/>
                <w:szCs w:val="24"/>
                <w:u w:val="single"/>
              </w:rPr>
              <w:t>6</w:t>
            </w:r>
            <w:r w:rsidRPr="000F6707">
              <w:rPr>
                <w:rFonts w:ascii="Times New Roman" w:hAnsi="Times New Roman"/>
                <w:sz w:val="24"/>
                <w:szCs w:val="24"/>
                <w:u w:val="single"/>
              </w:rPr>
              <w:t xml:space="preserve"> of the opinion</w:t>
            </w:r>
            <w:r w:rsidR="006C1A25" w:rsidRPr="006C1A25">
              <w:rPr>
                <w:rFonts w:ascii="Times New Roman" w:hAnsi="Times New Roman"/>
                <w:sz w:val="24"/>
                <w:szCs w:val="24"/>
              </w:rPr>
              <w:t>: while the</w:t>
            </w:r>
            <w:r w:rsidR="006C1A25">
              <w:rPr>
                <w:rFonts w:ascii="Times New Roman" w:hAnsi="Times New Roman"/>
                <w:sz w:val="24"/>
                <w:szCs w:val="24"/>
              </w:rPr>
              <w:t xml:space="preserve"> </w:t>
            </w:r>
            <w:r w:rsidR="002D6E48">
              <w:rPr>
                <w:rFonts w:ascii="Times New Roman" w:hAnsi="Times New Roman"/>
                <w:sz w:val="24"/>
                <w:szCs w:val="24"/>
              </w:rPr>
              <w:t>Gender Equality Strategy 2020-2025</w:t>
            </w:r>
            <w:r w:rsidR="005A2C71">
              <w:rPr>
                <w:rStyle w:val="FootnoteReference"/>
                <w:rFonts w:ascii="Times New Roman" w:hAnsi="Times New Roman"/>
                <w:sz w:val="24"/>
                <w:szCs w:val="24"/>
              </w:rPr>
              <w:footnoteReference w:id="5"/>
            </w:r>
            <w:r w:rsidR="002D6E48">
              <w:rPr>
                <w:rFonts w:ascii="Times New Roman" w:hAnsi="Times New Roman"/>
                <w:sz w:val="24"/>
                <w:szCs w:val="24"/>
              </w:rPr>
              <w:t xml:space="preserve"> mentions the possibility </w:t>
            </w:r>
            <w:r w:rsidR="00354B18">
              <w:rPr>
                <w:rFonts w:ascii="Times New Roman" w:hAnsi="Times New Roman"/>
                <w:sz w:val="24"/>
                <w:szCs w:val="24"/>
              </w:rPr>
              <w:t xml:space="preserve">of </w:t>
            </w:r>
            <w:r w:rsidR="005A2C71">
              <w:rPr>
                <w:rFonts w:ascii="Times New Roman" w:hAnsi="Times New Roman"/>
                <w:sz w:val="24"/>
                <w:szCs w:val="24"/>
              </w:rPr>
              <w:t>‘</w:t>
            </w:r>
            <w:r w:rsidR="00354B18">
              <w:rPr>
                <w:rFonts w:ascii="Times New Roman" w:hAnsi="Times New Roman"/>
                <w:sz w:val="24"/>
                <w:szCs w:val="24"/>
              </w:rPr>
              <w:t>e</w:t>
            </w:r>
            <w:r w:rsidR="00354B18" w:rsidRPr="00354B18">
              <w:rPr>
                <w:rFonts w:ascii="Times New Roman" w:hAnsi="Times New Roman"/>
                <w:sz w:val="24"/>
                <w:szCs w:val="24"/>
              </w:rPr>
              <w:t>xtending the areas of crime</w:t>
            </w:r>
            <w:r w:rsidR="005A2C71">
              <w:rPr>
                <w:rFonts w:ascii="Times New Roman" w:hAnsi="Times New Roman"/>
                <w:sz w:val="24"/>
                <w:szCs w:val="24"/>
              </w:rPr>
              <w:t xml:space="preserve"> </w:t>
            </w:r>
            <w:r w:rsidR="00354B18" w:rsidRPr="00354B18">
              <w:rPr>
                <w:rFonts w:ascii="Times New Roman" w:hAnsi="Times New Roman"/>
                <w:sz w:val="24"/>
                <w:szCs w:val="24"/>
              </w:rPr>
              <w:t xml:space="preserve">where harmonisation is possible to specific forms </w:t>
            </w:r>
            <w:r w:rsidR="00354B18" w:rsidRPr="00354B18">
              <w:rPr>
                <w:rFonts w:ascii="Times New Roman" w:hAnsi="Times New Roman"/>
                <w:sz w:val="24"/>
                <w:szCs w:val="24"/>
              </w:rPr>
              <w:lastRenderedPageBreak/>
              <w:t>of gender-based violence in accordance with Article 83(1) TFEU, the so-called</w:t>
            </w:r>
            <w:r w:rsidR="005A2C71">
              <w:rPr>
                <w:rFonts w:ascii="Times New Roman" w:hAnsi="Times New Roman"/>
                <w:sz w:val="24"/>
                <w:szCs w:val="24"/>
              </w:rPr>
              <w:t xml:space="preserve"> </w:t>
            </w:r>
            <w:r w:rsidR="00354B18" w:rsidRPr="00354B18">
              <w:rPr>
                <w:rFonts w:ascii="Times New Roman" w:hAnsi="Times New Roman"/>
                <w:sz w:val="24"/>
                <w:szCs w:val="24"/>
              </w:rPr>
              <w:t>Eurocrimes</w:t>
            </w:r>
            <w:r w:rsidR="005A2C71">
              <w:rPr>
                <w:rFonts w:ascii="Times New Roman" w:hAnsi="Times New Roman"/>
                <w:sz w:val="24"/>
                <w:szCs w:val="24"/>
              </w:rPr>
              <w:t>’</w:t>
            </w:r>
            <w:r w:rsidR="00354B18">
              <w:rPr>
                <w:rFonts w:ascii="Times New Roman" w:hAnsi="Times New Roman"/>
                <w:sz w:val="24"/>
                <w:szCs w:val="24"/>
              </w:rPr>
              <w:t xml:space="preserve">, </w:t>
            </w:r>
            <w:r w:rsidR="004B57C7">
              <w:rPr>
                <w:rFonts w:ascii="Times New Roman" w:hAnsi="Times New Roman"/>
                <w:sz w:val="24"/>
                <w:szCs w:val="24"/>
              </w:rPr>
              <w:t xml:space="preserve">which would </w:t>
            </w:r>
            <w:r w:rsidR="006C1A25">
              <w:rPr>
                <w:rFonts w:ascii="Times New Roman" w:hAnsi="Times New Roman"/>
                <w:sz w:val="24"/>
                <w:szCs w:val="24"/>
              </w:rPr>
              <w:t xml:space="preserve">give the Union competence to criminalise at EU level other forms of violence against women (e.g. femicide, forced sterilisation, etc.), the Commission </w:t>
            </w:r>
            <w:r w:rsidR="00E66DC2">
              <w:rPr>
                <w:rFonts w:ascii="Times New Roman" w:hAnsi="Times New Roman"/>
                <w:sz w:val="24"/>
                <w:szCs w:val="24"/>
              </w:rPr>
              <w:t xml:space="preserve">considers that the crime of rape is covered by the existing legal basis of sexual exploitation of women and children. </w:t>
            </w:r>
            <w:r w:rsidR="002D6E48">
              <w:rPr>
                <w:rFonts w:ascii="Times New Roman" w:hAnsi="Times New Roman"/>
                <w:sz w:val="24"/>
                <w:szCs w:val="24"/>
              </w:rPr>
              <w:t>Th</w:t>
            </w:r>
            <w:r w:rsidR="00B9488D">
              <w:rPr>
                <w:rFonts w:ascii="Times New Roman" w:hAnsi="Times New Roman"/>
                <w:sz w:val="24"/>
                <w:szCs w:val="24"/>
              </w:rPr>
              <w:t>is</w:t>
            </w:r>
            <w:r w:rsidR="002D6E48">
              <w:rPr>
                <w:rFonts w:ascii="Times New Roman" w:hAnsi="Times New Roman"/>
                <w:sz w:val="24"/>
                <w:szCs w:val="24"/>
              </w:rPr>
              <w:t xml:space="preserve"> is reflected in the Commission’s proposal for the VAW Directive.</w:t>
            </w:r>
          </w:p>
          <w:p w14:paraId="26F6E5A6" w14:textId="4D8C6068" w:rsidR="006C1A25" w:rsidRDefault="001B2E82" w:rsidP="00595C15">
            <w:pPr>
              <w:spacing w:before="120" w:after="120"/>
              <w:ind w:right="33"/>
              <w:jc w:val="both"/>
              <w:rPr>
                <w:rFonts w:ascii="Times New Roman" w:hAnsi="Times New Roman"/>
                <w:sz w:val="24"/>
                <w:szCs w:val="24"/>
              </w:rPr>
            </w:pPr>
            <w:r w:rsidRPr="001B2E82">
              <w:rPr>
                <w:rFonts w:ascii="Times New Roman" w:hAnsi="Times New Roman"/>
                <w:sz w:val="24"/>
                <w:szCs w:val="24"/>
                <w:u w:val="single"/>
              </w:rPr>
              <w:t>Point 1.</w:t>
            </w:r>
            <w:r w:rsidR="00A124EF">
              <w:rPr>
                <w:rFonts w:ascii="Times New Roman" w:hAnsi="Times New Roman"/>
                <w:sz w:val="24"/>
                <w:szCs w:val="24"/>
                <w:u w:val="single"/>
              </w:rPr>
              <w:t>8</w:t>
            </w:r>
            <w:r w:rsidRPr="001B2E82">
              <w:rPr>
                <w:rFonts w:ascii="Times New Roman" w:hAnsi="Times New Roman"/>
                <w:sz w:val="24"/>
                <w:szCs w:val="24"/>
                <w:u w:val="single"/>
              </w:rPr>
              <w:t xml:space="preserve"> of the opinion</w:t>
            </w:r>
            <w:r>
              <w:rPr>
                <w:rFonts w:ascii="Times New Roman" w:hAnsi="Times New Roman"/>
                <w:sz w:val="24"/>
                <w:szCs w:val="24"/>
              </w:rPr>
              <w:t xml:space="preserve">: the VAW Directive </w:t>
            </w:r>
            <w:r w:rsidR="00E66DC2">
              <w:rPr>
                <w:rFonts w:ascii="Times New Roman" w:hAnsi="Times New Roman"/>
                <w:sz w:val="24"/>
                <w:szCs w:val="24"/>
              </w:rPr>
              <w:t xml:space="preserve">recognises </w:t>
            </w:r>
            <w:r>
              <w:rPr>
                <w:rFonts w:ascii="Times New Roman" w:hAnsi="Times New Roman"/>
                <w:sz w:val="24"/>
                <w:szCs w:val="24"/>
              </w:rPr>
              <w:t xml:space="preserve">the specific needs of victims of violence against women or domestic violence that face intersectional discrimination (including </w:t>
            </w:r>
            <w:r w:rsidRPr="001B2E82">
              <w:rPr>
                <w:rFonts w:ascii="Times New Roman" w:hAnsi="Times New Roman"/>
                <w:sz w:val="24"/>
                <w:szCs w:val="24"/>
              </w:rPr>
              <w:t>women and girls belonging to ethnic and/or cultural minorities</w:t>
            </w:r>
            <w:r w:rsidR="00041401">
              <w:rPr>
                <w:rFonts w:ascii="Times New Roman" w:hAnsi="Times New Roman"/>
                <w:sz w:val="24"/>
                <w:szCs w:val="24"/>
              </w:rPr>
              <w:t xml:space="preserve"> and women with disabilities</w:t>
            </w:r>
            <w:r>
              <w:rPr>
                <w:rFonts w:ascii="Times New Roman" w:hAnsi="Times New Roman"/>
                <w:sz w:val="24"/>
                <w:szCs w:val="24"/>
              </w:rPr>
              <w:t>) by requiring Member States to adopt targeted measures of protection, support and prevention</w:t>
            </w:r>
            <w:r w:rsidR="00874923">
              <w:rPr>
                <w:rStyle w:val="FootnoteReference"/>
                <w:rFonts w:ascii="Times New Roman" w:hAnsi="Times New Roman"/>
                <w:sz w:val="24"/>
                <w:szCs w:val="24"/>
              </w:rPr>
              <w:footnoteReference w:id="6"/>
            </w:r>
            <w:r>
              <w:rPr>
                <w:rFonts w:ascii="Times New Roman" w:hAnsi="Times New Roman"/>
                <w:sz w:val="24"/>
                <w:szCs w:val="24"/>
              </w:rPr>
              <w:t>. Moreover, the list of aggravating circumstances</w:t>
            </w:r>
            <w:r w:rsidR="00874923">
              <w:rPr>
                <w:rStyle w:val="FootnoteReference"/>
                <w:rFonts w:ascii="Times New Roman" w:hAnsi="Times New Roman"/>
                <w:sz w:val="24"/>
                <w:szCs w:val="24"/>
              </w:rPr>
              <w:footnoteReference w:id="7"/>
            </w:r>
            <w:r>
              <w:rPr>
                <w:rFonts w:ascii="Times New Roman" w:hAnsi="Times New Roman"/>
                <w:sz w:val="24"/>
                <w:szCs w:val="24"/>
              </w:rPr>
              <w:t xml:space="preserve"> includes the circumstance where the </w:t>
            </w:r>
            <w:r w:rsidRPr="001B2E82">
              <w:rPr>
                <w:rFonts w:ascii="Times New Roman" w:hAnsi="Times New Roman"/>
                <w:sz w:val="24"/>
                <w:szCs w:val="24"/>
              </w:rPr>
              <w:t>intention of the offence was to punish the victim for the victim’s colour, religion, social origin.</w:t>
            </w:r>
            <w:r w:rsidR="00830BFE">
              <w:rPr>
                <w:rFonts w:ascii="Times New Roman" w:hAnsi="Times New Roman"/>
                <w:sz w:val="24"/>
                <w:szCs w:val="24"/>
              </w:rPr>
              <w:t xml:space="preserve"> The Commission will closely monitor the implementation of this obligation.</w:t>
            </w:r>
          </w:p>
          <w:p w14:paraId="4D83ACBD" w14:textId="6E2DE130" w:rsidR="006A5E70" w:rsidRDefault="006A5E70" w:rsidP="00595C15">
            <w:pPr>
              <w:spacing w:before="120" w:after="120"/>
              <w:ind w:right="33"/>
              <w:jc w:val="both"/>
              <w:rPr>
                <w:rFonts w:ascii="Times New Roman" w:hAnsi="Times New Roman"/>
                <w:sz w:val="24"/>
                <w:szCs w:val="24"/>
              </w:rPr>
            </w:pPr>
            <w:r w:rsidRPr="006A5E70">
              <w:rPr>
                <w:rFonts w:ascii="Times New Roman" w:hAnsi="Times New Roman"/>
                <w:sz w:val="24"/>
                <w:szCs w:val="24"/>
                <w:u w:val="single"/>
              </w:rPr>
              <w:t>Point 1.14 of the opinion</w:t>
            </w:r>
            <w:r>
              <w:rPr>
                <w:rFonts w:ascii="Times New Roman" w:hAnsi="Times New Roman"/>
                <w:sz w:val="24"/>
                <w:szCs w:val="24"/>
              </w:rPr>
              <w:t xml:space="preserve">: the VAW Directive emphasises the importance of education as </w:t>
            </w:r>
            <w:r w:rsidR="00CA61F1">
              <w:rPr>
                <w:rFonts w:ascii="Times New Roman" w:hAnsi="Times New Roman"/>
                <w:sz w:val="24"/>
                <w:szCs w:val="24"/>
              </w:rPr>
              <w:t>a</w:t>
            </w:r>
            <w:r w:rsidR="00775DE0">
              <w:rPr>
                <w:rFonts w:ascii="Times New Roman" w:hAnsi="Times New Roman"/>
                <w:sz w:val="24"/>
                <w:szCs w:val="24"/>
              </w:rPr>
              <w:t> </w:t>
            </w:r>
            <w:r>
              <w:rPr>
                <w:rFonts w:ascii="Times New Roman" w:hAnsi="Times New Roman"/>
                <w:sz w:val="24"/>
                <w:szCs w:val="24"/>
              </w:rPr>
              <w:t>preventive instrument in various</w:t>
            </w:r>
            <w:r w:rsidR="00497042">
              <w:rPr>
                <w:rFonts w:ascii="Times New Roman" w:hAnsi="Times New Roman"/>
                <w:sz w:val="24"/>
                <w:szCs w:val="24"/>
              </w:rPr>
              <w:t xml:space="preserve"> </w:t>
            </w:r>
            <w:r w:rsidR="0055403D">
              <w:rPr>
                <w:rFonts w:ascii="Times New Roman" w:hAnsi="Times New Roman"/>
                <w:sz w:val="24"/>
                <w:szCs w:val="24"/>
              </w:rPr>
              <w:t>respects</w:t>
            </w:r>
            <w:r>
              <w:rPr>
                <w:rFonts w:ascii="Times New Roman" w:hAnsi="Times New Roman"/>
                <w:sz w:val="24"/>
                <w:szCs w:val="24"/>
              </w:rPr>
              <w:t>. It explains that p</w:t>
            </w:r>
            <w:r w:rsidRPr="006A5E70">
              <w:rPr>
                <w:rFonts w:ascii="Times New Roman" w:hAnsi="Times New Roman"/>
                <w:sz w:val="24"/>
                <w:szCs w:val="24"/>
              </w:rPr>
              <w:t xml:space="preserve">revention can take place in formal education, </w:t>
            </w:r>
            <w:proofErr w:type="gramStart"/>
            <w:r w:rsidRPr="006A5E70">
              <w:rPr>
                <w:rFonts w:ascii="Times New Roman" w:hAnsi="Times New Roman"/>
                <w:sz w:val="24"/>
                <w:szCs w:val="24"/>
              </w:rPr>
              <w:t>in particular through</w:t>
            </w:r>
            <w:proofErr w:type="gramEnd"/>
            <w:r w:rsidRPr="006A5E70">
              <w:rPr>
                <w:rFonts w:ascii="Times New Roman" w:hAnsi="Times New Roman"/>
                <w:sz w:val="24"/>
                <w:szCs w:val="24"/>
              </w:rPr>
              <w:t xml:space="preserve"> strengthening sexuality education, socio-emotional competencies and empathy and learning how to develop healthy and respectful relationships. </w:t>
            </w:r>
            <w:proofErr w:type="gramStart"/>
            <w:r w:rsidRPr="006A5E70">
              <w:rPr>
                <w:rFonts w:ascii="Times New Roman" w:hAnsi="Times New Roman"/>
                <w:sz w:val="24"/>
                <w:szCs w:val="24"/>
              </w:rPr>
              <w:t>Taking into account</w:t>
            </w:r>
            <w:proofErr w:type="gramEnd"/>
            <w:r w:rsidRPr="006A5E70">
              <w:rPr>
                <w:rFonts w:ascii="Times New Roman" w:hAnsi="Times New Roman"/>
                <w:sz w:val="24"/>
                <w:szCs w:val="24"/>
              </w:rPr>
              <w:t xml:space="preserve"> language barriers and different levels of literacy and </w:t>
            </w:r>
            <w:r w:rsidR="00723060">
              <w:rPr>
                <w:rFonts w:ascii="Times New Roman" w:hAnsi="Times New Roman"/>
                <w:sz w:val="24"/>
                <w:szCs w:val="24"/>
              </w:rPr>
              <w:t>vulner</w:t>
            </w:r>
            <w:r w:rsidRPr="006A5E70">
              <w:rPr>
                <w:rFonts w:ascii="Times New Roman" w:hAnsi="Times New Roman"/>
                <w:sz w:val="24"/>
                <w:szCs w:val="24"/>
              </w:rPr>
              <w:t xml:space="preserve">ability, </w:t>
            </w:r>
            <w:r w:rsidR="00041401">
              <w:rPr>
                <w:rFonts w:ascii="Times New Roman" w:hAnsi="Times New Roman"/>
                <w:sz w:val="24"/>
                <w:szCs w:val="24"/>
              </w:rPr>
              <w:t xml:space="preserve">the VAW Directive </w:t>
            </w:r>
            <w:r>
              <w:rPr>
                <w:rFonts w:ascii="Times New Roman" w:hAnsi="Times New Roman"/>
                <w:sz w:val="24"/>
                <w:szCs w:val="24"/>
              </w:rPr>
              <w:t xml:space="preserve">underlines that </w:t>
            </w:r>
            <w:r w:rsidRPr="006A5E70">
              <w:rPr>
                <w:rFonts w:ascii="Times New Roman" w:hAnsi="Times New Roman"/>
                <w:sz w:val="24"/>
                <w:szCs w:val="24"/>
              </w:rPr>
              <w:t xml:space="preserve">Member States should </w:t>
            </w:r>
            <w:r w:rsidR="00CE00EC">
              <w:rPr>
                <w:rFonts w:ascii="Times New Roman" w:hAnsi="Times New Roman"/>
                <w:sz w:val="24"/>
                <w:szCs w:val="24"/>
              </w:rPr>
              <w:t xml:space="preserve">take </w:t>
            </w:r>
            <w:r w:rsidRPr="006A5E70">
              <w:rPr>
                <w:rFonts w:ascii="Times New Roman" w:hAnsi="Times New Roman"/>
                <w:sz w:val="24"/>
                <w:szCs w:val="24"/>
              </w:rPr>
              <w:t xml:space="preserve">targeted measures </w:t>
            </w:r>
            <w:r w:rsidR="00AA79D4">
              <w:rPr>
                <w:rFonts w:ascii="Times New Roman" w:hAnsi="Times New Roman"/>
                <w:sz w:val="24"/>
                <w:szCs w:val="24"/>
              </w:rPr>
              <w:t>with regard to</w:t>
            </w:r>
            <w:r w:rsidRPr="006A5E70">
              <w:rPr>
                <w:rFonts w:ascii="Times New Roman" w:hAnsi="Times New Roman"/>
                <w:sz w:val="24"/>
                <w:szCs w:val="24"/>
              </w:rPr>
              <w:t xml:space="preserve"> groups at a heightened risk, which include children, persons with disabilities, </w:t>
            </w:r>
            <w:r>
              <w:rPr>
                <w:rFonts w:ascii="Times New Roman" w:hAnsi="Times New Roman"/>
                <w:sz w:val="24"/>
                <w:szCs w:val="24"/>
              </w:rPr>
              <w:t>and other groups at risk. Thus, whe</w:t>
            </w:r>
            <w:r w:rsidR="00B17E30">
              <w:rPr>
                <w:rFonts w:ascii="Times New Roman" w:hAnsi="Times New Roman"/>
                <w:sz w:val="24"/>
                <w:szCs w:val="24"/>
              </w:rPr>
              <w:t>n</w:t>
            </w:r>
            <w:r>
              <w:rPr>
                <w:rFonts w:ascii="Times New Roman" w:hAnsi="Times New Roman"/>
                <w:sz w:val="24"/>
                <w:szCs w:val="24"/>
              </w:rPr>
              <w:t xml:space="preserve"> conduct</w:t>
            </w:r>
            <w:r w:rsidR="00A01FA3">
              <w:rPr>
                <w:rFonts w:ascii="Times New Roman" w:hAnsi="Times New Roman"/>
                <w:sz w:val="24"/>
                <w:szCs w:val="24"/>
              </w:rPr>
              <w:t>ing</w:t>
            </w:r>
            <w:r>
              <w:rPr>
                <w:rFonts w:ascii="Times New Roman" w:hAnsi="Times New Roman"/>
                <w:sz w:val="24"/>
                <w:szCs w:val="24"/>
              </w:rPr>
              <w:t xml:space="preserve"> awareness raising c</w:t>
            </w:r>
            <w:r w:rsidRPr="006A5E70">
              <w:rPr>
                <w:rFonts w:ascii="Times New Roman" w:hAnsi="Times New Roman"/>
                <w:sz w:val="24"/>
                <w:szCs w:val="24"/>
              </w:rPr>
              <w:t>ampaigns or programmes</w:t>
            </w:r>
            <w:r>
              <w:rPr>
                <w:rFonts w:ascii="Times New Roman" w:hAnsi="Times New Roman"/>
                <w:sz w:val="24"/>
                <w:szCs w:val="24"/>
              </w:rPr>
              <w:t xml:space="preserve">, which may </w:t>
            </w:r>
            <w:r w:rsidRPr="006A5E70">
              <w:rPr>
                <w:rFonts w:ascii="Times New Roman" w:hAnsi="Times New Roman"/>
                <w:sz w:val="24"/>
                <w:szCs w:val="24"/>
              </w:rPr>
              <w:t>includ</w:t>
            </w:r>
            <w:r>
              <w:rPr>
                <w:rFonts w:ascii="Times New Roman" w:hAnsi="Times New Roman"/>
                <w:sz w:val="24"/>
                <w:szCs w:val="24"/>
              </w:rPr>
              <w:t>e</w:t>
            </w:r>
            <w:r w:rsidRPr="006A5E70">
              <w:rPr>
                <w:rFonts w:ascii="Times New Roman" w:hAnsi="Times New Roman"/>
                <w:sz w:val="24"/>
                <w:szCs w:val="24"/>
              </w:rPr>
              <w:t xml:space="preserve"> research </w:t>
            </w:r>
            <w:r w:rsidR="00AA79D4">
              <w:rPr>
                <w:rFonts w:ascii="Times New Roman" w:hAnsi="Times New Roman"/>
                <w:sz w:val="24"/>
                <w:szCs w:val="24"/>
              </w:rPr>
              <w:t xml:space="preserve">and </w:t>
            </w:r>
            <w:r w:rsidRPr="006A5E70">
              <w:rPr>
                <w:rFonts w:ascii="Times New Roman" w:hAnsi="Times New Roman"/>
                <w:sz w:val="24"/>
                <w:szCs w:val="24"/>
              </w:rPr>
              <w:t>education programmes</w:t>
            </w:r>
            <w:r>
              <w:rPr>
                <w:rFonts w:ascii="Times New Roman" w:hAnsi="Times New Roman"/>
                <w:sz w:val="24"/>
                <w:szCs w:val="24"/>
              </w:rPr>
              <w:t xml:space="preserve">, </w:t>
            </w:r>
            <w:r w:rsidR="00A01FA3">
              <w:rPr>
                <w:rFonts w:ascii="Times New Roman" w:hAnsi="Times New Roman"/>
                <w:sz w:val="24"/>
                <w:szCs w:val="24"/>
              </w:rPr>
              <w:t>Member States are required to</w:t>
            </w:r>
            <w:r w:rsidR="00564B19">
              <w:rPr>
                <w:rFonts w:ascii="Times New Roman" w:hAnsi="Times New Roman"/>
                <w:sz w:val="24"/>
                <w:szCs w:val="24"/>
              </w:rPr>
              <w:t xml:space="preserve"> </w:t>
            </w:r>
            <w:r w:rsidR="00A01FA3">
              <w:rPr>
                <w:rFonts w:ascii="Times New Roman" w:hAnsi="Times New Roman"/>
                <w:sz w:val="24"/>
                <w:szCs w:val="24"/>
              </w:rPr>
              <w:t xml:space="preserve">increase </w:t>
            </w:r>
            <w:r w:rsidR="00C90E89" w:rsidRPr="006A5E70">
              <w:rPr>
                <w:rFonts w:ascii="Times New Roman" w:hAnsi="Times New Roman"/>
                <w:sz w:val="24"/>
                <w:szCs w:val="24"/>
              </w:rPr>
              <w:t>the general public</w:t>
            </w:r>
            <w:r w:rsidR="00C90E89">
              <w:rPr>
                <w:rFonts w:ascii="Times New Roman" w:hAnsi="Times New Roman"/>
                <w:sz w:val="24"/>
                <w:szCs w:val="24"/>
              </w:rPr>
              <w:t xml:space="preserve">’s </w:t>
            </w:r>
            <w:r w:rsidRPr="006A5E70">
              <w:rPr>
                <w:rFonts w:ascii="Times New Roman" w:hAnsi="Times New Roman"/>
                <w:sz w:val="24"/>
                <w:szCs w:val="24"/>
              </w:rPr>
              <w:t xml:space="preserve">awareness and understanding of the different manifestations and root causes </w:t>
            </w:r>
            <w:r w:rsidR="00041401">
              <w:rPr>
                <w:rFonts w:ascii="Times New Roman" w:hAnsi="Times New Roman"/>
                <w:sz w:val="24"/>
                <w:szCs w:val="24"/>
              </w:rPr>
              <w:t xml:space="preserve">and </w:t>
            </w:r>
            <w:r w:rsidR="00041401" w:rsidRPr="006A5E70">
              <w:rPr>
                <w:rFonts w:ascii="Times New Roman" w:hAnsi="Times New Roman"/>
                <w:sz w:val="24"/>
                <w:szCs w:val="24"/>
              </w:rPr>
              <w:t xml:space="preserve">consequences </w:t>
            </w:r>
            <w:r w:rsidRPr="006A5E70">
              <w:rPr>
                <w:rFonts w:ascii="Times New Roman" w:hAnsi="Times New Roman"/>
                <w:sz w:val="24"/>
                <w:szCs w:val="24"/>
              </w:rPr>
              <w:t>of all forms of violence against women and domestic violence.</w:t>
            </w:r>
            <w:r w:rsidR="00830BFE">
              <w:rPr>
                <w:rFonts w:ascii="Times New Roman" w:hAnsi="Times New Roman"/>
                <w:sz w:val="24"/>
                <w:szCs w:val="24"/>
              </w:rPr>
              <w:t xml:space="preserve"> The Commission will closely monitor the implementation of this obligation and support Member States</w:t>
            </w:r>
            <w:r w:rsidR="00031B37">
              <w:rPr>
                <w:rFonts w:ascii="Times New Roman" w:hAnsi="Times New Roman"/>
                <w:sz w:val="24"/>
                <w:szCs w:val="24"/>
              </w:rPr>
              <w:t>,</w:t>
            </w:r>
            <w:r w:rsidR="00830BFE">
              <w:rPr>
                <w:rFonts w:ascii="Times New Roman" w:hAnsi="Times New Roman"/>
                <w:sz w:val="24"/>
                <w:szCs w:val="24"/>
              </w:rPr>
              <w:t xml:space="preserve"> </w:t>
            </w:r>
            <w:proofErr w:type="gramStart"/>
            <w:r w:rsidR="00830BFE">
              <w:rPr>
                <w:rFonts w:ascii="Times New Roman" w:hAnsi="Times New Roman"/>
                <w:sz w:val="24"/>
                <w:szCs w:val="24"/>
              </w:rPr>
              <w:t>in particular in</w:t>
            </w:r>
            <w:proofErr w:type="gramEnd"/>
            <w:r w:rsidR="00830BFE">
              <w:rPr>
                <w:rFonts w:ascii="Times New Roman" w:hAnsi="Times New Roman"/>
                <w:sz w:val="24"/>
                <w:szCs w:val="24"/>
              </w:rPr>
              <w:t xml:space="preserve"> the context of the Prevention Network set up under the current Gender Equality Strategy.</w:t>
            </w:r>
          </w:p>
          <w:p w14:paraId="5F17BF2A" w14:textId="1D5B4B34" w:rsidR="00492F9F" w:rsidRDefault="007353AD" w:rsidP="00595C15">
            <w:pPr>
              <w:spacing w:before="120" w:after="120"/>
              <w:ind w:right="33"/>
              <w:jc w:val="both"/>
              <w:rPr>
                <w:rFonts w:ascii="Times New Roman" w:hAnsi="Times New Roman"/>
                <w:sz w:val="24"/>
                <w:szCs w:val="24"/>
              </w:rPr>
            </w:pPr>
            <w:r w:rsidRPr="007353AD">
              <w:rPr>
                <w:rFonts w:ascii="Times New Roman" w:hAnsi="Times New Roman"/>
                <w:sz w:val="24"/>
                <w:szCs w:val="24"/>
                <w:u w:val="single"/>
              </w:rPr>
              <w:t>Point 2.</w:t>
            </w:r>
            <w:r w:rsidR="00492F9F">
              <w:rPr>
                <w:rFonts w:ascii="Times New Roman" w:hAnsi="Times New Roman"/>
                <w:sz w:val="24"/>
                <w:szCs w:val="24"/>
                <w:u w:val="single"/>
              </w:rPr>
              <w:t xml:space="preserve">23 </w:t>
            </w:r>
            <w:r w:rsidRPr="007353AD">
              <w:rPr>
                <w:rFonts w:ascii="Times New Roman" w:hAnsi="Times New Roman"/>
                <w:sz w:val="24"/>
                <w:szCs w:val="24"/>
                <w:u w:val="single"/>
              </w:rPr>
              <w:t>of the opinion</w:t>
            </w:r>
            <w:r>
              <w:rPr>
                <w:rFonts w:ascii="Times New Roman" w:hAnsi="Times New Roman"/>
                <w:sz w:val="24"/>
                <w:szCs w:val="24"/>
              </w:rPr>
              <w:t>:</w:t>
            </w:r>
            <w:r w:rsidR="00492F9F">
              <w:rPr>
                <w:rFonts w:ascii="Times New Roman" w:hAnsi="Times New Roman"/>
                <w:sz w:val="24"/>
                <w:szCs w:val="24"/>
              </w:rPr>
              <w:t xml:space="preserve"> the VAW Directive leave</w:t>
            </w:r>
            <w:r w:rsidR="00041401">
              <w:rPr>
                <w:rFonts w:ascii="Times New Roman" w:hAnsi="Times New Roman"/>
                <w:sz w:val="24"/>
                <w:szCs w:val="24"/>
              </w:rPr>
              <w:t>s</w:t>
            </w:r>
            <w:r w:rsidR="00492F9F">
              <w:rPr>
                <w:rFonts w:ascii="Times New Roman" w:hAnsi="Times New Roman"/>
                <w:sz w:val="24"/>
                <w:szCs w:val="24"/>
              </w:rPr>
              <w:t xml:space="preserve"> discretion to Member States whether to provide specialist support services as integral part of general victim support services</w:t>
            </w:r>
            <w:r w:rsidR="00031B37">
              <w:rPr>
                <w:rFonts w:ascii="Times New Roman" w:hAnsi="Times New Roman"/>
                <w:sz w:val="24"/>
                <w:szCs w:val="24"/>
              </w:rPr>
              <w:t>. However,</w:t>
            </w:r>
            <w:r w:rsidR="00492F9F">
              <w:rPr>
                <w:rFonts w:ascii="Times New Roman" w:hAnsi="Times New Roman"/>
                <w:sz w:val="24"/>
                <w:szCs w:val="24"/>
              </w:rPr>
              <w:t xml:space="preserve"> </w:t>
            </w:r>
            <w:r w:rsidR="00041401">
              <w:rPr>
                <w:rFonts w:ascii="Times New Roman" w:hAnsi="Times New Roman"/>
                <w:sz w:val="24"/>
                <w:szCs w:val="24"/>
              </w:rPr>
              <w:t xml:space="preserve">where this is not the case, it </w:t>
            </w:r>
            <w:r w:rsidR="00492F9F">
              <w:rPr>
                <w:rFonts w:ascii="Times New Roman" w:hAnsi="Times New Roman"/>
                <w:sz w:val="24"/>
                <w:szCs w:val="24"/>
              </w:rPr>
              <w:t xml:space="preserve">requires that the general and specialist support services </w:t>
            </w:r>
            <w:r w:rsidR="00031B37">
              <w:rPr>
                <w:rFonts w:ascii="Times New Roman" w:hAnsi="Times New Roman"/>
                <w:sz w:val="24"/>
                <w:szCs w:val="24"/>
              </w:rPr>
              <w:t xml:space="preserve">are </w:t>
            </w:r>
            <w:r w:rsidR="00492F9F">
              <w:rPr>
                <w:rFonts w:ascii="Times New Roman" w:hAnsi="Times New Roman"/>
                <w:sz w:val="24"/>
                <w:szCs w:val="24"/>
              </w:rPr>
              <w:t>coordinated</w:t>
            </w:r>
            <w:r w:rsidR="00874923">
              <w:rPr>
                <w:rStyle w:val="FootnoteReference"/>
                <w:rFonts w:ascii="Times New Roman" w:hAnsi="Times New Roman"/>
                <w:sz w:val="24"/>
                <w:szCs w:val="24"/>
              </w:rPr>
              <w:footnoteReference w:id="8"/>
            </w:r>
            <w:r w:rsidR="00492F9F">
              <w:rPr>
                <w:rFonts w:ascii="Times New Roman" w:hAnsi="Times New Roman"/>
                <w:sz w:val="24"/>
                <w:szCs w:val="24"/>
              </w:rPr>
              <w:t>.</w:t>
            </w:r>
            <w:r w:rsidR="00830BFE">
              <w:rPr>
                <w:rFonts w:ascii="Times New Roman" w:hAnsi="Times New Roman"/>
                <w:sz w:val="24"/>
                <w:szCs w:val="24"/>
              </w:rPr>
              <w:t xml:space="preserve"> The Commission will closely monitor the implementation of this obligation.</w:t>
            </w:r>
          </w:p>
          <w:p w14:paraId="5565F07D" w14:textId="5709E87C" w:rsidR="00041401" w:rsidRDefault="00492F9F" w:rsidP="00595C15">
            <w:pPr>
              <w:spacing w:before="120" w:after="120"/>
              <w:ind w:right="33"/>
              <w:jc w:val="both"/>
              <w:rPr>
                <w:rFonts w:ascii="Times New Roman" w:hAnsi="Times New Roman"/>
                <w:sz w:val="24"/>
                <w:szCs w:val="24"/>
              </w:rPr>
            </w:pPr>
            <w:r>
              <w:rPr>
                <w:rFonts w:ascii="Times New Roman" w:hAnsi="Times New Roman"/>
                <w:sz w:val="24"/>
                <w:szCs w:val="24"/>
                <w:u w:val="single"/>
              </w:rPr>
              <w:t>Point 2.</w:t>
            </w:r>
            <w:r w:rsidRPr="007353AD">
              <w:rPr>
                <w:rFonts w:ascii="Times New Roman" w:hAnsi="Times New Roman"/>
                <w:sz w:val="24"/>
                <w:szCs w:val="24"/>
                <w:u w:val="single"/>
              </w:rPr>
              <w:t xml:space="preserve">24 </w:t>
            </w:r>
            <w:r>
              <w:rPr>
                <w:rFonts w:ascii="Times New Roman" w:hAnsi="Times New Roman"/>
                <w:sz w:val="24"/>
                <w:szCs w:val="24"/>
                <w:u w:val="single"/>
              </w:rPr>
              <w:t>of the opinion</w:t>
            </w:r>
            <w:r w:rsidRPr="00492F9F">
              <w:rPr>
                <w:rFonts w:ascii="Times New Roman" w:hAnsi="Times New Roman"/>
                <w:sz w:val="24"/>
                <w:szCs w:val="24"/>
              </w:rPr>
              <w:t>:</w:t>
            </w:r>
            <w:r>
              <w:rPr>
                <w:rFonts w:ascii="Times New Roman" w:hAnsi="Times New Roman"/>
                <w:sz w:val="24"/>
                <w:szCs w:val="24"/>
              </w:rPr>
              <w:t xml:space="preserve"> Specialist support services </w:t>
            </w:r>
            <w:r w:rsidR="000318D6">
              <w:rPr>
                <w:rFonts w:ascii="Times New Roman" w:hAnsi="Times New Roman"/>
                <w:sz w:val="24"/>
                <w:szCs w:val="24"/>
              </w:rPr>
              <w:t>must</w:t>
            </w:r>
            <w:r>
              <w:rPr>
                <w:rFonts w:ascii="Times New Roman" w:hAnsi="Times New Roman"/>
                <w:sz w:val="24"/>
                <w:szCs w:val="24"/>
              </w:rPr>
              <w:t xml:space="preserve"> </w:t>
            </w:r>
            <w:r w:rsidR="000318D6" w:rsidRPr="000318D6">
              <w:rPr>
                <w:rFonts w:ascii="Times New Roman" w:hAnsi="Times New Roman"/>
                <w:sz w:val="24"/>
                <w:szCs w:val="24"/>
              </w:rPr>
              <w:t xml:space="preserve">include at least first-hand medical care and </w:t>
            </w:r>
            <w:r w:rsidR="00CA61F1">
              <w:rPr>
                <w:rFonts w:ascii="Times New Roman" w:hAnsi="Times New Roman"/>
                <w:sz w:val="24"/>
                <w:szCs w:val="24"/>
              </w:rPr>
              <w:t>a</w:t>
            </w:r>
            <w:r w:rsidR="00E843D8">
              <w:rPr>
                <w:rFonts w:ascii="Times New Roman" w:hAnsi="Times New Roman"/>
                <w:sz w:val="24"/>
                <w:szCs w:val="24"/>
              </w:rPr>
              <w:t> </w:t>
            </w:r>
            <w:r w:rsidR="000318D6" w:rsidRPr="000318D6">
              <w:rPr>
                <w:rFonts w:ascii="Times New Roman" w:hAnsi="Times New Roman"/>
                <w:sz w:val="24"/>
                <w:szCs w:val="24"/>
              </w:rPr>
              <w:t>referral to further medical care, as well as social services</w:t>
            </w:r>
            <w:r w:rsidR="000318D6">
              <w:rPr>
                <w:rFonts w:ascii="Times New Roman" w:hAnsi="Times New Roman"/>
                <w:sz w:val="24"/>
                <w:szCs w:val="24"/>
              </w:rPr>
              <w:t xml:space="preserve"> and</w:t>
            </w:r>
            <w:r w:rsidR="000318D6" w:rsidRPr="000318D6">
              <w:rPr>
                <w:rFonts w:ascii="Times New Roman" w:hAnsi="Times New Roman"/>
                <w:sz w:val="24"/>
                <w:szCs w:val="24"/>
              </w:rPr>
              <w:t xml:space="preserve"> psychosocial support</w:t>
            </w:r>
            <w:r w:rsidR="000318D6">
              <w:rPr>
                <w:rFonts w:ascii="Times New Roman" w:hAnsi="Times New Roman"/>
                <w:sz w:val="24"/>
                <w:szCs w:val="24"/>
              </w:rPr>
              <w:t xml:space="preserve"> </w:t>
            </w:r>
            <w:r w:rsidR="000318D6" w:rsidRPr="000318D6">
              <w:rPr>
                <w:rFonts w:ascii="Times New Roman" w:hAnsi="Times New Roman"/>
                <w:sz w:val="24"/>
                <w:szCs w:val="24"/>
              </w:rPr>
              <w:t>or information on and direction to such services</w:t>
            </w:r>
            <w:r w:rsidR="00874923">
              <w:rPr>
                <w:rStyle w:val="FootnoteReference"/>
                <w:rFonts w:ascii="Times New Roman" w:hAnsi="Times New Roman"/>
                <w:sz w:val="24"/>
                <w:szCs w:val="24"/>
              </w:rPr>
              <w:footnoteReference w:id="9"/>
            </w:r>
            <w:r w:rsidR="000318D6" w:rsidRPr="000318D6">
              <w:rPr>
                <w:rFonts w:ascii="Times New Roman" w:hAnsi="Times New Roman"/>
                <w:sz w:val="24"/>
                <w:szCs w:val="24"/>
              </w:rPr>
              <w:t xml:space="preserve">. </w:t>
            </w:r>
            <w:r w:rsidR="00C760DC">
              <w:rPr>
                <w:rFonts w:ascii="Times New Roman" w:hAnsi="Times New Roman"/>
                <w:sz w:val="24"/>
                <w:szCs w:val="24"/>
              </w:rPr>
              <w:t xml:space="preserve">Specialist support services must also provide </w:t>
            </w:r>
            <w:r w:rsidR="00C760DC" w:rsidRPr="00C760DC">
              <w:rPr>
                <w:rFonts w:ascii="Times New Roman" w:hAnsi="Times New Roman"/>
                <w:sz w:val="24"/>
                <w:szCs w:val="24"/>
              </w:rPr>
              <w:t>information on and, where appropriate, referral to services providing medical and forensic examinations, which may include comprehensive healthcare services, and information on and</w:t>
            </w:r>
            <w:r w:rsidR="00041401">
              <w:rPr>
                <w:rFonts w:ascii="Times New Roman" w:hAnsi="Times New Roman"/>
                <w:sz w:val="24"/>
                <w:szCs w:val="24"/>
              </w:rPr>
              <w:t xml:space="preserve"> </w:t>
            </w:r>
            <w:r w:rsidR="00C760DC" w:rsidRPr="00C760DC">
              <w:rPr>
                <w:rFonts w:ascii="Times New Roman" w:hAnsi="Times New Roman"/>
                <w:sz w:val="24"/>
                <w:szCs w:val="24"/>
              </w:rPr>
              <w:t>referral to psychosocial counselling, including trauma care</w:t>
            </w:r>
            <w:r w:rsidR="00874923">
              <w:rPr>
                <w:rStyle w:val="FootnoteReference"/>
                <w:rFonts w:ascii="Times New Roman" w:hAnsi="Times New Roman"/>
                <w:sz w:val="24"/>
                <w:szCs w:val="24"/>
              </w:rPr>
              <w:footnoteReference w:id="10"/>
            </w:r>
            <w:r w:rsidR="00C760DC">
              <w:rPr>
                <w:rFonts w:ascii="Times New Roman" w:hAnsi="Times New Roman"/>
                <w:sz w:val="24"/>
                <w:szCs w:val="24"/>
              </w:rPr>
              <w:t>.</w:t>
            </w:r>
          </w:p>
          <w:p w14:paraId="30D14481" w14:textId="10A085BF" w:rsidR="0049246C" w:rsidRPr="004F6117" w:rsidRDefault="00C760DC" w:rsidP="00595C15">
            <w:pPr>
              <w:spacing w:before="120" w:after="120"/>
              <w:ind w:right="33"/>
              <w:jc w:val="both"/>
              <w:rPr>
                <w:rFonts w:ascii="Times New Roman" w:hAnsi="Times New Roman"/>
                <w:b/>
                <w:sz w:val="24"/>
                <w:szCs w:val="24"/>
              </w:rPr>
            </w:pPr>
            <w:r>
              <w:rPr>
                <w:rFonts w:ascii="Times New Roman" w:hAnsi="Times New Roman"/>
                <w:sz w:val="24"/>
                <w:szCs w:val="24"/>
              </w:rPr>
              <w:lastRenderedPageBreak/>
              <w:t xml:space="preserve">Moreover, </w:t>
            </w:r>
            <w:r w:rsidR="000318D6" w:rsidRPr="000318D6">
              <w:rPr>
                <w:rFonts w:ascii="Times New Roman" w:hAnsi="Times New Roman"/>
                <w:sz w:val="24"/>
                <w:szCs w:val="24"/>
              </w:rPr>
              <w:t>Member States are required to ensure that victims of sexual violence have timely access to healthcare services, including sexual and reproductive healthcare services, in accordance with national law.</w:t>
            </w:r>
            <w:r w:rsidRPr="00041401">
              <w:rPr>
                <w:rFonts w:ascii="Times New Roman" w:hAnsi="Times New Roman"/>
                <w:sz w:val="24"/>
                <w:szCs w:val="24"/>
              </w:rPr>
              <w:t xml:space="preserve"> </w:t>
            </w:r>
            <w:r w:rsidR="00041401" w:rsidRPr="00041401">
              <w:rPr>
                <w:rFonts w:ascii="Times New Roman" w:hAnsi="Times New Roman"/>
                <w:sz w:val="24"/>
                <w:szCs w:val="24"/>
              </w:rPr>
              <w:t>For such victims</w:t>
            </w:r>
            <w:r w:rsidR="00041401">
              <w:rPr>
                <w:rFonts w:ascii="Times New Roman" w:hAnsi="Times New Roman"/>
                <w:sz w:val="24"/>
                <w:szCs w:val="24"/>
              </w:rPr>
              <w:t xml:space="preserve">, </w:t>
            </w:r>
            <w:r w:rsidRPr="00C760DC">
              <w:rPr>
                <w:rFonts w:ascii="Times New Roman" w:hAnsi="Times New Roman"/>
                <w:sz w:val="24"/>
                <w:szCs w:val="24"/>
              </w:rPr>
              <w:t xml:space="preserve">Member States </w:t>
            </w:r>
            <w:r w:rsidR="00041401">
              <w:rPr>
                <w:rFonts w:ascii="Times New Roman" w:hAnsi="Times New Roman"/>
                <w:sz w:val="24"/>
                <w:szCs w:val="24"/>
              </w:rPr>
              <w:t xml:space="preserve">are required to </w:t>
            </w:r>
            <w:r w:rsidRPr="00C760DC">
              <w:rPr>
                <w:rFonts w:ascii="Times New Roman" w:hAnsi="Times New Roman"/>
                <w:sz w:val="24"/>
                <w:szCs w:val="24"/>
              </w:rPr>
              <w:t xml:space="preserve">provide appropriately equipped and easily accessible rape crisis or sexual violence referral centres to ensure </w:t>
            </w:r>
            <w:r w:rsidR="00041401">
              <w:rPr>
                <w:rFonts w:ascii="Times New Roman" w:hAnsi="Times New Roman"/>
                <w:sz w:val="24"/>
                <w:szCs w:val="24"/>
              </w:rPr>
              <w:t xml:space="preserve">their </w:t>
            </w:r>
            <w:r w:rsidRPr="00C760DC">
              <w:rPr>
                <w:rFonts w:ascii="Times New Roman" w:hAnsi="Times New Roman"/>
                <w:sz w:val="24"/>
                <w:szCs w:val="24"/>
              </w:rPr>
              <w:t>effective support and to ensure the clinical management of rape, including assisting in the safekeeping and documentation of evidence</w:t>
            </w:r>
            <w:r w:rsidR="00874923">
              <w:rPr>
                <w:rStyle w:val="FootnoteReference"/>
                <w:rFonts w:ascii="Times New Roman" w:hAnsi="Times New Roman"/>
                <w:sz w:val="24"/>
                <w:szCs w:val="24"/>
              </w:rPr>
              <w:footnoteReference w:id="11"/>
            </w:r>
            <w:r w:rsidRPr="00C760DC">
              <w:rPr>
                <w:rFonts w:ascii="Times New Roman" w:hAnsi="Times New Roman"/>
                <w:sz w:val="24"/>
                <w:szCs w:val="24"/>
              </w:rPr>
              <w:t>.</w:t>
            </w:r>
            <w:r w:rsidR="00830BFE">
              <w:rPr>
                <w:rFonts w:ascii="Times New Roman" w:hAnsi="Times New Roman"/>
                <w:sz w:val="24"/>
                <w:szCs w:val="24"/>
              </w:rPr>
              <w:t xml:space="preserve"> The Commission will closely monitor the implementation of this obligation and organise mutual learning and exchange among Member States.</w:t>
            </w:r>
          </w:p>
        </w:tc>
      </w:tr>
    </w:tbl>
    <w:p w14:paraId="7A8371B3" w14:textId="1FADD5D1" w:rsidR="004F6117" w:rsidRPr="00595C15" w:rsidRDefault="004F6117" w:rsidP="00D22FEF">
      <w:pPr>
        <w:spacing w:after="0" w:line="240" w:lineRule="auto"/>
        <w:ind w:left="-142"/>
        <w:rPr>
          <w:rFonts w:ascii="Times New Roman" w:hAnsi="Times New Roman"/>
          <w:bCs/>
          <w:sz w:val="16"/>
          <w:szCs w:val="16"/>
        </w:rPr>
      </w:pPr>
    </w:p>
    <w:sectPr w:rsidR="004F6117" w:rsidRPr="00595C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0177" w14:textId="77777777" w:rsidR="00A6647F" w:rsidRDefault="00A6647F" w:rsidP="00FF63EA">
      <w:pPr>
        <w:spacing w:after="0" w:line="240" w:lineRule="auto"/>
      </w:pPr>
      <w:r>
        <w:separator/>
      </w:r>
    </w:p>
  </w:endnote>
  <w:endnote w:type="continuationSeparator" w:id="0">
    <w:p w14:paraId="0E057149" w14:textId="77777777" w:rsidR="00A6647F" w:rsidRDefault="00A6647F" w:rsidP="00FF63EA">
      <w:pPr>
        <w:spacing w:after="0" w:line="240" w:lineRule="auto"/>
      </w:pPr>
      <w:r>
        <w:continuationSeparator/>
      </w:r>
    </w:p>
  </w:endnote>
  <w:endnote w:type="continuationNotice" w:id="1">
    <w:p w14:paraId="4BA52D30" w14:textId="77777777" w:rsidR="00A6647F" w:rsidRDefault="00A66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4656" w14:textId="77777777" w:rsidR="00775DE0" w:rsidRDefault="00775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E9FE" w14:textId="77777777" w:rsidR="00F02713" w:rsidRDefault="00F02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C8BA" w14:textId="77777777" w:rsidR="00775DE0" w:rsidRDefault="00775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AAB9" w14:textId="77777777" w:rsidR="00A6647F" w:rsidRDefault="00A6647F" w:rsidP="00FF63EA">
      <w:pPr>
        <w:spacing w:after="0" w:line="240" w:lineRule="auto"/>
      </w:pPr>
      <w:r>
        <w:separator/>
      </w:r>
    </w:p>
  </w:footnote>
  <w:footnote w:type="continuationSeparator" w:id="0">
    <w:p w14:paraId="5107101A" w14:textId="77777777" w:rsidR="00A6647F" w:rsidRDefault="00A6647F" w:rsidP="00FF63EA">
      <w:pPr>
        <w:spacing w:after="0" w:line="240" w:lineRule="auto"/>
      </w:pPr>
      <w:r>
        <w:continuationSeparator/>
      </w:r>
    </w:p>
  </w:footnote>
  <w:footnote w:type="continuationNotice" w:id="1">
    <w:p w14:paraId="32D9EA12" w14:textId="77777777" w:rsidR="00A6647F" w:rsidRDefault="00A6647F">
      <w:pPr>
        <w:spacing w:after="0" w:line="240" w:lineRule="auto"/>
      </w:pPr>
    </w:p>
  </w:footnote>
  <w:footnote w:id="2">
    <w:p w14:paraId="091E4136" w14:textId="60999059" w:rsidR="00D16849" w:rsidRPr="00775DE0" w:rsidRDefault="00D16849" w:rsidP="00775DE0">
      <w:pPr>
        <w:pStyle w:val="FootnoteText"/>
        <w:widowControl w:val="0"/>
        <w:spacing w:after="0" w:line="240" w:lineRule="auto"/>
        <w:ind w:left="284" w:right="141" w:hanging="284"/>
        <w:jc w:val="both"/>
        <w:rPr>
          <w:rFonts w:ascii="Times New Roman" w:hAnsi="Times New Roman"/>
        </w:rPr>
      </w:pPr>
      <w:r w:rsidRPr="00775DE0">
        <w:rPr>
          <w:rStyle w:val="FootnoteReference"/>
          <w:rFonts w:ascii="Times New Roman" w:hAnsi="Times New Roman"/>
        </w:rPr>
        <w:footnoteRef/>
      </w:r>
      <w:r w:rsidRPr="00775DE0">
        <w:rPr>
          <w:rFonts w:ascii="Times New Roman" w:hAnsi="Times New Roman"/>
        </w:rPr>
        <w:t xml:space="preserve"> </w:t>
      </w:r>
      <w:r w:rsidR="005A2C71" w:rsidRPr="00775DE0">
        <w:rPr>
          <w:rFonts w:ascii="Times New Roman" w:hAnsi="Times New Roman"/>
        </w:rPr>
        <w:tab/>
      </w:r>
      <w:r w:rsidRPr="00775DE0">
        <w:rPr>
          <w:rFonts w:ascii="Times New Roman" w:hAnsi="Times New Roman"/>
        </w:rPr>
        <w:t>Directive (EU) 2024/1385 of the European Parliament and of the Council of 14 May 2024 on combating violence against women and domestic violence (</w:t>
      </w:r>
      <w:hyperlink r:id="rId1" w:history="1">
        <w:r w:rsidRPr="00775DE0">
          <w:rPr>
            <w:rStyle w:val="Hyperlink"/>
            <w:rFonts w:ascii="Times New Roman" w:hAnsi="Times New Roman"/>
          </w:rPr>
          <w:t>Directive - EU - 2024/1385 - EN - EUR-Lex</w:t>
        </w:r>
      </w:hyperlink>
      <w:r w:rsidRPr="00775DE0">
        <w:rPr>
          <w:rFonts w:ascii="Times New Roman" w:hAnsi="Times New Roman"/>
        </w:rPr>
        <w:t>)</w:t>
      </w:r>
      <w:r w:rsidR="005A2C71" w:rsidRPr="00775DE0">
        <w:rPr>
          <w:rFonts w:ascii="Times New Roman" w:hAnsi="Times New Roman"/>
        </w:rPr>
        <w:t>.</w:t>
      </w:r>
    </w:p>
  </w:footnote>
  <w:footnote w:id="3">
    <w:p w14:paraId="04DB164B" w14:textId="1FB88643" w:rsidR="005A2C71" w:rsidRPr="00775DE0" w:rsidRDefault="005A2C71" w:rsidP="00775DE0">
      <w:pPr>
        <w:pStyle w:val="FootnoteText"/>
        <w:widowControl w:val="0"/>
        <w:spacing w:after="0" w:line="240" w:lineRule="auto"/>
        <w:ind w:left="284" w:right="141" w:hanging="284"/>
        <w:jc w:val="both"/>
        <w:rPr>
          <w:rFonts w:ascii="Times New Roman" w:hAnsi="Times New Roman"/>
          <w:lang w:val="en-IE"/>
        </w:rPr>
      </w:pPr>
      <w:r w:rsidRPr="00775DE0">
        <w:rPr>
          <w:rStyle w:val="FootnoteReference"/>
          <w:rFonts w:ascii="Times New Roman" w:hAnsi="Times New Roman"/>
        </w:rPr>
        <w:footnoteRef/>
      </w:r>
      <w:r w:rsidRPr="00775DE0">
        <w:rPr>
          <w:rFonts w:ascii="Times New Roman" w:hAnsi="Times New Roman"/>
        </w:rPr>
        <w:t xml:space="preserve"> </w:t>
      </w:r>
      <w:r w:rsidRPr="00775DE0">
        <w:rPr>
          <w:rFonts w:ascii="Times New Roman" w:hAnsi="Times New Roman"/>
          <w:lang w:val="en-IE"/>
        </w:rPr>
        <w:tab/>
      </w:r>
      <w:r w:rsidRPr="00775DE0">
        <w:rPr>
          <w:rFonts w:ascii="Times New Roman" w:hAnsi="Times New Roman"/>
        </w:rPr>
        <w:t>see Article 2 – definitions – in conjunction with Article 1 subject matter and scope.</w:t>
      </w:r>
    </w:p>
  </w:footnote>
  <w:footnote w:id="4">
    <w:p w14:paraId="598B66BC" w14:textId="12709F84" w:rsidR="005A2C71" w:rsidRPr="00775DE0" w:rsidRDefault="005A2C71" w:rsidP="00775DE0">
      <w:pPr>
        <w:pStyle w:val="FootnoteText"/>
        <w:widowControl w:val="0"/>
        <w:spacing w:after="0" w:line="240" w:lineRule="auto"/>
        <w:ind w:left="284" w:right="141" w:hanging="283"/>
        <w:jc w:val="both"/>
        <w:rPr>
          <w:rFonts w:ascii="Times New Roman" w:hAnsi="Times New Roman"/>
          <w:lang w:val="fr-BE"/>
        </w:rPr>
      </w:pPr>
      <w:r w:rsidRPr="00775DE0">
        <w:rPr>
          <w:rStyle w:val="FootnoteReference"/>
          <w:rFonts w:ascii="Times New Roman" w:hAnsi="Times New Roman"/>
        </w:rPr>
        <w:footnoteRef/>
      </w:r>
      <w:r w:rsidRPr="00775DE0">
        <w:rPr>
          <w:rFonts w:ascii="Times New Roman" w:hAnsi="Times New Roman"/>
          <w:lang w:val="fr-BE"/>
        </w:rPr>
        <w:t xml:space="preserve"> </w:t>
      </w:r>
      <w:r w:rsidRPr="00775DE0">
        <w:rPr>
          <w:rFonts w:ascii="Times New Roman" w:hAnsi="Times New Roman"/>
          <w:lang w:val="fr-BE"/>
        </w:rPr>
        <w:tab/>
      </w:r>
      <w:proofErr w:type="gramStart"/>
      <w:r w:rsidRPr="00775DE0">
        <w:rPr>
          <w:rFonts w:ascii="Times New Roman" w:hAnsi="Times New Roman"/>
          <w:lang w:val="fr-BE"/>
        </w:rPr>
        <w:t>see</w:t>
      </w:r>
      <w:proofErr w:type="gramEnd"/>
      <w:r w:rsidRPr="00775DE0">
        <w:rPr>
          <w:rFonts w:ascii="Times New Roman" w:hAnsi="Times New Roman"/>
          <w:lang w:val="fr-BE"/>
        </w:rPr>
        <w:t xml:space="preserve"> Article 35.</w:t>
      </w:r>
    </w:p>
  </w:footnote>
  <w:footnote w:id="5">
    <w:p w14:paraId="72247E78" w14:textId="25977ACC" w:rsidR="005A2C71" w:rsidRPr="00775DE0" w:rsidRDefault="005A2C71" w:rsidP="00775DE0">
      <w:pPr>
        <w:pStyle w:val="FootnoteText"/>
        <w:widowControl w:val="0"/>
        <w:spacing w:after="0" w:line="240" w:lineRule="auto"/>
        <w:ind w:left="284" w:right="141" w:hanging="283"/>
        <w:jc w:val="both"/>
        <w:rPr>
          <w:rFonts w:ascii="Times New Roman" w:hAnsi="Times New Roman"/>
          <w:lang w:val="fr-BE"/>
        </w:rPr>
      </w:pPr>
      <w:r w:rsidRPr="00775DE0">
        <w:rPr>
          <w:rStyle w:val="FootnoteReference"/>
          <w:rFonts w:ascii="Times New Roman" w:hAnsi="Times New Roman"/>
        </w:rPr>
        <w:footnoteRef/>
      </w:r>
      <w:r w:rsidRPr="00775DE0">
        <w:rPr>
          <w:rFonts w:ascii="Times New Roman" w:hAnsi="Times New Roman"/>
          <w:lang w:val="fr-BE"/>
        </w:rPr>
        <w:t xml:space="preserve"> </w:t>
      </w:r>
      <w:r w:rsidRPr="00775DE0">
        <w:rPr>
          <w:rFonts w:ascii="Times New Roman" w:hAnsi="Times New Roman"/>
          <w:lang w:val="fr-BE"/>
        </w:rPr>
        <w:tab/>
      </w:r>
      <w:proofErr w:type="gramStart"/>
      <w:r w:rsidRPr="00775DE0">
        <w:rPr>
          <w:rFonts w:ascii="Times New Roman" w:hAnsi="Times New Roman"/>
          <w:lang w:val="fr-BE"/>
        </w:rPr>
        <w:t>COM(</w:t>
      </w:r>
      <w:proofErr w:type="gramEnd"/>
      <w:r w:rsidRPr="00775DE0">
        <w:rPr>
          <w:rFonts w:ascii="Times New Roman" w:hAnsi="Times New Roman"/>
          <w:lang w:val="fr-BE"/>
        </w:rPr>
        <w:t>2020) 152 final (</w:t>
      </w:r>
      <w:hyperlink r:id="rId2" w:history="1">
        <w:r w:rsidRPr="00775DE0">
          <w:rPr>
            <w:rStyle w:val="Hyperlink"/>
            <w:rFonts w:ascii="Times New Roman" w:hAnsi="Times New Roman"/>
            <w:lang w:val="fr-BE"/>
          </w:rPr>
          <w:t>EUR-Lex - 52020DC0152 - EN - EUR-Lex</w:t>
        </w:r>
      </w:hyperlink>
      <w:r w:rsidRPr="00775DE0">
        <w:rPr>
          <w:rFonts w:ascii="Times New Roman" w:hAnsi="Times New Roman"/>
          <w:lang w:val="fr-BE"/>
        </w:rPr>
        <w:t>).</w:t>
      </w:r>
    </w:p>
  </w:footnote>
  <w:footnote w:id="6">
    <w:p w14:paraId="48D08CDA" w14:textId="69E20312" w:rsidR="00874923" w:rsidRPr="00962D2B" w:rsidRDefault="00874923" w:rsidP="00775DE0">
      <w:pPr>
        <w:pStyle w:val="FootnoteText"/>
        <w:widowControl w:val="0"/>
        <w:spacing w:after="0" w:line="240" w:lineRule="auto"/>
        <w:ind w:left="284" w:hanging="284"/>
        <w:jc w:val="both"/>
        <w:rPr>
          <w:rFonts w:ascii="Times New Roman" w:hAnsi="Times New Roman"/>
          <w:lang w:val="en-IE"/>
        </w:rPr>
      </w:pPr>
      <w:r w:rsidRPr="00962D2B">
        <w:rPr>
          <w:rStyle w:val="FootnoteReference"/>
          <w:rFonts w:ascii="Times New Roman" w:hAnsi="Times New Roman"/>
        </w:rPr>
        <w:footnoteRef/>
      </w:r>
      <w:r w:rsidRPr="00962D2B">
        <w:rPr>
          <w:rFonts w:ascii="Times New Roman" w:hAnsi="Times New Roman"/>
        </w:rPr>
        <w:t xml:space="preserve"> </w:t>
      </w:r>
      <w:r w:rsidRPr="00962D2B">
        <w:rPr>
          <w:rFonts w:ascii="Times New Roman" w:hAnsi="Times New Roman"/>
        </w:rPr>
        <w:tab/>
        <w:t>see among others Article 33.</w:t>
      </w:r>
    </w:p>
  </w:footnote>
  <w:footnote w:id="7">
    <w:p w14:paraId="411D5E56" w14:textId="3FF418E1" w:rsidR="00874923" w:rsidRPr="00962D2B" w:rsidRDefault="00874923" w:rsidP="00775DE0">
      <w:pPr>
        <w:pStyle w:val="FootnoteText"/>
        <w:widowControl w:val="0"/>
        <w:spacing w:after="0" w:line="240" w:lineRule="auto"/>
        <w:ind w:left="284" w:hanging="284"/>
        <w:jc w:val="both"/>
        <w:rPr>
          <w:rFonts w:ascii="Times New Roman" w:hAnsi="Times New Roman"/>
          <w:lang w:val="en-IE"/>
        </w:rPr>
      </w:pPr>
      <w:r w:rsidRPr="00962D2B">
        <w:rPr>
          <w:rStyle w:val="FootnoteReference"/>
          <w:rFonts w:ascii="Times New Roman" w:hAnsi="Times New Roman"/>
        </w:rPr>
        <w:footnoteRef/>
      </w:r>
      <w:r w:rsidRPr="00962D2B">
        <w:rPr>
          <w:rFonts w:ascii="Times New Roman" w:hAnsi="Times New Roman"/>
        </w:rPr>
        <w:t xml:space="preserve"> </w:t>
      </w:r>
      <w:r w:rsidRPr="00962D2B">
        <w:rPr>
          <w:rFonts w:ascii="Times New Roman" w:hAnsi="Times New Roman"/>
        </w:rPr>
        <w:tab/>
        <w:t>in Article 11.</w:t>
      </w:r>
    </w:p>
  </w:footnote>
  <w:footnote w:id="8">
    <w:p w14:paraId="5523E888" w14:textId="19E2D2CC" w:rsidR="00874923" w:rsidRPr="00962D2B" w:rsidRDefault="00874923" w:rsidP="00775DE0">
      <w:pPr>
        <w:pStyle w:val="FootnoteText"/>
        <w:widowControl w:val="0"/>
        <w:spacing w:after="0" w:line="240" w:lineRule="auto"/>
        <w:ind w:left="284" w:hanging="284"/>
        <w:jc w:val="both"/>
        <w:rPr>
          <w:rFonts w:ascii="Times New Roman" w:hAnsi="Times New Roman"/>
          <w:lang w:val="en-IE"/>
        </w:rPr>
      </w:pPr>
      <w:r w:rsidRPr="00962D2B">
        <w:rPr>
          <w:rStyle w:val="FootnoteReference"/>
          <w:rFonts w:ascii="Times New Roman" w:hAnsi="Times New Roman"/>
        </w:rPr>
        <w:footnoteRef/>
      </w:r>
      <w:r w:rsidRPr="00962D2B">
        <w:rPr>
          <w:rFonts w:ascii="Times New Roman" w:hAnsi="Times New Roman"/>
        </w:rPr>
        <w:t xml:space="preserve"> </w:t>
      </w:r>
      <w:r w:rsidRPr="00962D2B">
        <w:rPr>
          <w:rFonts w:ascii="Times New Roman" w:hAnsi="Times New Roman"/>
          <w:lang w:val="en-IE"/>
        </w:rPr>
        <w:tab/>
      </w:r>
      <w:r w:rsidRPr="00962D2B">
        <w:rPr>
          <w:rFonts w:ascii="Times New Roman" w:hAnsi="Times New Roman"/>
        </w:rPr>
        <w:t>see Article 25(1) first subparagraph.</w:t>
      </w:r>
    </w:p>
  </w:footnote>
  <w:footnote w:id="9">
    <w:p w14:paraId="48913C26" w14:textId="21499F89" w:rsidR="00874923" w:rsidRPr="00962D2B" w:rsidRDefault="00874923" w:rsidP="00775DE0">
      <w:pPr>
        <w:pStyle w:val="FootnoteText"/>
        <w:widowControl w:val="0"/>
        <w:spacing w:after="0" w:line="240" w:lineRule="auto"/>
        <w:ind w:left="284" w:hanging="284"/>
        <w:jc w:val="both"/>
        <w:rPr>
          <w:rFonts w:ascii="Times New Roman" w:hAnsi="Times New Roman"/>
          <w:lang w:val="en-IE"/>
        </w:rPr>
      </w:pPr>
      <w:r w:rsidRPr="00962D2B">
        <w:rPr>
          <w:rStyle w:val="FootnoteReference"/>
          <w:rFonts w:ascii="Times New Roman" w:hAnsi="Times New Roman"/>
        </w:rPr>
        <w:footnoteRef/>
      </w:r>
      <w:r w:rsidRPr="00962D2B">
        <w:rPr>
          <w:rFonts w:ascii="Times New Roman" w:hAnsi="Times New Roman"/>
        </w:rPr>
        <w:t xml:space="preserve"> </w:t>
      </w:r>
      <w:r w:rsidRPr="00962D2B">
        <w:rPr>
          <w:rFonts w:ascii="Times New Roman" w:hAnsi="Times New Roman"/>
          <w:lang w:val="en-IE"/>
        </w:rPr>
        <w:tab/>
      </w:r>
      <w:r w:rsidRPr="00962D2B">
        <w:rPr>
          <w:rFonts w:ascii="Times New Roman" w:hAnsi="Times New Roman"/>
        </w:rPr>
        <w:t>see Article 25(4) first subparagraph.</w:t>
      </w:r>
    </w:p>
  </w:footnote>
  <w:footnote w:id="10">
    <w:p w14:paraId="57D2D45A" w14:textId="582FE6C4" w:rsidR="00874923" w:rsidRPr="00B048E4" w:rsidRDefault="00874923" w:rsidP="00775DE0">
      <w:pPr>
        <w:pStyle w:val="FootnoteText"/>
        <w:widowControl w:val="0"/>
        <w:spacing w:after="0" w:line="240" w:lineRule="auto"/>
        <w:ind w:left="284" w:hanging="284"/>
        <w:jc w:val="both"/>
        <w:rPr>
          <w:rFonts w:ascii="Times New Roman" w:hAnsi="Times New Roman"/>
          <w:lang w:val="en-IE"/>
        </w:rPr>
      </w:pPr>
      <w:r w:rsidRPr="00962D2B">
        <w:rPr>
          <w:rStyle w:val="FootnoteReference"/>
          <w:rFonts w:ascii="Times New Roman" w:hAnsi="Times New Roman"/>
        </w:rPr>
        <w:footnoteRef/>
      </w:r>
      <w:r w:rsidRPr="00962D2B">
        <w:rPr>
          <w:rFonts w:ascii="Times New Roman" w:hAnsi="Times New Roman"/>
        </w:rPr>
        <w:t xml:space="preserve"> </w:t>
      </w:r>
      <w:r w:rsidRPr="00B048E4">
        <w:rPr>
          <w:rFonts w:ascii="Times New Roman" w:hAnsi="Times New Roman"/>
          <w:lang w:val="en-IE"/>
        </w:rPr>
        <w:tab/>
      </w:r>
      <w:r w:rsidRPr="00962D2B">
        <w:rPr>
          <w:rFonts w:ascii="Times New Roman" w:hAnsi="Times New Roman"/>
        </w:rPr>
        <w:t>Article 25(1)(c).</w:t>
      </w:r>
    </w:p>
  </w:footnote>
  <w:footnote w:id="11">
    <w:p w14:paraId="0CB523CA" w14:textId="487BF6B1" w:rsidR="00874923" w:rsidRPr="00962D2B" w:rsidRDefault="00874923" w:rsidP="00775DE0">
      <w:pPr>
        <w:pStyle w:val="FootnoteText"/>
        <w:spacing w:after="0" w:line="240" w:lineRule="auto"/>
        <w:ind w:left="284" w:hanging="284"/>
        <w:jc w:val="both"/>
        <w:rPr>
          <w:rFonts w:ascii="Times New Roman" w:hAnsi="Times New Roman"/>
          <w:lang w:val="fr-BE"/>
        </w:rPr>
      </w:pPr>
      <w:r w:rsidRPr="00962D2B">
        <w:rPr>
          <w:rStyle w:val="FootnoteReference"/>
          <w:rFonts w:ascii="Times New Roman" w:hAnsi="Times New Roman"/>
        </w:rPr>
        <w:footnoteRef/>
      </w:r>
      <w:r w:rsidRPr="00962D2B">
        <w:rPr>
          <w:rFonts w:ascii="Times New Roman" w:hAnsi="Times New Roman"/>
        </w:rPr>
        <w:t xml:space="preserve"> </w:t>
      </w:r>
      <w:r w:rsidRPr="00962D2B">
        <w:rPr>
          <w:rFonts w:ascii="Times New Roman" w:hAnsi="Times New Roman"/>
          <w:lang w:val="fr-BE"/>
        </w:rPr>
        <w:tab/>
      </w:r>
      <w:r w:rsidRPr="00962D2B">
        <w:rPr>
          <w:rFonts w:ascii="Times New Roman" w:hAnsi="Times New Roman"/>
        </w:rPr>
        <w:t>Article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0CD3" w14:textId="77777777" w:rsidR="00775DE0" w:rsidRDefault="00775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B86B" w14:textId="77777777" w:rsidR="00F02713" w:rsidRPr="00775DE0" w:rsidRDefault="00F02713">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B65F" w14:textId="77777777" w:rsidR="00775DE0" w:rsidRDefault="00775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318D6"/>
    <w:rsid w:val="00031B37"/>
    <w:rsid w:val="00041401"/>
    <w:rsid w:val="000448E4"/>
    <w:rsid w:val="00046B15"/>
    <w:rsid w:val="00050DC7"/>
    <w:rsid w:val="00051B29"/>
    <w:rsid w:val="00066421"/>
    <w:rsid w:val="00066619"/>
    <w:rsid w:val="00076109"/>
    <w:rsid w:val="00077C4F"/>
    <w:rsid w:val="00097AF5"/>
    <w:rsid w:val="000E2D0B"/>
    <w:rsid w:val="000F5FD8"/>
    <w:rsid w:val="000F6707"/>
    <w:rsid w:val="001167C0"/>
    <w:rsid w:val="001329B1"/>
    <w:rsid w:val="00135C2A"/>
    <w:rsid w:val="00146E6F"/>
    <w:rsid w:val="001845B1"/>
    <w:rsid w:val="00184DA3"/>
    <w:rsid w:val="001918BC"/>
    <w:rsid w:val="001B0E0B"/>
    <w:rsid w:val="001B2E82"/>
    <w:rsid w:val="001C4138"/>
    <w:rsid w:val="001E54F9"/>
    <w:rsid w:val="001F2EC6"/>
    <w:rsid w:val="001F65D0"/>
    <w:rsid w:val="00217E59"/>
    <w:rsid w:val="00231B41"/>
    <w:rsid w:val="00256285"/>
    <w:rsid w:val="0028010C"/>
    <w:rsid w:val="0029316E"/>
    <w:rsid w:val="002D6E48"/>
    <w:rsid w:val="002F03FA"/>
    <w:rsid w:val="002F5CD9"/>
    <w:rsid w:val="003004D2"/>
    <w:rsid w:val="003349A3"/>
    <w:rsid w:val="00354B18"/>
    <w:rsid w:val="00377967"/>
    <w:rsid w:val="00386143"/>
    <w:rsid w:val="003B58DC"/>
    <w:rsid w:val="003E0216"/>
    <w:rsid w:val="003F686E"/>
    <w:rsid w:val="00442552"/>
    <w:rsid w:val="00451F03"/>
    <w:rsid w:val="00455A1C"/>
    <w:rsid w:val="004675B5"/>
    <w:rsid w:val="00475839"/>
    <w:rsid w:val="004770D6"/>
    <w:rsid w:val="0049246C"/>
    <w:rsid w:val="00492F9F"/>
    <w:rsid w:val="00497042"/>
    <w:rsid w:val="004B4AF1"/>
    <w:rsid w:val="004B57C7"/>
    <w:rsid w:val="004D5061"/>
    <w:rsid w:val="004F6117"/>
    <w:rsid w:val="004F63F1"/>
    <w:rsid w:val="004F651E"/>
    <w:rsid w:val="00506FB6"/>
    <w:rsid w:val="00510A98"/>
    <w:rsid w:val="00520220"/>
    <w:rsid w:val="0052596B"/>
    <w:rsid w:val="00546497"/>
    <w:rsid w:val="00553216"/>
    <w:rsid w:val="0055403D"/>
    <w:rsid w:val="00554D8D"/>
    <w:rsid w:val="00564B19"/>
    <w:rsid w:val="00573835"/>
    <w:rsid w:val="00576A96"/>
    <w:rsid w:val="00581306"/>
    <w:rsid w:val="00591475"/>
    <w:rsid w:val="00595C15"/>
    <w:rsid w:val="00597E52"/>
    <w:rsid w:val="005A2C71"/>
    <w:rsid w:val="005C3105"/>
    <w:rsid w:val="005C54CF"/>
    <w:rsid w:val="005D1710"/>
    <w:rsid w:val="005E6442"/>
    <w:rsid w:val="005F2D6B"/>
    <w:rsid w:val="006171BE"/>
    <w:rsid w:val="00642B48"/>
    <w:rsid w:val="006846A1"/>
    <w:rsid w:val="00692C2F"/>
    <w:rsid w:val="00695797"/>
    <w:rsid w:val="00696A5E"/>
    <w:rsid w:val="006A5E70"/>
    <w:rsid w:val="006A73D5"/>
    <w:rsid w:val="006B3B69"/>
    <w:rsid w:val="006C0E38"/>
    <w:rsid w:val="006C1A25"/>
    <w:rsid w:val="006E69CE"/>
    <w:rsid w:val="006F548A"/>
    <w:rsid w:val="00703969"/>
    <w:rsid w:val="00723060"/>
    <w:rsid w:val="00725C78"/>
    <w:rsid w:val="00734613"/>
    <w:rsid w:val="007353AD"/>
    <w:rsid w:val="00751910"/>
    <w:rsid w:val="00751E60"/>
    <w:rsid w:val="007547B5"/>
    <w:rsid w:val="00767208"/>
    <w:rsid w:val="00775DE0"/>
    <w:rsid w:val="00793D2B"/>
    <w:rsid w:val="00795A9E"/>
    <w:rsid w:val="007A606D"/>
    <w:rsid w:val="007C0168"/>
    <w:rsid w:val="007C2214"/>
    <w:rsid w:val="007F2C0C"/>
    <w:rsid w:val="00807B48"/>
    <w:rsid w:val="008135CA"/>
    <w:rsid w:val="0081584F"/>
    <w:rsid w:val="00826B13"/>
    <w:rsid w:val="00827BE7"/>
    <w:rsid w:val="00830BFE"/>
    <w:rsid w:val="00833538"/>
    <w:rsid w:val="008703BF"/>
    <w:rsid w:val="00874200"/>
    <w:rsid w:val="00874923"/>
    <w:rsid w:val="00890FFB"/>
    <w:rsid w:val="008925CE"/>
    <w:rsid w:val="008C4D41"/>
    <w:rsid w:val="008D4CA1"/>
    <w:rsid w:val="00937B5C"/>
    <w:rsid w:val="00954BE6"/>
    <w:rsid w:val="00962D2B"/>
    <w:rsid w:val="00976322"/>
    <w:rsid w:val="00981F45"/>
    <w:rsid w:val="00994D12"/>
    <w:rsid w:val="009B128B"/>
    <w:rsid w:val="009B214D"/>
    <w:rsid w:val="00A01FA3"/>
    <w:rsid w:val="00A124EF"/>
    <w:rsid w:val="00A150FE"/>
    <w:rsid w:val="00A16F07"/>
    <w:rsid w:val="00A21B95"/>
    <w:rsid w:val="00A4431F"/>
    <w:rsid w:val="00A62C7B"/>
    <w:rsid w:val="00A6647F"/>
    <w:rsid w:val="00A7709A"/>
    <w:rsid w:val="00A97435"/>
    <w:rsid w:val="00AA5D82"/>
    <w:rsid w:val="00AA79D4"/>
    <w:rsid w:val="00AD1010"/>
    <w:rsid w:val="00AD26FA"/>
    <w:rsid w:val="00AE1842"/>
    <w:rsid w:val="00AE3C7C"/>
    <w:rsid w:val="00AE4127"/>
    <w:rsid w:val="00B007D7"/>
    <w:rsid w:val="00B048E4"/>
    <w:rsid w:val="00B06F45"/>
    <w:rsid w:val="00B17E30"/>
    <w:rsid w:val="00B20E64"/>
    <w:rsid w:val="00B31306"/>
    <w:rsid w:val="00B32F12"/>
    <w:rsid w:val="00B42814"/>
    <w:rsid w:val="00B571CB"/>
    <w:rsid w:val="00B83936"/>
    <w:rsid w:val="00B9488D"/>
    <w:rsid w:val="00BA0785"/>
    <w:rsid w:val="00BB1E79"/>
    <w:rsid w:val="00BB6795"/>
    <w:rsid w:val="00BC4867"/>
    <w:rsid w:val="00BD6EB7"/>
    <w:rsid w:val="00BE5167"/>
    <w:rsid w:val="00C21B11"/>
    <w:rsid w:val="00C437D4"/>
    <w:rsid w:val="00C54D27"/>
    <w:rsid w:val="00C71DD6"/>
    <w:rsid w:val="00C760DC"/>
    <w:rsid w:val="00C76EEB"/>
    <w:rsid w:val="00C90E89"/>
    <w:rsid w:val="00CA61F1"/>
    <w:rsid w:val="00CB18E5"/>
    <w:rsid w:val="00CE00EC"/>
    <w:rsid w:val="00CE7299"/>
    <w:rsid w:val="00D01F5A"/>
    <w:rsid w:val="00D16849"/>
    <w:rsid w:val="00D1716E"/>
    <w:rsid w:val="00D22FEF"/>
    <w:rsid w:val="00D34AE3"/>
    <w:rsid w:val="00D42D37"/>
    <w:rsid w:val="00D533E6"/>
    <w:rsid w:val="00D53ABC"/>
    <w:rsid w:val="00D64E05"/>
    <w:rsid w:val="00D74198"/>
    <w:rsid w:val="00D92FD3"/>
    <w:rsid w:val="00DA3B6E"/>
    <w:rsid w:val="00DB7581"/>
    <w:rsid w:val="00DC6E07"/>
    <w:rsid w:val="00DC70C1"/>
    <w:rsid w:val="00DC7616"/>
    <w:rsid w:val="00DD2F05"/>
    <w:rsid w:val="00DD4D58"/>
    <w:rsid w:val="00E02AC2"/>
    <w:rsid w:val="00E40F4C"/>
    <w:rsid w:val="00E41123"/>
    <w:rsid w:val="00E61869"/>
    <w:rsid w:val="00E66DC2"/>
    <w:rsid w:val="00E70824"/>
    <w:rsid w:val="00E81EB2"/>
    <w:rsid w:val="00E83C12"/>
    <w:rsid w:val="00E843D8"/>
    <w:rsid w:val="00E904C8"/>
    <w:rsid w:val="00EA1BBF"/>
    <w:rsid w:val="00EA4392"/>
    <w:rsid w:val="00EB29A9"/>
    <w:rsid w:val="00EB77D2"/>
    <w:rsid w:val="00EF1856"/>
    <w:rsid w:val="00F02713"/>
    <w:rsid w:val="00F316C8"/>
    <w:rsid w:val="00F34B59"/>
    <w:rsid w:val="00F36950"/>
    <w:rsid w:val="00F5524E"/>
    <w:rsid w:val="00F621FD"/>
    <w:rsid w:val="00F632DE"/>
    <w:rsid w:val="00F735E4"/>
    <w:rsid w:val="00FB04ED"/>
    <w:rsid w:val="00FB5505"/>
    <w:rsid w:val="00FB6CCC"/>
    <w:rsid w:val="00FB7834"/>
    <w:rsid w:val="00FD4B6A"/>
    <w:rsid w:val="00FD62F7"/>
    <w:rsid w:val="00FF03A8"/>
    <w:rsid w:val="00FF63EA"/>
    <w:rsid w:val="0415BECF"/>
    <w:rsid w:val="0B9CB6EA"/>
    <w:rsid w:val="291FCF4E"/>
    <w:rsid w:val="31C56940"/>
    <w:rsid w:val="36136BD4"/>
    <w:rsid w:val="480660F0"/>
    <w:rsid w:val="4B6AD7DE"/>
    <w:rsid w:val="50ADDAF8"/>
    <w:rsid w:val="5AF854C5"/>
    <w:rsid w:val="63C2FE31"/>
    <w:rsid w:val="68C5E6FF"/>
    <w:rsid w:val="6CCB3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6849"/>
    <w:rPr>
      <w:sz w:val="20"/>
      <w:szCs w:val="20"/>
    </w:rPr>
  </w:style>
  <w:style w:type="character" w:customStyle="1" w:styleId="FootnoteTextChar">
    <w:name w:val="Footnote Text Char"/>
    <w:link w:val="FootnoteText"/>
    <w:uiPriority w:val="99"/>
    <w:semiHidden/>
    <w:rsid w:val="00D16849"/>
    <w:rPr>
      <w:lang w:eastAsia="en-US"/>
    </w:rPr>
  </w:style>
  <w:style w:type="character" w:styleId="FootnoteReference">
    <w:name w:val="footnote reference"/>
    <w:basedOn w:val="DefaultParagraphFont"/>
    <w:uiPriority w:val="99"/>
    <w:semiHidden/>
    <w:unhideWhenUsed/>
    <w:rsid w:val="00D16849"/>
    <w:rPr>
      <w:vertAlign w:val="superscript"/>
    </w:rPr>
  </w:style>
  <w:style w:type="character" w:styleId="Hyperlink">
    <w:name w:val="Hyperlink"/>
    <w:basedOn w:val="DefaultParagraphFont"/>
    <w:uiPriority w:val="99"/>
    <w:unhideWhenUsed/>
    <w:rsid w:val="00D16849"/>
    <w:rPr>
      <w:color w:val="0563C1" w:themeColor="hyperlink"/>
      <w:u w:val="single"/>
    </w:rPr>
  </w:style>
  <w:style w:type="character" w:styleId="UnresolvedMention">
    <w:name w:val="Unresolved Mention"/>
    <w:basedOn w:val="DefaultParagraphFont"/>
    <w:uiPriority w:val="99"/>
    <w:semiHidden/>
    <w:unhideWhenUsed/>
    <w:rsid w:val="00D16849"/>
    <w:rPr>
      <w:color w:val="605E5C"/>
      <w:shd w:val="clear" w:color="auto" w:fill="E1DFDD"/>
    </w:rPr>
  </w:style>
  <w:style w:type="character" w:styleId="CommentReference">
    <w:name w:val="annotation reference"/>
    <w:basedOn w:val="DefaultParagraphFont"/>
    <w:uiPriority w:val="99"/>
    <w:semiHidden/>
    <w:unhideWhenUsed/>
    <w:rsid w:val="00CE7299"/>
    <w:rPr>
      <w:sz w:val="16"/>
      <w:szCs w:val="16"/>
    </w:rPr>
  </w:style>
  <w:style w:type="paragraph" w:styleId="CommentText">
    <w:name w:val="annotation text"/>
    <w:basedOn w:val="Normal"/>
    <w:link w:val="CommentTextChar"/>
    <w:uiPriority w:val="99"/>
    <w:unhideWhenUsed/>
    <w:rsid w:val="00CE7299"/>
    <w:rPr>
      <w:sz w:val="20"/>
      <w:szCs w:val="20"/>
    </w:rPr>
  </w:style>
  <w:style w:type="character" w:customStyle="1" w:styleId="CommentTextChar">
    <w:name w:val="Comment Text Char"/>
    <w:link w:val="CommentText"/>
    <w:uiPriority w:val="99"/>
    <w:rsid w:val="00CE7299"/>
    <w:rPr>
      <w:lang w:eastAsia="en-US"/>
    </w:rPr>
  </w:style>
  <w:style w:type="paragraph" w:styleId="CommentSubject">
    <w:name w:val="annotation subject"/>
    <w:basedOn w:val="CommentText"/>
    <w:next w:val="CommentText"/>
    <w:link w:val="CommentSubjectChar"/>
    <w:uiPriority w:val="99"/>
    <w:semiHidden/>
    <w:unhideWhenUsed/>
    <w:rsid w:val="00CE7299"/>
    <w:rPr>
      <w:b/>
      <w:bCs/>
    </w:rPr>
  </w:style>
  <w:style w:type="character" w:customStyle="1" w:styleId="CommentSubjectChar">
    <w:name w:val="Comment Subject Char"/>
    <w:link w:val="CommentSubject"/>
    <w:uiPriority w:val="99"/>
    <w:semiHidden/>
    <w:rsid w:val="00CE7299"/>
    <w:rPr>
      <w:b/>
      <w:bCs/>
      <w:lang w:eastAsia="en-US"/>
    </w:rPr>
  </w:style>
  <w:style w:type="paragraph" w:styleId="Revision">
    <w:name w:val="Revision"/>
    <w:hidden/>
    <w:uiPriority w:val="99"/>
    <w:semiHidden/>
    <w:rsid w:val="00097AF5"/>
    <w:rPr>
      <w:sz w:val="22"/>
      <w:szCs w:val="22"/>
      <w:lang w:val="en-GB" w:eastAsia="en-US"/>
    </w:rPr>
  </w:style>
  <w:style w:type="paragraph" w:styleId="Header">
    <w:name w:val="header"/>
    <w:basedOn w:val="Normal"/>
    <w:link w:val="HeaderChar"/>
    <w:uiPriority w:val="99"/>
    <w:unhideWhenUsed/>
    <w:rsid w:val="00F02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13"/>
    <w:rPr>
      <w:sz w:val="22"/>
      <w:szCs w:val="22"/>
      <w:lang w:val="en-GB" w:eastAsia="en-US"/>
    </w:rPr>
  </w:style>
  <w:style w:type="paragraph" w:styleId="Footer">
    <w:name w:val="footer"/>
    <w:basedOn w:val="Normal"/>
    <w:link w:val="FooterChar"/>
    <w:uiPriority w:val="99"/>
    <w:unhideWhenUsed/>
    <w:rsid w:val="00F02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713"/>
    <w:rPr>
      <w:sz w:val="22"/>
      <w:szCs w:val="22"/>
      <w:lang w:val="en-GB" w:eastAsia="en-US"/>
    </w:rPr>
  </w:style>
  <w:style w:type="character" w:styleId="FollowedHyperlink">
    <w:name w:val="FollowedHyperlink"/>
    <w:basedOn w:val="DefaultParagraphFont"/>
    <w:uiPriority w:val="99"/>
    <w:semiHidden/>
    <w:unhideWhenUsed/>
    <w:rsid w:val="005A2C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0DC0152" TargetMode="External"/><Relationship Id="rId1" Type="http://schemas.openxmlformats.org/officeDocument/2006/relationships/hyperlink" Target="https://eur-lex.europa.eu/eli/dir/2024/1385/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140E0B04F1342A01DE84B31DE065E" ma:contentTypeVersion="16" ma:contentTypeDescription="Create a new document." ma:contentTypeScope="" ma:versionID="bf0539a7aaa5f7a8a3589ad9056213ea">
  <xsd:schema xmlns:xsd="http://www.w3.org/2001/XMLSchema" xmlns:xs="http://www.w3.org/2001/XMLSchema" xmlns:p="http://schemas.microsoft.com/office/2006/metadata/properties" xmlns:ns2="a517c953-cf33-4492-b086-66309312f726" xmlns:ns3="51c9478a-d806-4266-aba0-a353b3761f36" targetNamespace="http://schemas.microsoft.com/office/2006/metadata/properties" ma:root="true" ma:fieldsID="b34554cda97c693abd5a516dbc03523e" ns2:_="" ns3:_="">
    <xsd:import namespace="a517c953-cf33-4492-b086-66309312f726"/>
    <xsd:import namespace="51c9478a-d806-4266-aba0-a353b376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c953-cf33-4492-b086-66309312f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c9478a-d806-4266-aba0-a353b3761f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c2a2b1-fb36-45fe-afea-bc9b48225220}" ma:internalName="TaxCatchAll" ma:showField="CatchAllData" ma:web="51c9478a-d806-4266-aba0-a353b3761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c9478a-d806-4266-aba0-a353b3761f36" xsi:nil="true"/>
    <lcf76f155ced4ddcb4097134ff3c332f xmlns="a517c953-cf33-4492-b086-66309312f72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7DE1FAFD-2358-49FD-8BB6-F2B7325D3070}">
  <ds:schemaRefs>
    <ds:schemaRef ds:uri="http://schemas.openxmlformats.org/officeDocument/2006/bibliography"/>
  </ds:schemaRefs>
</ds:datastoreItem>
</file>

<file path=customXml/itemProps2.xml><?xml version="1.0" encoding="utf-8"?>
<ds:datastoreItem xmlns:ds="http://schemas.openxmlformats.org/officeDocument/2006/customXml" ds:itemID="{D65FC69E-99B3-4356-8A75-D22300B2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c953-cf33-4492-b086-66309312f726"/>
    <ds:schemaRef ds:uri="51c9478a-d806-4266-aba0-a353b376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3BA4C-7D55-498C-9626-72A53943AD93}">
  <ds:schemaRefs>
    <ds:schemaRef ds:uri="http://schemas.microsoft.com/sharepoint/v3/contenttype/forms"/>
  </ds:schemaRefs>
</ds:datastoreItem>
</file>

<file path=customXml/itemProps4.xml><?xml version="1.0" encoding="utf-8"?>
<ds:datastoreItem xmlns:ds="http://schemas.openxmlformats.org/officeDocument/2006/customXml" ds:itemID="{A9096D5E-E546-46A8-AA32-9E5B3CA7C401}">
  <ds:schemaRefs>
    <ds:schemaRef ds:uri="http://schemas.microsoft.com/office/2006/metadata/properties"/>
    <ds:schemaRef ds:uri="http://schemas.microsoft.com/office/infopath/2007/PartnerControls"/>
    <ds:schemaRef ds:uri="51c9478a-d806-4266-aba0-a353b3761f36"/>
    <ds:schemaRef ds:uri="a517c953-cf33-4492-b086-66309312f72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964</Words>
  <Characters>5529</Characters>
  <Application>Microsoft Office Word</Application>
  <DocSecurity>0</DocSecurity>
  <Lines>75</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4</cp:revision>
  <cp:lastPrinted>2013-02-27T18:02:00Z</cp:lastPrinted>
  <dcterms:created xsi:type="dcterms:W3CDTF">2025-09-19T11:59:00Z</dcterms:created>
  <dcterms:modified xsi:type="dcterms:W3CDTF">2025-09-19T12:12:00Z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0x010100062140E0B04F1342A01DE84B31DE065E</vt:lpwstr>
  </property>
  <property fmtid="{D5CDD505-2E9C-101B-9397-08002B2CF9AE}" pid="10" name="MediaServiceImageTags">
    <vt:lpwstr/>
  </property>
</Properties>
</file>