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2294" w14:textId="697BFCFE" w:rsidR="02BB4153" w:rsidRPr="005618AB" w:rsidRDefault="02BB4153" w:rsidP="001A373F">
      <w:pPr>
        <w:spacing w:after="0" w:line="240" w:lineRule="auto"/>
        <w:ind w:left="-142"/>
        <w:rPr>
          <w:sz w:val="16"/>
          <w:szCs w:val="16"/>
        </w:rPr>
      </w:pPr>
    </w:p>
    <w:tbl>
      <w:tblPr>
        <w:tblpPr w:leftFromText="180" w:rightFromText="180" w:vertAnchor="text" w:horzAnchor="margin" w:tblpY="39"/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17572" w14:paraId="43460930" w14:textId="77777777" w:rsidTr="001A373F">
        <w:tc>
          <w:tcPr>
            <w:tcW w:w="10314" w:type="dxa"/>
          </w:tcPr>
          <w:p w14:paraId="6CDF0815" w14:textId="538BD760" w:rsidR="00E17572" w:rsidRDefault="00AA6A32" w:rsidP="00670CD4">
            <w:pPr>
              <w:pStyle w:val="ListHeader"/>
              <w:spacing w:before="120" w:after="120" w:line="276" w:lineRule="auto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670CD4">
              <w:rPr>
                <w:rFonts w:ascii="Times New Roman" w:hAnsi="Times New Roman"/>
                <w:sz w:val="24"/>
                <w:szCs w:val="24"/>
                <w:lang w:val="en-IE"/>
              </w:rPr>
              <w:t>The future of EU industry in the face of high energy prices and transition costs</w:t>
            </w:r>
            <w:r w:rsidR="003558D8" w:rsidRPr="00670CD4">
              <w:rPr>
                <w:rFonts w:ascii="Times New Roman" w:hAnsi="Times New Roman"/>
                <w:b w:val="0"/>
                <w:sz w:val="24"/>
                <w:szCs w:val="24"/>
                <w:lang w:val="en-IE"/>
              </w:rPr>
              <w:br/>
            </w:r>
            <w:r w:rsidR="003558D8" w:rsidRPr="00670CD4">
              <w:rPr>
                <w:rFonts w:ascii="Times New Roman" w:hAnsi="Times New Roman"/>
                <w:sz w:val="24"/>
                <w:szCs w:val="24"/>
                <w:lang w:val="en-IE"/>
              </w:rPr>
              <w:t>(exploratory opinion requested by the Polish Presidency of the Council of the EU)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br/>
            </w:r>
            <w:r w:rsidR="00E17572">
              <w:rPr>
                <w:rFonts w:ascii="Times New Roman" w:hAnsi="Times New Roman"/>
                <w:sz w:val="24"/>
                <w:szCs w:val="24"/>
                <w:lang w:val="en-IE"/>
              </w:rPr>
              <w:t>EESC-2024-03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583</w:t>
            </w:r>
            <w:r w:rsidR="00E1757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– INT/107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4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br/>
              <w:t>594</w:t>
            </w:r>
            <w:r w:rsidR="00E17572" w:rsidRPr="00670CD4">
              <w:rPr>
                <w:rFonts w:ascii="Times New Roman" w:hAnsi="Times New Roman"/>
                <w:sz w:val="24"/>
                <w:szCs w:val="24"/>
                <w:vertAlign w:val="superscript"/>
                <w:lang w:val="en-IE"/>
              </w:rPr>
              <w:t>th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Plenary Session – February 2025</w:t>
            </w:r>
            <w:r w:rsidR="003558D8" w:rsidRPr="00670CD4">
              <w:rPr>
                <w:rFonts w:ascii="Times New Roman" w:hAnsi="Times New Roman"/>
                <w:b w:val="0"/>
                <w:sz w:val="24"/>
                <w:szCs w:val="24"/>
                <w:lang w:val="en-IE"/>
              </w:rPr>
              <w:br/>
            </w:r>
            <w:r w:rsidR="00E1757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Rapporteur: 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Andrea MONE</w:t>
            </w:r>
            <w:r w:rsidR="00E1757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(IT-I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I</w:t>
            </w:r>
            <w:r w:rsidR="00E17572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br/>
              <w:t>DG GROW – E</w:t>
            </w:r>
            <w:r w:rsidR="003558D8" w:rsidRPr="003558D8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xecutive 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t>V</w:t>
            </w:r>
            <w:r w:rsidR="003558D8" w:rsidRPr="003558D8">
              <w:rPr>
                <w:rFonts w:ascii="Times New Roman" w:hAnsi="Times New Roman"/>
                <w:sz w:val="24"/>
                <w:szCs w:val="24"/>
                <w:lang w:val="en-IE"/>
              </w:rPr>
              <w:t>ice-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t>P</w:t>
            </w:r>
            <w:r w:rsidR="003558D8" w:rsidRPr="003558D8">
              <w:rPr>
                <w:rFonts w:ascii="Times New Roman" w:hAnsi="Times New Roman"/>
                <w:sz w:val="24"/>
                <w:szCs w:val="24"/>
                <w:lang w:val="en-IE"/>
              </w:rPr>
              <w:t>resident</w:t>
            </w:r>
            <w:r w:rsidR="00E17572" w:rsidRPr="00670CD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SÉJOURNÉ</w:t>
            </w:r>
          </w:p>
        </w:tc>
      </w:tr>
      <w:tr w:rsidR="00E17572" w14:paraId="25EBE4C3" w14:textId="77777777" w:rsidTr="001A373F">
        <w:tc>
          <w:tcPr>
            <w:tcW w:w="10314" w:type="dxa"/>
          </w:tcPr>
          <w:p w14:paraId="70DB3E24" w14:textId="149F8955" w:rsidR="00E17572" w:rsidRDefault="00E17572" w:rsidP="003943C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of the European Economic and Social Committee </w:t>
            </w:r>
            <w:r w:rsidR="003558D8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opinion considered as essential</w:t>
            </w:r>
          </w:p>
        </w:tc>
      </w:tr>
      <w:tr w:rsidR="00E17572" w14:paraId="0DF02B61" w14:textId="77777777" w:rsidTr="001A373F">
        <w:tc>
          <w:tcPr>
            <w:tcW w:w="10314" w:type="dxa"/>
          </w:tcPr>
          <w:p w14:paraId="43CE06C2" w14:textId="4F0D43D5" w:rsidR="00261D86" w:rsidRPr="001A373F" w:rsidRDefault="00261D86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hAnsi="Times New Roman"/>
                <w:sz w:val="24"/>
                <w:szCs w:val="24"/>
              </w:rPr>
              <w:t>The Competitiveness Compas</w:t>
            </w:r>
            <w:r w:rsidR="000D1051" w:rsidRPr="001A373F">
              <w:rPr>
                <w:rFonts w:ascii="Times New Roman" w:hAnsi="Times New Roman"/>
                <w:sz w:val="24"/>
                <w:szCs w:val="24"/>
              </w:rPr>
              <w:t>s</w:t>
            </w:r>
            <w:r w:rsidRPr="001A373F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 establishes competitiveness as one of the EU’s overarching principles for action. The Compass sets out an approach and a selection of flagship measures to translate each of these imperatives into reality in the coming years: closing the innovation gap, </w:t>
            </w:r>
            <w:r w:rsidR="00C81E14" w:rsidRPr="001A373F">
              <w:rPr>
                <w:rFonts w:ascii="Times New Roman" w:hAnsi="Times New Roman"/>
                <w:sz w:val="24"/>
                <w:szCs w:val="24"/>
              </w:rPr>
              <w:t>a joint roadmap for decarbonisation and competitiveness</w:t>
            </w:r>
            <w:r w:rsidR="001A5AFE" w:rsidRPr="001A373F">
              <w:rPr>
                <w:rFonts w:ascii="Times New Roman" w:hAnsi="Times New Roman"/>
                <w:sz w:val="24"/>
                <w:szCs w:val="24"/>
              </w:rPr>
              <w:t>,</w:t>
            </w:r>
            <w:r w:rsidR="00C81E14" w:rsidRPr="001A373F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reducing excessive dependencies and increasing security</w:t>
            </w:r>
            <w:r w:rsidR="00C81E14" w:rsidRPr="001A37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362DF7" w14:textId="34C5BBCC" w:rsidR="00821CDF" w:rsidRPr="001A373F" w:rsidRDefault="000E0320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The Clean Industrial Deal</w:t>
            </w:r>
            <w:r w:rsidR="00105916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3"/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represents the Commission’s plan for competitiveness and decarbonisation. With rising geopolitical tensions</w:t>
            </w:r>
            <w:r w:rsidR="003A2DC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 slow economic growth and</w:t>
            </w:r>
            <w:r w:rsidR="00C81E1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increasing</w:t>
            </w:r>
            <w:r w:rsidR="003A2DC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technological competition, this strategy is also a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security imperative.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It recognises that t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EU’s ability to 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align </w:t>
            </w:r>
            <w:r w:rsidR="0031675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workforce 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skills 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with the demands of industrial transformation,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thus 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creat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ing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quality jobs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is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key to the success of the Green Deal</w:t>
            </w:r>
            <w:r w:rsidR="00C81E1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985C0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ensuring </w:t>
            </w:r>
            <w:r w:rsidR="00C81E1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both 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social fairness </w:t>
            </w:r>
            <w:r w:rsidR="00C81E1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="004D7C3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competitiveness.</w:t>
            </w:r>
          </w:p>
          <w:p w14:paraId="10E69BE5" w14:textId="5A271940" w:rsidR="00821CDF" w:rsidRPr="001A373F" w:rsidRDefault="00985C04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73F">
              <w:rPr>
                <w:rFonts w:ascii="Times New Roman" w:hAnsi="Times New Roman"/>
                <w:b/>
                <w:sz w:val="24"/>
                <w:szCs w:val="24"/>
              </w:rPr>
              <w:t>A p</w:t>
            </w:r>
            <w:r w:rsidR="00821CDF" w:rsidRPr="001A373F">
              <w:rPr>
                <w:rFonts w:ascii="Times New Roman" w:hAnsi="Times New Roman"/>
                <w:b/>
                <w:sz w:val="24"/>
                <w:szCs w:val="24"/>
              </w:rPr>
              <w:t>articipatory approach</w:t>
            </w:r>
            <w:r w:rsidR="00573FBD" w:rsidRPr="001A373F">
              <w:rPr>
                <w:rFonts w:ascii="Times New Roman" w:hAnsi="Times New Roman"/>
                <w:b/>
                <w:sz w:val="24"/>
                <w:szCs w:val="24"/>
              </w:rPr>
              <w:t xml:space="preserve"> for sustainable competitiveness</w:t>
            </w:r>
            <w:r w:rsidR="001B0E27" w:rsidRPr="001A37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18E73EB" w14:textId="24D02CBD" w:rsidR="00E17572" w:rsidRPr="001A373F" w:rsidRDefault="00985C04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hAnsi="Times New Roman"/>
                <w:sz w:val="24"/>
                <w:szCs w:val="24"/>
              </w:rPr>
              <w:t xml:space="preserve">To ensure effective implementation,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2E31343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Commission </w:t>
            </w:r>
            <w:r w:rsidR="5CED4D72" w:rsidRPr="001A373F">
              <w:rPr>
                <w:rFonts w:ascii="Times New Roman" w:hAnsi="Times New Roman"/>
                <w:sz w:val="24"/>
                <w:szCs w:val="24"/>
              </w:rPr>
              <w:t xml:space="preserve">will reinforce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internal </w:t>
            </w:r>
            <w:r w:rsidR="5CED4D72" w:rsidRPr="001A373F">
              <w:rPr>
                <w:rFonts w:ascii="Times New Roman" w:hAnsi="Times New Roman"/>
                <w:sz w:val="24"/>
                <w:szCs w:val="24"/>
              </w:rPr>
              <w:t>coordination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5CED4D72" w:rsidRPr="001A373F">
              <w:rPr>
                <w:rFonts w:ascii="Times New Roman" w:hAnsi="Times New Roman"/>
                <w:sz w:val="24"/>
                <w:szCs w:val="24"/>
              </w:rPr>
              <w:t>provide strategic steer, monitor progress, and engage stakeholders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257" w:rsidRPr="001A373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 particularly regional and local authorities</w:t>
            </w:r>
            <w:r w:rsidR="5CED4D72" w:rsidRPr="001A37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4895B407" w:rsidRPr="001A373F">
              <w:rPr>
                <w:rFonts w:ascii="Times New Roman" w:hAnsi="Times New Roman"/>
                <w:sz w:val="24"/>
                <w:szCs w:val="24"/>
              </w:rPr>
              <w:t xml:space="preserve">As announced in the 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>Clean Industrial Deal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,</w:t>
            </w:r>
            <w:r w:rsidR="5782D771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E3E58A7" w:rsidRPr="001A373F">
              <w:rPr>
                <w:rFonts w:ascii="Times New Roman" w:hAnsi="Times New Roman"/>
                <w:sz w:val="24"/>
                <w:szCs w:val="24"/>
                <w:lang w:eastAsia="ja-JP"/>
              </w:rPr>
              <w:t>t</w:t>
            </w:r>
            <w:r w:rsidR="061A2F27"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he Union of Skills </w:t>
            </w:r>
            <w:r w:rsidRPr="001A373F">
              <w:rPr>
                <w:rFonts w:ascii="Times New Roman" w:eastAsia="Times New Roman" w:hAnsi="Times New Roman"/>
                <w:sz w:val="24"/>
                <w:szCs w:val="24"/>
              </w:rPr>
              <w:t>initiative</w:t>
            </w:r>
            <w:r w:rsidR="00E74257" w:rsidRPr="001A373F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4"/>
            </w:r>
            <w:r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 will</w:t>
            </w:r>
            <w:r w:rsidR="061A2F27"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equip </w:t>
            </w:r>
            <w:r w:rsidR="061A2F27"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people </w:t>
            </w:r>
            <w:r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with </w:t>
            </w:r>
            <w:r w:rsidR="061A2F27"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the skills they need </w:t>
            </w:r>
            <w:r w:rsidRPr="001A373F">
              <w:rPr>
                <w:rFonts w:ascii="Times New Roman" w:eastAsia="Times New Roman" w:hAnsi="Times New Roman"/>
                <w:sz w:val="24"/>
                <w:szCs w:val="24"/>
              </w:rPr>
              <w:t>for the green and digital transition</w:t>
            </w:r>
            <w:r w:rsidR="74C88921" w:rsidRPr="001A373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Additionally, t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 xml:space="preserve">he Commission will </w:t>
            </w:r>
            <w:r w:rsidR="687824A5" w:rsidRPr="001A373F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>create a</w:t>
            </w:r>
            <w:r w:rsidR="001A373F">
              <w:rPr>
                <w:rFonts w:ascii="Times New Roman" w:hAnsi="Times New Roman"/>
                <w:sz w:val="24"/>
                <w:szCs w:val="24"/>
              </w:rPr>
              <w:t> 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>European Fair Transition Observatory</w:t>
            </w:r>
            <w:r w:rsidR="64DA9CBD" w:rsidRPr="001A373F">
              <w:rPr>
                <w:rFonts w:ascii="Times New Roman" w:hAnsi="Times New Roman"/>
                <w:sz w:val="24"/>
                <w:szCs w:val="24"/>
              </w:rPr>
              <w:t xml:space="preserve">, that will strengthen the evidence base on fairness aspects of the green transition and 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>ensure a transparent dialogue with social partners, regional and local authorities, civil society and other stakeholders</w:t>
            </w:r>
            <w:r w:rsidR="490F2289" w:rsidRPr="001A373F">
              <w:rPr>
                <w:rFonts w:ascii="Times New Roman" w:hAnsi="Times New Roman"/>
                <w:sz w:val="24"/>
                <w:szCs w:val="24"/>
              </w:rPr>
              <w:t>.</w:t>
            </w:r>
            <w:r w:rsidR="310B1A48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DC9" w:rsidRPr="001A373F">
              <w:rPr>
                <w:rFonts w:ascii="Times New Roman" w:hAnsi="Times New Roman"/>
                <w:sz w:val="24"/>
                <w:szCs w:val="24"/>
              </w:rPr>
              <w:t>More broadly, t</w:t>
            </w:r>
            <w:r w:rsidR="18844F1C" w:rsidRPr="001A373F">
              <w:rPr>
                <w:rFonts w:ascii="Times New Roman" w:hAnsi="Times New Roman"/>
                <w:sz w:val="24"/>
                <w:szCs w:val="24"/>
              </w:rPr>
              <w:t xml:space="preserve">he Commission will closely monitor progress </w:t>
            </w:r>
            <w:r w:rsidR="37FCBE0C" w:rsidRPr="001A373F">
              <w:rPr>
                <w:rFonts w:ascii="Times New Roman" w:hAnsi="Times New Roman"/>
                <w:sz w:val="24"/>
                <w:szCs w:val="24"/>
              </w:rPr>
              <w:t xml:space="preserve">in achieving decarbonisation and competitiveness objectives </w:t>
            </w:r>
            <w:r w:rsidR="7382E7EF" w:rsidRPr="001A373F">
              <w:rPr>
                <w:rFonts w:ascii="Times New Roman" w:hAnsi="Times New Roman"/>
                <w:sz w:val="24"/>
                <w:szCs w:val="24"/>
              </w:rPr>
              <w:t xml:space="preserve">through the </w:t>
            </w:r>
            <w:r w:rsidR="18844F1C" w:rsidRPr="001A373F">
              <w:rPr>
                <w:rFonts w:ascii="Times New Roman" w:hAnsi="Times New Roman"/>
                <w:sz w:val="24"/>
                <w:szCs w:val="24"/>
              </w:rPr>
              <w:t xml:space="preserve">Annual Single Market </w:t>
            </w:r>
            <w:r w:rsidR="133FDF1B" w:rsidRPr="001A373F">
              <w:rPr>
                <w:rFonts w:ascii="Times New Roman" w:hAnsi="Times New Roman"/>
                <w:sz w:val="24"/>
                <w:szCs w:val="24"/>
              </w:rPr>
              <w:t>and</w:t>
            </w:r>
            <w:r w:rsidR="18844F1C" w:rsidRPr="001A373F">
              <w:rPr>
                <w:rFonts w:ascii="Times New Roman" w:hAnsi="Times New Roman"/>
                <w:sz w:val="24"/>
                <w:szCs w:val="24"/>
              </w:rPr>
              <w:t xml:space="preserve"> Competitiveness Report</w:t>
            </w:r>
            <w:r w:rsidR="3706BDAC" w:rsidRPr="001A37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C44FF8" w14:textId="0286C5BE" w:rsidR="00E17572" w:rsidRPr="001A373F" w:rsidRDefault="005E6349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73F">
              <w:rPr>
                <w:rFonts w:ascii="Times New Roman" w:hAnsi="Times New Roman"/>
                <w:b/>
                <w:sz w:val="24"/>
                <w:szCs w:val="24"/>
              </w:rPr>
              <w:t>Access to affordable e</w:t>
            </w:r>
            <w:r w:rsidR="002A5150" w:rsidRPr="001A373F">
              <w:rPr>
                <w:rFonts w:ascii="Times New Roman" w:hAnsi="Times New Roman"/>
                <w:b/>
                <w:sz w:val="24"/>
                <w:szCs w:val="24"/>
              </w:rPr>
              <w:t>nergy</w:t>
            </w:r>
            <w:r w:rsidR="001B0E27" w:rsidRPr="001A37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E46214E" w14:textId="64899E95" w:rsidR="00AE361C" w:rsidRPr="001A373F" w:rsidRDefault="6434AE42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P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romoting long-term electricity supply contracts between clean energy developers and industrial </w:t>
            </w:r>
            <w:r w:rsidR="444BA7B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consumers</w:t>
            </w:r>
            <w:r w:rsidR="001A5AFE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444BA7B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such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as power purchase agreements</w:t>
            </w:r>
            <w:r w:rsidR="001A5AFE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332512E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is essential</w:t>
            </w:r>
            <w:r w:rsidR="00F8528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to industrial decarbonisation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  <w:r w:rsidR="2E4D4B8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Fostering efficient energy derivatives markets is also instrumental to</w:t>
            </w:r>
            <w:r w:rsidR="583FEBCF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allow </w:t>
            </w:r>
            <w:r w:rsidR="2E4D4B8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the European industrial base</w:t>
            </w:r>
            <w:r w:rsidR="4CA507F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to hedge its exposure to energy prices and therefore benefit from greater predictability in the </w:t>
            </w:r>
            <w:r w:rsidR="008317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operational </w:t>
            </w:r>
            <w:r w:rsidR="4CA507F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cost</w:t>
            </w:r>
            <w:r w:rsidR="008317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FD22D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6934FD70" w14:textId="2410DB6C" w:rsidR="00311E63" w:rsidRPr="001A373F" w:rsidRDefault="6013A6F0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The Affordable Energy Action Plan</w:t>
            </w:r>
            <w:r w:rsidR="0DCE8F9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4E13F9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fr-BE"/>
              </w:rPr>
              <w:footnoteReference w:id="5"/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put</w:t>
            </w:r>
            <w:r w:rsidR="2908ABF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forward </w:t>
            </w:r>
            <w:r w:rsidR="003A2DC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 set of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measures to bring prices down</w:t>
            </w:r>
            <w:r w:rsidR="1FEEF37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such as </w:t>
            </w:r>
            <w:r w:rsidR="04B0D13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i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nvestments in</w:t>
            </w:r>
            <w:r w:rsidR="008317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clean energy and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infrastructure</w:t>
            </w:r>
            <w:r w:rsidR="008317B6" w:rsidRPr="001A373F">
              <w:rPr>
                <w:rFonts w:ascii="Times New Roman" w:hAnsi="Times New Roman"/>
                <w:sz w:val="24"/>
                <w:szCs w:val="24"/>
              </w:rPr>
              <w:t xml:space="preserve"> accelerating electrification, increasing energy efficiency, </w:t>
            </w:r>
            <w:r w:rsidR="008317B6" w:rsidRPr="001A373F">
              <w:rPr>
                <w:rFonts w:ascii="Times New Roman" w:hAnsi="Times New Roman"/>
                <w:sz w:val="24"/>
                <w:szCs w:val="24"/>
              </w:rPr>
              <w:lastRenderedPageBreak/>
              <w:t>enhancing transparency and fairness in gas markets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and deepening the integration of </w:t>
            </w:r>
            <w:r w:rsidR="001A5AFE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E7425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EU</w:t>
            </w:r>
            <w:r w:rsidR="78B2178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energy market</w:t>
            </w:r>
            <w:r w:rsidR="1FEEF37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="008317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to</w:t>
            </w:r>
            <w:r w:rsidR="00FD22D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1C35929E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address system costs and inefficiencies.</w:t>
            </w:r>
            <w:r w:rsidR="003A2DC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 Clean Industrial Deal </w:t>
            </w:r>
            <w:r w:rsidR="008317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also </w:t>
            </w:r>
            <w:r w:rsidR="003A2DC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announces counter-guarantees to facilitate the </w:t>
            </w:r>
            <w:r w:rsidR="008317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uptake</w:t>
            </w:r>
            <w:r w:rsidR="003A2DC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of corporate power purchase agreements.</w:t>
            </w:r>
          </w:p>
          <w:p w14:paraId="090290FA" w14:textId="33C76C28" w:rsidR="00A90A9E" w:rsidRPr="001A373F" w:rsidRDefault="07BD963C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hAnsi="Times New Roman"/>
                <w:sz w:val="24"/>
                <w:szCs w:val="24"/>
              </w:rPr>
              <w:t>Both communications</w:t>
            </w:r>
            <w:r w:rsidR="001B53B6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call on Member States to complete the revision of the </w:t>
            </w:r>
            <w:r w:rsidR="030192F6" w:rsidRPr="001A373F">
              <w:rPr>
                <w:rFonts w:ascii="Times New Roman" w:hAnsi="Times New Roman"/>
                <w:sz w:val="24"/>
                <w:szCs w:val="24"/>
              </w:rPr>
              <w:t>Energy Taxation Directive (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ETD</w:t>
            </w:r>
            <w:r w:rsidR="4CD4AC97" w:rsidRPr="001A373F">
              <w:rPr>
                <w:rFonts w:ascii="Times New Roman" w:hAnsi="Times New Roman"/>
                <w:sz w:val="24"/>
                <w:szCs w:val="24"/>
              </w:rPr>
              <w:t>)</w:t>
            </w:r>
            <w:r w:rsidR="002D42B7" w:rsidRPr="001A373F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6"/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675B" w:rsidRPr="001A373F">
              <w:rPr>
                <w:rFonts w:ascii="Times New Roman" w:hAnsi="Times New Roman"/>
                <w:sz w:val="24"/>
                <w:szCs w:val="24"/>
              </w:rPr>
              <w:t>recognising its key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 role in promoting clean industry and affordable energy.</w:t>
            </w:r>
            <w:r w:rsidR="4462703A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75B" w:rsidRPr="001A373F">
              <w:rPr>
                <w:rFonts w:ascii="Times New Roman" w:hAnsi="Times New Roman"/>
                <w:sz w:val="24"/>
                <w:szCs w:val="24"/>
              </w:rPr>
              <w:t>I</w:t>
            </w:r>
            <w:r w:rsidRPr="001A373F" w:rsidDel="07BD963C">
              <w:rPr>
                <w:rFonts w:ascii="Times New Roman" w:hAnsi="Times New Roman"/>
                <w:sz w:val="24"/>
                <w:szCs w:val="24"/>
              </w:rPr>
              <w:t xml:space="preserve">n line with the current ETD, which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allows decreasing</w:t>
            </w:r>
            <w:r w:rsidRPr="001A373F" w:rsidDel="07BD963C">
              <w:rPr>
                <w:rFonts w:ascii="Times New Roman" w:hAnsi="Times New Roman"/>
                <w:sz w:val="24"/>
                <w:szCs w:val="24"/>
              </w:rPr>
              <w:t xml:space="preserve"> taxes for electricity consumed by households and energy intensive industries,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 the Commission will issue a recommendation to Member States on how to use the flexibilities already included in the Directive</w:t>
            </w:r>
            <w:r w:rsidR="001A5AFE" w:rsidRPr="001A373F">
              <w:rPr>
                <w:rFonts w:ascii="Times New Roman" w:hAnsi="Times New Roman"/>
                <w:sz w:val="24"/>
                <w:szCs w:val="24"/>
              </w:rPr>
              <w:t xml:space="preserve"> in a cost-effective </w:t>
            </w:r>
            <w:proofErr w:type="gramStart"/>
            <w:r w:rsidR="001A5AFE" w:rsidRPr="001A373F">
              <w:rPr>
                <w:rFonts w:ascii="Times New Roman" w:hAnsi="Times New Roman"/>
                <w:sz w:val="24"/>
                <w:szCs w:val="24"/>
              </w:rPr>
              <w:t xml:space="preserve">manner,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gramEnd"/>
            <w:r w:rsidRPr="001A373F">
              <w:rPr>
                <w:rFonts w:ascii="Times New Roman" w:hAnsi="Times New Roman"/>
                <w:sz w:val="24"/>
                <w:szCs w:val="24"/>
              </w:rPr>
              <w:t xml:space="preserve"> ensure that electricity is taxed less than other energy sources </w:t>
            </w:r>
            <w:r w:rsidR="001A5AFE" w:rsidRPr="001A373F">
              <w:rPr>
                <w:rFonts w:ascii="Times New Roman" w:hAnsi="Times New Roman"/>
                <w:sz w:val="24"/>
                <w:szCs w:val="24"/>
              </w:rPr>
              <w:t xml:space="preserve">across all sectors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while pursuing our long-term decarbonisation objectives.</w:t>
            </w:r>
          </w:p>
          <w:p w14:paraId="39E58C02" w14:textId="4C242F80" w:rsidR="00ED6F46" w:rsidRPr="001A373F" w:rsidRDefault="005E6349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Public and private</w:t>
            </w:r>
            <w:r w:rsidR="00ED6F46"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investment</w:t>
            </w: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1B0E27"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43F64CE" w14:textId="093F6AAF" w:rsidR="00967A18" w:rsidRPr="001A373F" w:rsidRDefault="00F62490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</w:rPr>
              <w:t>InvestEU is currently the main EU-level tool to leverage private funding. The Commission is putting forward an amendment of the InvestEU Regulation to increase InvestEU’s risk bearing capacity. This proposal will mobilise</w:t>
            </w: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around EUR</w:t>
            </w: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 xml:space="preserve">50 billion additional financing and investment. </w:t>
            </w:r>
            <w:r w:rsidR="009224AC" w:rsidRPr="001A373F">
              <w:rPr>
                <w:rFonts w:ascii="Times New Roman" w:hAnsi="Times New Roman"/>
                <w:sz w:val="24"/>
                <w:szCs w:val="24"/>
              </w:rPr>
              <w:t xml:space="preserve">The Commission plans to commit EUR 6 billion from the Innovation Fund in 2025, including for clean tech, battery manufacturing, the Hydrogen Bank and industrial decarbonisation. </w:t>
            </w:r>
            <w:r w:rsidR="00F8528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support industrial decarbonisation, the Clean Industrial Deal announced </w:t>
            </w:r>
            <w:r w:rsidR="00B07F2C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 upcoming proposal for </w:t>
            </w:r>
            <w:r w:rsidR="00F8528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5B9028B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he Industrial Decarbonisation Bank</w:t>
            </w:r>
            <w:r w:rsidR="273ABC2C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="41C9B49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aim</w:t>
            </w:r>
            <w:r w:rsidR="00F8528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ed at</w:t>
            </w:r>
            <w:r w:rsidR="5B9028B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mobilis</w:t>
            </w:r>
            <w:r w:rsidR="00F8528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ing</w:t>
            </w:r>
            <w:r w:rsidR="5B9028B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up to </w:t>
            </w:r>
            <w:r w:rsidR="273ABC2C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EUR </w:t>
            </w:r>
            <w:r w:rsidR="5B9028B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100 billion</w:t>
            </w:r>
            <w:r w:rsidR="00F8528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256B7DB6" w14:textId="2A07899E" w:rsidR="00977207" w:rsidRPr="001A373F" w:rsidRDefault="00F8528D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07F2C" w:rsidRPr="001A373F">
              <w:rPr>
                <w:rFonts w:ascii="Times New Roman" w:hAnsi="Times New Roman"/>
                <w:sz w:val="24"/>
                <w:szCs w:val="24"/>
              </w:rPr>
              <w:t xml:space="preserve">Clean Industrial Deal </w:t>
            </w:r>
            <w:r w:rsidR="7D56813C" w:rsidRPr="001A373F">
              <w:rPr>
                <w:rFonts w:ascii="Times New Roman" w:hAnsi="Times New Roman"/>
                <w:sz w:val="24"/>
                <w:szCs w:val="24"/>
              </w:rPr>
              <w:t xml:space="preserve">State </w:t>
            </w:r>
            <w:r w:rsidRPr="001A373F">
              <w:rPr>
                <w:rFonts w:ascii="Times New Roman" w:hAnsi="Times New Roman"/>
                <w:sz w:val="24"/>
                <w:szCs w:val="24"/>
              </w:rPr>
              <w:t>A</w:t>
            </w:r>
            <w:r w:rsidR="7D56813C" w:rsidRPr="001A373F">
              <w:rPr>
                <w:rFonts w:ascii="Times New Roman" w:hAnsi="Times New Roman"/>
                <w:sz w:val="24"/>
                <w:szCs w:val="24"/>
              </w:rPr>
              <w:t xml:space="preserve">id Framework </w:t>
            </w:r>
            <w:r w:rsidR="3413F5B4" w:rsidRPr="001A373F">
              <w:rPr>
                <w:rFonts w:ascii="Times New Roman" w:hAnsi="Times New Roman"/>
                <w:sz w:val="24"/>
                <w:szCs w:val="24"/>
              </w:rPr>
              <w:t xml:space="preserve">will aim </w:t>
            </w:r>
            <w:r w:rsidR="3E8C29A7" w:rsidRPr="001A373F">
              <w:rPr>
                <w:rFonts w:ascii="Times New Roman" w:hAnsi="Times New Roman"/>
                <w:sz w:val="24"/>
                <w:szCs w:val="24"/>
              </w:rPr>
              <w:t>to ensure that Member States can provide the necessary</w:t>
            </w:r>
            <w:r w:rsidR="33968E28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3BFF099" w:rsidRPr="001A373F">
              <w:rPr>
                <w:rFonts w:ascii="Times New Roman" w:hAnsi="Times New Roman"/>
                <w:sz w:val="24"/>
                <w:szCs w:val="24"/>
              </w:rPr>
              <w:t>financial</w:t>
            </w:r>
            <w:r w:rsidR="33968E28" w:rsidRPr="001A373F">
              <w:rPr>
                <w:rFonts w:ascii="Times New Roman" w:hAnsi="Times New Roman"/>
                <w:sz w:val="24"/>
                <w:szCs w:val="24"/>
              </w:rPr>
              <w:t xml:space="preserve"> support to achieve the </w:t>
            </w:r>
            <w:r w:rsidR="3591EF19" w:rsidRPr="001A373F">
              <w:rPr>
                <w:rFonts w:ascii="Times New Roman" w:hAnsi="Times New Roman"/>
                <w:sz w:val="24"/>
                <w:szCs w:val="24"/>
              </w:rPr>
              <w:t>objectives</w:t>
            </w:r>
            <w:r w:rsidR="5B9028B7" w:rsidRPr="001A373F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73EAC5F4" w:rsidRPr="001A373F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5B9028B7" w:rsidRPr="001A373F">
              <w:rPr>
                <w:rFonts w:ascii="Times New Roman" w:hAnsi="Times New Roman"/>
                <w:sz w:val="24"/>
                <w:szCs w:val="24"/>
              </w:rPr>
              <w:t>Clean Industrial Deal</w:t>
            </w:r>
            <w:r w:rsidR="45F00BC0" w:rsidRPr="001A373F">
              <w:rPr>
                <w:rFonts w:ascii="Times New Roman" w:hAnsi="Times New Roman"/>
                <w:sz w:val="24"/>
                <w:szCs w:val="24"/>
              </w:rPr>
              <w:t>.</w:t>
            </w:r>
            <w:r w:rsidR="5B31F66D" w:rsidRPr="001A373F">
              <w:rPr>
                <w:rFonts w:ascii="Times New Roman" w:hAnsi="Times New Roman"/>
                <w:sz w:val="24"/>
                <w:szCs w:val="24"/>
              </w:rPr>
              <w:t xml:space="preserve"> In addition</w:t>
            </w:r>
            <w:r w:rsidR="5A862049" w:rsidRPr="001A373F">
              <w:rPr>
                <w:rFonts w:ascii="Times New Roman" w:hAnsi="Times New Roman"/>
                <w:sz w:val="24"/>
                <w:szCs w:val="24"/>
              </w:rPr>
              <w:t>,</w:t>
            </w:r>
            <w:r w:rsidR="333A04C7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A862049" w:rsidRPr="001A373F">
              <w:rPr>
                <w:rFonts w:ascii="Times New Roman" w:hAnsi="Times New Roman"/>
                <w:sz w:val="24"/>
                <w:szCs w:val="24"/>
              </w:rPr>
              <w:t xml:space="preserve">the Commission will also work closely with the Member States to speed-up the design of new </w:t>
            </w:r>
            <w:r w:rsidR="7D67CFBE" w:rsidRPr="001A373F">
              <w:rPr>
                <w:rFonts w:ascii="Times New Roman" w:hAnsi="Times New Roman"/>
                <w:sz w:val="24"/>
                <w:szCs w:val="24"/>
              </w:rPr>
              <w:t>Important Projects of Common European Interest</w:t>
            </w:r>
            <w:r w:rsidR="5A862049" w:rsidRPr="001A373F">
              <w:rPr>
                <w:rFonts w:ascii="Times New Roman" w:hAnsi="Times New Roman"/>
                <w:sz w:val="24"/>
                <w:szCs w:val="24"/>
              </w:rPr>
              <w:t xml:space="preserve"> to strengthen the efficiency of the tool to support industrial decarbonisation and clean tech manufacturing in the EU.</w:t>
            </w:r>
            <w:r w:rsidR="453A36FB" w:rsidRPr="001A3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64D7A6E" w:rsidRPr="001A373F">
              <w:rPr>
                <w:rFonts w:ascii="Times New Roman" w:hAnsi="Times New Roman"/>
                <w:sz w:val="24"/>
                <w:szCs w:val="24"/>
              </w:rPr>
              <w:t>T</w:t>
            </w:r>
            <w:r w:rsidR="5B9028B7" w:rsidRPr="001A373F">
              <w:rPr>
                <w:rFonts w:ascii="Times New Roman" w:hAnsi="Times New Roman"/>
                <w:sz w:val="24"/>
                <w:szCs w:val="24"/>
              </w:rPr>
              <w:t xml:space="preserve">he upcoming Competitiveness Fund will </w:t>
            </w:r>
            <w:r w:rsidR="74DDE9C1" w:rsidRPr="001A373F">
              <w:rPr>
                <w:rFonts w:ascii="Times New Roman" w:eastAsia="Times New Roman" w:hAnsi="Times New Roman"/>
                <w:sz w:val="24"/>
                <w:szCs w:val="24"/>
              </w:rPr>
              <w:t>support strategic sectors and technologies critical to the EU competitiveness, including research and innovation, and Important Projects of Common European Interest</w:t>
            </w:r>
            <w:r w:rsidR="225609BA" w:rsidRPr="001A373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74DDE9C1" w:rsidRPr="001A373F">
              <w:rPr>
                <w:rFonts w:ascii="Times New Roman" w:eastAsia="Times New Roman" w:hAnsi="Times New Roman"/>
                <w:sz w:val="24"/>
                <w:szCs w:val="24"/>
              </w:rPr>
              <w:t xml:space="preserve"> and help </w:t>
            </w:r>
            <w:r w:rsidR="764D7A6E" w:rsidRPr="001A373F">
              <w:rPr>
                <w:rFonts w:ascii="Times New Roman" w:hAnsi="Times New Roman"/>
                <w:sz w:val="24"/>
                <w:szCs w:val="24"/>
              </w:rPr>
              <w:t xml:space="preserve">leverage </w:t>
            </w:r>
            <w:r w:rsidR="3AE1A807" w:rsidRPr="001A373F">
              <w:rPr>
                <w:rFonts w:ascii="Times New Roman" w:hAnsi="Times New Roman"/>
                <w:sz w:val="24"/>
                <w:szCs w:val="24"/>
              </w:rPr>
              <w:t>and</w:t>
            </w:r>
            <w:r w:rsidR="764D7A6E" w:rsidRPr="001A373F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="492B843E" w:rsidRPr="001A373F">
              <w:rPr>
                <w:rFonts w:ascii="Times New Roman" w:hAnsi="Times New Roman"/>
                <w:sz w:val="24"/>
                <w:szCs w:val="24"/>
              </w:rPr>
              <w:t>-</w:t>
            </w:r>
            <w:r w:rsidR="764D7A6E" w:rsidRPr="001A373F">
              <w:rPr>
                <w:rFonts w:ascii="Times New Roman" w:hAnsi="Times New Roman"/>
                <w:sz w:val="24"/>
                <w:szCs w:val="24"/>
              </w:rPr>
              <w:t>risk private investment in strategic areas.</w:t>
            </w:r>
          </w:p>
          <w:p w14:paraId="214080F2" w14:textId="7E523A5D" w:rsidR="001F2DD0" w:rsidRPr="001A373F" w:rsidRDefault="00977207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9917FE"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aw materials and </w:t>
            </w: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917FE"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ircular economy</w:t>
            </w:r>
            <w:r w:rsidR="001B0E27"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AFBE5C3" w14:textId="4BAC2CE0" w:rsidR="008402ED" w:rsidRPr="001A373F" w:rsidRDefault="00B71710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he Commission is already turning the objectives of the Critical Raw Materials Act</w:t>
            </w:r>
            <w:r w:rsidR="00CD0B3D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7"/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into reality with the announcement of a first list of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trategic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p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rojects that will strengthen the EU’s capacity for the extraction, processing and recycling of strategic raw materials.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creation of </w:t>
            </w:r>
            <w:r w:rsidR="006D01E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 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EU Critical Raw Material Centre to jointly purchase raw materials will allow for economies of scale and better negotiation leverage.</w:t>
            </w:r>
            <w:r w:rsidR="00B6030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To make the business case for circularity</w:t>
            </w:r>
            <w:r w:rsidR="006D01E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 upcoming Circular Economy </w:t>
            </w:r>
            <w:r w:rsidR="006D01E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</w:t>
            </w:r>
            <w:r w:rsidR="00B6030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ct</w:t>
            </w:r>
            <w:r w:rsidR="006D01E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66E3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will improve the functioning of the Single Market for waste and boost the supply of secondary materials.</w:t>
            </w:r>
          </w:p>
          <w:p w14:paraId="1EA6666D" w14:textId="6A47D5A5" w:rsidR="008402ED" w:rsidRPr="001A373F" w:rsidRDefault="008402ED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Net-Zero Industry Act approach</w:t>
            </w:r>
            <w:r w:rsidR="001B0E27" w:rsidRPr="001A373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9197C81" w14:textId="595B3371" w:rsidR="009504C1" w:rsidRPr="001A373F" w:rsidRDefault="00F341FA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1A59F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forthcoming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Industrial Decarbonisation Accelerator Act </w:t>
            </w:r>
            <w:r w:rsidR="00FA073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(IDAA)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will build on the same logic </w:t>
            </w:r>
            <w:r w:rsidR="008E5CE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as</w:t>
            </w:r>
            <w:r w:rsidR="001A59F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</w:t>
            </w:r>
            <w:r w:rsidR="008E5CE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lastRenderedPageBreak/>
              <w:t>Net</w:t>
            </w:r>
            <w:r w:rsidR="008E5CE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-z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ero Industry </w:t>
            </w:r>
            <w:r w:rsidR="00A3621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Act</w:t>
            </w:r>
            <w:r w:rsidR="00CD0B3D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8"/>
            </w:r>
            <w:r w:rsidR="00A3621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but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expand the scope to support the take</w:t>
            </w:r>
            <w:r w:rsidR="00B6030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-up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of decarbonised technologies in industry, especially for the most energy intensive ones.</w:t>
            </w:r>
            <w:r w:rsidR="00B6030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504C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FA073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IDA</w:t>
            </w:r>
            <w:r w:rsidR="009504C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 will streamline and speed up permitting and administrative procedures to facilitate access to energy infrastructure for energy intensive industries</w:t>
            </w:r>
            <w:r w:rsidR="0020490C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74344331" w14:textId="0ABC56DB" w:rsidR="00AE57DB" w:rsidRPr="001A373F" w:rsidRDefault="74F09532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ED1BC4" w:rsidRPr="001A373F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IDA</w:t>
            </w:r>
            <w:r w:rsidRPr="001A373F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A will also introduce resilience and sustainability criteria to foster clean European supply for energy-intensive sectors. These criteria (e.g.</w:t>
            </w:r>
            <w:r w:rsidR="009224AC" w:rsidRPr="001A373F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,</w:t>
            </w:r>
            <w:r w:rsidRPr="001A373F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 xml:space="preserve"> clean, resilient, circular, cybersecure) will strengthen demand for EU-made clean products, promoting innovation as well as EU environmental and social standards and ensure a level playing field. </w:t>
            </w:r>
            <w:r w:rsidR="00BE3F51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The</w:t>
            </w:r>
            <w:r w:rsidR="005367EF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Clean Industrial Deal proposes to develop </w:t>
            </w:r>
            <w:r w:rsidR="004C4A3C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low-carbon</w:t>
            </w:r>
            <w:r w:rsidR="005367EF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="004C4A3C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labelling</w:t>
            </w:r>
            <w:r w:rsidR="005367EF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for several key industrial products. These labels will enable public authorities to support investments in clean</w:t>
            </w:r>
            <w:r w:rsidR="00771CB6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tech</w:t>
            </w:r>
            <w:r w:rsidR="005367EF" w:rsidRPr="001A373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manufacturing and the uptake of low-carbon products, in line with existing State aid rules.</w:t>
            </w:r>
          </w:p>
          <w:p w14:paraId="5A7A8233" w14:textId="20B9C8F7" w:rsidR="00311E63" w:rsidRPr="001A373F" w:rsidRDefault="0091448F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reduce burdens on </w:t>
            </w:r>
            <w:r w:rsidR="00CD0B3D" w:rsidRPr="001A373F">
              <w:rPr>
                <w:rFonts w:ascii="Times New Roman" w:hAnsi="Times New Roman"/>
                <w:color w:val="71777D"/>
                <w:sz w:val="24"/>
                <w:szCs w:val="24"/>
                <w:shd w:val="clear" w:color="auto" w:fill="FFFFFF"/>
              </w:rPr>
              <w:t>s</w:t>
            </w:r>
            <w:r w:rsidR="00CD0B3D" w:rsidRPr="001A373F">
              <w:rPr>
                <w:rFonts w:ascii="Times New Roman" w:hAnsi="Times New Roman"/>
                <w:sz w:val="24"/>
                <w:szCs w:val="24"/>
              </w:rPr>
              <w:t>mall and medium-sized enterprises</w:t>
            </w:r>
            <w:r w:rsidR="00CD0B3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SME</w:t>
            </w:r>
            <w:r w:rsidR="00771CB6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CD0B3D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="00443F1C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the Competitiveness Compass</w:t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committed to cutting reporting requirements by at least 35% for SMEs and to introduce a new SME and competitiveness check to consider these dimensions more prominently in impact assessments for new legislation.</w:t>
            </w:r>
            <w:r w:rsidR="00E00AD5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</w:t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ogether with the Clean Industrial Deal </w:t>
            </w:r>
            <w:r w:rsidR="00E00AD5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AD344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Commission</w:t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82430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proposed</w:t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two simplification omnibuses</w:t>
            </w:r>
            <w:r w:rsidR="00AD3448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9"/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to address overlapping or contradictory requirements for companies as well as requirements to make use of paper documents.</w:t>
            </w:r>
            <w:r w:rsidR="00311E63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AD344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hese will </w:t>
            </w:r>
            <w:r w:rsidR="00AD344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notably </w:t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tackle one of the most burdensome legislations, especially for SMEs and small midcap enterprises, the Corporate Sustainability Reporting Directive</w:t>
            </w:r>
            <w:r w:rsidR="00A208A4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10"/>
            </w:r>
            <w:r w:rsidR="0063053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5709A6DE" w14:textId="3BE92E58" w:rsidR="006604A2" w:rsidRPr="001A373F" w:rsidRDefault="006604A2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73F">
              <w:rPr>
                <w:rFonts w:ascii="Times New Roman" w:hAnsi="Times New Roman"/>
                <w:b/>
                <w:sz w:val="24"/>
                <w:szCs w:val="24"/>
              </w:rPr>
              <w:t>International dimension</w:t>
            </w:r>
            <w:r w:rsidR="001B0E27" w:rsidRPr="001A37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2D34A2" w14:textId="1DDDC45F" w:rsidR="00927EC8" w:rsidRPr="001A373F" w:rsidRDefault="006D5875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addition </w:t>
            </w:r>
            <w:r w:rsidR="0091448F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pursuing and concluding Free-Trade Agreements to open and improve market access </w:t>
            </w:r>
            <w:r w:rsidR="0091448F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for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European companies in third countries, t</w:t>
            </w:r>
            <w:r w:rsidR="00927EC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he Commission will </w:t>
            </w:r>
            <w:r w:rsidR="0091448F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pursue</w:t>
            </w:r>
            <w:r w:rsidR="00A27A6E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921AA5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</w:t>
            </w:r>
            <w:r w:rsidR="00A27A6E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trategic partnerships in raw material value chains and</w:t>
            </w:r>
            <w:r w:rsidR="00927EC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Clean Trade and Investment Partnerships</w:t>
            </w:r>
            <w:r w:rsidR="00D47FF2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  <w:r w:rsidR="00927EC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2556C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Such partnerships will</w:t>
            </w:r>
            <w:r w:rsidR="00927EC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diversify</w:t>
            </w:r>
            <w:r w:rsidR="002119C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sources of supply </w:t>
            </w:r>
            <w:r w:rsidR="0091448F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and</w:t>
            </w:r>
            <w:r w:rsidR="00B70EA9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create new investment opportunities</w:t>
            </w:r>
            <w:r w:rsidR="00927EC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  <w:r w:rsidR="002556C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Moreover, the EU remains committed to protect the Single Market from unfair trade practices and non-market policies and make full use, whenever necessary, of its trade defence tools, including safeguards, and tariffs as countermeasures.</w:t>
            </w:r>
          </w:p>
          <w:p w14:paraId="1101D25E" w14:textId="03F55280" w:rsidR="00D34596" w:rsidRPr="000D1051" w:rsidRDefault="0091448F" w:rsidP="005618AB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Simplification measures are underway</w:t>
            </w:r>
            <w:r w:rsidR="0317CE52" w:rsidRPr="001A373F">
              <w:rPr>
                <w:rFonts w:ascii="Times New Roman" w:eastAsia="Calibri" w:hAnsi="Times New Roman"/>
                <w:sz w:val="24"/>
                <w:szCs w:val="24"/>
                <w:lang w:val="en-IE"/>
              </w:rPr>
              <w:t xml:space="preserve"> for businesses</w:t>
            </w:r>
            <w:r w:rsidR="7E41F62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subject to</w:t>
            </w:r>
            <w:r w:rsidR="7E41F62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Carbon Border Adjustment Mechanism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(CBAM)</w:t>
            </w:r>
            <w:r w:rsidR="7E41F62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for which </w:t>
            </w:r>
            <w:r w:rsidR="00A208A4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the Commission</w:t>
            </w:r>
            <w:r w:rsidR="7E41F62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6A3B3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proposed an amendment</w:t>
            </w:r>
            <w:r w:rsidR="7E41F62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on 26 February</w:t>
            </w:r>
            <w:r w:rsidR="00D7262C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3558D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2025</w:t>
            </w:r>
            <w:r w:rsidR="0092296D" w:rsidRPr="001A373F">
              <w:rPr>
                <w:rStyle w:val="FootnoteReference"/>
                <w:rFonts w:ascii="Times New Roman" w:hAnsi="Times New Roman"/>
                <w:sz w:val="24"/>
                <w:szCs w:val="24"/>
                <w:lang w:val="en-IE"/>
              </w:rPr>
              <w:footnoteReference w:id="11"/>
            </w:r>
            <w:r w:rsidR="7E41F620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B</w:t>
            </w:r>
            <w:r w:rsidR="0064004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y </w:t>
            </w:r>
            <w:r w:rsidR="003558D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second quarter of </w:t>
            </w:r>
            <w:r w:rsidR="0064004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2025,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 Commission will</w:t>
            </w:r>
            <w:r w:rsidR="0064004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1A373F">
              <w:rPr>
                <w:rFonts w:ascii="Times New Roman" w:hAnsi="Times New Roman"/>
                <w:sz w:val="24"/>
                <w:szCs w:val="24"/>
                <w:lang w:val="en-IE"/>
              </w:rPr>
              <w:t>present</w:t>
            </w:r>
            <w:r w:rsidR="0064004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options on how to address the problem of carbon leakage for CBAM goods exported from the EU to third countries</w:t>
            </w:r>
            <w:r w:rsidR="0031675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followed by </w:t>
            </w:r>
            <w:r w:rsidR="0064004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 comprehensive review of </w:t>
            </w:r>
            <w:r w:rsidR="000D1051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CBAM by</w:t>
            </w:r>
            <w:r w:rsidR="0031675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3558D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the fourth quarter</w:t>
            </w:r>
            <w:r w:rsidR="0031675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3558D8" w:rsidRPr="001A373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of </w:t>
            </w:r>
            <w:r w:rsidR="0031675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2025</w:t>
            </w:r>
            <w:r w:rsidR="00640047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, accompanied by an anti-circumvention strategy</w:t>
            </w:r>
            <w:r w:rsidR="0031675B" w:rsidRPr="001A373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</w:tc>
      </w:tr>
    </w:tbl>
    <w:p w14:paraId="6AF07B14" w14:textId="26AEAB66" w:rsidR="004F6117" w:rsidRPr="001A373F" w:rsidRDefault="004F6117" w:rsidP="00670CD4">
      <w:pPr>
        <w:widowControl w:val="0"/>
        <w:spacing w:after="0" w:line="240" w:lineRule="auto"/>
        <w:ind w:left="-284"/>
        <w:jc w:val="both"/>
        <w:rPr>
          <w:rFonts w:ascii="Times New Roman" w:hAnsi="Times New Roman"/>
          <w:bCs/>
          <w:sz w:val="16"/>
          <w:szCs w:val="16"/>
        </w:rPr>
      </w:pPr>
    </w:p>
    <w:sectPr w:rsidR="004F6117" w:rsidRPr="001A373F" w:rsidSect="001A37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E969" w14:textId="77777777" w:rsidR="00DE0CC2" w:rsidRDefault="00DE0CC2" w:rsidP="00FF63EA">
      <w:pPr>
        <w:spacing w:after="0" w:line="240" w:lineRule="auto"/>
      </w:pPr>
      <w:r>
        <w:separator/>
      </w:r>
    </w:p>
  </w:endnote>
  <w:endnote w:type="continuationSeparator" w:id="0">
    <w:p w14:paraId="67A14286" w14:textId="77777777" w:rsidR="00DE0CC2" w:rsidRDefault="00DE0CC2" w:rsidP="00FF63EA">
      <w:pPr>
        <w:spacing w:after="0" w:line="240" w:lineRule="auto"/>
      </w:pPr>
      <w:r>
        <w:continuationSeparator/>
      </w:r>
    </w:p>
  </w:endnote>
  <w:endnote w:type="continuationNotice" w:id="1">
    <w:p w14:paraId="03EC9E88" w14:textId="77777777" w:rsidR="00DE0CC2" w:rsidRDefault="00DE0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9EB6" w14:textId="77777777" w:rsidR="000D1051" w:rsidRDefault="000D1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4BB5" w14:textId="08EB5C13" w:rsidR="000D1051" w:rsidRPr="001B0E27" w:rsidRDefault="000D1051" w:rsidP="001B0E27">
    <w:pPr>
      <w:pStyle w:val="Footer"/>
      <w:jc w:val="center"/>
      <w:rPr>
        <w:caps/>
        <w:noProof/>
        <w:color w:val="5B9BD5"/>
      </w:rPr>
    </w:pPr>
    <w:r w:rsidRPr="000D1051">
      <w:rPr>
        <w:caps/>
        <w:color w:val="5B9BD5"/>
      </w:rPr>
      <w:fldChar w:fldCharType="begin"/>
    </w:r>
    <w:r w:rsidRPr="000D1051">
      <w:rPr>
        <w:caps/>
        <w:color w:val="5B9BD5"/>
      </w:rPr>
      <w:instrText xml:space="preserve"> PAGE   \* MERGEFORMAT </w:instrText>
    </w:r>
    <w:r w:rsidRPr="000D1051">
      <w:rPr>
        <w:caps/>
        <w:color w:val="5B9BD5"/>
      </w:rPr>
      <w:fldChar w:fldCharType="separate"/>
    </w:r>
    <w:r w:rsidRPr="000D1051">
      <w:rPr>
        <w:caps/>
        <w:noProof/>
        <w:color w:val="5B9BD5"/>
      </w:rPr>
      <w:t>2</w:t>
    </w:r>
    <w:r w:rsidRPr="000D1051">
      <w:rPr>
        <w:caps/>
        <w:noProof/>
        <w:color w:val="5B9BD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1EB8" w14:textId="77777777" w:rsidR="000D1051" w:rsidRDefault="000D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21A0" w14:textId="77777777" w:rsidR="00DE0CC2" w:rsidRDefault="00DE0CC2" w:rsidP="00FF63EA">
      <w:pPr>
        <w:spacing w:after="0" w:line="240" w:lineRule="auto"/>
      </w:pPr>
      <w:r>
        <w:separator/>
      </w:r>
    </w:p>
  </w:footnote>
  <w:footnote w:type="continuationSeparator" w:id="0">
    <w:p w14:paraId="5B36D10E" w14:textId="77777777" w:rsidR="00DE0CC2" w:rsidRDefault="00DE0CC2" w:rsidP="00FF63EA">
      <w:pPr>
        <w:spacing w:after="0" w:line="240" w:lineRule="auto"/>
      </w:pPr>
      <w:r>
        <w:continuationSeparator/>
      </w:r>
    </w:p>
  </w:footnote>
  <w:footnote w:type="continuationNotice" w:id="1">
    <w:p w14:paraId="31A701CF" w14:textId="77777777" w:rsidR="00DE0CC2" w:rsidRDefault="00DE0CC2">
      <w:pPr>
        <w:spacing w:after="0" w:line="240" w:lineRule="auto"/>
      </w:pPr>
    </w:p>
  </w:footnote>
  <w:footnote w:id="2">
    <w:p w14:paraId="0469FB23" w14:textId="19EC7797" w:rsidR="00261D86" w:rsidRPr="001A373F" w:rsidRDefault="00261D86" w:rsidP="001A373F">
      <w:pPr>
        <w:pStyle w:val="FootnoteText"/>
        <w:widowControl w:val="0"/>
        <w:spacing w:after="0" w:line="240" w:lineRule="auto"/>
        <w:ind w:left="284" w:right="-284" w:hanging="284"/>
        <w:jc w:val="both"/>
        <w:rPr>
          <w:rFonts w:ascii="Times New Roman" w:hAnsi="Times New Roman"/>
          <w:lang w:val="pt-PT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ab/>
      </w:r>
      <w:proofErr w:type="gramStart"/>
      <w:r w:rsidRPr="001A373F">
        <w:rPr>
          <w:rFonts w:ascii="Times New Roman" w:hAnsi="Times New Roman"/>
          <w:lang w:val="pt-PT"/>
        </w:rPr>
        <w:t>COM(</w:t>
      </w:r>
      <w:proofErr w:type="gramEnd"/>
      <w:r w:rsidRPr="001A373F">
        <w:rPr>
          <w:rFonts w:ascii="Times New Roman" w:hAnsi="Times New Roman"/>
          <w:lang w:val="pt-PT"/>
        </w:rPr>
        <w:t>2025) 30</w:t>
      </w:r>
      <w:r w:rsidR="001B0E27" w:rsidRPr="001A373F">
        <w:rPr>
          <w:rFonts w:ascii="Times New Roman" w:hAnsi="Times New Roman"/>
          <w:lang w:val="pt-PT"/>
        </w:rPr>
        <w:t xml:space="preserve"> final</w:t>
      </w:r>
      <w:r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>(</w:t>
      </w:r>
      <w:hyperlink r:id="rId1" w:history="1">
        <w:r w:rsidR="001B0E27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https://eur-lex.europa.eu/legal-content/EN/TXT/?uri=CELEX:52025DC0030</w:t>
        </w:r>
      </w:hyperlink>
      <w:r w:rsidR="001B0E27" w:rsidRPr="001A373F">
        <w:rPr>
          <w:rFonts w:ascii="Times New Roman" w:hAnsi="Times New Roman"/>
          <w:lang w:val="pt-PT"/>
        </w:rPr>
        <w:t>)</w:t>
      </w:r>
      <w:r w:rsidRPr="001A373F">
        <w:rPr>
          <w:rFonts w:ascii="Times New Roman" w:hAnsi="Times New Roman"/>
          <w:lang w:val="pt-PT"/>
        </w:rPr>
        <w:t>.</w:t>
      </w:r>
    </w:p>
  </w:footnote>
  <w:footnote w:id="3">
    <w:p w14:paraId="22C79202" w14:textId="709D3700" w:rsidR="00105916" w:rsidRPr="001A373F" w:rsidRDefault="00105916" w:rsidP="001A373F">
      <w:pPr>
        <w:pStyle w:val="FootnoteText"/>
        <w:widowControl w:val="0"/>
        <w:spacing w:after="0" w:line="240" w:lineRule="auto"/>
        <w:ind w:left="284" w:right="-284" w:hanging="284"/>
        <w:jc w:val="both"/>
        <w:rPr>
          <w:rFonts w:ascii="Times New Roman" w:hAnsi="Times New Roman"/>
          <w:lang w:val="pt-PT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ab/>
      </w:r>
      <w:proofErr w:type="gramStart"/>
      <w:r w:rsidR="00B94E74" w:rsidRPr="001A373F">
        <w:rPr>
          <w:rFonts w:ascii="Times New Roman" w:hAnsi="Times New Roman"/>
          <w:lang w:val="pt-PT"/>
        </w:rPr>
        <w:t>COM(</w:t>
      </w:r>
      <w:proofErr w:type="gramEnd"/>
      <w:r w:rsidR="00B94E74" w:rsidRPr="001A373F">
        <w:rPr>
          <w:rFonts w:ascii="Times New Roman" w:hAnsi="Times New Roman"/>
          <w:lang w:val="pt-PT"/>
        </w:rPr>
        <w:t>2025) 85</w:t>
      </w:r>
      <w:r w:rsidR="001B0E27" w:rsidRPr="001A373F">
        <w:rPr>
          <w:rFonts w:ascii="Times New Roman" w:hAnsi="Times New Roman"/>
          <w:lang w:val="pt-PT"/>
        </w:rPr>
        <w:t xml:space="preserve"> final</w:t>
      </w:r>
      <w:r w:rsidR="00B94E74"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>(</w:t>
      </w:r>
      <w:hyperlink r:id="rId2" w:history="1">
        <w:r w:rsidR="001B0E27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https://eur-lex.europa.eu/legal-content/EN/TXT/?uri=celex:52025DC0085</w:t>
        </w:r>
      </w:hyperlink>
      <w:r w:rsidR="001B0E27" w:rsidRPr="001A373F">
        <w:rPr>
          <w:rFonts w:ascii="Times New Roman" w:hAnsi="Times New Roman"/>
          <w:lang w:val="pt-PT"/>
        </w:rPr>
        <w:t>)</w:t>
      </w:r>
      <w:r w:rsidR="006C2D49" w:rsidRPr="001A373F">
        <w:rPr>
          <w:rFonts w:ascii="Times New Roman" w:hAnsi="Times New Roman"/>
          <w:lang w:val="pt-PT"/>
        </w:rPr>
        <w:t>.</w:t>
      </w:r>
    </w:p>
  </w:footnote>
  <w:footnote w:id="4">
    <w:p w14:paraId="73021207" w14:textId="7568CF5F" w:rsidR="00E74257" w:rsidRPr="001A373F" w:rsidRDefault="00E74257" w:rsidP="001A373F">
      <w:pPr>
        <w:pStyle w:val="FootnoteText"/>
        <w:widowControl w:val="0"/>
        <w:spacing w:after="0" w:line="240" w:lineRule="auto"/>
        <w:ind w:left="284" w:right="-284" w:hanging="284"/>
        <w:jc w:val="both"/>
        <w:rPr>
          <w:rFonts w:ascii="Times New Roman" w:hAnsi="Times New Roman"/>
          <w:lang w:val="en-IE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en-IE"/>
        </w:rPr>
        <w:t xml:space="preserve"> </w:t>
      </w:r>
      <w:r w:rsidRPr="001A373F">
        <w:rPr>
          <w:rFonts w:ascii="Times New Roman" w:hAnsi="Times New Roman"/>
          <w:lang w:val="en-IE"/>
        </w:rPr>
        <w:tab/>
      </w:r>
      <w:hyperlink r:id="rId3" w:history="1">
        <w:r w:rsidRPr="001A373F">
          <w:rPr>
            <w:rStyle w:val="Hyperlink"/>
            <w:rFonts w:ascii="Times New Roman" w:hAnsi="Times New Roman"/>
          </w:rPr>
          <w:t>Union of skills - European Commission</w:t>
        </w:r>
      </w:hyperlink>
      <w:r w:rsidRPr="001A373F">
        <w:rPr>
          <w:rFonts w:ascii="Times New Roman" w:hAnsi="Times New Roman"/>
          <w:lang w:val="en-IE"/>
        </w:rPr>
        <w:t>.</w:t>
      </w:r>
    </w:p>
  </w:footnote>
  <w:footnote w:id="5">
    <w:p w14:paraId="5147CA96" w14:textId="77624748" w:rsidR="004E13F9" w:rsidRPr="001A373F" w:rsidRDefault="004E13F9" w:rsidP="001A373F">
      <w:pPr>
        <w:pStyle w:val="FootnoteText"/>
        <w:widowControl w:val="0"/>
        <w:spacing w:after="0" w:line="240" w:lineRule="auto"/>
        <w:ind w:left="284" w:right="-284" w:hanging="284"/>
        <w:jc w:val="both"/>
        <w:rPr>
          <w:rFonts w:ascii="Times New Roman" w:hAnsi="Times New Roman"/>
          <w:lang w:val="pt-PT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ab/>
      </w:r>
      <w:proofErr w:type="gramStart"/>
      <w:r w:rsidR="00006510" w:rsidRPr="001A373F">
        <w:rPr>
          <w:rFonts w:ascii="Times New Roman" w:hAnsi="Times New Roman"/>
          <w:lang w:val="pt-PT"/>
        </w:rPr>
        <w:t>COM</w:t>
      </w:r>
      <w:r w:rsidR="00207804" w:rsidRPr="001A373F">
        <w:rPr>
          <w:rFonts w:ascii="Times New Roman" w:hAnsi="Times New Roman"/>
          <w:lang w:val="pt-PT"/>
        </w:rPr>
        <w:t>(</w:t>
      </w:r>
      <w:proofErr w:type="gramEnd"/>
      <w:r w:rsidR="00006510" w:rsidRPr="001A373F">
        <w:rPr>
          <w:rFonts w:ascii="Times New Roman" w:hAnsi="Times New Roman"/>
          <w:lang w:val="pt-PT"/>
        </w:rPr>
        <w:t>2025</w:t>
      </w:r>
      <w:r w:rsidR="00207804" w:rsidRPr="001A373F">
        <w:rPr>
          <w:rFonts w:ascii="Times New Roman" w:hAnsi="Times New Roman"/>
          <w:lang w:val="pt-PT"/>
        </w:rPr>
        <w:t xml:space="preserve">) </w:t>
      </w:r>
      <w:r w:rsidR="00006510" w:rsidRPr="001A373F">
        <w:rPr>
          <w:rFonts w:ascii="Times New Roman" w:hAnsi="Times New Roman"/>
          <w:lang w:val="pt-PT"/>
        </w:rPr>
        <w:t>79</w:t>
      </w:r>
      <w:r w:rsidR="001B0E27" w:rsidRPr="001A373F">
        <w:rPr>
          <w:rFonts w:ascii="Times New Roman" w:hAnsi="Times New Roman"/>
          <w:lang w:val="pt-PT"/>
        </w:rPr>
        <w:t xml:space="preserve"> final</w:t>
      </w:r>
      <w:r w:rsidR="00006510"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>(</w:t>
      </w:r>
      <w:hyperlink r:id="rId4" w:history="1">
        <w:r w:rsidR="001B0E27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https://eur-lex.europa.eu/legal-content/EN/TXT/?uri=celex:52025DC0079</w:t>
        </w:r>
      </w:hyperlink>
      <w:r w:rsidR="001B0E27" w:rsidRPr="001A373F">
        <w:rPr>
          <w:rFonts w:ascii="Times New Roman" w:hAnsi="Times New Roman"/>
          <w:lang w:val="pt-PT"/>
        </w:rPr>
        <w:t>)</w:t>
      </w:r>
      <w:r w:rsidR="006C2D49" w:rsidRPr="001A373F">
        <w:rPr>
          <w:rFonts w:ascii="Times New Roman" w:hAnsi="Times New Roman"/>
          <w:lang w:val="pt-PT"/>
        </w:rPr>
        <w:t>.</w:t>
      </w:r>
    </w:p>
  </w:footnote>
  <w:footnote w:id="6">
    <w:p w14:paraId="6927E9F7" w14:textId="371C38D1" w:rsidR="002D42B7" w:rsidRPr="001A373F" w:rsidRDefault="002D42B7" w:rsidP="001A373F">
      <w:pPr>
        <w:pStyle w:val="FootnoteText"/>
        <w:widowControl w:val="0"/>
        <w:spacing w:after="0" w:line="240" w:lineRule="auto"/>
        <w:ind w:left="142" w:right="-143" w:hanging="284"/>
        <w:jc w:val="both"/>
        <w:rPr>
          <w:rFonts w:ascii="Times New Roman" w:hAnsi="Times New Roman"/>
          <w:lang w:val="en-IE"/>
        </w:rPr>
      </w:pPr>
      <w:r w:rsidRPr="00670CD4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en-IE"/>
        </w:rPr>
        <w:t xml:space="preserve"> </w:t>
      </w:r>
      <w:r w:rsidRPr="001A373F">
        <w:rPr>
          <w:rFonts w:ascii="Times New Roman" w:hAnsi="Times New Roman"/>
          <w:lang w:val="en-IE"/>
        </w:rPr>
        <w:tab/>
      </w:r>
      <w:hyperlink r:id="rId5" w:history="1">
        <w:r w:rsidRPr="00670CD4">
          <w:rPr>
            <w:rStyle w:val="Hyperlink"/>
            <w:rFonts w:ascii="Times New Roman" w:hAnsi="Times New Roman"/>
          </w:rPr>
          <w:t>Revision Energy Taxation Directive - European Commission</w:t>
        </w:r>
      </w:hyperlink>
      <w:r w:rsidRPr="001A373F">
        <w:rPr>
          <w:rFonts w:ascii="Times New Roman" w:hAnsi="Times New Roman"/>
          <w:lang w:val="en-IE"/>
        </w:rPr>
        <w:t>.</w:t>
      </w:r>
    </w:p>
  </w:footnote>
  <w:footnote w:id="7">
    <w:p w14:paraId="274267D1" w14:textId="4FFA826F" w:rsidR="00CD0B3D" w:rsidRPr="00670CD4" w:rsidRDefault="00CD0B3D" w:rsidP="001A373F">
      <w:pPr>
        <w:pStyle w:val="FootnoteText"/>
        <w:widowControl w:val="0"/>
        <w:spacing w:after="0" w:line="240" w:lineRule="auto"/>
        <w:ind w:left="142" w:right="-143" w:hanging="284"/>
        <w:jc w:val="both"/>
        <w:rPr>
          <w:rFonts w:ascii="Times New Roman" w:hAnsi="Times New Roman"/>
          <w:lang w:val="en-IE"/>
        </w:rPr>
      </w:pPr>
      <w:r w:rsidRPr="00670CD4">
        <w:rPr>
          <w:rStyle w:val="FootnoteReference"/>
          <w:rFonts w:ascii="Times New Roman" w:hAnsi="Times New Roman"/>
        </w:rPr>
        <w:footnoteRef/>
      </w:r>
      <w:r w:rsidRPr="00670CD4">
        <w:rPr>
          <w:rFonts w:ascii="Times New Roman" w:hAnsi="Times New Roman"/>
          <w:lang w:val="en-IE"/>
        </w:rPr>
        <w:t xml:space="preserve"> </w:t>
      </w:r>
      <w:r w:rsidRPr="00670CD4">
        <w:rPr>
          <w:rFonts w:ascii="Times New Roman" w:hAnsi="Times New Roman"/>
          <w:lang w:val="en-IE"/>
        </w:rPr>
        <w:tab/>
      </w:r>
      <w:r w:rsidRPr="00670CD4">
        <w:rPr>
          <w:rFonts w:ascii="Times New Roman" w:hAnsi="Times New Roman"/>
        </w:rPr>
        <w:t>Regulation (EU) 2024/1252 of the European Parliament and of the Council of 11 April 2024 establishing a framework for ensuring a secure and sustainable supply of critical raw materials and amending Regulations (EU) No 168/2013, (EU)</w:t>
      </w:r>
      <w:r w:rsidR="001A373F">
        <w:rPr>
          <w:rFonts w:ascii="Times New Roman" w:hAnsi="Times New Roman"/>
        </w:rPr>
        <w:t> </w:t>
      </w:r>
      <w:r w:rsidRPr="00670CD4">
        <w:rPr>
          <w:rFonts w:ascii="Times New Roman" w:hAnsi="Times New Roman"/>
        </w:rPr>
        <w:t>2018/858, (EU) 2018/1724 and (EU) 2019/1020 (</w:t>
      </w:r>
      <w:hyperlink r:id="rId6" w:tooltip="Gives access to this document through its ELI URI." w:history="1">
        <w:r w:rsidRPr="00670CD4">
          <w:rPr>
            <w:rStyle w:val="Hyperlink"/>
            <w:rFonts w:ascii="Times New Roman" w:hAnsi="Times New Roman"/>
          </w:rPr>
          <w:t>http://data.europa.eu/eli/reg/2024/1252/oj</w:t>
        </w:r>
      </w:hyperlink>
      <w:r w:rsidRPr="00670CD4">
        <w:rPr>
          <w:rFonts w:ascii="Times New Roman" w:hAnsi="Times New Roman"/>
        </w:rPr>
        <w:t>).</w:t>
      </w:r>
    </w:p>
  </w:footnote>
  <w:footnote w:id="8">
    <w:p w14:paraId="1AD15297" w14:textId="09E712BB" w:rsidR="00CD0B3D" w:rsidRPr="001A373F" w:rsidRDefault="00CD0B3D" w:rsidP="00D472C7">
      <w:pPr>
        <w:pStyle w:val="FootnoteText"/>
        <w:widowControl w:val="0"/>
        <w:spacing w:after="0" w:line="240" w:lineRule="auto"/>
        <w:ind w:left="284" w:right="-143" w:hanging="284"/>
        <w:jc w:val="both"/>
        <w:rPr>
          <w:rFonts w:ascii="Times New Roman" w:hAnsi="Times New Roman"/>
          <w:lang w:val="pt-PT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pt-PT"/>
        </w:rPr>
        <w:t xml:space="preserve"> </w:t>
      </w:r>
      <w:r w:rsidRPr="001A373F">
        <w:rPr>
          <w:rFonts w:ascii="Times New Roman" w:hAnsi="Times New Roman"/>
          <w:lang w:val="pt-PT"/>
        </w:rPr>
        <w:tab/>
      </w:r>
      <w:proofErr w:type="gramStart"/>
      <w:r w:rsidRPr="001A373F">
        <w:rPr>
          <w:rFonts w:ascii="Times New Roman" w:hAnsi="Times New Roman"/>
          <w:lang w:val="pt-PT"/>
        </w:rPr>
        <w:t>COM(</w:t>
      </w:r>
      <w:proofErr w:type="gramEnd"/>
      <w:r w:rsidRPr="001A373F">
        <w:rPr>
          <w:rFonts w:ascii="Times New Roman" w:hAnsi="Times New Roman"/>
          <w:lang w:val="pt-PT"/>
        </w:rPr>
        <w:t>2023) 161 final (</w:t>
      </w:r>
      <w:hyperlink r:id="rId7" w:history="1">
        <w:r w:rsidRPr="001A373F">
          <w:rPr>
            <w:rStyle w:val="Hyperlink"/>
            <w:rFonts w:ascii="Times New Roman" w:hAnsi="Times New Roman"/>
            <w:lang w:val="pt-PT"/>
          </w:rPr>
          <w:t>EUR-Lex - 52023PC0161 - EN - EUR-Lex</w:t>
        </w:r>
      </w:hyperlink>
      <w:r w:rsidRPr="001A373F">
        <w:rPr>
          <w:rFonts w:ascii="Times New Roman" w:hAnsi="Times New Roman"/>
          <w:lang w:val="pt-PT"/>
        </w:rPr>
        <w:t>).</w:t>
      </w:r>
    </w:p>
  </w:footnote>
  <w:footnote w:id="9">
    <w:p w14:paraId="1C94E6E8" w14:textId="3BA55A66" w:rsidR="00AD3448" w:rsidRPr="001A373F" w:rsidRDefault="00AD3448" w:rsidP="00D472C7">
      <w:pPr>
        <w:pStyle w:val="FootnoteText"/>
        <w:spacing w:after="0" w:line="240" w:lineRule="auto"/>
        <w:ind w:left="284" w:right="-143" w:hanging="284"/>
        <w:rPr>
          <w:rFonts w:ascii="Times New Roman" w:hAnsi="Times New Roman"/>
          <w:lang w:val="pt-PT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ab/>
      </w:r>
      <w:r w:rsidR="006C2D49" w:rsidRPr="001A373F">
        <w:rPr>
          <w:rFonts w:ascii="Times New Roman" w:hAnsi="Times New Roman"/>
          <w:lang w:val="pt-PT"/>
        </w:rPr>
        <w:t>COM(2025) 80</w:t>
      </w:r>
      <w:r w:rsidR="001B0E27" w:rsidRPr="001A373F">
        <w:rPr>
          <w:rFonts w:ascii="Times New Roman" w:hAnsi="Times New Roman"/>
          <w:lang w:val="pt-PT"/>
        </w:rPr>
        <w:t xml:space="preserve"> final</w:t>
      </w:r>
      <w:r w:rsidR="006C2D49"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>(</w:t>
      </w:r>
      <w:hyperlink r:id="rId8" w:history="1">
        <w:r w:rsidR="001B0E27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https://eur-lex.europa.eu/legal-content/EN/TXT/?uri=CELEX:52025PC0080</w:t>
        </w:r>
      </w:hyperlink>
      <w:r w:rsidR="001B0E27" w:rsidRPr="001A373F">
        <w:rPr>
          <w:rStyle w:val="Hyperlink"/>
          <w:rFonts w:ascii="Times New Roman" w:hAnsi="Times New Roman"/>
          <w:lang w:val="pt-PT"/>
        </w:rPr>
        <w:t>).</w:t>
      </w:r>
      <w:r w:rsidR="006C2D49" w:rsidRPr="001A373F">
        <w:rPr>
          <w:rFonts w:ascii="Times New Roman" w:hAnsi="Times New Roman"/>
          <w:lang w:val="pt-PT"/>
        </w:rPr>
        <w:br/>
        <w:t>COM(2025) 81</w:t>
      </w:r>
      <w:r w:rsidR="001B0E27" w:rsidRPr="001A373F">
        <w:rPr>
          <w:rFonts w:ascii="Times New Roman" w:hAnsi="Times New Roman"/>
          <w:lang w:val="pt-PT"/>
        </w:rPr>
        <w:t xml:space="preserve"> final</w:t>
      </w:r>
      <w:r w:rsidR="006C2D49"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>(</w:t>
      </w:r>
      <w:hyperlink r:id="rId9" w:history="1">
        <w:r w:rsidR="001B0E27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https://eur-lex.europa.eu/legal-content/EN/TXT/?uri=CELEX:52025PC008).1</w:t>
        </w:r>
      </w:hyperlink>
      <w:r w:rsidR="006C2D49" w:rsidRPr="001A373F">
        <w:rPr>
          <w:rFonts w:ascii="Times New Roman" w:hAnsi="Times New Roman"/>
          <w:lang w:val="pt-PT"/>
        </w:rPr>
        <w:br/>
        <w:t>COM(2025) 84</w:t>
      </w:r>
      <w:r w:rsidR="001B0E27" w:rsidRPr="001A373F">
        <w:rPr>
          <w:rFonts w:ascii="Times New Roman" w:hAnsi="Times New Roman"/>
          <w:lang w:val="pt-PT"/>
        </w:rPr>
        <w:t xml:space="preserve"> final</w:t>
      </w:r>
      <w:r w:rsidR="006C2D49"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>(</w:t>
      </w:r>
      <w:hyperlink r:id="rId10" w:history="1">
        <w:r w:rsidR="001B0E27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https://eur-lex.europa.eu/legal-content/EN/TXT/?uri=CELEX:52025PC0084</w:t>
        </w:r>
      </w:hyperlink>
      <w:r w:rsidR="001B0E27" w:rsidRPr="001A373F">
        <w:rPr>
          <w:rFonts w:ascii="Times New Roman" w:hAnsi="Times New Roman"/>
          <w:lang w:val="pt-PT"/>
        </w:rPr>
        <w:t xml:space="preserve">) </w:t>
      </w:r>
      <w:r w:rsidR="006C2D49" w:rsidRPr="001A373F">
        <w:rPr>
          <w:rFonts w:ascii="Times New Roman" w:hAnsi="Times New Roman"/>
          <w:lang w:val="pt-PT"/>
        </w:rPr>
        <w:t>.</w:t>
      </w:r>
    </w:p>
  </w:footnote>
  <w:footnote w:id="10">
    <w:p w14:paraId="77513ABE" w14:textId="1EB8B829" w:rsidR="00A208A4" w:rsidRPr="001A373F" w:rsidRDefault="00A208A4" w:rsidP="00D472C7">
      <w:pPr>
        <w:pStyle w:val="FootnoteText"/>
        <w:widowControl w:val="0"/>
        <w:spacing w:after="0" w:line="240" w:lineRule="auto"/>
        <w:ind w:left="284" w:right="-143" w:hanging="284"/>
        <w:jc w:val="both"/>
        <w:rPr>
          <w:rFonts w:ascii="Times New Roman" w:hAnsi="Times New Roman"/>
          <w:lang w:val="en-IE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en-IE"/>
        </w:rPr>
        <w:t xml:space="preserve"> </w:t>
      </w:r>
      <w:r w:rsidRPr="001A373F">
        <w:rPr>
          <w:rFonts w:ascii="Times New Roman" w:hAnsi="Times New Roman"/>
          <w:lang w:val="en-IE"/>
        </w:rPr>
        <w:tab/>
      </w:r>
      <w:r w:rsidRPr="001A373F">
        <w:rPr>
          <w:rFonts w:ascii="Times New Roman" w:hAnsi="Times New Roman"/>
        </w:rPr>
        <w:t>Directive (EU) 2022/2464 of the European Parliament and of the Council of 14 December 2022 amending Regulation (EU) No 537/2014, Directive 2004/109/EC, Directive 2006/43/EC and Directive 2013/34/EU, as regards corporate sustainability reporting (</w:t>
      </w:r>
      <w:hyperlink r:id="rId11" w:tooltip="Gives access to this document through its ELI URI." w:history="1">
        <w:r w:rsidRPr="001A373F">
          <w:rPr>
            <w:rStyle w:val="Hyperlink"/>
            <w:rFonts w:ascii="Times New Roman" w:hAnsi="Times New Roman"/>
          </w:rPr>
          <w:t>http://data.europa.eu/eli/dir/2022/2464/oj</w:t>
        </w:r>
      </w:hyperlink>
      <w:r w:rsidRPr="001A373F">
        <w:rPr>
          <w:rFonts w:ascii="Times New Roman" w:hAnsi="Times New Roman"/>
        </w:rPr>
        <w:t>).</w:t>
      </w:r>
    </w:p>
  </w:footnote>
  <w:footnote w:id="11">
    <w:p w14:paraId="1F904FB9" w14:textId="22DC94AA" w:rsidR="00994DBB" w:rsidRPr="001A373F" w:rsidRDefault="0092296D" w:rsidP="00D472C7">
      <w:pPr>
        <w:pStyle w:val="FootnoteText"/>
        <w:spacing w:after="0" w:line="240" w:lineRule="auto"/>
        <w:ind w:left="284" w:right="-143" w:hanging="284"/>
        <w:rPr>
          <w:rFonts w:ascii="Times New Roman" w:hAnsi="Times New Roman"/>
          <w:lang w:val="pt-PT"/>
        </w:rPr>
      </w:pPr>
      <w:r w:rsidRPr="001A373F">
        <w:rPr>
          <w:rStyle w:val="FootnoteReference"/>
          <w:rFonts w:ascii="Times New Roman" w:hAnsi="Times New Roman"/>
        </w:rPr>
        <w:footnoteRef/>
      </w:r>
      <w:r w:rsidRPr="001A373F">
        <w:rPr>
          <w:rFonts w:ascii="Times New Roman" w:hAnsi="Times New Roman"/>
          <w:lang w:val="pt-PT"/>
        </w:rPr>
        <w:t xml:space="preserve"> </w:t>
      </w:r>
      <w:r w:rsidR="001B0E27" w:rsidRPr="001A373F">
        <w:rPr>
          <w:rFonts w:ascii="Times New Roman" w:hAnsi="Times New Roman"/>
          <w:lang w:val="pt-PT"/>
        </w:rPr>
        <w:tab/>
      </w:r>
      <w:proofErr w:type="gramStart"/>
      <w:r w:rsidR="00297FFB" w:rsidRPr="001A373F">
        <w:rPr>
          <w:rFonts w:ascii="Times New Roman" w:hAnsi="Times New Roman"/>
          <w:lang w:val="pt-PT"/>
        </w:rPr>
        <w:t>COM(</w:t>
      </w:r>
      <w:proofErr w:type="gramEnd"/>
      <w:r w:rsidR="00297FFB" w:rsidRPr="001A373F">
        <w:rPr>
          <w:rFonts w:ascii="Times New Roman" w:hAnsi="Times New Roman"/>
          <w:lang w:val="pt-PT"/>
        </w:rPr>
        <w:t>2025) 87</w:t>
      </w:r>
      <w:r w:rsidR="001B0E27" w:rsidRPr="001A373F">
        <w:rPr>
          <w:rFonts w:ascii="Times New Roman" w:hAnsi="Times New Roman"/>
          <w:lang w:val="pt-PT"/>
        </w:rPr>
        <w:t xml:space="preserve"> final(</w:t>
      </w:r>
      <w:r w:rsidR="00297FFB" w:rsidRPr="001A373F">
        <w:rPr>
          <w:rFonts w:ascii="Times New Roman" w:hAnsi="Times New Roman"/>
          <w:lang w:val="pt-PT"/>
        </w:rPr>
        <w:t xml:space="preserve"> </w:t>
      </w:r>
      <w:hyperlink r:id="rId12" w:history="1">
        <w:r w:rsidR="00297FFB" w:rsidRPr="001A373F">
          <w:rPr>
            <w:rStyle w:val="Hyperlink"/>
            <w:rFonts w:ascii="Times New Roman" w:hAnsi="Times New Roman"/>
            <w:lang w:val="pt-PT"/>
          </w:rPr>
          <w:t>https://eur-lex.europa.eu/legal-content/EN/TXT/?uri=celex:52025PC0087</w:t>
        </w:r>
      </w:hyperlink>
      <w:r w:rsidR="001B0E27" w:rsidRPr="001A373F">
        <w:rPr>
          <w:rStyle w:val="Hyperlink"/>
          <w:rFonts w:ascii="Times New Roman" w:hAnsi="Times New Roman"/>
          <w:lang w:val="pt-PT"/>
        </w:rPr>
        <w:t>)</w:t>
      </w:r>
      <w:r w:rsidR="00297FFB" w:rsidRPr="001A373F">
        <w:rPr>
          <w:rFonts w:ascii="Times New Roman" w:hAnsi="Times New Roman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A989" w14:textId="77777777" w:rsidR="000D1051" w:rsidRDefault="000D1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A9F" w14:textId="77777777" w:rsidR="000D1051" w:rsidRDefault="000D1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1749" w14:textId="77777777" w:rsidR="000D1051" w:rsidRDefault="000D1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626"/>
    <w:multiLevelType w:val="hybridMultilevel"/>
    <w:tmpl w:val="99CCA834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F0E4EA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AF84FF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F258"/>
    <w:multiLevelType w:val="hybridMultilevel"/>
    <w:tmpl w:val="FFFFFFFF"/>
    <w:lvl w:ilvl="0" w:tplc="32567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00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82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6F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AB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81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0F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0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41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CBD8"/>
    <w:multiLevelType w:val="hybridMultilevel"/>
    <w:tmpl w:val="FFFFFFFF"/>
    <w:lvl w:ilvl="0" w:tplc="0E7C2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FC4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A0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C8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63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2D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EB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2A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22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A3336"/>
    <w:multiLevelType w:val="hybridMultilevel"/>
    <w:tmpl w:val="F0A827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7EA18E"/>
    <w:multiLevelType w:val="hybridMultilevel"/>
    <w:tmpl w:val="FFFFFFFF"/>
    <w:lvl w:ilvl="0" w:tplc="85FA6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0ED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62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4C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EF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4E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B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A9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2014">
    <w:abstractNumId w:val="3"/>
  </w:num>
  <w:num w:numId="2" w16cid:durableId="1883441528">
    <w:abstractNumId w:val="0"/>
  </w:num>
  <w:num w:numId="3" w16cid:durableId="38941301">
    <w:abstractNumId w:val="1"/>
  </w:num>
  <w:num w:numId="4" w16cid:durableId="1544560746">
    <w:abstractNumId w:val="4"/>
  </w:num>
  <w:num w:numId="5" w16cid:durableId="18521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6510"/>
    <w:rsid w:val="00007002"/>
    <w:rsid w:val="00012A37"/>
    <w:rsid w:val="000167E9"/>
    <w:rsid w:val="000267A4"/>
    <w:rsid w:val="00030C86"/>
    <w:rsid w:val="0003246C"/>
    <w:rsid w:val="00040221"/>
    <w:rsid w:val="000462EA"/>
    <w:rsid w:val="00046B15"/>
    <w:rsid w:val="00050DC7"/>
    <w:rsid w:val="00061DED"/>
    <w:rsid w:val="00061E0C"/>
    <w:rsid w:val="0006636F"/>
    <w:rsid w:val="000677F8"/>
    <w:rsid w:val="00073626"/>
    <w:rsid w:val="00075931"/>
    <w:rsid w:val="00075AC7"/>
    <w:rsid w:val="00076109"/>
    <w:rsid w:val="00077C4F"/>
    <w:rsid w:val="0008368F"/>
    <w:rsid w:val="000869EE"/>
    <w:rsid w:val="00086C16"/>
    <w:rsid w:val="000A5048"/>
    <w:rsid w:val="000C26D4"/>
    <w:rsid w:val="000D1051"/>
    <w:rsid w:val="000D3AB2"/>
    <w:rsid w:val="000D51DF"/>
    <w:rsid w:val="000E0320"/>
    <w:rsid w:val="000E61AA"/>
    <w:rsid w:val="000F5FD8"/>
    <w:rsid w:val="00100FC5"/>
    <w:rsid w:val="00105916"/>
    <w:rsid w:val="00111D5A"/>
    <w:rsid w:val="00115C09"/>
    <w:rsid w:val="001167C0"/>
    <w:rsid w:val="00120D42"/>
    <w:rsid w:val="00125DFA"/>
    <w:rsid w:val="001278D7"/>
    <w:rsid w:val="00134330"/>
    <w:rsid w:val="00135C2A"/>
    <w:rsid w:val="00136604"/>
    <w:rsid w:val="00161C6D"/>
    <w:rsid w:val="0016293A"/>
    <w:rsid w:val="00163012"/>
    <w:rsid w:val="00180223"/>
    <w:rsid w:val="00190199"/>
    <w:rsid w:val="00190F30"/>
    <w:rsid w:val="001A373F"/>
    <w:rsid w:val="001A3A8B"/>
    <w:rsid w:val="001A59F9"/>
    <w:rsid w:val="001A5AFE"/>
    <w:rsid w:val="001B0E0B"/>
    <w:rsid w:val="001B0E27"/>
    <w:rsid w:val="001B53B6"/>
    <w:rsid w:val="001B6A3F"/>
    <w:rsid w:val="001B76FE"/>
    <w:rsid w:val="001C0DCE"/>
    <w:rsid w:val="001C4138"/>
    <w:rsid w:val="001C7BD6"/>
    <w:rsid w:val="001E6D0A"/>
    <w:rsid w:val="001F2DD0"/>
    <w:rsid w:val="001F2EC6"/>
    <w:rsid w:val="001F65D0"/>
    <w:rsid w:val="001F7377"/>
    <w:rsid w:val="0020351D"/>
    <w:rsid w:val="0020490C"/>
    <w:rsid w:val="00207804"/>
    <w:rsid w:val="0020D6DD"/>
    <w:rsid w:val="002119C4"/>
    <w:rsid w:val="00211E2D"/>
    <w:rsid w:val="002120E1"/>
    <w:rsid w:val="00217543"/>
    <w:rsid w:val="00217E59"/>
    <w:rsid w:val="00221C74"/>
    <w:rsid w:val="002245AF"/>
    <w:rsid w:val="00236AC5"/>
    <w:rsid w:val="0025277A"/>
    <w:rsid w:val="002556C1"/>
    <w:rsid w:val="0025639C"/>
    <w:rsid w:val="00261D86"/>
    <w:rsid w:val="00263355"/>
    <w:rsid w:val="00270811"/>
    <w:rsid w:val="002941A9"/>
    <w:rsid w:val="0029564A"/>
    <w:rsid w:val="002968B0"/>
    <w:rsid w:val="00297FFB"/>
    <w:rsid w:val="002A5150"/>
    <w:rsid w:val="002C0C3C"/>
    <w:rsid w:val="002C1D30"/>
    <w:rsid w:val="002C297E"/>
    <w:rsid w:val="002C481C"/>
    <w:rsid w:val="002C6FAE"/>
    <w:rsid w:val="002D42B7"/>
    <w:rsid w:val="002D4675"/>
    <w:rsid w:val="002D4F33"/>
    <w:rsid w:val="002D5387"/>
    <w:rsid w:val="002D71F1"/>
    <w:rsid w:val="002E414F"/>
    <w:rsid w:val="002F03FA"/>
    <w:rsid w:val="002F3E00"/>
    <w:rsid w:val="003004D2"/>
    <w:rsid w:val="00300A74"/>
    <w:rsid w:val="00311E63"/>
    <w:rsid w:val="00312528"/>
    <w:rsid w:val="0031675B"/>
    <w:rsid w:val="0032051A"/>
    <w:rsid w:val="00332C18"/>
    <w:rsid w:val="003332BD"/>
    <w:rsid w:val="003349A3"/>
    <w:rsid w:val="00337DF8"/>
    <w:rsid w:val="00340EA9"/>
    <w:rsid w:val="00343EE6"/>
    <w:rsid w:val="00353B5B"/>
    <w:rsid w:val="003558D8"/>
    <w:rsid w:val="00357B36"/>
    <w:rsid w:val="00360968"/>
    <w:rsid w:val="00360F15"/>
    <w:rsid w:val="0037461E"/>
    <w:rsid w:val="00377967"/>
    <w:rsid w:val="00381F79"/>
    <w:rsid w:val="00386143"/>
    <w:rsid w:val="00387F6C"/>
    <w:rsid w:val="00391801"/>
    <w:rsid w:val="003943CA"/>
    <w:rsid w:val="003A2DC9"/>
    <w:rsid w:val="003B4FC5"/>
    <w:rsid w:val="003B58DC"/>
    <w:rsid w:val="003C3086"/>
    <w:rsid w:val="003C7095"/>
    <w:rsid w:val="003D0884"/>
    <w:rsid w:val="003F686E"/>
    <w:rsid w:val="00407224"/>
    <w:rsid w:val="0041312F"/>
    <w:rsid w:val="0041590F"/>
    <w:rsid w:val="00421BB2"/>
    <w:rsid w:val="004275C2"/>
    <w:rsid w:val="00441C78"/>
    <w:rsid w:val="004422A1"/>
    <w:rsid w:val="00442552"/>
    <w:rsid w:val="0044378E"/>
    <w:rsid w:val="00443F1C"/>
    <w:rsid w:val="0045340C"/>
    <w:rsid w:val="00455A1C"/>
    <w:rsid w:val="004675B5"/>
    <w:rsid w:val="00472526"/>
    <w:rsid w:val="00472846"/>
    <w:rsid w:val="004770D6"/>
    <w:rsid w:val="00480AE6"/>
    <w:rsid w:val="00481224"/>
    <w:rsid w:val="00485D1D"/>
    <w:rsid w:val="0049246C"/>
    <w:rsid w:val="00493947"/>
    <w:rsid w:val="004A224A"/>
    <w:rsid w:val="004B23B6"/>
    <w:rsid w:val="004C0F0C"/>
    <w:rsid w:val="004C4A3C"/>
    <w:rsid w:val="004D6102"/>
    <w:rsid w:val="004D7C38"/>
    <w:rsid w:val="004E1389"/>
    <w:rsid w:val="004E13F9"/>
    <w:rsid w:val="004E1440"/>
    <w:rsid w:val="004F5115"/>
    <w:rsid w:val="004F6117"/>
    <w:rsid w:val="004F63F1"/>
    <w:rsid w:val="004F651E"/>
    <w:rsid w:val="004F7804"/>
    <w:rsid w:val="0051416B"/>
    <w:rsid w:val="0052596B"/>
    <w:rsid w:val="00530D88"/>
    <w:rsid w:val="005367EF"/>
    <w:rsid w:val="005547C8"/>
    <w:rsid w:val="00554D8D"/>
    <w:rsid w:val="00556BE0"/>
    <w:rsid w:val="005618AB"/>
    <w:rsid w:val="00571CA6"/>
    <w:rsid w:val="00571CFE"/>
    <w:rsid w:val="00573835"/>
    <w:rsid w:val="00573FBD"/>
    <w:rsid w:val="00580694"/>
    <w:rsid w:val="00581306"/>
    <w:rsid w:val="00581716"/>
    <w:rsid w:val="00584044"/>
    <w:rsid w:val="005864B1"/>
    <w:rsid w:val="005961FA"/>
    <w:rsid w:val="005A0F00"/>
    <w:rsid w:val="005C1738"/>
    <w:rsid w:val="005C3105"/>
    <w:rsid w:val="005D02BC"/>
    <w:rsid w:val="005D74A8"/>
    <w:rsid w:val="005E6349"/>
    <w:rsid w:val="005F21AB"/>
    <w:rsid w:val="006119A4"/>
    <w:rsid w:val="00622FC2"/>
    <w:rsid w:val="00625448"/>
    <w:rsid w:val="00630537"/>
    <w:rsid w:val="006346B3"/>
    <w:rsid w:val="00634BB2"/>
    <w:rsid w:val="00640047"/>
    <w:rsid w:val="00643532"/>
    <w:rsid w:val="006511D7"/>
    <w:rsid w:val="0065631F"/>
    <w:rsid w:val="0065BEDF"/>
    <w:rsid w:val="006602E9"/>
    <w:rsid w:val="006604A2"/>
    <w:rsid w:val="00666C42"/>
    <w:rsid w:val="00670CD4"/>
    <w:rsid w:val="00670E91"/>
    <w:rsid w:val="0068209F"/>
    <w:rsid w:val="00691BED"/>
    <w:rsid w:val="00692C2F"/>
    <w:rsid w:val="00695797"/>
    <w:rsid w:val="00696A5E"/>
    <w:rsid w:val="006A3B3B"/>
    <w:rsid w:val="006B3B69"/>
    <w:rsid w:val="006B6310"/>
    <w:rsid w:val="006C23D1"/>
    <w:rsid w:val="006C2D49"/>
    <w:rsid w:val="006C5981"/>
    <w:rsid w:val="006D01E2"/>
    <w:rsid w:val="006D5875"/>
    <w:rsid w:val="006D65A1"/>
    <w:rsid w:val="006F0B73"/>
    <w:rsid w:val="006F7006"/>
    <w:rsid w:val="006F7055"/>
    <w:rsid w:val="006F71AB"/>
    <w:rsid w:val="00700441"/>
    <w:rsid w:val="007046B0"/>
    <w:rsid w:val="007053F8"/>
    <w:rsid w:val="00706DE4"/>
    <w:rsid w:val="00723634"/>
    <w:rsid w:val="00724E56"/>
    <w:rsid w:val="007269E4"/>
    <w:rsid w:val="007338BA"/>
    <w:rsid w:val="00734613"/>
    <w:rsid w:val="00734D3E"/>
    <w:rsid w:val="007410E2"/>
    <w:rsid w:val="00747850"/>
    <w:rsid w:val="00751910"/>
    <w:rsid w:val="00751D7D"/>
    <w:rsid w:val="00751E60"/>
    <w:rsid w:val="007547B5"/>
    <w:rsid w:val="00755769"/>
    <w:rsid w:val="007606FE"/>
    <w:rsid w:val="00762C6D"/>
    <w:rsid w:val="00771CB6"/>
    <w:rsid w:val="00772DF1"/>
    <w:rsid w:val="00773A04"/>
    <w:rsid w:val="00790151"/>
    <w:rsid w:val="007913BF"/>
    <w:rsid w:val="00795A9E"/>
    <w:rsid w:val="007A5C1B"/>
    <w:rsid w:val="007A606D"/>
    <w:rsid w:val="007B01DC"/>
    <w:rsid w:val="007B520C"/>
    <w:rsid w:val="007C2214"/>
    <w:rsid w:val="007C4ED2"/>
    <w:rsid w:val="007D250A"/>
    <w:rsid w:val="007D4E3B"/>
    <w:rsid w:val="007E2F7C"/>
    <w:rsid w:val="007E587D"/>
    <w:rsid w:val="00807B48"/>
    <w:rsid w:val="008135CA"/>
    <w:rsid w:val="008140C7"/>
    <w:rsid w:val="00815448"/>
    <w:rsid w:val="0081584F"/>
    <w:rsid w:val="00821CDF"/>
    <w:rsid w:val="0082430B"/>
    <w:rsid w:val="00826E84"/>
    <w:rsid w:val="008317B6"/>
    <w:rsid w:val="00837385"/>
    <w:rsid w:val="008402ED"/>
    <w:rsid w:val="00850DF5"/>
    <w:rsid w:val="008554A9"/>
    <w:rsid w:val="00863559"/>
    <w:rsid w:val="00865ED4"/>
    <w:rsid w:val="008703BF"/>
    <w:rsid w:val="00876B80"/>
    <w:rsid w:val="008925CE"/>
    <w:rsid w:val="008A6ED0"/>
    <w:rsid w:val="008B2AC1"/>
    <w:rsid w:val="008B3E79"/>
    <w:rsid w:val="008C4D41"/>
    <w:rsid w:val="008D4562"/>
    <w:rsid w:val="008E5CEB"/>
    <w:rsid w:val="0090496B"/>
    <w:rsid w:val="0090579C"/>
    <w:rsid w:val="00911E3E"/>
    <w:rsid w:val="009126A0"/>
    <w:rsid w:val="0091448F"/>
    <w:rsid w:val="00921AA5"/>
    <w:rsid w:val="009224AC"/>
    <w:rsid w:val="0092296D"/>
    <w:rsid w:val="00925FFD"/>
    <w:rsid w:val="00927EC8"/>
    <w:rsid w:val="00941D10"/>
    <w:rsid w:val="009504C1"/>
    <w:rsid w:val="0095114E"/>
    <w:rsid w:val="00956515"/>
    <w:rsid w:val="009602D3"/>
    <w:rsid w:val="009635BB"/>
    <w:rsid w:val="00966E31"/>
    <w:rsid w:val="00967A18"/>
    <w:rsid w:val="00977207"/>
    <w:rsid w:val="00981F45"/>
    <w:rsid w:val="00985C04"/>
    <w:rsid w:val="009917FE"/>
    <w:rsid w:val="00994D12"/>
    <w:rsid w:val="00994DBB"/>
    <w:rsid w:val="009974BB"/>
    <w:rsid w:val="009A4DEA"/>
    <w:rsid w:val="009A5D35"/>
    <w:rsid w:val="009A6160"/>
    <w:rsid w:val="009A6889"/>
    <w:rsid w:val="009A6B0E"/>
    <w:rsid w:val="009B128B"/>
    <w:rsid w:val="009B6101"/>
    <w:rsid w:val="009D7065"/>
    <w:rsid w:val="009D7E59"/>
    <w:rsid w:val="009E3A4A"/>
    <w:rsid w:val="00A13F28"/>
    <w:rsid w:val="00A16F07"/>
    <w:rsid w:val="00A17D54"/>
    <w:rsid w:val="00A208A4"/>
    <w:rsid w:val="00A23A3C"/>
    <w:rsid w:val="00A27678"/>
    <w:rsid w:val="00A27A6E"/>
    <w:rsid w:val="00A36212"/>
    <w:rsid w:val="00A569C1"/>
    <w:rsid w:val="00A62C7B"/>
    <w:rsid w:val="00A67329"/>
    <w:rsid w:val="00A752EC"/>
    <w:rsid w:val="00A7709A"/>
    <w:rsid w:val="00A90979"/>
    <w:rsid w:val="00A90A9E"/>
    <w:rsid w:val="00A948AA"/>
    <w:rsid w:val="00AA6862"/>
    <w:rsid w:val="00AA6A32"/>
    <w:rsid w:val="00AC5B60"/>
    <w:rsid w:val="00AD3448"/>
    <w:rsid w:val="00AD6693"/>
    <w:rsid w:val="00AE1842"/>
    <w:rsid w:val="00AE361C"/>
    <w:rsid w:val="00AE3C7C"/>
    <w:rsid w:val="00AE57DB"/>
    <w:rsid w:val="00B07F2C"/>
    <w:rsid w:val="00B1171D"/>
    <w:rsid w:val="00B1219E"/>
    <w:rsid w:val="00B20930"/>
    <w:rsid w:val="00B26542"/>
    <w:rsid w:val="00B31306"/>
    <w:rsid w:val="00B3556A"/>
    <w:rsid w:val="00B362BB"/>
    <w:rsid w:val="00B42386"/>
    <w:rsid w:val="00B4243C"/>
    <w:rsid w:val="00B42814"/>
    <w:rsid w:val="00B44BDC"/>
    <w:rsid w:val="00B46A07"/>
    <w:rsid w:val="00B60300"/>
    <w:rsid w:val="00B639E7"/>
    <w:rsid w:val="00B70EA9"/>
    <w:rsid w:val="00B71710"/>
    <w:rsid w:val="00B72449"/>
    <w:rsid w:val="00B72EE8"/>
    <w:rsid w:val="00B754CD"/>
    <w:rsid w:val="00B75813"/>
    <w:rsid w:val="00B83936"/>
    <w:rsid w:val="00B94E74"/>
    <w:rsid w:val="00BB3D97"/>
    <w:rsid w:val="00BB6601"/>
    <w:rsid w:val="00BD6EB7"/>
    <w:rsid w:val="00BE3F51"/>
    <w:rsid w:val="00BE663C"/>
    <w:rsid w:val="00BF1032"/>
    <w:rsid w:val="00BF6E2D"/>
    <w:rsid w:val="00C00D68"/>
    <w:rsid w:val="00C06C1D"/>
    <w:rsid w:val="00C11085"/>
    <w:rsid w:val="00C152C1"/>
    <w:rsid w:val="00C1660D"/>
    <w:rsid w:val="00C36DCB"/>
    <w:rsid w:val="00C54D27"/>
    <w:rsid w:val="00C567ED"/>
    <w:rsid w:val="00C61CC5"/>
    <w:rsid w:val="00C6269D"/>
    <w:rsid w:val="00C63AAC"/>
    <w:rsid w:val="00C76EEB"/>
    <w:rsid w:val="00C81546"/>
    <w:rsid w:val="00C81E14"/>
    <w:rsid w:val="00C925AA"/>
    <w:rsid w:val="00C96887"/>
    <w:rsid w:val="00CA0E46"/>
    <w:rsid w:val="00CB0BE7"/>
    <w:rsid w:val="00CB1336"/>
    <w:rsid w:val="00CD0B3D"/>
    <w:rsid w:val="00CE2056"/>
    <w:rsid w:val="00CE5EBC"/>
    <w:rsid w:val="00CF27AD"/>
    <w:rsid w:val="00CF2D58"/>
    <w:rsid w:val="00CF3AF9"/>
    <w:rsid w:val="00D01F5A"/>
    <w:rsid w:val="00D11A9A"/>
    <w:rsid w:val="00D11C0A"/>
    <w:rsid w:val="00D1716E"/>
    <w:rsid w:val="00D34596"/>
    <w:rsid w:val="00D42DB4"/>
    <w:rsid w:val="00D472C7"/>
    <w:rsid w:val="00D47FF2"/>
    <w:rsid w:val="00D51E5C"/>
    <w:rsid w:val="00D5260E"/>
    <w:rsid w:val="00D5635B"/>
    <w:rsid w:val="00D57510"/>
    <w:rsid w:val="00D60A51"/>
    <w:rsid w:val="00D62833"/>
    <w:rsid w:val="00D62B7C"/>
    <w:rsid w:val="00D64E05"/>
    <w:rsid w:val="00D65AD2"/>
    <w:rsid w:val="00D66DE8"/>
    <w:rsid w:val="00D702F5"/>
    <w:rsid w:val="00D70ED3"/>
    <w:rsid w:val="00D71521"/>
    <w:rsid w:val="00D7262C"/>
    <w:rsid w:val="00D755A1"/>
    <w:rsid w:val="00D757E0"/>
    <w:rsid w:val="00D80070"/>
    <w:rsid w:val="00D90847"/>
    <w:rsid w:val="00D92D65"/>
    <w:rsid w:val="00D92FD3"/>
    <w:rsid w:val="00D964AE"/>
    <w:rsid w:val="00DA01EE"/>
    <w:rsid w:val="00DA224C"/>
    <w:rsid w:val="00DA3B6E"/>
    <w:rsid w:val="00DA410A"/>
    <w:rsid w:val="00DB67DF"/>
    <w:rsid w:val="00DB7581"/>
    <w:rsid w:val="00DB7691"/>
    <w:rsid w:val="00DC70C1"/>
    <w:rsid w:val="00DD7AA3"/>
    <w:rsid w:val="00DD7B15"/>
    <w:rsid w:val="00DE0CC2"/>
    <w:rsid w:val="00DF0260"/>
    <w:rsid w:val="00DF13BB"/>
    <w:rsid w:val="00DF7F4C"/>
    <w:rsid w:val="00E00AD5"/>
    <w:rsid w:val="00E019B6"/>
    <w:rsid w:val="00E039A8"/>
    <w:rsid w:val="00E14B90"/>
    <w:rsid w:val="00E161F4"/>
    <w:rsid w:val="00E17572"/>
    <w:rsid w:val="00E27032"/>
    <w:rsid w:val="00E35A1F"/>
    <w:rsid w:val="00E373EA"/>
    <w:rsid w:val="00E44BB5"/>
    <w:rsid w:val="00E51BAE"/>
    <w:rsid w:val="00E62BE2"/>
    <w:rsid w:val="00E64FF5"/>
    <w:rsid w:val="00E72E4B"/>
    <w:rsid w:val="00E74257"/>
    <w:rsid w:val="00E80BFB"/>
    <w:rsid w:val="00E81386"/>
    <w:rsid w:val="00E83C12"/>
    <w:rsid w:val="00E904C8"/>
    <w:rsid w:val="00E91CA0"/>
    <w:rsid w:val="00EA1BBF"/>
    <w:rsid w:val="00EB29A9"/>
    <w:rsid w:val="00EB377F"/>
    <w:rsid w:val="00EB77D2"/>
    <w:rsid w:val="00EC2A65"/>
    <w:rsid w:val="00ED1BC4"/>
    <w:rsid w:val="00ED5F6A"/>
    <w:rsid w:val="00ED6F46"/>
    <w:rsid w:val="00EE24FA"/>
    <w:rsid w:val="00EF38FF"/>
    <w:rsid w:val="00EF6304"/>
    <w:rsid w:val="00F23D12"/>
    <w:rsid w:val="00F316C8"/>
    <w:rsid w:val="00F341FA"/>
    <w:rsid w:val="00F36589"/>
    <w:rsid w:val="00F43DA0"/>
    <w:rsid w:val="00F548D5"/>
    <w:rsid w:val="00F60B60"/>
    <w:rsid w:val="00F62490"/>
    <w:rsid w:val="00F632DE"/>
    <w:rsid w:val="00F735E4"/>
    <w:rsid w:val="00F8528D"/>
    <w:rsid w:val="00FA059C"/>
    <w:rsid w:val="00FA073B"/>
    <w:rsid w:val="00FB26CA"/>
    <w:rsid w:val="00FB7834"/>
    <w:rsid w:val="00FD22D4"/>
    <w:rsid w:val="00FD4B6A"/>
    <w:rsid w:val="00FF03A8"/>
    <w:rsid w:val="00FF0B5D"/>
    <w:rsid w:val="00FF34A6"/>
    <w:rsid w:val="00FF63EA"/>
    <w:rsid w:val="00FF69CB"/>
    <w:rsid w:val="0265288A"/>
    <w:rsid w:val="02BB4153"/>
    <w:rsid w:val="030192F6"/>
    <w:rsid w:val="0317CE52"/>
    <w:rsid w:val="04B0D13B"/>
    <w:rsid w:val="052F50CB"/>
    <w:rsid w:val="061A2F27"/>
    <w:rsid w:val="06401763"/>
    <w:rsid w:val="0690F55D"/>
    <w:rsid w:val="07AA7A00"/>
    <w:rsid w:val="07BD963C"/>
    <w:rsid w:val="08CBDEA6"/>
    <w:rsid w:val="09B6A8F5"/>
    <w:rsid w:val="0A3A88D4"/>
    <w:rsid w:val="0D4A96F2"/>
    <w:rsid w:val="0DCE8F91"/>
    <w:rsid w:val="0E58A7A6"/>
    <w:rsid w:val="0E748EA8"/>
    <w:rsid w:val="0EA82646"/>
    <w:rsid w:val="0F6BE0F4"/>
    <w:rsid w:val="105BD2D2"/>
    <w:rsid w:val="107BC6CD"/>
    <w:rsid w:val="12C03C42"/>
    <w:rsid w:val="12C132E4"/>
    <w:rsid w:val="133FDF1B"/>
    <w:rsid w:val="13BFF099"/>
    <w:rsid w:val="1429B16F"/>
    <w:rsid w:val="1665D94C"/>
    <w:rsid w:val="16D4C258"/>
    <w:rsid w:val="16FF28EB"/>
    <w:rsid w:val="18844F1C"/>
    <w:rsid w:val="18C5B00B"/>
    <w:rsid w:val="1C35929E"/>
    <w:rsid w:val="1C725D48"/>
    <w:rsid w:val="1C7DF01E"/>
    <w:rsid w:val="1CC7B70E"/>
    <w:rsid w:val="1D8C43C0"/>
    <w:rsid w:val="1F7AA4E2"/>
    <w:rsid w:val="1FEEF372"/>
    <w:rsid w:val="225609BA"/>
    <w:rsid w:val="22D54AED"/>
    <w:rsid w:val="23709FF9"/>
    <w:rsid w:val="239724AA"/>
    <w:rsid w:val="2429940F"/>
    <w:rsid w:val="263B2102"/>
    <w:rsid w:val="2664E83C"/>
    <w:rsid w:val="26D9E48D"/>
    <w:rsid w:val="273ABC2C"/>
    <w:rsid w:val="285955FB"/>
    <w:rsid w:val="2908ABF1"/>
    <w:rsid w:val="2998E9F6"/>
    <w:rsid w:val="2A11BD84"/>
    <w:rsid w:val="2A3FD215"/>
    <w:rsid w:val="2DCC92FE"/>
    <w:rsid w:val="2E16B1DA"/>
    <w:rsid w:val="2E31343D"/>
    <w:rsid w:val="2E4D4B8B"/>
    <w:rsid w:val="2E643E75"/>
    <w:rsid w:val="310B1A48"/>
    <w:rsid w:val="31384FFE"/>
    <w:rsid w:val="332512E1"/>
    <w:rsid w:val="333A04C7"/>
    <w:rsid w:val="3343D6CF"/>
    <w:rsid w:val="33968E28"/>
    <w:rsid w:val="33ACB6C1"/>
    <w:rsid w:val="3413F5B4"/>
    <w:rsid w:val="346686C7"/>
    <w:rsid w:val="3591EF19"/>
    <w:rsid w:val="366F63FC"/>
    <w:rsid w:val="366FA0A6"/>
    <w:rsid w:val="36A3EB1C"/>
    <w:rsid w:val="3706BDAC"/>
    <w:rsid w:val="37CD021F"/>
    <w:rsid w:val="37FCBE0C"/>
    <w:rsid w:val="383E2565"/>
    <w:rsid w:val="38BC60DE"/>
    <w:rsid w:val="399EC5DC"/>
    <w:rsid w:val="3AE1A807"/>
    <w:rsid w:val="3C1A0DB0"/>
    <w:rsid w:val="3DE00797"/>
    <w:rsid w:val="3E3E58A7"/>
    <w:rsid w:val="3E8C29A7"/>
    <w:rsid w:val="3FD44CA6"/>
    <w:rsid w:val="4061409D"/>
    <w:rsid w:val="40F5D88D"/>
    <w:rsid w:val="41C9B491"/>
    <w:rsid w:val="420AF281"/>
    <w:rsid w:val="42EE8C0D"/>
    <w:rsid w:val="42F34551"/>
    <w:rsid w:val="433F1FDA"/>
    <w:rsid w:val="43BEAAD9"/>
    <w:rsid w:val="43C72A70"/>
    <w:rsid w:val="444BA7B9"/>
    <w:rsid w:val="444D45CE"/>
    <w:rsid w:val="4462703A"/>
    <w:rsid w:val="448E117D"/>
    <w:rsid w:val="453A36FB"/>
    <w:rsid w:val="45F00BC0"/>
    <w:rsid w:val="4895B407"/>
    <w:rsid w:val="490F2289"/>
    <w:rsid w:val="492B843E"/>
    <w:rsid w:val="49450CEE"/>
    <w:rsid w:val="4BE3DB63"/>
    <w:rsid w:val="4C74D5BE"/>
    <w:rsid w:val="4CA507F9"/>
    <w:rsid w:val="4CD4AC97"/>
    <w:rsid w:val="4D47CFC7"/>
    <w:rsid w:val="4E3EA83C"/>
    <w:rsid w:val="4EB2A1FC"/>
    <w:rsid w:val="4F319562"/>
    <w:rsid w:val="4F878697"/>
    <w:rsid w:val="53311C76"/>
    <w:rsid w:val="536D5265"/>
    <w:rsid w:val="55A1BEFD"/>
    <w:rsid w:val="56F3A68F"/>
    <w:rsid w:val="5782D771"/>
    <w:rsid w:val="578B6E3E"/>
    <w:rsid w:val="57A72449"/>
    <w:rsid w:val="583FEBCF"/>
    <w:rsid w:val="5859B496"/>
    <w:rsid w:val="59C79157"/>
    <w:rsid w:val="59D503B9"/>
    <w:rsid w:val="5A862049"/>
    <w:rsid w:val="5ACE9A3C"/>
    <w:rsid w:val="5B31F66D"/>
    <w:rsid w:val="5B5A06BE"/>
    <w:rsid w:val="5B9028B7"/>
    <w:rsid w:val="5C2E56E7"/>
    <w:rsid w:val="5CB6CC71"/>
    <w:rsid w:val="5CED4D72"/>
    <w:rsid w:val="5CFD537C"/>
    <w:rsid w:val="5E069FAC"/>
    <w:rsid w:val="5F584327"/>
    <w:rsid w:val="6013A6F0"/>
    <w:rsid w:val="61E9B31C"/>
    <w:rsid w:val="625B33D9"/>
    <w:rsid w:val="638D76F5"/>
    <w:rsid w:val="6434AE42"/>
    <w:rsid w:val="64DA9CBD"/>
    <w:rsid w:val="65119044"/>
    <w:rsid w:val="65FA9B2C"/>
    <w:rsid w:val="666FB73E"/>
    <w:rsid w:val="67ADA143"/>
    <w:rsid w:val="687824A5"/>
    <w:rsid w:val="68E5F7F0"/>
    <w:rsid w:val="6952F51A"/>
    <w:rsid w:val="6A5774C1"/>
    <w:rsid w:val="6C914C9F"/>
    <w:rsid w:val="6E83692E"/>
    <w:rsid w:val="703D4A3A"/>
    <w:rsid w:val="70D21D46"/>
    <w:rsid w:val="71E329AC"/>
    <w:rsid w:val="72177EFC"/>
    <w:rsid w:val="7258A28A"/>
    <w:rsid w:val="734E86DE"/>
    <w:rsid w:val="7382E7EF"/>
    <w:rsid w:val="73EAC5F4"/>
    <w:rsid w:val="74C88921"/>
    <w:rsid w:val="74DDE9C1"/>
    <w:rsid w:val="74F09532"/>
    <w:rsid w:val="74FFDC8D"/>
    <w:rsid w:val="750EAD3A"/>
    <w:rsid w:val="7526085A"/>
    <w:rsid w:val="76315BF5"/>
    <w:rsid w:val="764D7A6E"/>
    <w:rsid w:val="77B49ACD"/>
    <w:rsid w:val="785970CE"/>
    <w:rsid w:val="78B21784"/>
    <w:rsid w:val="79ADEC82"/>
    <w:rsid w:val="7A454B3E"/>
    <w:rsid w:val="7A6F30C7"/>
    <w:rsid w:val="7C93AD28"/>
    <w:rsid w:val="7D56813C"/>
    <w:rsid w:val="7D67CFBE"/>
    <w:rsid w:val="7E41F620"/>
    <w:rsid w:val="7F31DE86"/>
    <w:rsid w:val="7F76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BEE9"/>
  <w15:chartTrackingRefBased/>
  <w15:docId w15:val="{DCC72704-F750-4BFA-9191-C801A9A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efinglist1">
    <w:name w:val="Briefing list 1"/>
    <w:basedOn w:val="Normal"/>
    <w:link w:val="Briefinglist1Char"/>
    <w:rsid w:val="00480AE6"/>
    <w:pPr>
      <w:keepLines/>
      <w:numPr>
        <w:numId w:val="2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list1Char">
    <w:name w:val="Briefing list 1 Char"/>
    <w:link w:val="Briefinglist1"/>
    <w:rsid w:val="00480AE6"/>
    <w:rPr>
      <w:rFonts w:ascii="Arial" w:eastAsia="Times New Roman" w:hAnsi="Arial" w:cs="Arial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91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5916"/>
    <w:rPr>
      <w:lang w:eastAsia="en-US"/>
    </w:rPr>
  </w:style>
  <w:style w:type="character" w:styleId="FootnoteReference">
    <w:name w:val="footnote reference"/>
    <w:uiPriority w:val="99"/>
    <w:semiHidden/>
    <w:unhideWhenUsed/>
    <w:rsid w:val="0010591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92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9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229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9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96D"/>
    <w:rPr>
      <w:b/>
      <w:bCs/>
      <w:lang w:eastAsia="en-US"/>
    </w:rPr>
  </w:style>
  <w:style w:type="paragraph" w:styleId="Revision">
    <w:name w:val="Revision"/>
    <w:hidden/>
    <w:uiPriority w:val="99"/>
    <w:semiHidden/>
    <w:rsid w:val="00C00D68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602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602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602D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A59F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A59F9"/>
    <w:rPr>
      <w:color w:val="605E5C"/>
      <w:shd w:val="clear" w:color="auto" w:fill="E1DFDD"/>
    </w:rPr>
  </w:style>
  <w:style w:type="paragraph" w:customStyle="1" w:styleId="Briefingtext">
    <w:name w:val="Briefing text"/>
    <w:basedOn w:val="Normal"/>
    <w:link w:val="BriefingtextChar"/>
    <w:uiPriority w:val="1"/>
    <w:rsid w:val="00E14B90"/>
    <w:pPr>
      <w:spacing w:after="240"/>
      <w:jc w:val="both"/>
    </w:pPr>
    <w:rPr>
      <w:rFonts w:ascii="Arial" w:eastAsia="Times New Roman" w:hAnsi="Arial" w:cs="Arial"/>
    </w:rPr>
  </w:style>
  <w:style w:type="character" w:customStyle="1" w:styleId="BriefingtextChar">
    <w:name w:val="Briefing text Char"/>
    <w:link w:val="Briefingtext"/>
    <w:uiPriority w:val="1"/>
    <w:rsid w:val="00E14B90"/>
    <w:rPr>
      <w:rFonts w:ascii="Arial" w:eastAsia="Times New Roman" w:hAnsi="Arial" w:cs="Arial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E14B90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97FFB"/>
    <w:rPr>
      <w:color w:val="954F72"/>
      <w:u w:val="single"/>
    </w:rPr>
  </w:style>
  <w:style w:type="paragraph" w:customStyle="1" w:styleId="ListHeader">
    <w:name w:val="List Header"/>
    <w:uiPriority w:val="99"/>
    <w:rsid w:val="003558D8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color w:val="000000"/>
      <w:sz w:val="18"/>
      <w:szCs w:val="18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52025PC0080" TargetMode="External"/><Relationship Id="rId3" Type="http://schemas.openxmlformats.org/officeDocument/2006/relationships/hyperlink" Target="https://commission.europa.eu/topics/eu-competitiveness/union-skills_en" TargetMode="External"/><Relationship Id="rId7" Type="http://schemas.openxmlformats.org/officeDocument/2006/relationships/hyperlink" Target="https://eur-lex.europa.eu/legal-content/EN/TXT/?uri=CELEX:52023PC0161" TargetMode="External"/><Relationship Id="rId12" Type="http://schemas.openxmlformats.org/officeDocument/2006/relationships/hyperlink" Target="https://eur-lex.europa.eu/legal-content/EN/TXT/?uri=celex:52025PC0087" TargetMode="External"/><Relationship Id="rId2" Type="http://schemas.openxmlformats.org/officeDocument/2006/relationships/hyperlink" Target="https://eur-lex.europa.eu/legal-content/EN/TXT/?uri=celex:52025DC0085" TargetMode="External"/><Relationship Id="rId1" Type="http://schemas.openxmlformats.org/officeDocument/2006/relationships/hyperlink" Target="https://eur-lex.europa.eu/legal-content/EN/TXT/?uri=CELEX:52025DC0030" TargetMode="External"/><Relationship Id="rId6" Type="http://schemas.openxmlformats.org/officeDocument/2006/relationships/hyperlink" Target="http://data.europa.eu/eli/reg/2024/1252/oj" TargetMode="External"/><Relationship Id="rId11" Type="http://schemas.openxmlformats.org/officeDocument/2006/relationships/hyperlink" Target="http://data.europa.eu/eli/dir/2022/2464/oj" TargetMode="External"/><Relationship Id="rId5" Type="http://schemas.openxmlformats.org/officeDocument/2006/relationships/hyperlink" Target="https://taxation-customs.ec.europa.eu/taxation/excise-taxes/revision-energy-taxation-directive_en" TargetMode="External"/><Relationship Id="rId10" Type="http://schemas.openxmlformats.org/officeDocument/2006/relationships/hyperlink" Target="https://eur-lex.europa.eu/legal-content/EN/TXT/?uri=CELEX:52025PC0084" TargetMode="External"/><Relationship Id="rId4" Type="http://schemas.openxmlformats.org/officeDocument/2006/relationships/hyperlink" Target="https://eur-lex.europa.eu/legal-content/EN/TXT/?uri=celex:52025DC0079" TargetMode="External"/><Relationship Id="rId9" Type="http://schemas.openxmlformats.org/officeDocument/2006/relationships/hyperlink" Target="https://eur-lex.europa.eu/legal-content/EN/TXT/?uri=CELEX:52025PC008)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2C354A9B80F4897019BC7E2880A88" ma:contentTypeVersion="4" ma:contentTypeDescription="Create a new document." ma:contentTypeScope="" ma:versionID="77bd4c56248ebdf5993d09df5533488f">
  <xsd:schema xmlns:xsd="http://www.w3.org/2001/XMLSchema" xmlns:xs="http://www.w3.org/2001/XMLSchema" xmlns:p="http://schemas.microsoft.com/office/2006/metadata/properties" xmlns:ns2="2a565401-6124-4834-af4c-bc1a772a6083" targetNamespace="http://schemas.microsoft.com/office/2006/metadata/properties" ma:root="true" ma:fieldsID="0d21c66c8a208a651832a9e3056369d0" ns2:_="">
    <xsd:import namespace="2a565401-6124-4834-af4c-bc1a772a6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5401-6124-4834-af4c-bc1a772a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0EF1D-57FA-4F59-89C9-B8471E27B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FBD7D-2CDC-4036-909B-C74A030B2F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8C8257-60E9-44E0-A20A-935A6F79F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65401-6124-4834-af4c-bc1a772a6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0EE3D-688B-40EB-BA69-4F50A5A86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1219</Words>
  <Characters>7388</Characters>
  <Application>Microsoft Office Word</Application>
  <DocSecurity>0</DocSecurity>
  <Lines>110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STEPIEN Beata (SG)</cp:lastModifiedBy>
  <cp:revision>3</cp:revision>
  <cp:lastPrinted>2013-02-28T12:02:00Z</cp:lastPrinted>
  <dcterms:created xsi:type="dcterms:W3CDTF">2025-09-15T13:43:00Z</dcterms:created>
  <dcterms:modified xsi:type="dcterms:W3CDTF">2025-09-15T13:45:00Z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0x01010078D2C354A9B80F4897019BC7E2880A88</vt:lpwstr>
  </property>
</Properties>
</file>