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ayout w:type="fixed"/>
        <w:tblLook w:val="06A0" w:firstRow="1" w:lastRow="0" w:firstColumn="1" w:lastColumn="0" w:noHBand="1" w:noVBand="1"/>
      </w:tblPr>
      <w:tblGrid>
        <w:gridCol w:w="9782"/>
      </w:tblGrid>
      <w:tr w:rsidR="44D3CE80" w:rsidRPr="004149DA" w14:paraId="0D5DD443" w14:textId="77777777" w:rsidTr="0005302E">
        <w:trPr>
          <w:trHeight w:val="300"/>
        </w:trPr>
        <w:tc>
          <w:tcPr>
            <w:tcW w:w="9782" w:type="dxa"/>
            <w:tcBorders>
              <w:top w:val="double" w:sz="6" w:space="0" w:color="auto"/>
              <w:left w:val="double" w:sz="6" w:space="0" w:color="auto"/>
              <w:bottom w:val="single" w:sz="8" w:space="0" w:color="auto"/>
              <w:right w:val="double" w:sz="6" w:space="0" w:color="auto"/>
            </w:tcBorders>
            <w:tcMar>
              <w:left w:w="108" w:type="dxa"/>
              <w:right w:w="108" w:type="dxa"/>
            </w:tcMar>
          </w:tcPr>
          <w:p w14:paraId="4FD0D431" w14:textId="08402C08" w:rsidR="44D3CE80" w:rsidRPr="004149DA" w:rsidRDefault="44D3CE80" w:rsidP="004149DA">
            <w:pPr>
              <w:spacing w:before="120" w:after="120"/>
              <w:rPr>
                <w:lang w:val="en-IE"/>
              </w:rPr>
            </w:pPr>
            <w:r w:rsidRPr="44D3CE80">
              <w:rPr>
                <w:rFonts w:ascii="Times New Roman" w:eastAsia="Times New Roman" w:hAnsi="Times New Roman"/>
                <w:b/>
                <w:bCs/>
                <w:sz w:val="24"/>
                <w:szCs w:val="24"/>
              </w:rPr>
              <w:t>The services sector in the European Union</w:t>
            </w:r>
            <w:r w:rsidR="004149DA">
              <w:rPr>
                <w:rFonts w:ascii="Times New Roman" w:eastAsia="Times New Roman" w:hAnsi="Times New Roman"/>
                <w:b/>
                <w:bCs/>
                <w:sz w:val="24"/>
                <w:szCs w:val="24"/>
              </w:rPr>
              <w:br/>
            </w:r>
            <w:r w:rsidR="004149DA" w:rsidRPr="00434072">
              <w:rPr>
                <w:rFonts w:ascii="Times New Roman" w:eastAsia="Times New Roman" w:hAnsi="Times New Roman"/>
                <w:b/>
                <w:bCs/>
                <w:sz w:val="24"/>
                <w:szCs w:val="24"/>
              </w:rPr>
              <w:t>(exploratory opinion requested by the Polish Presidency of the Council of the EU)</w:t>
            </w:r>
            <w:r w:rsidR="004149DA">
              <w:rPr>
                <w:rFonts w:ascii="Times New Roman" w:eastAsia="Times New Roman" w:hAnsi="Times New Roman"/>
                <w:b/>
                <w:bCs/>
                <w:sz w:val="24"/>
                <w:szCs w:val="24"/>
              </w:rPr>
              <w:br/>
            </w:r>
            <w:r w:rsidRPr="44D3CE80">
              <w:rPr>
                <w:rFonts w:ascii="Times New Roman" w:eastAsia="Times New Roman" w:hAnsi="Times New Roman"/>
                <w:b/>
                <w:bCs/>
                <w:sz w:val="24"/>
                <w:szCs w:val="24"/>
              </w:rPr>
              <w:t>EESC-2024-03619 – INT/1073</w:t>
            </w:r>
            <w:r>
              <w:br/>
            </w:r>
            <w:r w:rsidRPr="44D3CE80">
              <w:rPr>
                <w:rFonts w:ascii="Times New Roman" w:eastAsia="Times New Roman" w:hAnsi="Times New Roman"/>
                <w:b/>
                <w:bCs/>
                <w:sz w:val="24"/>
                <w:szCs w:val="24"/>
              </w:rPr>
              <w:t>594</w:t>
            </w:r>
            <w:r w:rsidRPr="00434072">
              <w:rPr>
                <w:rFonts w:ascii="Times New Roman" w:eastAsia="Times New Roman" w:hAnsi="Times New Roman"/>
                <w:b/>
                <w:bCs/>
                <w:sz w:val="24"/>
                <w:szCs w:val="24"/>
                <w:vertAlign w:val="superscript"/>
              </w:rPr>
              <w:t>th</w:t>
            </w:r>
            <w:r w:rsidRPr="44D3CE80">
              <w:rPr>
                <w:rFonts w:ascii="Times New Roman" w:eastAsia="Times New Roman" w:hAnsi="Times New Roman"/>
                <w:b/>
                <w:bCs/>
                <w:sz w:val="24"/>
                <w:szCs w:val="24"/>
              </w:rPr>
              <w:t xml:space="preserve"> Plenary Session – February 2025</w:t>
            </w:r>
            <w:r w:rsidR="004149DA">
              <w:rPr>
                <w:rFonts w:ascii="Times New Roman" w:eastAsia="Times New Roman" w:hAnsi="Times New Roman"/>
                <w:b/>
                <w:bCs/>
                <w:sz w:val="24"/>
                <w:szCs w:val="24"/>
              </w:rPr>
              <w:br/>
            </w:r>
            <w:r w:rsidRPr="004149DA">
              <w:rPr>
                <w:rFonts w:ascii="Times New Roman" w:eastAsia="Times New Roman" w:hAnsi="Times New Roman"/>
                <w:b/>
                <w:bCs/>
                <w:sz w:val="24"/>
                <w:szCs w:val="24"/>
                <w:lang w:val="en-IE"/>
              </w:rPr>
              <w:t xml:space="preserve">Rapporteur: </w:t>
            </w:r>
            <w:r w:rsidRPr="004149DA">
              <w:rPr>
                <w:rFonts w:cs="Calibri"/>
                <w:lang w:val="en-IE"/>
              </w:rPr>
              <w:t xml:space="preserve"> </w:t>
            </w:r>
            <w:r w:rsidRPr="004149DA">
              <w:rPr>
                <w:rFonts w:ascii="Times New Roman" w:eastAsia="Times New Roman" w:hAnsi="Times New Roman"/>
                <w:b/>
                <w:bCs/>
                <w:sz w:val="24"/>
                <w:szCs w:val="24"/>
                <w:lang w:val="en-IE"/>
              </w:rPr>
              <w:t>Marcin NOWACKI (PL-I)</w:t>
            </w:r>
            <w:r w:rsidRPr="004149DA">
              <w:rPr>
                <w:lang w:val="en-IE"/>
              </w:rPr>
              <w:br/>
            </w:r>
            <w:r w:rsidRPr="004149DA">
              <w:rPr>
                <w:rFonts w:ascii="Times New Roman" w:eastAsia="Times New Roman" w:hAnsi="Times New Roman"/>
                <w:b/>
                <w:bCs/>
                <w:sz w:val="24"/>
                <w:szCs w:val="24"/>
                <w:lang w:val="en-IE"/>
              </w:rPr>
              <w:t>DG GROW – E</w:t>
            </w:r>
            <w:r w:rsidR="004149DA">
              <w:rPr>
                <w:rFonts w:ascii="Times New Roman" w:eastAsia="Times New Roman" w:hAnsi="Times New Roman"/>
                <w:b/>
                <w:bCs/>
                <w:sz w:val="24"/>
                <w:szCs w:val="24"/>
                <w:lang w:val="en-IE"/>
              </w:rPr>
              <w:t xml:space="preserve">xecutive </w:t>
            </w:r>
            <w:r w:rsidRPr="004149DA">
              <w:rPr>
                <w:rFonts w:ascii="Times New Roman" w:eastAsia="Times New Roman" w:hAnsi="Times New Roman"/>
                <w:b/>
                <w:bCs/>
                <w:sz w:val="24"/>
                <w:szCs w:val="24"/>
                <w:lang w:val="en-IE"/>
              </w:rPr>
              <w:t>V</w:t>
            </w:r>
            <w:r w:rsidR="004149DA">
              <w:rPr>
                <w:rFonts w:ascii="Times New Roman" w:eastAsia="Times New Roman" w:hAnsi="Times New Roman"/>
                <w:b/>
                <w:bCs/>
                <w:sz w:val="24"/>
                <w:szCs w:val="24"/>
                <w:lang w:val="en-IE"/>
              </w:rPr>
              <w:t>ice-</w:t>
            </w:r>
            <w:r w:rsidRPr="004149DA">
              <w:rPr>
                <w:rFonts w:ascii="Times New Roman" w:eastAsia="Times New Roman" w:hAnsi="Times New Roman"/>
                <w:b/>
                <w:bCs/>
                <w:sz w:val="24"/>
                <w:szCs w:val="24"/>
                <w:lang w:val="en-IE"/>
              </w:rPr>
              <w:t>P</w:t>
            </w:r>
            <w:r w:rsidR="004149DA">
              <w:rPr>
                <w:rFonts w:ascii="Times New Roman" w:eastAsia="Times New Roman" w:hAnsi="Times New Roman"/>
                <w:b/>
                <w:bCs/>
                <w:sz w:val="24"/>
                <w:szCs w:val="24"/>
                <w:lang w:val="en-IE"/>
              </w:rPr>
              <w:t>resident</w:t>
            </w:r>
            <w:r w:rsidRPr="004149DA">
              <w:rPr>
                <w:rFonts w:ascii="Times New Roman" w:eastAsia="Times New Roman" w:hAnsi="Times New Roman"/>
                <w:b/>
                <w:bCs/>
                <w:sz w:val="24"/>
                <w:szCs w:val="24"/>
                <w:lang w:val="en-IE"/>
              </w:rPr>
              <w:t xml:space="preserve"> SÉJOURNÉ</w:t>
            </w:r>
          </w:p>
        </w:tc>
      </w:tr>
      <w:tr w:rsidR="44D3CE80" w14:paraId="47D831CD" w14:textId="77777777" w:rsidTr="0005302E">
        <w:trPr>
          <w:trHeight w:val="300"/>
        </w:trPr>
        <w:tc>
          <w:tcPr>
            <w:tcW w:w="9782" w:type="dxa"/>
            <w:tcBorders>
              <w:top w:val="single" w:sz="8" w:space="0" w:color="auto"/>
              <w:left w:val="double" w:sz="6" w:space="0" w:color="auto"/>
              <w:bottom w:val="single" w:sz="8" w:space="0" w:color="auto"/>
              <w:right w:val="double" w:sz="6" w:space="0" w:color="auto"/>
            </w:tcBorders>
            <w:tcMar>
              <w:left w:w="108" w:type="dxa"/>
              <w:right w:w="108" w:type="dxa"/>
            </w:tcMar>
          </w:tcPr>
          <w:p w14:paraId="7994ED01" w14:textId="3D8CB400" w:rsidR="44D3CE80" w:rsidRDefault="44D3CE80" w:rsidP="44D3CE80">
            <w:pPr>
              <w:spacing w:before="120" w:after="120"/>
              <w:jc w:val="center"/>
            </w:pPr>
            <w:r w:rsidRPr="44D3CE80">
              <w:rPr>
                <w:rFonts w:ascii="Times New Roman" w:eastAsia="Times New Roman" w:hAnsi="Times New Roman"/>
                <w:b/>
                <w:bCs/>
                <w:sz w:val="24"/>
                <w:szCs w:val="24"/>
              </w:rPr>
              <w:t>European Commission position on points</w:t>
            </w:r>
            <w:r>
              <w:br/>
            </w:r>
            <w:r w:rsidRPr="44D3CE80">
              <w:rPr>
                <w:rFonts w:ascii="Times New Roman" w:eastAsia="Times New Roman" w:hAnsi="Times New Roman"/>
                <w:b/>
                <w:bCs/>
                <w:sz w:val="24"/>
                <w:szCs w:val="24"/>
              </w:rPr>
              <w:t xml:space="preserve">of the European Economic and Social Committee </w:t>
            </w:r>
            <w:r w:rsidR="00490684">
              <w:rPr>
                <w:rFonts w:ascii="Times New Roman" w:eastAsia="Times New Roman" w:hAnsi="Times New Roman"/>
                <w:b/>
                <w:bCs/>
                <w:sz w:val="24"/>
                <w:szCs w:val="24"/>
              </w:rPr>
              <w:t xml:space="preserve">(EESC) </w:t>
            </w:r>
            <w:r w:rsidRPr="44D3CE80">
              <w:rPr>
                <w:rFonts w:ascii="Times New Roman" w:eastAsia="Times New Roman" w:hAnsi="Times New Roman"/>
                <w:b/>
                <w:bCs/>
                <w:sz w:val="24"/>
                <w:szCs w:val="24"/>
              </w:rPr>
              <w:t>opinion considered as essential</w:t>
            </w:r>
          </w:p>
        </w:tc>
      </w:tr>
      <w:tr w:rsidR="44D3CE80" w14:paraId="6050D155" w14:textId="77777777" w:rsidTr="0005302E">
        <w:trPr>
          <w:trHeight w:val="300"/>
        </w:trPr>
        <w:tc>
          <w:tcPr>
            <w:tcW w:w="9782" w:type="dxa"/>
            <w:tcBorders>
              <w:top w:val="single" w:sz="8" w:space="0" w:color="auto"/>
              <w:left w:val="double" w:sz="6" w:space="0" w:color="auto"/>
              <w:bottom w:val="double" w:sz="6" w:space="0" w:color="auto"/>
              <w:right w:val="double" w:sz="6" w:space="0" w:color="auto"/>
            </w:tcBorders>
            <w:tcMar>
              <w:left w:w="108" w:type="dxa"/>
              <w:right w:w="108" w:type="dxa"/>
            </w:tcMar>
          </w:tcPr>
          <w:p w14:paraId="27A422DB" w14:textId="7BDA7F86" w:rsidR="44D3CE80" w:rsidRPr="0005302E" w:rsidRDefault="44D3CE80" w:rsidP="004149DA">
            <w:pPr>
              <w:widowControl w:val="0"/>
              <w:spacing w:before="120" w:after="120"/>
              <w:jc w:val="both"/>
              <w:rPr>
                <w:rFonts w:ascii="Times New Roman" w:hAnsi="Times New Roman"/>
                <w:sz w:val="24"/>
                <w:szCs w:val="24"/>
              </w:rPr>
            </w:pPr>
            <w:r w:rsidRPr="0005302E">
              <w:rPr>
                <w:rFonts w:ascii="Times New Roman" w:eastAsia="Times New Roman" w:hAnsi="Times New Roman"/>
                <w:sz w:val="24"/>
                <w:szCs w:val="24"/>
              </w:rPr>
              <w:t xml:space="preserve">The Commission welcomes the opinion </w:t>
            </w:r>
            <w:r w:rsidR="00B60DA6" w:rsidRPr="0005302E">
              <w:rPr>
                <w:rFonts w:ascii="Times New Roman" w:eastAsia="Times New Roman" w:hAnsi="Times New Roman"/>
                <w:sz w:val="24"/>
                <w:szCs w:val="24"/>
              </w:rPr>
              <w:t>of</w:t>
            </w:r>
            <w:r w:rsidRPr="0005302E">
              <w:rPr>
                <w:rFonts w:ascii="Times New Roman" w:eastAsia="Times New Roman" w:hAnsi="Times New Roman"/>
                <w:sz w:val="24"/>
                <w:szCs w:val="24"/>
              </w:rPr>
              <w:t xml:space="preserve"> the Committee on the services sector in the European Union. This opinion </w:t>
            </w:r>
            <w:r w:rsidR="00E13BF9" w:rsidRPr="0005302E">
              <w:rPr>
                <w:rFonts w:ascii="Times New Roman" w:eastAsia="Times New Roman" w:hAnsi="Times New Roman"/>
                <w:sz w:val="24"/>
                <w:szCs w:val="24"/>
              </w:rPr>
              <w:t xml:space="preserve">was a valuable contribution for the preparation </w:t>
            </w:r>
            <w:r w:rsidRPr="0005302E">
              <w:rPr>
                <w:rFonts w:ascii="Times New Roman" w:eastAsia="Times New Roman" w:hAnsi="Times New Roman"/>
                <w:sz w:val="24"/>
                <w:szCs w:val="24"/>
              </w:rPr>
              <w:t>of the Single Market Strategy</w:t>
            </w:r>
            <w:r w:rsidR="004149DA" w:rsidRPr="0005302E">
              <w:rPr>
                <w:rStyle w:val="FootnoteReference"/>
                <w:rFonts w:ascii="Times New Roman" w:eastAsia="Times New Roman" w:hAnsi="Times New Roman"/>
                <w:sz w:val="24"/>
                <w:szCs w:val="24"/>
              </w:rPr>
              <w:footnoteReference w:id="1"/>
            </w:r>
            <w:r w:rsidR="00E13BF9" w:rsidRPr="0005302E">
              <w:rPr>
                <w:rFonts w:ascii="Times New Roman" w:eastAsia="Times New Roman" w:hAnsi="Times New Roman"/>
                <w:sz w:val="24"/>
                <w:szCs w:val="24"/>
              </w:rPr>
              <w:t xml:space="preserve"> that was</w:t>
            </w:r>
            <w:r w:rsidRPr="0005302E">
              <w:rPr>
                <w:rFonts w:ascii="Times New Roman" w:eastAsia="Times New Roman" w:hAnsi="Times New Roman"/>
                <w:sz w:val="24"/>
                <w:szCs w:val="24"/>
              </w:rPr>
              <w:t xml:space="preserve"> requested by the European Council in April 2024</w:t>
            </w:r>
            <w:r w:rsidR="004149DA" w:rsidRPr="0005302E">
              <w:rPr>
                <w:rStyle w:val="FootnoteReference"/>
                <w:rFonts w:ascii="Times New Roman" w:eastAsia="Times New Roman" w:hAnsi="Times New Roman"/>
                <w:sz w:val="24"/>
                <w:szCs w:val="24"/>
              </w:rPr>
              <w:footnoteReference w:id="2"/>
            </w:r>
            <w:r w:rsidRPr="0005302E">
              <w:rPr>
                <w:rFonts w:ascii="Times New Roman" w:eastAsia="Times New Roman" w:hAnsi="Times New Roman"/>
                <w:sz w:val="24"/>
                <w:szCs w:val="24"/>
              </w:rPr>
              <w:t xml:space="preserve"> and </w:t>
            </w:r>
            <w:r w:rsidR="00E13BF9" w:rsidRPr="0005302E">
              <w:rPr>
                <w:rFonts w:ascii="Times New Roman" w:eastAsia="Times New Roman" w:hAnsi="Times New Roman"/>
                <w:sz w:val="24"/>
                <w:szCs w:val="24"/>
              </w:rPr>
              <w:t>was delivered on 21 May 2025.</w:t>
            </w:r>
          </w:p>
          <w:p w14:paraId="1F7D4139" w14:textId="5E969386" w:rsidR="44D3CE80" w:rsidRPr="0005302E" w:rsidRDefault="44D3CE80" w:rsidP="004149DA">
            <w:pPr>
              <w:widowControl w:val="0"/>
              <w:spacing w:before="120" w:after="120"/>
              <w:jc w:val="both"/>
              <w:rPr>
                <w:rFonts w:ascii="Times New Roman" w:hAnsi="Times New Roman"/>
                <w:sz w:val="24"/>
                <w:szCs w:val="24"/>
              </w:rPr>
            </w:pPr>
            <w:r w:rsidRPr="0005302E">
              <w:rPr>
                <w:rFonts w:ascii="Times New Roman" w:eastAsia="Times New Roman" w:hAnsi="Times New Roman"/>
                <w:sz w:val="24"/>
                <w:szCs w:val="24"/>
              </w:rPr>
              <w:t>The Commission</w:t>
            </w:r>
            <w:r w:rsidR="00BF081B" w:rsidRPr="0005302E">
              <w:rPr>
                <w:rFonts w:ascii="Times New Roman" w:eastAsia="Times New Roman" w:hAnsi="Times New Roman"/>
                <w:sz w:val="24"/>
                <w:szCs w:val="24"/>
              </w:rPr>
              <w:t xml:space="preserve"> will develop legal guidance and recommendations to Member States to provide clarity on the right to provide services cross-border on a temporary basis, </w:t>
            </w:r>
            <w:proofErr w:type="gramStart"/>
            <w:r w:rsidR="00BF081B" w:rsidRPr="0005302E">
              <w:rPr>
                <w:rFonts w:ascii="Times New Roman" w:eastAsia="Times New Roman" w:hAnsi="Times New Roman"/>
                <w:sz w:val="24"/>
                <w:szCs w:val="24"/>
              </w:rPr>
              <w:t>in an effort to</w:t>
            </w:r>
            <w:proofErr w:type="gramEnd"/>
            <w:r w:rsidR="00BF081B" w:rsidRPr="0005302E">
              <w:rPr>
                <w:rFonts w:ascii="Times New Roman" w:eastAsia="Times New Roman" w:hAnsi="Times New Roman"/>
                <w:sz w:val="24"/>
                <w:szCs w:val="24"/>
              </w:rPr>
              <w:t xml:space="preserve"> </w:t>
            </w:r>
            <w:r w:rsidRPr="0005302E">
              <w:rPr>
                <w:rFonts w:ascii="Times New Roman" w:eastAsia="Times New Roman" w:hAnsi="Times New Roman"/>
                <w:sz w:val="24"/>
                <w:szCs w:val="24"/>
              </w:rPr>
              <w:t>unify the interpretation of the freedom to provide cross-border services and the freedom of establishment set out in the Services Directive</w:t>
            </w:r>
            <w:r w:rsidR="0050463F" w:rsidRPr="0005302E">
              <w:rPr>
                <w:rStyle w:val="FootnoteReference"/>
                <w:rFonts w:ascii="Times New Roman" w:eastAsia="Times New Roman" w:hAnsi="Times New Roman"/>
                <w:sz w:val="24"/>
                <w:szCs w:val="24"/>
                <w:u w:val="single"/>
              </w:rPr>
              <w:footnoteReference w:id="3"/>
            </w:r>
            <w:r w:rsidRPr="0005302E">
              <w:rPr>
                <w:rFonts w:ascii="Times New Roman" w:eastAsia="Times New Roman" w:hAnsi="Times New Roman"/>
                <w:sz w:val="24"/>
                <w:szCs w:val="24"/>
              </w:rPr>
              <w:t xml:space="preserve"> and the Professional Qualifications Directive</w:t>
            </w:r>
            <w:r w:rsidR="0050463F" w:rsidRPr="0005302E">
              <w:rPr>
                <w:rStyle w:val="FootnoteReference"/>
                <w:rFonts w:ascii="Times New Roman" w:eastAsia="Times New Roman" w:hAnsi="Times New Roman"/>
                <w:sz w:val="24"/>
                <w:szCs w:val="24"/>
                <w:u w:val="single"/>
              </w:rPr>
              <w:footnoteReference w:id="4"/>
            </w:r>
            <w:r w:rsidRPr="0005302E">
              <w:rPr>
                <w:rFonts w:ascii="Times New Roman" w:eastAsia="Times New Roman" w:hAnsi="Times New Roman"/>
                <w:sz w:val="24"/>
                <w:szCs w:val="24"/>
              </w:rPr>
              <w:t xml:space="preserve">. The distinction present in the directives stems from Articles 49 and 56 of the Treaty on the Functioning of the European Union and has been further specified by the Court of Justice of the European Union </w:t>
            </w:r>
            <w:r w:rsidR="0050463F" w:rsidRPr="0005302E">
              <w:rPr>
                <w:rFonts w:ascii="Times New Roman" w:eastAsia="Times New Roman" w:hAnsi="Times New Roman"/>
                <w:sz w:val="24"/>
                <w:szCs w:val="24"/>
              </w:rPr>
              <w:t xml:space="preserve">(CJEU) </w:t>
            </w:r>
            <w:r w:rsidRPr="0005302E">
              <w:rPr>
                <w:rFonts w:ascii="Times New Roman" w:eastAsia="Times New Roman" w:hAnsi="Times New Roman"/>
                <w:sz w:val="24"/>
                <w:szCs w:val="24"/>
              </w:rPr>
              <w:t>in several cases</w:t>
            </w:r>
            <w:r w:rsidR="0005302E">
              <w:rPr>
                <w:rStyle w:val="FootnoteReference"/>
                <w:rFonts w:ascii="Times New Roman" w:eastAsia="Times New Roman" w:hAnsi="Times New Roman"/>
                <w:sz w:val="24"/>
                <w:szCs w:val="24"/>
              </w:rPr>
              <w:footnoteReference w:id="5"/>
            </w:r>
            <w:r w:rsidRPr="0005302E">
              <w:rPr>
                <w:rFonts w:ascii="Times New Roman" w:eastAsia="Times New Roman" w:hAnsi="Times New Roman"/>
                <w:sz w:val="24"/>
                <w:szCs w:val="24"/>
              </w:rPr>
              <w:t>. The CJEU has consistently held that the distinction between</w:t>
            </w:r>
            <w:r w:rsidR="0010225F" w:rsidRPr="0005302E">
              <w:rPr>
                <w:rFonts w:ascii="Times New Roman" w:eastAsia="Times New Roman" w:hAnsi="Times New Roman"/>
                <w:sz w:val="24"/>
                <w:szCs w:val="24"/>
              </w:rPr>
              <w:t xml:space="preserve"> the</w:t>
            </w:r>
            <w:r w:rsidRPr="0005302E">
              <w:rPr>
                <w:rFonts w:ascii="Times New Roman" w:eastAsia="Times New Roman" w:hAnsi="Times New Roman"/>
                <w:sz w:val="24"/>
                <w:szCs w:val="24"/>
              </w:rPr>
              <w:t xml:space="preserve"> establishment and cross-border provision of services needs to be made on a case-by-case basis, </w:t>
            </w:r>
            <w:proofErr w:type="gramStart"/>
            <w:r w:rsidRPr="0005302E">
              <w:rPr>
                <w:rFonts w:ascii="Times New Roman" w:eastAsia="Times New Roman" w:hAnsi="Times New Roman"/>
                <w:sz w:val="24"/>
                <w:szCs w:val="24"/>
              </w:rPr>
              <w:t>taking into account</w:t>
            </w:r>
            <w:proofErr w:type="gramEnd"/>
            <w:r w:rsidRPr="0005302E">
              <w:rPr>
                <w:rFonts w:ascii="Times New Roman" w:eastAsia="Times New Roman" w:hAnsi="Times New Roman"/>
                <w:sz w:val="24"/>
                <w:szCs w:val="24"/>
              </w:rPr>
              <w:t xml:space="preserve"> the duration, regularity, periodicity and continuity of the provision of services.</w:t>
            </w:r>
          </w:p>
          <w:p w14:paraId="76C151C9" w14:textId="305193A0" w:rsidR="006827ED" w:rsidRPr="0005302E" w:rsidRDefault="44D3CE80" w:rsidP="004149DA">
            <w:pPr>
              <w:widowControl w:val="0"/>
              <w:spacing w:before="120" w:after="120"/>
              <w:jc w:val="both"/>
              <w:rPr>
                <w:rFonts w:ascii="Times New Roman" w:eastAsia="Times New Roman" w:hAnsi="Times New Roman"/>
                <w:sz w:val="24"/>
                <w:szCs w:val="24"/>
              </w:rPr>
            </w:pPr>
            <w:r w:rsidRPr="0005302E">
              <w:rPr>
                <w:rFonts w:ascii="Times New Roman" w:eastAsia="Times New Roman" w:hAnsi="Times New Roman"/>
                <w:sz w:val="24"/>
                <w:szCs w:val="24"/>
              </w:rPr>
              <w:t xml:space="preserve">The Commission welcomes the recommendation to simplify administrative procedures, including licensing, certification and compliance processes. Such procedures are mainly imposed by Member States in national law and regulation. Some procedures </w:t>
            </w:r>
            <w:r w:rsidR="0010225F" w:rsidRPr="0005302E">
              <w:rPr>
                <w:rFonts w:ascii="Times New Roman" w:eastAsia="Times New Roman" w:hAnsi="Times New Roman"/>
                <w:sz w:val="24"/>
                <w:szCs w:val="24"/>
              </w:rPr>
              <w:t xml:space="preserve">that </w:t>
            </w:r>
            <w:r w:rsidRPr="0005302E">
              <w:rPr>
                <w:rFonts w:ascii="Times New Roman" w:eastAsia="Times New Roman" w:hAnsi="Times New Roman"/>
                <w:sz w:val="24"/>
                <w:szCs w:val="24"/>
              </w:rPr>
              <w:t xml:space="preserve">stem from EU law are applied in a diverse manner in Member States. </w:t>
            </w:r>
            <w:r w:rsidR="006827ED" w:rsidRPr="0005302E">
              <w:rPr>
                <w:rFonts w:ascii="Times New Roman" w:eastAsia="Times New Roman" w:hAnsi="Times New Roman"/>
                <w:sz w:val="24"/>
                <w:szCs w:val="24"/>
              </w:rPr>
              <w:t xml:space="preserve">The Commission will launch an initiative to facilitate the provision of pan-EU services by providers authorised or certified in one Member State </w:t>
            </w:r>
            <w:proofErr w:type="gramStart"/>
            <w:r w:rsidR="006827ED" w:rsidRPr="0005302E">
              <w:rPr>
                <w:rFonts w:ascii="Times New Roman" w:eastAsia="Times New Roman" w:hAnsi="Times New Roman"/>
                <w:sz w:val="24"/>
                <w:szCs w:val="24"/>
              </w:rPr>
              <w:t>on the basis of</w:t>
            </w:r>
            <w:proofErr w:type="gramEnd"/>
            <w:r w:rsidR="006827ED" w:rsidRPr="0005302E">
              <w:rPr>
                <w:rFonts w:ascii="Times New Roman" w:eastAsia="Times New Roman" w:hAnsi="Times New Roman"/>
                <w:sz w:val="24"/>
                <w:szCs w:val="24"/>
              </w:rPr>
              <w:t xml:space="preserve"> EU law, potentially including the harmonisation of such authorisation and certification schemes. </w:t>
            </w:r>
            <w:r w:rsidRPr="0005302E">
              <w:rPr>
                <w:rFonts w:ascii="Times New Roman" w:eastAsia="Times New Roman" w:hAnsi="Times New Roman"/>
                <w:sz w:val="24"/>
                <w:szCs w:val="24"/>
              </w:rPr>
              <w:t>The Commission highlights the shared responsibility with Member States for simplifying the obligations imposed on service providers.</w:t>
            </w:r>
          </w:p>
          <w:p w14:paraId="4B7CA214" w14:textId="18FE0A4E" w:rsidR="44D3CE80" w:rsidRPr="0005302E" w:rsidRDefault="44D3CE80" w:rsidP="004149DA">
            <w:pPr>
              <w:widowControl w:val="0"/>
              <w:spacing w:before="120" w:after="120"/>
              <w:jc w:val="both"/>
              <w:rPr>
                <w:rFonts w:ascii="Times New Roman" w:hAnsi="Times New Roman"/>
                <w:sz w:val="24"/>
                <w:szCs w:val="24"/>
              </w:rPr>
            </w:pPr>
            <w:r w:rsidRPr="0005302E">
              <w:rPr>
                <w:rFonts w:ascii="Times New Roman" w:eastAsia="Times New Roman" w:hAnsi="Times New Roman"/>
                <w:sz w:val="24"/>
                <w:szCs w:val="24"/>
              </w:rPr>
              <w:t xml:space="preserve">Regarding the posting of workers, the Commission </w:t>
            </w:r>
            <w:r w:rsidR="49B3DB2D" w:rsidRPr="0005302E">
              <w:rPr>
                <w:rFonts w:ascii="Times New Roman" w:eastAsia="Times New Roman" w:hAnsi="Times New Roman"/>
                <w:sz w:val="24"/>
                <w:szCs w:val="24"/>
              </w:rPr>
              <w:t xml:space="preserve">adopted a </w:t>
            </w:r>
            <w:r w:rsidRPr="0005302E">
              <w:rPr>
                <w:rFonts w:ascii="Times New Roman" w:eastAsia="Times New Roman" w:hAnsi="Times New Roman"/>
                <w:sz w:val="24"/>
                <w:szCs w:val="24"/>
              </w:rPr>
              <w:t>propos</w:t>
            </w:r>
            <w:r w:rsidR="0F593F44" w:rsidRPr="0005302E">
              <w:rPr>
                <w:rFonts w:ascii="Times New Roman" w:eastAsia="Times New Roman" w:hAnsi="Times New Roman"/>
                <w:sz w:val="24"/>
                <w:szCs w:val="24"/>
              </w:rPr>
              <w:t>al</w:t>
            </w:r>
            <w:r w:rsidR="4E5B4379" w:rsidRPr="0005302E">
              <w:rPr>
                <w:rFonts w:ascii="Times New Roman" w:eastAsia="Times New Roman" w:hAnsi="Times New Roman"/>
                <w:sz w:val="24"/>
                <w:szCs w:val="24"/>
              </w:rPr>
              <w:t xml:space="preserve"> </w:t>
            </w:r>
            <w:r w:rsidR="00E13BF9" w:rsidRPr="0005302E">
              <w:rPr>
                <w:rFonts w:ascii="Times New Roman" w:eastAsia="Times New Roman" w:hAnsi="Times New Roman"/>
                <w:sz w:val="24"/>
                <w:szCs w:val="24"/>
              </w:rPr>
              <w:t xml:space="preserve">on 13 November 2024 </w:t>
            </w:r>
            <w:r w:rsidR="4E5B4379" w:rsidRPr="0005302E">
              <w:rPr>
                <w:rFonts w:ascii="Times New Roman" w:eastAsia="Times New Roman" w:hAnsi="Times New Roman"/>
                <w:sz w:val="24"/>
                <w:szCs w:val="24"/>
              </w:rPr>
              <w:t>for</w:t>
            </w:r>
            <w:r w:rsidRPr="0005302E">
              <w:rPr>
                <w:rFonts w:ascii="Times New Roman" w:eastAsia="Times New Roman" w:hAnsi="Times New Roman"/>
                <w:sz w:val="24"/>
                <w:szCs w:val="24"/>
              </w:rPr>
              <w:t xml:space="preserve"> a</w:t>
            </w:r>
            <w:r w:rsidR="0005302E">
              <w:rPr>
                <w:rFonts w:ascii="Times New Roman" w:eastAsia="Times New Roman" w:hAnsi="Times New Roman"/>
                <w:sz w:val="24"/>
                <w:szCs w:val="24"/>
              </w:rPr>
              <w:t> </w:t>
            </w:r>
            <w:r w:rsidR="003B5470" w:rsidRPr="0005302E">
              <w:rPr>
                <w:rFonts w:ascii="Times New Roman" w:eastAsia="Times New Roman" w:hAnsi="Times New Roman"/>
                <w:sz w:val="24"/>
                <w:szCs w:val="24"/>
              </w:rPr>
              <w:t xml:space="preserve">multilingual </w:t>
            </w:r>
            <w:r w:rsidR="002A5040" w:rsidRPr="0005302E">
              <w:rPr>
                <w:rFonts w:ascii="Times New Roman" w:eastAsia="Times New Roman" w:hAnsi="Times New Roman"/>
                <w:sz w:val="24"/>
                <w:szCs w:val="24"/>
              </w:rPr>
              <w:t xml:space="preserve">public interface connected to the Internal Market Information System </w:t>
            </w:r>
            <w:r w:rsidR="007C659F" w:rsidRPr="0005302E">
              <w:rPr>
                <w:rFonts w:ascii="Times New Roman" w:eastAsia="Times New Roman" w:hAnsi="Times New Roman"/>
                <w:sz w:val="24"/>
                <w:szCs w:val="24"/>
              </w:rPr>
              <w:t xml:space="preserve">(IMI) </w:t>
            </w:r>
            <w:r w:rsidR="002A5040" w:rsidRPr="0005302E">
              <w:rPr>
                <w:rFonts w:ascii="Times New Roman" w:eastAsia="Times New Roman" w:hAnsi="Times New Roman"/>
                <w:sz w:val="24"/>
                <w:szCs w:val="24"/>
              </w:rPr>
              <w:t>for the declaration of posting of workers</w:t>
            </w:r>
            <w:r w:rsidR="0050463F" w:rsidRPr="0005302E">
              <w:rPr>
                <w:rStyle w:val="FootnoteReference"/>
                <w:rFonts w:ascii="Times New Roman" w:eastAsia="Times New Roman" w:hAnsi="Times New Roman"/>
                <w:sz w:val="24"/>
                <w:szCs w:val="24"/>
              </w:rPr>
              <w:footnoteReference w:id="6"/>
            </w:r>
            <w:r w:rsidR="00E13BF9" w:rsidRPr="0005302E">
              <w:rPr>
                <w:rFonts w:ascii="Times New Roman" w:eastAsia="Times New Roman" w:hAnsi="Times New Roman"/>
                <w:sz w:val="24"/>
                <w:szCs w:val="24"/>
              </w:rPr>
              <w:t>. This proposal aims to</w:t>
            </w:r>
            <w:r w:rsidR="002A5040" w:rsidRPr="0005302E">
              <w:rPr>
                <w:rFonts w:ascii="Times New Roman" w:eastAsia="Times New Roman" w:hAnsi="Times New Roman"/>
                <w:sz w:val="24"/>
                <w:szCs w:val="24"/>
              </w:rPr>
              <w:t xml:space="preserve"> </w:t>
            </w:r>
            <w:r w:rsidR="00782FD7" w:rsidRPr="0005302E">
              <w:rPr>
                <w:rFonts w:ascii="Times New Roman" w:eastAsia="Times New Roman" w:hAnsi="Times New Roman"/>
                <w:sz w:val="24"/>
                <w:szCs w:val="24"/>
              </w:rPr>
              <w:t xml:space="preserve">reduce </w:t>
            </w:r>
            <w:r w:rsidRPr="0005302E">
              <w:rPr>
                <w:rFonts w:ascii="Times New Roman" w:eastAsia="Times New Roman" w:hAnsi="Times New Roman"/>
                <w:sz w:val="24"/>
                <w:szCs w:val="24"/>
              </w:rPr>
              <w:t xml:space="preserve">the administrative burden </w:t>
            </w:r>
            <w:r w:rsidR="002909A4" w:rsidRPr="0005302E">
              <w:rPr>
                <w:rFonts w:ascii="Times New Roman" w:hAnsi="Times New Roman"/>
                <w:sz w:val="24"/>
                <w:szCs w:val="24"/>
              </w:rPr>
              <w:t xml:space="preserve">for </w:t>
            </w:r>
            <w:r w:rsidR="002909A4" w:rsidRPr="0005302E">
              <w:rPr>
                <w:rFonts w:ascii="Times New Roman" w:hAnsi="Times New Roman"/>
                <w:sz w:val="24"/>
                <w:szCs w:val="24"/>
              </w:rPr>
              <w:lastRenderedPageBreak/>
              <w:t>service providers</w:t>
            </w:r>
            <w:r w:rsidR="008F4825" w:rsidRPr="0005302E">
              <w:rPr>
                <w:rFonts w:ascii="Times New Roman" w:hAnsi="Times New Roman"/>
                <w:sz w:val="24"/>
                <w:szCs w:val="24"/>
              </w:rPr>
              <w:t xml:space="preserve">, </w:t>
            </w:r>
            <w:r w:rsidR="008F4825" w:rsidRPr="0005302E">
              <w:rPr>
                <w:rFonts w:ascii="Times New Roman" w:eastAsia="Times New Roman" w:hAnsi="Times New Roman"/>
                <w:sz w:val="24"/>
                <w:szCs w:val="24"/>
              </w:rPr>
              <w:t xml:space="preserve">including </w:t>
            </w:r>
            <w:r w:rsidR="0050463F" w:rsidRPr="0005302E">
              <w:rPr>
                <w:rFonts w:ascii="Times New Roman" w:eastAsia="Times New Roman" w:hAnsi="Times New Roman"/>
                <w:sz w:val="24"/>
                <w:szCs w:val="24"/>
              </w:rPr>
              <w:t>small and medium-sized enterprises (</w:t>
            </w:r>
            <w:r w:rsidR="008F4825" w:rsidRPr="0005302E">
              <w:rPr>
                <w:rFonts w:ascii="Times New Roman" w:eastAsia="Times New Roman" w:hAnsi="Times New Roman"/>
                <w:sz w:val="24"/>
                <w:szCs w:val="24"/>
              </w:rPr>
              <w:t>SMEs</w:t>
            </w:r>
            <w:r w:rsidR="0050463F" w:rsidRPr="0005302E">
              <w:rPr>
                <w:rFonts w:ascii="Times New Roman" w:eastAsia="Times New Roman" w:hAnsi="Times New Roman"/>
                <w:sz w:val="24"/>
                <w:szCs w:val="24"/>
              </w:rPr>
              <w:t>)</w:t>
            </w:r>
            <w:r w:rsidR="008F4825" w:rsidRPr="0005302E">
              <w:rPr>
                <w:rFonts w:ascii="Times New Roman" w:eastAsia="Times New Roman" w:hAnsi="Times New Roman"/>
                <w:sz w:val="24"/>
                <w:szCs w:val="24"/>
              </w:rPr>
              <w:t xml:space="preserve">, </w:t>
            </w:r>
            <w:r w:rsidR="002909A4" w:rsidRPr="0005302E">
              <w:rPr>
                <w:rFonts w:ascii="Times New Roman" w:hAnsi="Times New Roman"/>
                <w:sz w:val="24"/>
                <w:szCs w:val="24"/>
              </w:rPr>
              <w:t>posting workers to a</w:t>
            </w:r>
            <w:r w:rsidR="0005302E">
              <w:rPr>
                <w:rFonts w:ascii="Times New Roman" w:hAnsi="Times New Roman"/>
                <w:sz w:val="24"/>
                <w:szCs w:val="24"/>
              </w:rPr>
              <w:t> </w:t>
            </w:r>
            <w:r w:rsidR="002909A4" w:rsidRPr="0005302E">
              <w:rPr>
                <w:rFonts w:ascii="Times New Roman" w:hAnsi="Times New Roman"/>
                <w:sz w:val="24"/>
                <w:szCs w:val="24"/>
              </w:rPr>
              <w:t>participating Member State</w:t>
            </w:r>
            <w:r w:rsidRPr="0005302E">
              <w:rPr>
                <w:rFonts w:ascii="Times New Roman" w:eastAsia="Times New Roman" w:hAnsi="Times New Roman"/>
                <w:sz w:val="24"/>
                <w:szCs w:val="24"/>
              </w:rPr>
              <w:t>, whilst maintaining the high level of protection of workers’ rights</w:t>
            </w:r>
            <w:r w:rsidR="48E8AC82" w:rsidRPr="0005302E">
              <w:rPr>
                <w:rFonts w:ascii="Times New Roman" w:eastAsia="Times New Roman" w:hAnsi="Times New Roman"/>
                <w:sz w:val="24"/>
                <w:szCs w:val="24"/>
              </w:rPr>
              <w:t xml:space="preserve"> in line with the existing acquis on posting of workers</w:t>
            </w:r>
            <w:r w:rsidRPr="0005302E">
              <w:rPr>
                <w:rFonts w:ascii="Times New Roman" w:eastAsia="Times New Roman" w:hAnsi="Times New Roman"/>
                <w:sz w:val="24"/>
                <w:szCs w:val="24"/>
              </w:rPr>
              <w:t>. The Commission encourages the co-legislators to proceed swiftly on this proposal.</w:t>
            </w:r>
          </w:p>
          <w:p w14:paraId="40F1B82D" w14:textId="49B47F19" w:rsidR="000A32A2" w:rsidRPr="0005302E" w:rsidRDefault="44D3CE80" w:rsidP="004149DA">
            <w:pPr>
              <w:widowControl w:val="0"/>
              <w:spacing w:before="120" w:after="120"/>
              <w:jc w:val="both"/>
              <w:rPr>
                <w:rFonts w:ascii="Times New Roman" w:eastAsia="Times New Roman" w:hAnsi="Times New Roman"/>
                <w:sz w:val="24"/>
                <w:szCs w:val="24"/>
              </w:rPr>
            </w:pPr>
            <w:r w:rsidRPr="0005302E">
              <w:rPr>
                <w:rFonts w:ascii="Times New Roman" w:eastAsia="Times New Roman" w:hAnsi="Times New Roman"/>
                <w:sz w:val="24"/>
                <w:szCs w:val="24"/>
              </w:rPr>
              <w:t>The Commission will consider the EESC recommendation for a ‘100 Professions Package’ to lower regulatory barriers across Member States. The targeting of such a package should be carefully considered, ensuring to focus on professions and services activities the regulation of which is not necessary to meet legitimate public interest objectives.</w:t>
            </w:r>
          </w:p>
          <w:p w14:paraId="054DB1E1" w14:textId="4870EA12" w:rsidR="00F50649" w:rsidRPr="0005302E" w:rsidRDefault="000A32A2" w:rsidP="004149DA">
            <w:pPr>
              <w:widowControl w:val="0"/>
              <w:spacing w:before="120" w:after="120"/>
              <w:jc w:val="both"/>
              <w:rPr>
                <w:rFonts w:ascii="Times New Roman" w:eastAsia="Times New Roman" w:hAnsi="Times New Roman"/>
                <w:sz w:val="24"/>
                <w:szCs w:val="24"/>
                <w:lang w:val="en-IE"/>
              </w:rPr>
            </w:pPr>
            <w:r w:rsidRPr="0005302E">
              <w:rPr>
                <w:rFonts w:ascii="Times New Roman" w:eastAsia="Times New Roman" w:hAnsi="Times New Roman"/>
                <w:sz w:val="24"/>
                <w:szCs w:val="24"/>
              </w:rPr>
              <w:t xml:space="preserve">The Commission will work to </w:t>
            </w:r>
            <w:r w:rsidR="00EE2A0B" w:rsidRPr="0005302E">
              <w:rPr>
                <w:rFonts w:ascii="Times New Roman" w:eastAsia="Times New Roman" w:hAnsi="Times New Roman"/>
                <w:sz w:val="24"/>
                <w:szCs w:val="24"/>
                <w:lang w:val="en-IE"/>
              </w:rPr>
              <w:t>facilitate</w:t>
            </w:r>
            <w:r w:rsidRPr="0005302E">
              <w:rPr>
                <w:rFonts w:ascii="Times New Roman" w:eastAsia="Times New Roman" w:hAnsi="Times New Roman"/>
                <w:sz w:val="24"/>
                <w:szCs w:val="24"/>
                <w:lang w:val="en-IE"/>
              </w:rPr>
              <w:t xml:space="preserve"> the recognition of professional qualifications by </w:t>
            </w:r>
            <w:r w:rsidRPr="0005302E">
              <w:rPr>
                <w:rFonts w:ascii="Times New Roman" w:eastAsia="Times New Roman" w:hAnsi="Times New Roman"/>
                <w:sz w:val="24"/>
                <w:szCs w:val="24"/>
              </w:rPr>
              <w:t>extending automatic recognition schemes, for instance via Common Training Frameworks</w:t>
            </w:r>
            <w:r w:rsidR="0050463F" w:rsidRPr="0005302E">
              <w:rPr>
                <w:rStyle w:val="FootnoteReference"/>
                <w:rFonts w:ascii="Times New Roman" w:eastAsia="Times New Roman" w:hAnsi="Times New Roman"/>
                <w:sz w:val="24"/>
                <w:szCs w:val="24"/>
              </w:rPr>
              <w:footnoteReference w:id="7"/>
            </w:r>
            <w:r w:rsidR="00432A5D" w:rsidRPr="0005302E">
              <w:rPr>
                <w:rFonts w:ascii="Times New Roman" w:eastAsia="Times New Roman" w:hAnsi="Times New Roman"/>
                <w:sz w:val="24"/>
                <w:szCs w:val="24"/>
              </w:rPr>
              <w:t>, to make the</w:t>
            </w:r>
            <w:r w:rsidR="00432A5D" w:rsidRPr="0005302E">
              <w:rPr>
                <w:rFonts w:ascii="Times New Roman" w:eastAsia="Times New Roman" w:hAnsi="Times New Roman"/>
                <w:sz w:val="24"/>
                <w:szCs w:val="24"/>
                <w:lang w:val="en-IE"/>
              </w:rPr>
              <w:t xml:space="preserve"> procedures for the recognition of professional qualifications faster and more efficient through the greater use of digital tools</w:t>
            </w:r>
            <w:r w:rsidR="0010225F" w:rsidRPr="0005302E">
              <w:rPr>
                <w:rFonts w:ascii="Times New Roman" w:eastAsia="Times New Roman" w:hAnsi="Times New Roman"/>
                <w:sz w:val="24"/>
                <w:szCs w:val="24"/>
                <w:lang w:val="en-IE"/>
              </w:rPr>
              <w:t xml:space="preserve">. The Commission </w:t>
            </w:r>
            <w:r w:rsidR="00432A5D" w:rsidRPr="0005302E">
              <w:rPr>
                <w:rFonts w:ascii="Times New Roman" w:eastAsia="Times New Roman" w:hAnsi="Times New Roman"/>
                <w:sz w:val="24"/>
                <w:szCs w:val="24"/>
                <w:lang w:val="en-IE"/>
              </w:rPr>
              <w:t>will e</w:t>
            </w:r>
            <w:r w:rsidRPr="0005302E">
              <w:rPr>
                <w:rFonts w:ascii="Times New Roman" w:eastAsia="Times New Roman" w:hAnsi="Times New Roman"/>
                <w:sz w:val="24"/>
                <w:szCs w:val="24"/>
                <w:lang w:val="en-IE"/>
              </w:rPr>
              <w:t>xplore</w:t>
            </w:r>
            <w:r w:rsidR="00432A5D" w:rsidRPr="0005302E">
              <w:rPr>
                <w:rFonts w:ascii="Times New Roman" w:eastAsia="Times New Roman" w:hAnsi="Times New Roman"/>
                <w:sz w:val="24"/>
                <w:szCs w:val="24"/>
                <w:lang w:val="en-IE"/>
              </w:rPr>
              <w:t xml:space="preserve"> the potential of</w:t>
            </w:r>
            <w:r w:rsidRPr="0005302E">
              <w:rPr>
                <w:rFonts w:ascii="Times New Roman" w:eastAsia="Times New Roman" w:hAnsi="Times New Roman"/>
                <w:sz w:val="24"/>
                <w:szCs w:val="24"/>
                <w:lang w:val="en-IE"/>
              </w:rPr>
              <w:t xml:space="preserve"> EU legislation to establish common rules for the recognition and validation of qualifications and skills of third country nationals</w:t>
            </w:r>
            <w:r w:rsidR="00432A5D" w:rsidRPr="0005302E">
              <w:rPr>
                <w:rFonts w:ascii="Times New Roman" w:eastAsia="Times New Roman" w:hAnsi="Times New Roman"/>
                <w:sz w:val="24"/>
                <w:szCs w:val="24"/>
                <w:lang w:val="en-IE"/>
              </w:rPr>
              <w:t>.</w:t>
            </w:r>
          </w:p>
          <w:p w14:paraId="3D245E0B" w14:textId="5576F6E3" w:rsidR="00C87F30" w:rsidRPr="0005302E" w:rsidRDefault="44D3CE80" w:rsidP="004149DA">
            <w:pPr>
              <w:widowControl w:val="0"/>
              <w:spacing w:before="120" w:after="120"/>
              <w:jc w:val="both"/>
              <w:rPr>
                <w:rFonts w:ascii="Times New Roman" w:eastAsia="Times New Roman" w:hAnsi="Times New Roman"/>
                <w:sz w:val="24"/>
                <w:szCs w:val="24"/>
              </w:rPr>
            </w:pPr>
            <w:r w:rsidRPr="0005302E">
              <w:rPr>
                <w:rFonts w:ascii="Times New Roman" w:eastAsia="Times New Roman" w:hAnsi="Times New Roman"/>
                <w:sz w:val="24"/>
                <w:szCs w:val="24"/>
              </w:rPr>
              <w:t xml:space="preserve">The Commission </w:t>
            </w:r>
            <w:r w:rsidR="00D50444" w:rsidRPr="0005302E">
              <w:rPr>
                <w:rFonts w:ascii="Times New Roman" w:eastAsia="Times New Roman" w:hAnsi="Times New Roman"/>
                <w:sz w:val="24"/>
                <w:szCs w:val="24"/>
              </w:rPr>
              <w:t xml:space="preserve">welcomes </w:t>
            </w:r>
            <w:r w:rsidRPr="0005302E">
              <w:rPr>
                <w:rFonts w:ascii="Times New Roman" w:eastAsia="Times New Roman" w:hAnsi="Times New Roman"/>
                <w:sz w:val="24"/>
                <w:szCs w:val="24"/>
              </w:rPr>
              <w:t>the recommendation to develop sector-specific reforms alongside the existing horizontal framework of the Services Directive and the targeting of sectors by the EESC.</w:t>
            </w:r>
            <w:r w:rsidR="00C87F30" w:rsidRPr="0005302E">
              <w:rPr>
                <w:rFonts w:ascii="Times New Roman" w:eastAsia="Times New Roman" w:hAnsi="Times New Roman"/>
                <w:sz w:val="24"/>
                <w:szCs w:val="24"/>
              </w:rPr>
              <w:t xml:space="preserve"> </w:t>
            </w:r>
            <w:r w:rsidR="00D50444" w:rsidRPr="0005302E">
              <w:rPr>
                <w:rFonts w:ascii="Times New Roman" w:eastAsia="Times New Roman" w:hAnsi="Times New Roman"/>
                <w:sz w:val="24"/>
                <w:szCs w:val="24"/>
              </w:rPr>
              <w:t xml:space="preserve">The Commission will propose a </w:t>
            </w:r>
            <w:r w:rsidR="00DE680B" w:rsidRPr="0005302E">
              <w:rPr>
                <w:rFonts w:ascii="Times New Roman" w:eastAsia="Times New Roman" w:hAnsi="Times New Roman"/>
                <w:sz w:val="24"/>
                <w:szCs w:val="24"/>
              </w:rPr>
              <w:t>Construction Services Act to lower barriers to cross-border market access for construction and installation services</w:t>
            </w:r>
            <w:r w:rsidR="00C87F30" w:rsidRPr="0005302E">
              <w:rPr>
                <w:rFonts w:ascii="Times New Roman" w:eastAsia="Times New Roman" w:hAnsi="Times New Roman"/>
                <w:sz w:val="24"/>
                <w:szCs w:val="24"/>
              </w:rPr>
              <w:t xml:space="preserve"> and</w:t>
            </w:r>
            <w:r w:rsidR="00D50444" w:rsidRPr="0005302E">
              <w:rPr>
                <w:rFonts w:ascii="Times New Roman" w:eastAsia="Times New Roman" w:hAnsi="Times New Roman"/>
                <w:sz w:val="24"/>
                <w:szCs w:val="24"/>
              </w:rPr>
              <w:t xml:space="preserve"> l</w:t>
            </w:r>
            <w:r w:rsidR="00DE680B" w:rsidRPr="0005302E">
              <w:rPr>
                <w:rFonts w:ascii="Times New Roman" w:eastAsia="Times New Roman" w:hAnsi="Times New Roman"/>
                <w:sz w:val="24"/>
                <w:szCs w:val="24"/>
              </w:rPr>
              <w:t xml:space="preserve">aunch </w:t>
            </w:r>
            <w:r w:rsidR="00D50444" w:rsidRPr="0005302E">
              <w:rPr>
                <w:rFonts w:ascii="Times New Roman" w:eastAsia="Times New Roman" w:hAnsi="Times New Roman"/>
                <w:sz w:val="24"/>
                <w:szCs w:val="24"/>
              </w:rPr>
              <w:t xml:space="preserve">an </w:t>
            </w:r>
            <w:r w:rsidR="00DE680B" w:rsidRPr="0005302E">
              <w:rPr>
                <w:rFonts w:ascii="Times New Roman" w:eastAsia="Times New Roman" w:hAnsi="Times New Roman"/>
                <w:sz w:val="24"/>
                <w:szCs w:val="24"/>
              </w:rPr>
              <w:t>initiative to facilitate the cross-border provision of industry-related services such as installation, maintenance and repair services</w:t>
            </w:r>
            <w:r w:rsidR="00C87F30" w:rsidRPr="0005302E">
              <w:rPr>
                <w:rFonts w:ascii="Times New Roman" w:eastAsia="Times New Roman" w:hAnsi="Times New Roman"/>
                <w:sz w:val="24"/>
                <w:szCs w:val="24"/>
              </w:rPr>
              <w:t>. The Commission will also issue</w:t>
            </w:r>
            <w:r w:rsidR="00DE680B" w:rsidRPr="0005302E">
              <w:rPr>
                <w:rFonts w:ascii="Times New Roman" w:eastAsia="Times New Roman" w:hAnsi="Times New Roman"/>
                <w:sz w:val="24"/>
                <w:szCs w:val="24"/>
              </w:rPr>
              <w:t xml:space="preserve"> </w:t>
            </w:r>
            <w:r w:rsidR="00C87F30" w:rsidRPr="0005302E">
              <w:rPr>
                <w:rFonts w:ascii="Times New Roman" w:eastAsia="Times New Roman" w:hAnsi="Times New Roman"/>
                <w:sz w:val="24"/>
                <w:szCs w:val="24"/>
              </w:rPr>
              <w:t>guidance</w:t>
            </w:r>
            <w:r w:rsidR="00DE680B" w:rsidRPr="0005302E">
              <w:rPr>
                <w:rFonts w:ascii="Times New Roman" w:eastAsia="Times New Roman" w:hAnsi="Times New Roman"/>
                <w:sz w:val="24"/>
                <w:szCs w:val="24"/>
              </w:rPr>
              <w:t xml:space="preserve"> to Member States on the proportionality of their retail regulation</w:t>
            </w:r>
            <w:r w:rsidR="00C87F30" w:rsidRPr="0005302E">
              <w:rPr>
                <w:rFonts w:ascii="Times New Roman" w:eastAsia="Times New Roman" w:hAnsi="Times New Roman"/>
                <w:sz w:val="24"/>
                <w:szCs w:val="24"/>
              </w:rPr>
              <w:t xml:space="preserve"> and recommendations to free regulated business services from unnecessary regulation hindering investment and trade.</w:t>
            </w:r>
          </w:p>
          <w:p w14:paraId="010EFE4E" w14:textId="3123F91C" w:rsidR="44D3CE80" w:rsidRDefault="44D3CE80" w:rsidP="004149DA">
            <w:pPr>
              <w:widowControl w:val="0"/>
              <w:spacing w:before="120" w:after="120"/>
              <w:jc w:val="both"/>
            </w:pPr>
            <w:r w:rsidRPr="0005302E">
              <w:rPr>
                <w:rFonts w:ascii="Times New Roman" w:eastAsia="Times New Roman" w:hAnsi="Times New Roman"/>
                <w:sz w:val="24"/>
                <w:szCs w:val="24"/>
              </w:rPr>
              <w:t>In conclusion, the Commission welcomes the timely report in view of the upcoming Single Market Strategy and will continue to follow the work of the EESC on these topics</w:t>
            </w:r>
            <w:r w:rsidRPr="004149DA">
              <w:rPr>
                <w:rFonts w:ascii="Times New Roman" w:eastAsia="Times New Roman" w:hAnsi="Times New Roman"/>
                <w:sz w:val="24"/>
                <w:szCs w:val="24"/>
              </w:rPr>
              <w:t>.</w:t>
            </w:r>
          </w:p>
        </w:tc>
      </w:tr>
    </w:tbl>
    <w:p w14:paraId="6AD4B0A9" w14:textId="74A6B35A" w:rsidR="00077C4F" w:rsidRPr="0005302E" w:rsidRDefault="00077C4F" w:rsidP="0005302E">
      <w:pPr>
        <w:spacing w:after="0" w:line="240" w:lineRule="auto"/>
        <w:ind w:left="-567"/>
        <w:rPr>
          <w:rFonts w:ascii="Times New Roman" w:hAnsi="Times New Roman"/>
          <w:sz w:val="16"/>
          <w:szCs w:val="16"/>
        </w:rPr>
      </w:pPr>
    </w:p>
    <w:sectPr w:rsidR="00077C4F" w:rsidRPr="000530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991A" w14:textId="77777777" w:rsidR="00FF63EA" w:rsidRDefault="00FF63EA" w:rsidP="00FF63EA">
      <w:pPr>
        <w:spacing w:after="0" w:line="240" w:lineRule="auto"/>
      </w:pPr>
      <w:r>
        <w:separator/>
      </w:r>
    </w:p>
  </w:endnote>
  <w:endnote w:type="continuationSeparator" w:id="0">
    <w:p w14:paraId="4F20E001" w14:textId="77777777" w:rsidR="00FF63EA" w:rsidRDefault="00FF63E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41E3" w14:textId="77777777" w:rsidR="00FF63EA" w:rsidRDefault="00FF63EA" w:rsidP="00FF63EA">
      <w:pPr>
        <w:spacing w:after="0" w:line="240" w:lineRule="auto"/>
      </w:pPr>
      <w:r>
        <w:separator/>
      </w:r>
    </w:p>
  </w:footnote>
  <w:footnote w:type="continuationSeparator" w:id="0">
    <w:p w14:paraId="2E5903DE" w14:textId="77777777" w:rsidR="00FF63EA" w:rsidRDefault="00FF63EA" w:rsidP="00FF63EA">
      <w:pPr>
        <w:spacing w:after="0" w:line="240" w:lineRule="auto"/>
      </w:pPr>
      <w:r>
        <w:continuationSeparator/>
      </w:r>
    </w:p>
  </w:footnote>
  <w:footnote w:id="1">
    <w:p w14:paraId="365A4A43" w14:textId="177A064D" w:rsidR="004149DA" w:rsidRPr="0005302E" w:rsidRDefault="004149DA" w:rsidP="00434072">
      <w:pPr>
        <w:pStyle w:val="FootnoteText"/>
        <w:widowControl w:val="0"/>
        <w:spacing w:after="0" w:line="240" w:lineRule="auto"/>
        <w:ind w:left="142" w:right="-284" w:hanging="284"/>
        <w:jc w:val="both"/>
        <w:rPr>
          <w:rFonts w:ascii="Times New Roman" w:hAnsi="Times New Roman"/>
          <w:lang w:val="pt-PT"/>
        </w:rPr>
      </w:pPr>
      <w:r w:rsidRPr="00434072">
        <w:rPr>
          <w:rStyle w:val="FootnoteReference"/>
          <w:rFonts w:ascii="Times New Roman" w:hAnsi="Times New Roman"/>
        </w:rPr>
        <w:footnoteRef/>
      </w:r>
      <w:r w:rsidRPr="00434072">
        <w:rPr>
          <w:rFonts w:ascii="Times New Roman" w:hAnsi="Times New Roman"/>
          <w:lang w:val="pt-PT"/>
        </w:rPr>
        <w:t xml:space="preserve"> </w:t>
      </w:r>
      <w:r w:rsidRPr="00434072">
        <w:rPr>
          <w:rFonts w:ascii="Times New Roman" w:hAnsi="Times New Roman"/>
          <w:lang w:val="pt-PT"/>
        </w:rPr>
        <w:tab/>
      </w:r>
      <w:r w:rsidRPr="0005302E">
        <w:rPr>
          <w:rFonts w:ascii="Times New Roman" w:hAnsi="Times New Roman"/>
          <w:lang w:val="pt-PT"/>
        </w:rPr>
        <w:t>COM(2025) 500 final (</w:t>
      </w:r>
      <w:hyperlink r:id="rId1" w:history="1">
        <w:r w:rsidRPr="0005302E">
          <w:rPr>
            <w:rStyle w:val="Hyperlink"/>
            <w:rFonts w:ascii="Times New Roman" w:hAnsi="Times New Roman"/>
            <w:lang w:val="pt-PT"/>
          </w:rPr>
          <w:t>d92c78d0-7d47-4a16-b53f-1cead54bcb49_en</w:t>
        </w:r>
      </w:hyperlink>
      <w:r w:rsidRPr="0005302E">
        <w:rPr>
          <w:rFonts w:ascii="Times New Roman" w:hAnsi="Times New Roman"/>
          <w:lang w:val="pt-PT"/>
        </w:rPr>
        <w:t>).</w:t>
      </w:r>
    </w:p>
  </w:footnote>
  <w:footnote w:id="2">
    <w:p w14:paraId="73974A18" w14:textId="31213027" w:rsidR="004149DA" w:rsidRPr="0005302E" w:rsidRDefault="004149DA" w:rsidP="00434072">
      <w:pPr>
        <w:pStyle w:val="FootnoteText"/>
        <w:widowControl w:val="0"/>
        <w:spacing w:after="0" w:line="240" w:lineRule="auto"/>
        <w:ind w:left="142" w:right="-284" w:hanging="284"/>
        <w:jc w:val="both"/>
        <w:rPr>
          <w:rFonts w:ascii="Times New Roman" w:hAnsi="Times New Roman"/>
          <w:lang w:val="en-IE"/>
        </w:rPr>
      </w:pPr>
      <w:r w:rsidRPr="0005302E">
        <w:rPr>
          <w:rStyle w:val="FootnoteReference"/>
          <w:rFonts w:ascii="Times New Roman" w:hAnsi="Times New Roman"/>
        </w:rPr>
        <w:footnoteRef/>
      </w:r>
      <w:r w:rsidRPr="0005302E">
        <w:rPr>
          <w:rFonts w:ascii="Times New Roman" w:hAnsi="Times New Roman"/>
        </w:rPr>
        <w:t xml:space="preserve"> </w:t>
      </w:r>
      <w:r w:rsidRPr="0005302E">
        <w:rPr>
          <w:rFonts w:ascii="Times New Roman" w:hAnsi="Times New Roman"/>
          <w:lang w:val="en-IE"/>
        </w:rPr>
        <w:tab/>
      </w:r>
      <w:hyperlink r:id="rId2" w:history="1">
        <w:r w:rsidRPr="0005302E">
          <w:rPr>
            <w:rStyle w:val="Hyperlink"/>
            <w:rFonts w:ascii="Times New Roman" w:hAnsi="Times New Roman"/>
          </w:rPr>
          <w:t>euco-conclusions-20240417-18-en.pdf</w:t>
        </w:r>
      </w:hyperlink>
      <w:r w:rsidRPr="0005302E">
        <w:rPr>
          <w:rFonts w:ascii="Times New Roman" w:hAnsi="Times New Roman"/>
          <w:lang w:val="en-IE"/>
        </w:rPr>
        <w:t>.</w:t>
      </w:r>
    </w:p>
  </w:footnote>
  <w:footnote w:id="3">
    <w:p w14:paraId="71E87193" w14:textId="1F0E5A2A" w:rsidR="0050463F" w:rsidRPr="0005302E" w:rsidRDefault="0050463F" w:rsidP="00434072">
      <w:pPr>
        <w:pStyle w:val="FootnoteText"/>
        <w:widowControl w:val="0"/>
        <w:spacing w:after="0" w:line="240" w:lineRule="auto"/>
        <w:ind w:left="142" w:right="-284" w:hanging="284"/>
        <w:jc w:val="both"/>
        <w:rPr>
          <w:rFonts w:ascii="Times New Roman" w:hAnsi="Times New Roman"/>
          <w:lang w:val="en-IE"/>
        </w:rPr>
      </w:pPr>
      <w:r w:rsidRPr="0005302E">
        <w:rPr>
          <w:rStyle w:val="FootnoteReference"/>
          <w:rFonts w:ascii="Times New Roman" w:hAnsi="Times New Roman"/>
        </w:rPr>
        <w:footnoteRef/>
      </w:r>
      <w:r w:rsidRPr="0005302E">
        <w:rPr>
          <w:rFonts w:ascii="Times New Roman" w:hAnsi="Times New Roman"/>
        </w:rPr>
        <w:t xml:space="preserve"> </w:t>
      </w:r>
      <w:r w:rsidRPr="0005302E">
        <w:rPr>
          <w:rFonts w:ascii="Times New Roman" w:hAnsi="Times New Roman"/>
          <w:lang w:val="en-IE"/>
        </w:rPr>
        <w:tab/>
      </w:r>
      <w:r w:rsidRPr="0005302E">
        <w:rPr>
          <w:rFonts w:ascii="Times New Roman" w:hAnsi="Times New Roman"/>
        </w:rPr>
        <w:t>Directive 2006/123/EC of the European Parliament and of the Council of 12 December 2006 on services in the internal market (</w:t>
      </w:r>
      <w:hyperlink r:id="rId3">
        <w:r w:rsidRPr="0005302E">
          <w:rPr>
            <w:rStyle w:val="Hyperlink"/>
            <w:rFonts w:ascii="Times New Roman" w:hAnsi="Times New Roman"/>
            <w:color w:val="0563C1"/>
          </w:rPr>
          <w:t>https://eur-lex.europa.eu/eli/dir/2006/123/oj</w:t>
        </w:r>
      </w:hyperlink>
      <w:r w:rsidRPr="0005302E">
        <w:rPr>
          <w:rFonts w:ascii="Times New Roman" w:hAnsi="Times New Roman"/>
        </w:rPr>
        <w:t>).</w:t>
      </w:r>
    </w:p>
  </w:footnote>
  <w:footnote w:id="4">
    <w:p w14:paraId="133C3C6C" w14:textId="509C5553" w:rsidR="0050463F" w:rsidRPr="0005302E" w:rsidRDefault="0050463F" w:rsidP="00434072">
      <w:pPr>
        <w:pStyle w:val="FootnoteText"/>
        <w:widowControl w:val="0"/>
        <w:spacing w:after="0" w:line="240" w:lineRule="auto"/>
        <w:ind w:left="142" w:right="-284" w:hanging="284"/>
        <w:jc w:val="both"/>
        <w:rPr>
          <w:rFonts w:ascii="Times New Roman" w:hAnsi="Times New Roman"/>
          <w:lang w:val="en-IE"/>
        </w:rPr>
      </w:pPr>
      <w:r w:rsidRPr="0005302E">
        <w:rPr>
          <w:rStyle w:val="FootnoteReference"/>
          <w:rFonts w:ascii="Times New Roman" w:hAnsi="Times New Roman"/>
        </w:rPr>
        <w:footnoteRef/>
      </w:r>
      <w:r w:rsidRPr="0005302E">
        <w:rPr>
          <w:rFonts w:ascii="Times New Roman" w:hAnsi="Times New Roman"/>
        </w:rPr>
        <w:t xml:space="preserve"> </w:t>
      </w:r>
      <w:r w:rsidRPr="0005302E">
        <w:rPr>
          <w:rFonts w:ascii="Times New Roman" w:hAnsi="Times New Roman"/>
        </w:rPr>
        <w:tab/>
        <w:t>Directive 2005/36/EC of the European Parliament and of the Council of 7 September 2005 on the recognition of professional qualifications (Text with EEA relevance)Text with EEA relevance (</w:t>
      </w:r>
      <w:hyperlink r:id="rId4">
        <w:r w:rsidRPr="0005302E">
          <w:rPr>
            <w:rStyle w:val="Hyperlink"/>
            <w:rFonts w:ascii="Times New Roman" w:hAnsi="Times New Roman"/>
            <w:color w:val="0563C1"/>
          </w:rPr>
          <w:t>https://eur-lex.europa.eu/legal-content/EN/TXT/?uri=CELEX%3A02005L0036-20240620</w:t>
        </w:r>
      </w:hyperlink>
      <w:r w:rsidRPr="0005302E">
        <w:rPr>
          <w:rFonts w:ascii="Times New Roman" w:hAnsi="Times New Roman"/>
        </w:rPr>
        <w:t>).</w:t>
      </w:r>
    </w:p>
  </w:footnote>
  <w:footnote w:id="5">
    <w:p w14:paraId="3427999A" w14:textId="77777777" w:rsidR="00143135" w:rsidRDefault="0005302E" w:rsidP="0005302E">
      <w:pPr>
        <w:pStyle w:val="FootnoteText"/>
        <w:widowControl w:val="0"/>
        <w:spacing w:after="0" w:line="240" w:lineRule="auto"/>
        <w:ind w:left="142" w:right="-284" w:hanging="284"/>
        <w:jc w:val="both"/>
        <w:rPr>
          <w:rFonts w:ascii="Times New Roman" w:hAnsi="Times New Roman"/>
        </w:rPr>
      </w:pPr>
      <w:r w:rsidRPr="00143135">
        <w:rPr>
          <w:rStyle w:val="FootnoteReference"/>
          <w:rFonts w:ascii="Times New Roman" w:hAnsi="Times New Roman"/>
        </w:rPr>
        <w:footnoteRef/>
      </w:r>
      <w:r w:rsidRPr="00143135">
        <w:rPr>
          <w:rFonts w:ascii="Times New Roman" w:hAnsi="Times New Roman"/>
        </w:rPr>
        <w:t xml:space="preserve"> </w:t>
      </w:r>
      <w:r w:rsidRPr="00143135">
        <w:rPr>
          <w:rFonts w:ascii="Times New Roman" w:hAnsi="Times New Roman"/>
        </w:rPr>
        <w:tab/>
      </w:r>
      <w:r w:rsidRPr="0005302E">
        <w:rPr>
          <w:rFonts w:ascii="Times New Roman" w:hAnsi="Times New Roman"/>
        </w:rPr>
        <w:t xml:space="preserve">For example: Judgment of 30 November 1995, </w:t>
      </w:r>
      <w:r w:rsidRPr="0005302E">
        <w:rPr>
          <w:rFonts w:ascii="Times New Roman" w:hAnsi="Times New Roman"/>
          <w:i/>
          <w:iCs/>
        </w:rPr>
        <w:t>Gebhardt</w:t>
      </w:r>
      <w:r w:rsidRPr="0005302E">
        <w:rPr>
          <w:rFonts w:ascii="Times New Roman" w:hAnsi="Times New Roman"/>
        </w:rPr>
        <w:t xml:space="preserve">, Case C-55/94; judgment of 13 February 2003, </w:t>
      </w:r>
      <w:r w:rsidRPr="0005302E">
        <w:rPr>
          <w:rFonts w:ascii="Times New Roman" w:hAnsi="Times New Roman"/>
          <w:i/>
          <w:iCs/>
        </w:rPr>
        <w:t>Commission v Italy</w:t>
      </w:r>
      <w:r w:rsidRPr="0005302E">
        <w:rPr>
          <w:rFonts w:ascii="Times New Roman" w:hAnsi="Times New Roman"/>
        </w:rPr>
        <w:t xml:space="preserve">, Case C-131/01; Judgment of 29 April 2004, </w:t>
      </w:r>
      <w:r w:rsidRPr="0005302E">
        <w:rPr>
          <w:rFonts w:ascii="Times New Roman" w:hAnsi="Times New Roman"/>
          <w:i/>
          <w:iCs/>
        </w:rPr>
        <w:t>Commission v Portugal</w:t>
      </w:r>
      <w:r w:rsidRPr="0005302E">
        <w:rPr>
          <w:rFonts w:ascii="Times New Roman" w:hAnsi="Times New Roman"/>
        </w:rPr>
        <w:t>, Case C-171/02</w:t>
      </w:r>
    </w:p>
    <w:p w14:paraId="61E1DC43" w14:textId="09673508" w:rsidR="0005302E" w:rsidRPr="00143135" w:rsidRDefault="0005302E" w:rsidP="00143135">
      <w:pPr>
        <w:pStyle w:val="FootnoteText"/>
        <w:widowControl w:val="0"/>
        <w:spacing w:after="0" w:line="240" w:lineRule="auto"/>
        <w:ind w:left="142" w:right="-284"/>
        <w:jc w:val="both"/>
        <w:rPr>
          <w:rFonts w:ascii="Times New Roman" w:hAnsi="Times New Roman"/>
          <w:lang w:val="fr-BE"/>
        </w:rPr>
      </w:pPr>
      <w:r w:rsidRPr="00143135">
        <w:rPr>
          <w:rFonts w:ascii="Times New Roman" w:hAnsi="Times New Roman"/>
          <w:lang w:val="fr-BE"/>
        </w:rPr>
        <w:t>(</w:t>
      </w:r>
      <w:hyperlink r:id="rId5" w:history="1">
        <w:r w:rsidRPr="00143135">
          <w:rPr>
            <w:rStyle w:val="Hyperlink"/>
            <w:rFonts w:ascii="Times New Roman" w:hAnsi="Times New Roman"/>
            <w:lang w:val="fr-BE"/>
          </w:rPr>
          <w:t>EUR-Lex - 61994CJ0055 - EN - EUR-Lex</w:t>
        </w:r>
      </w:hyperlink>
      <w:r w:rsidRPr="00143135">
        <w:rPr>
          <w:rFonts w:ascii="Times New Roman" w:hAnsi="Times New Roman"/>
          <w:lang w:val="fr-BE"/>
        </w:rPr>
        <w:t>).</w:t>
      </w:r>
    </w:p>
  </w:footnote>
  <w:footnote w:id="6">
    <w:p w14:paraId="4692358E" w14:textId="67E88C16" w:rsidR="0050463F" w:rsidRPr="0005302E" w:rsidRDefault="0050463F" w:rsidP="00434072">
      <w:pPr>
        <w:pStyle w:val="FootnoteText"/>
        <w:widowControl w:val="0"/>
        <w:spacing w:after="0" w:line="240" w:lineRule="auto"/>
        <w:ind w:left="142" w:right="-284" w:hanging="284"/>
        <w:jc w:val="both"/>
        <w:rPr>
          <w:rFonts w:ascii="Times New Roman" w:hAnsi="Times New Roman"/>
          <w:lang w:val="fr-BE"/>
        </w:rPr>
      </w:pPr>
      <w:r w:rsidRPr="0005302E">
        <w:rPr>
          <w:rStyle w:val="FootnoteReference"/>
          <w:rFonts w:ascii="Times New Roman" w:hAnsi="Times New Roman"/>
        </w:rPr>
        <w:footnoteRef/>
      </w:r>
      <w:r w:rsidRPr="0005302E">
        <w:rPr>
          <w:rFonts w:ascii="Times New Roman" w:hAnsi="Times New Roman"/>
          <w:lang w:val="fr-FR"/>
        </w:rPr>
        <w:t xml:space="preserve"> </w:t>
      </w:r>
      <w:r w:rsidRPr="0005302E">
        <w:rPr>
          <w:rFonts w:ascii="Times New Roman" w:hAnsi="Times New Roman"/>
          <w:lang w:val="fr-BE"/>
        </w:rPr>
        <w:tab/>
      </w:r>
      <w:proofErr w:type="gramStart"/>
      <w:r w:rsidRPr="0005302E">
        <w:rPr>
          <w:rFonts w:ascii="Times New Roman" w:hAnsi="Times New Roman"/>
          <w:lang w:val="fr-FR"/>
        </w:rPr>
        <w:t>COM</w:t>
      </w:r>
      <w:r w:rsidR="00143135">
        <w:rPr>
          <w:rFonts w:ascii="Times New Roman" w:hAnsi="Times New Roman"/>
          <w:lang w:val="fr-FR"/>
        </w:rPr>
        <w:t>(</w:t>
      </w:r>
      <w:proofErr w:type="gramEnd"/>
      <w:r w:rsidRPr="0005302E">
        <w:rPr>
          <w:rFonts w:ascii="Times New Roman" w:hAnsi="Times New Roman"/>
          <w:lang w:val="fr-FR"/>
        </w:rPr>
        <w:t>2024</w:t>
      </w:r>
      <w:r w:rsidR="00143135">
        <w:rPr>
          <w:rFonts w:ascii="Times New Roman" w:hAnsi="Times New Roman"/>
          <w:lang w:val="fr-FR"/>
        </w:rPr>
        <w:t xml:space="preserve">) </w:t>
      </w:r>
      <w:r w:rsidRPr="0005302E">
        <w:rPr>
          <w:rFonts w:ascii="Times New Roman" w:hAnsi="Times New Roman"/>
          <w:lang w:val="fr-FR"/>
        </w:rPr>
        <w:t>531 final (</w:t>
      </w:r>
      <w:hyperlink r:id="rId6" w:history="1">
        <w:r w:rsidRPr="0005302E">
          <w:rPr>
            <w:rStyle w:val="Hyperlink"/>
            <w:rFonts w:ascii="Times New Roman" w:hAnsi="Times New Roman"/>
            <w:lang w:val="fr-FR"/>
          </w:rPr>
          <w:t>EUR-Lex - 52024PC0531 - EN - EUR-Lex</w:t>
        </w:r>
      </w:hyperlink>
      <w:r w:rsidRPr="0005302E">
        <w:rPr>
          <w:rFonts w:ascii="Times New Roman" w:hAnsi="Times New Roman"/>
          <w:lang w:val="fr-FR"/>
        </w:rPr>
        <w:t>).</w:t>
      </w:r>
    </w:p>
  </w:footnote>
  <w:footnote w:id="7">
    <w:p w14:paraId="60CB6870" w14:textId="7026CBE9" w:rsidR="0050463F" w:rsidRPr="0005302E" w:rsidRDefault="0050463F" w:rsidP="00434072">
      <w:pPr>
        <w:pStyle w:val="FootnoteText"/>
        <w:widowControl w:val="0"/>
        <w:spacing w:after="0" w:line="240" w:lineRule="auto"/>
        <w:ind w:left="142" w:right="-284" w:hanging="284"/>
        <w:jc w:val="both"/>
        <w:rPr>
          <w:rFonts w:ascii="Times New Roman" w:hAnsi="Times New Roman"/>
          <w:lang w:val="en-IE"/>
        </w:rPr>
      </w:pPr>
      <w:r w:rsidRPr="0005302E">
        <w:rPr>
          <w:rStyle w:val="FootnoteReference"/>
          <w:rFonts w:ascii="Times New Roman" w:hAnsi="Times New Roman"/>
        </w:rPr>
        <w:footnoteRef/>
      </w:r>
      <w:r w:rsidRPr="0005302E">
        <w:rPr>
          <w:rFonts w:ascii="Times New Roman" w:hAnsi="Times New Roman"/>
        </w:rPr>
        <w:t xml:space="preserve"> </w:t>
      </w:r>
      <w:r w:rsidRPr="0005302E">
        <w:rPr>
          <w:rFonts w:ascii="Times New Roman" w:hAnsi="Times New Roman"/>
          <w:lang w:val="en-IE"/>
        </w:rPr>
        <w:tab/>
      </w:r>
      <w:hyperlink r:id="rId7" w:history="1">
        <w:r w:rsidRPr="0005302E">
          <w:rPr>
            <w:rStyle w:val="Hyperlink"/>
            <w:rFonts w:ascii="Times New Roman" w:hAnsi="Times New Roman"/>
          </w:rPr>
          <w:t>Common training frameworks - European Commission</w:t>
        </w:r>
      </w:hyperlink>
      <w:r w:rsidRPr="0005302E">
        <w:rPr>
          <w:rFonts w:ascii="Times New Roman" w:hAnsi="Times New Roman"/>
          <w:lang w:val="en-I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45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77C4F"/>
    <w:rsid w:val="00011972"/>
    <w:rsid w:val="00012A37"/>
    <w:rsid w:val="00046B15"/>
    <w:rsid w:val="00050DC7"/>
    <w:rsid w:val="0005302E"/>
    <w:rsid w:val="00076109"/>
    <w:rsid w:val="00077C4F"/>
    <w:rsid w:val="00090B99"/>
    <w:rsid w:val="000A32A2"/>
    <w:rsid w:val="000B23A2"/>
    <w:rsid w:val="000F5FD8"/>
    <w:rsid w:val="0010225F"/>
    <w:rsid w:val="001167C0"/>
    <w:rsid w:val="00135C2A"/>
    <w:rsid w:val="00143135"/>
    <w:rsid w:val="001B0E0B"/>
    <w:rsid w:val="001C4138"/>
    <w:rsid w:val="001F2EC6"/>
    <w:rsid w:val="001F65D0"/>
    <w:rsid w:val="00217E59"/>
    <w:rsid w:val="002909A4"/>
    <w:rsid w:val="002A5040"/>
    <w:rsid w:val="002C297E"/>
    <w:rsid w:val="002F03FA"/>
    <w:rsid w:val="002F5F90"/>
    <w:rsid w:val="002F7D49"/>
    <w:rsid w:val="003004D2"/>
    <w:rsid w:val="0030247E"/>
    <w:rsid w:val="003349A3"/>
    <w:rsid w:val="00377967"/>
    <w:rsid w:val="0038436B"/>
    <w:rsid w:val="00386143"/>
    <w:rsid w:val="00390861"/>
    <w:rsid w:val="003B5470"/>
    <w:rsid w:val="003B58DC"/>
    <w:rsid w:val="003C1641"/>
    <w:rsid w:val="003C7095"/>
    <w:rsid w:val="003F686E"/>
    <w:rsid w:val="004149DA"/>
    <w:rsid w:val="00417C68"/>
    <w:rsid w:val="00432A5D"/>
    <w:rsid w:val="00434072"/>
    <w:rsid w:val="00442552"/>
    <w:rsid w:val="00455A1C"/>
    <w:rsid w:val="004675B5"/>
    <w:rsid w:val="00470310"/>
    <w:rsid w:val="00475F58"/>
    <w:rsid w:val="004770D6"/>
    <w:rsid w:val="00490684"/>
    <w:rsid w:val="0049246C"/>
    <w:rsid w:val="004D46C5"/>
    <w:rsid w:val="004D6102"/>
    <w:rsid w:val="004E302D"/>
    <w:rsid w:val="004F0F46"/>
    <w:rsid w:val="004F6117"/>
    <w:rsid w:val="004F63F1"/>
    <w:rsid w:val="004F651E"/>
    <w:rsid w:val="0050463F"/>
    <w:rsid w:val="0052596B"/>
    <w:rsid w:val="00554D8D"/>
    <w:rsid w:val="00573835"/>
    <w:rsid w:val="00575718"/>
    <w:rsid w:val="00581306"/>
    <w:rsid w:val="005B6727"/>
    <w:rsid w:val="005C3105"/>
    <w:rsid w:val="00616E48"/>
    <w:rsid w:val="00651522"/>
    <w:rsid w:val="00664688"/>
    <w:rsid w:val="00666C42"/>
    <w:rsid w:val="006827ED"/>
    <w:rsid w:val="00692C2F"/>
    <w:rsid w:val="00695797"/>
    <w:rsid w:val="00696A5E"/>
    <w:rsid w:val="006A0194"/>
    <w:rsid w:val="006B3B69"/>
    <w:rsid w:val="00724E56"/>
    <w:rsid w:val="00734613"/>
    <w:rsid w:val="007476AA"/>
    <w:rsid w:val="00751910"/>
    <w:rsid w:val="00751E60"/>
    <w:rsid w:val="007547B5"/>
    <w:rsid w:val="00760E20"/>
    <w:rsid w:val="00775A0F"/>
    <w:rsid w:val="00782FD7"/>
    <w:rsid w:val="00795A9E"/>
    <w:rsid w:val="007A606D"/>
    <w:rsid w:val="007B2898"/>
    <w:rsid w:val="007C2214"/>
    <w:rsid w:val="007C659F"/>
    <w:rsid w:val="00807B48"/>
    <w:rsid w:val="008135CA"/>
    <w:rsid w:val="0081584F"/>
    <w:rsid w:val="008322E2"/>
    <w:rsid w:val="00847078"/>
    <w:rsid w:val="008703BF"/>
    <w:rsid w:val="008925CE"/>
    <w:rsid w:val="008C4D41"/>
    <w:rsid w:val="008F4825"/>
    <w:rsid w:val="0090496B"/>
    <w:rsid w:val="0097136A"/>
    <w:rsid w:val="00981F45"/>
    <w:rsid w:val="00994D12"/>
    <w:rsid w:val="009B128B"/>
    <w:rsid w:val="009C420E"/>
    <w:rsid w:val="009D0F69"/>
    <w:rsid w:val="00A16F07"/>
    <w:rsid w:val="00A62C7B"/>
    <w:rsid w:val="00A7709A"/>
    <w:rsid w:val="00AA656A"/>
    <w:rsid w:val="00AA6A32"/>
    <w:rsid w:val="00AB5B9F"/>
    <w:rsid w:val="00AE1842"/>
    <w:rsid w:val="00AE30B9"/>
    <w:rsid w:val="00AE3C7C"/>
    <w:rsid w:val="00B31306"/>
    <w:rsid w:val="00B42814"/>
    <w:rsid w:val="00B60DA6"/>
    <w:rsid w:val="00B83936"/>
    <w:rsid w:val="00BA06CA"/>
    <w:rsid w:val="00BD6EB7"/>
    <w:rsid w:val="00BF081B"/>
    <w:rsid w:val="00C31555"/>
    <w:rsid w:val="00C34029"/>
    <w:rsid w:val="00C507E8"/>
    <w:rsid w:val="00C54D27"/>
    <w:rsid w:val="00C64030"/>
    <w:rsid w:val="00C76EEB"/>
    <w:rsid w:val="00C87F30"/>
    <w:rsid w:val="00C90422"/>
    <w:rsid w:val="00C93BED"/>
    <w:rsid w:val="00CC2760"/>
    <w:rsid w:val="00CF6752"/>
    <w:rsid w:val="00D01F5A"/>
    <w:rsid w:val="00D1716E"/>
    <w:rsid w:val="00D50444"/>
    <w:rsid w:val="00D64E05"/>
    <w:rsid w:val="00D71FA6"/>
    <w:rsid w:val="00D92FD3"/>
    <w:rsid w:val="00DA3B6E"/>
    <w:rsid w:val="00DB3D57"/>
    <w:rsid w:val="00DB7581"/>
    <w:rsid w:val="00DC70C1"/>
    <w:rsid w:val="00DD40A4"/>
    <w:rsid w:val="00DE680B"/>
    <w:rsid w:val="00E13BF9"/>
    <w:rsid w:val="00E17572"/>
    <w:rsid w:val="00E83C12"/>
    <w:rsid w:val="00E904C8"/>
    <w:rsid w:val="00E9542D"/>
    <w:rsid w:val="00EA1BBF"/>
    <w:rsid w:val="00EB29A9"/>
    <w:rsid w:val="00EB77D2"/>
    <w:rsid w:val="00EE2A0B"/>
    <w:rsid w:val="00F21670"/>
    <w:rsid w:val="00F316C8"/>
    <w:rsid w:val="00F50649"/>
    <w:rsid w:val="00F513BD"/>
    <w:rsid w:val="00F632DE"/>
    <w:rsid w:val="00F735E4"/>
    <w:rsid w:val="00F9492D"/>
    <w:rsid w:val="00FB7834"/>
    <w:rsid w:val="00FD4B6A"/>
    <w:rsid w:val="00FE6BC4"/>
    <w:rsid w:val="00FF03A8"/>
    <w:rsid w:val="00FF63EA"/>
    <w:rsid w:val="0F593F44"/>
    <w:rsid w:val="2755E4DC"/>
    <w:rsid w:val="370A529A"/>
    <w:rsid w:val="3B27221B"/>
    <w:rsid w:val="404B8792"/>
    <w:rsid w:val="44D3CE80"/>
    <w:rsid w:val="482ABFA8"/>
    <w:rsid w:val="48E8AC82"/>
    <w:rsid w:val="49B3DB2D"/>
    <w:rsid w:val="4E5B4379"/>
    <w:rsid w:val="6944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782FD7"/>
    <w:rPr>
      <w:sz w:val="22"/>
      <w:szCs w:val="22"/>
      <w:lang w:eastAsia="en-US"/>
    </w:rPr>
  </w:style>
  <w:style w:type="character" w:styleId="CommentReference">
    <w:name w:val="annotation reference"/>
    <w:basedOn w:val="DefaultParagraphFont"/>
    <w:uiPriority w:val="99"/>
    <w:semiHidden/>
    <w:unhideWhenUsed/>
    <w:rsid w:val="008F4825"/>
    <w:rPr>
      <w:sz w:val="16"/>
      <w:szCs w:val="16"/>
    </w:rPr>
  </w:style>
  <w:style w:type="paragraph" w:styleId="CommentText">
    <w:name w:val="annotation text"/>
    <w:basedOn w:val="Normal"/>
    <w:link w:val="CommentTextChar"/>
    <w:uiPriority w:val="99"/>
    <w:unhideWhenUsed/>
    <w:rsid w:val="008F4825"/>
    <w:rPr>
      <w:sz w:val="20"/>
      <w:szCs w:val="20"/>
    </w:rPr>
  </w:style>
  <w:style w:type="character" w:customStyle="1" w:styleId="CommentTextChar">
    <w:name w:val="Comment Text Char"/>
    <w:basedOn w:val="DefaultParagraphFont"/>
    <w:link w:val="CommentText"/>
    <w:uiPriority w:val="99"/>
    <w:rsid w:val="008F4825"/>
    <w:rPr>
      <w:lang w:eastAsia="en-US"/>
    </w:rPr>
  </w:style>
  <w:style w:type="paragraph" w:styleId="CommentSubject">
    <w:name w:val="annotation subject"/>
    <w:basedOn w:val="CommentText"/>
    <w:next w:val="CommentText"/>
    <w:link w:val="CommentSubjectChar"/>
    <w:uiPriority w:val="99"/>
    <w:semiHidden/>
    <w:unhideWhenUsed/>
    <w:rsid w:val="008F4825"/>
    <w:rPr>
      <w:b/>
      <w:bCs/>
    </w:rPr>
  </w:style>
  <w:style w:type="character" w:customStyle="1" w:styleId="CommentSubjectChar">
    <w:name w:val="Comment Subject Char"/>
    <w:basedOn w:val="CommentTextChar"/>
    <w:link w:val="CommentSubject"/>
    <w:uiPriority w:val="99"/>
    <w:semiHidden/>
    <w:rsid w:val="008F4825"/>
    <w:rPr>
      <w:b/>
      <w:bCs/>
      <w:lang w:eastAsia="en-US"/>
    </w:rPr>
  </w:style>
  <w:style w:type="paragraph" w:styleId="FootnoteText">
    <w:name w:val="footnote text"/>
    <w:basedOn w:val="Normal"/>
    <w:link w:val="FootnoteTextChar"/>
    <w:uiPriority w:val="99"/>
    <w:semiHidden/>
    <w:unhideWhenUsed/>
    <w:rsid w:val="004149DA"/>
    <w:rPr>
      <w:sz w:val="20"/>
      <w:szCs w:val="20"/>
    </w:rPr>
  </w:style>
  <w:style w:type="character" w:customStyle="1" w:styleId="FootnoteTextChar">
    <w:name w:val="Footnote Text Char"/>
    <w:basedOn w:val="DefaultParagraphFont"/>
    <w:link w:val="FootnoteText"/>
    <w:uiPriority w:val="99"/>
    <w:semiHidden/>
    <w:rsid w:val="004149DA"/>
    <w:rPr>
      <w:lang w:eastAsia="en-US"/>
    </w:rPr>
  </w:style>
  <w:style w:type="character" w:styleId="FootnoteReference">
    <w:name w:val="footnote reference"/>
    <w:basedOn w:val="DefaultParagraphFont"/>
    <w:uiPriority w:val="99"/>
    <w:semiHidden/>
    <w:unhideWhenUsed/>
    <w:rsid w:val="004149DA"/>
    <w:rPr>
      <w:vertAlign w:val="superscript"/>
    </w:rPr>
  </w:style>
  <w:style w:type="character" w:styleId="UnresolvedMention">
    <w:name w:val="Unresolved Mention"/>
    <w:basedOn w:val="DefaultParagraphFont"/>
    <w:uiPriority w:val="99"/>
    <w:semiHidden/>
    <w:unhideWhenUsed/>
    <w:rsid w:val="004149DA"/>
    <w:rPr>
      <w:color w:val="605E5C"/>
      <w:shd w:val="clear" w:color="auto" w:fill="E1DFDD"/>
    </w:rPr>
  </w:style>
  <w:style w:type="character" w:styleId="FollowedHyperlink">
    <w:name w:val="FollowedHyperlink"/>
    <w:basedOn w:val="DefaultParagraphFont"/>
    <w:uiPriority w:val="99"/>
    <w:semiHidden/>
    <w:unhideWhenUsed/>
    <w:rsid w:val="00504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24459">
      <w:bodyDiv w:val="1"/>
      <w:marLeft w:val="0"/>
      <w:marRight w:val="0"/>
      <w:marTop w:val="0"/>
      <w:marBottom w:val="0"/>
      <w:divBdr>
        <w:top w:val="none" w:sz="0" w:space="0" w:color="auto"/>
        <w:left w:val="none" w:sz="0" w:space="0" w:color="auto"/>
        <w:bottom w:val="none" w:sz="0" w:space="0" w:color="auto"/>
        <w:right w:val="none" w:sz="0" w:space="0" w:color="auto"/>
      </w:divBdr>
    </w:div>
    <w:div w:id="741025146">
      <w:bodyDiv w:val="1"/>
      <w:marLeft w:val="0"/>
      <w:marRight w:val="0"/>
      <w:marTop w:val="0"/>
      <w:marBottom w:val="0"/>
      <w:divBdr>
        <w:top w:val="none" w:sz="0" w:space="0" w:color="auto"/>
        <w:left w:val="none" w:sz="0" w:space="0" w:color="auto"/>
        <w:bottom w:val="none" w:sz="0" w:space="0" w:color="auto"/>
        <w:right w:val="none" w:sz="0" w:space="0" w:color="auto"/>
      </w:divBdr>
    </w:div>
    <w:div w:id="1407994588">
      <w:bodyDiv w:val="1"/>
      <w:marLeft w:val="0"/>
      <w:marRight w:val="0"/>
      <w:marTop w:val="0"/>
      <w:marBottom w:val="0"/>
      <w:divBdr>
        <w:top w:val="none" w:sz="0" w:space="0" w:color="auto"/>
        <w:left w:val="none" w:sz="0" w:space="0" w:color="auto"/>
        <w:bottom w:val="none" w:sz="0" w:space="0" w:color="auto"/>
        <w:right w:val="none" w:sz="0" w:space="0" w:color="auto"/>
      </w:divBdr>
    </w:div>
    <w:div w:id="1587882446">
      <w:bodyDiv w:val="1"/>
      <w:marLeft w:val="0"/>
      <w:marRight w:val="0"/>
      <w:marTop w:val="0"/>
      <w:marBottom w:val="0"/>
      <w:divBdr>
        <w:top w:val="none" w:sz="0" w:space="0" w:color="auto"/>
        <w:left w:val="none" w:sz="0" w:space="0" w:color="auto"/>
        <w:bottom w:val="none" w:sz="0" w:space="0" w:color="auto"/>
        <w:right w:val="none" w:sz="0" w:space="0" w:color="auto"/>
      </w:divBdr>
    </w:div>
    <w:div w:id="1701322521">
      <w:bodyDiv w:val="1"/>
      <w:marLeft w:val="0"/>
      <w:marRight w:val="0"/>
      <w:marTop w:val="0"/>
      <w:marBottom w:val="0"/>
      <w:divBdr>
        <w:top w:val="none" w:sz="0" w:space="0" w:color="auto"/>
        <w:left w:val="none" w:sz="0" w:space="0" w:color="auto"/>
        <w:bottom w:val="none" w:sz="0" w:space="0" w:color="auto"/>
        <w:right w:val="none" w:sz="0" w:space="0" w:color="auto"/>
      </w:divBdr>
    </w:div>
    <w:div w:id="17206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06/123/oj" TargetMode="External"/><Relationship Id="rId7" Type="http://schemas.openxmlformats.org/officeDocument/2006/relationships/hyperlink" Target="https://single-market-economy.ec.europa.eu/single-market/services/free-movement-professionals/policy-developments/common-training-frameworks_en" TargetMode="External"/><Relationship Id="rId2" Type="http://schemas.openxmlformats.org/officeDocument/2006/relationships/hyperlink" Target="https://www.consilium.europa.eu/media/m5jlwe0p/euco-conclusions-20240417-18-en.pdf" TargetMode="External"/><Relationship Id="rId1" Type="http://schemas.openxmlformats.org/officeDocument/2006/relationships/hyperlink" Target="https://single-market-economy.ec.europa.eu/document/download/d92c78d0-7d47-4a16-b53f-1cead54bcb49_en?filename=Communication%20-%20Single%20Market%20Strategy.pdf" TargetMode="External"/><Relationship Id="rId6" Type="http://schemas.openxmlformats.org/officeDocument/2006/relationships/hyperlink" Target="https://eur-lex.europa.eu/legal-content/EN/ALL/?uri=COM:2024:0531:FIN" TargetMode="External"/><Relationship Id="rId5" Type="http://schemas.openxmlformats.org/officeDocument/2006/relationships/hyperlink" Target="https://eur-lex.europa.eu/legal-content/EN/TXT/?uri=CELEX:61994CJ0055" TargetMode="External"/><Relationship Id="rId4" Type="http://schemas.openxmlformats.org/officeDocument/2006/relationships/hyperlink" Target="https://eur-lex.europa.eu/legal-content/EN/TXT/?uri=CELEX%3A02005L0036-2024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E122-C943-4BE8-933A-66C3C596E9A7}">
  <ds:schemaRefs>
    <ds:schemaRef ds:uri="http://schemas.microsoft.com/sharepoint/v3/contenttype/forms"/>
  </ds:schemaRefs>
</ds:datastoreItem>
</file>

<file path=customXml/itemProps2.xml><?xml version="1.0" encoding="utf-8"?>
<ds:datastoreItem xmlns:ds="http://schemas.openxmlformats.org/officeDocument/2006/customXml" ds:itemID="{861177EB-D9F3-49C9-93AC-B211BDE74C01}">
  <ds:schemaRefs>
    <ds:schemaRef ds:uri="http://schemas.openxmlformats.org/officeDocument/2006/bibliography"/>
  </ds:schemaRefs>
</ds:datastoreItem>
</file>

<file path=customXml/itemProps3.xml><?xml version="1.0" encoding="utf-8"?>
<ds:datastoreItem xmlns:ds="http://schemas.openxmlformats.org/officeDocument/2006/customXml" ds:itemID="{3B4B3F74-9866-4986-854C-977197DB2E1F}">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2a565401-6124-4834-af4c-bc1a772a6083"/>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5DD69B8D-6CE2-48B0-BF44-35EC202F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3914</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2013-02-27T18:02:00Z</cp:lastPrinted>
  <dcterms:created xsi:type="dcterms:W3CDTF">2025-09-18T13:03:00Z</dcterms:created>
  <dcterms:modified xsi:type="dcterms:W3CDTF">2025-09-18T13:03:00Z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