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300"/>
      </w:tblGrid>
      <w:tr w:rsidR="001C4138" w:rsidRPr="00461A25" w14:paraId="30B76F57" w14:textId="77777777" w:rsidTr="000A037A">
        <w:trPr>
          <w:jc w:val="center"/>
        </w:trPr>
        <w:tc>
          <w:tcPr>
            <w:tcW w:w="10300" w:type="dxa"/>
          </w:tcPr>
          <w:p w14:paraId="3A99935F" w14:textId="34D6DCBA" w:rsidR="00461A25" w:rsidRPr="00F913CC" w:rsidRDefault="00F913CC" w:rsidP="006C797B">
            <w:pPr>
              <w:spacing w:before="120" w:after="120"/>
              <w:rPr>
                <w:rFonts w:ascii="Times New Roman" w:hAnsi="Times New Roman"/>
                <w:b/>
                <w:sz w:val="24"/>
                <w:szCs w:val="24"/>
              </w:rPr>
            </w:pPr>
            <w:r w:rsidRPr="006C797B">
              <w:rPr>
                <w:rFonts w:ascii="Times New Roman" w:hAnsi="Times New Roman"/>
                <w:b/>
                <w:sz w:val="24"/>
                <w:szCs w:val="24"/>
              </w:rPr>
              <w:t>Single market / Future enlargement of the Union</w:t>
            </w:r>
            <w:r w:rsidR="006C797B">
              <w:rPr>
                <w:rFonts w:ascii="Times New Roman" w:hAnsi="Times New Roman"/>
                <w:b/>
                <w:sz w:val="24"/>
                <w:szCs w:val="24"/>
              </w:rPr>
              <w:br/>
            </w:r>
            <w:r w:rsidRPr="006C797B">
              <w:rPr>
                <w:rFonts w:ascii="Times New Roman" w:hAnsi="Times New Roman"/>
                <w:b/>
                <w:sz w:val="24"/>
                <w:szCs w:val="24"/>
              </w:rPr>
              <w:t>(own initiative opinion</w:t>
            </w:r>
            <w:r w:rsidR="007F2740" w:rsidRPr="006C797B">
              <w:rPr>
                <w:rFonts w:ascii="Times New Roman" w:hAnsi="Times New Roman"/>
                <w:b/>
                <w:sz w:val="24"/>
                <w:szCs w:val="24"/>
              </w:rPr>
              <w:t>)</w:t>
            </w:r>
            <w:r w:rsidR="006C797B">
              <w:rPr>
                <w:rFonts w:ascii="Times New Roman" w:hAnsi="Times New Roman"/>
                <w:b/>
                <w:sz w:val="24"/>
                <w:szCs w:val="24"/>
              </w:rPr>
              <w:br/>
            </w:r>
            <w:r w:rsidR="001C4138" w:rsidRPr="006C797B">
              <w:rPr>
                <w:rFonts w:ascii="Times New Roman" w:hAnsi="Times New Roman"/>
                <w:b/>
                <w:sz w:val="24"/>
                <w:szCs w:val="24"/>
              </w:rPr>
              <w:t>EESC</w:t>
            </w:r>
            <w:r w:rsidR="007F2740" w:rsidRPr="006C797B">
              <w:rPr>
                <w:rFonts w:ascii="Times New Roman" w:hAnsi="Times New Roman"/>
                <w:b/>
                <w:sz w:val="24"/>
                <w:szCs w:val="24"/>
              </w:rPr>
              <w:t>-2024-02187</w:t>
            </w:r>
            <w:r w:rsidR="007F2740" w:rsidRPr="006C797B">
              <w:rPr>
                <w:rFonts w:ascii="Times New Roman" w:hAnsi="Times New Roman"/>
                <w:b/>
                <w:bCs/>
                <w:sz w:val="24"/>
                <w:szCs w:val="24"/>
              </w:rPr>
              <w:t xml:space="preserve"> – </w:t>
            </w:r>
            <w:r w:rsidR="00383A19" w:rsidRPr="006C797B">
              <w:rPr>
                <w:rFonts w:ascii="Times New Roman" w:hAnsi="Times New Roman"/>
                <w:b/>
                <w:sz w:val="24"/>
                <w:szCs w:val="24"/>
              </w:rPr>
              <w:t>INT/1058</w:t>
            </w:r>
            <w:r w:rsidR="006C797B">
              <w:rPr>
                <w:rFonts w:ascii="Times New Roman" w:hAnsi="Times New Roman"/>
                <w:b/>
                <w:sz w:val="24"/>
                <w:szCs w:val="24"/>
              </w:rPr>
              <w:br/>
            </w:r>
            <w:r w:rsidRPr="006C797B">
              <w:rPr>
                <w:rFonts w:ascii="Times New Roman" w:hAnsi="Times New Roman"/>
                <w:b/>
                <w:sz w:val="24"/>
                <w:szCs w:val="24"/>
              </w:rPr>
              <w:t>59</w:t>
            </w:r>
            <w:r w:rsidR="00383A19" w:rsidRPr="006C797B">
              <w:rPr>
                <w:rFonts w:ascii="Times New Roman" w:hAnsi="Times New Roman"/>
                <w:b/>
                <w:sz w:val="24"/>
                <w:szCs w:val="24"/>
              </w:rPr>
              <w:t>2</w:t>
            </w:r>
            <w:r w:rsidR="00383A19" w:rsidRPr="006C797B">
              <w:rPr>
                <w:rFonts w:ascii="Times New Roman" w:hAnsi="Times New Roman"/>
                <w:b/>
                <w:sz w:val="24"/>
                <w:szCs w:val="24"/>
                <w:vertAlign w:val="superscript"/>
                <w:lang w:val="en-IE"/>
              </w:rPr>
              <w:t>nd</w:t>
            </w:r>
            <w:r w:rsidR="001C4138" w:rsidRPr="006C797B">
              <w:rPr>
                <w:rFonts w:ascii="Times New Roman" w:hAnsi="Times New Roman"/>
                <w:b/>
                <w:sz w:val="24"/>
                <w:szCs w:val="24"/>
              </w:rPr>
              <w:t xml:space="preserve"> Plenary Session – </w:t>
            </w:r>
            <w:r w:rsidR="00383A19" w:rsidRPr="006C797B">
              <w:rPr>
                <w:rFonts w:ascii="Times New Roman" w:hAnsi="Times New Roman"/>
                <w:b/>
                <w:sz w:val="24"/>
                <w:szCs w:val="24"/>
              </w:rPr>
              <w:t>December</w:t>
            </w:r>
            <w:r w:rsidR="00702E0C" w:rsidRPr="006C797B">
              <w:rPr>
                <w:rFonts w:ascii="Times New Roman" w:hAnsi="Times New Roman"/>
                <w:b/>
                <w:sz w:val="24"/>
                <w:szCs w:val="24"/>
              </w:rPr>
              <w:t xml:space="preserve"> </w:t>
            </w:r>
            <w:r w:rsidR="001C4138" w:rsidRPr="006C797B">
              <w:rPr>
                <w:rFonts w:ascii="Times New Roman" w:hAnsi="Times New Roman"/>
                <w:b/>
                <w:sz w:val="24"/>
                <w:szCs w:val="24"/>
              </w:rPr>
              <w:t>20</w:t>
            </w:r>
            <w:r w:rsidR="00B62777" w:rsidRPr="006C797B">
              <w:rPr>
                <w:rFonts w:ascii="Times New Roman" w:hAnsi="Times New Roman"/>
                <w:b/>
                <w:sz w:val="24"/>
                <w:szCs w:val="24"/>
              </w:rPr>
              <w:t>24</w:t>
            </w:r>
            <w:r w:rsidR="001C4138" w:rsidRPr="006C797B">
              <w:rPr>
                <w:rFonts w:ascii="Times New Roman" w:hAnsi="Times New Roman"/>
                <w:b/>
                <w:sz w:val="24"/>
                <w:szCs w:val="24"/>
              </w:rPr>
              <w:br/>
              <w:t xml:space="preserve">Rapporteur: </w:t>
            </w:r>
            <w:r w:rsidR="00383A19" w:rsidRPr="006C797B">
              <w:rPr>
                <w:rFonts w:ascii="Times New Roman" w:hAnsi="Times New Roman"/>
                <w:b/>
                <w:bCs/>
                <w:sz w:val="24"/>
                <w:szCs w:val="24"/>
              </w:rPr>
              <w:t xml:space="preserve">Stoyan </w:t>
            </w:r>
            <w:r w:rsidR="000E560D" w:rsidRPr="006C797B">
              <w:rPr>
                <w:rFonts w:ascii="Times New Roman" w:hAnsi="Times New Roman"/>
                <w:b/>
                <w:bCs/>
                <w:sz w:val="24"/>
                <w:szCs w:val="24"/>
              </w:rPr>
              <w:t>TCHOUKANOV</w:t>
            </w:r>
            <w:r w:rsidR="00383A19" w:rsidRPr="006C797B" w:rsidDel="00383A19">
              <w:rPr>
                <w:rFonts w:ascii="Times New Roman" w:hAnsi="Times New Roman"/>
                <w:b/>
                <w:sz w:val="24"/>
                <w:szCs w:val="24"/>
              </w:rPr>
              <w:t xml:space="preserve"> </w:t>
            </w:r>
            <w:r w:rsidR="007F2740" w:rsidRPr="006C797B">
              <w:rPr>
                <w:rFonts w:ascii="Times New Roman" w:hAnsi="Times New Roman"/>
                <w:b/>
                <w:sz w:val="24"/>
                <w:szCs w:val="24"/>
              </w:rPr>
              <w:t>(BG-III)</w:t>
            </w:r>
            <w:r w:rsidR="001C4138" w:rsidRPr="006C797B">
              <w:rPr>
                <w:rFonts w:ascii="Times New Roman" w:hAnsi="Times New Roman"/>
                <w:b/>
                <w:sz w:val="24"/>
                <w:szCs w:val="24"/>
              </w:rPr>
              <w:br/>
              <w:t xml:space="preserve">DG </w:t>
            </w:r>
            <w:r w:rsidR="00083DE5" w:rsidRPr="006C797B">
              <w:rPr>
                <w:rFonts w:ascii="Times New Roman" w:hAnsi="Times New Roman"/>
                <w:b/>
                <w:sz w:val="24"/>
                <w:szCs w:val="24"/>
              </w:rPr>
              <w:t>E</w:t>
            </w:r>
            <w:r w:rsidR="006A651D">
              <w:rPr>
                <w:rFonts w:ascii="Times New Roman" w:hAnsi="Times New Roman"/>
                <w:b/>
                <w:sz w:val="24"/>
                <w:szCs w:val="24"/>
              </w:rPr>
              <w:t>NEST</w:t>
            </w:r>
            <w:r w:rsidR="001C4138" w:rsidRPr="006C797B">
              <w:rPr>
                <w:rFonts w:ascii="Times New Roman" w:hAnsi="Times New Roman"/>
                <w:b/>
                <w:sz w:val="24"/>
                <w:szCs w:val="24"/>
              </w:rPr>
              <w:t xml:space="preserve"> – Commissioner</w:t>
            </w:r>
            <w:r w:rsidR="003B1021" w:rsidRPr="006C797B">
              <w:rPr>
                <w:rFonts w:ascii="Times New Roman" w:hAnsi="Times New Roman"/>
                <w:b/>
                <w:sz w:val="24"/>
                <w:szCs w:val="24"/>
              </w:rPr>
              <w:t xml:space="preserve"> </w:t>
            </w:r>
            <w:r w:rsidR="00261176" w:rsidRPr="006C797B">
              <w:rPr>
                <w:rFonts w:ascii="Times New Roman" w:hAnsi="Times New Roman"/>
                <w:b/>
                <w:sz w:val="24"/>
                <w:szCs w:val="24"/>
              </w:rPr>
              <w:t>KOS</w:t>
            </w:r>
          </w:p>
        </w:tc>
      </w:tr>
      <w:tr w:rsidR="004F6117" w:rsidRPr="00461A25" w14:paraId="041809D9" w14:textId="77777777" w:rsidTr="000A037A">
        <w:trPr>
          <w:jc w:val="center"/>
        </w:trPr>
        <w:tc>
          <w:tcPr>
            <w:tcW w:w="10300" w:type="dxa"/>
          </w:tcPr>
          <w:p w14:paraId="52C253DC" w14:textId="31BCDCFD" w:rsidR="004F6117" w:rsidRPr="00461A25" w:rsidRDefault="0049246C" w:rsidP="00E8165A">
            <w:pPr>
              <w:spacing w:before="120" w:after="120"/>
              <w:jc w:val="center"/>
              <w:rPr>
                <w:rFonts w:ascii="Times New Roman" w:hAnsi="Times New Roman"/>
                <w:b/>
                <w:sz w:val="24"/>
                <w:szCs w:val="24"/>
                <w:highlight w:val="yellow"/>
              </w:rPr>
            </w:pPr>
            <w:r w:rsidRPr="00461A25">
              <w:rPr>
                <w:rFonts w:ascii="Times New Roman" w:hAnsi="Times New Roman"/>
                <w:b/>
                <w:sz w:val="24"/>
                <w:szCs w:val="24"/>
              </w:rPr>
              <w:t>European Commission position on points</w:t>
            </w:r>
            <w:r w:rsidRPr="00461A25">
              <w:rPr>
                <w:rFonts w:ascii="Times New Roman" w:hAnsi="Times New Roman"/>
                <w:b/>
                <w:sz w:val="24"/>
                <w:szCs w:val="24"/>
              </w:rPr>
              <w:br/>
              <w:t xml:space="preserve">of the European Economic and Social </w:t>
            </w:r>
            <w:r w:rsidR="00AC6A6F" w:rsidRPr="00461A25">
              <w:rPr>
                <w:rFonts w:ascii="Times New Roman" w:hAnsi="Times New Roman"/>
                <w:b/>
                <w:sz w:val="24"/>
                <w:szCs w:val="24"/>
              </w:rPr>
              <w:t xml:space="preserve">Committee </w:t>
            </w:r>
            <w:r w:rsidR="005209AD">
              <w:rPr>
                <w:rFonts w:ascii="Times New Roman" w:hAnsi="Times New Roman"/>
                <w:b/>
                <w:sz w:val="24"/>
                <w:szCs w:val="24"/>
              </w:rPr>
              <w:t xml:space="preserve">(EESC) </w:t>
            </w:r>
            <w:r w:rsidR="00AC6A6F" w:rsidRPr="00461A25">
              <w:rPr>
                <w:rFonts w:ascii="Times New Roman" w:hAnsi="Times New Roman"/>
                <w:b/>
                <w:sz w:val="24"/>
                <w:szCs w:val="24"/>
              </w:rPr>
              <w:t>opinion</w:t>
            </w:r>
            <w:r w:rsidR="00E83C12" w:rsidRPr="00461A25">
              <w:rPr>
                <w:rFonts w:ascii="Times New Roman" w:hAnsi="Times New Roman"/>
                <w:b/>
                <w:sz w:val="24"/>
                <w:szCs w:val="24"/>
              </w:rPr>
              <w:t xml:space="preserve"> considered as essential</w:t>
            </w:r>
          </w:p>
        </w:tc>
      </w:tr>
      <w:tr w:rsidR="00415FED" w:rsidRPr="00461A25" w14:paraId="06703519" w14:textId="77777777" w:rsidTr="000A037A">
        <w:trPr>
          <w:jc w:val="center"/>
        </w:trPr>
        <w:tc>
          <w:tcPr>
            <w:tcW w:w="10300" w:type="dxa"/>
          </w:tcPr>
          <w:p w14:paraId="394C4D73" w14:textId="73B91F22" w:rsidR="00AC6A6F" w:rsidRDefault="00AC6A6F" w:rsidP="006C797B">
            <w:pPr>
              <w:widowControl w:val="0"/>
              <w:spacing w:before="120" w:after="120"/>
              <w:jc w:val="both"/>
              <w:rPr>
                <w:rFonts w:ascii="Times New Roman" w:hAnsi="Times New Roman"/>
                <w:sz w:val="24"/>
                <w:szCs w:val="24"/>
              </w:rPr>
            </w:pPr>
            <w:r w:rsidRPr="4264B519">
              <w:rPr>
                <w:rFonts w:ascii="Times New Roman" w:hAnsi="Times New Roman"/>
                <w:sz w:val="24"/>
                <w:szCs w:val="24"/>
              </w:rPr>
              <w:t>The Commission</w:t>
            </w:r>
            <w:r w:rsidR="00F96669" w:rsidRPr="4264B519">
              <w:rPr>
                <w:rFonts w:ascii="Times New Roman" w:hAnsi="Times New Roman"/>
                <w:sz w:val="24"/>
                <w:szCs w:val="24"/>
              </w:rPr>
              <w:t xml:space="preserve"> </w:t>
            </w:r>
            <w:r w:rsidRPr="4264B519">
              <w:rPr>
                <w:rFonts w:ascii="Times New Roman" w:hAnsi="Times New Roman"/>
                <w:sz w:val="24"/>
                <w:szCs w:val="24"/>
              </w:rPr>
              <w:t xml:space="preserve">supports the </w:t>
            </w:r>
            <w:r w:rsidR="00F96669" w:rsidRPr="4264B519">
              <w:rPr>
                <w:rFonts w:ascii="Times New Roman" w:hAnsi="Times New Roman"/>
                <w:sz w:val="24"/>
                <w:szCs w:val="24"/>
              </w:rPr>
              <w:t xml:space="preserve">overall </w:t>
            </w:r>
            <w:r w:rsidRPr="4264B519">
              <w:rPr>
                <w:rFonts w:ascii="Times New Roman" w:hAnsi="Times New Roman"/>
                <w:sz w:val="24"/>
                <w:szCs w:val="24"/>
              </w:rPr>
              <w:t xml:space="preserve">conclusion of </w:t>
            </w:r>
            <w:r w:rsidR="003B1021" w:rsidRPr="4264B519">
              <w:rPr>
                <w:rFonts w:ascii="Times New Roman" w:hAnsi="Times New Roman"/>
                <w:sz w:val="24"/>
                <w:szCs w:val="24"/>
              </w:rPr>
              <w:t xml:space="preserve">the </w:t>
            </w:r>
            <w:r w:rsidRPr="4264B519">
              <w:rPr>
                <w:rFonts w:ascii="Times New Roman" w:hAnsi="Times New Roman"/>
                <w:sz w:val="24"/>
                <w:szCs w:val="24"/>
              </w:rPr>
              <w:t xml:space="preserve">opinion </w:t>
            </w:r>
            <w:r w:rsidR="00893620" w:rsidRPr="4264B519">
              <w:rPr>
                <w:rFonts w:ascii="Times New Roman" w:hAnsi="Times New Roman"/>
                <w:sz w:val="24"/>
                <w:szCs w:val="24"/>
              </w:rPr>
              <w:t>that</w:t>
            </w:r>
            <w:r w:rsidRPr="4264B519">
              <w:rPr>
                <w:rFonts w:ascii="Times New Roman" w:hAnsi="Times New Roman"/>
                <w:sz w:val="24"/>
                <w:szCs w:val="24"/>
              </w:rPr>
              <w:t xml:space="preserve"> </w:t>
            </w:r>
            <w:r w:rsidR="003B1021" w:rsidRPr="4264B519">
              <w:rPr>
                <w:rFonts w:ascii="Times New Roman" w:hAnsi="Times New Roman"/>
                <w:sz w:val="24"/>
                <w:szCs w:val="24"/>
              </w:rPr>
              <w:t xml:space="preserve">the </w:t>
            </w:r>
            <w:r w:rsidR="005B6FB9" w:rsidRPr="4264B519">
              <w:rPr>
                <w:rFonts w:ascii="Times New Roman" w:hAnsi="Times New Roman"/>
                <w:sz w:val="24"/>
                <w:szCs w:val="24"/>
              </w:rPr>
              <w:t>e</w:t>
            </w:r>
            <w:r w:rsidRPr="4264B519">
              <w:rPr>
                <w:rFonts w:ascii="Times New Roman" w:hAnsi="Times New Roman"/>
                <w:sz w:val="24"/>
                <w:szCs w:val="24"/>
              </w:rPr>
              <w:t xml:space="preserve">nlargement of the European Union is both a geopolitical imperative and an economic benefit for the </w:t>
            </w:r>
            <w:proofErr w:type="gramStart"/>
            <w:r w:rsidRPr="4264B519">
              <w:rPr>
                <w:rFonts w:ascii="Times New Roman" w:hAnsi="Times New Roman"/>
                <w:sz w:val="24"/>
                <w:szCs w:val="24"/>
              </w:rPr>
              <w:t>E</w:t>
            </w:r>
            <w:r w:rsidR="003B1021" w:rsidRPr="4264B519">
              <w:rPr>
                <w:rFonts w:ascii="Times New Roman" w:hAnsi="Times New Roman"/>
                <w:sz w:val="24"/>
                <w:szCs w:val="24"/>
              </w:rPr>
              <w:t>U</w:t>
            </w:r>
            <w:r w:rsidRPr="4264B519">
              <w:rPr>
                <w:rFonts w:ascii="Times New Roman" w:hAnsi="Times New Roman"/>
                <w:sz w:val="24"/>
                <w:szCs w:val="24"/>
              </w:rPr>
              <w:t xml:space="preserve"> as a whole</w:t>
            </w:r>
            <w:proofErr w:type="gramEnd"/>
            <w:r w:rsidRPr="4264B519">
              <w:rPr>
                <w:rFonts w:ascii="Times New Roman" w:hAnsi="Times New Roman"/>
                <w:sz w:val="24"/>
                <w:szCs w:val="24"/>
              </w:rPr>
              <w:t>.</w:t>
            </w:r>
            <w:r w:rsidR="004F2A7F" w:rsidRPr="4264B519">
              <w:rPr>
                <w:rFonts w:ascii="Times New Roman" w:hAnsi="Times New Roman"/>
                <w:sz w:val="24"/>
                <w:szCs w:val="24"/>
              </w:rPr>
              <w:t xml:space="preserve"> </w:t>
            </w:r>
            <w:r w:rsidR="00F96669" w:rsidRPr="4264B519">
              <w:rPr>
                <w:rFonts w:ascii="Times New Roman" w:hAnsi="Times New Roman"/>
                <w:sz w:val="24"/>
                <w:szCs w:val="24"/>
              </w:rPr>
              <w:t>It would</w:t>
            </w:r>
            <w:r w:rsidRPr="4264B519">
              <w:rPr>
                <w:rFonts w:ascii="Times New Roman" w:hAnsi="Times New Roman"/>
                <w:sz w:val="24"/>
                <w:szCs w:val="24"/>
              </w:rPr>
              <w:t>, however,</w:t>
            </w:r>
            <w:r w:rsidR="00F96669" w:rsidRPr="4264B519">
              <w:rPr>
                <w:rFonts w:ascii="Times New Roman" w:hAnsi="Times New Roman"/>
                <w:sz w:val="24"/>
                <w:szCs w:val="24"/>
              </w:rPr>
              <w:t xml:space="preserve"> have</w:t>
            </w:r>
            <w:r w:rsidRPr="4264B519">
              <w:rPr>
                <w:rFonts w:ascii="Times New Roman" w:hAnsi="Times New Roman"/>
                <w:sz w:val="24"/>
                <w:szCs w:val="24"/>
              </w:rPr>
              <w:t xml:space="preserve"> </w:t>
            </w:r>
            <w:r w:rsidR="00F96669" w:rsidRPr="4264B519">
              <w:rPr>
                <w:rFonts w:ascii="Times New Roman" w:hAnsi="Times New Roman"/>
                <w:sz w:val="24"/>
                <w:szCs w:val="24"/>
              </w:rPr>
              <w:t>the following</w:t>
            </w:r>
            <w:r w:rsidRPr="4264B519">
              <w:rPr>
                <w:rFonts w:ascii="Times New Roman" w:hAnsi="Times New Roman"/>
                <w:sz w:val="24"/>
                <w:szCs w:val="24"/>
              </w:rPr>
              <w:t xml:space="preserve"> comments </w:t>
            </w:r>
            <w:r w:rsidR="00F96669" w:rsidRPr="4264B519">
              <w:rPr>
                <w:rFonts w:ascii="Times New Roman" w:hAnsi="Times New Roman"/>
                <w:sz w:val="24"/>
                <w:szCs w:val="24"/>
              </w:rPr>
              <w:t>on some of the recommendations set out in the opinion</w:t>
            </w:r>
            <w:r w:rsidRPr="4264B519">
              <w:rPr>
                <w:rFonts w:ascii="Times New Roman" w:hAnsi="Times New Roman"/>
                <w:sz w:val="24"/>
                <w:szCs w:val="24"/>
              </w:rPr>
              <w:t>.</w:t>
            </w:r>
          </w:p>
          <w:p w14:paraId="090D989B" w14:textId="395FB0B0" w:rsidR="00CE3A40" w:rsidRPr="00667BE7" w:rsidRDefault="00CE3A40" w:rsidP="006C797B">
            <w:pPr>
              <w:widowControl w:val="0"/>
              <w:spacing w:before="120" w:after="120"/>
              <w:jc w:val="both"/>
              <w:rPr>
                <w:rFonts w:ascii="Times New Roman" w:eastAsia="Times New Roman" w:hAnsi="Times New Roman"/>
                <w:sz w:val="24"/>
                <w:szCs w:val="24"/>
              </w:rPr>
            </w:pPr>
            <w:r w:rsidRPr="4264B519">
              <w:rPr>
                <w:rFonts w:ascii="Times New Roman" w:hAnsi="Times New Roman"/>
                <w:b/>
                <w:bCs/>
                <w:sz w:val="24"/>
                <w:szCs w:val="24"/>
              </w:rPr>
              <w:t>Recommendation 1.1</w:t>
            </w:r>
            <w:r w:rsidRPr="4264B519">
              <w:rPr>
                <w:rFonts w:ascii="Times New Roman" w:hAnsi="Times New Roman"/>
                <w:sz w:val="24"/>
                <w:szCs w:val="24"/>
              </w:rPr>
              <w:t>.</w:t>
            </w:r>
            <w:r w:rsidR="006C797B">
              <w:rPr>
                <w:rFonts w:ascii="Times New Roman" w:hAnsi="Times New Roman"/>
                <w:sz w:val="24"/>
                <w:szCs w:val="24"/>
              </w:rPr>
              <w:t>:</w:t>
            </w:r>
            <w:r w:rsidRPr="4264B519">
              <w:rPr>
                <w:rFonts w:ascii="Times New Roman" w:hAnsi="Times New Roman"/>
                <w:sz w:val="24"/>
                <w:szCs w:val="24"/>
              </w:rPr>
              <w:t xml:space="preserve"> </w:t>
            </w:r>
            <w:r w:rsidRPr="4264B519">
              <w:rPr>
                <w:rFonts w:ascii="Times New Roman" w:eastAsia="Times New Roman" w:hAnsi="Times New Roman"/>
                <w:sz w:val="24"/>
                <w:szCs w:val="24"/>
              </w:rPr>
              <w:t xml:space="preserve">The Commission agrees with the EESC on the importance of ensuring the EU is prepared for enlargement alongside candidate countries </w:t>
            </w:r>
            <w:proofErr w:type="gramStart"/>
            <w:r w:rsidRPr="4264B519">
              <w:rPr>
                <w:rFonts w:ascii="Times New Roman" w:eastAsia="Times New Roman" w:hAnsi="Times New Roman"/>
                <w:sz w:val="24"/>
                <w:szCs w:val="24"/>
              </w:rPr>
              <w:t>in order to</w:t>
            </w:r>
            <w:proofErr w:type="gramEnd"/>
            <w:r w:rsidRPr="4264B519">
              <w:rPr>
                <w:rFonts w:ascii="Times New Roman" w:eastAsia="Times New Roman" w:hAnsi="Times New Roman"/>
                <w:sz w:val="24"/>
                <w:szCs w:val="24"/>
              </w:rPr>
              <w:t xml:space="preserve"> reap the benefits of a larger Single Market. In line with the recommendations of Enrico Letta’s </w:t>
            </w:r>
            <w:r w:rsidR="000E560D">
              <w:rPr>
                <w:rFonts w:ascii="Times New Roman" w:eastAsia="Times New Roman" w:hAnsi="Times New Roman"/>
                <w:sz w:val="24"/>
                <w:szCs w:val="24"/>
              </w:rPr>
              <w:t>‘</w:t>
            </w:r>
            <w:r w:rsidRPr="4264B519">
              <w:rPr>
                <w:rFonts w:ascii="Times New Roman" w:eastAsia="Times New Roman" w:hAnsi="Times New Roman"/>
                <w:sz w:val="24"/>
                <w:szCs w:val="24"/>
              </w:rPr>
              <w:t xml:space="preserve">Much more than a </w:t>
            </w:r>
            <w:r>
              <w:rPr>
                <w:rFonts w:ascii="Times New Roman" w:eastAsia="Times New Roman" w:hAnsi="Times New Roman"/>
                <w:sz w:val="24"/>
                <w:szCs w:val="24"/>
              </w:rPr>
              <w:t>ma</w:t>
            </w:r>
            <w:r w:rsidRPr="4264B519">
              <w:rPr>
                <w:rFonts w:ascii="Times New Roman" w:eastAsia="Times New Roman" w:hAnsi="Times New Roman"/>
                <w:sz w:val="24"/>
                <w:szCs w:val="24"/>
              </w:rPr>
              <w:t>rket</w:t>
            </w:r>
            <w:r w:rsidR="000E560D">
              <w:rPr>
                <w:rFonts w:ascii="Times New Roman" w:eastAsia="Times New Roman" w:hAnsi="Times New Roman"/>
                <w:sz w:val="24"/>
                <w:szCs w:val="24"/>
              </w:rPr>
              <w:t>’</w:t>
            </w:r>
            <w:r w:rsidRPr="4264B519">
              <w:rPr>
                <w:rFonts w:ascii="Times New Roman" w:eastAsia="Times New Roman" w:hAnsi="Times New Roman"/>
                <w:sz w:val="24"/>
                <w:szCs w:val="24"/>
              </w:rPr>
              <w:t xml:space="preserve"> report</w:t>
            </w:r>
            <w:r>
              <w:rPr>
                <w:rStyle w:val="FootnoteReference"/>
                <w:rFonts w:ascii="Times New Roman" w:eastAsia="Times New Roman" w:hAnsi="Times New Roman"/>
                <w:szCs w:val="24"/>
              </w:rPr>
              <w:footnoteReference w:id="2"/>
            </w:r>
            <w:r>
              <w:rPr>
                <w:rFonts w:ascii="Times New Roman" w:eastAsia="Times New Roman" w:hAnsi="Times New Roman"/>
                <w:sz w:val="24"/>
                <w:szCs w:val="24"/>
              </w:rPr>
              <w:t>, the Commission is committed to enhancing Single Market integration while preparing for enlargement. The Commission acknowledges</w:t>
            </w:r>
            <w:r w:rsidRPr="00726647">
              <w:rPr>
                <w:rFonts w:ascii="Times New Roman" w:eastAsia="Times New Roman" w:hAnsi="Times New Roman"/>
                <w:sz w:val="24"/>
                <w:szCs w:val="24"/>
              </w:rPr>
              <w:t xml:space="preserve"> </w:t>
            </w:r>
            <w:r>
              <w:rPr>
                <w:rFonts w:ascii="Times New Roman" w:eastAsia="Times New Roman" w:hAnsi="Times New Roman"/>
                <w:sz w:val="24"/>
                <w:szCs w:val="24"/>
              </w:rPr>
              <w:t xml:space="preserve">that further improving the functioning of the </w:t>
            </w:r>
            <w:r w:rsidRPr="6C2D98A5">
              <w:rPr>
                <w:rFonts w:ascii="Times New Roman" w:eastAsia="Times New Roman" w:hAnsi="Times New Roman"/>
                <w:sz w:val="24"/>
                <w:szCs w:val="24"/>
              </w:rPr>
              <w:t>Single Market</w:t>
            </w:r>
            <w:r>
              <w:rPr>
                <w:rFonts w:ascii="Times New Roman" w:eastAsia="Times New Roman" w:hAnsi="Times New Roman"/>
                <w:sz w:val="24"/>
                <w:szCs w:val="24"/>
              </w:rPr>
              <w:t xml:space="preserve"> in key sectors will</w:t>
            </w:r>
            <w:r w:rsidRPr="6C2D98A5">
              <w:rPr>
                <w:rFonts w:ascii="Times New Roman" w:eastAsia="Times New Roman" w:hAnsi="Times New Roman"/>
                <w:sz w:val="24"/>
                <w:szCs w:val="24"/>
              </w:rPr>
              <w:t xml:space="preserve"> boost economic growth, and ensure it is ready to expand in a way that benefits</w:t>
            </w:r>
            <w:r w:rsidRPr="00726647">
              <w:rPr>
                <w:rFonts w:ascii="Times New Roman" w:eastAsia="Times New Roman" w:hAnsi="Times New Roman"/>
                <w:sz w:val="24"/>
                <w:szCs w:val="24"/>
              </w:rPr>
              <w:t xml:space="preserve"> both existing Member States and candidate countries.</w:t>
            </w:r>
            <w:r>
              <w:rPr>
                <w:rFonts w:ascii="Times New Roman" w:eastAsia="Times New Roman" w:hAnsi="Times New Roman"/>
                <w:sz w:val="24"/>
                <w:szCs w:val="24"/>
              </w:rPr>
              <w:t xml:space="preserve"> The Commission is pursuing </w:t>
            </w:r>
            <w:r w:rsidRPr="6C2D98A5">
              <w:rPr>
                <w:rFonts w:ascii="Times New Roman" w:eastAsia="Times New Roman" w:hAnsi="Times New Roman"/>
                <w:sz w:val="24"/>
                <w:szCs w:val="24"/>
              </w:rPr>
              <w:t xml:space="preserve">a </w:t>
            </w:r>
            <w:r>
              <w:rPr>
                <w:rFonts w:ascii="Times New Roman" w:eastAsia="Times New Roman" w:hAnsi="Times New Roman"/>
                <w:sz w:val="24"/>
                <w:szCs w:val="24"/>
              </w:rPr>
              <w:t>gradual</w:t>
            </w:r>
            <w:r w:rsidRPr="6C2D98A5">
              <w:rPr>
                <w:rFonts w:ascii="Times New Roman" w:eastAsia="Times New Roman" w:hAnsi="Times New Roman"/>
                <w:sz w:val="24"/>
                <w:szCs w:val="24"/>
              </w:rPr>
              <w:t xml:space="preserve"> integration approach, where candidate countries </w:t>
            </w:r>
            <w:r w:rsidR="005F0963">
              <w:rPr>
                <w:rFonts w:ascii="Times New Roman" w:eastAsia="Times New Roman" w:hAnsi="Times New Roman"/>
                <w:sz w:val="24"/>
                <w:szCs w:val="24"/>
              </w:rPr>
              <w:t xml:space="preserve">and potential candidates </w:t>
            </w:r>
            <w:r w:rsidRPr="6C2D98A5">
              <w:rPr>
                <w:rFonts w:ascii="Times New Roman" w:eastAsia="Times New Roman" w:hAnsi="Times New Roman"/>
                <w:sz w:val="24"/>
                <w:szCs w:val="24"/>
              </w:rPr>
              <w:t>can gradually participate in specific elements of the Single Market, ensuring economic convergence and avoiding destabilis</w:t>
            </w:r>
            <w:r w:rsidRPr="00A75E97">
              <w:rPr>
                <w:rFonts w:ascii="Times New Roman" w:eastAsia="Times New Roman" w:hAnsi="Times New Roman"/>
                <w:sz w:val="24"/>
                <w:szCs w:val="24"/>
              </w:rPr>
              <w:t>ation.</w:t>
            </w:r>
          </w:p>
          <w:p w14:paraId="2DF2179A" w14:textId="270A1074" w:rsidR="00AC6A6F" w:rsidRPr="00461A25" w:rsidRDefault="00AC6A6F" w:rsidP="006C797B">
            <w:pPr>
              <w:widowControl w:val="0"/>
              <w:spacing w:before="120" w:after="120"/>
              <w:jc w:val="both"/>
              <w:rPr>
                <w:rFonts w:ascii="Times New Roman" w:hAnsi="Times New Roman"/>
                <w:sz w:val="24"/>
                <w:szCs w:val="24"/>
              </w:rPr>
            </w:pPr>
            <w:r w:rsidRPr="00461A25">
              <w:rPr>
                <w:rFonts w:ascii="Times New Roman" w:hAnsi="Times New Roman"/>
                <w:b/>
                <w:bCs/>
                <w:sz w:val="24"/>
                <w:szCs w:val="24"/>
              </w:rPr>
              <w:t>Recommendation 1.3</w:t>
            </w:r>
            <w:r w:rsidR="003B1021">
              <w:rPr>
                <w:rFonts w:ascii="Times New Roman" w:hAnsi="Times New Roman"/>
                <w:b/>
                <w:bCs/>
                <w:sz w:val="24"/>
                <w:szCs w:val="24"/>
              </w:rPr>
              <w:t>.</w:t>
            </w:r>
            <w:r w:rsidR="006C797B" w:rsidRPr="006C797B">
              <w:rPr>
                <w:rFonts w:ascii="Times New Roman" w:hAnsi="Times New Roman"/>
                <w:sz w:val="24"/>
                <w:szCs w:val="24"/>
              </w:rPr>
              <w:t>:</w:t>
            </w:r>
            <w:r w:rsidRPr="00461A25">
              <w:rPr>
                <w:rFonts w:ascii="Times New Roman" w:hAnsi="Times New Roman"/>
                <w:sz w:val="24"/>
                <w:szCs w:val="24"/>
              </w:rPr>
              <w:t xml:space="preserve"> </w:t>
            </w:r>
            <w:r w:rsidR="003B1021">
              <w:rPr>
                <w:rFonts w:ascii="Times New Roman" w:hAnsi="Times New Roman"/>
                <w:sz w:val="24"/>
                <w:szCs w:val="24"/>
              </w:rPr>
              <w:t>T</w:t>
            </w:r>
            <w:r w:rsidRPr="00461A25">
              <w:rPr>
                <w:rFonts w:ascii="Times New Roman" w:hAnsi="Times New Roman"/>
                <w:sz w:val="24"/>
                <w:szCs w:val="24"/>
              </w:rPr>
              <w:t>he Commission underlines the importance of the Growth Plan for the Western Balkans</w:t>
            </w:r>
            <w:r w:rsidRPr="4264B519">
              <w:rPr>
                <w:rStyle w:val="FootnoteReference"/>
                <w:rFonts w:ascii="Times New Roman" w:hAnsi="Times New Roman"/>
              </w:rPr>
              <w:footnoteReference w:id="3"/>
            </w:r>
            <w:r w:rsidRPr="00461A25">
              <w:rPr>
                <w:rFonts w:ascii="Times New Roman" w:hAnsi="Times New Roman"/>
                <w:sz w:val="24"/>
                <w:szCs w:val="24"/>
              </w:rPr>
              <w:t>, the Growth Plan for the Republic of Moldova</w:t>
            </w:r>
            <w:r w:rsidRPr="4264B519">
              <w:rPr>
                <w:rStyle w:val="FootnoteReference"/>
                <w:rFonts w:ascii="Times New Roman" w:hAnsi="Times New Roman"/>
              </w:rPr>
              <w:footnoteReference w:id="4"/>
            </w:r>
            <w:r w:rsidRPr="00461A25">
              <w:rPr>
                <w:rFonts w:ascii="Times New Roman" w:hAnsi="Times New Roman"/>
                <w:sz w:val="24"/>
                <w:szCs w:val="24"/>
              </w:rPr>
              <w:t>, and the Ukraine Facility</w:t>
            </w:r>
            <w:r w:rsidR="008248DF">
              <w:rPr>
                <w:rStyle w:val="FootnoteReference"/>
                <w:rFonts w:ascii="Times New Roman" w:hAnsi="Times New Roman"/>
                <w:szCs w:val="24"/>
              </w:rPr>
              <w:footnoteReference w:id="5"/>
            </w:r>
            <w:r w:rsidRPr="00461A25">
              <w:rPr>
                <w:rFonts w:ascii="Times New Roman" w:hAnsi="Times New Roman"/>
                <w:sz w:val="24"/>
                <w:szCs w:val="24"/>
              </w:rPr>
              <w:t xml:space="preserve">, and </w:t>
            </w:r>
            <w:proofErr w:type="gramStart"/>
            <w:r w:rsidRPr="00461A25">
              <w:rPr>
                <w:rFonts w:ascii="Times New Roman" w:hAnsi="Times New Roman"/>
                <w:sz w:val="24"/>
                <w:szCs w:val="24"/>
              </w:rPr>
              <w:t>in particular the</w:t>
            </w:r>
            <w:proofErr w:type="gramEnd"/>
            <w:r w:rsidRPr="00461A25">
              <w:rPr>
                <w:rFonts w:ascii="Times New Roman" w:hAnsi="Times New Roman"/>
                <w:sz w:val="24"/>
                <w:szCs w:val="24"/>
              </w:rPr>
              <w:t xml:space="preserve"> reform component integral to each of them. Across the candidate countries and potential candidates, the aim is to ensure the highest level of preparedness possible including undertaking fundamental reforms in advance of </w:t>
            </w:r>
            <w:r w:rsidR="005B6FB9">
              <w:rPr>
                <w:rFonts w:ascii="Times New Roman" w:hAnsi="Times New Roman"/>
                <w:sz w:val="24"/>
                <w:szCs w:val="24"/>
              </w:rPr>
              <w:t>a</w:t>
            </w:r>
            <w:r w:rsidRPr="00461A25">
              <w:rPr>
                <w:rFonts w:ascii="Times New Roman" w:hAnsi="Times New Roman"/>
                <w:sz w:val="24"/>
                <w:szCs w:val="24"/>
              </w:rPr>
              <w:t xml:space="preserve">ccession. In the context of the opinion, the Commission would draw particular </w:t>
            </w:r>
            <w:r w:rsidR="003B1021">
              <w:rPr>
                <w:rFonts w:ascii="Times New Roman" w:hAnsi="Times New Roman"/>
                <w:sz w:val="24"/>
                <w:szCs w:val="24"/>
              </w:rPr>
              <w:t>attention</w:t>
            </w:r>
            <w:r w:rsidR="003B1021" w:rsidRPr="00461A25">
              <w:rPr>
                <w:rFonts w:ascii="Times New Roman" w:hAnsi="Times New Roman"/>
                <w:sz w:val="24"/>
                <w:szCs w:val="24"/>
              </w:rPr>
              <w:t xml:space="preserve"> </w:t>
            </w:r>
            <w:r w:rsidRPr="00461A25">
              <w:rPr>
                <w:rFonts w:ascii="Times New Roman" w:hAnsi="Times New Roman"/>
                <w:sz w:val="24"/>
                <w:szCs w:val="24"/>
              </w:rPr>
              <w:t xml:space="preserve">to the reforms </w:t>
            </w:r>
            <w:r w:rsidR="00F96669">
              <w:rPr>
                <w:rFonts w:ascii="Times New Roman" w:hAnsi="Times New Roman"/>
                <w:sz w:val="24"/>
                <w:szCs w:val="24"/>
              </w:rPr>
              <w:t>relating to</w:t>
            </w:r>
            <w:r w:rsidRPr="00461A25">
              <w:rPr>
                <w:rFonts w:ascii="Times New Roman" w:hAnsi="Times New Roman"/>
                <w:sz w:val="24"/>
                <w:szCs w:val="24"/>
              </w:rPr>
              <w:t xml:space="preserve"> the business environment and on human capital development</w:t>
            </w:r>
            <w:r w:rsidR="00F96669">
              <w:rPr>
                <w:rFonts w:ascii="Times New Roman" w:hAnsi="Times New Roman"/>
                <w:sz w:val="24"/>
                <w:szCs w:val="24"/>
              </w:rPr>
              <w:t>, which are</w:t>
            </w:r>
            <w:r w:rsidRPr="00461A25">
              <w:rPr>
                <w:rFonts w:ascii="Times New Roman" w:hAnsi="Times New Roman"/>
                <w:sz w:val="24"/>
                <w:szCs w:val="24"/>
              </w:rPr>
              <w:t xml:space="preserve"> essential to support the economies as a whole and in particular </w:t>
            </w:r>
            <w:r w:rsidR="00C03BEC" w:rsidRPr="00C03BEC">
              <w:rPr>
                <w:rFonts w:ascii="Times New Roman" w:hAnsi="Times New Roman"/>
                <w:sz w:val="24"/>
                <w:szCs w:val="24"/>
              </w:rPr>
              <w:t>Small and Medium-sized Enterprise</w:t>
            </w:r>
            <w:r w:rsidRPr="00461A25">
              <w:rPr>
                <w:rFonts w:ascii="Times New Roman" w:hAnsi="Times New Roman"/>
                <w:sz w:val="24"/>
                <w:szCs w:val="24"/>
              </w:rPr>
              <w:t>s. The reform focus on increasing the competitiveness of our partners’ economies will help reduce</w:t>
            </w:r>
            <w:r w:rsidR="00F96669">
              <w:rPr>
                <w:rFonts w:ascii="Times New Roman" w:hAnsi="Times New Roman"/>
                <w:sz w:val="24"/>
                <w:szCs w:val="24"/>
              </w:rPr>
              <w:t xml:space="preserve"> a</w:t>
            </w:r>
            <w:r w:rsidRPr="00461A25">
              <w:rPr>
                <w:rFonts w:ascii="Times New Roman" w:hAnsi="Times New Roman"/>
                <w:sz w:val="24"/>
                <w:szCs w:val="24"/>
              </w:rPr>
              <w:t xml:space="preserve"> possible </w:t>
            </w:r>
            <w:r w:rsidR="000E560D">
              <w:rPr>
                <w:rFonts w:ascii="Times New Roman" w:hAnsi="Times New Roman"/>
                <w:sz w:val="24"/>
                <w:szCs w:val="24"/>
              </w:rPr>
              <w:t>‘</w:t>
            </w:r>
            <w:r w:rsidRPr="00461A25">
              <w:rPr>
                <w:rFonts w:ascii="Times New Roman" w:hAnsi="Times New Roman"/>
                <w:sz w:val="24"/>
                <w:szCs w:val="24"/>
              </w:rPr>
              <w:t>winners and losers</w:t>
            </w:r>
            <w:r w:rsidR="000E560D">
              <w:rPr>
                <w:rFonts w:ascii="Times New Roman" w:hAnsi="Times New Roman"/>
                <w:sz w:val="24"/>
                <w:szCs w:val="24"/>
              </w:rPr>
              <w:t>’</w:t>
            </w:r>
            <w:r w:rsidRPr="00461A25">
              <w:rPr>
                <w:rFonts w:ascii="Times New Roman" w:hAnsi="Times New Roman"/>
                <w:sz w:val="24"/>
                <w:szCs w:val="24"/>
              </w:rPr>
              <w:t xml:space="preserve"> dynamic. In addition, the Commission’s approach is that any integration with the EU Single Market in advance of accession can only be </w:t>
            </w:r>
            <w:r w:rsidR="003B1021">
              <w:rPr>
                <w:rFonts w:ascii="Times New Roman" w:hAnsi="Times New Roman"/>
                <w:sz w:val="24"/>
                <w:szCs w:val="24"/>
              </w:rPr>
              <w:t xml:space="preserve">done </w:t>
            </w:r>
            <w:r w:rsidR="00A81FF4" w:rsidRPr="00461A25">
              <w:rPr>
                <w:rFonts w:ascii="Times New Roman" w:hAnsi="Times New Roman"/>
                <w:sz w:val="24"/>
                <w:szCs w:val="24"/>
              </w:rPr>
              <w:t>based on</w:t>
            </w:r>
            <w:r w:rsidRPr="00461A25">
              <w:rPr>
                <w:rFonts w:ascii="Times New Roman" w:hAnsi="Times New Roman"/>
                <w:sz w:val="24"/>
                <w:szCs w:val="24"/>
              </w:rPr>
              <w:t xml:space="preserve"> </w:t>
            </w:r>
            <w:r w:rsidR="003B1021">
              <w:rPr>
                <w:rFonts w:ascii="Times New Roman" w:hAnsi="Times New Roman"/>
                <w:sz w:val="24"/>
                <w:szCs w:val="24"/>
              </w:rPr>
              <w:t xml:space="preserve">the </w:t>
            </w:r>
            <w:r w:rsidRPr="00461A25">
              <w:rPr>
                <w:rFonts w:ascii="Times New Roman" w:hAnsi="Times New Roman"/>
                <w:sz w:val="24"/>
                <w:szCs w:val="24"/>
              </w:rPr>
              <w:t>alignment by our partners with EU standards and practices.</w:t>
            </w:r>
          </w:p>
          <w:p w14:paraId="4762DC2A" w14:textId="5E468F1B" w:rsidR="00CE3A40" w:rsidRPr="006C797B" w:rsidRDefault="4185CE82" w:rsidP="006C797B">
            <w:pPr>
              <w:widowControl w:val="0"/>
              <w:spacing w:before="120" w:after="120"/>
              <w:jc w:val="both"/>
              <w:rPr>
                <w:rFonts w:ascii="Times New Roman" w:hAnsi="Times New Roman"/>
                <w:sz w:val="24"/>
                <w:szCs w:val="24"/>
              </w:rPr>
            </w:pPr>
            <w:r w:rsidRPr="6C2D98A5">
              <w:rPr>
                <w:rFonts w:ascii="Times New Roman" w:hAnsi="Times New Roman"/>
                <w:b/>
                <w:bCs/>
                <w:sz w:val="24"/>
                <w:szCs w:val="24"/>
              </w:rPr>
              <w:t>Recommendation</w:t>
            </w:r>
            <w:r w:rsidRPr="6C2D98A5">
              <w:rPr>
                <w:rFonts w:ascii="Times New Roman" w:hAnsi="Times New Roman"/>
                <w:sz w:val="24"/>
                <w:szCs w:val="24"/>
              </w:rPr>
              <w:t xml:space="preserve"> </w:t>
            </w:r>
            <w:r w:rsidRPr="006E4972">
              <w:rPr>
                <w:rFonts w:ascii="Times New Roman" w:hAnsi="Times New Roman"/>
                <w:b/>
                <w:bCs/>
                <w:sz w:val="24"/>
                <w:szCs w:val="24"/>
              </w:rPr>
              <w:t>1.4.</w:t>
            </w:r>
            <w:r w:rsidR="006C797B" w:rsidRPr="006C797B">
              <w:rPr>
                <w:rFonts w:ascii="Times New Roman" w:hAnsi="Times New Roman"/>
                <w:sz w:val="24"/>
                <w:szCs w:val="24"/>
              </w:rPr>
              <w:t>:</w:t>
            </w:r>
            <w:r w:rsidR="006C797B">
              <w:rPr>
                <w:rFonts w:ascii="Times New Roman" w:hAnsi="Times New Roman"/>
                <w:sz w:val="24"/>
                <w:szCs w:val="24"/>
              </w:rPr>
              <w:t xml:space="preserve"> </w:t>
            </w:r>
            <w:r w:rsidR="00CE3A40" w:rsidRPr="6C2D98A5">
              <w:rPr>
                <w:rFonts w:ascii="Times New Roman" w:eastAsia="Times New Roman" w:hAnsi="Times New Roman"/>
                <w:sz w:val="24"/>
                <w:szCs w:val="24"/>
              </w:rPr>
              <w:t xml:space="preserve">The Commission is aware of the social disparities highlighted </w:t>
            </w:r>
            <w:r w:rsidR="00B71D13">
              <w:rPr>
                <w:rFonts w:ascii="Times New Roman" w:eastAsia="Times New Roman" w:hAnsi="Times New Roman"/>
                <w:sz w:val="24"/>
                <w:szCs w:val="24"/>
              </w:rPr>
              <w:t xml:space="preserve">by the Committee </w:t>
            </w:r>
            <w:r w:rsidR="00CE3A40" w:rsidRPr="6C2D98A5">
              <w:rPr>
                <w:rFonts w:ascii="Times New Roman" w:eastAsia="Times New Roman" w:hAnsi="Times New Roman"/>
                <w:sz w:val="24"/>
                <w:szCs w:val="24"/>
              </w:rPr>
              <w:t xml:space="preserve">and acknowledges the potential short-term impacts on working conditions and public sentiment. Enlargement is indeed more than just a process of aligning policies; it must also promote social cohesion and fairness. In this regard, the Commission is actively </w:t>
            </w:r>
            <w:r w:rsidR="00CE3A40">
              <w:rPr>
                <w:rFonts w:ascii="Times New Roman" w:eastAsia="Times New Roman" w:hAnsi="Times New Roman"/>
                <w:sz w:val="24"/>
                <w:szCs w:val="24"/>
              </w:rPr>
              <w:t>aiming</w:t>
            </w:r>
            <w:r w:rsidR="00CE3A40" w:rsidRPr="6C2D98A5">
              <w:rPr>
                <w:rFonts w:ascii="Times New Roman" w:eastAsia="Times New Roman" w:hAnsi="Times New Roman"/>
                <w:sz w:val="24"/>
                <w:szCs w:val="24"/>
              </w:rPr>
              <w:t xml:space="preserve"> to </w:t>
            </w:r>
            <w:r w:rsidR="00CE3A40">
              <w:rPr>
                <w:rFonts w:ascii="Times New Roman" w:eastAsia="Times New Roman" w:hAnsi="Times New Roman"/>
                <w:sz w:val="24"/>
                <w:szCs w:val="24"/>
              </w:rPr>
              <w:t>prevent</w:t>
            </w:r>
            <w:r w:rsidR="00CE3A40" w:rsidRPr="6C2D98A5">
              <w:rPr>
                <w:rFonts w:ascii="Times New Roman" w:eastAsia="Times New Roman" w:hAnsi="Times New Roman"/>
                <w:sz w:val="24"/>
                <w:szCs w:val="24"/>
              </w:rPr>
              <w:t xml:space="preserve"> potential adverse effects on workers and communities. This includes utilising targeted initiatives to reduce social and economic </w:t>
            </w:r>
            <w:r w:rsidR="00CE3A40" w:rsidRPr="6C2D98A5">
              <w:rPr>
                <w:rFonts w:ascii="Times New Roman" w:eastAsia="Times New Roman" w:hAnsi="Times New Roman"/>
                <w:sz w:val="24"/>
                <w:szCs w:val="24"/>
              </w:rPr>
              <w:lastRenderedPageBreak/>
              <w:t>disparities within the frameworks of the EU’s pre-accession assistance, the Growth Plan for the Western Balkans, the Moldova Growth Plan and the Ukraine Plan. The Commission also values the EESC's recommendation for an inclusive consultation process and is committed to engaging all relevant stakeholders in addressing the social implications of enlargement.</w:t>
            </w:r>
          </w:p>
          <w:p w14:paraId="74D5BD41" w14:textId="4C09531C" w:rsidR="00AC6A6F" w:rsidRPr="00461A25" w:rsidRDefault="00667BE7" w:rsidP="006C797B">
            <w:pPr>
              <w:widowControl w:val="0"/>
              <w:spacing w:before="120" w:after="120"/>
              <w:jc w:val="both"/>
              <w:rPr>
                <w:rFonts w:ascii="Times New Roman" w:hAnsi="Times New Roman"/>
                <w:sz w:val="24"/>
                <w:szCs w:val="24"/>
              </w:rPr>
            </w:pPr>
            <w:r w:rsidRPr="00461A25">
              <w:rPr>
                <w:rFonts w:ascii="Times New Roman" w:hAnsi="Times New Roman"/>
                <w:b/>
                <w:bCs/>
                <w:sz w:val="24"/>
                <w:szCs w:val="24"/>
              </w:rPr>
              <w:t>Recommendation 1.5</w:t>
            </w:r>
            <w:r>
              <w:rPr>
                <w:rFonts w:ascii="Times New Roman" w:hAnsi="Times New Roman"/>
                <w:b/>
                <w:bCs/>
                <w:sz w:val="24"/>
                <w:szCs w:val="24"/>
              </w:rPr>
              <w:t>.</w:t>
            </w:r>
            <w:r w:rsidR="006C797B" w:rsidRPr="006C797B">
              <w:rPr>
                <w:rFonts w:ascii="Times New Roman" w:hAnsi="Times New Roman"/>
                <w:sz w:val="24"/>
                <w:szCs w:val="24"/>
              </w:rPr>
              <w:t>:</w:t>
            </w:r>
            <w:r w:rsidR="006C797B">
              <w:rPr>
                <w:rFonts w:ascii="Times New Roman" w:hAnsi="Times New Roman"/>
                <w:sz w:val="24"/>
                <w:szCs w:val="24"/>
              </w:rPr>
              <w:t xml:space="preserve"> </w:t>
            </w:r>
            <w:r w:rsidR="00AC6A6F" w:rsidRPr="00461A25">
              <w:rPr>
                <w:rFonts w:ascii="Times New Roman" w:hAnsi="Times New Roman"/>
                <w:sz w:val="24"/>
                <w:szCs w:val="24"/>
              </w:rPr>
              <w:t xml:space="preserve">The Commission is supporting actions to strengthen </w:t>
            </w:r>
            <w:r w:rsidR="005B6FB9">
              <w:rPr>
                <w:rFonts w:ascii="Times New Roman" w:hAnsi="Times New Roman"/>
                <w:sz w:val="24"/>
                <w:szCs w:val="24"/>
              </w:rPr>
              <w:t>i</w:t>
            </w:r>
            <w:r w:rsidR="00AC6A6F" w:rsidRPr="00461A25">
              <w:rPr>
                <w:rFonts w:ascii="Times New Roman" w:hAnsi="Times New Roman"/>
                <w:sz w:val="24"/>
                <w:szCs w:val="24"/>
              </w:rPr>
              <w:t>nvestment screening by the candidate countries and potential candidates. In the pre-accession period, to give one example</w:t>
            </w:r>
            <w:r w:rsidR="005B6FB9">
              <w:rPr>
                <w:rFonts w:ascii="Times New Roman" w:hAnsi="Times New Roman"/>
                <w:sz w:val="24"/>
                <w:szCs w:val="24"/>
              </w:rPr>
              <w:t>,</w:t>
            </w:r>
            <w:r w:rsidR="00AC6A6F" w:rsidRPr="00461A25">
              <w:rPr>
                <w:rFonts w:ascii="Times New Roman" w:hAnsi="Times New Roman"/>
                <w:sz w:val="24"/>
                <w:szCs w:val="24"/>
              </w:rPr>
              <w:t xml:space="preserve"> work</w:t>
            </w:r>
            <w:r w:rsidR="003B1021">
              <w:rPr>
                <w:rFonts w:ascii="Times New Roman" w:hAnsi="Times New Roman"/>
                <w:sz w:val="24"/>
                <w:szCs w:val="24"/>
              </w:rPr>
              <w:t xml:space="preserve"> was</w:t>
            </w:r>
            <w:r w:rsidR="00AC6A6F" w:rsidRPr="00461A25">
              <w:rPr>
                <w:rFonts w:ascii="Times New Roman" w:hAnsi="Times New Roman"/>
                <w:sz w:val="24"/>
                <w:szCs w:val="24"/>
              </w:rPr>
              <w:t xml:space="preserve"> undertaken in the context of the Central European Free Trade Agreement and the Common Regional Market to introduce regional guidelines. All partners will have to fully align with </w:t>
            </w:r>
            <w:r w:rsidR="00C14739">
              <w:rPr>
                <w:rFonts w:ascii="Times New Roman" w:hAnsi="Times New Roman"/>
                <w:sz w:val="24"/>
                <w:szCs w:val="24"/>
              </w:rPr>
              <w:t xml:space="preserve">the </w:t>
            </w:r>
            <w:r w:rsidR="00AC6A6F" w:rsidRPr="00461A25">
              <w:rPr>
                <w:rFonts w:ascii="Times New Roman" w:hAnsi="Times New Roman"/>
                <w:sz w:val="24"/>
                <w:szCs w:val="24"/>
              </w:rPr>
              <w:t xml:space="preserve">Regulation </w:t>
            </w:r>
            <w:r w:rsidR="00C14739">
              <w:rPr>
                <w:rFonts w:ascii="Times New Roman" w:hAnsi="Times New Roman"/>
                <w:sz w:val="24"/>
                <w:szCs w:val="24"/>
              </w:rPr>
              <w:t>on a framework for the screening of foreign direct investment into the Union</w:t>
            </w:r>
            <w:r w:rsidR="003F401A">
              <w:rPr>
                <w:rStyle w:val="FootnoteReference"/>
                <w:rFonts w:ascii="Times New Roman" w:hAnsi="Times New Roman"/>
                <w:szCs w:val="24"/>
              </w:rPr>
              <w:footnoteReference w:id="6"/>
            </w:r>
            <w:r w:rsidR="00AC6A6F" w:rsidRPr="00461A25">
              <w:rPr>
                <w:rFonts w:ascii="Times New Roman" w:hAnsi="Times New Roman"/>
                <w:sz w:val="24"/>
                <w:szCs w:val="24"/>
              </w:rPr>
              <w:t xml:space="preserve"> as part of the accession process.</w:t>
            </w:r>
          </w:p>
          <w:p w14:paraId="3BF873C9" w14:textId="60482E37" w:rsidR="003F38A5" w:rsidRPr="00461A25" w:rsidRDefault="00AC6A6F" w:rsidP="006C797B">
            <w:pPr>
              <w:widowControl w:val="0"/>
              <w:spacing w:before="120" w:after="120"/>
              <w:jc w:val="both"/>
              <w:rPr>
                <w:rFonts w:ascii="Times New Roman" w:hAnsi="Times New Roman"/>
                <w:sz w:val="24"/>
                <w:szCs w:val="24"/>
              </w:rPr>
            </w:pPr>
            <w:r w:rsidRPr="00461A25">
              <w:rPr>
                <w:rFonts w:ascii="Times New Roman" w:hAnsi="Times New Roman"/>
                <w:b/>
                <w:bCs/>
                <w:sz w:val="24"/>
                <w:szCs w:val="24"/>
              </w:rPr>
              <w:t>Recommendation 1.7</w:t>
            </w:r>
            <w:r w:rsidR="003B1021">
              <w:rPr>
                <w:rFonts w:ascii="Times New Roman" w:hAnsi="Times New Roman"/>
                <w:b/>
                <w:bCs/>
                <w:sz w:val="24"/>
                <w:szCs w:val="24"/>
              </w:rPr>
              <w:t>.</w:t>
            </w:r>
            <w:r w:rsidR="006C797B" w:rsidRPr="006C797B">
              <w:rPr>
                <w:rFonts w:ascii="Times New Roman" w:hAnsi="Times New Roman"/>
                <w:sz w:val="24"/>
                <w:szCs w:val="24"/>
              </w:rPr>
              <w:t>:</w:t>
            </w:r>
            <w:r w:rsidRPr="00461A25">
              <w:rPr>
                <w:rFonts w:ascii="Times New Roman" w:hAnsi="Times New Roman"/>
                <w:sz w:val="24"/>
                <w:szCs w:val="24"/>
              </w:rPr>
              <w:t xml:space="preserve"> </w:t>
            </w:r>
            <w:r w:rsidR="003B1021">
              <w:rPr>
                <w:rFonts w:ascii="Times New Roman" w:hAnsi="Times New Roman"/>
                <w:sz w:val="24"/>
                <w:szCs w:val="24"/>
              </w:rPr>
              <w:t>T</w:t>
            </w:r>
            <w:r w:rsidRPr="00461A25">
              <w:rPr>
                <w:rFonts w:ascii="Times New Roman" w:hAnsi="Times New Roman"/>
                <w:sz w:val="24"/>
                <w:szCs w:val="24"/>
              </w:rPr>
              <w:t xml:space="preserve">he Commission fully recognises the </w:t>
            </w:r>
            <w:r w:rsidR="005B6FB9">
              <w:rPr>
                <w:rFonts w:ascii="Times New Roman" w:hAnsi="Times New Roman"/>
                <w:sz w:val="24"/>
                <w:szCs w:val="24"/>
              </w:rPr>
              <w:t>g</w:t>
            </w:r>
            <w:r w:rsidRPr="00461A25">
              <w:rPr>
                <w:rFonts w:ascii="Times New Roman" w:hAnsi="Times New Roman"/>
                <w:sz w:val="24"/>
                <w:szCs w:val="24"/>
              </w:rPr>
              <w:t xml:space="preserve">eopolitical context in which the current </w:t>
            </w:r>
            <w:r w:rsidR="005B6FB9">
              <w:rPr>
                <w:rFonts w:ascii="Times New Roman" w:hAnsi="Times New Roman"/>
                <w:sz w:val="24"/>
                <w:szCs w:val="24"/>
              </w:rPr>
              <w:t>a</w:t>
            </w:r>
            <w:r w:rsidRPr="00461A25">
              <w:rPr>
                <w:rFonts w:ascii="Times New Roman" w:hAnsi="Times New Roman"/>
                <w:sz w:val="24"/>
                <w:szCs w:val="24"/>
              </w:rPr>
              <w:t>ccession process is taking place and is looking at a range of actions, both procedural and substantive</w:t>
            </w:r>
            <w:r w:rsidR="003B1021">
              <w:rPr>
                <w:rFonts w:ascii="Times New Roman" w:hAnsi="Times New Roman"/>
                <w:sz w:val="24"/>
                <w:szCs w:val="24"/>
              </w:rPr>
              <w:t>,</w:t>
            </w:r>
            <w:r w:rsidRPr="00461A25">
              <w:rPr>
                <w:rFonts w:ascii="Times New Roman" w:hAnsi="Times New Roman"/>
                <w:sz w:val="24"/>
                <w:szCs w:val="24"/>
              </w:rPr>
              <w:t xml:space="preserve"> to make the accession process more efficient and effective. The concept of gradual integration, as set out in the Growth Plan for the Western Balkans, the Moldova Growth Plan and the Ukraine </w:t>
            </w:r>
            <w:r w:rsidR="00CE3A40">
              <w:rPr>
                <w:rFonts w:ascii="Times New Roman" w:hAnsi="Times New Roman"/>
                <w:sz w:val="24"/>
                <w:szCs w:val="24"/>
              </w:rPr>
              <w:t>Plan</w:t>
            </w:r>
            <w:r w:rsidR="005209AD">
              <w:rPr>
                <w:rFonts w:ascii="Times New Roman" w:hAnsi="Times New Roman"/>
                <w:sz w:val="24"/>
                <w:szCs w:val="24"/>
              </w:rPr>
              <w:t xml:space="preserve"> </w:t>
            </w:r>
            <w:r w:rsidRPr="00461A25">
              <w:rPr>
                <w:rFonts w:ascii="Times New Roman" w:hAnsi="Times New Roman"/>
                <w:sz w:val="24"/>
                <w:szCs w:val="24"/>
              </w:rPr>
              <w:t>is an important tool in this approach. By bringing selected benefits of accession into the pre-accession period</w:t>
            </w:r>
            <w:r w:rsidR="005B6FB9">
              <w:rPr>
                <w:rFonts w:ascii="Times New Roman" w:hAnsi="Times New Roman"/>
                <w:sz w:val="24"/>
                <w:szCs w:val="24"/>
              </w:rPr>
              <w:t>,</w:t>
            </w:r>
            <w:r w:rsidRPr="00461A25">
              <w:rPr>
                <w:rFonts w:ascii="Times New Roman" w:hAnsi="Times New Roman"/>
                <w:sz w:val="24"/>
                <w:szCs w:val="24"/>
              </w:rPr>
              <w:t xml:space="preserve"> gradual integration can: provide an incentive to accelerate alignment with the </w:t>
            </w:r>
            <w:r w:rsidRPr="005C7AF5">
              <w:rPr>
                <w:rFonts w:ascii="Times New Roman" w:hAnsi="Times New Roman"/>
                <w:i/>
                <w:iCs/>
                <w:sz w:val="24"/>
                <w:szCs w:val="24"/>
              </w:rPr>
              <w:t>acquis</w:t>
            </w:r>
            <w:r w:rsidRPr="00461A25">
              <w:rPr>
                <w:rFonts w:ascii="Times New Roman" w:hAnsi="Times New Roman"/>
                <w:sz w:val="24"/>
                <w:szCs w:val="24"/>
              </w:rPr>
              <w:t xml:space="preserve"> and th</w:t>
            </w:r>
            <w:r w:rsidR="005B6FB9">
              <w:rPr>
                <w:rFonts w:ascii="Times New Roman" w:hAnsi="Times New Roman"/>
                <w:sz w:val="24"/>
                <w:szCs w:val="24"/>
              </w:rPr>
              <w:t>u</w:t>
            </w:r>
            <w:r w:rsidRPr="00461A25">
              <w:rPr>
                <w:rFonts w:ascii="Times New Roman" w:hAnsi="Times New Roman"/>
                <w:sz w:val="24"/>
                <w:szCs w:val="24"/>
              </w:rPr>
              <w:t>s speed up the accession process; accelerate economic growth and thus help provide governments with the necessary resources to prepare for accession</w:t>
            </w:r>
            <w:r w:rsidR="005B6FB9">
              <w:rPr>
                <w:rFonts w:ascii="Times New Roman" w:hAnsi="Times New Roman"/>
                <w:sz w:val="24"/>
                <w:szCs w:val="24"/>
              </w:rPr>
              <w:t>;</w:t>
            </w:r>
            <w:r w:rsidRPr="00461A25">
              <w:rPr>
                <w:rFonts w:ascii="Times New Roman" w:hAnsi="Times New Roman"/>
                <w:sz w:val="24"/>
                <w:szCs w:val="24"/>
              </w:rPr>
              <w:t xml:space="preserve"> and demonstrate to citizens and governments of the region the benefits of maintaining their European path.</w:t>
            </w:r>
          </w:p>
          <w:p w14:paraId="39978FB0" w14:textId="1CC63C4E" w:rsidR="00415FED" w:rsidRPr="00461A25" w:rsidRDefault="003F38A5" w:rsidP="006C797B">
            <w:pPr>
              <w:widowControl w:val="0"/>
              <w:spacing w:before="120" w:after="120"/>
              <w:jc w:val="both"/>
              <w:rPr>
                <w:rFonts w:ascii="Times New Roman" w:eastAsia="Times New Roman" w:hAnsi="Times New Roman"/>
                <w:sz w:val="24"/>
                <w:szCs w:val="24"/>
                <w:lang w:val="en-IE"/>
              </w:rPr>
            </w:pPr>
            <w:bookmarkStart w:id="0" w:name="_Hlk195002452"/>
            <w:r w:rsidRPr="00461A25">
              <w:rPr>
                <w:rFonts w:ascii="Times New Roman" w:hAnsi="Times New Roman"/>
                <w:b/>
                <w:bCs/>
                <w:sz w:val="24"/>
                <w:szCs w:val="24"/>
              </w:rPr>
              <w:t>Recommendation 1.8</w:t>
            </w:r>
            <w:r w:rsidR="003B1021">
              <w:rPr>
                <w:rFonts w:ascii="Times New Roman" w:hAnsi="Times New Roman"/>
                <w:b/>
                <w:bCs/>
                <w:sz w:val="24"/>
                <w:szCs w:val="24"/>
              </w:rPr>
              <w:t>.</w:t>
            </w:r>
            <w:r w:rsidR="006C797B" w:rsidRPr="006C797B">
              <w:rPr>
                <w:rFonts w:ascii="Times New Roman" w:hAnsi="Times New Roman"/>
                <w:sz w:val="24"/>
                <w:szCs w:val="24"/>
              </w:rPr>
              <w:t>:</w:t>
            </w:r>
            <w:r w:rsidR="004F2A7F" w:rsidRPr="00461A25">
              <w:rPr>
                <w:rFonts w:ascii="Times New Roman" w:hAnsi="Times New Roman"/>
                <w:b/>
                <w:bCs/>
                <w:sz w:val="24"/>
                <w:szCs w:val="24"/>
              </w:rPr>
              <w:t xml:space="preserve"> </w:t>
            </w:r>
            <w:r w:rsidR="004F2A7F" w:rsidRPr="00461A25">
              <w:rPr>
                <w:rFonts w:ascii="Times New Roman" w:eastAsia="Times New Roman" w:hAnsi="Times New Roman"/>
                <w:sz w:val="24"/>
                <w:szCs w:val="24"/>
              </w:rPr>
              <w:t>The Commission agrees with the importance of conducting inclusive consultations and has encouraged the Western Balkan partners to do so with social partners and civil society organisations in line with the relevant Regulation</w:t>
            </w:r>
            <w:r w:rsidR="004F2A7F" w:rsidRPr="00461A25">
              <w:rPr>
                <w:rFonts w:ascii="Times New Roman" w:eastAsia="Times New Roman" w:hAnsi="Times New Roman"/>
                <w:sz w:val="24"/>
                <w:szCs w:val="24"/>
                <w:vertAlign w:val="superscript"/>
              </w:rPr>
              <w:footnoteReference w:id="7"/>
            </w:r>
            <w:r w:rsidR="004F2A7F" w:rsidRPr="00461A25">
              <w:rPr>
                <w:rFonts w:ascii="Times New Roman" w:eastAsia="Times New Roman" w:hAnsi="Times New Roman"/>
                <w:sz w:val="24"/>
                <w:szCs w:val="24"/>
              </w:rPr>
              <w:t>.</w:t>
            </w:r>
            <w:r w:rsidR="005D0C72">
              <w:rPr>
                <w:rFonts w:ascii="Times New Roman" w:eastAsia="Times New Roman" w:hAnsi="Times New Roman"/>
                <w:sz w:val="24"/>
                <w:szCs w:val="24"/>
              </w:rPr>
              <w:t xml:space="preserve"> </w:t>
            </w:r>
            <w:r w:rsidR="004F2A7F" w:rsidRPr="00461A25">
              <w:rPr>
                <w:rFonts w:ascii="Times New Roman" w:eastAsia="Times New Roman" w:hAnsi="Times New Roman"/>
                <w:sz w:val="24"/>
                <w:szCs w:val="24"/>
              </w:rPr>
              <w:t xml:space="preserve">The importance of the involvement of main stakeholders, including civil society and social partners, </w:t>
            </w:r>
            <w:bookmarkStart w:id="1" w:name="_Int_wUC9rBoZ"/>
            <w:proofErr w:type="gramStart"/>
            <w:r w:rsidR="004F2A7F" w:rsidRPr="00461A25">
              <w:rPr>
                <w:rFonts w:ascii="Times New Roman" w:eastAsia="Times New Roman" w:hAnsi="Times New Roman"/>
                <w:sz w:val="24"/>
                <w:szCs w:val="24"/>
              </w:rPr>
              <w:t>in particular in</w:t>
            </w:r>
            <w:bookmarkEnd w:id="1"/>
            <w:proofErr w:type="gramEnd"/>
            <w:r w:rsidR="004F2A7F" w:rsidRPr="00461A25">
              <w:rPr>
                <w:rFonts w:ascii="Times New Roman" w:eastAsia="Times New Roman" w:hAnsi="Times New Roman"/>
                <w:sz w:val="24"/>
                <w:szCs w:val="24"/>
              </w:rPr>
              <w:t xml:space="preserve"> the preparation of the Reform Agenda, is </w:t>
            </w:r>
            <w:r w:rsidR="00F96669">
              <w:rPr>
                <w:rFonts w:ascii="Times New Roman" w:eastAsia="Times New Roman" w:hAnsi="Times New Roman"/>
                <w:sz w:val="24"/>
                <w:szCs w:val="24"/>
              </w:rPr>
              <w:t xml:space="preserve">clearly </w:t>
            </w:r>
            <w:r w:rsidR="004F2A7F" w:rsidRPr="00461A25">
              <w:rPr>
                <w:rFonts w:ascii="Times New Roman" w:eastAsia="Times New Roman" w:hAnsi="Times New Roman"/>
                <w:sz w:val="24"/>
                <w:szCs w:val="24"/>
              </w:rPr>
              <w:t>stated in the Reform and Growth Facility Regulation. The Western Balkans partners have been requested to engage in such consultation processes. The details of the national processes related to this important topic are contained in the specific section of each Reform Agenda prepared by the Western Balkans partners as these remain the responsibility of the national authorities.</w:t>
            </w:r>
            <w:bookmarkEnd w:id="0"/>
            <w:r w:rsidR="00FB2491">
              <w:rPr>
                <w:rFonts w:ascii="Times New Roman" w:eastAsia="Times New Roman" w:hAnsi="Times New Roman"/>
                <w:sz w:val="24"/>
                <w:szCs w:val="24"/>
              </w:rPr>
              <w:t xml:space="preserve"> </w:t>
            </w:r>
            <w:r w:rsidR="00FB0A42">
              <w:rPr>
                <w:rFonts w:ascii="Times New Roman" w:eastAsia="Times New Roman" w:hAnsi="Times New Roman"/>
                <w:sz w:val="24"/>
                <w:szCs w:val="24"/>
              </w:rPr>
              <w:t>Similarly, the Ukraine Plan is the result of a participatory consultation process as required by the Ukraine Facility Regulation. It involved stakeholders ranging from civil society over the business community and parliament to central and regional government bodies and the international community.</w:t>
            </w:r>
            <w:r w:rsidR="00FB0A42" w:rsidRPr="00461A25">
              <w:rPr>
                <w:rFonts w:ascii="Times New Roman" w:eastAsia="Times New Roman" w:hAnsi="Times New Roman"/>
                <w:sz w:val="24"/>
                <w:szCs w:val="24"/>
              </w:rPr>
              <w:t xml:space="preserve"> </w:t>
            </w:r>
            <w:r w:rsidR="00FB2491">
              <w:rPr>
                <w:rFonts w:ascii="Times New Roman" w:eastAsia="Times New Roman" w:hAnsi="Times New Roman"/>
                <w:sz w:val="24"/>
                <w:szCs w:val="24"/>
              </w:rPr>
              <w:t xml:space="preserve">For Moldova, </w:t>
            </w:r>
            <w:r w:rsidR="00FB2491" w:rsidRPr="00FB2491">
              <w:rPr>
                <w:rFonts w:ascii="Times New Roman" w:eastAsia="Times New Roman" w:hAnsi="Times New Roman"/>
                <w:sz w:val="24"/>
                <w:szCs w:val="24"/>
              </w:rPr>
              <w:t xml:space="preserve">several public information and consultation roundtables </w:t>
            </w:r>
            <w:r w:rsidR="00FB2491">
              <w:rPr>
                <w:rFonts w:ascii="Times New Roman" w:eastAsia="Times New Roman" w:hAnsi="Times New Roman"/>
                <w:sz w:val="24"/>
                <w:szCs w:val="24"/>
              </w:rPr>
              <w:t xml:space="preserve">were organised </w:t>
            </w:r>
            <w:r w:rsidR="00FB2491" w:rsidRPr="00FB2491">
              <w:rPr>
                <w:rFonts w:ascii="Times New Roman" w:eastAsia="Times New Roman" w:hAnsi="Times New Roman"/>
                <w:sz w:val="24"/>
                <w:szCs w:val="24"/>
              </w:rPr>
              <w:t>to involve various stakeholders, including business associations, unions, local authorities, non-governmental organisations (NGOs), think tanks, academia and foundations</w:t>
            </w:r>
            <w:r w:rsidR="00FB2491">
              <w:rPr>
                <w:rFonts w:ascii="Times New Roman" w:eastAsia="Times New Roman" w:hAnsi="Times New Roman"/>
                <w:sz w:val="24"/>
                <w:szCs w:val="24"/>
              </w:rPr>
              <w:t xml:space="preserve"> during the drafting process of the Reform Agenda</w:t>
            </w:r>
            <w:r w:rsidR="00FB2491" w:rsidRPr="00FB2491">
              <w:rPr>
                <w:rFonts w:ascii="Times New Roman" w:eastAsia="Times New Roman" w:hAnsi="Times New Roman"/>
                <w:sz w:val="24"/>
                <w:szCs w:val="24"/>
              </w:rPr>
              <w:t>. Furthermore, during the implementation phase of the Reform Agenda, key reforms will involve both preliminary and public consultations with stakeholders and the wider public. These consultations will be organised by the respective institutions responsible for each reform. Finally, the monitoring process of the Reform Agenda will involve NGOs and civil society organisations. This approach ensures that a wide range of voices are heard as part of the decision-making process, fostering transparency and inclusiveness.</w:t>
            </w:r>
          </w:p>
        </w:tc>
      </w:tr>
    </w:tbl>
    <w:p w14:paraId="6AF07B14" w14:textId="26AEAB66" w:rsidR="004F6117" w:rsidRPr="000A037A" w:rsidRDefault="004F6117" w:rsidP="006C797B">
      <w:pPr>
        <w:spacing w:after="0" w:line="240" w:lineRule="auto"/>
        <w:ind w:left="-567"/>
        <w:jc w:val="both"/>
        <w:rPr>
          <w:rFonts w:ascii="Times New Roman" w:hAnsi="Times New Roman"/>
          <w:bCs/>
          <w:sz w:val="16"/>
          <w:szCs w:val="16"/>
        </w:rPr>
      </w:pPr>
    </w:p>
    <w:sectPr w:rsidR="004F6117" w:rsidRPr="000A037A" w:rsidSect="00DC6E4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2DFEC" w14:textId="77777777" w:rsidR="00B3090D" w:rsidRDefault="00B3090D" w:rsidP="00FF63EA">
      <w:pPr>
        <w:spacing w:after="0" w:line="240" w:lineRule="auto"/>
      </w:pPr>
      <w:r>
        <w:separator/>
      </w:r>
    </w:p>
  </w:endnote>
  <w:endnote w:type="continuationSeparator" w:id="0">
    <w:p w14:paraId="22036FCA" w14:textId="77777777" w:rsidR="00B3090D" w:rsidRDefault="00B3090D" w:rsidP="00FF63EA">
      <w:pPr>
        <w:spacing w:after="0" w:line="240" w:lineRule="auto"/>
      </w:pPr>
      <w:r>
        <w:continuationSeparator/>
      </w:r>
    </w:p>
  </w:endnote>
  <w:endnote w:type="continuationNotice" w:id="1">
    <w:p w14:paraId="6B1C3320" w14:textId="77777777" w:rsidR="00B3090D" w:rsidRDefault="00B30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526BD" w14:textId="77777777" w:rsidR="00DC1E56" w:rsidRDefault="00DC1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3485" w14:textId="77777777" w:rsidR="00DC1E56" w:rsidRDefault="00DC1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1AC8" w14:textId="77777777" w:rsidR="00DC1E56" w:rsidRDefault="00DC1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6705" w14:textId="77777777" w:rsidR="00B3090D" w:rsidRDefault="00B3090D" w:rsidP="00FF63EA">
      <w:pPr>
        <w:spacing w:after="0" w:line="240" w:lineRule="auto"/>
      </w:pPr>
      <w:r>
        <w:separator/>
      </w:r>
    </w:p>
  </w:footnote>
  <w:footnote w:type="continuationSeparator" w:id="0">
    <w:p w14:paraId="741674C5" w14:textId="77777777" w:rsidR="00B3090D" w:rsidRDefault="00B3090D" w:rsidP="00FF63EA">
      <w:pPr>
        <w:spacing w:after="0" w:line="240" w:lineRule="auto"/>
      </w:pPr>
      <w:r>
        <w:continuationSeparator/>
      </w:r>
    </w:p>
  </w:footnote>
  <w:footnote w:type="continuationNotice" w:id="1">
    <w:p w14:paraId="0CF08FB7" w14:textId="77777777" w:rsidR="00B3090D" w:rsidRDefault="00B3090D">
      <w:pPr>
        <w:spacing w:after="0" w:line="240" w:lineRule="auto"/>
      </w:pPr>
    </w:p>
  </w:footnote>
  <w:footnote w:id="2">
    <w:p w14:paraId="58646C09" w14:textId="53ECF7F7" w:rsidR="00CE3A40" w:rsidRPr="006C797B" w:rsidRDefault="00CE3A40" w:rsidP="006C797B">
      <w:pPr>
        <w:pStyle w:val="FootnoteText"/>
        <w:ind w:left="-283" w:right="-567" w:hanging="284"/>
        <w:rPr>
          <w:rFonts w:ascii="Times New Roman" w:hAnsi="Times New Roman" w:cs="Times New Roman"/>
          <w:lang w:val="en-IE"/>
        </w:rPr>
      </w:pPr>
      <w:r w:rsidRPr="006C797B">
        <w:rPr>
          <w:rStyle w:val="FootnoteReference"/>
          <w:rFonts w:ascii="Times New Roman" w:hAnsi="Times New Roman" w:cs="Times New Roman"/>
          <w:sz w:val="20"/>
        </w:rPr>
        <w:footnoteRef/>
      </w:r>
      <w:r w:rsidRPr="006C797B">
        <w:rPr>
          <w:rFonts w:ascii="Times New Roman" w:hAnsi="Times New Roman" w:cs="Times New Roman"/>
        </w:rPr>
        <w:t xml:space="preserve"> </w:t>
      </w:r>
      <w:r w:rsidR="000E560D" w:rsidRPr="006C797B">
        <w:rPr>
          <w:rFonts w:ascii="Times New Roman" w:hAnsi="Times New Roman" w:cs="Times New Roman"/>
        </w:rPr>
        <w:tab/>
      </w:r>
      <w:hyperlink r:id="rId1" w:history="1">
        <w:r w:rsidRPr="006C797B">
          <w:rPr>
            <w:rStyle w:val="Hyperlink"/>
            <w:rFonts w:ascii="Times New Roman" w:hAnsi="Times New Roman" w:cs="Times New Roman"/>
          </w:rPr>
          <w:t>Enrico Letta - Much more than a market (April 2024)</w:t>
        </w:r>
      </w:hyperlink>
      <w:r w:rsidR="006C797B">
        <w:rPr>
          <w:rFonts w:ascii="Times New Roman" w:hAnsi="Times New Roman" w:cs="Times New Roman"/>
        </w:rPr>
        <w:t>.</w:t>
      </w:r>
    </w:p>
  </w:footnote>
  <w:footnote w:id="3">
    <w:p w14:paraId="723D5983" w14:textId="44F1B3EB" w:rsidR="00AC6A6F" w:rsidRPr="006C797B" w:rsidRDefault="00AC6A6F" w:rsidP="006C797B">
      <w:pPr>
        <w:pStyle w:val="FootnoteText"/>
        <w:ind w:left="-283" w:right="-567" w:hanging="284"/>
        <w:rPr>
          <w:rFonts w:ascii="Times New Roman" w:hAnsi="Times New Roman" w:cs="Times New Roman"/>
          <w:lang w:val="pt-PT"/>
        </w:rPr>
      </w:pPr>
      <w:r w:rsidRPr="006C797B">
        <w:rPr>
          <w:rStyle w:val="FootnoteReference"/>
          <w:rFonts w:ascii="Times New Roman" w:hAnsi="Times New Roman" w:cs="Times New Roman"/>
          <w:sz w:val="20"/>
        </w:rPr>
        <w:footnoteRef/>
      </w:r>
      <w:r w:rsidRPr="006C797B">
        <w:rPr>
          <w:rFonts w:ascii="Times New Roman" w:hAnsi="Times New Roman" w:cs="Times New Roman"/>
          <w:lang w:val="pt-PT"/>
        </w:rPr>
        <w:t xml:space="preserve"> </w:t>
      </w:r>
      <w:r w:rsidR="000E560D" w:rsidRPr="006C797B">
        <w:rPr>
          <w:rFonts w:ascii="Times New Roman" w:hAnsi="Times New Roman" w:cs="Times New Roman"/>
          <w:lang w:val="pt-PT"/>
        </w:rPr>
        <w:tab/>
      </w:r>
      <w:proofErr w:type="gramStart"/>
      <w:r w:rsidRPr="006C797B">
        <w:rPr>
          <w:rFonts w:ascii="Times New Roman" w:hAnsi="Times New Roman" w:cs="Times New Roman"/>
          <w:lang w:val="pt-PT"/>
        </w:rPr>
        <w:t>COM(</w:t>
      </w:r>
      <w:proofErr w:type="gramEnd"/>
      <w:r w:rsidRPr="006C797B">
        <w:rPr>
          <w:rFonts w:ascii="Times New Roman" w:hAnsi="Times New Roman" w:cs="Times New Roman"/>
          <w:lang w:val="pt-PT"/>
        </w:rPr>
        <w:t xml:space="preserve">2023) 691 final </w:t>
      </w:r>
      <w:r w:rsidR="003F401A" w:rsidRPr="006C797B">
        <w:rPr>
          <w:rFonts w:ascii="Times New Roman" w:hAnsi="Times New Roman" w:cs="Times New Roman"/>
          <w:lang w:val="pt-PT"/>
        </w:rPr>
        <w:t>(</w:t>
      </w:r>
      <w:hyperlink r:id="rId2" w:history="1">
        <w:r w:rsidR="003F401A" w:rsidRPr="006C797B">
          <w:rPr>
            <w:rStyle w:val="Hyperlink"/>
            <w:rFonts w:ascii="Times New Roman" w:hAnsi="Times New Roman" w:cs="Times New Roman"/>
            <w:lang w:val="pt-PT"/>
          </w:rPr>
          <w:t>https://eur-lex.europa.eu/legal-content/EN/TXT/?uri=CELEX%3A52023DC0691</w:t>
        </w:r>
      </w:hyperlink>
      <w:r w:rsidR="003F401A" w:rsidRPr="006C797B">
        <w:rPr>
          <w:rStyle w:val="Hyperlink"/>
          <w:rFonts w:ascii="Times New Roman" w:hAnsi="Times New Roman" w:cs="Times New Roman"/>
          <w:lang w:val="pt-PT"/>
        </w:rPr>
        <w:t>)</w:t>
      </w:r>
      <w:r w:rsidR="006C797B">
        <w:rPr>
          <w:rStyle w:val="Hyperlink"/>
          <w:rFonts w:ascii="Times New Roman" w:hAnsi="Times New Roman" w:cs="Times New Roman"/>
          <w:lang w:val="pt-PT"/>
        </w:rPr>
        <w:t>.</w:t>
      </w:r>
    </w:p>
  </w:footnote>
  <w:footnote w:id="4">
    <w:p w14:paraId="2D480F7C" w14:textId="07901B83" w:rsidR="00AC6A6F" w:rsidRPr="006C797B" w:rsidRDefault="00AC6A6F" w:rsidP="006C797B">
      <w:pPr>
        <w:pStyle w:val="FootnoteText"/>
        <w:ind w:left="-283" w:right="-567" w:hanging="284"/>
        <w:rPr>
          <w:rFonts w:ascii="Times New Roman" w:hAnsi="Times New Roman" w:cs="Times New Roman"/>
          <w:lang w:val="pt-PT"/>
        </w:rPr>
      </w:pPr>
      <w:r w:rsidRPr="006C797B">
        <w:rPr>
          <w:rStyle w:val="FootnoteReference"/>
          <w:rFonts w:ascii="Times New Roman" w:hAnsi="Times New Roman" w:cs="Times New Roman"/>
          <w:sz w:val="20"/>
        </w:rPr>
        <w:footnoteRef/>
      </w:r>
      <w:r w:rsidRPr="006C797B">
        <w:rPr>
          <w:rFonts w:ascii="Times New Roman" w:hAnsi="Times New Roman" w:cs="Times New Roman"/>
          <w:lang w:val="pt-PT"/>
        </w:rPr>
        <w:t xml:space="preserve"> </w:t>
      </w:r>
      <w:r w:rsidR="000E560D" w:rsidRPr="006C797B">
        <w:rPr>
          <w:rFonts w:ascii="Times New Roman" w:hAnsi="Times New Roman" w:cs="Times New Roman"/>
          <w:lang w:val="pt-PT"/>
        </w:rPr>
        <w:tab/>
      </w:r>
      <w:proofErr w:type="gramStart"/>
      <w:r w:rsidRPr="006C797B">
        <w:rPr>
          <w:rFonts w:ascii="Times New Roman" w:hAnsi="Times New Roman" w:cs="Times New Roman"/>
          <w:lang w:val="pt-PT"/>
        </w:rPr>
        <w:t>COM(</w:t>
      </w:r>
      <w:proofErr w:type="gramEnd"/>
      <w:r w:rsidRPr="006C797B">
        <w:rPr>
          <w:rFonts w:ascii="Times New Roman" w:hAnsi="Times New Roman" w:cs="Times New Roman"/>
          <w:lang w:val="pt-PT"/>
        </w:rPr>
        <w:t xml:space="preserve">2024) 470 final </w:t>
      </w:r>
      <w:r w:rsidR="003F401A" w:rsidRPr="006C797B">
        <w:rPr>
          <w:rFonts w:ascii="Times New Roman" w:hAnsi="Times New Roman" w:cs="Times New Roman"/>
          <w:lang w:val="pt-PT"/>
        </w:rPr>
        <w:t>(</w:t>
      </w:r>
      <w:hyperlink r:id="rId3" w:history="1">
        <w:r w:rsidR="003F401A" w:rsidRPr="006C797B">
          <w:rPr>
            <w:rStyle w:val="Hyperlink"/>
            <w:rFonts w:ascii="Times New Roman" w:hAnsi="Times New Roman" w:cs="Times New Roman"/>
            <w:lang w:val="pt-PT"/>
          </w:rPr>
          <w:t>https://eur-lex.europa.eu/legal-content/EN/TXT/?uri=celex:52024DC0470</w:t>
        </w:r>
      </w:hyperlink>
      <w:r w:rsidR="003F401A" w:rsidRPr="006C797B">
        <w:rPr>
          <w:rStyle w:val="Hyperlink"/>
          <w:rFonts w:ascii="Times New Roman" w:hAnsi="Times New Roman" w:cs="Times New Roman"/>
          <w:lang w:val="pt-PT"/>
        </w:rPr>
        <w:t>)</w:t>
      </w:r>
      <w:r w:rsidR="006C797B">
        <w:rPr>
          <w:rStyle w:val="Hyperlink"/>
          <w:rFonts w:ascii="Times New Roman" w:hAnsi="Times New Roman" w:cs="Times New Roman"/>
          <w:lang w:val="pt-PT"/>
        </w:rPr>
        <w:t>.</w:t>
      </w:r>
    </w:p>
  </w:footnote>
  <w:footnote w:id="5">
    <w:p w14:paraId="40BC938A" w14:textId="3E7C1B99" w:rsidR="008248DF" w:rsidRPr="006C797B" w:rsidRDefault="008248DF" w:rsidP="006C797B">
      <w:pPr>
        <w:pStyle w:val="FootnoteText"/>
        <w:ind w:left="-283" w:right="-567" w:hanging="284"/>
        <w:rPr>
          <w:rFonts w:ascii="Times New Roman" w:hAnsi="Times New Roman" w:cs="Times New Roman"/>
          <w:lang w:val="pt-PT"/>
        </w:rPr>
      </w:pPr>
      <w:r w:rsidRPr="006C797B">
        <w:rPr>
          <w:rStyle w:val="FootnoteReference"/>
          <w:rFonts w:ascii="Times New Roman" w:hAnsi="Times New Roman" w:cs="Times New Roman"/>
          <w:sz w:val="20"/>
        </w:rPr>
        <w:footnoteRef/>
      </w:r>
      <w:r w:rsidRPr="006C797B">
        <w:rPr>
          <w:rFonts w:ascii="Times New Roman" w:hAnsi="Times New Roman" w:cs="Times New Roman"/>
          <w:lang w:val="pt-PT"/>
        </w:rPr>
        <w:t xml:space="preserve"> </w:t>
      </w:r>
      <w:r w:rsidRPr="006C797B">
        <w:rPr>
          <w:rFonts w:ascii="Times New Roman" w:hAnsi="Times New Roman" w:cs="Times New Roman"/>
          <w:lang w:val="pt-PT"/>
        </w:rPr>
        <w:tab/>
      </w:r>
      <w:proofErr w:type="gramStart"/>
      <w:r w:rsidRPr="006C797B">
        <w:rPr>
          <w:rFonts w:ascii="Times New Roman" w:hAnsi="Times New Roman" w:cs="Times New Roman"/>
          <w:lang w:val="pt-PT"/>
        </w:rPr>
        <w:t>COM(</w:t>
      </w:r>
      <w:proofErr w:type="gramEnd"/>
      <w:r w:rsidRPr="006C797B">
        <w:rPr>
          <w:rFonts w:ascii="Times New Roman" w:hAnsi="Times New Roman" w:cs="Times New Roman"/>
          <w:lang w:val="pt-PT"/>
        </w:rPr>
        <w:t xml:space="preserve">2023) 338 final </w:t>
      </w:r>
      <w:r w:rsidR="003F401A" w:rsidRPr="006C797B">
        <w:rPr>
          <w:rFonts w:ascii="Times New Roman" w:hAnsi="Times New Roman" w:cs="Times New Roman"/>
          <w:lang w:val="pt-PT"/>
        </w:rPr>
        <w:t>(</w:t>
      </w:r>
      <w:hyperlink r:id="rId4" w:history="1">
        <w:r w:rsidR="003F401A" w:rsidRPr="006C797B">
          <w:rPr>
            <w:rStyle w:val="Hyperlink"/>
            <w:rFonts w:ascii="Times New Roman" w:hAnsi="Times New Roman" w:cs="Times New Roman"/>
            <w:lang w:val="pt-PT"/>
          </w:rPr>
          <w:t>https://eur-lex.europa.eu/legal-content/EN/TXT/?uri=celex:52023PC0338</w:t>
        </w:r>
      </w:hyperlink>
      <w:r w:rsidR="003F401A" w:rsidRPr="006C797B">
        <w:rPr>
          <w:rStyle w:val="Hyperlink"/>
          <w:rFonts w:ascii="Times New Roman" w:hAnsi="Times New Roman" w:cs="Times New Roman"/>
          <w:lang w:val="pt-PT"/>
        </w:rPr>
        <w:t>)</w:t>
      </w:r>
      <w:r w:rsidR="006C797B">
        <w:rPr>
          <w:rStyle w:val="Hyperlink"/>
          <w:rFonts w:ascii="Times New Roman" w:hAnsi="Times New Roman" w:cs="Times New Roman"/>
          <w:lang w:val="pt-PT"/>
        </w:rPr>
        <w:t>.</w:t>
      </w:r>
    </w:p>
  </w:footnote>
  <w:footnote w:id="6">
    <w:p w14:paraId="3F52E88C" w14:textId="3A3BA076" w:rsidR="003F401A" w:rsidRPr="006C797B" w:rsidRDefault="003F401A" w:rsidP="006C797B">
      <w:pPr>
        <w:pStyle w:val="FootnoteText"/>
        <w:widowControl w:val="0"/>
        <w:ind w:left="-283" w:hanging="284"/>
        <w:jc w:val="both"/>
        <w:rPr>
          <w:rFonts w:ascii="Times New Roman" w:hAnsi="Times New Roman" w:cs="Times New Roman"/>
          <w:lang w:val="fr-BE"/>
        </w:rPr>
      </w:pPr>
      <w:r w:rsidRPr="006C797B">
        <w:rPr>
          <w:rStyle w:val="FootnoteReference"/>
          <w:rFonts w:ascii="Times New Roman" w:hAnsi="Times New Roman" w:cs="Times New Roman"/>
          <w:sz w:val="20"/>
        </w:rPr>
        <w:footnoteRef/>
      </w:r>
      <w:r w:rsidRPr="006C797B">
        <w:rPr>
          <w:rFonts w:ascii="Times New Roman" w:hAnsi="Times New Roman" w:cs="Times New Roman"/>
          <w:lang w:val="fr-BE"/>
        </w:rPr>
        <w:t xml:space="preserve"> </w:t>
      </w:r>
      <w:r w:rsidRPr="006C797B">
        <w:rPr>
          <w:rFonts w:ascii="Times New Roman" w:hAnsi="Times New Roman" w:cs="Times New Roman"/>
          <w:lang w:val="fr-BE"/>
        </w:rPr>
        <w:tab/>
        <w:t>Regulation (EU) 2019/452 (</w:t>
      </w:r>
      <w:r>
        <w:fldChar w:fldCharType="begin"/>
      </w:r>
      <w:r w:rsidRPr="006A651D">
        <w:rPr>
          <w:lang w:val="fr-BE"/>
        </w:rPr>
        <w:instrText>HYPERLINK "http://data.europa.eu/eli/reg/2019/452/oj"</w:instrText>
      </w:r>
      <w:r>
        <w:fldChar w:fldCharType="separate"/>
      </w:r>
      <w:r w:rsidRPr="006C797B">
        <w:rPr>
          <w:rStyle w:val="Hyperlink"/>
          <w:rFonts w:ascii="Times New Roman" w:hAnsi="Times New Roman" w:cs="Times New Roman"/>
          <w:lang w:val="fr-BE"/>
        </w:rPr>
        <w:t>http://data.europa.eu/eli/reg/2019/452/oj</w:t>
      </w:r>
      <w:r>
        <w:fldChar w:fldCharType="end"/>
      </w:r>
      <w:r w:rsidRPr="006C797B">
        <w:rPr>
          <w:rFonts w:ascii="Times New Roman" w:hAnsi="Times New Roman" w:cs="Times New Roman"/>
          <w:lang w:val="fr-BE"/>
        </w:rPr>
        <w:t>)</w:t>
      </w:r>
      <w:r w:rsidR="006C797B">
        <w:rPr>
          <w:rFonts w:ascii="Times New Roman" w:hAnsi="Times New Roman" w:cs="Times New Roman"/>
          <w:lang w:val="fr-BE"/>
        </w:rPr>
        <w:t>.</w:t>
      </w:r>
    </w:p>
  </w:footnote>
  <w:footnote w:id="7">
    <w:p w14:paraId="31EB9CDB" w14:textId="1C1AD106" w:rsidR="004F2A7F" w:rsidRPr="006C797B" w:rsidRDefault="004F2A7F" w:rsidP="006C797B">
      <w:pPr>
        <w:pStyle w:val="FootnoteText"/>
        <w:widowControl w:val="0"/>
        <w:ind w:left="-283" w:hanging="284"/>
        <w:jc w:val="both"/>
        <w:rPr>
          <w:rFonts w:ascii="Times New Roman" w:hAnsi="Times New Roman" w:cs="Times New Roman"/>
          <w:lang w:val="fr-BE"/>
        </w:rPr>
      </w:pPr>
      <w:r w:rsidRPr="006C797B">
        <w:rPr>
          <w:rStyle w:val="FootnoteReference"/>
          <w:rFonts w:ascii="Times New Roman" w:hAnsi="Times New Roman" w:cs="Times New Roman"/>
          <w:sz w:val="20"/>
        </w:rPr>
        <w:footnoteRef/>
      </w:r>
      <w:r w:rsidRPr="006C797B">
        <w:rPr>
          <w:rFonts w:ascii="Times New Roman" w:hAnsi="Times New Roman" w:cs="Times New Roman"/>
          <w:lang w:val="fr-BE"/>
        </w:rPr>
        <w:t xml:space="preserve"> </w:t>
      </w:r>
      <w:r w:rsidR="000E560D" w:rsidRPr="006C797B">
        <w:rPr>
          <w:rFonts w:ascii="Times New Roman" w:hAnsi="Times New Roman" w:cs="Times New Roman"/>
          <w:lang w:val="fr-BE"/>
        </w:rPr>
        <w:tab/>
      </w:r>
      <w:r w:rsidRPr="006C797B">
        <w:rPr>
          <w:rFonts w:ascii="Times New Roman" w:hAnsi="Times New Roman" w:cs="Times New Roman"/>
          <w:lang w:val="fr-CH"/>
        </w:rPr>
        <w:t xml:space="preserve">Regulation (EU) 2024/1449 </w:t>
      </w:r>
      <w:r w:rsidR="003F401A" w:rsidRPr="006C797B">
        <w:rPr>
          <w:rFonts w:ascii="Times New Roman" w:hAnsi="Times New Roman" w:cs="Times New Roman"/>
          <w:lang w:val="fr-CH"/>
        </w:rPr>
        <w:t>(</w:t>
      </w:r>
      <w:r w:rsidR="003F401A">
        <w:fldChar w:fldCharType="begin"/>
      </w:r>
      <w:r w:rsidR="003F401A" w:rsidRPr="006A651D">
        <w:rPr>
          <w:lang w:val="fr-BE"/>
        </w:rPr>
        <w:instrText>HYPERLINK "https://eur-lex.europa.eu/eli/reg/2024/1449/oj/eng"</w:instrText>
      </w:r>
      <w:r w:rsidR="003F401A">
        <w:fldChar w:fldCharType="separate"/>
      </w:r>
      <w:r w:rsidR="003F401A" w:rsidRPr="006C797B">
        <w:rPr>
          <w:rStyle w:val="Hyperlink"/>
          <w:rFonts w:ascii="Times New Roman" w:hAnsi="Times New Roman" w:cs="Times New Roman"/>
          <w:lang w:val="fr-CH"/>
        </w:rPr>
        <w:t>https://eur-lex.europa.eu/eli/reg/2024/1449/oj/eng</w:t>
      </w:r>
      <w:r w:rsidR="003F401A">
        <w:fldChar w:fldCharType="end"/>
      </w:r>
      <w:r w:rsidR="003F401A" w:rsidRPr="006C797B">
        <w:rPr>
          <w:rStyle w:val="Hyperlink"/>
          <w:rFonts w:ascii="Times New Roman" w:hAnsi="Times New Roman" w:cs="Times New Roman"/>
          <w:lang w:val="fr-CH"/>
        </w:rPr>
        <w:t>)</w:t>
      </w:r>
      <w:r w:rsidR="006C797B">
        <w:rPr>
          <w:rFonts w:ascii="Times New Roman" w:hAnsi="Times New Roman" w:cs="Times New Roman"/>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BF1D" w14:textId="77777777" w:rsidR="00DC1E56" w:rsidRDefault="00DC1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A21C" w14:textId="77777777" w:rsidR="00DC1E56" w:rsidRDefault="00DC1E56" w:rsidP="006C797B">
    <w:pPr>
      <w:pStyle w:val="Heade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47F3" w14:textId="77777777" w:rsidR="00DC1E56" w:rsidRDefault="00DC1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24B51"/>
    <w:multiLevelType w:val="multilevel"/>
    <w:tmpl w:val="2EC8F2F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96489F"/>
    <w:multiLevelType w:val="hybridMultilevel"/>
    <w:tmpl w:val="7C16BA48"/>
    <w:lvl w:ilvl="0" w:tplc="CE3C593A">
      <w:start w:val="1"/>
      <w:numFmt w:val="decimal"/>
      <w:lvlText w:val="%1."/>
      <w:lvlJc w:val="left"/>
      <w:pPr>
        <w:ind w:left="1080" w:hanging="360"/>
      </w:pPr>
      <w:rPr>
        <w:b/>
        <w:bCs/>
      </w:rPr>
    </w:lvl>
    <w:lvl w:ilvl="1" w:tplc="66D44AA8">
      <w:start w:val="1"/>
      <w:numFmt w:val="lowerLetter"/>
      <w:lvlText w:val="%2."/>
      <w:lvlJc w:val="left"/>
      <w:pPr>
        <w:ind w:left="1800" w:hanging="360"/>
      </w:pPr>
    </w:lvl>
    <w:lvl w:ilvl="2" w:tplc="6D0C0712">
      <w:start w:val="1"/>
      <w:numFmt w:val="lowerRoman"/>
      <w:lvlText w:val="%3."/>
      <w:lvlJc w:val="right"/>
      <w:pPr>
        <w:ind w:left="2520" w:hanging="180"/>
      </w:pPr>
    </w:lvl>
    <w:lvl w:ilvl="3" w:tplc="9B7EC096">
      <w:start w:val="1"/>
      <w:numFmt w:val="decimal"/>
      <w:lvlText w:val="%4."/>
      <w:lvlJc w:val="left"/>
      <w:pPr>
        <w:ind w:left="3240" w:hanging="360"/>
      </w:pPr>
    </w:lvl>
    <w:lvl w:ilvl="4" w:tplc="DD56ED60">
      <w:start w:val="1"/>
      <w:numFmt w:val="lowerLetter"/>
      <w:lvlText w:val="%5."/>
      <w:lvlJc w:val="left"/>
      <w:pPr>
        <w:ind w:left="3960" w:hanging="360"/>
      </w:pPr>
    </w:lvl>
    <w:lvl w:ilvl="5" w:tplc="10724F52">
      <w:start w:val="1"/>
      <w:numFmt w:val="lowerRoman"/>
      <w:lvlText w:val="%6."/>
      <w:lvlJc w:val="right"/>
      <w:pPr>
        <w:ind w:left="4680" w:hanging="180"/>
      </w:pPr>
    </w:lvl>
    <w:lvl w:ilvl="6" w:tplc="8FE4C2D6">
      <w:start w:val="1"/>
      <w:numFmt w:val="decimal"/>
      <w:lvlText w:val="%7."/>
      <w:lvlJc w:val="left"/>
      <w:pPr>
        <w:ind w:left="5400" w:hanging="360"/>
      </w:pPr>
    </w:lvl>
    <w:lvl w:ilvl="7" w:tplc="3482BFD0">
      <w:start w:val="1"/>
      <w:numFmt w:val="lowerLetter"/>
      <w:lvlText w:val="%8."/>
      <w:lvlJc w:val="left"/>
      <w:pPr>
        <w:ind w:left="6120" w:hanging="360"/>
      </w:pPr>
    </w:lvl>
    <w:lvl w:ilvl="8" w:tplc="3F5280E4">
      <w:start w:val="1"/>
      <w:numFmt w:val="lowerRoman"/>
      <w:lvlText w:val="%9."/>
      <w:lvlJc w:val="right"/>
      <w:pPr>
        <w:ind w:left="6840" w:hanging="180"/>
      </w:pPr>
    </w:lvl>
  </w:abstractNum>
  <w:num w:numId="1" w16cid:durableId="542836486">
    <w:abstractNumId w:val="1"/>
  </w:num>
  <w:num w:numId="2" w16cid:durableId="592209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077C4F"/>
    <w:rsid w:val="0001006B"/>
    <w:rsid w:val="00012A37"/>
    <w:rsid w:val="000273B3"/>
    <w:rsid w:val="000402BE"/>
    <w:rsid w:val="00045299"/>
    <w:rsid w:val="00046B15"/>
    <w:rsid w:val="000503B1"/>
    <w:rsid w:val="00050A94"/>
    <w:rsid w:val="00050DC7"/>
    <w:rsid w:val="00070705"/>
    <w:rsid w:val="00076109"/>
    <w:rsid w:val="00077C4F"/>
    <w:rsid w:val="00083DE5"/>
    <w:rsid w:val="000A037A"/>
    <w:rsid w:val="000E560D"/>
    <w:rsid w:val="000F5FD8"/>
    <w:rsid w:val="001167C0"/>
    <w:rsid w:val="0012043E"/>
    <w:rsid w:val="001206BE"/>
    <w:rsid w:val="00122412"/>
    <w:rsid w:val="00135C2A"/>
    <w:rsid w:val="00173B5A"/>
    <w:rsid w:val="001A3213"/>
    <w:rsid w:val="001B0E0B"/>
    <w:rsid w:val="001B67B4"/>
    <w:rsid w:val="001C143D"/>
    <w:rsid w:val="001C4138"/>
    <w:rsid w:val="001D260C"/>
    <w:rsid w:val="001D32D5"/>
    <w:rsid w:val="001E3104"/>
    <w:rsid w:val="001F2EC6"/>
    <w:rsid w:val="001F65D0"/>
    <w:rsid w:val="00210437"/>
    <w:rsid w:val="00217E59"/>
    <w:rsid w:val="00223C0A"/>
    <w:rsid w:val="002316BE"/>
    <w:rsid w:val="0024154A"/>
    <w:rsid w:val="00261176"/>
    <w:rsid w:val="00261F5F"/>
    <w:rsid w:val="00264A66"/>
    <w:rsid w:val="00287EDC"/>
    <w:rsid w:val="0029011D"/>
    <w:rsid w:val="002A7219"/>
    <w:rsid w:val="002D5B9A"/>
    <w:rsid w:val="002F03FA"/>
    <w:rsid w:val="002F3281"/>
    <w:rsid w:val="002F5D1A"/>
    <w:rsid w:val="003004D2"/>
    <w:rsid w:val="00307B26"/>
    <w:rsid w:val="00333A6A"/>
    <w:rsid w:val="003349A3"/>
    <w:rsid w:val="0034738E"/>
    <w:rsid w:val="003738B6"/>
    <w:rsid w:val="00377967"/>
    <w:rsid w:val="00382D93"/>
    <w:rsid w:val="00383A19"/>
    <w:rsid w:val="00386143"/>
    <w:rsid w:val="003A3358"/>
    <w:rsid w:val="003B1021"/>
    <w:rsid w:val="003B58DC"/>
    <w:rsid w:val="003B64E9"/>
    <w:rsid w:val="003D5CA8"/>
    <w:rsid w:val="003E6C60"/>
    <w:rsid w:val="003F38A5"/>
    <w:rsid w:val="003F401A"/>
    <w:rsid w:val="003F4ED5"/>
    <w:rsid w:val="003F686E"/>
    <w:rsid w:val="00412F10"/>
    <w:rsid w:val="00415FED"/>
    <w:rsid w:val="00442552"/>
    <w:rsid w:val="00455A1C"/>
    <w:rsid w:val="00457539"/>
    <w:rsid w:val="00461A25"/>
    <w:rsid w:val="00462CD6"/>
    <w:rsid w:val="004675B5"/>
    <w:rsid w:val="0047621F"/>
    <w:rsid w:val="004770D6"/>
    <w:rsid w:val="004866E9"/>
    <w:rsid w:val="0049246C"/>
    <w:rsid w:val="004C0F0C"/>
    <w:rsid w:val="004D421F"/>
    <w:rsid w:val="004F2A7F"/>
    <w:rsid w:val="004F4D68"/>
    <w:rsid w:val="004F5409"/>
    <w:rsid w:val="004F6117"/>
    <w:rsid w:val="004F63F1"/>
    <w:rsid w:val="004F651E"/>
    <w:rsid w:val="005209AD"/>
    <w:rsid w:val="0052596B"/>
    <w:rsid w:val="00525D6B"/>
    <w:rsid w:val="00535369"/>
    <w:rsid w:val="00554D8D"/>
    <w:rsid w:val="00573835"/>
    <w:rsid w:val="00581306"/>
    <w:rsid w:val="005826E6"/>
    <w:rsid w:val="00593539"/>
    <w:rsid w:val="005A119C"/>
    <w:rsid w:val="005A2B04"/>
    <w:rsid w:val="005B6FB9"/>
    <w:rsid w:val="005C3105"/>
    <w:rsid w:val="005C4541"/>
    <w:rsid w:val="005C7AF5"/>
    <w:rsid w:val="005D0C72"/>
    <w:rsid w:val="005D2667"/>
    <w:rsid w:val="005E2186"/>
    <w:rsid w:val="005F0963"/>
    <w:rsid w:val="00603FF2"/>
    <w:rsid w:val="0061005B"/>
    <w:rsid w:val="00624D4B"/>
    <w:rsid w:val="00667BE7"/>
    <w:rsid w:val="00675BAA"/>
    <w:rsid w:val="0067622C"/>
    <w:rsid w:val="00692C2F"/>
    <w:rsid w:val="00695797"/>
    <w:rsid w:val="00696A5E"/>
    <w:rsid w:val="006A0F4B"/>
    <w:rsid w:val="006A1B7C"/>
    <w:rsid w:val="006A651D"/>
    <w:rsid w:val="006B3B69"/>
    <w:rsid w:val="006C2BC6"/>
    <w:rsid w:val="006C797B"/>
    <w:rsid w:val="006D039E"/>
    <w:rsid w:val="006E4972"/>
    <w:rsid w:val="006E7E2F"/>
    <w:rsid w:val="00700823"/>
    <w:rsid w:val="0070143E"/>
    <w:rsid w:val="00702E0C"/>
    <w:rsid w:val="00720161"/>
    <w:rsid w:val="00726647"/>
    <w:rsid w:val="00734613"/>
    <w:rsid w:val="00743DE4"/>
    <w:rsid w:val="00751910"/>
    <w:rsid w:val="00751E60"/>
    <w:rsid w:val="007547B5"/>
    <w:rsid w:val="00755512"/>
    <w:rsid w:val="00761310"/>
    <w:rsid w:val="007725CB"/>
    <w:rsid w:val="00795A9E"/>
    <w:rsid w:val="007A606D"/>
    <w:rsid w:val="007B4599"/>
    <w:rsid w:val="007C2214"/>
    <w:rsid w:val="007D7509"/>
    <w:rsid w:val="007E0931"/>
    <w:rsid w:val="007F2740"/>
    <w:rsid w:val="00802A4D"/>
    <w:rsid w:val="00807B48"/>
    <w:rsid w:val="008135CA"/>
    <w:rsid w:val="0081584F"/>
    <w:rsid w:val="008248DF"/>
    <w:rsid w:val="008264DC"/>
    <w:rsid w:val="00836233"/>
    <w:rsid w:val="008528A5"/>
    <w:rsid w:val="00857646"/>
    <w:rsid w:val="00864C10"/>
    <w:rsid w:val="008703BF"/>
    <w:rsid w:val="0088303B"/>
    <w:rsid w:val="008872EE"/>
    <w:rsid w:val="008925CE"/>
    <w:rsid w:val="00893620"/>
    <w:rsid w:val="00893C18"/>
    <w:rsid w:val="008B314A"/>
    <w:rsid w:val="008B5556"/>
    <w:rsid w:val="008C09C9"/>
    <w:rsid w:val="008C4D41"/>
    <w:rsid w:val="008D23FE"/>
    <w:rsid w:val="008F7A69"/>
    <w:rsid w:val="00914B88"/>
    <w:rsid w:val="0092388F"/>
    <w:rsid w:val="00925AA6"/>
    <w:rsid w:val="00927C47"/>
    <w:rsid w:val="00937EA6"/>
    <w:rsid w:val="00966080"/>
    <w:rsid w:val="009770B4"/>
    <w:rsid w:val="009810A8"/>
    <w:rsid w:val="00981F45"/>
    <w:rsid w:val="00992E1D"/>
    <w:rsid w:val="00994D12"/>
    <w:rsid w:val="00996612"/>
    <w:rsid w:val="009B128B"/>
    <w:rsid w:val="009B3733"/>
    <w:rsid w:val="00A11460"/>
    <w:rsid w:val="00A136F9"/>
    <w:rsid w:val="00A16F07"/>
    <w:rsid w:val="00A17F69"/>
    <w:rsid w:val="00A32160"/>
    <w:rsid w:val="00A374D2"/>
    <w:rsid w:val="00A42C68"/>
    <w:rsid w:val="00A62C7B"/>
    <w:rsid w:val="00A718FA"/>
    <w:rsid w:val="00A75E97"/>
    <w:rsid w:val="00A7709A"/>
    <w:rsid w:val="00A81FF4"/>
    <w:rsid w:val="00AA4205"/>
    <w:rsid w:val="00AA6F5D"/>
    <w:rsid w:val="00AB41A4"/>
    <w:rsid w:val="00AC587F"/>
    <w:rsid w:val="00AC6A6F"/>
    <w:rsid w:val="00AE1842"/>
    <w:rsid w:val="00AE3C7C"/>
    <w:rsid w:val="00B028D4"/>
    <w:rsid w:val="00B14139"/>
    <w:rsid w:val="00B241FB"/>
    <w:rsid w:val="00B3090D"/>
    <w:rsid w:val="00B31306"/>
    <w:rsid w:val="00B3323B"/>
    <w:rsid w:val="00B35A92"/>
    <w:rsid w:val="00B361FF"/>
    <w:rsid w:val="00B42814"/>
    <w:rsid w:val="00B501D8"/>
    <w:rsid w:val="00B600B3"/>
    <w:rsid w:val="00B62777"/>
    <w:rsid w:val="00B6459E"/>
    <w:rsid w:val="00B71D13"/>
    <w:rsid w:val="00B83936"/>
    <w:rsid w:val="00BA55C1"/>
    <w:rsid w:val="00BA6F5F"/>
    <w:rsid w:val="00BD6EB7"/>
    <w:rsid w:val="00BF5F84"/>
    <w:rsid w:val="00C03BEC"/>
    <w:rsid w:val="00C14739"/>
    <w:rsid w:val="00C402AE"/>
    <w:rsid w:val="00C46A96"/>
    <w:rsid w:val="00C54D27"/>
    <w:rsid w:val="00C76EEB"/>
    <w:rsid w:val="00C95193"/>
    <w:rsid w:val="00CA379F"/>
    <w:rsid w:val="00CC231A"/>
    <w:rsid w:val="00CC2AD7"/>
    <w:rsid w:val="00CC783F"/>
    <w:rsid w:val="00CD20CF"/>
    <w:rsid w:val="00CD5C6A"/>
    <w:rsid w:val="00CE3A40"/>
    <w:rsid w:val="00CF341F"/>
    <w:rsid w:val="00D01F5A"/>
    <w:rsid w:val="00D04CB6"/>
    <w:rsid w:val="00D1716E"/>
    <w:rsid w:val="00D239D2"/>
    <w:rsid w:val="00D46F77"/>
    <w:rsid w:val="00D61BFD"/>
    <w:rsid w:val="00D63D6D"/>
    <w:rsid w:val="00D64E05"/>
    <w:rsid w:val="00D66A77"/>
    <w:rsid w:val="00D92FD3"/>
    <w:rsid w:val="00D932DD"/>
    <w:rsid w:val="00DA3B6E"/>
    <w:rsid w:val="00DB21FC"/>
    <w:rsid w:val="00DB7581"/>
    <w:rsid w:val="00DC1E56"/>
    <w:rsid w:val="00DC6E47"/>
    <w:rsid w:val="00DC70C1"/>
    <w:rsid w:val="00DF0710"/>
    <w:rsid w:val="00DF5669"/>
    <w:rsid w:val="00E07158"/>
    <w:rsid w:val="00E516D8"/>
    <w:rsid w:val="00E529C7"/>
    <w:rsid w:val="00E66251"/>
    <w:rsid w:val="00E8165A"/>
    <w:rsid w:val="00E83C12"/>
    <w:rsid w:val="00E83F3D"/>
    <w:rsid w:val="00E904C8"/>
    <w:rsid w:val="00EA1BBF"/>
    <w:rsid w:val="00EB29A9"/>
    <w:rsid w:val="00EB77D2"/>
    <w:rsid w:val="00EF4F63"/>
    <w:rsid w:val="00F10567"/>
    <w:rsid w:val="00F13947"/>
    <w:rsid w:val="00F26C96"/>
    <w:rsid w:val="00F316C8"/>
    <w:rsid w:val="00F43939"/>
    <w:rsid w:val="00F5182F"/>
    <w:rsid w:val="00F6012F"/>
    <w:rsid w:val="00F632DE"/>
    <w:rsid w:val="00F63F45"/>
    <w:rsid w:val="00F65BB5"/>
    <w:rsid w:val="00F735E4"/>
    <w:rsid w:val="00F84CF5"/>
    <w:rsid w:val="00F90A50"/>
    <w:rsid w:val="00F913CC"/>
    <w:rsid w:val="00F93DDB"/>
    <w:rsid w:val="00F96297"/>
    <w:rsid w:val="00F96669"/>
    <w:rsid w:val="00FB0A42"/>
    <w:rsid w:val="00FB1237"/>
    <w:rsid w:val="00FB2491"/>
    <w:rsid w:val="00FB37B9"/>
    <w:rsid w:val="00FB3C4C"/>
    <w:rsid w:val="00FB7834"/>
    <w:rsid w:val="00FC00E6"/>
    <w:rsid w:val="00FC36E7"/>
    <w:rsid w:val="00FD4319"/>
    <w:rsid w:val="00FD4B6A"/>
    <w:rsid w:val="00FE53E7"/>
    <w:rsid w:val="00FF03A8"/>
    <w:rsid w:val="00FF20FF"/>
    <w:rsid w:val="00FF4FE7"/>
    <w:rsid w:val="00FF626A"/>
    <w:rsid w:val="00FF63EA"/>
    <w:rsid w:val="0193AF29"/>
    <w:rsid w:val="09F6A579"/>
    <w:rsid w:val="0A57D85C"/>
    <w:rsid w:val="0AB91207"/>
    <w:rsid w:val="0F44A200"/>
    <w:rsid w:val="12DDA3F0"/>
    <w:rsid w:val="169DBC17"/>
    <w:rsid w:val="178D7FBD"/>
    <w:rsid w:val="1818541D"/>
    <w:rsid w:val="193A3F4E"/>
    <w:rsid w:val="1B5BA2D6"/>
    <w:rsid w:val="1FD38E1B"/>
    <w:rsid w:val="2003208D"/>
    <w:rsid w:val="20CD73A1"/>
    <w:rsid w:val="272889E5"/>
    <w:rsid w:val="2750B183"/>
    <w:rsid w:val="286BABB3"/>
    <w:rsid w:val="295E7A94"/>
    <w:rsid w:val="2DC20DDE"/>
    <w:rsid w:val="2E192930"/>
    <w:rsid w:val="30334D54"/>
    <w:rsid w:val="30F9E8DD"/>
    <w:rsid w:val="327D92F7"/>
    <w:rsid w:val="341338E3"/>
    <w:rsid w:val="34CA4BBF"/>
    <w:rsid w:val="38446AEB"/>
    <w:rsid w:val="3C09FC07"/>
    <w:rsid w:val="3CF7ED2D"/>
    <w:rsid w:val="3F2E77AD"/>
    <w:rsid w:val="4185CE82"/>
    <w:rsid w:val="4264B519"/>
    <w:rsid w:val="46A0DA61"/>
    <w:rsid w:val="4FE6218F"/>
    <w:rsid w:val="50558858"/>
    <w:rsid w:val="5719BA5D"/>
    <w:rsid w:val="582093D8"/>
    <w:rsid w:val="58991735"/>
    <w:rsid w:val="59BE2F61"/>
    <w:rsid w:val="5CA6D78A"/>
    <w:rsid w:val="5CC7CE37"/>
    <w:rsid w:val="5E9C70C1"/>
    <w:rsid w:val="5FE98D44"/>
    <w:rsid w:val="6018C3D3"/>
    <w:rsid w:val="603F9AC5"/>
    <w:rsid w:val="6083DAE6"/>
    <w:rsid w:val="6147ED22"/>
    <w:rsid w:val="61C968E5"/>
    <w:rsid w:val="61D31E03"/>
    <w:rsid w:val="67A73655"/>
    <w:rsid w:val="6C2D98A5"/>
    <w:rsid w:val="76A4FBFF"/>
    <w:rsid w:val="76DAF91A"/>
    <w:rsid w:val="7D839F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DBEE9"/>
  <w15:chartTrackingRefBased/>
  <w15:docId w15:val="{8250BCC8-4D0F-43C9-A9FB-5B735BFF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3F"/>
    <w:pPr>
      <w:spacing w:after="160" w:line="259" w:lineRule="auto"/>
      <w:ind w:left="720"/>
      <w:contextualSpacing/>
    </w:pPr>
    <w:rPr>
      <w:rFonts w:cs="Arial"/>
      <w:kern w:val="2"/>
    </w:rPr>
  </w:style>
  <w:style w:type="character" w:styleId="FootnoteReference">
    <w:name w:val="footnote reference"/>
    <w:aliases w:val="Footnote symbol"/>
    <w:unhideWhenUsed/>
    <w:qFormat/>
    <w:rsid w:val="00CC783F"/>
    <w:rPr>
      <w:sz w:val="24"/>
      <w:vertAlign w:val="superscript"/>
    </w:rPr>
  </w:style>
  <w:style w:type="paragraph" w:styleId="FootnoteText">
    <w:name w:val="footnote text"/>
    <w:basedOn w:val="Normal"/>
    <w:link w:val="FootnoteTextChar"/>
    <w:uiPriority w:val="99"/>
    <w:semiHidden/>
    <w:unhideWhenUsed/>
    <w:rsid w:val="00CC783F"/>
    <w:pPr>
      <w:spacing w:after="0" w:line="240" w:lineRule="auto"/>
    </w:pPr>
    <w:rPr>
      <w:rFonts w:cs="Arial"/>
      <w:kern w:val="2"/>
      <w:sz w:val="20"/>
      <w:szCs w:val="20"/>
    </w:rPr>
  </w:style>
  <w:style w:type="character" w:customStyle="1" w:styleId="FootnoteTextChar">
    <w:name w:val="Footnote Text Char"/>
    <w:link w:val="FootnoteText"/>
    <w:uiPriority w:val="99"/>
    <w:semiHidden/>
    <w:rsid w:val="00CC783F"/>
    <w:rPr>
      <w:rFonts w:cs="Arial"/>
      <w:kern w:val="2"/>
      <w:lang w:eastAsia="en-US"/>
    </w:rPr>
  </w:style>
  <w:style w:type="character" w:styleId="Hyperlink">
    <w:name w:val="Hyperlink"/>
    <w:uiPriority w:val="99"/>
    <w:unhideWhenUsed/>
    <w:rsid w:val="00CC783F"/>
    <w:rPr>
      <w:color w:val="0563C1"/>
      <w:u w:val="single"/>
    </w:rPr>
  </w:style>
  <w:style w:type="paragraph" w:styleId="CommentText">
    <w:name w:val="annotation text"/>
    <w:basedOn w:val="Normal"/>
    <w:link w:val="CommentTextChar"/>
    <w:uiPriority w:val="99"/>
    <w:unhideWhenUsed/>
    <w:rsid w:val="00CC783F"/>
    <w:pPr>
      <w:spacing w:after="160" w:line="240" w:lineRule="auto"/>
    </w:pPr>
    <w:rPr>
      <w:rFonts w:cs="Arial"/>
      <w:kern w:val="2"/>
      <w:sz w:val="20"/>
      <w:szCs w:val="20"/>
    </w:rPr>
  </w:style>
  <w:style w:type="character" w:customStyle="1" w:styleId="CommentTextChar">
    <w:name w:val="Comment Text Char"/>
    <w:link w:val="CommentText"/>
    <w:uiPriority w:val="99"/>
    <w:rsid w:val="00CC783F"/>
    <w:rPr>
      <w:rFonts w:cs="Arial"/>
      <w:kern w:val="2"/>
      <w:lang w:eastAsia="en-US"/>
    </w:rPr>
  </w:style>
  <w:style w:type="character" w:styleId="CommentReference">
    <w:name w:val="annotation reference"/>
    <w:uiPriority w:val="99"/>
    <w:semiHidden/>
    <w:unhideWhenUsed/>
    <w:rsid w:val="00CC783F"/>
    <w:rPr>
      <w:sz w:val="16"/>
      <w:szCs w:val="16"/>
    </w:rPr>
  </w:style>
  <w:style w:type="paragraph" w:styleId="Revision">
    <w:name w:val="Revision"/>
    <w:hidden/>
    <w:uiPriority w:val="99"/>
    <w:semiHidden/>
    <w:rsid w:val="00B6459E"/>
    <w:rPr>
      <w:sz w:val="22"/>
      <w:szCs w:val="22"/>
      <w:lang w:val="en-GB" w:eastAsia="en-US"/>
    </w:rPr>
  </w:style>
  <w:style w:type="paragraph" w:styleId="CommentSubject">
    <w:name w:val="annotation subject"/>
    <w:basedOn w:val="CommentText"/>
    <w:next w:val="CommentText"/>
    <w:link w:val="CommentSubjectChar"/>
    <w:uiPriority w:val="99"/>
    <w:semiHidden/>
    <w:unhideWhenUsed/>
    <w:rsid w:val="00624D4B"/>
    <w:pPr>
      <w:spacing w:after="200" w:line="276" w:lineRule="auto"/>
    </w:pPr>
    <w:rPr>
      <w:rFonts w:cs="Times New Roman"/>
      <w:b/>
      <w:bCs/>
      <w:kern w:val="0"/>
    </w:rPr>
  </w:style>
  <w:style w:type="character" w:customStyle="1" w:styleId="CommentSubjectChar">
    <w:name w:val="Comment Subject Char"/>
    <w:link w:val="CommentSubject"/>
    <w:uiPriority w:val="99"/>
    <w:semiHidden/>
    <w:rsid w:val="00624D4B"/>
    <w:rPr>
      <w:rFonts w:cs="Arial"/>
      <w:b/>
      <w:bCs/>
      <w:kern w:val="2"/>
      <w:lang w:val="en-GB" w:eastAsia="en-US"/>
    </w:rPr>
  </w:style>
  <w:style w:type="paragraph" w:styleId="Header">
    <w:name w:val="header"/>
    <w:basedOn w:val="Normal"/>
    <w:link w:val="HeaderChar"/>
    <w:uiPriority w:val="99"/>
    <w:unhideWhenUsed/>
    <w:rsid w:val="00DC1E56"/>
    <w:pPr>
      <w:tabs>
        <w:tab w:val="center" w:pos="4513"/>
        <w:tab w:val="right" w:pos="9026"/>
      </w:tabs>
    </w:pPr>
  </w:style>
  <w:style w:type="character" w:customStyle="1" w:styleId="HeaderChar">
    <w:name w:val="Header Char"/>
    <w:link w:val="Header"/>
    <w:uiPriority w:val="99"/>
    <w:rsid w:val="00DC1E56"/>
    <w:rPr>
      <w:sz w:val="22"/>
      <w:szCs w:val="22"/>
      <w:lang w:val="en-GB" w:eastAsia="en-US"/>
    </w:rPr>
  </w:style>
  <w:style w:type="paragraph" w:styleId="Footer">
    <w:name w:val="footer"/>
    <w:basedOn w:val="Normal"/>
    <w:link w:val="FooterChar"/>
    <w:uiPriority w:val="99"/>
    <w:unhideWhenUsed/>
    <w:rsid w:val="00DC1E56"/>
    <w:pPr>
      <w:tabs>
        <w:tab w:val="center" w:pos="4513"/>
        <w:tab w:val="right" w:pos="9026"/>
      </w:tabs>
    </w:pPr>
  </w:style>
  <w:style w:type="character" w:customStyle="1" w:styleId="FooterChar">
    <w:name w:val="Footer Char"/>
    <w:link w:val="Footer"/>
    <w:uiPriority w:val="99"/>
    <w:rsid w:val="00DC1E56"/>
    <w:rPr>
      <w:sz w:val="22"/>
      <w:szCs w:val="22"/>
      <w:lang w:val="en-GB" w:eastAsia="en-US"/>
    </w:rPr>
  </w:style>
  <w:style w:type="character" w:styleId="UnresolvedMention">
    <w:name w:val="Unresolved Mention"/>
    <w:uiPriority w:val="99"/>
    <w:semiHidden/>
    <w:unhideWhenUsed/>
    <w:rsid w:val="004F2A7F"/>
    <w:rPr>
      <w:color w:val="605E5C"/>
      <w:shd w:val="clear" w:color="auto" w:fill="E1DFDD"/>
    </w:rPr>
  </w:style>
  <w:style w:type="character" w:styleId="FollowedHyperlink">
    <w:name w:val="FollowedHyperlink"/>
    <w:basedOn w:val="DefaultParagraphFont"/>
    <w:uiPriority w:val="99"/>
    <w:semiHidden/>
    <w:unhideWhenUsed/>
    <w:rsid w:val="00C147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4612">
      <w:bodyDiv w:val="1"/>
      <w:marLeft w:val="0"/>
      <w:marRight w:val="0"/>
      <w:marTop w:val="0"/>
      <w:marBottom w:val="0"/>
      <w:divBdr>
        <w:top w:val="none" w:sz="0" w:space="0" w:color="auto"/>
        <w:left w:val="none" w:sz="0" w:space="0" w:color="auto"/>
        <w:bottom w:val="none" w:sz="0" w:space="0" w:color="auto"/>
        <w:right w:val="none" w:sz="0" w:space="0" w:color="auto"/>
      </w:divBdr>
    </w:div>
    <w:div w:id="224221393">
      <w:bodyDiv w:val="1"/>
      <w:marLeft w:val="0"/>
      <w:marRight w:val="0"/>
      <w:marTop w:val="0"/>
      <w:marBottom w:val="0"/>
      <w:divBdr>
        <w:top w:val="none" w:sz="0" w:space="0" w:color="auto"/>
        <w:left w:val="none" w:sz="0" w:space="0" w:color="auto"/>
        <w:bottom w:val="none" w:sz="0" w:space="0" w:color="auto"/>
        <w:right w:val="none" w:sz="0" w:space="0" w:color="auto"/>
      </w:divBdr>
    </w:div>
    <w:div w:id="545262189">
      <w:bodyDiv w:val="1"/>
      <w:marLeft w:val="0"/>
      <w:marRight w:val="0"/>
      <w:marTop w:val="0"/>
      <w:marBottom w:val="0"/>
      <w:divBdr>
        <w:top w:val="none" w:sz="0" w:space="0" w:color="auto"/>
        <w:left w:val="none" w:sz="0" w:space="0" w:color="auto"/>
        <w:bottom w:val="none" w:sz="0" w:space="0" w:color="auto"/>
        <w:right w:val="none" w:sz="0" w:space="0" w:color="auto"/>
      </w:divBdr>
    </w:div>
    <w:div w:id="1293171247">
      <w:bodyDiv w:val="1"/>
      <w:marLeft w:val="0"/>
      <w:marRight w:val="0"/>
      <w:marTop w:val="0"/>
      <w:marBottom w:val="0"/>
      <w:divBdr>
        <w:top w:val="none" w:sz="0" w:space="0" w:color="auto"/>
        <w:left w:val="none" w:sz="0" w:space="0" w:color="auto"/>
        <w:bottom w:val="none" w:sz="0" w:space="0" w:color="auto"/>
        <w:right w:val="none" w:sz="0" w:space="0" w:color="auto"/>
      </w:divBdr>
    </w:div>
    <w:div w:id="1295866796">
      <w:bodyDiv w:val="1"/>
      <w:marLeft w:val="0"/>
      <w:marRight w:val="0"/>
      <w:marTop w:val="0"/>
      <w:marBottom w:val="0"/>
      <w:divBdr>
        <w:top w:val="none" w:sz="0" w:space="0" w:color="auto"/>
        <w:left w:val="none" w:sz="0" w:space="0" w:color="auto"/>
        <w:bottom w:val="none" w:sz="0" w:space="0" w:color="auto"/>
        <w:right w:val="none" w:sz="0" w:space="0" w:color="auto"/>
      </w:divBdr>
    </w:div>
    <w:div w:id="21222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N/TXT/?uri=celex:52024DC0470" TargetMode="External"/><Relationship Id="rId2" Type="http://schemas.openxmlformats.org/officeDocument/2006/relationships/hyperlink" Target="https://eur-lex.europa.eu/legal-content/EN/TXT/?uri=CELEX%3A52023DC0691" TargetMode="External"/><Relationship Id="rId1" Type="http://schemas.openxmlformats.org/officeDocument/2006/relationships/hyperlink" Target="https://www.consilium.europa.eu/media/ny3j24sm/much-more-than-a-market-report-by-enrico-letta.pdf" TargetMode="External"/><Relationship Id="rId4" Type="http://schemas.openxmlformats.org/officeDocument/2006/relationships/hyperlink" Target="https://eur-lex.europa.eu/legal-content/EN/TXT/?uri=celex:52023PC0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23" ma:contentTypeDescription="Create a new document." ma:contentTypeScope="" ma:versionID="2b75ea24424b230e463b5d9c6c8509e3">
  <xsd:schema xmlns:xsd="http://www.w3.org/2001/XMLSchema" xmlns:xs="http://www.w3.org/2001/XMLSchema" xmlns:p="http://schemas.microsoft.com/office/2006/metadata/properties" xmlns:ns1="http://schemas.microsoft.com/sharepoint/v3" xmlns:ns2="33e07890-6196-4e26-9dd2-53178dae8e48" xmlns:ns3="faa54b14-608b-44ba-8621-4287d9574b27" targetNamespace="http://schemas.microsoft.com/office/2006/metadata/properties" ma:root="true" ma:fieldsID="72501ce5553c24e83bc46517c650795f" ns1:_="" ns2:_="" ns3:_="">
    <xsd:import namespace="http://schemas.microsoft.com/sharepoint/v3"/>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DateandTime" minOccurs="0"/>
                <xsd:element ref="ns2:Batch" minOccurs="0"/>
                <xsd:element ref="ns2:BatchType" minOccurs="0"/>
                <xsd:element ref="ns2:Statu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doneorno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6" nillable="true" ma:displayName="Date and Time" ma:format="DateTime" ma:internalName="DateandTime">
      <xsd:simpleType>
        <xsd:restriction base="dms:DateTime"/>
      </xsd:simpleType>
    </xsd:element>
    <xsd:element name="Batch" ma:index="17" nillable="true" ma:displayName="Batch" ma:format="Dropdown" ma:internalName="Batch">
      <xsd:simpleType>
        <xsd:restriction base="dms:Choice">
          <xsd:enumeration value="First Batch"/>
          <xsd:enumeration value="Neighborhood"/>
          <xsd:enumeration value="Second Batch"/>
        </xsd:restriction>
      </xsd:simpleType>
    </xsd:element>
    <xsd:element name="BatchType" ma:index="18" nillable="true" ma:displayName="Batch Type" ma:description="First&#10;Second&#10;Neighborhood" ma:format="Dropdown" ma:internalName="BatchType">
      <xsd:simpleType>
        <xsd:restriction base="dms:Text">
          <xsd:maxLength value="255"/>
        </xsd:restriction>
      </xsd:simpleType>
    </xsd:element>
    <xsd:element name="Status" ma:index="19" nillable="true" ma:displayName="Status" ma:format="Dropdown" ma:internalName="Status">
      <xsd:simpleType>
        <xsd:restriction base="dms:Choice">
          <xsd:enumeration value="Working document"/>
          <xsd:enumeration value="Sent to hierarchy"/>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oneornot" ma:index="29" nillable="true" ma:displayName="done or not" ma:default="0" ma:format="Dropdown" ma:internalName="doneorno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5ff114-4cad-4fab-9ddb-c6539b49e5ae}" ma:internalName="TaxCatchAll"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Batch xmlns="33e07890-6196-4e26-9dd2-53178dae8e48" xsi:nil="true"/>
    <doneornot xmlns="33e07890-6196-4e26-9dd2-53178dae8e48">false</doneornot>
    <DateandTime xmlns="33e07890-6196-4e26-9dd2-53178dae8e48" xsi:nil="true"/>
    <Status xmlns="33e07890-6196-4e26-9dd2-53178dae8e48" xsi:nil="true"/>
    <_ip_UnifiedCompliancePolicyProperties xmlns="http://schemas.microsoft.com/sharepoint/v3" xsi:nil="true"/>
    <BatchType xmlns="33e07890-6196-4e26-9dd2-53178dae8e48" xsi:nil="true"/>
    <TaxCatchAll xmlns="faa54b14-608b-44ba-8621-4287d9574b27" xsi:nil="true"/>
    <lcf76f155ced4ddcb4097134ff3c332f xmlns="33e07890-6196-4e26-9dd2-53178dae8e4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B6CBD-4D3E-48AA-8C2E-4F95CD71A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6B1CA1-504A-4268-96E1-03B8B985D8A8}">
  <ds:schemaRefs>
    <ds:schemaRef ds:uri="http://schemas.microsoft.com/sharepoint/v3/contenttype/forms"/>
  </ds:schemaRefs>
</ds:datastoreItem>
</file>

<file path=customXml/itemProps3.xml><?xml version="1.0" encoding="utf-8"?>
<ds:datastoreItem xmlns:ds="http://schemas.openxmlformats.org/officeDocument/2006/customXml" ds:itemID="{C82FAE4E-2DDB-4137-B312-F2A4EBF9F253}">
  <ds:schemaRefs>
    <ds:schemaRef ds:uri="http://schemas.microsoft.com/office/2006/metadata/properties"/>
    <ds:schemaRef ds:uri="http://schemas.microsoft.com/office/infopath/2007/PartnerControls"/>
    <ds:schemaRef ds:uri="http://schemas.microsoft.com/sharepoint/v3"/>
    <ds:schemaRef ds:uri="33e07890-6196-4e26-9dd2-53178dae8e48"/>
    <ds:schemaRef ds:uri="faa54b14-608b-44ba-8621-4287d9574b27"/>
  </ds:schemaRefs>
</ds:datastoreItem>
</file>

<file path=customXml/itemProps4.xml><?xml version="1.0" encoding="utf-8"?>
<ds:datastoreItem xmlns:ds="http://schemas.openxmlformats.org/officeDocument/2006/customXml" ds:itemID="{87AFFAF9-1268-445C-BB20-71A6D018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984</Words>
  <Characters>5710</Characters>
  <Application>Microsoft Office Word</Application>
  <DocSecurity>0</DocSecurity>
  <Lines>74</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PUIA Manuela Morena (SG)</dc:creator>
  <cp:keywords/>
  <cp:lastModifiedBy>STEPIEN Beata (SG)</cp:lastModifiedBy>
  <cp:revision>4</cp:revision>
  <cp:lastPrinted>2013-02-27T18:02:00Z</cp:lastPrinted>
  <dcterms:created xsi:type="dcterms:W3CDTF">2025-09-15T12:49:00Z</dcterms:created>
  <dcterms:modified xsi:type="dcterms:W3CDTF">2025-09-15T13:12:00Z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2023-04-12T12:31:59Z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633b4ac4-9ed9-4135-981c-e588276a87bc</vt:lpwstr>
  </property>
  <property fmtid="{D5CDD505-2E9C-101B-9397-08002B2CF9AE}" pid="8" name="MSIP_Label_6bd9ddd1-4d20-43f6-abfa-fc3c07406f94_ContentBits">
    <vt:lpwstr>0</vt:lpwstr>
  </property>
  <property fmtid="{D5CDD505-2E9C-101B-9397-08002B2CF9AE}" pid="9" name="ContentTypeId">
    <vt:lpwstr>0x010100ECFDF3D715AA394A9B15E0E0FAA07E37</vt:lpwstr>
  </property>
  <property fmtid="{D5CDD505-2E9C-101B-9397-08002B2CF9AE}" pid="10" name="MediaServiceImageTags">
    <vt:lpwstr/>
  </property>
</Properties>
</file>