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19D36F11" w:rsidR="006C03A9" w:rsidRPr="002A7061" w:rsidRDefault="00CA234E" w:rsidP="006C03A9">
      <w:pPr>
        <w:jc w:val="center"/>
        <w:rPr>
          <w:rFonts w:asciiTheme="minorHAnsi" w:hAnsiTheme="minorHAnsi" w:cstheme="minorHAnsi"/>
          <w:szCs w:val="22"/>
        </w:rPr>
      </w:pPr>
      <w:r>
        <w:rPr>
          <w:rFonts w:asciiTheme="minorHAnsi" w:hAnsiTheme="minorHAnsi"/>
          <w:noProof/>
        </w:rPr>
        <w:drawing>
          <wp:inline distT="0" distB="0" distL="0" distR="0" wp14:anchorId="11C500A3" wp14:editId="7159B721">
            <wp:extent cx="1792605" cy="1239520"/>
            <wp:effectExtent l="0" t="0" r="0" b="0"/>
            <wp:docPr id="1" name="Picture 1" title="EESCLogo_PT"/>
            <wp:cNvGraphicFramePr/>
            <a:graphic xmlns:a="http://schemas.openxmlformats.org/drawingml/2006/main">
              <a:graphicData uri="http://schemas.openxmlformats.org/drawingml/2006/picture">
                <pic:pic xmlns:pic="http://schemas.openxmlformats.org/drawingml/2006/picture">
                  <pic:nvPicPr>
                    <pic:cNvPr id="1" name="Picture 1" title="EESCLogo_P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5F589F3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PT</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Gestão dos dossiês dos membros, dos delegados da CCMI e dos suplentes</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Declaração relativa à proteção de dados</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Introdução</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O Comité Económico e Social Europeu (CESE) está empenhado em respeitar e proteger os seus dados pessoais, em conformidade com o </w:t>
      </w:r>
      <w:hyperlink r:id="rId12" w:history="1">
        <w:r>
          <w:rPr>
            <w:rStyle w:val="Hyperlink"/>
            <w:rFonts w:asciiTheme="minorHAnsi" w:hAnsiTheme="minorHAnsi"/>
            <w:sz w:val="22"/>
          </w:rPr>
          <w:t>Regulamento (UE) 2018/1725</w:t>
        </w:r>
      </w:hyperlink>
      <w:r>
        <w:rPr>
          <w:rFonts w:asciiTheme="minorHAnsi" w:hAnsiTheme="minorHAnsi"/>
          <w:sz w:val="22"/>
        </w:rPr>
        <w:t xml:space="preserve"> (RPDUE).</w:t>
      </w:r>
    </w:p>
    <w:p w14:paraId="09729962" w14:textId="77777777" w:rsidR="00574083" w:rsidRPr="00853FD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Os seus dados pessoais podem ser recolhidos e tratados para fins administrativos.</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Quem é responsável pelo tratamento dos dados pessoais?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O CESE é responsável pelo tratamento dos dados pessoais. O serviço responsável (responsável delegado pelo tratamento) é a Unidade do Secretariado da Assembleia e da Mesa e Programação Legislativa (</w:t>
      </w:r>
      <w:hyperlink r:id="rId13" w:history="1">
        <w:r>
          <w:rPr>
            <w:rStyle w:val="Hyperlink"/>
            <w:rFonts w:ascii="Calibri" w:hAnsi="Calibri"/>
          </w:rPr>
          <w:t>nominations-eesc@eesc.europa.eu</w:t>
        </w:r>
      </w:hyperlink>
      <w:r>
        <w:rPr>
          <w:rFonts w:asciiTheme="minorHAnsi" w:hAnsiTheme="minorHAns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Qual é a finalidade do tratamento dos dados?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Todos os dados pessoais fornecidos pelos membros, delegados da CCMI e suplentes à Unidade do Secretariado da Assembleia e da Mesa e Programação Legislativa (em papel ou por correio eletrónico) são conservados na base de dados Agora e utilizados pelos serviços internos competentes para fins administrativos e de comunicação relacionados com o exercício das suas funções de membros, delegados da CCMI e suplentes e com a sua participação nas atividades do Comité.</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Qual é a base jurídica do tratamento de dados?</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A base jurídica para o tratamento é o artigo 5.º, n.º 1, alínea a), do Regulamento (UE) 2018/1725, que dispõe o seguinte: «O tratamento é necessário para o exercício de funções de interesse público ou para o exercício da autoridade pública de que a instituição ou o órgão da União estão investidos». O «interesse público» inclui as operações de tratamento necessárias à gestão e ao funcionamento das instituições da UE.</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Para algumas categorias de dados pessoais (ver ponto 6.4 </w:t>
      </w:r>
      <w:r>
        <w:rPr>
          <w:rFonts w:asciiTheme="minorHAnsi" w:hAnsiTheme="minorHAnsi"/>
          <w:i/>
          <w:shd w:val="clear" w:color="auto" w:fill="FFFFFF"/>
        </w:rPr>
        <w:t>infra</w:t>
      </w:r>
      <w:r>
        <w:rPr>
          <w:rFonts w:asciiTheme="minorHAnsi" w:hAnsiTheme="minorHAnsi"/>
          <w:shd w:val="clear" w:color="auto" w:fill="FFFFFF"/>
        </w:rPr>
        <w:t>), a base jurídica é o artigo 5.º, n.º 1, alínea d), do Regulamento (UE) 2018/1725, que dispõe o seguinte: «O titular dos dados deu o seu consentimento ao tratamento dos seus dados pessoais para uma ou mais finalidades específicas».</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Quais são os dados pessoais tratados?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 xml:space="preserve">Os seguintes dados são introduzidos na base de dados Agora pela Unidade do Secretariado da Assembleia e da Mesa e Programação Legislativa e armazenados em </w:t>
      </w:r>
      <w:r>
        <w:rPr>
          <w:rFonts w:asciiTheme="minorHAnsi" w:hAnsiTheme="minorHAnsi"/>
        </w:rPr>
        <w:lastRenderedPageBreak/>
        <w:t>pastas protegidas SharePoint, cujo acesso é estritamente limitado ao pessoal dessa unidade:</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Apelido</w:t>
      </w:r>
    </w:p>
    <w:p w14:paraId="4CC3BDBA" w14:textId="3B604D15" w:rsidR="00C71316" w:rsidRPr="00853FD2" w:rsidRDefault="00C71316" w:rsidP="00AA1D53">
      <w:pPr>
        <w:numPr>
          <w:ilvl w:val="0"/>
          <w:numId w:val="32"/>
        </w:numPr>
        <w:spacing w:after="59" w:line="259" w:lineRule="auto"/>
        <w:jc w:val="left"/>
        <w:rPr>
          <w:rFonts w:asciiTheme="minorHAnsi" w:hAnsiTheme="minorHAnsi" w:cstheme="minorHAnsi"/>
          <w:lang w:val="en-US"/>
        </w:rPr>
      </w:pPr>
      <w:r w:rsidRPr="00853FD2">
        <w:rPr>
          <w:rFonts w:asciiTheme="minorHAnsi" w:hAnsiTheme="minorHAnsi"/>
        </w:rPr>
        <w:t>Nome próprio</w:t>
      </w: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Forma de tratamento</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Deficiência</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Data de nascimento</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País representado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Cargo oficial</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Tipo de mandato</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Data da nomeação</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Data de termo do mandato</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Suplente</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Assistente</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Os membros introduzem os seguintes dados através do seu painel de controlo no Portal dos Membros:</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Contacto de emergência</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Apelido habitual</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Nome próprio habitual</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País de nascimento</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Naturalidade</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Fotografia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CV</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Endereço postal não confidencial</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Endereço postal pessoal</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Endereço de correio eletrónico para correspondência</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Endereço de correio eletrónico pessoal</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Números de telefone</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Competências linguísticas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Declaração de domicílio (não carregada no Agora, mas armazenada numa pasta protegida)</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Comprovativo de residência (não carregado no Agora, mas armazenado numa pasta protegida)</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Declaração de interesses financeiros (declaração sem assinatura no Agora, a declaração assinada é armazenada numa pasta protegida).</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Preferências relativas aos documentos impressos</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Sítios Web</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Contas nas redes sociais</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Blogues</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Associações</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Domínios de interesse</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Definições de privacidade</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Opções de notificação</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Delegação de direitos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Biografia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Todos os documentos fornecidos pelos membros, delegados da CCMI e suplentes à Unidade do Secretariado da Assembleia e da Mesa e Programação Legislativa (em papel ou por correio eletrónico) são armazenados em pastas protegidas SharePoint, cujo acesso é estritamente limitado ao pessoal dessa unidade:</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Formulário a preencher no início do mandato (sob a forma de questionário)</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CV</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Cartão de cidadão ou passaporte</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Declaração de interesses financeiros assinada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Declaração de domicílio</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Ficha de entidade legal</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Ficha de identificação financeira</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Quem são os destinatários ou as categorias de destinatários dos meus dados pessoais?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Os membros do pessoal da Unidade do Secretariado da Assembleia e da Mesa e Programação Legislativa têm acesso aos seus dados pessoais com base no princípio da necessidade de conhecer.</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Os dados que se seguem estão acessíveis aos seguintes serviços do Comité:</w:t>
      </w:r>
    </w:p>
    <w:p w14:paraId="562C6BA7" w14:textId="77777777" w:rsidR="00B354A2" w:rsidRPr="00853FD2" w:rsidRDefault="00B354A2" w:rsidP="00B354A2">
      <w:pPr>
        <w:tabs>
          <w:tab w:val="left" w:pos="567"/>
        </w:tabs>
        <w:rPr>
          <w:szCs w:val="24"/>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apelido, nome próprio, género, forma de tratamento, nacionalidade, naturalidade, competências linguísticas, preferências relativas aos documentos impressos, endereço não confidencial, agenda, endereço eletrónico confidencial, CV, data de nascimento, números de telefone e de telemóvel não confidenciais.</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apelido, nome próprio, género, forma de tratamento, endereços não confidenciais, endereço eletrónico confidencial, números de telefone e de telemóvel não confidenciais, agenda e CV.</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SG.B.1_REX, SG.B.2_TEN, SG.B.3_NAT, SG.B.4_FSA, SG.C.1_ECO, SG.C.2_SOC, SG.C.3_INT: apelido, nome próprio, género, forma de tratamento, endereço não confidencial, endereço eletrónico confidencial, grupo a que pertence, nacionalidade, naturalidade, competências linguísticas, preferências relativas aos documentos </w:t>
      </w:r>
      <w:r>
        <w:rPr>
          <w:rFonts w:asciiTheme="minorHAnsi" w:hAnsiTheme="minorHAnsi"/>
        </w:rPr>
        <w:lastRenderedPageBreak/>
        <w:t>impressos, agenda, atividades, órgãos do CESE que integra, CV, fotografia, números de telefone e de telemóvel não confidenciais.</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SG.C.4_CCMI: apelido, nome próprio, género, forma de tratamento, endereço não confidencial, endereço eletrónico confidencial, nacionalidade, naturalidade, competências linguísticas, preferências relativas aos documentos impressos, agenda, atividades, domínios de interesse, categorias do CESE a que pertence, CV, fotografia, número de telemóvel não confidencial.</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apelido, nome próprio, género, forma de tratamento, nacionalidade, naturalidade, datas das presenças do membro no CESE, dados de contacto do membro, trabalho realizado pelo membro, competências linguísticas, preferências relativas aos documentos impressos, fotografia, agenda.</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apelido, nome próprio, género, forma de tratamento, número de telefone não confidencial, número de telefone confidencial, número de telemóvel não confidencial, número de telemóvel confidencial.</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apelido, nome próprio, género, forma de tratamento.</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apelido, nome próprio, género, forma de tratamento, nacionalidade, atribuição de linhas telefónicas, números de telemóvel confidenciais e não confidenciais.</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Os dados que se seguem são publicados e acessíveis a todos na página dos membros através do Portal dos Membros:</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Apelido habitual, nome próprio habitual; tipo de mandato; início do mandato; país representado; cargo oficial na organização nacional; grupos e secções que integra; organização(ões) nacional(ais) a que pertence; declaração de interesses financeiros não assinada.</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Os dados que se seguem só são publicados com o consentimento prévio da pessoa em causa (cada categoria de dados pode ser selecionada separadamente pelos membros, delegados da CCMI ou suplentes) e os dados estão acessíveis na página dos membros através do Portal dos Membros:</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Número de telefone não confidencial, número de telemóvel não confidencial, número de fax não confidencial; endereço eletrónico não confidencial; endereço não confidencial; sítio Web; blogues; contas nas redes sociais; fotografia; data de nascimento; competências linguísticas; preferências relacionadas com os documentos impressos; suplente; atividades no Comité; associações; domínios de interesse; delegação de direitos; biografia.</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Durante o mandato, podem ser utilizados determinados dados pessoais básicos:</w:t>
      </w:r>
    </w:p>
    <w:p w14:paraId="247CA6E3" w14:textId="6FC7626D"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no vade-mécum do CESE</w:t>
      </w:r>
      <w:r w:rsidR="00853FD2">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rPr>
          <w:rFonts w:asciiTheme="minorHAnsi" w:hAnsiTheme="minorHAnsi"/>
        </w:rPr>
        <w:t>nas publicações, boletins informativos, vídeos, apresentações e sítio Web do CESE,</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no Portal dos Membros,</w:t>
      </w:r>
    </w:p>
    <w:p w14:paraId="5AA3AE5A" w14:textId="7879F59E" w:rsidR="00336DEF" w:rsidRPr="00853FD2" w:rsidRDefault="00336DEF" w:rsidP="00CF6BF8">
      <w:pPr>
        <w:numPr>
          <w:ilvl w:val="0"/>
          <w:numId w:val="33"/>
        </w:numPr>
        <w:spacing w:after="43" w:line="259" w:lineRule="auto"/>
        <w:rPr>
          <w:szCs w:val="24"/>
        </w:rPr>
      </w:pPr>
      <w:r>
        <w:rPr>
          <w:rFonts w:asciiTheme="minorHAnsi" w:hAnsiTheme="minorHAnsi"/>
        </w:rPr>
        <w:lastRenderedPageBreak/>
        <w:t>na «EU Whoiswho» (a lista de contactos oficial da União Europeia com os dados de contacto de todos os órgãos e instituições da UE)</w:t>
      </w:r>
      <w:r w:rsidR="0006787D">
        <w:rPr>
          <w:rStyle w:val="FootnoteReference"/>
          <w:rFonts w:asciiTheme="minorHAnsi" w:hAnsiTheme="minorHAnsi" w:cstheme="minorHAnsi"/>
          <w:lang w:val="en-US"/>
        </w:rPr>
        <w:footnoteReference w:id="3"/>
      </w:r>
      <w:r>
        <w:rPr>
          <w:rFonts w:asciiTheme="minorHAnsi" w:hAnsiTheme="minorHAnsi"/>
        </w:rPr>
        <w:t>.</w:t>
      </w:r>
    </w:p>
    <w:p w14:paraId="79D0AA2D" w14:textId="77777777" w:rsidR="00853FD2" w:rsidRPr="00767BBC" w:rsidRDefault="00853FD2" w:rsidP="00853FD2">
      <w:pPr>
        <w:spacing w:after="43" w:line="259" w:lineRule="auto"/>
        <w:ind w:left="1335"/>
        <w:rPr>
          <w:szCs w:val="24"/>
        </w:rPr>
      </w:pP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A «EU Whoiswho» é a lista de contactos oficial das instituições europeias e reúne os dados de contacto de todos os órgãos e instituições da UE. Existe nos formatos seguintes: versão em linha, versão livro digital e versão papel.</w:t>
      </w:r>
    </w:p>
    <w:p w14:paraId="3AAB92EC" w14:textId="77777777" w:rsidR="00612087" w:rsidRPr="00853FD2" w:rsidRDefault="00612087" w:rsidP="00612087">
      <w:pPr>
        <w:rPr>
          <w:rFonts w:asciiTheme="minorHAnsi" w:eastAsiaTheme="minorHAnsi" w:hAnsiTheme="minorHAnsi" w:cstheme="minorHAnsi"/>
          <w:szCs w:val="22"/>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O Portal de Dados Abertos, gerido pelo Serviço das Publicações, dá acesso aos dados dos membros publicados nas páginas dos membros, disponíveis no Portal dos Membros.</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Os seus dados (entidade/instituição, endereço da instituição, sítio Web, forma de tratamento, apelido, nome próprio, fotografia, função no CESE, país que representa, mandato local, contacto telefónico e endereço eletrónico, órgãos que integra no CESE) são transmitidos ao Serviço das Publicações para publicação na «EU Whoiswho» (a lista de contactos oficial das instituições europeias que reúne os dados de contacto de todos os órgãos e instituições da UE), nos seguintes formatos: versão em linha, versão livro digital e versão papel. Se disponível, a sua fotografia é publicada na versão eletrónica da «EU Whoiswho». Apenas as fotografias do presidente e dos vice-presidentes são publicadas na lista de contactos oficial da UE em suporte papel.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32E016E6"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 xml:space="preserve">O </w:t>
      </w:r>
      <w:hyperlink r:id="rId14">
        <w:r>
          <w:rPr>
            <w:rFonts w:asciiTheme="minorHAnsi" w:hAnsiTheme="minorHAnsi"/>
            <w:color w:val="0000FF"/>
            <w:u w:val="single"/>
          </w:rPr>
          <w:t>sítio Web gerido pelo Serviço das Publicações</w:t>
        </w:r>
      </w:hyperlink>
      <w:r>
        <w:rPr>
          <w:rFonts w:asciiTheme="minorHAnsi" w:hAnsiTheme="minorHAnsi"/>
          <w:color w:val="000000"/>
        </w:rPr>
        <w:t xml:space="preserve"> também dá acesso aos dados dos membros publicados nas páginas dos membros, disponíveis no </w:t>
      </w:r>
      <w:hyperlink r:id="rId15">
        <w:r>
          <w:rPr>
            <w:rFonts w:asciiTheme="minorHAnsi" w:hAnsiTheme="minorHAnsi"/>
            <w:color w:val="0000FF"/>
            <w:u w:val="single"/>
          </w:rPr>
          <w:t xml:space="preserve">sítio Web </w:t>
        </w:r>
        <w:r>
          <w:rPr>
            <w:rFonts w:asciiTheme="minorHAnsi" w:hAnsiTheme="minorHAnsi"/>
            <w:color w:val="0000FF"/>
            <w:u w:val="single"/>
          </w:rPr>
          <w:t>d</w:t>
        </w:r>
        <w:r>
          <w:rPr>
            <w:rFonts w:asciiTheme="minorHAnsi" w:hAnsiTheme="minorHAnsi"/>
            <w:color w:val="0000FF"/>
            <w:u w:val="single"/>
          </w:rPr>
          <w:t>o CESE</w:t>
        </w:r>
      </w:hyperlink>
      <w:r>
        <w:rPr>
          <w:rFonts w:asciiTheme="minorHAnsi" w:hAnsiTheme="minorHAnsi"/>
          <w:color w:val="000000"/>
        </w:rP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Para informações mais pormenorizadas sobre o tratamento dos seus dados pessoais pelo Serviço das Publicações, pode consultar os documentos seguintes:</w:t>
      </w:r>
    </w:p>
    <w:p w14:paraId="1FFE3AF4" w14:textId="234E9FEE" w:rsidR="002A7061" w:rsidRDefault="00612087" w:rsidP="00B354A2">
      <w:pPr>
        <w:spacing w:after="3" w:line="263" w:lineRule="auto"/>
        <w:ind w:left="560"/>
        <w:jc w:val="left"/>
      </w:pPr>
      <w:r>
        <w:rPr>
          <w:rFonts w:asciiTheme="minorHAnsi" w:hAnsiTheme="minorHAnsi"/>
        </w:rPr>
        <w:t xml:space="preserve">O </w:t>
      </w:r>
      <w:r>
        <w:rPr>
          <w:rFonts w:asciiTheme="minorHAnsi" w:hAnsiTheme="minorHAnsi"/>
          <w:u w:val="single"/>
        </w:rPr>
        <w:t>Serviço das Publicações da União Europeia</w:t>
      </w:r>
      <w:r>
        <w:rPr>
          <w:rFonts w:asciiTheme="minorHAnsi" w:hAnsiTheme="minorHAnsi"/>
        </w:rPr>
        <w:t xml:space="preserve">: </w:t>
      </w:r>
      <w:hyperlink r:id="rId16" w:history="1">
        <w:r>
          <w:rPr>
            <w:rFonts w:asciiTheme="minorHAnsi" w:hAnsiTheme="minorHAnsi"/>
            <w:color w:val="0000FF"/>
            <w:u w:val="single"/>
          </w:rPr>
          <w:t>declaração d</w:t>
        </w:r>
        <w:r>
          <w:rPr>
            <w:rFonts w:asciiTheme="minorHAnsi" w:hAnsiTheme="minorHAnsi"/>
            <w:color w:val="0000FF"/>
            <w:u w:val="single"/>
          </w:rPr>
          <w:t>e</w:t>
        </w:r>
        <w:r>
          <w:rPr>
            <w:rFonts w:asciiTheme="minorHAnsi" w:hAnsiTheme="minorHAnsi"/>
            <w:color w:val="0000FF"/>
            <w:u w:val="single"/>
          </w:rPr>
          <w:t xml:space="preserve"> confidencialidade</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Os meus dados pessoais serão transferidos para um país terceiro ou para uma organização internacional?</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Os seus dados pessoais não são transferidos para países não pertencentes à UE ou ao EEE nem para organizações internacionais.</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Como posso exercer os meus direitos?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Tem direito a aceder aos seus dados pessoais, retificar dados pessoais inexatos ou incompletos, restringir (em determinadas condições) o tratamento dos seus dados pessoais e solicitar a eliminação dos seus dados pessoais (se tratados de forma ilícita). Se for caso disso, tem também direito à portabilidade dos seus dados. Tem o direito de se opor, em qualquer momento, ao tratamento dos seus dados pessoais por motivos relacionados com a sua situação específica.</w:t>
      </w:r>
    </w:p>
    <w:p w14:paraId="2891715A" w14:textId="0758E199" w:rsidR="002A7061" w:rsidRPr="008C14F9" w:rsidRDefault="002A7061" w:rsidP="004D3F24">
      <w:pPr>
        <w:pStyle w:val="Style1"/>
      </w:pPr>
      <w:r>
        <w:t>Pode enviar os seus pedidos para a Unidade do Secretariado da Assembleia e da Mesa e Programação Legislativa – Rue Belliard/Belliardstraat 99, 1040 Bruxelles/Brussel (</w:t>
      </w:r>
      <w:hyperlink r:id="rId17" w:history="1">
        <w:r w:rsidR="00495C55" w:rsidRPr="00BE0FC0">
          <w:rPr>
            <w:rStyle w:val="Hyperlink"/>
          </w:rPr>
          <w:t>nomina</w:t>
        </w:r>
        <w:r w:rsidR="00495C55" w:rsidRPr="00BE0FC0">
          <w:rPr>
            <w:rStyle w:val="Hyperlink"/>
          </w:rPr>
          <w:t>t</w:t>
        </w:r>
        <w:r w:rsidR="00495C55" w:rsidRPr="00BE0FC0">
          <w:rPr>
            <w:rStyle w:val="Hyperlink"/>
          </w:rPr>
          <w:t>ions</w:t>
        </w:r>
        <w:r w:rsidR="00495C55" w:rsidRPr="00BE0FC0">
          <w:rPr>
            <w:rStyle w:val="Hyperlink"/>
          </w:rPr>
          <w:noBreakHyphen/>
          <w:t>eesc@eesc.europa.eu</w:t>
        </w:r>
      </w:hyperlink>
      <w:r>
        <w:t>). O seu pedido será tratado sem demora injustificada e, em todo o caso, no prazo de um mês a contar da receção do pedido. Se necessário, esse prazo pode ser prolongado por mais dois meses.</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Pode recorrer para a </w:t>
      </w:r>
      <w:hyperlink r:id="rId18" w:history="1">
        <w:r>
          <w:rPr>
            <w:rStyle w:val="Hyperlink"/>
          </w:rPr>
          <w:t>Autoridade Europei</w:t>
        </w:r>
        <w:r>
          <w:rPr>
            <w:rStyle w:val="Hyperlink"/>
          </w:rPr>
          <w:t>a</w:t>
        </w:r>
        <w:r>
          <w:rPr>
            <w:rStyle w:val="Hyperlink"/>
          </w:rPr>
          <w:t xml:space="preserve"> para a Proteção de Dados</w:t>
        </w:r>
      </w:hyperlink>
      <w:r>
        <w:t>, se considerar que os seus direitos ao abrigo do RPDUE foram violados em resultado do tratamento dos seus dados pessoais pelo CESE.</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Durante quanto tempo são conservados os meus dados pessoais?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Os dados pessoais constantes de documentos registados pelo CESE são conservados para fins de arquivo de interesse público, na aceção do artigo 4.º, n.º 1, alínea e), do Regulamento (UE) 2018/1725, e para eventuais fins de historial (por exemplo, para comprovar que um membro a nomear para um cargo de destaque no CESE, como presidente, vice-presidente, ou outro, integra há muito tempo um órgão do CESE) e de cálculo estatístico.</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Os dados pessoais recolhidos são utilizados para decisões automatizadas, incluindo a definição de perfis?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O CESE não utilizará os seus dados pessoais para tomar decisões automatizadas a seu respeito. Consideram-se «decisões automatizadas» as decisões sem intervenção humana.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Os meus dados pessoais podem ser tratados para fins diferentes dos que motivaram a sua recolha?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Os seus dados pessoais não serão tratados para outros fins.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Quem devo contactar caso queira colocar questões ou apresentar reclamações? </w:t>
      </w:r>
    </w:p>
    <w:p w14:paraId="4D1FAA24" w14:textId="06773C93" w:rsidR="00C56472" w:rsidRPr="008C14F9" w:rsidRDefault="002A7061" w:rsidP="004D3F24">
      <w:pPr>
        <w:pStyle w:val="Style1"/>
      </w:pPr>
      <w:r>
        <w:t>Se desejar colocar questões complementares sobre o tratamento dos seus dados pessoais, contacte, em primeiro lugar, o responsável pelo tratamento dos dados (</w:t>
      </w:r>
      <w:hyperlink r:id="rId19" w:history="1">
        <w:r w:rsidR="00495C55" w:rsidRPr="00BE0FC0">
          <w:rPr>
            <w:rStyle w:val="Hyperlink"/>
          </w:rPr>
          <w:t>nominations</w:t>
        </w:r>
        <w:r w:rsidR="00495C55" w:rsidRPr="00BE0FC0">
          <w:rPr>
            <w:rStyle w:val="Hyperlink"/>
          </w:rPr>
          <w:noBreakHyphen/>
          <w:t>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Também pode contactar, em qualquer momento, o responsável pela proteção de dados no CESE, através do </w:t>
      </w:r>
      <w:hyperlink r:id="rId20" w:history="1">
        <w:r>
          <w:rPr>
            <w:rStyle w:val="Hyperlink"/>
          </w:rPr>
          <w:t>formulário d</w:t>
        </w:r>
        <w:r>
          <w:rPr>
            <w:rStyle w:val="Hyperlink"/>
          </w:rPr>
          <w:t>e</w:t>
        </w:r>
        <w:r>
          <w:rPr>
            <w:rStyle w:val="Hyperlink"/>
          </w:rPr>
          <w:t xml:space="preserve"> c</w:t>
        </w:r>
        <w:r>
          <w:rPr>
            <w:rStyle w:val="Hyperlink"/>
          </w:rPr>
          <w:t>o</w:t>
        </w:r>
        <w:r>
          <w:rPr>
            <w:rStyle w:val="Hyperlink"/>
          </w:rPr>
          <w:t>n</w:t>
        </w:r>
        <w:r>
          <w:rPr>
            <w:rStyle w:val="Hyperlink"/>
          </w:rPr>
          <w:t>tacto</w:t>
        </w:r>
      </w:hyperlink>
      <w:r>
        <w:t xml:space="preserve"> correspondente, e/ou a Autoridade Europeia para a Proteção de Dados, utilizando o </w:t>
      </w:r>
      <w:hyperlink r:id="rId21" w:tgtFrame="_blank" w:history="1">
        <w:r>
          <w:rPr>
            <w:color w:val="0000FF"/>
            <w:u w:val="single"/>
          </w:rPr>
          <w:t xml:space="preserve">formulário </w:t>
        </w:r>
        <w:r>
          <w:rPr>
            <w:color w:val="0000FF"/>
            <w:u w:val="single"/>
          </w:rPr>
          <w:t>d</w:t>
        </w:r>
        <w:r>
          <w:rPr>
            <w:color w:val="0000FF"/>
            <w:u w:val="single"/>
          </w:rPr>
          <w:t>e c</w:t>
        </w:r>
        <w:r>
          <w:rPr>
            <w:color w:val="0000FF"/>
            <w:u w:val="single"/>
          </w:rPr>
          <w:t>o</w:t>
        </w:r>
        <w:r>
          <w:rPr>
            <w:color w:val="0000FF"/>
            <w:u w:val="single"/>
          </w:rPr>
          <w:t>ntacto</w:t>
        </w:r>
      </w:hyperlink>
      <w:r>
        <w:t xml:space="preserve"> previsto para o efeito.</w:t>
      </w:r>
    </w:p>
    <w:sectPr w:rsidR="00B01161" w:rsidRPr="002A7061" w:rsidSect="004F2B7F">
      <w:footerReference w:type="default" r:id="rId2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fldSimple w:instr=" NUMPAGES ">
      <w:r w:rsidR="00553CB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Dados reservados a tratamento administrativo interno.</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Para informações mais pormenorizadas sobre o tratamento dos seus dados pessoais publicados na «EU Whoiswho», pode consultar a declaração relativa à proteção de dados disponível na seguinte hiperligação: </w:t>
      </w:r>
      <w:hyperlink r:id="rId1" w:history="1">
        <w:r>
          <w:rPr>
            <w:rStyle w:val="Hyperlink"/>
            <w:rFonts w:asciiTheme="minorHAnsi" w:hAnsiTheme="minorHAnsi"/>
          </w:rPr>
          <w:t>https://op.euro</w:t>
        </w:r>
        <w:r>
          <w:rPr>
            <w:rStyle w:val="Hyperlink"/>
            <w:rFonts w:asciiTheme="minorHAnsi" w:hAnsiTheme="minorHAnsi"/>
          </w:rPr>
          <w:t>p</w:t>
        </w:r>
        <w:r>
          <w:rPr>
            <w:rStyle w:val="Hyperlink"/>
            <w:rFonts w:asciiTheme="minorHAnsi" w:hAnsiTheme="minorHAnsi"/>
          </w:rPr>
          <w:t>a.eu/pt/web/about-us/legal-notices/op_whoiswho</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5C55"/>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53FD2"/>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234E"/>
    <w:rsid w:val="00CA6ACA"/>
    <w:rsid w:val="00CB1C84"/>
    <w:rsid w:val="00CB2EE2"/>
    <w:rsid w:val="00CB33BE"/>
    <w:rsid w:val="00CC3C69"/>
    <w:rsid w:val="00CC4573"/>
    <w:rsid w:val="00CD2F1F"/>
    <w:rsid w:val="00CD565C"/>
    <w:rsid w:val="00CD78DE"/>
    <w:rsid w:val="00CE40BE"/>
    <w:rsid w:val="00CF1980"/>
    <w:rsid w:val="00CF30AD"/>
    <w:rsid w:val="00CF6BF8"/>
    <w:rsid w:val="00D05887"/>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pt-PT"/>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pt-PT"/>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pt-PT"/>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pt-PT"/>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pt-PT"/>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pt-PT"/>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pt-PT"/>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pt-PT"/>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pt-PT"/>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pt-PT"/>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pt-PT"/>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pt-PT"/>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pt-PT"/>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pt-PT"/>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 w:type="character" w:styleId="UnresolvedMention">
    <w:name w:val="Unresolved Mention"/>
    <w:basedOn w:val="DefaultParagraphFont"/>
    <w:uiPriority w:val="99"/>
    <w:semiHidden/>
    <w:unhideWhenUsed/>
    <w:rsid w:val="00495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pt" TargetMode="External"/><Relationship Id="rId17" Type="http://schemas.openxmlformats.org/officeDocument/2006/relationships/hyperlink" Target="mailto:nominationseesc@eesc.europa.eu" TargetMode="External"/><Relationship Id="rId2" Type="http://schemas.openxmlformats.org/officeDocument/2006/relationships/customXml" Target="../customXml/item2.xml"/><Relationship Id="rId16" Type="http://schemas.openxmlformats.org/officeDocument/2006/relationships/hyperlink" Target="https://op.europa.eu/pt/web/about-us/privacy-statement" TargetMode="External"/><Relationship Id="rId20" Type="http://schemas.openxmlformats.org/officeDocument/2006/relationships/hyperlink" Target="https://www.eesc.europa.eu/pt/general-contact-form?contact_person_group=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esc.europa.eu/pt/members-groups/members/members-and-ccmi-deleg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pt/web/who-is-who"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pt/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A6WAAD5KZT2Q-235352946-5559</_dlc_DocId>
    <_dlc_DocIdUrl xmlns="1a33af13-4045-4f88-9d7b-618e30f79918">
      <Url>http://dm/eesc/2025/_layouts/15/DocIdRedir.aspx?ID=A6WAAD5KZT2Q-235352946-5559</Url>
      <Description>A6WAAD5KZT2Q-235352946-5559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Kupriyanova Edita</DisplayName>
        <AccountId>2020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2.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3.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4.xml><?xml version="1.0" encoding="utf-8"?>
<ds:datastoreItem xmlns:ds="http://schemas.openxmlformats.org/officeDocument/2006/customXml" ds:itemID="{36BFE433-FECC-47D6-9A4C-1D7508F85CA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1996</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confidencialidade: gestão dos dossiês dos membros</dc:title>
  <dc:creator/>
  <cp:keywords>EESC-2025-02938-00-00-ADMIN-TRA-EN</cp:keywords>
  <dc:description>Rapporteur: -  Original language: - EN Date of document: - 08/09/2025 Date of meeting: -  External documents: -  Administrator responsible: - M. LEPOUTTRE Koenraad Jan Gommaire</dc:description>
  <cp:lastModifiedBy/>
  <cp:revision>8</cp:revision>
  <cp:lastPrinted>2018-05-25T09:11:00Z</cp:lastPrinted>
  <dcterms:created xsi:type="dcterms:W3CDTF">2025-09-12T08:22:00Z</dcterms:created>
  <dcterms:modified xsi:type="dcterms:W3CDTF">2025-09-15T12:16:00Z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407fd4ef-5cbe-43e8-bc13-78a7b468cf24</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EL|6d4f4d51-af9b-4650-94b4-4276bee85c91;MT|7df99101-6854-4a26-b53a-b88c0da02c26;LV|46f7e311-5d9f-4663-b433-18aeccb7ace7;EN|f2175f21-25d7-44a3-96da-d6a61b075e1b;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32;#MT|7df99101-6854-4a26-b53a-b88c0da02c26;#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33;#PT|50ccc04a-eadd-42ae-a0cb-acaf45f812ba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