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3519105E" w:rsidR="006C03A9" w:rsidRPr="002A7061" w:rsidRDefault="00674264" w:rsidP="006C03A9">
      <w:pPr>
        <w:jc w:val="center"/>
        <w:rPr>
          <w:rFonts w:asciiTheme="minorHAnsi" w:hAnsiTheme="minorHAnsi" w:cstheme="minorHAnsi"/>
          <w:szCs w:val="22"/>
        </w:rPr>
      </w:pPr>
      <w:r>
        <w:rPr>
          <w:rFonts w:asciiTheme="minorHAnsi" w:hAnsiTheme="minorHAnsi"/>
          <w:noProof/>
        </w:rPr>
        <w:drawing>
          <wp:inline distT="0" distB="0" distL="0" distR="0" wp14:anchorId="07A4D73D" wp14:editId="4C6761A0">
            <wp:extent cx="1792605" cy="1239520"/>
            <wp:effectExtent l="0" t="0" r="0" b="0"/>
            <wp:docPr id="1" name="Picture 1" title="EESCLogo_NL"/>
            <wp:cNvGraphicFramePr/>
            <a:graphic xmlns:a="http://schemas.openxmlformats.org/drawingml/2006/main">
              <a:graphicData uri="http://schemas.openxmlformats.org/drawingml/2006/picture">
                <pic:pic xmlns:pic="http://schemas.openxmlformats.org/drawingml/2006/picture">
                  <pic:nvPicPr>
                    <pic:cNvPr id="1" name="Picture 1" title="EESCLogo_N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1D95A67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NL</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Beheer van de dossiers van de leden, CCMI-afgevaardigden en plaatsvervangers</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Privacyverklaring</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Inleiding</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Het Europees Economisch en Sociaal Comité (EESC) zet zich in voor de eerbiediging en bescherming van uw persoonsgegevens overeenkomstig </w:t>
      </w:r>
      <w:hyperlink r:id="rId12" w:history="1">
        <w:r>
          <w:rPr>
            <w:rStyle w:val="Hyperlink"/>
            <w:rFonts w:asciiTheme="minorHAnsi" w:hAnsiTheme="minorHAnsi"/>
            <w:sz w:val="22"/>
          </w:rPr>
          <w:t>Verordening (EU) 2018/1725</w:t>
        </w:r>
      </w:hyperlink>
      <w:r>
        <w:rPr>
          <w:rFonts w:asciiTheme="minorHAnsi" w:hAnsiTheme="minorHAnsi"/>
          <w:sz w:val="22"/>
        </w:rPr>
        <w:t xml:space="preserve"> (EUDPR – Europese verordening gegevensbescherming).</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Uw persoonsgegevens kunnen voor administratieve doeleinden worden verzameld en verwerkt.</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Wie is verantwoordelijk voor de verwerking van persoonsgegevens?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Het EESC is verantwoordelijk voor de verwerking van persoonsgegevens. De dienst die hierover gaat (gedelegeerd verwerkingsverantwoordelijke) is</w:t>
      </w:r>
      <w:r>
        <w:t xml:space="preserve"> </w:t>
      </w:r>
      <w:r>
        <w:rPr>
          <w:rFonts w:ascii="Calibri" w:hAnsi="Calibri"/>
        </w:rPr>
        <w:t>de eenheid Griffie en Wetgevingsplanning (</w:t>
      </w:r>
      <w:hyperlink r:id="rId13" w:history="1">
        <w:r>
          <w:rPr>
            <w:rStyle w:val="Hyperlink"/>
            <w:rFonts w:ascii="Calibri" w:hAnsi="Calibri"/>
          </w:rPr>
          <w:t>nominations-eesc@eesc.europa.eu</w:t>
        </w:r>
      </w:hyperlink>
      <w:r>
        <w:rPr>
          <w:rFonts w:ascii="Calibri" w:hAnsi="Calibri"/>
        </w:rPr>
        <w:t>)</w:t>
      </w:r>
      <w: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Waarvoor is het verwerken van gegevens bedoeld?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Alle persoonsgegevens die leden, CCMI-afgevaardigden en plaatsvervangers (op papier of via e-mail) aan de eenheid Griffie en Wetgevingsplanning verstrekken, worden opgeslagen in de Agora-databank. Deze gegevens worden door de relevante interne diensten gebruikt voor communicatie- en administratieve doeleinden in verband met de uitoefening van hun taken als lid, CCMI-afgevaardigde of plaatsvervanger, en voor hun deelname aan de activiteiten van het Comité.</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Wat is de rechtsgrond voor de verwerking?</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De rechtsgrond voor de verwerking is artikel 5, lid 1, punt a), van Verordening (EU) 2018/1725: “</w:t>
      </w:r>
      <w:r>
        <w:rPr>
          <w:rFonts w:asciiTheme="minorHAnsi" w:hAnsiTheme="minorHAnsi"/>
          <w:i/>
          <w:shd w:val="clear" w:color="auto" w:fill="FFFFFF"/>
        </w:rPr>
        <w:t>de verwerking is noodzakelijk voor de vervulling van een taak in het algemeen belang of in het kader van de uitoefening van het openbaar gezag dat aan de instelling of het orgaan van de Unie is verleend</w:t>
      </w:r>
      <w:r>
        <w:rPr>
          <w:rFonts w:asciiTheme="minorHAnsi" w:hAnsiTheme="minorHAnsi"/>
          <w:shd w:val="clear" w:color="auto" w:fill="FFFFFF"/>
        </w:rPr>
        <w:t>”. Gegevensverwerking die noodzakelijk is voor het beheer en de werking van de EU-instellingen valt onder het algemeen belang.</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Voor sommige categorieën persoonsgegevens (zie punt 6.4 hieronder) is de rechtsgrond artikel 5, lid 1, punt d) van Verordening (EU) 2018/1725: “</w:t>
      </w:r>
      <w:r>
        <w:rPr>
          <w:rFonts w:asciiTheme="minorHAnsi" w:hAnsiTheme="minorHAnsi"/>
          <w:i/>
          <w:shd w:val="clear" w:color="auto" w:fill="FFFFFF"/>
        </w:rPr>
        <w:t>de betrokkene heeft toestemming gegeven voor de verwerking van zijn persoonsgegevens voor een of meer specifieke doeleinden</w:t>
      </w:r>
      <w:r>
        <w:rPr>
          <w:rFonts w:asciiTheme="minorHAnsi" w:hAnsiTheme="minorHAnsi"/>
          <w:shd w:val="clear" w:color="auto" w:fill="FFFFFF"/>
        </w:rPr>
        <w:t>”.</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0109EB">
      <w:pPr>
        <w:keepNext/>
        <w:keepLines/>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lastRenderedPageBreak/>
        <w:t xml:space="preserve">Welke persoonsgegevens worden gebruikt? </w:t>
      </w:r>
    </w:p>
    <w:p w14:paraId="4B92E8BD" w14:textId="2B190305" w:rsidR="002A7061" w:rsidRPr="002A7061" w:rsidRDefault="002A7061" w:rsidP="000109EB">
      <w:pPr>
        <w:keepNext/>
        <w:keepLines/>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0109EB">
      <w:pPr>
        <w:keepNext/>
        <w:keepLines/>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De volgende gegevens worden in de Agora-databank ingevoerd door de eenheid Griffie en Wetgevingsplanning en opgeslagen in beveiligde SharePoint-mappen. Alleen het personeel van de eenheid Griffie en Wetgevingsplanning van het EESC heeft toegang tot deze mappen:</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Achternaam</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Voornaam</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Titel</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Handicap</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Geboortedatum</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Land dat wordt vertegenwoordigd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Officiële functie</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Soort mandaat</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Datum benoeming</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Einddatum van de ambtstermijn</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Plaatsvervanger</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Assistent</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De volgende gegevens worden door de leden zelf ingevoerd via hun dashboard op het ledenportaal:</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Contact in noodgevallen</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Gebruikte achternaam</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Gebruikte voornaam</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Geboorteland</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Geboorteplaats</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CV</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Niet-vertrouwelijk postadres</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Privé-postadres</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E-mailadres voor correspondentie</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Privé-e-mailadres</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Telefoonnummers</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Talenkennis</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Opgave van woonplaats (wordt niet geüpload in Agora, maar opgeslagen in een beveiligde map)</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lastRenderedPageBreak/>
        <w:t>Bewijs van woonplaats (wordt niet geüpload in Agora, maar opgeslagen in een beveiligde map)</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Opgave van financiële belangen (zonder handtekening — in Agora, en de ondertekende verklaring wordt opgeslagen in een beveiligde map).</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Voorkeuren voor papieren documenten</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Websites</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Socialemedia-accounts</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Blogs</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Verenigingen</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Interesses</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Privacy-instellingen</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Opties voor meldingen</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Overdracht van rechten</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Biografie</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Alle documenten die door leden, CCMI-afgevaardigden en plaatsvervangers (op papier of via e-mail) aan de eenheid Griffie en Wetgevingsplanning worden verstrekt, worden opgeslagen in beveiligde SharePoint-mappen. Alleen het personeel van de eenheid Griffie en Wetgevingsplanning van het EESC heeft toegang tot deze mappen:</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Formulier dat aan het begin van de ambtstermijn moet worden ingevuld (in de vorm van een vragenlijst)</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CV</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Identiteitskaart of paspoort</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Ondertekende verklaring van financiële belangen</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Opgave van woonplaats</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Formulier inzake juridische entiteit</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Formulier financiële identificatiegegevens.</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Wie krijgen uw persoonsgegevens te zien?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25E26BF4"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De leden van de eenheid Griffie en Wetgevingsplanning hebben op een “need</w:t>
      </w:r>
      <w:r w:rsidR="00DD1D7D">
        <w:rPr>
          <w:rFonts w:asciiTheme="minorHAnsi" w:hAnsiTheme="minorHAnsi"/>
        </w:rPr>
        <w:noBreakHyphen/>
      </w:r>
      <w:r>
        <w:rPr>
          <w:rFonts w:asciiTheme="minorHAnsi" w:hAnsiTheme="minorHAnsi"/>
        </w:rPr>
        <w:t>to</w:t>
      </w:r>
      <w:r w:rsidR="00DD1D7D">
        <w:rPr>
          <w:rFonts w:asciiTheme="minorHAnsi" w:hAnsiTheme="minorHAnsi"/>
        </w:rPr>
        <w:noBreakHyphen/>
      </w:r>
      <w:r>
        <w:rPr>
          <w:rFonts w:asciiTheme="minorHAnsi" w:hAnsiTheme="minorHAnsi"/>
        </w:rPr>
        <w:t>know”-basis toegang tot uw persoonsgegevens.</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De volgende gegevens zijn toegankelijk voor de volgende diensten van het Comité:</w:t>
      </w:r>
    </w:p>
    <w:p w14:paraId="562C6BA7" w14:textId="77777777" w:rsidR="00B354A2" w:rsidRPr="008C14F9" w:rsidRDefault="00B354A2" w:rsidP="00B354A2">
      <w:pPr>
        <w:tabs>
          <w:tab w:val="left" w:pos="567"/>
        </w:tabs>
        <w:rPr>
          <w:szCs w:val="24"/>
          <w:lang w:val="en-US"/>
        </w:rPr>
      </w:pPr>
    </w:p>
    <w:p w14:paraId="012AD1DE" w14:textId="4C9BE958"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achternaam, voornaam, geslacht, titel, nationaliteit, plaats van herkomst, talenkennis, voorkeuren voor papieren documenten, niet</w:t>
      </w:r>
      <w:r w:rsidR="00DD1D7D">
        <w:rPr>
          <w:rFonts w:asciiTheme="minorHAnsi" w:hAnsiTheme="minorHAnsi"/>
        </w:rPr>
        <w:noBreakHyphen/>
      </w:r>
      <w:r>
        <w:rPr>
          <w:rFonts w:asciiTheme="minorHAnsi" w:hAnsiTheme="minorHAnsi"/>
        </w:rPr>
        <w:t>vertrouwelijk adres, agenda, vertrouwelijk e-mailadres, cv, geboortedatum, niet</w:t>
      </w:r>
      <w:r w:rsidR="00DD1D7D">
        <w:rPr>
          <w:rFonts w:asciiTheme="minorHAnsi" w:hAnsiTheme="minorHAnsi"/>
        </w:rPr>
        <w:noBreakHyphen/>
      </w:r>
      <w:r>
        <w:rPr>
          <w:rFonts w:asciiTheme="minorHAnsi" w:hAnsiTheme="minorHAnsi"/>
        </w:rPr>
        <w:t>vertrouwelijke telefoon- en mobieletelefoonnummers.</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achternaam, voornaam, geslacht, titel, niet-vertrouwelijke adressen, vertrouwelijk e-mailadres, niet-vertrouwelijk telefoon- en mobieletelefoonnummer, agenda en cv.</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lastRenderedPageBreak/>
        <w:t>SG.B.1_REX, SG.B.2_TEN, SG.B.3_NAT, SG.B.4_FSA, SG.C.1_ECO, SG.C.2_SOC, SG.C.3_INT: achternaam, voornaam, geslacht, titel, niet-vertrouwelijk adres, vertrouwelijk e-mailadres, lidmaatschap van EESC-groep, nationaliteit, plaats van herkomst, talenkennis, voorkeuren voor papieren documenten, agenda, activiteiten, lidmaatschap van EESC-organen, cv, foto, niet-vertrouwelijk mobieletelefoonnummer.</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achternaam, voornaam, geslacht, titel, niet-vertrouwelijk adres, vertrouwelijk e-mailadres, nationaliteit, plaats van herkomst, talenkennis, voorkeuren voor papieren documenten, agenda, activiteiten, interesses, lidmaatschap van EESC-categorieën, cv, foto, niet-vertrouwelijk mobieletelefoonnummer.</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SG.D: SG.D.ICD, SG.D.1_PRE, SG.D.3_INF, SG.D.4_REL, SG.D.5_CSS: achternaam, voornaam, geslacht, titel, nationaliteit, plaats van herkomst, datum waarop het lid aanwezig is in het EESC, contactgegevens van het lid, door het lid verrichte werkzaamheden, talenkennis, voorkeuren voor papieren documenten, foto, agenda.</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achternaam, voornaam, geslacht, titel, niet-vertrouwelijk telefoonnummer, vertrouwelijk telefoonnummer, niet-vertrouwelijk mobieletelefoonnummer, vertrouwelijk mobieletelefoonnummer.</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achternaam, voornaam, geslacht, titel.</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SC.L.DIIT: achternaam, voornaam, geslacht, titel, nationaliteit, toewijzing van telefoonlijnen, niet-vertrouwelijke en vertrouwelijke mobieletelefoonnummers.</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De volgende gegevens worden via het ledenportaal gepubliceerd en voor iedereen toegankelijk gemaakt:</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Gebruikte achternaam, gebruikte voornaam; soort mandaat; begin van de ambtstermijn; land dat wordt vertegenwoordigd; officiële functie in de nationale organisatie; lidmaatschap van groepen en secties; lidmaatschap van nationale organisatie(s); verklaring van financiële belangen zonder handtekening.</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De volgende gegevens worden pas gepubliceerd wanneer toestemming is gegeven (elke categorie gegevens kan afzonderlijk worden geselecteerd door leden, CCMI-afgevaardigden of plaatsvervangers) en de gegevens zijn toegankelijk op de ledenpagina via het ledenportaal:</w:t>
      </w:r>
    </w:p>
    <w:p w14:paraId="02050107" w14:textId="77777777" w:rsidR="00525B35" w:rsidRDefault="00525B35" w:rsidP="00525B35">
      <w:pPr>
        <w:pStyle w:val="ListParagraph"/>
        <w:ind w:left="426" w:hanging="426"/>
        <w:rPr>
          <w:rFonts w:asciiTheme="minorHAnsi" w:hAnsiTheme="minorHAnsi" w:cstheme="minorHAnsi"/>
        </w:rPr>
      </w:pPr>
    </w:p>
    <w:p w14:paraId="2B3B76FA" w14:textId="687A5779" w:rsidR="00525B35" w:rsidRDefault="00525B35" w:rsidP="004D3F24">
      <w:pPr>
        <w:spacing w:after="59" w:line="259" w:lineRule="auto"/>
        <w:ind w:left="927"/>
        <w:rPr>
          <w:rFonts w:asciiTheme="minorHAnsi" w:hAnsiTheme="minorHAnsi" w:cstheme="minorHAnsi"/>
        </w:rPr>
      </w:pPr>
      <w:r>
        <w:rPr>
          <w:rFonts w:asciiTheme="minorHAnsi" w:hAnsiTheme="minorHAnsi"/>
        </w:rPr>
        <w:t>Niet-vertrouwelijk telefoonnummer, niet-vertrouwelijk mobieletelefoonnummer, niet</w:t>
      </w:r>
      <w:r w:rsidR="00DD1D7D">
        <w:rPr>
          <w:rFonts w:asciiTheme="minorHAnsi" w:hAnsiTheme="minorHAnsi"/>
        </w:rPr>
        <w:noBreakHyphen/>
      </w:r>
      <w:r>
        <w:rPr>
          <w:rFonts w:asciiTheme="minorHAnsi" w:hAnsiTheme="minorHAnsi"/>
        </w:rPr>
        <w:t>vertrouwelijk faxnummer; niet-vertrouwelijk e-mailadres; niet-vertrouwelijk adres; websites; blogs; socialemedia-accounts; foto; geboortedatum; talenkennis; voorkeuren voor papieren documenten; plaatsvervanger; activiteiten binnen het Comité; verenigingen; interesses; overdracht van rechten; biografie.</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0109EB">
      <w:pPr>
        <w:keepNext/>
        <w:keepLines/>
        <w:spacing w:after="59" w:line="259" w:lineRule="auto"/>
        <w:ind w:left="927"/>
        <w:rPr>
          <w:rFonts w:asciiTheme="minorHAnsi" w:hAnsiTheme="minorHAnsi" w:cstheme="minorHAnsi"/>
        </w:rPr>
      </w:pPr>
      <w:r>
        <w:rPr>
          <w:rFonts w:asciiTheme="minorHAnsi" w:hAnsiTheme="minorHAnsi"/>
        </w:rPr>
        <w:lastRenderedPageBreak/>
        <w:t>6.5</w:t>
      </w:r>
      <w:r>
        <w:rPr>
          <w:rFonts w:asciiTheme="minorHAnsi" w:hAnsiTheme="minorHAnsi"/>
        </w:rPr>
        <w:tab/>
        <w:t>Tijdens de ambtstermijn kunnen bepaalde basisgegevens worden gebruikt:</w:t>
      </w:r>
    </w:p>
    <w:p w14:paraId="247CA6E3" w14:textId="63C8E099" w:rsidR="00F61D20" w:rsidRPr="008C14F9" w:rsidRDefault="009A3E42" w:rsidP="000109EB">
      <w:pPr>
        <w:keepNext/>
        <w:keepLines/>
        <w:numPr>
          <w:ilvl w:val="0"/>
          <w:numId w:val="33"/>
        </w:numPr>
        <w:spacing w:after="43" w:line="259" w:lineRule="auto"/>
        <w:rPr>
          <w:rFonts w:asciiTheme="minorHAnsi" w:hAnsiTheme="minorHAnsi" w:cstheme="minorHAnsi"/>
        </w:rPr>
      </w:pPr>
      <w:r>
        <w:rPr>
          <w:rFonts w:asciiTheme="minorHAnsi" w:hAnsiTheme="minorHAnsi"/>
        </w:rPr>
        <w:t>in het Vademecum van het EESC</w:t>
      </w:r>
    </w:p>
    <w:p w14:paraId="62C8914C" w14:textId="77777777" w:rsidR="00336DEF" w:rsidRPr="00F61D20" w:rsidRDefault="00336DEF" w:rsidP="000109EB">
      <w:pPr>
        <w:keepNext/>
        <w:keepLines/>
        <w:numPr>
          <w:ilvl w:val="0"/>
          <w:numId w:val="33"/>
        </w:numPr>
        <w:spacing w:after="43" w:line="259" w:lineRule="auto"/>
        <w:rPr>
          <w:rFonts w:asciiTheme="minorHAnsi" w:hAnsiTheme="minorHAnsi" w:cstheme="minorHAnsi"/>
        </w:rPr>
      </w:pPr>
      <w:r>
        <w:rPr>
          <w:rFonts w:asciiTheme="minorHAnsi" w:hAnsiTheme="minorHAnsi"/>
        </w:rPr>
        <w:t>in de publicaties, nieuwsbrieven, videoproducties en</w:t>
      </w:r>
      <w:r>
        <w:t xml:space="preserve"> presentaties van het EESC </w:t>
      </w:r>
      <w:r>
        <w:rPr>
          <w:rFonts w:asciiTheme="minorHAnsi" w:hAnsiTheme="minorHAnsi"/>
        </w:rPr>
        <w:t>en op de website van het EESC,</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op het ledenportaal,</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in de EU-gids Whoiswho (de officiële gids van de Europese Unie waarin de contactgegevens van alle instellingen en organen van de EU zijn opgenomen)</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De EU-gids Whoiswho is de officiële gids van de Europese Unie waarin de contactgegevens van alle instellingen en organen van de EU zijn opgenomen. Deze is online, op papier en als e-book beschikbaar.</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Het opendataportaal, beheerd door het Publicatiebureau, geeft toegang tot de gegevens van leden die zijn gepubliceerd op de ledenpagina op het ledenportaal.</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Uw gegevens (organisatie/instelling, adres van de instelling, website, titel, achternaam, voornaam, foto, functie binnen het EESC, land dat u vertegenwoordigt, lokaal mandaat, telefoon- en e-mailgegevens, EESC-organen waarvan u deel uitmaakt) worden doorgegeven aan het Publicatiebureau om gepubliceerd te worden in de EU-gids Whoiswho (de officiële gids van de Europese Unie waarin de contactgegevens van alle instellingen en organen van de EU zijn opgenomen), die beschikbaar is op papier, online en als e-book. Indien uw foto beschikbaar is, zal deze in de elektronische versie van de EU-gids Whoiswho worden gepubliceerd. Alleen de foto’s van de voorzitter en de vicevoorzitters zullen in de papieren versie van de gids worden gepubliceerd.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color w:val="000000"/>
        </w:rPr>
        <w:t>De</w:t>
      </w:r>
      <w:r>
        <w:t xml:space="preserve"> </w:t>
      </w:r>
      <w:hyperlink r:id="rId14">
        <w:r>
          <w:rPr>
            <w:rFonts w:asciiTheme="minorHAnsi" w:hAnsiTheme="minorHAnsi"/>
            <w:color w:val="0000FF"/>
            <w:u w:val="single"/>
          </w:rPr>
          <w:t>door het Publicatiebureau beheerde website</w:t>
        </w:r>
      </w:hyperlink>
      <w:r>
        <w:t xml:space="preserve"> geeft ook toegang tot ledengegevens die zijn gepubliceerd op de ledenpagina op de</w:t>
      </w:r>
      <w:r>
        <w:rPr>
          <w:rFonts w:asciiTheme="minorHAnsi" w:hAnsiTheme="minorHAnsi"/>
          <w:color w:val="000000"/>
        </w:rPr>
        <w:t xml:space="preserve"> </w:t>
      </w:r>
      <w:hyperlink r:id="rId15">
        <w:r>
          <w:rPr>
            <w:rFonts w:asciiTheme="minorHAnsi" w:hAnsiTheme="minorHAnsi"/>
            <w:color w:val="0000FF"/>
            <w:u w:val="single"/>
          </w:rPr>
          <w:t>website van het EESC</w:t>
        </w:r>
      </w:hyperlink>
      <w:r>
        <w:t>.</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Voor nadere bijzonderheden over de verwerking van uw persoonsgegevens door het Publicatiebureau kunt u de volgende documenten raadplegen:</w:t>
      </w:r>
    </w:p>
    <w:p w14:paraId="1FFE3AF4" w14:textId="234E9FEE" w:rsidR="002A7061" w:rsidRDefault="00612087" w:rsidP="00B354A2">
      <w:pPr>
        <w:spacing w:after="3" w:line="263" w:lineRule="auto"/>
        <w:ind w:left="560"/>
        <w:jc w:val="left"/>
      </w:pPr>
      <w:r>
        <w:rPr>
          <w:rFonts w:asciiTheme="minorHAnsi" w:hAnsiTheme="minorHAnsi"/>
          <w:u w:val="single"/>
        </w:rPr>
        <w:t>Publicatiebureau van de EU:</w:t>
      </w:r>
      <w:r>
        <w:rPr>
          <w:rFonts w:asciiTheme="minorHAnsi" w:hAnsiTheme="minorHAnsi"/>
        </w:rPr>
        <w:t xml:space="preserve"> </w:t>
      </w:r>
      <w:hyperlink r:id="rId16" w:history="1">
        <w:r>
          <w:rPr>
            <w:rFonts w:asciiTheme="minorHAnsi" w:hAnsiTheme="minorHAnsi"/>
            <w:color w:val="0000FF"/>
            <w:u w:val="single"/>
          </w:rPr>
          <w:t>Privacyverklaring</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Worden uw persoonsgegevens doorgegeven aan derde landen of internationale organisaties?</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Uw persoonsgegevens worden niet doorgegeven aan derde landen (niet-EU/EER) of internationale organisaties.</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Welke rechten kunt u uitoefenen?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 xml:space="preserve">U beschikt over het recht om inzage in uw persoonsgegevens te verkrijgen, onjuiste of onvolledige persoonsgegevens te rectificeren, de verwerking van uw persoonsgegevens onder bepaalde voorwaarden te beperken, te verzoeken dat uw persoonsgegevens worden verwijderd (als ze onrechtmatig zijn verwerkt) en, in voorkomende gevallen, gegevens over te </w:t>
      </w:r>
      <w:r>
        <w:rPr>
          <w:rFonts w:asciiTheme="minorHAnsi" w:hAnsiTheme="minorHAnsi"/>
        </w:rPr>
        <w:lastRenderedPageBreak/>
        <w:t>dragen. U hebt het recht om te allen tijde bezwaar te maken tegen de verwerking van uw gegevens om redenen die verband houden met uw specifieke situatie.</w:t>
      </w:r>
    </w:p>
    <w:p w14:paraId="2891715A" w14:textId="4FE4D93C" w:rsidR="002A7061" w:rsidRPr="008C14F9" w:rsidRDefault="002A7061" w:rsidP="004D3F24">
      <w:pPr>
        <w:pStyle w:val="Style1"/>
      </w:pPr>
      <w:r>
        <w:t>U kunt uw vragen richten tot de eenheid Griffie en Wetgevingsplanning — Belliardstraat 99, 1040 Brussel (</w:t>
      </w:r>
      <w:hyperlink r:id="rId17" w:history="1">
        <w:r>
          <w:rPr>
            <w:rStyle w:val="Hyperlink"/>
          </w:rPr>
          <w:t>nominations-eesc@eesc.europa.eu</w:t>
        </w:r>
      </w:hyperlink>
      <w:r>
        <w:t>). Uw vragen worden zo spoedig mogelijk en in ieder geval binnen een maand na ontvangst behandeld. Deze termijn kan zo nodig met nog eens twee maanden worden verlengd.</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U hebt het recht om u tot de </w:t>
      </w:r>
      <w:hyperlink r:id="rId18" w:history="1">
        <w:r>
          <w:rPr>
            <w:rStyle w:val="Hyperlink"/>
          </w:rPr>
          <w:t>Europese Toezichthouder voor gegevensbescherming</w:t>
        </w:r>
      </w:hyperlink>
      <w:r>
        <w:t xml:space="preserve"> te wenden als u van mening bent dat uw rechten uit hoofde van de EUDPR zijn geschonden als gevolg van de verwerking van uw persoonsgegevens door het EESC.</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Hoe lang worden uw persoonsgegevens bewaard?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Persoonsgegevens in documenten die door het EESC worden geregistreerd, worden bewaard met het oog op archivering in het algemeen belang, in de zin van artikel 4, lid 1, onder e) van Verordening (EU) 2018/1725, voor mogelijke historische doeleinden (bijvoorbeeld om aan te tonen dat een kandidaat voor een belangrijke functie binnen het EESC – zoals die van voorzitter of vicevoorzitter – of elders, lange tijd lid is geweest van een bepaald orgaan) en voor mogelijke statistische doeleinden.</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Worden uw persoonsgegevens gebruikt voor geautomatiseerde besluitvorming, met inbegrip van profilering?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Het EESC zal uw persoonsgegevens niet gebruiken om geautomatiseerde beslissingen over u te nemen. “Geautomatiseerde beslissingen” worden gedefinieerd als beslissingen die zonder menselijke tussenkomst worden genomen.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Worden uw persoonsgegevens verder verwerkt voor een ander doel dan waarvoor ze zijn verkregen?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Uw persoonsgegevens worden niet voor andere doeleinden gebruikt.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Bij wie kan ik terecht met vragen of klachten? </w:t>
      </w:r>
    </w:p>
    <w:p w14:paraId="4D1FAA24" w14:textId="5EEF855C" w:rsidR="00C56472" w:rsidRPr="008C14F9" w:rsidRDefault="002A7061" w:rsidP="004D3F24">
      <w:pPr>
        <w:pStyle w:val="Style1"/>
      </w:pPr>
      <w:r>
        <w:t>Heeft u nog vragen over de verwerking van uw persoonsgegevens, dan wordt u vriendelijk verzocht eerst contact op te nemen met de verwerkingsverantwoordelijke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U kunt ook te allen tijde contact opnemen met de functionaris voor gegevensbescherming van het EESC via dit </w:t>
      </w:r>
      <w:hyperlink r:id="rId20" w:history="1">
        <w:r>
          <w:rPr>
            <w:rStyle w:val="Hyperlink"/>
          </w:rPr>
          <w:t>contactformulier</w:t>
        </w:r>
      </w:hyperlink>
      <w:r>
        <w:t xml:space="preserve"> en/of met de Europese Toezichthouder voor gegevensbescherming via dit </w:t>
      </w:r>
      <w:hyperlink r:id="rId21" w:tgtFrame="_blank" w:history="1">
        <w:r>
          <w:rPr>
            <w:color w:val="0000FF"/>
            <w:u w:val="single"/>
          </w:rPr>
          <w:t>contactformulier</w:t>
        </w:r>
      </w:hyperlink>
      <w:r>
        <w:t>.</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F97A9B">
      <w:fldChar w:fldCharType="begin"/>
    </w:r>
    <w:r w:rsidR="00F97A9B">
      <w:instrText xml:space="preserve"> NUMPAGES </w:instrText>
    </w:r>
    <w:r w:rsidR="00F97A9B">
      <w:fldChar w:fldCharType="separate"/>
    </w:r>
    <w:r w:rsidR="00553CB0">
      <w:t>6</w:t>
    </w:r>
    <w:r w:rsidR="00F97A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r>
      <w:r>
        <w:rPr>
          <w:rFonts w:asciiTheme="minorHAnsi" w:hAnsiTheme="minorHAnsi"/>
        </w:rPr>
        <w:t>Gegevens alleen voor intern administratief gebruik</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tab/>
      </w:r>
      <w:r>
        <w:rPr>
          <w:rFonts w:asciiTheme="minorHAnsi" w:hAnsiTheme="minorHAnsi"/>
        </w:rPr>
        <w:t>Voor meer informatie over de verwerking van uw persoonsgegevens die zijn gepubliceerd in de EU-gids Whoiswho kunt u de desbetreffende privacyverklaring raadplegen op het adres:</w:t>
      </w:r>
      <w:r>
        <w:t xml:space="preserve"> </w:t>
      </w:r>
      <w:hyperlink r:id="rId1" w:history="1">
        <w:r>
          <w:rPr>
            <w:rStyle w:val="Hyperlink"/>
            <w:rFonts w:asciiTheme="minorHAnsi" w:hAnsiTheme="minorHAnsi"/>
          </w:rPr>
          <w:t>https://op.europa.eu/nl/web/about-us/legal-notices/op_whoiswho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09EB"/>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4264"/>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1D7D"/>
    <w:rsid w:val="00DD2AF3"/>
    <w:rsid w:val="00DD47D8"/>
    <w:rsid w:val="00DD4ECF"/>
    <w:rsid w:val="00DF38AB"/>
    <w:rsid w:val="00DF7800"/>
    <w:rsid w:val="00E028F3"/>
    <w:rsid w:val="00E064AD"/>
    <w:rsid w:val="00E06D01"/>
    <w:rsid w:val="00E116EC"/>
    <w:rsid w:val="00E1432A"/>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nl-NL"/>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nl-NL"/>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nl-NL"/>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nl-NL"/>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nl-NL"/>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nl-NL"/>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nl-NL"/>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nl-NL"/>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nl-NL"/>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nl-NL"/>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nl-NL"/>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nl-NL"/>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nl-NL"/>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nl-NL"/>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nl" TargetMode="External"/><Relationship Id="rId7" Type="http://schemas.openxmlformats.org/officeDocument/2006/relationships/settings" Target="settings.xml"/><Relationship Id="rId12" Type="http://schemas.openxmlformats.org/officeDocument/2006/relationships/hyperlink" Target="http://data.europa.eu/eli/reg/2018/1725/oj"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nl/web/about-us/privacy-statement" TargetMode="External"/><Relationship Id="rId20" Type="http://schemas.openxmlformats.org/officeDocument/2006/relationships/hyperlink" Target="https://www.eesc.europa.eu/nl/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nl/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nl/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A6WAAD5KZT2Q-235352946-5510</_dlc_DocId>
    <_dlc_DocIdUrl xmlns="1a33af13-4045-4f88-9d7b-618e30f79918">
      <Url>http://dm/eesc/2025/_layouts/15/DocIdRedir.aspx?ID=A6WAAD5KZT2Q-235352946-5510</Url>
      <Description>A6WAAD5KZT2Q-235352946-5510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Van Brabant Iris</DisplayName>
        <AccountId>1821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2.xml><?xml version="1.0" encoding="utf-8"?>
<ds:datastoreItem xmlns:ds="http://schemas.openxmlformats.org/officeDocument/2006/customXml" ds:itemID="{F87F4194-E8B2-4BFF-8AAB-BA2A535B1FF7}"/>
</file>

<file path=customXml/itemProps3.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4.xml><?xml version="1.0" encoding="utf-8"?>
<ds:datastoreItem xmlns:ds="http://schemas.openxmlformats.org/officeDocument/2006/customXml" ds:itemID="{8F9FDFDD-4EEE-484A-B689-07371AF450D5}">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1899</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Beheer van de dossiers van de leden</dc:title>
  <dc:creator/>
  <cp:keywords>EESC-2025-02938-00-00-ADMIN-TRA-EN</cp:keywords>
  <dc:description>Rapporteur: -  Original language: - EN Date of document: - 08/09/2025 Date of meeting: -  External documents: -  Administrator responsible: - M. LEPOUTTRE Koenraad Jan Gommaire</dc:description>
  <cp:lastModifiedBy/>
  <cp:revision>10</cp:revision>
  <cp:lastPrinted>2018-05-25T09:11:00Z</cp:lastPrinted>
  <dcterms:created xsi:type="dcterms:W3CDTF">2025-09-12T08:22:00Z</dcterms:created>
  <dcterms:modified xsi:type="dcterms:W3CDTF">2025-09-15T09:44:00Z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54c11f54-f7e1-47d5-ba7f-db3b5cf821c0</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PL|1e03da61-4678-4e07-b136-b5024ca9197b;IT|0774613c-01ed-4e5d-a25d-11d2388de825;EL|6d4f4d51-af9b-4650-94b4-4276bee85c91;MT|7df99101-6854-4a26-b53a-b88c0da02c26;EN|f2175f21-25d7-44a3-96da-d6a61b075e1b;SK|46d9fce0-ef79-4f71-b89b-cd6aa82426b8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32;#MT|7df99101-6854-4a26-b53a-b88c0da02c26;#5;#EN|f2175f21-25d7-44a3-96da-d6a61b075e1b;#13;#TRA|150d2a88-1431-44e6-a8ca-0bb753ab8672;#46;#SK|46d9fce0-ef79-4f71-b89b-cd6aa82426b8;#42;#EL|6d4f4d51-af9b-4650-94b4-4276bee85c91;#8;#Final|ea5e6674-7b27-4bac-b091-73adbb394efe;#24;#PL|1e03da61-4678-4e07-b136-b5024ca9197b;#6;#Internal|2451815e-8241-4bbf-a22e-1ab710712bf2;#22;#ADMIN|58d8ac89-e690-41f6-a5e8-508fa4a7c73c;#1;#EESC|422833ec-8d7e-4e65-8e4e-8bed07ffb729;#34;#IT|0774613c-01ed-4e5d-a25d-11d2388de825</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27;#NL|55c6556c-b4f4-441d-9acf-c498d4f838bd</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