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3E2B3C27" w:rsidR="006C03A9" w:rsidRPr="002A7061" w:rsidRDefault="0084635A" w:rsidP="006C03A9">
      <w:pPr>
        <w:jc w:val="center"/>
        <w:rPr>
          <w:rFonts w:asciiTheme="minorHAnsi" w:hAnsiTheme="minorHAnsi" w:cstheme="minorHAnsi"/>
          <w:szCs w:val="22"/>
        </w:rPr>
      </w:pPr>
      <w:r>
        <w:rPr>
          <w:rFonts w:asciiTheme="minorHAnsi" w:hAnsiTheme="minorHAnsi"/>
          <w:noProof/>
        </w:rPr>
        <w:drawing>
          <wp:inline distT="0" distB="0" distL="0" distR="0" wp14:anchorId="76A9615D" wp14:editId="6FE4F8D7">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Picture 1" title="EESCLogo_H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1BAF7B5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HR</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Upravljanje dosjeima članova, delegata CCMI-ja i zamjenika</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Obavijest o zaštiti podataka</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Uvod</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t xml:space="preserve">Europski gospodarski i socijalni odbor (EGSO) poštuje i štiti vaše osobne podatke u skladu s </w:t>
      </w:r>
      <w:hyperlink r:id="rId12" w:history="1">
        <w:r>
          <w:rPr>
            <w:rStyle w:val="Hyperlink"/>
            <w:rFonts w:asciiTheme="minorHAnsi" w:hAnsiTheme="minorHAnsi"/>
            <w:sz w:val="22"/>
          </w:rPr>
          <w:t>Uredbom (EU) 2018/1725 (EUDPR)</w:t>
        </w:r>
      </w:hyperlink>
      <w:r>
        <w:t>.</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Vaši osobni podaci mogu se prikupljati i obrađivati u administrativne svrhe.</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Tko je nadležan za obradu osobnih podataka?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Za obradu osobnih podataka nadležan je EGSO (u svojstvu voditelja obrade). </w:t>
      </w:r>
      <w:r>
        <w:t>Nadležna služba (delegirani voditelj obrade) je Glavna pisarnica i Odjel za planiranje zakonodavnog rada (</w:t>
      </w:r>
      <w:hyperlink r:id="rId13" w:history="1">
        <w:r>
          <w:rPr>
            <w:rStyle w:val="Hyperlink"/>
            <w:rFonts w:ascii="Calibri" w:hAnsi="Calibri"/>
          </w:rPr>
          <w:t>nominations-eesc@eesc.europa.eu</w:t>
        </w:r>
      </w:hyperlink>
      <w: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Koja je svrha obrade?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Svi osobni podaci koje članovi, delegati CCMI-ja i njihovi zamjenici dostave Glavnoj pisarnici i Odjelu za planiranje zakonodavnog rada (u papirnatom obliku ili e-poštom) pohranjuju se u bazi podataka Agora, a koriste ih relevantne interne službe u komunikacijske i administrativne svrhe povezane s obavljanjem dužnosti članova, delegata i zamjenika CCMI-ja i njihovim sudjelovanjem u aktivnostima Odbora.</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Koja je pravna osnova obrade?</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Pravna osnova obrade je članak 5. stavak 1. točka (a) Uredbe (EU) br. 2018/1725, u kojoj se navodi da je „obrada [...] nužna za izvršavanje zadaće od javnog interesa ili pri izvršavanju službene ovlasti dodijeljene instituciji ili tijelu Unije”. Pod javnim interesom podrazumijevaju se postupci obrade koji su potrebni za upravljanje institucijama EU-a i njihovo funkcioniranje.</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Za određene kategorije osobnih podataka (vidjeti točku 6.4.) pravna je osnova članak 5. stavak 1. točka (d) Uredbe (EU) 2018/1725, u kojoj se navodi da je „ispitanik [...] dao privolu za obradu svojih osobnih podataka u jednu posebnu svrhu ili više njih”.</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Koji se osobni podaci obrađuju?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Sljedeće podatke u bazu podataka Agora unose Glavna pisarnica i Odjel za planiranje zakonodavnog rada i oni se pohranjuju u zaštićenim mapama na SharePointu. Pristup tim mapama strogo je ograničen na osoblje Glavne pisarnice i Odjela za planiranje zakonodavnog rada EGSO-a:</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prezime,</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ime,</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titula,</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invaliditet,</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datum rođenja</w:t>
      </w:r>
      <w:r w:rsidR="009472BA">
        <w:rPr>
          <w:rStyle w:val="FootnoteReference"/>
          <w:rFonts w:asciiTheme="minorHAnsi" w:hAnsiTheme="minorHAnsi" w:cstheme="minorHAnsi"/>
          <w:lang w:val="en-US"/>
        </w:rPr>
        <w:footnoteReference w:id="2"/>
      </w:r>
      <w:r>
        <w:rPr>
          <w:rFonts w:asciiTheme="minorHAnsi" w:hAnsiTheme="minorHAnsi"/>
        </w:rPr>
        <w:t>,</w:t>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matična država,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službena funkcija,</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vrsta mandata,</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datum imenovanja,</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datum završetka mandata,</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zamjenik,</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asistent.</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Sljedeće podatke unose članovi u svoj profil na Portalu za članove:</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kontakt za hitne slučajeve,</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prezime koje obično koristi,</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ime koje obično koristi,</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država rođenja</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mjesto rođenja</w:t>
      </w:r>
      <w:r>
        <w:rPr>
          <w:rFonts w:asciiTheme="minorHAnsi" w:hAnsiTheme="minorHAnsi"/>
          <w:vertAlign w:val="superscript"/>
        </w:rPr>
        <w:t>1</w:t>
      </w:r>
      <w:r>
        <w:rPr>
          <w:rFonts w:asciiTheme="minorHAnsi" w:hAnsiTheme="minorHAnsi"/>
        </w:rPr>
        <w:t>,</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fotografija,</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životopis,</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poštanska adresa koja nije povjerljiva</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privatna poštanska adresa</w:t>
      </w:r>
      <w:r>
        <w:rPr>
          <w:rFonts w:asciiTheme="minorHAnsi" w:hAnsiTheme="minorHAnsi"/>
          <w:vertAlign w:val="superscript"/>
        </w:rPr>
        <w:t>1</w:t>
      </w:r>
      <w:r>
        <w:rPr>
          <w:rFonts w:asciiTheme="minorHAnsi" w:hAnsiTheme="minorHAnsi"/>
        </w:rPr>
        <w:t>,</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adresa e-pošte za korespondenciju,</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privatna adresa e-pošte</w:t>
      </w:r>
      <w:r>
        <w:rPr>
          <w:rFonts w:asciiTheme="minorHAnsi" w:hAnsiTheme="minorHAnsi"/>
          <w:vertAlign w:val="superscript"/>
        </w:rPr>
        <w:t>1</w:t>
      </w:r>
      <w:r>
        <w:rPr>
          <w:rFonts w:asciiTheme="minorHAnsi" w:hAnsiTheme="minorHAnsi"/>
        </w:rPr>
        <w:t>,</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telefonski brojevi,</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jezične vještine,</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izjava o boravištu (ne učitava se u Agoru nego pohranjuje u zaštićenu mapu),</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dokaz o boravištu (ne učitava se u Agoru nego pohranjuje u zaštićenu mapu),</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izjava o financijskim interesima (nepotpisana izjava pohranjuje se u Agoru, a potpisana u zaštićenu mapu),</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preferencije za ispis dokumenata,</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internetske stranice,</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računi na društvenim medijima,</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blogovi,</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udruge,</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interesi,</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postavke privatnosti,</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mogućnosti obavješćivanja,</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delegiranje prava,</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biografija.</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Svi dokumenti koje članovi, delegati CCMI-ja i njihovi zamjenici dostave Glavnoj pisarnici i Odjelu za planiranje zakonodavnog rada (u papirnatom obliku ili e-poštom) pohranjuju se u zaštićenim mapama na SharePointu. Pristup tim mapama strogo je ograničen na osoblje Glavne pisarnice i Odjela za planiranje zakonodavnog rada EGSO-a:</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obrazac koji se ispunjava na početku mandata (upitnik),</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životopis,</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osobna iskaznica ili putovnica,</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potpisana izjava o financijskim interesima,</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izjava o mjestu boravišta,</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obrazac za pravnu osobu,</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obrazac za financijsku identifikaciju.</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Tko su primatelji ili kategorije primatelja vaših osobnih podataka?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Članovi Glavne pisarnice i Odjela za planiranje zakonodavnog rada vašim osobnim podacima pristupaju na temelju nužnog pristupa.</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Sljedeći su podaci dostupni sljedećim odjelima Odbora:</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prezime, ime, spol, titula, državljanstvo, mjesto podrijetla, jezične vještine, preferencije za ispis dokumenata, adresa koja nije povjerljiva, dnevni red, povjerljiva adresa e-pošte, životopis, datum rođenja, brojevi telefona i mobilnih telefona koji nisu povjerljivi;</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prezime, ime, spol, titula, adrese koje nisu povjerljive, povjerljiva adresa e-pošte, brojevi telefona i mobilnih telefona koji nisu povjerljivi, dnevni red i životopis;</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SG.B.1_REX, SG.B.2_TEN, SG.B.3_NAT, SG.B.4_FSA, SG.C.1_ECO, SG.C.2_SOC, SG.C.3_INT: prezime, ime, spol, titula, adresa koja nije povjerljiva, povjerljiva adresa e-pošte, članstvo u skupini, državljanstvo, mjesto podrijetla, jezične vještine, preferencije za ispis dokumenata, dnevni red, aktivnosti, članstvo u tijelima EGSO-a, životopis, fotografija, broj mobilnog telefona koji nije povjerljiv;</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prezime, ime, spol, titula, adresa koja nije povjerljiva, povjerljiva adresa e-pošte, državljanstvo, mjesto podrijetla, jezične vještine, preferencije za ispis dokumenata, dnevni red, aktivnosti, interesi, članstvo u interesnim skupinama EGSO-a, životopis, fotografija, broj mobilnog telefona koji nije povjerljiv;</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lastRenderedPageBreak/>
        <w:t>SG.D: SG.D.ICD, SG.D.1_PRE, SG.D.3_INF, SG.D.4_REL, SG.D.5_CSS: prezime, ime, spol, titula, državljanstvo, mjesto podrijetla, datum prisutnosti člana u EGSO-u, podaci za kontakt, obavljen rad, jezične vještine, preferencije za ispis dokumenata, fotografija, dnevni red;</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prezime, ime, spol, titula, telefonski broj koji nije povjerljiv, povjerljivi telefonski broj, broj mobilnog telefona koji nije povjerljiv, povjerljivi broj mobilnog telefona;</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prezime, ime, spol, titula;</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prezime, ime, spol, titula, državljanstvo, dodjela telefonskih linija, brojevi mobilnih telefona koji nisu povjerljivi i povjerljivi brojevi mobilnih telefona.</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Sljedeći se podaci objavljuju i dostupni su svima na stranici člana na Portalu za članove:</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Prezime koje obično koristi, ime koje obično koristi; vrsta mandata; početak mandata; matična država; službena funkcija u nacionalnoj organizaciji; članstvo u skupinama i stručnim skupinama; članstvo u nacionalnim organizacijama; nepotpisana izjava o financijskim interesima.</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Sljedeći se podaci objavljuju samo nakon davanja suglasnosti (članovi, delegati CCMI-ja ili njihovi zamjenici mogu zasebno odabrati svaku kategoriju podataka), a podaci su dostupni na stranici člana na Portalu za članove:</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broj telefona koji nije povjerljiv, broj mobilnog telefona koji nije povjerljiv, broj faksa koji nije povjerljiv; adresa e-pošte koja nije povjerljiva; poštanska adresa koja nije povjerljiva; internetske stranice; blogovi; računi na društvenim mrežama; fotografija; datum rođenja; jezične vještine; preferencije za ispis dokumenata; zamjenici; aktivnosti u Odboru; udruge; interesi; prenošenje prava; životopis.</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Određeni osnovni osobni podaci mogu se tijekom mandatnog razdoblja koristiti:</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u popisu EGSO-ovih članova (</w:t>
      </w:r>
      <w:proofErr w:type="spellStart"/>
      <w:r>
        <w:rPr>
          <w:rFonts w:asciiTheme="minorHAnsi" w:hAnsiTheme="minorHAnsi"/>
        </w:rPr>
        <w:t>Vademecum</w:t>
      </w:r>
      <w:proofErr w:type="spellEnd"/>
      <w:r>
        <w:rPr>
          <w:rFonts w:asciiTheme="minorHAnsi" w:hAnsiTheme="minorHAnsi"/>
        </w:rPr>
        <w:t>),</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t>u EGSO-ovim publikacijama, biltenima, video produkcijama i prezentacijama i na njegovim internetskim stranicama,</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na Portalu za članove,</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u službenom imeniku europskih institucija („EU </w:t>
      </w:r>
      <w:proofErr w:type="spellStart"/>
      <w:r>
        <w:rPr>
          <w:rFonts w:asciiTheme="minorHAnsi" w:hAnsiTheme="minorHAnsi"/>
        </w:rPr>
        <w:t>WhoisWho</w:t>
      </w:r>
      <w:proofErr w:type="spellEnd"/>
      <w:r>
        <w:rPr>
          <w:rFonts w:asciiTheme="minorHAnsi" w:hAnsiTheme="minorHAnsi"/>
        </w:rPr>
        <w:t>”) koji sadrži podatke za kontaktiranje zaposlenika i zaposlenica svih institucija i tijela EU-a.</w:t>
      </w:r>
      <w:r w:rsidR="0006787D">
        <w:rPr>
          <w:rStyle w:val="FootnoteReference"/>
          <w:rFonts w:asciiTheme="minorHAnsi" w:hAnsiTheme="minorHAnsi" w:cstheme="minorHAnsi"/>
          <w:lang w:val="en-US"/>
        </w:rPr>
        <w:footnoteReference w:id="3"/>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„EU </w:t>
      </w:r>
      <w:proofErr w:type="spellStart"/>
      <w:r>
        <w:rPr>
          <w:rFonts w:asciiTheme="minorHAnsi" w:hAnsiTheme="minorHAnsi"/>
        </w:rPr>
        <w:t>Whoiswho</w:t>
      </w:r>
      <w:proofErr w:type="spellEnd"/>
      <w:r>
        <w:rPr>
          <w:rFonts w:asciiTheme="minorHAnsi" w:hAnsiTheme="minorHAnsi"/>
        </w:rPr>
        <w:t>” sadrži podatke za kontaktiranje zaposlenika svih institucija i tijela EU-a. Dostupan je na internetu, u obliku elektroničke brošure i u tiskanom izdanju.</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Portal otvorenih podataka kojim upravlja Ured za publikacije omogućava pristup podacima članova objavljenima na stranicama za članove, koje se nalaze na Portalu za članove.</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lastRenderedPageBreak/>
        <w:t>Vaši podaci (tijelo/institucija, adresa institucije, internetska stranica, titula, prezime, ime, fotografija, dužnosti u EGSO-u, matična država, dužnost koju obnašate na lokalnoj razini, telefonski broj i adresa e-pošte, članstvo u tijelima EGSO-a) šalju se Uredu za publikacije koji ih objavljuje u imeniku „EU </w:t>
      </w:r>
      <w:proofErr w:type="spellStart"/>
      <w:r>
        <w:rPr>
          <w:rFonts w:asciiTheme="minorHAnsi" w:hAnsiTheme="minorHAnsi"/>
        </w:rPr>
        <w:t>Whoiswho</w:t>
      </w:r>
      <w:proofErr w:type="spellEnd"/>
      <w:r>
        <w:rPr>
          <w:rFonts w:asciiTheme="minorHAnsi" w:hAnsiTheme="minorHAnsi"/>
        </w:rPr>
        <w:t>” (službenom imeniku europskih institucija koji sadržava podatke za kontaktiranje zaposlenika svih institucija i tijela EU-a), dostupnom na internetu, u obliku elektroničke brošure i u tiskanom izdanju. Ako je dostupna, vaša fotografija objavljuje se u elektroničkom izdanju imenika „EU </w:t>
      </w:r>
      <w:proofErr w:type="spellStart"/>
      <w:r>
        <w:rPr>
          <w:rFonts w:asciiTheme="minorHAnsi" w:hAnsiTheme="minorHAnsi"/>
        </w:rPr>
        <w:t>Whoiswho</w:t>
      </w:r>
      <w:proofErr w:type="spellEnd"/>
      <w:r>
        <w:rPr>
          <w:rFonts w:asciiTheme="minorHAnsi" w:hAnsiTheme="minorHAnsi"/>
        </w:rPr>
        <w:t>”. Samo se fotografije predsjednika i potpredsjednikâ objavljuju u tiskanom izdanju imenika „EU </w:t>
      </w:r>
      <w:proofErr w:type="spellStart"/>
      <w:r>
        <w:rPr>
          <w:rFonts w:asciiTheme="minorHAnsi" w:hAnsiTheme="minorHAnsi"/>
        </w:rPr>
        <w:t>Whoiswho</w:t>
      </w:r>
      <w:proofErr w:type="spellEnd"/>
      <w:r>
        <w:rPr>
          <w:rFonts w:asciiTheme="minorHAnsi" w:hAnsiTheme="minorHAnsi"/>
        </w:rPr>
        <w:t xml:space="preserve">”.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t xml:space="preserve">Podacima članova objavljenima na stranicama članova na </w:t>
      </w:r>
      <w:hyperlink r:id="rId14">
        <w:r>
          <w:rPr>
            <w:rFonts w:asciiTheme="minorHAnsi" w:hAnsiTheme="minorHAnsi"/>
            <w:color w:val="0000FF"/>
            <w:u w:val="single"/>
          </w:rPr>
          <w:t>internetskim stranicama EGSO-a</w:t>
        </w:r>
      </w:hyperlink>
      <w:r>
        <w:t xml:space="preserve"> može se pristupiti i putem </w:t>
      </w:r>
      <w:hyperlink r:id="rId15">
        <w:r>
          <w:rPr>
            <w:rFonts w:asciiTheme="minorHAnsi" w:hAnsiTheme="minorHAnsi"/>
            <w:color w:val="0000FF"/>
            <w:u w:val="single"/>
          </w:rPr>
          <w:t>internetskih stranica Ureda za publikacije</w:t>
        </w:r>
      </w:hyperlink>
      <w:r>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Iz sljedećih dokumenata možete saznati više o tome kako Ured za publikacije obrađuje vaše osobne podatke:</w:t>
      </w:r>
    </w:p>
    <w:p w14:paraId="1FFE3AF4" w14:textId="234E9FEE" w:rsidR="002A7061" w:rsidRDefault="00612087" w:rsidP="00B354A2">
      <w:pPr>
        <w:spacing w:after="3" w:line="263" w:lineRule="auto"/>
        <w:ind w:left="560"/>
        <w:jc w:val="left"/>
      </w:pPr>
      <w:r>
        <w:rPr>
          <w:rFonts w:asciiTheme="minorHAnsi" w:hAnsiTheme="minorHAnsi"/>
          <w:u w:val="single"/>
        </w:rPr>
        <w:t>Ured za publikacije EU-a:</w:t>
      </w:r>
      <w:r>
        <w:rPr>
          <w:rFonts w:asciiTheme="minorHAnsi" w:hAnsiTheme="minorHAnsi"/>
        </w:rPr>
        <w:t xml:space="preserve"> </w:t>
      </w:r>
      <w:hyperlink r:id="rId16" w:history="1">
        <w:r>
          <w:rPr>
            <w:rFonts w:asciiTheme="minorHAnsi" w:hAnsiTheme="minorHAnsi"/>
            <w:color w:val="0000FF"/>
            <w:u w:val="single"/>
          </w:rPr>
          <w:t>Izjava o zaštiti osobnih podataka</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Prosljeđuju li se vaši osobni podaci trećim zemljama ili međunarodnim organizacijama?</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Vaši osobni podaci ne prosljeđuju se državama koje nisu članice EU-a, EGP-a ili međunarodnim organizacijama.</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Kako možete ostvariti svoja prava?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Imate pravo pristupiti svojim osobnim podacima, ispraviti neispravne ili nepotpune osobne podatke, ograničiti (pod određenim uvjetima) obradu svojih osobnih podataka, zatražiti njihovo brisanje (ako su obrađeni na nezakonit način). Po potrebi imate pravo i na prenosivost podataka. U bilo kojem trenutku imate pravo uložiti prigovor na obradu svojih podataka na temelju posebnih okolnosti u kojima se nalazite.</w:t>
      </w:r>
    </w:p>
    <w:p w14:paraId="2891715A" w14:textId="4FE4D93C" w:rsidR="002A7061" w:rsidRPr="008C14F9" w:rsidRDefault="002A7061" w:rsidP="004D3F24">
      <w:pPr>
        <w:pStyle w:val="Style1"/>
      </w:pPr>
      <w:r>
        <w:t xml:space="preserve">Svoje upite možete uputiti Glavnoj pisarnici i Odjelu za planiranje zakonodavnog rada – </w:t>
      </w:r>
      <w:proofErr w:type="spellStart"/>
      <w:r>
        <w:t>Rue</w:t>
      </w:r>
      <w:proofErr w:type="spellEnd"/>
      <w:r>
        <w:t xml:space="preserve"> </w:t>
      </w:r>
      <w:proofErr w:type="spellStart"/>
      <w:r>
        <w:t>Belliard</w:t>
      </w:r>
      <w:proofErr w:type="spellEnd"/>
      <w:r>
        <w:t>/</w:t>
      </w:r>
      <w:proofErr w:type="spellStart"/>
      <w:r>
        <w:t>Belliardstraat</w:t>
      </w:r>
      <w:proofErr w:type="spellEnd"/>
      <w:r>
        <w:t xml:space="preserve"> 99, 1040 Bruxelles/</w:t>
      </w:r>
      <w:proofErr w:type="spellStart"/>
      <w:r>
        <w:t>Brussel</w:t>
      </w:r>
      <w:proofErr w:type="spellEnd"/>
      <w:r>
        <w:t xml:space="preserve"> (</w:t>
      </w:r>
      <w:hyperlink r:id="rId17" w:history="1">
        <w:r>
          <w:rPr>
            <w:rStyle w:val="Hyperlink"/>
          </w:rPr>
          <w:t>nominations-eesc@eesc.europa.eu</w:t>
        </w:r>
      </w:hyperlink>
      <w:r>
        <w:t>). Upiti se obrađuju bez nepotrebnog odlaganja, a u svakom slučaju u roku od mjesec dana od primitka. Taj se rok prema potrebi može produljiti za još dva mjeseca.</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Ako smatrate da su vam obradom osobnih podataka od strane EGSO-a povrijeđena prava koja proizlaze iz uredbe EUDPR, imate se pravo žaliti </w:t>
      </w:r>
      <w:hyperlink r:id="rId18" w:history="1">
        <w:r>
          <w:rPr>
            <w:rStyle w:val="Hyperlink"/>
          </w:rPr>
          <w:t>Europskom nadzorniku za zaštitu podataka</w:t>
        </w:r>
      </w:hyperlink>
      <w:r>
        <w:t>.</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Koliko se dugo čuvaju vaši osobni podaci?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EGSO osobne podatke iz dokumenata koje je registrirao čuva u svrhe arhiviranja u javnom interesu, u smislu članka 4. stavka 1. točke (e) Uredbe (EU) 2018/1725. u moguće povijesne svrhe (npr. radi pružanja dokaza o dugotrajnom članstvu u nekom tijelu člana koje se imenuje na ključno radno mjesto u EGSO-u, kao što je predsjednik ili potpredsjednik, ili drugdje) i u moguće statističke svrhe.</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Koriste li se prikupljeni osobni podaci za automatizirano donošenje odluka, uključujući profiliranje?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EGSO neće koristiti vaše osobne podatke za donošenje automatiziranih odluka o vama. „Automatizirane odluke” definiraju se kao odluke donesene bez ljudske intervencije.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Hoće li se vaši osobni podaci dalje obrađivati u svrhe različite od one u koju su prikupljeni?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Vaši osobni podaci neće se dalje obrađivati u druge svrhe.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Komu se mogu obratiti ako imam pitanja ili pritužbi? </w:t>
      </w:r>
    </w:p>
    <w:p w14:paraId="4D1FAA24" w14:textId="5EEF855C" w:rsidR="00C56472" w:rsidRPr="008C14F9" w:rsidRDefault="002A7061" w:rsidP="004D3F24">
      <w:pPr>
        <w:pStyle w:val="Style1"/>
      </w:pPr>
      <w:r>
        <w:t>Imate li dodatnih pitanja u vezi s obradom vaših osobnih podataka, najprije se obratite voditelju obrade podataka (</w:t>
      </w:r>
      <w:hyperlink r:id="rId19" w:history="1">
        <w:r>
          <w:rPr>
            <w:rStyle w:val="Hyperlink"/>
          </w:rPr>
          <w:t>eesc-social-media@eesc.europa.eu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U bilo kojem trenutku možete se obratiti i službeniku EGSO-a za zaštitu podataka koristeći se odgovarajućim </w:t>
      </w:r>
      <w:hyperlink r:id="rId20" w:history="1">
        <w:r>
          <w:rPr>
            <w:rStyle w:val="Hyperlink"/>
          </w:rPr>
          <w:t xml:space="preserve">obrascem za kontakt </w:t>
        </w:r>
      </w:hyperlink>
      <w:r>
        <w:t xml:space="preserve"> i Europskom nadzorniku za zaštitu podataka, isto tako putem odgovarajućeg </w:t>
      </w:r>
      <w:hyperlink r:id="rId21" w:tgtFrame="_blank" w:history="1">
        <w:r>
          <w:rPr>
            <w:color w:val="0000FF"/>
            <w:u w:val="single"/>
          </w:rPr>
          <w:t>obrasca za kontakt</w:t>
        </w:r>
      </w:hyperlink>
      <w:r>
        <w:t>.</w:t>
      </w:r>
    </w:p>
    <w:sectPr w:rsidR="00B01161" w:rsidRPr="002A7061" w:rsidSect="004F2B7F">
      <w:footerReference w:type="default" r:id="rId2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C458A2">
      <w:fldChar w:fldCharType="begin"/>
    </w:r>
    <w:r w:rsidR="00C458A2">
      <w:instrText xml:space="preserve"> NUMPAGES </w:instrText>
    </w:r>
    <w:r w:rsidR="00C458A2">
      <w:fldChar w:fldCharType="separate"/>
    </w:r>
    <w:r w:rsidR="00553CB0">
      <w:t>6</w:t>
    </w:r>
    <w:r w:rsidR="00C458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Ti su podaci predmet interne administrativne obrade.</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Više pojedinosti o obradi vaših osobnih podatka objavljenih u „EU Whoiswho” možete pronaći u obavijesti o zaštiti podataka: </w:t>
      </w:r>
      <w:hyperlink r:id="rId1" w:history="1">
        <w:r>
          <w:rPr>
            <w:rStyle w:val="Hyperlink"/>
            <w:rFonts w:asciiTheme="minorHAnsi" w:hAnsiTheme="minorHAnsi"/>
          </w:rPr>
          <w:t>https://op.europa.eu/en/web/about-us/legal-notices/op_whoiswho</w:t>
        </w:r>
      </w:hyperlink>
      <w:r>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4635A"/>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8A2"/>
    <w:rsid w:val="00C45A7D"/>
    <w:rsid w:val="00C56472"/>
    <w:rsid w:val="00C64470"/>
    <w:rsid w:val="00C65D8B"/>
    <w:rsid w:val="00C71316"/>
    <w:rsid w:val="00CA6ACA"/>
    <w:rsid w:val="00CB1C84"/>
    <w:rsid w:val="00CB2EE2"/>
    <w:rsid w:val="00CB33BE"/>
    <w:rsid w:val="00CC2D80"/>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hr-HR"/>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hr-HR"/>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hr-HR"/>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hr-HR"/>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hr-HR"/>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hr-HR"/>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hr-HR"/>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hr-HR"/>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hr-HR"/>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hr-HR"/>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hr-HR"/>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hr-HR"/>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hr-HR"/>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hr-HR"/>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eliuri=eli%3Areg%3A2018%3A1725%3Aoj&amp;locale=hr" TargetMode="External"/><Relationship Id="rId17" Type="http://schemas.openxmlformats.org/officeDocument/2006/relationships/hyperlink" Target="mailto:nominations-eesc@eesc.europa.eu" TargetMode="External"/><Relationship Id="rId2" Type="http://schemas.openxmlformats.org/officeDocument/2006/relationships/customXml" Target="../customXml/item2.xml"/><Relationship Id="rId16" Type="http://schemas.openxmlformats.org/officeDocument/2006/relationships/hyperlink" Target="https://op.europa.eu/hr/web/about-us/privacy-statement" TargetMode="External"/><Relationship Id="rId20" Type="http://schemas.openxmlformats.org/officeDocument/2006/relationships/hyperlink" Target="https://www.eesc.europa.eu/hr/general-contact-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opa.eu/whoiswho/publi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sc.europa.eu/hr/members-groups/members/members-and-ccmi-delegat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A6WAAD5KZT2Q-235352946-5606</_dlc_DocId>
    <_dlc_DocIdUrl xmlns="1a33af13-4045-4f88-9d7b-618e30f79918">
      <Url>http://dm/eesc/2025/_layouts/15/DocIdRedir.aspx?ID=A6WAAD5KZT2Q-235352946-5606</Url>
      <Description>A6WAAD5KZT2Q-235352946-5606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Vecko Stanko</DisplayName>
        <AccountId>1540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A6B328B9-95FF-4ABA-9138-8CCF8140534E}"/>
</file>

<file path=customXml/itemProps2.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3.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4.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Obavijest o zaštiti podataka - Upravljanje dosjeima članova, delegata CCMI-ja i zamjenika </dc:title>
  <dc:creator/>
  <cp:keywords>EESC-2025-02938-00-00-ADMIN-TRA-EN</cp:keywords>
  <dc:description>Rapporteur: -  Original language: - EN Date of document: - 08/09/2025 Date of meeting: -  External documents: -  Administrator responsible: - M. LEPOUTTRE Koenraad Jan Gommaire</dc:description>
  <cp:lastModifiedBy/>
  <cp:revision>7</cp:revision>
  <cp:lastPrinted>2018-05-25T09:11:00Z</cp:lastPrinted>
  <dcterms:created xsi:type="dcterms:W3CDTF">2025-09-12T08:22:00Z</dcterms:created>
  <dcterms:modified xsi:type="dcterms:W3CDTF">2025-09-15T14:34:00Z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98680fa6-0269-4462-8bb2-0f76787f7c89</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CS|72f9705b-0217-4fd3-bea2-cbc7ed80e26e;DE|f6b31e5a-26fa-4935-b661-318e46daf27e;RO|feb747a2-64cd-4299-af12-4833ddc30497;ES|e7a6b05b-ae16-40c8-add9-68b64b03aeba;SL|98a412ae-eb01-49e9-ae3d-585a81724cfc;IT|0774613c-01ed-4e5d-a25d-11d2388de825;GA|762d2456-c427-4ecb-b312-af3dad8e258c;LT|a7ff5ce7-6123-4f68-865a-a57c31810414;EL|6d4f4d51-af9b-4650-94b4-4276bee85c91;DA|5d49c027-8956-412b-aa16-e85a0f96ad0e;MT|7df99101-6854-4a26-b53a-b88c0da02c26;PT|50ccc04a-eadd-42ae-a0cb-acaf45f812ba;FI|87606a43-d45f-42d6-b8c9-e1a3457db5b7;LV|46f7e311-5d9f-4663-b433-18aeccb7ace7;EN|f2175f21-25d7-44a3-96da-d6a61b075e1b;BG|1a1b3951-7821-4e6a-85f5-5673fc08bd2c;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RO|feb747a2-64cd-4299-af12-4833ddc30497;#35;#FI|87606a43-d45f-42d6-b8c9-e1a3457db5b7;#34;#IT|0774613c-01ed-4e5d-a25d-11d2388de825;#33;#PT|50ccc04a-eadd-42ae-a0cb-acaf45f812ba;#32;#MT|7df99101-6854-4a26-b53a-b88c0da02c26;#31;#SL|98a412ae-eb01-49e9-ae3d-585a81724cfc;#43;#GA|762d2456-c427-4ecb-b312-af3dad8e258c;#29;#CS|72f9705b-0217-4fd3-bea2-cbc7ed80e26e;#27;#NL|55c6556c-b4f4-441d-9acf-c498d4f838bd;#37;#HU|6b229040-c589-4408-b4c1-4285663d20a8;#24;#PL|1e03da61-4678-4e07-b136-b5024ca9197b;#23;#DE|f6b31e5a-26fa-4935-b661-318e46daf27e;#22;#ADMIN|58d8ac89-e690-41f6-a5e8-508fa4a7c73c;#42;#EL|6d4f4d51-af9b-4650-94b4-4276bee85c91;#16;#ES|e7a6b05b-ae16-40c8-add9-68b64b03aeba;#13;#TRA|150d2a88-1431-44e6-a8ca-0bb753ab8672;#47;#BG|1a1b3951-7821-4e6a-85f5-5673fc08bd2c;#46;#SK|46d9fce0-ef79-4f71-b89b-cd6aa82426b8;#8;#Final|ea5e6674-7b27-4bac-b091-73adbb394efe;#6;#Internal|2451815e-8241-4bbf-a22e-1ab710712bf2;#5;#EN|f2175f21-25d7-44a3-96da-d6a61b075e1b;#40;#DA|5d49c027-8956-412b-aa16-e85a0f96ad0e;#39;#LV|46f7e311-5d9f-4663-b433-18aeccb7ace7;#1;#EESC|422833ec-8d7e-4e65-8e4e-8bed07ffb729;#30;#LT|a7ff5ce7-6123-4f68-865a-a57c31810414</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50;#HR|2f555653-ed1a-4fe6-8362-9082d95989e5</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