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57AE9C2E" w:rsidR="006C03A9" w:rsidRPr="002A7061" w:rsidRDefault="00E37E45" w:rsidP="006C03A9">
      <w:pPr>
        <w:jc w:val="center"/>
        <w:rPr>
          <w:rFonts w:asciiTheme="minorHAnsi" w:hAnsiTheme="minorHAnsi" w:cstheme="minorHAnsi"/>
          <w:szCs w:val="22"/>
        </w:rPr>
      </w:pPr>
      <w:r>
        <w:rPr>
          <w:rFonts w:asciiTheme="minorHAnsi" w:hAnsiTheme="minorHAnsi"/>
          <w:noProof/>
        </w:rPr>
        <w:drawing>
          <wp:inline distT="0" distB="0" distL="0" distR="0" wp14:anchorId="0577549D" wp14:editId="04BCBD16">
            <wp:extent cx="1792605" cy="1239520"/>
            <wp:effectExtent l="0" t="0" r="0" b="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Picture 1" title="EESCLogo_F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60AA6A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 xml:space="preserve">Jäseniä, </w:t>
      </w:r>
      <w:proofErr w:type="spellStart"/>
      <w:r>
        <w:rPr>
          <w:rFonts w:asciiTheme="minorHAnsi" w:hAnsiTheme="minorHAnsi"/>
          <w:b/>
          <w:sz w:val="24"/>
        </w:rPr>
        <w:t>CCMI:n</w:t>
      </w:r>
      <w:proofErr w:type="spellEnd"/>
      <w:r>
        <w:rPr>
          <w:rFonts w:asciiTheme="minorHAnsi" w:hAnsiTheme="minorHAnsi"/>
          <w:b/>
          <w:sz w:val="24"/>
        </w:rPr>
        <w:t xml:space="preserve"> nimettyjä edustajia ja sijaisia koskevien asiakirjojen hallinnointi</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Tietosuojaseloste</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Yleistä</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Euroopan talous- ja sosiaalikomitea (ETSK) on sitoutunut kunnioittamaan käyttäjien henkilötietojen suojaa ja suojelemaan tietoja </w:t>
      </w:r>
      <w:hyperlink r:id="rId12" w:history="1">
        <w:r>
          <w:rPr>
            <w:rStyle w:val="Hyperlink"/>
            <w:rFonts w:asciiTheme="minorHAnsi" w:hAnsiTheme="minorHAnsi"/>
            <w:sz w:val="22"/>
          </w:rPr>
          <w:t>asetuksen (EU) 2018/1725</w:t>
        </w:r>
      </w:hyperlink>
      <w:r>
        <w:rPr>
          <w:rFonts w:asciiTheme="minorHAnsi" w:hAnsiTheme="minorHAnsi"/>
          <w:sz w:val="22"/>
        </w:rPr>
        <w:t xml:space="preserve"> (EU:n tietosuoja-asetus) mukaisesti.</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Henkilötietoja voidaan kerätä ja käsitellä hallinnollisia tarkoituksia varten.</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Kuka vastaa henkilötietojen käsittelystä?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ETSK vastaa rekisterinpitäjänä henkilötietojen käsittelystä. </w:t>
      </w:r>
      <w:r w:rsidRPr="00C67795">
        <w:rPr>
          <w:rFonts w:asciiTheme="minorHAnsi" w:hAnsiTheme="minorHAnsi"/>
        </w:rPr>
        <w:t>Vastuuyksikkönä (valtuutettu rekisterinpitäjä) on ”kanslia- ja lainsäädäntöasioiden suunnittelu” -yksikkö</w:t>
      </w:r>
      <w:r>
        <w:t xml:space="preserve"> (</w:t>
      </w:r>
      <w:hyperlink r:id="rId13" w:history="1">
        <w:r>
          <w:rPr>
            <w:rStyle w:val="Hyperlink"/>
            <w:rFonts w:ascii="Calibri" w:hAnsi="Calibri"/>
          </w:rPr>
          <w:t>nominations-eesc@eesc.europa.eu</w:t>
        </w:r>
      </w:hyperlink>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Mihin henkilötietojen käsittelyä tarvitaan?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 xml:space="preserve">Kaikki jäsenten, </w:t>
      </w:r>
      <w:proofErr w:type="spellStart"/>
      <w:r>
        <w:rPr>
          <w:rFonts w:asciiTheme="minorHAnsi" w:hAnsiTheme="minorHAnsi"/>
        </w:rPr>
        <w:t>CCMI:n</w:t>
      </w:r>
      <w:proofErr w:type="spellEnd"/>
      <w:r>
        <w:rPr>
          <w:rFonts w:asciiTheme="minorHAnsi" w:hAnsiTheme="minorHAnsi"/>
        </w:rPr>
        <w:t xml:space="preserve"> nimettyjen edustajien ja sijaisten ”kanslia- ja lainsäädäntöasioiden suunnittelu” -yksikölle (paperimuodossa tai sähköpostitse) toimittamat henkilötiedot tallennetaan </w:t>
      </w:r>
      <w:proofErr w:type="spellStart"/>
      <w:r>
        <w:rPr>
          <w:rFonts w:asciiTheme="minorHAnsi" w:hAnsiTheme="minorHAnsi"/>
        </w:rPr>
        <w:t>Agora</w:t>
      </w:r>
      <w:proofErr w:type="spellEnd"/>
      <w:r>
        <w:rPr>
          <w:rFonts w:asciiTheme="minorHAnsi" w:hAnsiTheme="minorHAnsi"/>
        </w:rPr>
        <w:t xml:space="preserve">-tietokantaan, ja asiaankuuluvat sisäiset yksiköt käyttävät niitä viestintä- ja hallintotarkoituksiin, jotka liittyvät jäsenten, </w:t>
      </w:r>
      <w:proofErr w:type="spellStart"/>
      <w:r>
        <w:rPr>
          <w:rFonts w:asciiTheme="minorHAnsi" w:hAnsiTheme="minorHAnsi"/>
        </w:rPr>
        <w:t>CCMI:n</w:t>
      </w:r>
      <w:proofErr w:type="spellEnd"/>
      <w:r>
        <w:rPr>
          <w:rFonts w:asciiTheme="minorHAnsi" w:hAnsiTheme="minorHAnsi"/>
        </w:rPr>
        <w:t xml:space="preserve"> nimettyjen edustajien ja sijaisten tehtävien hoitamiseen ja heidän osallistumiseensa komitean toimintaan.</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Mikä on henkilötietojen käsittelyn oikeusperusta?</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Henkilötietojen käsittelyn oikeusperustana on asetuksen (EU) 2018/1725 5 artiklan 1 kohdan a alakohta: ”käsittely on tarpeen yleistä etua koskevan tehtävän suorittamiseksi tai unionin toimielimelle tai elimelle kuuluvan julkisen vallan käyttämiseksi”. Yleinen etu sisältää EU:n toimielinten hallinnon ja toiminnan kannalta tarpeelliset tietojenkäsittelytapahtumat.</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Joidenkin henkilötietoryhmien osalta (ks. kohta 6.4 jäljempänä) oikeusperustana on asetuksen 2018/1725 5 artiklan 1 kohdan d alakohta: ”rekisteröity on antanut suostumuksensa henkilötietojensa käsittelyyn yhtä tai useampaa erityistä tarkoitusta varten”.</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Minkälaisia henkilötietoja käsitellään?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 xml:space="preserve">”Kanslia ja lainsäädäntöasioiden suunnittelu” -yksikkö syöttää </w:t>
      </w:r>
      <w:proofErr w:type="spellStart"/>
      <w:r>
        <w:rPr>
          <w:rFonts w:asciiTheme="minorHAnsi" w:hAnsiTheme="minorHAnsi"/>
        </w:rPr>
        <w:t>Agora</w:t>
      </w:r>
      <w:proofErr w:type="spellEnd"/>
      <w:r>
        <w:rPr>
          <w:rFonts w:asciiTheme="minorHAnsi" w:hAnsiTheme="minorHAnsi"/>
        </w:rPr>
        <w:t xml:space="preserve">-tietokantaan seuraavat tiedot, ja ne myös tallennetaan suojattuihin SharePoint-kansioihin, joihin pääsy on rajattu tiukasti vain </w:t>
      </w:r>
      <w:proofErr w:type="spellStart"/>
      <w:r>
        <w:rPr>
          <w:rFonts w:asciiTheme="minorHAnsi" w:hAnsiTheme="minorHAnsi"/>
        </w:rPr>
        <w:t>ETSK:n</w:t>
      </w:r>
      <w:proofErr w:type="spellEnd"/>
      <w:r>
        <w:rPr>
          <w:rFonts w:asciiTheme="minorHAnsi" w:hAnsiTheme="minorHAnsi"/>
        </w:rPr>
        <w:t xml:space="preserve"> ”kanslia- ja lainsäädäntöasioiden suunnittelu” -yksikön henkilöstölle:</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sukunimi</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etunimi</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titteli</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toimintarajoitteet</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syntymäaika</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jäsenen nimennyt maa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virallinen tehtävä</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toimeksiannon tyyppi</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nimeämisen ajankohta</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toimikauden päättymispäivä</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sijainen</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avustaja.</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Jäsenet syöttävät itse seuraavat tiedot jäsenportaalin ”Omat tiedot” -kohdassa:</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hätäyhteyshenkilö</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sukunimi</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etunimi</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syntymämaa</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syntymäpaikka</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valokuva</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ansioluettelo</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julkinen postiosoite</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yksityinen postiosoite</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yleinen sähköpostiosoite</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yksityinen sähköpostiosoite</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puhelinnumerot</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kielitaito</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asuinpaikkailmoitus (tietoa ei syötetä </w:t>
      </w:r>
      <w:proofErr w:type="spellStart"/>
      <w:r>
        <w:rPr>
          <w:rFonts w:asciiTheme="minorHAnsi" w:hAnsiTheme="minorHAnsi"/>
        </w:rPr>
        <w:t>Agoraan</w:t>
      </w:r>
      <w:proofErr w:type="spellEnd"/>
      <w:r>
        <w:rPr>
          <w:rFonts w:asciiTheme="minorHAnsi" w:hAnsiTheme="minorHAnsi"/>
        </w:rPr>
        <w:t xml:space="preserve"> vaan tallennetaan suojattuun kansioon)</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asuinpaikkatodistus (tietoa ei syötetä </w:t>
      </w:r>
      <w:proofErr w:type="spellStart"/>
      <w:r>
        <w:rPr>
          <w:rFonts w:asciiTheme="minorHAnsi" w:hAnsiTheme="minorHAnsi"/>
        </w:rPr>
        <w:t>Agoraan</w:t>
      </w:r>
      <w:proofErr w:type="spellEnd"/>
      <w:r>
        <w:rPr>
          <w:rFonts w:asciiTheme="minorHAnsi" w:hAnsiTheme="minorHAnsi"/>
        </w:rPr>
        <w:t xml:space="preserve"> vaan tallennetaan suojattuun kansioon)</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 xml:space="preserve">ilmoitus taloudellisista sidonnaisuuksista (allekirjoitusta vailla oleva ilmoitus tallennetaan </w:t>
      </w:r>
      <w:proofErr w:type="spellStart"/>
      <w:r>
        <w:rPr>
          <w:rFonts w:asciiTheme="minorHAnsi" w:hAnsiTheme="minorHAnsi"/>
        </w:rPr>
        <w:t>Agoraan</w:t>
      </w:r>
      <w:proofErr w:type="spellEnd"/>
      <w:r>
        <w:rPr>
          <w:rFonts w:asciiTheme="minorHAnsi" w:hAnsiTheme="minorHAnsi"/>
        </w:rPr>
        <w:t xml:space="preserve"> ja allekirjoitettu ilmoitus suojattuun kansioon)</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asiakirjojen tulostamista koskevat valinnat</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verkkosivustot</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sosiaalisen median tilit</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blogit</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järjestöt</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kiinnostuksenkohteet</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yksityisyysasetukset</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ilmoituksia koskevat vaihtoehdot</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oikeuksien siirtäminen</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henkilökuva.</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 xml:space="preserve">Kaikki jäsenten, </w:t>
      </w:r>
      <w:proofErr w:type="spellStart"/>
      <w:r>
        <w:rPr>
          <w:rFonts w:asciiTheme="minorHAnsi" w:hAnsiTheme="minorHAnsi"/>
        </w:rPr>
        <w:t>CCMI:n</w:t>
      </w:r>
      <w:proofErr w:type="spellEnd"/>
      <w:r>
        <w:rPr>
          <w:rFonts w:asciiTheme="minorHAnsi" w:hAnsiTheme="minorHAnsi"/>
        </w:rPr>
        <w:t xml:space="preserve"> nimettyjen edustajien ja sijaisten ”kanslia- ja lainsäädäntöasioiden suunnittelu” -yksikölle (paperimuodossa tai sähköpostitse) toimittamat asiakirjat tallennetaan suojattuihin SharePoint-kansioihin, joihin pääsy on rajattu tiukasti vain </w:t>
      </w:r>
      <w:proofErr w:type="spellStart"/>
      <w:r>
        <w:rPr>
          <w:rFonts w:asciiTheme="minorHAnsi" w:hAnsiTheme="minorHAnsi"/>
        </w:rPr>
        <w:t>ETSK:n</w:t>
      </w:r>
      <w:proofErr w:type="spellEnd"/>
      <w:r>
        <w:rPr>
          <w:rFonts w:asciiTheme="minorHAnsi" w:hAnsiTheme="minorHAnsi"/>
        </w:rPr>
        <w:t xml:space="preserve"> ”kanslia- ja lainsäädäntöasioiden suunnittelu” -yksikön henkilöstölle:</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toimikauden alussa täytettävä lomake (kyselylomakkeen muodossa)</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ansioluettelo</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tiedot henkilökortista tai passista</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allekirjoitettu ilmoitus taloudellisista sidonnaisuuksista</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asuinpaikkailmoitus</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oikeussubjektilomake</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tilitietolomake.</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Mitkä tahot ovat henkilötietojen vastaanottajia tai vastaanottajaryhmiä?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”Kanslia- ja lainsäädäntöasioiden suunnittelu” -yksikön jäsenillä on pääsy henkilötietoihin tiedonsaantitarpeen perusteella.</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Komitean seuraavilla yksiköillä on pääsy seuraaviin tietoihin:</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sukunimi, etunimi, sukupuoli, titteli, kansalaisuus, kotipaikka, kielitaito, asiakirjojen tulostamista koskevat valinnat, julkinen osoite, ohjelma, luottamuksellinen sähköpostiosoite, ansioluettelo, syntymäaika, ei-luottamuksellinen puhelin- ja matkapuhelinnumero</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sukunimi, etunimi, sukupuoli, titteli, julkiset osoitteet, luottamuksellinen sähköpostiosoite, ei-luottamuksellinen puhelin- ja matkapuhelinnumero, ohjelma ja ansioluettelo</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SG.B.1_REX, SG.B.2_TEN, SG.B.3_NAT, SG.B.4_FSA, SG.C.1_ECO, SG.C.2_SOC, SG.C.3_INT: sukunimi, etunimi, sukupuoli, titteli, julkinen osoite, luottamuksellinen sähköpostiosoite, jäsenyys ryhmässä, kansalaisuus, kotipaikka, kielitaito, asiakirjojen tulostamista koskevat valinnat, ohjelma, toiminta, jäsenyys </w:t>
      </w:r>
      <w:proofErr w:type="spellStart"/>
      <w:r>
        <w:rPr>
          <w:rFonts w:asciiTheme="minorHAnsi" w:hAnsiTheme="minorHAnsi"/>
        </w:rPr>
        <w:t>ETSK:n</w:t>
      </w:r>
      <w:proofErr w:type="spellEnd"/>
      <w:r>
        <w:rPr>
          <w:rFonts w:asciiTheme="minorHAnsi" w:hAnsiTheme="minorHAnsi"/>
        </w:rPr>
        <w:t xml:space="preserve"> elimissä, ansioluettelo, valokuva, ei-luottamuksellinen matkapuhelinnumero</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SG.C.4_CCMI: sukunimi, etunimi, sukupuoli, titteli, julkinen osoite, luottamuksellinen sähköpostiosoite, kansalaisuus, kotipaikka, kielitaito, asiakirjojen tulostamista </w:t>
      </w:r>
      <w:r>
        <w:rPr>
          <w:rFonts w:asciiTheme="minorHAnsi" w:hAnsiTheme="minorHAnsi"/>
        </w:rPr>
        <w:lastRenderedPageBreak/>
        <w:t xml:space="preserve">koskevat valinnat, ohjelma, toiminta, kiinnostuksenkohteet, jäsenyys </w:t>
      </w:r>
      <w:proofErr w:type="spellStart"/>
      <w:r>
        <w:rPr>
          <w:rFonts w:asciiTheme="minorHAnsi" w:hAnsiTheme="minorHAnsi"/>
        </w:rPr>
        <w:t>ETSK:n</w:t>
      </w:r>
      <w:proofErr w:type="spellEnd"/>
      <w:r>
        <w:rPr>
          <w:rFonts w:asciiTheme="minorHAnsi" w:hAnsiTheme="minorHAnsi"/>
        </w:rPr>
        <w:t xml:space="preserve"> eturyhmissä, ansioluettelo, valokuva, ei-luottamuksellinen matkapuhelinnumero</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SG.D: SG.D.ICD, SG.D.1_PRE, SG.D.3_INF, SG.D.4_REL, SG.D.5_CSS: sukunimi, etunimi, sukupuoli, titteli, kansalaisuus, kotipaikka, jäsenen läsnäolopäivät </w:t>
      </w:r>
      <w:proofErr w:type="spellStart"/>
      <w:r>
        <w:rPr>
          <w:rFonts w:asciiTheme="minorHAnsi" w:hAnsiTheme="minorHAnsi"/>
        </w:rPr>
        <w:t>ETSK:ssa</w:t>
      </w:r>
      <w:proofErr w:type="spellEnd"/>
      <w:r>
        <w:rPr>
          <w:rFonts w:asciiTheme="minorHAnsi" w:hAnsiTheme="minorHAnsi"/>
        </w:rPr>
        <w:t>, jäsenen yhteystiedot, jäsenen toiminta komiteassa, kielitaito, asiakirjojen tulostamista koskevat valinnat, valokuva, ohjelma</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sukunimi, etunimi, sukupuoli, titteli, ei-luottamuksellinen puhelinnumero, luottamuksellinen puhelinnumero, ei-luottamuksellinen matkapuhelinnumero, luottamuksellinen matkapuhelinnumero</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sukunimi, etunimi, sukupuoli, titteli</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sukunimi, etunimi, sukupuoli, titteli, kansalaisuus, käytössä olevat puhelinlinjat, ei-luottamuksellinen ja luottamuksellinen matkapuhelinnumero.</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Seuraavat tiedot julkaistaan ja ovat kaikkien saatavilla jäsensivuilla jäsenportaalin kautta:</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sukunimi, etunimi, toimeksiannon tyyppi, toimikauden alku, jäsenen nimennyt maa, virallinen tehtävä kansallisessa organisaatiossa, jäsenyys ryhmissä ja jaostoissa, jäsenyys kansallisissa organisaatioissa, ilmoitus taloudellisista sidonnaisuuksista ilman allekirjoitusta.</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 xml:space="preserve">Seuraavat tiedot julkaistaan ainoastaan, jos siihen on annettu suostumus (jäsenet, </w:t>
      </w:r>
      <w:proofErr w:type="spellStart"/>
      <w:r>
        <w:rPr>
          <w:rFonts w:asciiTheme="minorHAnsi" w:hAnsiTheme="minorHAnsi"/>
        </w:rPr>
        <w:t>CCMI:n</w:t>
      </w:r>
      <w:proofErr w:type="spellEnd"/>
      <w:r>
        <w:rPr>
          <w:rFonts w:asciiTheme="minorHAnsi" w:hAnsiTheme="minorHAnsi"/>
        </w:rPr>
        <w:t xml:space="preserve"> nimetyt edustajat ja sijaiset voivat valita kunkin tietoryhmän erikseen), ja tiedot ovat saatavilla jäsensivuilla jäsenportaalin kautta:</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ei-luottamuksellinen puhelinnumero, ei-luottamuksellinen matkapuhelinnumero, ei-luottamuksellinen faksinumero, ei-luottamuksellinen sähköpostiosoite, julkinen osoite, verkkosivustot, blogit, sosiaalisen median tilit, valokuva, syntymäaika, kielitaito, asiakirjojen tulostamista koskevat valinnat, sijainen, toiminta komiteassa, järjestöt, kiinnostuksenkohteet, oikeuksien siirtäminen, henkilökuva.</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Tiettyjä perushenkilötietoja voidaan käyttää toimikauden aikana</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proofErr w:type="spellStart"/>
      <w:r>
        <w:rPr>
          <w:rFonts w:asciiTheme="minorHAnsi" w:hAnsiTheme="minorHAnsi"/>
        </w:rPr>
        <w:t>ETSK:n</w:t>
      </w:r>
      <w:proofErr w:type="spellEnd"/>
      <w:r>
        <w:rPr>
          <w:rFonts w:asciiTheme="minorHAnsi" w:hAnsiTheme="minorHAnsi"/>
        </w:rPr>
        <w:t xml:space="preserve"> henkilöhakemistossa (</w:t>
      </w:r>
      <w:proofErr w:type="spellStart"/>
      <w:r>
        <w:rPr>
          <w:rFonts w:asciiTheme="minorHAnsi" w:hAnsiTheme="minorHAnsi"/>
        </w:rPr>
        <w:t>vademecum</w:t>
      </w:r>
      <w:proofErr w:type="spellEnd"/>
      <w:r>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proofErr w:type="spellStart"/>
      <w:r>
        <w:rPr>
          <w:rFonts w:asciiTheme="minorHAnsi" w:hAnsiTheme="minorHAnsi"/>
        </w:rPr>
        <w:t>ETSK:n</w:t>
      </w:r>
      <w:proofErr w:type="spellEnd"/>
      <w:r>
        <w:rPr>
          <w:rFonts w:asciiTheme="minorHAnsi" w:hAnsiTheme="minorHAnsi"/>
        </w:rPr>
        <w:t xml:space="preserve"> julkaisuissa, uutiskirjeissä, videotuotannoissa ja esittelyissä sekä </w:t>
      </w:r>
      <w:proofErr w:type="spellStart"/>
      <w:r>
        <w:rPr>
          <w:rFonts w:asciiTheme="minorHAnsi" w:hAnsiTheme="minorHAnsi"/>
        </w:rPr>
        <w:t>ETSK:n</w:t>
      </w:r>
      <w:proofErr w:type="spellEnd"/>
      <w:r>
        <w:rPr>
          <w:rFonts w:asciiTheme="minorHAnsi" w:hAnsiTheme="minorHAnsi"/>
        </w:rPr>
        <w:t xml:space="preserve"> verkkosivuilla</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jäsenportaalissa</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 xml:space="preserve">EU </w:t>
      </w:r>
      <w:proofErr w:type="spellStart"/>
      <w:r>
        <w:rPr>
          <w:rFonts w:asciiTheme="minorHAnsi" w:hAnsiTheme="minorHAnsi"/>
        </w:rPr>
        <w:t>Whoiswho</w:t>
      </w:r>
      <w:proofErr w:type="spellEnd"/>
      <w:r>
        <w:rPr>
          <w:rFonts w:asciiTheme="minorHAnsi" w:hAnsiTheme="minorHAnsi"/>
        </w:rPr>
        <w:t xml:space="preserve"> -hakemistossa (unionin toimielinten virallinen hakemisto, jossa on kaikkien EU:n toimielinten ja elinten yhteystiedot)</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lastRenderedPageBreak/>
        <w:t xml:space="preserve">EU </w:t>
      </w:r>
      <w:proofErr w:type="spellStart"/>
      <w:r>
        <w:rPr>
          <w:rFonts w:asciiTheme="minorHAnsi" w:hAnsiTheme="minorHAnsi"/>
        </w:rPr>
        <w:t>Whoiswho</w:t>
      </w:r>
      <w:proofErr w:type="spellEnd"/>
      <w:r>
        <w:rPr>
          <w:rFonts w:asciiTheme="minorHAnsi" w:hAnsiTheme="minorHAnsi"/>
        </w:rPr>
        <w:t xml:space="preserve"> on unionin toimielinten virallinen hakemisto, jossa on kaikkien EU:n toimielinten ja elinten yhteystiedot. Se on saatavilla verkkoversiona sekä sähköisenä ja paperimuotoisena julkaisuna.</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t>Julkaisutoimiston hallinnoimassa avoimen datan portaalissa on jäsenistä tiedot, jotka on julkaistu jäsenportaalin jäsensivuilla.</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Jäsenten tiedot (organisaatio/toimielin, toimielimen osoite, verkkosivut, titteli, sukunimi, etunimi, valokuva, tehtävä </w:t>
      </w:r>
      <w:proofErr w:type="spellStart"/>
      <w:r>
        <w:rPr>
          <w:rFonts w:asciiTheme="minorHAnsi" w:hAnsiTheme="minorHAnsi"/>
        </w:rPr>
        <w:t>ETSK:ssa</w:t>
      </w:r>
      <w:proofErr w:type="spellEnd"/>
      <w:r>
        <w:rPr>
          <w:rFonts w:asciiTheme="minorHAnsi" w:hAnsiTheme="minorHAnsi"/>
        </w:rPr>
        <w:t xml:space="preserve">, jäsenen nimennyt maa, toimi kotimaassa, puhelinnumero ja sähköpostiosoite, jäsenyys </w:t>
      </w:r>
      <w:proofErr w:type="spellStart"/>
      <w:r>
        <w:rPr>
          <w:rFonts w:asciiTheme="minorHAnsi" w:hAnsiTheme="minorHAnsi"/>
        </w:rPr>
        <w:t>ETSK:n</w:t>
      </w:r>
      <w:proofErr w:type="spellEnd"/>
      <w:r>
        <w:rPr>
          <w:rFonts w:asciiTheme="minorHAnsi" w:hAnsiTheme="minorHAnsi"/>
        </w:rPr>
        <w:t xml:space="preserve"> elimissä) toimitetaan julkaisutoimistolle julkaistavaksi EU </w:t>
      </w:r>
      <w:proofErr w:type="spellStart"/>
      <w:r>
        <w:rPr>
          <w:rFonts w:asciiTheme="minorHAnsi" w:hAnsiTheme="minorHAnsi"/>
        </w:rPr>
        <w:t>Whoiswho</w:t>
      </w:r>
      <w:proofErr w:type="spellEnd"/>
      <w:r>
        <w:rPr>
          <w:rFonts w:asciiTheme="minorHAnsi" w:hAnsiTheme="minorHAnsi"/>
        </w:rPr>
        <w:t xml:space="preserve"> </w:t>
      </w:r>
      <w:r>
        <w:rPr>
          <w:rFonts w:asciiTheme="minorHAnsi" w:hAnsiTheme="minorHAnsi"/>
        </w:rPr>
        <w:noBreakHyphen/>
        <w:t xml:space="preserve">hakemistossa (unionin toimielinten virallinen hakemisto, jossa on kaikkien EU:n toimielinten ja elinten yhteystiedot), joka on saatavilla verkkoversiona sekä sähköisenä ja paperimuotoisena julkaisuna. Jos valokuva on saatavilla, se julkaistaan sähköisessä EU </w:t>
      </w:r>
      <w:proofErr w:type="spellStart"/>
      <w:r>
        <w:rPr>
          <w:rFonts w:asciiTheme="minorHAnsi" w:hAnsiTheme="minorHAnsi"/>
        </w:rPr>
        <w:t>Whoiswho</w:t>
      </w:r>
      <w:proofErr w:type="spellEnd"/>
      <w:r>
        <w:rPr>
          <w:rFonts w:asciiTheme="minorHAnsi" w:hAnsiTheme="minorHAnsi"/>
        </w:rPr>
        <w:t xml:space="preserve"> </w:t>
      </w:r>
      <w:r>
        <w:rPr>
          <w:rFonts w:asciiTheme="minorHAnsi" w:hAnsiTheme="minorHAnsi"/>
        </w:rPr>
        <w:noBreakHyphen/>
        <w:t xml:space="preserve">hakemistossa. EU:n hakemiston paperiversiossa julkaistaan vain puheenjohtajan ja varapuheenjohtajien valokuvat.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FD3601" w:rsidP="00612087">
      <w:pPr>
        <w:overflowPunct/>
        <w:textAlignment w:val="auto"/>
        <w:rPr>
          <w:rFonts w:asciiTheme="minorHAnsi" w:eastAsiaTheme="minorHAnsi" w:hAnsiTheme="minorHAnsi" w:cstheme="minorHAnsi"/>
          <w:szCs w:val="22"/>
        </w:rPr>
      </w:pPr>
      <w:hyperlink r:id="rId14">
        <w:r w:rsidR="00612087">
          <w:rPr>
            <w:rFonts w:asciiTheme="minorHAnsi" w:hAnsiTheme="minorHAnsi"/>
            <w:color w:val="0000FF"/>
            <w:u w:val="single"/>
          </w:rPr>
          <w:t>Julkaisutoimiston hallinnoimilla verkkosivuilla</w:t>
        </w:r>
      </w:hyperlink>
      <w:r w:rsidR="00612087">
        <w:rPr>
          <w:rFonts w:asciiTheme="minorHAnsi" w:hAnsiTheme="minorHAnsi"/>
          <w:color w:val="000000"/>
        </w:rPr>
        <w:t xml:space="preserve"> on myös saatavilla jäsenistä tiedot, jotka on julkaistu </w:t>
      </w:r>
      <w:hyperlink r:id="rId15">
        <w:proofErr w:type="spellStart"/>
        <w:r w:rsidR="00612087">
          <w:rPr>
            <w:rFonts w:asciiTheme="minorHAnsi" w:hAnsiTheme="minorHAnsi"/>
            <w:color w:val="0000FF"/>
            <w:u w:val="single"/>
          </w:rPr>
          <w:t>ETSK:n</w:t>
        </w:r>
        <w:proofErr w:type="spellEnd"/>
        <w:r w:rsidR="00612087">
          <w:rPr>
            <w:rFonts w:asciiTheme="minorHAnsi" w:hAnsiTheme="minorHAnsi"/>
            <w:color w:val="0000FF"/>
            <w:u w:val="single"/>
          </w:rPr>
          <w:t xml:space="preserve"> verkkosivujen</w:t>
        </w:r>
      </w:hyperlink>
      <w:r w:rsidR="00612087">
        <w:rPr>
          <w:rFonts w:asciiTheme="minorHAnsi" w:hAnsiTheme="minorHAnsi"/>
          <w:color w:val="000000"/>
        </w:rPr>
        <w:t xml:space="preserve"> jäsensivuilla.</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Henkilötietojen käsittelystä julkaisutoimistossa saa tarkempia tietoja seuraavasta asiakirjasta:</w:t>
      </w:r>
    </w:p>
    <w:p w14:paraId="1FFE3AF4" w14:textId="234E9FEE" w:rsidR="002A7061" w:rsidRDefault="00612087" w:rsidP="00B354A2">
      <w:pPr>
        <w:spacing w:after="3" w:line="263" w:lineRule="auto"/>
        <w:ind w:left="560"/>
        <w:jc w:val="left"/>
      </w:pPr>
      <w:r>
        <w:rPr>
          <w:rFonts w:asciiTheme="minorHAnsi" w:hAnsiTheme="minorHAnsi"/>
          <w:u w:val="single"/>
        </w:rPr>
        <w:t>Euroopan unionin julkaisutoimisto</w:t>
      </w:r>
      <w:r>
        <w:rPr>
          <w:rFonts w:asciiTheme="minorHAnsi" w:hAnsiTheme="minorHAnsi"/>
        </w:rPr>
        <w:t xml:space="preserve">: </w:t>
      </w:r>
      <w:hyperlink r:id="rId16" w:history="1">
        <w:r>
          <w:rPr>
            <w:rFonts w:asciiTheme="minorHAnsi" w:hAnsiTheme="minorHAnsi"/>
            <w:color w:val="0000FF"/>
            <w:u w:val="single"/>
          </w:rPr>
          <w:t>tietosuojaseloste</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Siirretäänkö henkilötietoja kolmanteen maahan tai kansainväliselle järjestölle?</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Henkilötietoja ei siirretä EU:n ulkopuolisiin valtioihin tai ETA-maihin eikä kansainvälisille järjestöille.</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Miten oikeuksiaan voi käyttää?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Kaikilla on oikeus tutustua itseään koskeviin tietoihin, saada oikaistua virheelliset tai puutteelliset henkilötiedot, (tietyin ehdoin) rajoittaa henkilötietojensa käsittelyä, pyytää henkilötietojensa poistamista (jos niitä on käsitelty lainvastaisesti) ja tapauksen mukaan siirtää tiedot järjestelmästä toiseen. Kaikilla on oikeus vastustaa milloin tahansa henkilötietojensa käsittelyä henkilökohtaiseen tilanteeseen liittyvistä syistä.</w:t>
      </w:r>
    </w:p>
    <w:p w14:paraId="2891715A" w14:textId="4FE4D93C" w:rsidR="002A7061" w:rsidRPr="008C14F9" w:rsidRDefault="002A7061" w:rsidP="004D3F24">
      <w:pPr>
        <w:pStyle w:val="Style1"/>
      </w:pPr>
      <w:r>
        <w:t xml:space="preserve">Pyynnöt voi osoittaa ”kanslia- ja lainsäädäntöasioiden suunnittelu” -yksikölle –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w:t>
      </w:r>
      <w:proofErr w:type="spellStart"/>
      <w:r>
        <w:t>Bruxelles</w:t>
      </w:r>
      <w:proofErr w:type="spellEnd"/>
      <w:r>
        <w:t>/</w:t>
      </w:r>
      <w:proofErr w:type="spellStart"/>
      <w:r>
        <w:t>Brussel</w:t>
      </w:r>
      <w:proofErr w:type="spellEnd"/>
      <w:r>
        <w:t xml:space="preserve"> (</w:t>
      </w:r>
      <w:hyperlink r:id="rId17" w:history="1">
        <w:r>
          <w:rPr>
            <w:rStyle w:val="Hyperlink"/>
          </w:rPr>
          <w:t>nominations-eesc@eesc.europa.eu</w:t>
        </w:r>
      </w:hyperlink>
      <w:r>
        <w:t>). Pyynnöt käsitellään ilman aiheetonta viivästystä ja joka tapauksessa kuukauden sisällä pyynnön vastaanottamisesta. Määräaikaa voidaan tarvittaessa jatkaa kahdella kuukaudella.</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Jos </w:t>
      </w:r>
      <w:proofErr w:type="spellStart"/>
      <w:r>
        <w:t>ETSK:n</w:t>
      </w:r>
      <w:proofErr w:type="spellEnd"/>
      <w:r>
        <w:t xml:space="preserve"> suorittamassa henkilötietojen käsittelyssä on rekisteröidyn mielestä loukattu EU:n tietosuoja-asetuksen mukaisia oikeuksia, tämä voi kääntyä </w:t>
      </w:r>
      <w:hyperlink r:id="rId18" w:history="1">
        <w:r>
          <w:rPr>
            <w:rStyle w:val="Hyperlink"/>
          </w:rPr>
          <w:t>Euroopan tietosuojavaltuutetun</w:t>
        </w:r>
      </w:hyperlink>
      <w:r>
        <w:t xml:space="preserve"> puoleen.</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Kuinka kauan henkilötietoja säilytetään?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proofErr w:type="spellStart"/>
      <w:r>
        <w:rPr>
          <w:rFonts w:asciiTheme="minorHAnsi" w:hAnsiTheme="minorHAnsi"/>
        </w:rPr>
        <w:t>ETSK:n</w:t>
      </w:r>
      <w:proofErr w:type="spellEnd"/>
      <w:r>
        <w:rPr>
          <w:rFonts w:asciiTheme="minorHAnsi" w:hAnsiTheme="minorHAnsi"/>
        </w:rPr>
        <w:t xml:space="preserve"> kirjaamiin asiakirjoihin sisältyviä henkilötietoja säilytetään asetuksen (EU) 2018/1725 4 artiklan 1 kohdan e alakohdassa tarkoitettuja yleisen edun mukaisia arkistointitarkoituksia varten, mahdollisia historiallisia tarkoituksia varten (esim. todisteena </w:t>
      </w:r>
      <w:proofErr w:type="spellStart"/>
      <w:r>
        <w:rPr>
          <w:rFonts w:asciiTheme="minorHAnsi" w:hAnsiTheme="minorHAnsi"/>
        </w:rPr>
        <w:t>ETSK:n</w:t>
      </w:r>
      <w:proofErr w:type="spellEnd"/>
      <w:r>
        <w:rPr>
          <w:rFonts w:asciiTheme="minorHAnsi" w:hAnsiTheme="minorHAnsi"/>
        </w:rPr>
        <w:t xml:space="preserve"> keskeiseen </w:t>
      </w:r>
      <w:r>
        <w:rPr>
          <w:rFonts w:asciiTheme="minorHAnsi" w:hAnsiTheme="minorHAnsi"/>
        </w:rPr>
        <w:lastRenderedPageBreak/>
        <w:t>tehtävään, kuten puheenjohtajaksi tai varapuheenjohtajaksi, tai muualle nimitettävän jäsenen pitkäaikaisesta jäsenyydestä tietyssä elimessä) ja mahdollisia tilastollisia tarkoituksia varten.</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Käytetäänkö kerättyjä henkilötietoja automatisoituun päätöksentekoon, kuten profilointiin?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ETSK ei käytä henkilötietoja käyttäjiä koskevien automatisoitujen päätösten tekoon. Automatisoidulla päätöksellä tarkoitetaan päätöstä, joka on tehty ilman ihmisen osallistumista.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Käsitelläänkö henkilötietoja myöhemmin muuhun tarkoitukseen kuin siihen, jota varten ne on kerätty?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Henkilötietoja ei käsitellä muihin tarkoituksiin.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Kehen voi ottaa yhteyttä, jos haluaa esittää kysymyksiä tai tehdä valituksen? </w:t>
      </w:r>
    </w:p>
    <w:p w14:paraId="4D1FAA24" w14:textId="5EEF855C" w:rsidR="00C56472" w:rsidRPr="008C14F9" w:rsidRDefault="002A7061" w:rsidP="004D3F24">
      <w:pPr>
        <w:pStyle w:val="Style1"/>
      </w:pPr>
      <w:r>
        <w:t>Mahdolliset henkilötietojen käsittelyä koskevat lisäkysymykset tulee lähettää ensisijaisesti rekisterinpitäjälle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 xml:space="preserve">Lisäksi voi ottaa milloin tahansa yhteyttä </w:t>
      </w:r>
      <w:proofErr w:type="spellStart"/>
      <w:r>
        <w:t>ETSK:n</w:t>
      </w:r>
      <w:proofErr w:type="spellEnd"/>
      <w:r>
        <w:t xml:space="preserve"> tietosuojavastaavaan (</w:t>
      </w:r>
      <w:hyperlink r:id="rId20" w:history="1">
        <w:r>
          <w:rPr>
            <w:rStyle w:val="Hyperlink"/>
          </w:rPr>
          <w:t>yhteydenottolomake</w:t>
        </w:r>
      </w:hyperlink>
      <w:r>
        <w:t>) ja/tai Euroopan tietosuojavaltuutettuun (</w:t>
      </w:r>
      <w:hyperlink r:id="rId21" w:tgtFrame="_blank" w:history="1">
        <w:r>
          <w:rPr>
            <w:color w:val="0000FF"/>
            <w:u w:val="single"/>
          </w:rPr>
          <w:t>yhteydenottolomake</w:t>
        </w:r>
      </w:hyperlink>
      <w:r>
        <w:t>).</w:t>
      </w:r>
    </w:p>
    <w:sectPr w:rsidR="00B01161" w:rsidRPr="002A7061" w:rsidSect="004F2B7F">
      <w:footerReference w:type="default" r:id="rId2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FD3601">
      <w:fldChar w:fldCharType="begin"/>
    </w:r>
    <w:r w:rsidR="00FD3601">
      <w:instrText xml:space="preserve"> NUMPAGES </w:instrText>
    </w:r>
    <w:r w:rsidR="00FD3601">
      <w:fldChar w:fldCharType="separate"/>
    </w:r>
    <w:r w:rsidR="00553CB0">
      <w:t>6</w:t>
    </w:r>
    <w:r w:rsidR="00FD36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Sisäiseen hallinnolliseen käsittelyyn tarkoitetut tiedot.</w:t>
      </w:r>
    </w:p>
  </w:footnote>
  <w:footnote w:id="3">
    <w:p w14:paraId="414AD85E" w14:textId="7190A72D"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ab/>
        <w:t>EU Whoiswho -hakemistossa julkaistujen henkilötietojen käsittelystä saa tarkempia tietoja asianomaisesta tietosuojaselosteesta osoitteessa</w:t>
      </w:r>
      <w:r>
        <w:t xml:space="preserve"> </w:t>
      </w:r>
      <w:hyperlink r:id="rId1" w:history="1">
        <w:r>
          <w:rPr>
            <w:rStyle w:val="Hyperlink"/>
            <w:rFonts w:asciiTheme="minorHAnsi" w:hAnsiTheme="minorHAnsi"/>
          </w:rPr>
          <w:t>https://op.europa.eu/fi/web/about-us/legal-notices/op_whoiswho</w:t>
        </w:r>
      </w:hyperlink>
      <w:r>
        <w:rPr>
          <w:rFonts w:asciiTheme="minorHAnsi" w:hAnsi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093C"/>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67795"/>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37E45"/>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fi-FI"/>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fi-FI"/>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fi-FI"/>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fi-FI"/>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fi-FI"/>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fi-FI"/>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fi-FI"/>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fi-FI"/>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fi-FI"/>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fi-FI"/>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fi-FI"/>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fi-FI"/>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fi-FI"/>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fi-FI"/>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 Type="http://schemas.openxmlformats.org/officeDocument/2006/relationships/customXml" Target="../customXml/item2.xml"/><Relationship Id="rId16" Type="http://schemas.openxmlformats.org/officeDocument/2006/relationships/hyperlink" Target="https://op.europa.eu/fi/web/about-us/privacy-statement" TargetMode="External"/><Relationship Id="rId20" Type="http://schemas.openxmlformats.org/officeDocument/2006/relationships/hyperlink" Target="https://www.eesc.europa.eu/en/general-contact-form?contact_person_group=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esc.europa.eu/fi/members-groups/members/members-and-ccmi-delega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fi/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A6WAAD5KZT2Q-235352946-5567</_dlc_DocId>
    <_dlc_DocIdUrl xmlns="1a33af13-4045-4f88-9d7b-618e30f79918">
      <Url>http://dm/eesc/2025/_layouts/15/DocIdRedir.aspx?ID=A6WAAD5KZT2Q-235352946-5567</Url>
      <Description>A6WAAD5KZT2Q-235352946-5567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Venalainen Eeva</DisplayName>
        <AccountId>1552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D40DC0AC-59CD-4DC6-85B5-6BB975031AA1}"/>
</file>

<file path=customXml/itemProps2.xml><?xml version="1.0" encoding="utf-8"?>
<ds:datastoreItem xmlns:ds="http://schemas.openxmlformats.org/officeDocument/2006/customXml" ds:itemID="{74A074BF-4010-4B1A-A798-2037320184EE}">
  <ds:schemaRefs>
    <ds:schemaRef ds:uri="http://schemas.microsoft.com/sharepoint/events"/>
  </ds:schemaRefs>
</ds:datastoreItem>
</file>

<file path=customXml/itemProps3.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4.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 jäseniä koskevien asiakirjojen hallinnointi</dc:title>
  <dc:creator/>
  <cp:keywords>EESC-2025-02938-00-00-ADMIN-TRA-EN</cp:keywords>
  <dc:description>Rapporteur: -  Original language: - EN Date of document: - 08/09/2025 Date of meeting: -  External documents: -  Administrator responsible: - M. LEPOUTTRE Koenraad Jan Gommaire</dc:description>
  <cp:lastModifiedBy/>
  <cp:revision>8</cp:revision>
  <cp:lastPrinted>2018-05-25T09:11:00Z</cp:lastPrinted>
  <dcterms:created xsi:type="dcterms:W3CDTF">2025-09-12T08:22:00Z</dcterms:created>
  <dcterms:modified xsi:type="dcterms:W3CDTF">2025-09-15T12:54:00Z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493fb6a1-cd4f-419a-ab8f-a4645b5b2fe3</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LT|a7ff5ce7-6123-4f68-865a-a57c31810414;EL|6d4f4d51-af9b-4650-94b4-4276bee85c91;MT|7df99101-6854-4a26-b53a-b88c0da02c26;PT|50ccc04a-eadd-42ae-a0cb-acaf45f812ba;LV|46f7e311-5d9f-4663-b433-18aeccb7ace7;EN|f2175f21-25d7-44a3-96da-d6a61b075e1b;NL|55c6556c-b4f4-441d-9acf-c498d4f838bd;SK|46d9fce0-ef79-4f71-b89b-cd6aa82426b8;HU|6b229040-c589-4408-b4c1-4285663d20a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32;#MT|7df99101-6854-4a26-b53a-b88c0da02c26;#30;#LT|a7ff5ce7-6123-4f68-865a-a57c31810414;#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35;#FI|87606a43-d45f-42d6-b8c9-e1a3457db5b7</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