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12020D50" w:rsidR="006C03A9" w:rsidRPr="002A7061" w:rsidRDefault="00B40943" w:rsidP="006C03A9">
      <w:pPr>
        <w:jc w:val="center"/>
        <w:rPr>
          <w:rFonts w:asciiTheme="minorHAnsi" w:hAnsiTheme="minorHAnsi" w:cstheme="minorHAnsi"/>
          <w:szCs w:val="22"/>
        </w:rPr>
      </w:pPr>
      <w:r>
        <w:rPr>
          <w:rFonts w:asciiTheme="minorHAnsi" w:hAnsiTheme="minorHAnsi"/>
          <w:noProof/>
        </w:rPr>
        <w:drawing>
          <wp:inline distT="0" distB="0" distL="0" distR="0" wp14:anchorId="418C19FD" wp14:editId="5622D995">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73C563E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ET</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Täisliikmete, CCMI volitatud esindajate ja asendusliikmete toimikute haldamine</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Andmekaitseteade</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Sissejuhatus</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Euroopa Majandus- ja Sotsiaalkomitee kohustub austama ja kaitsma Teie isikuandmeid kooskõlas </w:t>
      </w:r>
      <w:hyperlink r:id="rId12" w:history="1">
        <w:r>
          <w:rPr>
            <w:rStyle w:val="Hyperlink"/>
            <w:rFonts w:asciiTheme="minorHAnsi" w:hAnsiTheme="minorHAnsi"/>
            <w:sz w:val="22"/>
          </w:rPr>
          <w:t>määrusega (EL) 2018/1725</w:t>
        </w:r>
      </w:hyperlink>
      <w:r>
        <w:rPr>
          <w:rFonts w:asciiTheme="minorHAnsi" w:hAnsiTheme="minorHAnsi"/>
          <w:sz w:val="22"/>
        </w:rPr>
        <w:t xml:space="preserve"> (isikuandmete kaitse määrus).</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Teie isikuandmeid võidakse koguda ja töödelda halduseesmärkidel.</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Kes vastutab isikuandmete töötlemise eest?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Isikuandmete töötlemise eest vastutab (vastutava töötlejana) Euroopa Majandus- ja Sotsiaalkomitee. Vastutav talitus (delegeeritud vastutav töötleja) on </w:t>
      </w:r>
      <w:r>
        <w:rPr>
          <w:rFonts w:ascii="Calibri" w:hAnsi="Calibri"/>
        </w:rPr>
        <w:t>kantseleiteenuste ja õigusloomealase planeerimise osakond (</w:t>
      </w:r>
      <w:hyperlink r:id="rId13" w:history="1">
        <w:r>
          <w:rPr>
            <w:rStyle w:val="Hyperlink"/>
            <w:rFonts w:ascii="Calibri" w:hAnsi="Calibri"/>
          </w:rPr>
          <w:t>nominations-eesc@eesc.europa.eu</w:t>
        </w:r>
      </w:hyperlink>
      <w:r>
        <w:rPr>
          <w:rFonts w:ascii="Calibri" w:hAnsi="Calibri"/>
        </w:rP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Mis eesmärgil isikuandmeid töödeldakse?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 xml:space="preserve">Kõiki isikuandmeid, mille täisliikmed, CCMI volitatud esindajad ja asendusliikmed on esitanud kantseleiteenuste ja õigusloomealase planeerimise osakonnale (paberil või e-posti teel), säilitatakse </w:t>
      </w:r>
      <w:proofErr w:type="spellStart"/>
      <w:r>
        <w:rPr>
          <w:rFonts w:asciiTheme="minorHAnsi" w:hAnsiTheme="minorHAnsi"/>
        </w:rPr>
        <w:t>Agora</w:t>
      </w:r>
      <w:proofErr w:type="spellEnd"/>
      <w:r>
        <w:rPr>
          <w:rFonts w:asciiTheme="minorHAnsi" w:hAnsiTheme="minorHAnsi"/>
        </w:rPr>
        <w:t xml:space="preserve"> andmebaasis ning asjaomased </w:t>
      </w:r>
      <w:proofErr w:type="spellStart"/>
      <w:r>
        <w:rPr>
          <w:rFonts w:asciiTheme="minorHAnsi" w:hAnsiTheme="minorHAnsi"/>
        </w:rPr>
        <w:t>sisetalitused</w:t>
      </w:r>
      <w:proofErr w:type="spellEnd"/>
      <w:r>
        <w:rPr>
          <w:rFonts w:asciiTheme="minorHAnsi" w:hAnsiTheme="minorHAnsi"/>
        </w:rPr>
        <w:t xml:space="preserve"> kasutavad neid teabevahetuseks ja halduseesmärkidel, mis on seotud täisliikme, CCMI volitatud esindaja ja asendusliikme ülesannete täitmisega ning nende osalemisega komitee tegevuses.</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Milline on isikuandmete töötlemise õiguslik alus?</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Töötlemise õiguslik alus on määruse (EL) 2018/1725 artikli 5 lõike 1 punkt a: „[I]sikuandmete töötlemine on vajalik avalikes huvides oleva ülesande täitmiseks või liidu institutsiooni või organi avaliku võimu teostamiseks.“ Avalikes huvides on sellised töötlemistoimingud, mis on vajalikud ELi institutsioonide haldamiseks ja toimimiseks.</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Teatavate isikuandmete kategooriate puhul (vt allpool punkt 6.4) on õiguslik alus määruse (EL) 2018/1725 artikli 5 lõike 1 punkt d: „[A]</w:t>
      </w:r>
      <w:proofErr w:type="spellStart"/>
      <w:r>
        <w:rPr>
          <w:rFonts w:asciiTheme="minorHAnsi" w:hAnsiTheme="minorHAnsi"/>
          <w:shd w:val="clear" w:color="auto" w:fill="FFFFFF"/>
        </w:rPr>
        <w:t>ndmesubjekt</w:t>
      </w:r>
      <w:proofErr w:type="spellEnd"/>
      <w:r>
        <w:rPr>
          <w:rFonts w:asciiTheme="minorHAnsi" w:hAnsiTheme="minorHAnsi"/>
          <w:shd w:val="clear" w:color="auto" w:fill="FFFFFF"/>
        </w:rPr>
        <w:t xml:space="preserve"> on andnud nõusoleku oma isikuandmete töötlemiseks ühel või mitmel konkreetsel eesmärgil.“</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Milliseid isikuandmeid töödeldakse?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 xml:space="preserve">Kantseleiteenuste ja õigusloomealase planeerimise osakond sisestab </w:t>
      </w:r>
      <w:proofErr w:type="spellStart"/>
      <w:r>
        <w:rPr>
          <w:rFonts w:asciiTheme="minorHAnsi" w:hAnsiTheme="minorHAnsi"/>
        </w:rPr>
        <w:t>Agora</w:t>
      </w:r>
      <w:proofErr w:type="spellEnd"/>
      <w:r>
        <w:rPr>
          <w:rFonts w:asciiTheme="minorHAnsi" w:hAnsiTheme="minorHAnsi"/>
        </w:rPr>
        <w:t xml:space="preserve"> andmebaasi järgmised andmed, mida säilitatakse ka kaitstud SharePointi kaustades, millele juurdepääs on rangelt piiratud komitee kantseleiteenuste ja õigusloome planeerimise osakonna töötajatega:</w:t>
      </w:r>
    </w:p>
    <w:p w14:paraId="5A56AADA" w14:textId="77777777" w:rsidR="00C71316" w:rsidRPr="00BE5BE2" w:rsidRDefault="00C71316" w:rsidP="00A87B7C">
      <w:pPr>
        <w:keepNext/>
        <w:keepLines/>
        <w:numPr>
          <w:ilvl w:val="0"/>
          <w:numId w:val="32"/>
        </w:numPr>
        <w:spacing w:after="59" w:line="259" w:lineRule="auto"/>
        <w:ind w:left="1423" w:hanging="357"/>
        <w:jc w:val="left"/>
        <w:rPr>
          <w:rFonts w:asciiTheme="minorHAnsi" w:hAnsiTheme="minorHAnsi" w:cstheme="minorHAnsi"/>
        </w:rPr>
      </w:pPr>
      <w:r>
        <w:rPr>
          <w:rFonts w:asciiTheme="minorHAnsi" w:hAnsiTheme="minorHAnsi"/>
        </w:rPr>
        <w:t>perekonnanimi;</w:t>
      </w:r>
    </w:p>
    <w:p w14:paraId="49E550C6" w14:textId="77777777" w:rsidR="00C71316" w:rsidRPr="00BE5BE2" w:rsidRDefault="00C71316" w:rsidP="00A87B7C">
      <w:pPr>
        <w:keepNext/>
        <w:keepLines/>
        <w:numPr>
          <w:ilvl w:val="0"/>
          <w:numId w:val="32"/>
        </w:numPr>
        <w:spacing w:after="59" w:line="259" w:lineRule="auto"/>
        <w:ind w:left="1423" w:hanging="357"/>
        <w:jc w:val="left"/>
        <w:rPr>
          <w:rFonts w:asciiTheme="minorHAnsi" w:hAnsiTheme="minorHAnsi" w:cstheme="minorHAnsi"/>
        </w:rPr>
      </w:pPr>
      <w:r>
        <w:rPr>
          <w:rFonts w:asciiTheme="minorHAnsi" w:hAnsiTheme="minorHAnsi"/>
        </w:rPr>
        <w:t>eesnimi;</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pöördumistiitel;</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puue;</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sünniaeg</w:t>
      </w:r>
      <w:r w:rsidR="009472BA">
        <w:rPr>
          <w:rStyle w:val="FootnoteReference"/>
          <w:rFonts w:asciiTheme="minorHAnsi" w:hAnsiTheme="minorHAnsi" w:cstheme="minorHAnsi"/>
          <w:lang w:val="en-US"/>
        </w:rPr>
        <w:footnoteReference w:id="2"/>
      </w:r>
      <w:r>
        <w:rPr>
          <w:rFonts w:asciiTheme="minorHAnsi" w:hAnsiTheme="minorHAnsi"/>
        </w:rPr>
        <w:t>;</w:t>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esindatav riik;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ametikoht;</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ametivolituste liik;</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ametisse nimetamise kuupäev;</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ametivolituste lõppkuupäev;</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asendusliige;</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assistent.</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Liikmed sisestavad ise liikmete portaalis asuvas rubriigis „Minu paneel“ järgmised andmed:</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hädaolukorras teavitatav kontaktisik;</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tavaliselt kasutatav perekonnanimi;</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tavaliselt kasutatav eesnimi;</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sünniriik;</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sünnikoht</w:t>
      </w:r>
      <w:r>
        <w:rPr>
          <w:rFonts w:asciiTheme="minorHAnsi" w:hAnsiTheme="minorHAnsi"/>
          <w:vertAlign w:val="superscript"/>
        </w:rPr>
        <w:t>1</w:t>
      </w:r>
      <w:r>
        <w:rPr>
          <w:rFonts w:asciiTheme="minorHAnsi" w:hAnsiTheme="minorHAnsi"/>
        </w:rPr>
        <w:t>;</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elulookirjeldus;</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mittekonfidentsiaalne postiaadress;</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isiklik postiaadress</w:t>
      </w:r>
      <w:r>
        <w:rPr>
          <w:rFonts w:asciiTheme="minorHAnsi" w:hAnsiTheme="minorHAnsi"/>
          <w:vertAlign w:val="superscript"/>
        </w:rPr>
        <w:t>1</w:t>
      </w:r>
      <w:r>
        <w:rPr>
          <w:rFonts w:asciiTheme="minorHAnsi" w:hAnsiTheme="minorHAnsi"/>
        </w:rPr>
        <w:t>;</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kirjavahetuseks kasutatav e-posti aadress;</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isiklik e-posti aadress</w:t>
      </w:r>
      <w:r>
        <w:rPr>
          <w:rFonts w:asciiTheme="minorHAnsi" w:hAnsiTheme="minorHAnsi"/>
          <w:vertAlign w:val="superscript"/>
        </w:rPr>
        <w:t>1</w:t>
      </w:r>
      <w:r>
        <w:rPr>
          <w:rFonts w:asciiTheme="minorHAnsi" w:hAnsiTheme="minorHAnsi"/>
        </w:rPr>
        <w:t>;</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telefoninumbrid;</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keeleoskus;</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ametlikult teatatud elukoht (ei laeta </w:t>
      </w:r>
      <w:proofErr w:type="spellStart"/>
      <w:r>
        <w:rPr>
          <w:rFonts w:asciiTheme="minorHAnsi" w:hAnsiTheme="minorHAnsi"/>
        </w:rPr>
        <w:t>Agoras</w:t>
      </w:r>
      <w:proofErr w:type="spellEnd"/>
      <w:r>
        <w:rPr>
          <w:rFonts w:asciiTheme="minorHAnsi" w:hAnsiTheme="minorHAnsi"/>
        </w:rPr>
        <w:t xml:space="preserve"> üles, vaid salvestatakse kaitstud kausta);</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elukohatõend (ei laeta </w:t>
      </w:r>
      <w:proofErr w:type="spellStart"/>
      <w:r>
        <w:rPr>
          <w:rFonts w:asciiTheme="minorHAnsi" w:hAnsiTheme="minorHAnsi"/>
        </w:rPr>
        <w:t>Agoras</w:t>
      </w:r>
      <w:proofErr w:type="spellEnd"/>
      <w:r>
        <w:rPr>
          <w:rFonts w:asciiTheme="minorHAnsi" w:hAnsiTheme="minorHAnsi"/>
        </w:rPr>
        <w:t xml:space="preserve"> üles, vaid salvestatakse kaitstud kausta)</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erahuvide deklaratsioon (allkirjastamata – </w:t>
      </w:r>
      <w:proofErr w:type="spellStart"/>
      <w:r>
        <w:rPr>
          <w:rFonts w:asciiTheme="minorHAnsi" w:hAnsiTheme="minorHAnsi"/>
        </w:rPr>
        <w:t>Agoras</w:t>
      </w:r>
      <w:proofErr w:type="spellEnd"/>
      <w:r>
        <w:rPr>
          <w:rFonts w:asciiTheme="minorHAnsi" w:hAnsiTheme="minorHAnsi"/>
        </w:rPr>
        <w:t>, allkirjastatud deklaratsiooni säilitatakse kaitstud kaustas);</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dokumentide väljatrükkimise eelistused;</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veebilehed;</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sotsiaalmeedia kontod;</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blogid;</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ühendused;</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huvivaldkonnad;</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privaatsusseaded;</w:t>
      </w:r>
    </w:p>
    <w:p w14:paraId="12D4A25F" w14:textId="67D1AE04"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teavitamisvalikud;</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õiguste delegeerimine;</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elulugu.</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Kõiki dokumente, mille täisliikmed, CCMI volitatud esindajad ja asendusliikmed esitavad kantseleiteenuste ja õigusloome planeerimise osakonnale (paberil või e-posti teel), säilitatakse kaitstud SharePointi kaustades, millele juurdepääs on rangelt piiratud komitee kantseleiteenuste ja õigusloome planeerimise osakonna töötajatega:</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ametiaja alguses täidetav vorm (küsimustik);</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elulookirjeldus;</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isikutunnistus või pass;</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allkirjastatud erahuvide deklaratsioon;</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avaldus ametliku elukoha kohta;</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juriidilise isiku vorm;</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finantsteabe vorm.</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Kes on Teie isikuandmete saajad või millised on saajate kategooriad?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Teie isikuandmetele pääsevad teadmisvajaduse alusel juurde kantseleiteenuste ja õigusloome planeerimise osakonna liikmed.</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Järgmised andmed on kättesaadavad järgmistele komitee osakondadele:</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perekonnanimi, eesnimi, sugu, pöördumistiitel, kodakondsus, päritolukoht, keeleoskus, dokumentide väljatrükkimise eelistused, mittekonfidentsiaalne aadress, koosolekute kalender, konfidentsiaalne e-posti aadress, elulookirjeldus, sünniaeg, mittekonfidentsiaalne telefoni- ja mobiiltelefoninumber;</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perekonnanimi, eesnimi, sugu, pöördumistiitel, mittekonfidentsiaalsed aadressid, konfidentsiaalne e-posti aadress, mittekonfidentsiaalne telefoni- ja mobiiltelefoninumber, koosolekute kalender ja elulookirjeldus;</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SG.B.1_REX, SG.B.2_TEN, SG.B.3_NAT, SG.B.4_FSA, SG.C.1_ECO, SG.C.2_SOC, SG.C.3_INT: perekonnanimi, eesnimi, sugu, pöördumistiitel, mittekonfidentsiaalne aadress, konfidentsiaalne e-posti aadress, rühma kuulumine, kodakondsus, päritolukoht, keeleoskus, dokumentide väljatrükkimise eelistused, koosolekute kalender, tegevused, komitee tööorganite koosseisu kuulumine, elulookirjeldus, foto, mittekonfidentsiaalne mobiiltelefoninumber;</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perekonnanimi, eesnimi, sugu, pöördumistiitel, mittekonfidentsiaalne aadress, konfidentsiaalne e-posti aadress, kodakondsus, päritolukoht, keeleoskus, dokumentide väljatrükkimise eelistused, koosolekute kalender, tegevused, huvid, komitee kategooriatesse kuulumine, elulookirjeldus, foto, mittekonfidentsiaalne mobiiltelefoninumber;</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SG.D: SG.D.ICD, SG.D.1_PRE, SG.D.3_INF, SG.D.4_REL, SG.D.5_CSS: perekonnanimi, eesnimi, sugu, pöördumistiitel, kodakondsus, päritolukoht, komitee hoonetes viibimise kuupäevad, liikme kontaktandmed, liikme tehtav töö, keeleoskus, dokumentide väljatrükkimise eelistused, foto, koosolekute kalender;</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perekonnanimi, eesnimi, sugu, pöördumistiitel, mittekonfidentsiaalne telefoninumber, konfidentsiaalne telefoninumber, mittekonfidentsiaalne mobiiltelefoninumber, konfidentsiaalne mobiiltelefoninumber;</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perekonnanimi, eesnimi, sugu, pöördumistiitel;</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perekonnanimi, eesnimi, sugu, pöördumistiitel, kodakondsus, telefoniliinide eraldamine, mittekonfidentsiaalsed ja konfidentsiaalsed mobiiltelefoninumbrid.</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Järgmised andmed avaldatakse liikmete portaalis ja on liikmete portaali kaudu konkreetse liikme leheküljel kõigile kättesaadavad:</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tavaliselt kasutatav perekonnanimi, tavaliselt kasutatav eesnimi, ametivolituste liik, ametivolituste algus, esindatav riik, ametikoht koduriigi organisatsioonis, rühmadesse ja sektsioonidesse kuulumine, koduriigi organisatsiooni(</w:t>
      </w:r>
      <w:proofErr w:type="spellStart"/>
      <w:r>
        <w:rPr>
          <w:rFonts w:asciiTheme="minorHAnsi" w:hAnsiTheme="minorHAnsi"/>
        </w:rPr>
        <w:t>desse</w:t>
      </w:r>
      <w:proofErr w:type="spellEnd"/>
      <w:r>
        <w:rPr>
          <w:rFonts w:asciiTheme="minorHAnsi" w:hAnsiTheme="minorHAnsi"/>
        </w:rPr>
        <w:t>) kuulumine, allkirjastamata erahuvide deklaratsioon.</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Järgmised andmed avaldatakse ainult siis, kui selleks on antud nõusolek (täisliikmed, CCMI volitatud esindajad või asendusliikmed võivad valida iga andmekategooria eraldi), ning andmed on kättesaadavad liikmete portaali kaudu konkreetse liikme leheküljel:</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mittekonfidentsiaalne telefoninumber, mittekonfidentsiaalne mobiiltelefoninumber, mittekonfidentsiaalne faksinumber, mittekonfidentsiaalne e-posti aadress, mittekonfidentsiaalne aadress, veebisaidid, blogid, sotsiaalmeedia kontod, foto, sünniaeg, keeleoskus, dokumentide väljatrükkimise eelistused, asendusliige, tegevus komitees, ühendused, huvivaldkonnad, õiguste delegeerimine, elulugu.</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Ametiajal võidakse kasutada teatavaid põhiisikuandmeid</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Euroopa Majandus- ja Sotsiaalkomitee teatmikus;</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rPr>
          <w:rFonts w:asciiTheme="minorHAnsi" w:hAnsiTheme="minorHAnsi"/>
        </w:rPr>
        <w:t xml:space="preserve">komitee väljaannetes, uudiskirjades, videotoodetes ja </w:t>
      </w:r>
      <w:r>
        <w:t>esitlustes</w:t>
      </w:r>
      <w:r>
        <w:rPr>
          <w:rFonts w:asciiTheme="minorHAnsi" w:hAnsiTheme="minorHAnsi"/>
        </w:rPr>
        <w:t xml:space="preserve"> ning komitee veebisaidil;</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liikmete portaalis;</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 xml:space="preserve">infokataloogis „EU </w:t>
      </w:r>
      <w:proofErr w:type="spellStart"/>
      <w:r>
        <w:rPr>
          <w:rFonts w:asciiTheme="minorHAnsi" w:hAnsiTheme="minorHAnsi"/>
        </w:rPr>
        <w:t>Whoiswho</w:t>
      </w:r>
      <w:proofErr w:type="spellEnd"/>
      <w:r>
        <w:rPr>
          <w:rFonts w:asciiTheme="minorHAnsi" w:hAnsiTheme="minorHAnsi"/>
        </w:rPr>
        <w:t>“ (Euroopa Liidu ametlik infokataloog, milles esitatakse kõigi ELi institutsioonide ja organite isikkoosseisu kontaktandmed)</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 xml:space="preserve">„EU </w:t>
      </w:r>
      <w:proofErr w:type="spellStart"/>
      <w:r>
        <w:rPr>
          <w:rFonts w:asciiTheme="minorHAnsi" w:hAnsiTheme="minorHAnsi"/>
        </w:rPr>
        <w:t>Whoiswho</w:t>
      </w:r>
      <w:proofErr w:type="spellEnd"/>
      <w:r>
        <w:rPr>
          <w:rFonts w:asciiTheme="minorHAnsi" w:hAnsiTheme="minorHAnsi"/>
        </w:rPr>
        <w:t>“ on ELi institutsioonide ametlik infokataloog, milles esitatakse kõigi ELi institutsioonide ja organite isikkoosseisu kontaktandmed. Infokataloog on kättesaadav veebiversioonis ning see avaldatakse ka e- ja paberraamatuna.</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Väljaannete talituse hallatav avatud andmete portaal annab juurdepääsu liikmete andmetele, mis on avaldatud liikmete portaalis konkreetse liikme leheküljel.</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Teie andmed (organisatsioon/institutsioon, institutsiooni aadress, kodulehekülg, pöördumistiitel, perekonna- ja eesnimi, foto, ametiülesanded komitees, esindatav riik, kohalik mandaat, telefoninumber ja e-posti aadress, kuulumine komitee organitesse) edastatakse väljaannete talitusele eesmärgiga avaldada need infokataloogis „EU </w:t>
      </w:r>
      <w:proofErr w:type="spellStart"/>
      <w:r>
        <w:rPr>
          <w:rFonts w:asciiTheme="minorHAnsi" w:hAnsiTheme="minorHAnsi"/>
        </w:rPr>
        <w:t>Whoiswho</w:t>
      </w:r>
      <w:proofErr w:type="spellEnd"/>
      <w:r>
        <w:rPr>
          <w:rFonts w:asciiTheme="minorHAnsi" w:hAnsiTheme="minorHAnsi"/>
        </w:rPr>
        <w:t xml:space="preserve">“ (ELi institutsioonide ametlik infokataloog, milles esitatakse kõigi ELi institutsioonide ja organite isikkoosseisu kontaktandmed), mis on kättesaadav veebiversioonis ning avaldatakse ka e- ja paberraamatuna. Teie foto, kui see on kättesaadav, avaldatakse infokataloogi „EU </w:t>
      </w:r>
      <w:proofErr w:type="spellStart"/>
      <w:r>
        <w:rPr>
          <w:rFonts w:asciiTheme="minorHAnsi" w:hAnsiTheme="minorHAnsi"/>
        </w:rPr>
        <w:t>Whoiswho</w:t>
      </w:r>
      <w:proofErr w:type="spellEnd"/>
      <w:r>
        <w:rPr>
          <w:rFonts w:asciiTheme="minorHAnsi" w:hAnsiTheme="minorHAnsi"/>
        </w:rPr>
        <w:t xml:space="preserve">“ elektroonilises versioonis. Infokataloogi paberversioonis avaldatakse vaid presidendi ja asepresidentide fotod.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884F02" w:rsidP="00612087">
      <w:pPr>
        <w:overflowPunct/>
        <w:textAlignment w:val="auto"/>
        <w:rPr>
          <w:rFonts w:asciiTheme="minorHAnsi" w:eastAsiaTheme="minorHAnsi" w:hAnsiTheme="minorHAnsi" w:cstheme="minorHAnsi"/>
          <w:szCs w:val="22"/>
        </w:rPr>
      </w:pPr>
      <w:hyperlink r:id="rId14">
        <w:r w:rsidR="00612087">
          <w:rPr>
            <w:rFonts w:asciiTheme="minorHAnsi" w:hAnsiTheme="minorHAnsi"/>
            <w:color w:val="0000FF"/>
            <w:u w:val="single"/>
          </w:rPr>
          <w:t>Väljaannete talituse hallatav veebisait</w:t>
        </w:r>
      </w:hyperlink>
      <w:r w:rsidR="00612087">
        <w:rPr>
          <w:rFonts w:asciiTheme="minorHAnsi" w:hAnsiTheme="minorHAnsi"/>
          <w:color w:val="000000"/>
        </w:rPr>
        <w:t xml:space="preserve"> annab juurdepääsu ka liikmete andmetele, mis on avaldatud</w:t>
      </w:r>
      <w:r w:rsidR="00612087">
        <w:t xml:space="preserve"> </w:t>
      </w:r>
      <w:hyperlink r:id="rId15">
        <w:r w:rsidR="00612087">
          <w:rPr>
            <w:rFonts w:asciiTheme="minorHAnsi" w:hAnsiTheme="minorHAnsi"/>
            <w:color w:val="0000FF"/>
            <w:u w:val="single"/>
          </w:rPr>
          <w:t>komitee veebisaidil</w:t>
        </w:r>
      </w:hyperlink>
      <w:r w:rsidR="00612087">
        <w:rPr>
          <w:rFonts w:asciiTheme="minorHAnsi" w:hAnsiTheme="minorHAnsi"/>
          <w:color w:val="000000"/>
        </w:rPr>
        <w:t xml:space="preserve"> liikmete lehekülgedel.</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Üksikasjalikuma teabe saamiseks oma isikuandmete töötlemise kohta väljaannete talituses vaadake järgmist dokumenti:</w:t>
      </w:r>
    </w:p>
    <w:p w14:paraId="1FFE3AF4" w14:textId="234E9FEE" w:rsidR="002A7061" w:rsidRDefault="00612087" w:rsidP="00B354A2">
      <w:pPr>
        <w:spacing w:after="3" w:line="263" w:lineRule="auto"/>
        <w:ind w:left="560"/>
        <w:jc w:val="left"/>
      </w:pPr>
      <w:r>
        <w:rPr>
          <w:rFonts w:asciiTheme="minorHAnsi" w:hAnsiTheme="minorHAnsi"/>
          <w:u w:val="single"/>
        </w:rPr>
        <w:t>ELi Väljaannete Talitus</w:t>
      </w:r>
      <w:r>
        <w:rPr>
          <w:rFonts w:asciiTheme="minorHAnsi" w:hAnsiTheme="minorHAnsi"/>
        </w:rPr>
        <w:t xml:space="preserve">: </w:t>
      </w:r>
      <w:hyperlink r:id="rId16" w:history="1">
        <w:r>
          <w:rPr>
            <w:rFonts w:asciiTheme="minorHAnsi" w:hAnsiTheme="minorHAnsi"/>
            <w:color w:val="0000FF"/>
            <w:u w:val="single"/>
          </w:rPr>
          <w:t>isikuandmete kaitse avaldus</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Kas Teie isikuandmed edastatakse mõnele kolmandale riigile või rahvusvahelisele organisatsioonile?</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Teie isikuandmeid ei edastata ELi/EMP-</w:t>
      </w:r>
      <w:proofErr w:type="spellStart"/>
      <w:r>
        <w:rPr>
          <w:rFonts w:asciiTheme="minorHAnsi" w:hAnsiTheme="minorHAnsi"/>
          <w:shd w:val="clear" w:color="auto" w:fill="FFFFFF"/>
        </w:rPr>
        <w:t>sse</w:t>
      </w:r>
      <w:proofErr w:type="spellEnd"/>
      <w:r>
        <w:rPr>
          <w:rFonts w:asciiTheme="minorHAnsi" w:hAnsiTheme="minorHAnsi"/>
          <w:shd w:val="clear" w:color="auto" w:fill="FFFFFF"/>
        </w:rPr>
        <w:t xml:space="preserve"> mittekuuluvatele riikidele ega rahvusvahelistele organisatsioonidele.</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Kuidas Te saate oma õigusi kasutada?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Teil on õigus tutvuda oma isikuandmetega, parandada ja täiendada ebatäpseid ja mittetäielikke andmeid, piirata (teatud tingimustel) oma isikuandmete töötlemist, nõuda oma isikuandmete kustutamist (kui neid on töödeldud ebaseaduslikult) ja asjakohasel juhul andmeid üle kanda. Teil on igal ajal õigus olla vastu oma andmete töötlemisele oma konkreetse olukorraga seotud põhjustel.</w:t>
      </w:r>
    </w:p>
    <w:p w14:paraId="2891715A" w14:textId="4FE4D93C" w:rsidR="002A7061" w:rsidRPr="008C14F9" w:rsidRDefault="002A7061" w:rsidP="004D3F24">
      <w:pPr>
        <w:pStyle w:val="Style1"/>
      </w:pPr>
      <w:r>
        <w:t xml:space="preserve">Päringud esitage kantseleiteenuste ja õigusloome planeerimise osakonnale aadressil </w:t>
      </w:r>
      <w:proofErr w:type="spellStart"/>
      <w:r>
        <w:t>Rue</w:t>
      </w:r>
      <w:proofErr w:type="spellEnd"/>
      <w:r>
        <w:t xml:space="preserve"> </w:t>
      </w:r>
      <w:proofErr w:type="spellStart"/>
      <w:r>
        <w:t>Belliard</w:t>
      </w:r>
      <w:proofErr w:type="spellEnd"/>
      <w:r>
        <w:t xml:space="preserve"> / </w:t>
      </w:r>
      <w:proofErr w:type="spellStart"/>
      <w:r>
        <w:t>Belliardstraat</w:t>
      </w:r>
      <w:proofErr w:type="spellEnd"/>
      <w:r>
        <w:t xml:space="preserve"> 99, 1040 Bruxelles/</w:t>
      </w:r>
      <w:proofErr w:type="spellStart"/>
      <w:r>
        <w:t>Brussel</w:t>
      </w:r>
      <w:proofErr w:type="spellEnd"/>
      <w:r>
        <w:t xml:space="preserve"> (</w:t>
      </w:r>
      <w:hyperlink r:id="rId17" w:history="1">
        <w:r>
          <w:rPr>
            <w:rStyle w:val="Hyperlink"/>
          </w:rPr>
          <w:t>nominations-eesc@eesc.europa.eu</w:t>
        </w:r>
      </w:hyperlink>
      <w:r>
        <w:t>). Teie päringut menetletakse võimalikult kiiresti ja igal juhul ühe kuu jooksul alates taotluse saamisest. Vajaduse korral võib seda perioodi pikendada kahe kuu võrra.</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Kui leiate, et Teie isikuandmete töötlemisega komitees on rikutud Teile isikuandmete kaitse määrusega antud õigusi, on Teil õigus pöörduda </w:t>
      </w:r>
      <w:hyperlink r:id="rId18" w:history="1">
        <w:r>
          <w:rPr>
            <w:rStyle w:val="Hyperlink"/>
          </w:rPr>
          <w:t>Euroopa Andmekaitseinspektori</w:t>
        </w:r>
      </w:hyperlink>
      <w:r>
        <w:t xml:space="preserve"> poole.</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Kui kaua Teie isikuandmeid säilitatakse?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Komitee registreeritud dokumentides sisalduvaid isikuandmeid säilitatakse avalikes huvides toimuva arhiveerimise eesmärgil määruse (EL) 2018/1725 artikli 4 lõike 1 punkti e tähenduses, võimalikel ajaloo jäädvustamise eesmärkidel (nt selleks, et tõendada komitee olulisele ametikohale (nagu president või asepresident) või mujal asuvale olulisele ametikohale nimetatava liikme pikaajalist kuulumist teatava organi koosseisu) ja võimalikel statistilistel eesmärkidel.</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Kas kogutud isikuandmeid kasutatakse automatiseeritud otsuste tegemiseks, sh profiilianalüüsiks?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Komitee ei kasuta Teie isikuandmeid Teie kohta automatiseeritud otsuste tegemiseks. Automatiseeritud otsused on otsused, mis tehakse inimese osaluseta.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Kas Teie isikuandmeid töödeldakse lisaks mõnel muul eesmärgil kui sellel, milleks need andmed algselt koguti?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Teie isikuandmeid ei töödelda muudel eesmärkidel.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Kelle poole võite küsimuste või kaebuste korral pöörduda? </w:t>
      </w:r>
    </w:p>
    <w:p w14:paraId="4D1FAA24" w14:textId="5EEF855C" w:rsidR="00C56472" w:rsidRPr="008C14F9" w:rsidRDefault="002A7061" w:rsidP="004D3F24">
      <w:pPr>
        <w:pStyle w:val="Style1"/>
      </w:pPr>
      <w:r>
        <w:t>Kui Teil on lisaküsimusi oma isikuandmete töötlemise kohta, võtke palun esmalt ühendust vastutava töötlejaga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Samuti võite igal ajal ühendust võtta Euroopa Majandus- ja Sotsiaalkomitee andmekaitseametnikuga (</w:t>
      </w:r>
      <w:r>
        <w:rPr>
          <w:color w:val="000000"/>
        </w:rPr>
        <w:t xml:space="preserve">kasutades asjakohast </w:t>
      </w:r>
      <w:hyperlink r:id="rId20" w:history="1">
        <w:r>
          <w:rPr>
            <w:rStyle w:val="Hyperlink"/>
          </w:rPr>
          <w:t>kontaktvormi</w:t>
        </w:r>
      </w:hyperlink>
      <w:r>
        <w:t>) ja/või Euroopa Andmekaitseinspektoriga (</w:t>
      </w:r>
      <w:hyperlink r:id="rId21" w:tgtFrame="_blank" w:history="1">
        <w:r>
          <w:rPr>
            <w:color w:val="0000FF"/>
            <w:u w:val="single"/>
          </w:rPr>
          <w:t>kontaktvorm</w:t>
        </w:r>
      </w:hyperlink>
      <w:r>
        <w:t>).</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884F02">
      <w:fldChar w:fldCharType="begin"/>
    </w:r>
    <w:r w:rsidR="00884F02">
      <w:instrText xml:space="preserve"> NUMPAGES </w:instrText>
    </w:r>
    <w:r w:rsidR="00884F02">
      <w:fldChar w:fldCharType="separate"/>
    </w:r>
    <w:r w:rsidR="00553CB0">
      <w:t>6</w:t>
    </w:r>
    <w:r w:rsidR="00884F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 xml:space="preserve"> </w:t>
      </w:r>
      <w:r>
        <w:tab/>
      </w:r>
      <w:r>
        <w:rPr>
          <w:rFonts w:asciiTheme="minorHAnsi" w:hAnsiTheme="minorHAnsi"/>
        </w:rPr>
        <w:t>Üksnes sisemiseks administratiivseks töötlemiseks mõeldud andmed.</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 xml:space="preserve">Lisateavet ametlikus infokataloogis „EU </w:t>
      </w:r>
      <w:proofErr w:type="spellStart"/>
      <w:r>
        <w:rPr>
          <w:rFonts w:asciiTheme="minorHAnsi" w:hAnsiTheme="minorHAnsi"/>
        </w:rPr>
        <w:t>Whoiswho</w:t>
      </w:r>
      <w:proofErr w:type="spellEnd"/>
      <w:r>
        <w:rPr>
          <w:rFonts w:asciiTheme="minorHAnsi" w:hAnsiTheme="minorHAnsi"/>
        </w:rPr>
        <w:t xml:space="preserve">“ avaldatud isikuandmete töötlemise kohta leiate asjakohasest andmekaitseteatest aadressil </w:t>
      </w:r>
      <w:hyperlink r:id="rId1" w:history="1">
        <w:r>
          <w:rPr>
            <w:rStyle w:val="Hyperlink"/>
            <w:rFonts w:asciiTheme="minorHAnsi" w:hAnsiTheme="minorHAnsi"/>
          </w:rPr>
          <w:t>https://op.europa.eu/en/web/about-us/legal-notices/op_whoiswho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22EE8"/>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87B7C"/>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0943"/>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t-EE"/>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t-EE"/>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t-EE"/>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t-EE"/>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t-EE"/>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t-EE"/>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t-EE"/>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t-EE"/>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t-EE"/>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t-EE"/>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t-EE"/>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t-EE"/>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t-EE"/>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t-EE"/>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data.europa.eu/eli/reg/2018/1725/oj"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et/web/about-us/privacy-statement" TargetMode="External"/><Relationship Id="rId20" Type="http://schemas.openxmlformats.org/officeDocument/2006/relationships/hyperlink" Target="https://www.eesc.europa.eu/et/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en/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A6WAAD5KZT2Q-235352946-5634</_dlc_DocId>
    <_dlc_DocIdUrl xmlns="1a33af13-4045-4f88-9d7b-618e30f79918">
      <Url>http://dm/eesc/2025/_layouts/15/DocIdRedir.aspx?ID=A6WAAD5KZT2Q-235352946-5634</Url>
      <Description>A6WAAD5KZT2Q-235352946-5634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Veermäe Ülle</DisplayName>
        <AccountId>1582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2.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3.xml><?xml version="1.0" encoding="utf-8"?>
<ds:datastoreItem xmlns:ds="http://schemas.openxmlformats.org/officeDocument/2006/customXml" ds:itemID="{8F7A63EC-E764-4ED3-BF7E-0EF5B045B577}"/>
</file>

<file path=customXml/itemProps4.xml><?xml version="1.0" encoding="utf-8"?>
<ds:datastoreItem xmlns:ds="http://schemas.openxmlformats.org/officeDocument/2006/customXml" ds:itemID="{74A074BF-4010-4B1A-A798-2037320184EE}">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Andmekaitseteade: Täisliikmete, CCMI volitatud esindajate ja asendusliikmete toimikute haldamine</dc:title>
  <dc:creator/>
  <cp:keywords>EESC-2025-02938-00-00-ADMIN-TRA-EN</cp:keywords>
  <dc:description>Rapporteur: -  Original language: - EN Date of document: - 08/09/2025 Date of meeting: -  External documents: -  Administrator responsible: - M. LEPOUTTRE Koenraad Jan Gommaire</dc:description>
  <cp:lastModifiedBy/>
  <cp:revision>8</cp:revision>
  <cp:lastPrinted>2018-05-25T09:11:00Z</cp:lastPrinted>
  <dcterms:created xsi:type="dcterms:W3CDTF">2025-09-12T08:22:00Z</dcterms:created>
  <dcterms:modified xsi:type="dcterms:W3CDTF">2025-09-15T15:17:00Z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a8dcf0e3-a065-4ae0-a9a8-945098b4dc3e</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HR|2f555653-ed1a-4fe6-8362-9082d95989e5;CS|72f9705b-0217-4fd3-bea2-cbc7ed80e26e;DE|f6b31e5a-26fa-4935-b661-318e46daf27e;RO|feb747a2-64cd-4299-af12-4833ddc30497;ES|e7a6b05b-ae16-40c8-add9-68b64b03aeba;SL|98a412ae-eb01-49e9-ae3d-585a81724cfc;IT|0774613c-01ed-4e5d-a25d-11d2388de825;GA|762d2456-c427-4ecb-b312-af3dad8e258c;SV|c2ed69e7-a339-43d7-8f22-d93680a92aa0;LT|a7ff5ce7-6123-4f68-865a-a57c31810414;EL|6d4f4d51-af9b-4650-94b4-4276bee85c91;DA|5d49c027-8956-412b-aa16-e85a0f96ad0e;MT|7df99101-6854-4a26-b53a-b88c0da02c26;PT|50ccc04a-eadd-42ae-a0cb-acaf45f812ba;FI|87606a43-d45f-42d6-b8c9-e1a3457db5b7;LV|46f7e311-5d9f-4663-b433-18aeccb7ace7;EN|f2175f21-25d7-44a3-96da-d6a61b075e1b;BG|1a1b3951-7821-4e6a-85f5-5673fc08bd2c;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50;#HR|2f555653-ed1a-4fe6-8362-9082d95989e5;#47;#BG|1a1b3951-7821-4e6a-85f5-5673fc08bd2c;#46;#SK|46d9fce0-ef79-4f71-b89b-cd6aa82426b8;#43;#GA|762d2456-c427-4ecb-b312-af3dad8e258c;#42;#EL|6d4f4d51-af9b-4650-94b4-4276bee85c91;#40;#DA|5d49c027-8956-412b-aa16-e85a0f96ad0e;#39;#LV|46f7e311-5d9f-4663-b433-18aeccb7ace7;#37;#HU|6b229040-c589-4408-b4c1-4285663d20a8;#36;#RO|feb747a2-64cd-4299-af12-4833ddc30497;#35;#FI|87606a43-d45f-42d6-b8c9-e1a3457db5b7;#34;#IT|0774613c-01ed-4e5d-a25d-11d2388de825;#33;#PT|50ccc04a-eadd-42ae-a0cb-acaf45f812ba;#32;#MT|7df99101-6854-4a26-b53a-b88c0da02c26;#31;#SL|98a412ae-eb01-49e9-ae3d-585a81724cfc;#30;#LT|a7ff5ce7-6123-4f68-865a-a57c31810414;#29;#CS|72f9705b-0217-4fd3-bea2-cbc7ed80e26e;#28;#SV|c2ed69e7-a339-43d7-8f22-d93680a92aa0;#27;#NL|55c6556c-b4f4-441d-9acf-c498d4f838bd;#24;#PL|1e03da61-4678-4e07-b136-b5024ca9197b;#23;#DE|f6b31e5a-26fa-4935-b661-318e46daf27e;#22;#ADMIN|58d8ac89-e690-41f6-a5e8-508fa4a7c73c;#16;#ES|e7a6b05b-ae16-40c8-add9-68b64b03aeba;#13;#TRA|150d2a88-1431-44e6-a8ca-0bb753ab8672;#8;#Final|ea5e6674-7b27-4bac-b091-73adbb394efe;#6;#Internal|2451815e-8241-4bbf-a22e-1ab710712bf2;#5;#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41;#ET|ff6c3f4c-b02c-4c3c-ab07-2c37995a7a0a</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