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08A71944" w:rsidR="006C03A9" w:rsidRPr="002A7061" w:rsidRDefault="008B0EC4" w:rsidP="006C03A9">
      <w:pPr>
        <w:jc w:val="center"/>
        <w:rPr>
          <w:rFonts w:asciiTheme="minorHAnsi" w:hAnsiTheme="minorHAnsi" w:cstheme="minorHAnsi"/>
          <w:szCs w:val="22"/>
        </w:rPr>
      </w:pPr>
      <w:r>
        <w:rPr>
          <w:rFonts w:asciiTheme="minorHAnsi" w:hAnsiTheme="minorHAnsi"/>
          <w:noProof/>
        </w:rPr>
        <w:drawing>
          <wp:inline distT="0" distB="0" distL="0" distR="0" wp14:anchorId="1B30EF1C" wp14:editId="7EBF36D2">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0D810CA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Gestión de los expedientes de los miembros, los delegados de la CCMI y los suplentes</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Aviso de protección de datos</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Introducción</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El Comité Económico y Social Europeo (CESE) se compromete a respetar y proteger sus datos personales de conformidad con el </w:t>
      </w:r>
      <w:hyperlink r:id="rId12" w:history="1">
        <w:r w:rsidRPr="008B46B9">
          <w:rPr>
            <w:rStyle w:val="Hyperlink"/>
            <w:rFonts w:asciiTheme="minorHAnsi" w:hAnsiTheme="minorHAnsi"/>
            <w:sz w:val="22"/>
          </w:rPr>
          <w:t>Reglamento (UE</w:t>
        </w:r>
        <w:r w:rsidRPr="008B46B9">
          <w:rPr>
            <w:rStyle w:val="Hyperlink"/>
            <w:rFonts w:asciiTheme="minorHAnsi" w:hAnsiTheme="minorHAnsi"/>
            <w:sz w:val="22"/>
          </w:rPr>
          <w:t>)</w:t>
        </w:r>
        <w:r w:rsidRPr="008B46B9">
          <w:rPr>
            <w:rStyle w:val="Hyperlink"/>
            <w:rFonts w:asciiTheme="minorHAnsi" w:hAnsiTheme="minorHAnsi"/>
            <w:sz w:val="22"/>
          </w:rPr>
          <w:t xml:space="preserve"> 2018/1725</w:t>
        </w:r>
      </w:hyperlink>
      <w:r>
        <w:rPr>
          <w:rFonts w:asciiTheme="minorHAnsi" w:hAnsiTheme="minorHAnsi"/>
          <w:sz w:val="22"/>
        </w:rPr>
        <w:t xml:space="preserve"> (RPDUE)</w:t>
      </w:r>
      <w:r w:rsidRPr="00990E67">
        <w:rPr>
          <w:rFonts w:ascii="Calibri" w:hAnsi="Calibri"/>
        </w:rPr>
        <w:t>.</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Sus datos personales podrán recogerse y tratarse con fines administrativos.</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¿Quién es responsable del tratamiento de los datos personales?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Como órgano de control, el CESE es responsable del tratamiento de los datos personales. </w:t>
      </w:r>
      <w:r w:rsidRPr="00990E67">
        <w:rPr>
          <w:rFonts w:ascii="Calibri" w:hAnsi="Calibri"/>
        </w:rPr>
        <w:t xml:space="preserve">El servicio responsable (responsable delegado del tratamiento) es la </w:t>
      </w:r>
      <w:r>
        <w:rPr>
          <w:rFonts w:ascii="Calibri" w:hAnsi="Calibri"/>
        </w:rPr>
        <w:t>Unidad de Secretaría y Planificación Legislativa</w:t>
      </w:r>
      <w:r w:rsidRPr="00990E67">
        <w:rPr>
          <w:rFonts w:ascii="Calibri" w:hAnsi="Calibri"/>
        </w:rPr>
        <w:t xml:space="preserve"> (</w:t>
      </w:r>
      <w:hyperlink r:id="rId13" w:history="1">
        <w:r>
          <w:rPr>
            <w:rStyle w:val="Hyperlink"/>
            <w:rFonts w:ascii="Calibri" w:hAnsi="Calibri"/>
          </w:rPr>
          <w:t>nominations-eesc@eesc.europa.eu</w:t>
        </w:r>
      </w:hyperlink>
      <w:r w:rsidRPr="00990E67">
        <w:rPr>
          <w:rFonts w:ascii="Calibri" w:hAnsi="Calibr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¿Qué objetivo persigue el tratamiento?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Todos los datos personales facilitados a la Unidad de Secretaría y Planificación Legislativa (en papel o por correo electrónico) por los miembros, los delegados de la CCMI y los suplentes se guardan en la base de datos de Agora y son utilizados por los servicios internos competentes con fines de comunicación y administrativos relacionados con el ejercicio de sus funciones como miembros, delegados de la CCMI y suplentes, así como con su participación en las actividades del Comité.</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¿Cuál es la base jurídica del tratamiento?</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La base jurídica del tratamiento es el artículo 5, apartado 1, letra a), del Reglamento (UE) 2018/1725: «el tratamiento es necesario para el cumplimiento de una función realizada en interés público o en el ejercicio de potestades públicas conferidas a las instituciones y organismos de la Unión». El «interés público» incluye las operaciones de tratamiento necesarias para la gestión y el funcionamiento de las instituciones europeas.</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Para determinadas categorías de datos personales (véase el punto 6.4), la base jurídica es el artículo 5, apartado 1, letra d), del Reglamento (UE) 2018/1725: «el interesado ha prestado su consentimiento para el tratamiento de sus datos personales para uno o varios fines específicos».</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667772">
      <w:pPr>
        <w:keepNext/>
        <w:keepLines/>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 xml:space="preserve">¿Qué datos personales se tratan? </w:t>
      </w:r>
    </w:p>
    <w:p w14:paraId="4B92E8BD" w14:textId="2B190305" w:rsidR="002A7061" w:rsidRPr="002A7061" w:rsidRDefault="002A7061" w:rsidP="00667772">
      <w:pPr>
        <w:keepNext/>
        <w:keepLines/>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67772">
      <w:pPr>
        <w:keepNext/>
        <w:keepLines/>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La Unidad de Secretaría y Planificación Legislativa introduce en la base de datos de Agora los siguientes datos, que también se guardan en carpetas de SharePoint protegidas y cuyo acceso está estrictamente limitado al personal de la Unidad de Secretaría y Planificación Legislativa del CESE:</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Apellido(s)</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Nombre</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Título</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Discapacidad</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Fecha de nacimiento</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País representado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Posición oficial</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Tipo de mandato</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Fecha de nombramiento</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Fecha de finalización del mandato</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Suplente</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Asistente</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Los siguientes datos son introducidos por los propios miembros a través de su panel de control en el Portal de los miembros:</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Contacto de emergencia</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Apellido(s) utilizado(s)</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Nombre utilizado</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País de nacimiento</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Lugar de nacimiento</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Fotografía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Currículo</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Dirección postal no confidencial</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Dirección postal privada</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Correo electrónico para la correspondencia</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Correo electrónico privado</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Números de teléfono</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Competencias lingüísticas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Declaración del lugar de residencia (no cargada en Agora, sino guardada en una carpeta protegida)</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lastRenderedPageBreak/>
        <w:t>Prueba de residencia (no cargada en Agora, sino almacenada en una carpeta protegida)</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Declaración de intereses económicos (sin firma; en Agora, y la declaración firmada se guarda en una carpeta protegida)</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Preferencias en cuanto a la impresión de documentos</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Sitios web</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Cuentas en redes sociales</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Blogs</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Asociaciones</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Ámbitos de interés</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Parámetros de privacidad</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Opciones de notificación</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Delegación de derechos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Biografía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rsidRPr="00990E67">
        <w:rPr>
          <w:rFonts w:ascii="Calibri" w:hAnsi="Calibri"/>
        </w:rPr>
        <w:tab/>
      </w:r>
      <w:r>
        <w:rPr>
          <w:rFonts w:asciiTheme="minorHAnsi" w:hAnsiTheme="minorHAnsi"/>
        </w:rPr>
        <w:t>Todos los documentos facilitados a la Unidad de Secretaría y Planificación Legislativa (en papel o por correo electrónico) por los miembros, los delegados de la CCMI y los suplentes se guardan en carpetas protegidas de SharePoint, cuyo acceso está estrictamente limitado al personal de la Unidad de Secretaría y Planificación Legislativa del CESE:</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Formulario para cumplimentar al comienzo del mandato (en forma de cuestionario)</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Currículo</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Documento de identidad o de pasaporte (copia)</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Declaración de intereses económicos firmada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Declaración del lugar de residencia</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Ficha de entidad legal</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Formulario de identificación financiera</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¿Quiénes son los destinatarios o las categorías de destinatarios de sus datos personales?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Los miembros de la Unidad de Secretaría y Planificación Legislativa solo podrán acceder a sus datos personales cuando ello resulte necesario.</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990E67" w:rsidRDefault="00BE5BE2" w:rsidP="004D3F24">
      <w:pPr>
        <w:spacing w:after="59" w:line="259" w:lineRule="auto"/>
        <w:ind w:left="927"/>
        <w:rPr>
          <w:rFonts w:ascii="Calibri" w:hAnsi="Calibri"/>
          <w:bCs/>
          <w:szCs w:val="24"/>
        </w:rPr>
      </w:pPr>
      <w:r>
        <w:rPr>
          <w:rFonts w:asciiTheme="minorHAnsi" w:hAnsiTheme="minorHAnsi"/>
        </w:rPr>
        <w:t>6.2</w:t>
      </w:r>
      <w:r>
        <w:rPr>
          <w:rFonts w:asciiTheme="minorHAnsi" w:hAnsiTheme="minorHAnsi"/>
        </w:rPr>
        <w:tab/>
        <w:t>Se indica a continuación a qué datos pueden acceder los diferentes servicios del Comité:</w:t>
      </w:r>
    </w:p>
    <w:p w14:paraId="562C6BA7" w14:textId="77777777" w:rsidR="00B354A2" w:rsidRPr="00990E67" w:rsidRDefault="00B354A2" w:rsidP="00B354A2">
      <w:pPr>
        <w:tabs>
          <w:tab w:val="left" w:pos="567"/>
        </w:tabs>
        <w:rPr>
          <w:rFonts w:ascii="Calibri" w:hAnsi="Calibri"/>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apellido(s), nombre, género, título, nacionalidad, lugar de origen, competencias lingüísticas, preferencias en cuanto a la impresión de documentos, dirección no confidencial, orden del día, dirección de correo electrónico confidencial, currículo, fecha de nacimiento, números no confidenciales de teléfono fijo y móvil.</w:t>
      </w:r>
    </w:p>
    <w:p w14:paraId="62C1F036" w14:textId="77777777"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lastRenderedPageBreak/>
        <w:t>SG.TSG, SG.LCO: apellido(s), nombre, género, título, direcciones no confidenciales, dirección de correo electrónico confidencial, números no confidenciales de teléfono fijo y móvil, orden del día y currículo.</w:t>
      </w:r>
    </w:p>
    <w:p w14:paraId="45293B28" w14:textId="77777777"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apellido(s), nombre, género, título, dirección no confidencial, correo electrónico confidencial, condición de miembro de un grupo, nacionalidad, lugar de origen, competencias lingüísticas, preferencias en cuanto a la impresión de documentos, orden del día, actividades, condición de miembro en órganos del CESE, currículo, foto, número de teléfono móvil no confidencial.</w:t>
      </w:r>
    </w:p>
    <w:p w14:paraId="59CF5648" w14:textId="77777777"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SG.C.4_CCMI: apellido(s), nombre, género, título, dirección no confidencial, correo electrónico confidencial, nacionalidad, lugar de origen, competencias lingüísticas, preferencias en cuanto a la impresión de documentos, orden del día, actividades, intereses, condición de miembro en categorías del CESE, currículo, foto, número de teléfono móvil no confidencial.</w:t>
      </w:r>
    </w:p>
    <w:p w14:paraId="34E209B5" w14:textId="592FE89F" w:rsidR="00B354A2" w:rsidRPr="003A66DB"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SG.D: SG.D.ICD, SG.D.1_PRE, SG.D.3_INF, SG.D.4_REL, SG.D.5_CSS: apellido(s), nombre, género, título, nacionalidad, lugar de origen, fecha de la presencia del miembro en el CESE, datos de contacto del miembro, trabajo realizado por el miembro, competencias lingüísticas, preferencias en cuanto a la impresión de documentos, foto, orden del día.</w:t>
      </w:r>
    </w:p>
    <w:p w14:paraId="5E9B30CF" w14:textId="77777777"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SC.L.SECU: apellido(s), nombre, género, título, número de teléfono no confidencial, número de teléfono confidencial, número de teléfono móvil no confidencial y número de teléfono móvil confidencial.</w:t>
      </w:r>
    </w:p>
    <w:p w14:paraId="02AC4DB2" w14:textId="77777777"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SC.L.INFRA: apellido(s), nombre, género, título.</w:t>
      </w:r>
    </w:p>
    <w:p w14:paraId="272D46A2" w14:textId="571F84BE" w:rsidR="00B354A2" w:rsidRPr="008C14F9" w:rsidRDefault="00B354A2" w:rsidP="00E12E21">
      <w:pPr>
        <w:pStyle w:val="ListParagraph"/>
        <w:numPr>
          <w:ilvl w:val="0"/>
          <w:numId w:val="30"/>
        </w:numPr>
        <w:overflowPunct/>
        <w:autoSpaceDE/>
        <w:autoSpaceDN/>
        <w:adjustRightInd/>
        <w:spacing w:line="276" w:lineRule="auto"/>
        <w:ind w:left="1418" w:hanging="284"/>
        <w:textAlignment w:val="auto"/>
        <w:rPr>
          <w:rFonts w:asciiTheme="minorHAnsi" w:hAnsiTheme="minorHAnsi" w:cstheme="minorHAnsi"/>
          <w:szCs w:val="24"/>
        </w:rPr>
      </w:pPr>
      <w:r>
        <w:rPr>
          <w:rFonts w:asciiTheme="minorHAnsi" w:hAnsiTheme="minorHAnsi"/>
        </w:rPr>
        <w:t>SC.DIIT: apellido(s), nombre, género, título, nacionalidad, asignación de líneas telefónicas, números de teléfono móvil no confidencial y confidencial.</w:t>
      </w:r>
    </w:p>
    <w:p w14:paraId="7E608531" w14:textId="1DB57ACC" w:rsidR="00525B35" w:rsidRPr="00990E67" w:rsidRDefault="00525B35" w:rsidP="00E12E21">
      <w:pPr>
        <w:pStyle w:val="ListParagraph"/>
        <w:tabs>
          <w:tab w:val="left" w:pos="567"/>
        </w:tabs>
        <w:spacing w:line="276" w:lineRule="auto"/>
        <w:ind w:left="567"/>
        <w:rPr>
          <w:rFonts w:ascii="Calibri" w:hAnsi="Calibri"/>
        </w:rPr>
      </w:pPr>
    </w:p>
    <w:p w14:paraId="6D41AA80" w14:textId="6E35BDBE" w:rsidR="00F61D20" w:rsidRDefault="00525B35" w:rsidP="00E12E21">
      <w:pPr>
        <w:spacing w:after="59" w:line="276" w:lineRule="auto"/>
        <w:ind w:left="927"/>
        <w:rPr>
          <w:rFonts w:asciiTheme="minorHAnsi" w:hAnsiTheme="minorHAnsi" w:cstheme="minorHAnsi"/>
        </w:rPr>
      </w:pPr>
      <w:r>
        <w:rPr>
          <w:rFonts w:asciiTheme="minorHAnsi" w:hAnsiTheme="minorHAnsi"/>
        </w:rPr>
        <w:t>6.3</w:t>
      </w:r>
      <w:r w:rsidR="00667772">
        <w:rPr>
          <w:rFonts w:asciiTheme="minorHAnsi" w:hAnsiTheme="minorHAnsi"/>
        </w:rPr>
        <w:tab/>
      </w:r>
      <w:r>
        <w:rPr>
          <w:rFonts w:asciiTheme="minorHAnsi" w:hAnsiTheme="minorHAnsi"/>
        </w:rPr>
        <w:t xml:space="preserve"> Los datos siguientes se publican y son accesibles en la página del miembro a través del Portal de los miembros:</w:t>
      </w:r>
    </w:p>
    <w:p w14:paraId="541E11F5" w14:textId="77777777" w:rsidR="00525B35" w:rsidRDefault="00525B35" w:rsidP="00E12E21">
      <w:pPr>
        <w:pStyle w:val="ListParagraph"/>
        <w:spacing w:line="276" w:lineRule="auto"/>
        <w:ind w:left="426" w:hanging="426"/>
        <w:rPr>
          <w:rFonts w:asciiTheme="minorHAnsi" w:hAnsiTheme="minorHAnsi" w:cstheme="minorHAnsi"/>
        </w:rPr>
      </w:pPr>
    </w:p>
    <w:p w14:paraId="20A3BDEC" w14:textId="6B2B7A0C" w:rsidR="00525B35" w:rsidRDefault="00525B35" w:rsidP="00E12E21">
      <w:pPr>
        <w:spacing w:after="59" w:line="276" w:lineRule="auto"/>
        <w:ind w:left="927"/>
        <w:rPr>
          <w:rFonts w:asciiTheme="minorHAnsi" w:hAnsiTheme="minorHAnsi" w:cstheme="minorHAnsi"/>
        </w:rPr>
      </w:pPr>
      <w:r>
        <w:rPr>
          <w:rFonts w:asciiTheme="minorHAnsi" w:hAnsiTheme="minorHAnsi"/>
        </w:rPr>
        <w:t>Apellido(s) utilizado(s), nombre utilizado; tipo de mandato; comienzo del mandato; país representado; cargo oficial en la organización nacional; participación en grupos o secciones; condición de miembro en una organizaciones nacionales; declaración de intereses económicos sin firma.</w:t>
      </w:r>
    </w:p>
    <w:p w14:paraId="44B9B903" w14:textId="77777777" w:rsidR="00525B35" w:rsidRDefault="00525B35" w:rsidP="00E12E21">
      <w:pPr>
        <w:pStyle w:val="ListParagraph"/>
        <w:spacing w:line="276" w:lineRule="auto"/>
        <w:ind w:left="426" w:hanging="426"/>
        <w:rPr>
          <w:rFonts w:asciiTheme="minorHAnsi" w:hAnsiTheme="minorHAnsi" w:cstheme="minorHAnsi"/>
        </w:rPr>
      </w:pPr>
    </w:p>
    <w:p w14:paraId="23FB7D5C" w14:textId="019D5985" w:rsidR="00525B35" w:rsidRDefault="00525B35" w:rsidP="00E12E21">
      <w:pPr>
        <w:spacing w:after="59" w:line="276" w:lineRule="auto"/>
        <w:ind w:left="927"/>
        <w:rPr>
          <w:rFonts w:asciiTheme="minorHAnsi" w:hAnsiTheme="minorHAnsi" w:cstheme="minorHAnsi"/>
        </w:rPr>
      </w:pPr>
      <w:r>
        <w:rPr>
          <w:rFonts w:asciiTheme="minorHAnsi" w:hAnsiTheme="minorHAnsi"/>
        </w:rPr>
        <w:t>6.4</w:t>
      </w:r>
      <w:r>
        <w:rPr>
          <w:rFonts w:asciiTheme="minorHAnsi" w:hAnsiTheme="minorHAnsi"/>
        </w:rPr>
        <w:tab/>
        <w:t>Los datos siguientes solo se publican cuando se presta el consentimiento (los miembros, los delegados de la CCMI o los suplentes pueden seleccionar por separado cada una de las categorías de datos) y se puede acceder a los datos en la página de los miembros a través del Portal de los miembros:</w:t>
      </w:r>
    </w:p>
    <w:p w14:paraId="02050107" w14:textId="77777777" w:rsidR="00525B35" w:rsidRDefault="00525B35" w:rsidP="00E12E21">
      <w:pPr>
        <w:pStyle w:val="ListParagraph"/>
        <w:spacing w:line="276" w:lineRule="auto"/>
        <w:ind w:left="426" w:hanging="426"/>
        <w:rPr>
          <w:rFonts w:asciiTheme="minorHAnsi" w:hAnsiTheme="minorHAnsi" w:cstheme="minorHAnsi"/>
        </w:rPr>
      </w:pPr>
    </w:p>
    <w:p w14:paraId="2B3B76FA" w14:textId="040D3692" w:rsidR="00525B35" w:rsidRDefault="00525B35" w:rsidP="00E12E21">
      <w:pPr>
        <w:keepNext/>
        <w:keepLines/>
        <w:spacing w:after="59" w:line="276" w:lineRule="auto"/>
        <w:ind w:left="924"/>
        <w:rPr>
          <w:rFonts w:asciiTheme="minorHAnsi" w:hAnsiTheme="minorHAnsi" w:cstheme="minorHAnsi"/>
        </w:rPr>
      </w:pPr>
      <w:r>
        <w:rPr>
          <w:rFonts w:asciiTheme="minorHAnsi" w:hAnsiTheme="minorHAnsi"/>
        </w:rPr>
        <w:t xml:space="preserve">Número de teléfono no confidencial, número de teléfono móvil no confidencial, número de fax no confidencial; dirección de correo electrónico no confidencial; dirección no confidencial; sitios web; blogs; cuentas en redes sociales; foto; fecha de nacimiento; competencias lingüísticas; preferencias en cuanto a la impresión de documentos; suplente; </w:t>
      </w:r>
      <w:r>
        <w:rPr>
          <w:rFonts w:asciiTheme="minorHAnsi" w:hAnsiTheme="minorHAnsi"/>
        </w:rPr>
        <w:lastRenderedPageBreak/>
        <w:t>actividades en el seno del Comité; asociaciones; ámbitos de interés; delegación de derechos; biografía.</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Durante el mandato podrán utilizarse determinados datos personales básicos en:</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el Vademécum del CESE,</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rsidRPr="00990E67">
        <w:rPr>
          <w:rFonts w:ascii="Calibri" w:hAnsi="Calibri"/>
        </w:rPr>
        <w:t>las publicaciones, los boletines informativos, las producciones de vídeo y las presentaciones del CESE, así como en su sitio web,</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el Portal de los miembros,</w:t>
      </w:r>
    </w:p>
    <w:p w14:paraId="5AA3AE5A" w14:textId="46D1BA70" w:rsidR="00336DEF" w:rsidRPr="00990E67" w:rsidRDefault="00336DEF" w:rsidP="00CF6BF8">
      <w:pPr>
        <w:numPr>
          <w:ilvl w:val="0"/>
          <w:numId w:val="33"/>
        </w:numPr>
        <w:spacing w:after="43" w:line="259" w:lineRule="auto"/>
        <w:rPr>
          <w:rFonts w:ascii="Calibri" w:hAnsi="Calibri"/>
          <w:szCs w:val="24"/>
        </w:rPr>
      </w:pPr>
      <w:r>
        <w:rPr>
          <w:rFonts w:asciiTheme="minorHAnsi" w:hAnsiTheme="minorHAnsi"/>
        </w:rPr>
        <w:t>en «EU Whoiswho» (el anuario oficial de la Unión Europea, que recoge los datos de todas las instituciones y organismos de la UE)</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El «EU Whoiswho» es el anuario oficial de las instituciones europeas, que recoge los datos de todas las instituciones y organismos de la UE. Se presenta en los formatos siguientes: versión en línea, versión para libro electrónico y versión en papel.</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El portal de datos abiertos, gestionado por la Oficina de Publicaciones, da acceso a los datos de los miembros publicados en la Página de los miembros, disponible en el Portal de los miembros.</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Sus datos (entidad/institución, dirección de la institución, sitio web, título, apellido(s), nombre, foto, función en el CESE, país representado, mandato local, número de teléfono y correo electrónico, condición de miembro en órganos del CESE) se transmitirán a la Oficina de Publicaciones (OP) para su publicación en «EU Whoiswho», el anuario oficial de las instituciones europeas, que recoge los datos de todas las instituciones y organismos de la UE en tres formatos: en línea, como libro electrónico y en papel. Si su fotografía está disponible, será publicada en el «Whoiswho» electrónico. En la versión en papel se publicarán únicamente las fotografías de la presidenta y los vicepresidentes.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El</w:t>
      </w:r>
      <w:r w:rsidRPr="00990E67">
        <w:rPr>
          <w:rFonts w:ascii="Calibri" w:hAnsi="Calibri"/>
        </w:rPr>
        <w:t xml:space="preserve"> </w:t>
      </w:r>
      <w:hyperlink r:id="rId14">
        <w:r>
          <w:rPr>
            <w:rFonts w:asciiTheme="minorHAnsi" w:hAnsiTheme="minorHAnsi"/>
            <w:color w:val="0000FF"/>
            <w:u w:val="single"/>
          </w:rPr>
          <w:t>sitio web gestionado por la Oficina de Publicaciones</w:t>
        </w:r>
      </w:hyperlink>
      <w:r w:rsidRPr="00990E67">
        <w:rPr>
          <w:rFonts w:ascii="Calibri" w:hAnsi="Calibri"/>
        </w:rPr>
        <w:t xml:space="preserve"> </w:t>
      </w:r>
      <w:r>
        <w:rPr>
          <w:rFonts w:asciiTheme="minorHAnsi" w:hAnsiTheme="minorHAnsi"/>
          <w:color w:val="000000"/>
        </w:rPr>
        <w:t>también da acceso a los datos de los miembros publicados en la página de los miembros, disponibles en el</w:t>
      </w:r>
      <w:r w:rsidRPr="00990E67">
        <w:rPr>
          <w:rFonts w:ascii="Calibri" w:hAnsi="Calibri"/>
        </w:rPr>
        <w:t xml:space="preserve"> </w:t>
      </w:r>
      <w:hyperlink r:id="rId15">
        <w:r>
          <w:rPr>
            <w:rFonts w:asciiTheme="minorHAnsi" w:hAnsiTheme="minorHAnsi"/>
            <w:color w:val="0000FF"/>
            <w:u w:val="single"/>
          </w:rPr>
          <w:t>sitio web del CESE</w:t>
        </w:r>
      </w:hyperlink>
      <w:r w:rsidRPr="00990E67">
        <w:rPr>
          <w:rFonts w:ascii="Calibri" w:hAnsi="Calibri"/>
        </w:rP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Si desea obtener más información sobre el tratamiento que la OP hace de sus datos personales, puede consultar los documentos siguientes:</w:t>
      </w:r>
    </w:p>
    <w:p w14:paraId="1FFE3AF4" w14:textId="234E9FEE" w:rsidR="002A7061" w:rsidRPr="00990E67" w:rsidRDefault="00612087" w:rsidP="00B354A2">
      <w:pPr>
        <w:spacing w:after="3" w:line="263" w:lineRule="auto"/>
        <w:ind w:left="560"/>
        <w:jc w:val="left"/>
        <w:rPr>
          <w:rFonts w:ascii="Calibri" w:hAnsi="Calibri"/>
        </w:rPr>
      </w:pPr>
      <w:r>
        <w:rPr>
          <w:rFonts w:asciiTheme="minorHAnsi" w:hAnsiTheme="minorHAnsi"/>
          <w:u w:val="single"/>
        </w:rPr>
        <w:t>Oficina de Publicaciones:</w:t>
      </w:r>
      <w:r w:rsidRPr="00990E67">
        <w:rPr>
          <w:rFonts w:ascii="Calibri" w:hAnsi="Calibri"/>
        </w:rPr>
        <w:t xml:space="preserve"> </w:t>
      </w:r>
      <w:hyperlink r:id="rId16" w:history="1">
        <w:r>
          <w:rPr>
            <w:rFonts w:asciiTheme="minorHAnsi" w:hAnsiTheme="minorHAnsi"/>
            <w:color w:val="0000FF"/>
            <w:u w:val="single"/>
          </w:rPr>
          <w:t>Declaración de confidencialidad</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¿Se transmiten sus datos personales a un tercer país o a una organización internacional?</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Sus datos personales no se transmitirán a Estados no pertenecientes a la UE / el EEE ni a organizaciones internacionales.</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¿Cómo puede usted hacer valer sus derechos?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 xml:space="preserve">Usted tiene derecho a acceder a sus datos personales, rectificar cualquier dato personal inexacto o incompleto, restringir (en determinadas circunstancias) el tratamiento de sus datos personales y solicitar la supresión de sus datos personales (si se han tratado de manera </w:t>
      </w:r>
      <w:r>
        <w:rPr>
          <w:rFonts w:asciiTheme="minorHAnsi" w:hAnsiTheme="minorHAnsi"/>
        </w:rPr>
        <w:lastRenderedPageBreak/>
        <w:t>irregular) y, en su caso, tiene derecho a la portabilidad de los datos. Tiene derecho a oponerse en cualquier momento al tratamiento de sus datos por motivos relacionados con su situación particular.</w:t>
      </w:r>
    </w:p>
    <w:p w14:paraId="2891715A" w14:textId="4FE4D93C" w:rsidR="002A7061" w:rsidRPr="008C14F9" w:rsidRDefault="002A7061" w:rsidP="004D3F24">
      <w:pPr>
        <w:pStyle w:val="Style1"/>
      </w:pPr>
      <w:r>
        <w:t>Para cualquier consulta o solicitud, diríjase a la Unidad de Secretaría y Planificación Legislativa – Rue Belliard/Belliardstraat 99, 1040 Bruxelles/Brussel (</w:t>
      </w:r>
      <w:hyperlink r:id="rId17" w:history="1">
        <w:r>
          <w:rPr>
            <w:rStyle w:val="Hyperlink"/>
          </w:rPr>
          <w:t>nominations-eesc@eesc.europa.eu</w:t>
        </w:r>
      </w:hyperlink>
      <w:r>
        <w:t>). Su solicitud se tramitará sin demora indebida y, en cualquier caso, en el plazo de un mes a partir de su recepción. Ese período podrá ampliarse por dos meses adicionales si resultara necesario.</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Tiene derecho a recurrir al </w:t>
      </w:r>
      <w:hyperlink r:id="rId18" w:history="1">
        <w:r>
          <w:rPr>
            <w:rStyle w:val="Hyperlink"/>
          </w:rPr>
          <w:t>Supervisor Europeo de Protección de Datos</w:t>
        </w:r>
      </w:hyperlink>
      <w:r>
        <w:t xml:space="preserve"> si considera que el tratamiento de sus datos personales por parte del CESE ha vulnerado los derechos que le confiere el RPDUE.</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¿Cuánto tiempo se conservan sus datos personales?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Los datos personales contenidos en documentos registrados por el CESE se conservan con fines de archivo en interés público, con arreglo al artículo 4, apartado 1, letra e), del Reglamento (UE) 2018/1725, para posibles fines de investigación histórica (por ejemplo, para probar que un miembro que va a ser nombrado para un puesto clave en el CESE, como presidente o vicepresidente, o cualquier otro, tiene desde hace tiempo la condición de miembro de un órgano) o posibles fines estadísticos.</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¿Se utilizan los datos personales recogidos para la toma de decisiones automatizadas como, por ejemplo, la elaboración de perfiles?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No, el CESE no utilizará sus datos personales para la toma de decisiones automatizadas sobre usted. Por «decisiones automatizadas» se entienden aquellas que se toman sin intervención humana.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¿Se tratarán sus datos personales para un fin distinto de aquel para el que se han obtenido los datos?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Sus datos personales no se tratarán para un fin distinto del previsto inicialmente.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¿A quién puedo dirigir mis preguntas o quejas? </w:t>
      </w:r>
    </w:p>
    <w:p w14:paraId="4D1FAA24" w14:textId="5EEF855C" w:rsidR="00C56472" w:rsidRPr="008C14F9" w:rsidRDefault="002A7061" w:rsidP="004D3F24">
      <w:pPr>
        <w:pStyle w:val="Style1"/>
      </w:pPr>
      <w:r>
        <w:t>Para plantear cualquier pregunta relativa al tratamiento de sus datos personales, diríjase en primer lugar al responsable del tratamiento de datos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También puede ponerse en contacto en cualquier momento con el responsable de la protección de datos del CESE utilizando el </w:t>
      </w:r>
      <w:hyperlink r:id="rId20" w:history="1">
        <w:r>
          <w:rPr>
            <w:rStyle w:val="Hyperlink"/>
          </w:rPr>
          <w:t>formulario de contacto</w:t>
        </w:r>
      </w:hyperlink>
      <w:r>
        <w:t xml:space="preserve"> correspondiente o con el Supervisor Europeo de Protección de Datos utilizando el </w:t>
      </w:r>
      <w:hyperlink r:id="rId21" w:tgtFrame="_blank" w:history="1">
        <w:r>
          <w:rPr>
            <w:color w:val="0000FF"/>
            <w:u w:val="single"/>
          </w:rPr>
          <w:t>formulario de contacto</w:t>
        </w:r>
      </w:hyperlink>
      <w:r>
        <w:t xml:space="preserve"> correspondiente.</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990E67" w:rsidRDefault="00155079" w:rsidP="004F2B7F">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990E67" w:rsidRDefault="004F2B7F" w:rsidP="004F2B7F">
    <w:pPr>
      <w:pStyle w:val="Footer"/>
      <w:rPr>
        <w:rFonts w:ascii="Calibri" w:hAnsi="Calibri"/>
      </w:rPr>
    </w:pPr>
    <w:r w:rsidRPr="00990E67">
      <w:rPr>
        <w:rFonts w:ascii="Calibri" w:hAnsi="Calibri"/>
      </w:rPr>
      <w:t xml:space="preserve">EESC-2025-02938-00-01-ADMIN-TRA (EN) </w:t>
    </w:r>
    <w:r w:rsidRPr="00990E67">
      <w:rPr>
        <w:rFonts w:ascii="Calibri" w:hAnsi="Calibri"/>
      </w:rPr>
      <w:fldChar w:fldCharType="begin"/>
    </w:r>
    <w:r w:rsidRPr="00990E67">
      <w:rPr>
        <w:rFonts w:ascii="Calibri" w:hAnsi="Calibri"/>
      </w:rPr>
      <w:instrText xml:space="preserve"> PAGE  \* Arabic  \* MERGEFORMAT </w:instrText>
    </w:r>
    <w:r w:rsidRPr="00990E67">
      <w:rPr>
        <w:rFonts w:ascii="Calibri" w:hAnsi="Calibri"/>
      </w:rPr>
      <w:fldChar w:fldCharType="separate"/>
    </w:r>
    <w:r w:rsidR="00553CB0" w:rsidRPr="00990E67">
      <w:rPr>
        <w:rFonts w:ascii="Calibri" w:hAnsi="Calibri"/>
      </w:rPr>
      <w:t>6</w:t>
    </w:r>
    <w:r w:rsidRPr="00990E67">
      <w:rPr>
        <w:rFonts w:ascii="Calibri" w:hAnsi="Calibri"/>
      </w:rPr>
      <w:fldChar w:fldCharType="end"/>
    </w:r>
    <w:r w:rsidRPr="00990E67">
      <w:rPr>
        <w:rFonts w:ascii="Calibri" w:hAnsi="Calibri"/>
      </w:rPr>
      <w:t>/</w:t>
    </w:r>
    <w:r w:rsidR="004B7C7F" w:rsidRPr="00990E67">
      <w:rPr>
        <w:rFonts w:ascii="Calibri" w:hAnsi="Calibri"/>
      </w:rPr>
      <w:fldChar w:fldCharType="begin"/>
    </w:r>
    <w:r w:rsidR="004B7C7F" w:rsidRPr="00990E67">
      <w:rPr>
        <w:rFonts w:ascii="Calibri" w:hAnsi="Calibri"/>
      </w:rPr>
      <w:instrText xml:space="preserve"> NUMPAGES </w:instrText>
    </w:r>
    <w:r w:rsidR="004B7C7F" w:rsidRPr="00990E67">
      <w:rPr>
        <w:rFonts w:ascii="Calibri" w:hAnsi="Calibri"/>
      </w:rPr>
      <w:fldChar w:fldCharType="separate"/>
    </w:r>
    <w:r w:rsidR="00553CB0" w:rsidRPr="00990E67">
      <w:rPr>
        <w:rFonts w:ascii="Calibri" w:hAnsi="Calibri"/>
      </w:rPr>
      <w:t>6</w:t>
    </w:r>
    <w:r w:rsidR="004B7C7F" w:rsidRPr="00990E67">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990E67" w:rsidRDefault="00155079" w:rsidP="004F2B7F">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990E67" w:rsidRDefault="009472BA">
      <w:pPr>
        <w:pStyle w:val="FootnoteText"/>
        <w:rPr>
          <w:rFonts w:ascii="Calibri" w:hAnsi="Calibri"/>
        </w:rPr>
      </w:pPr>
      <w:r w:rsidRPr="00990E67">
        <w:rPr>
          <w:rStyle w:val="FootnoteReference"/>
          <w:rFonts w:ascii="Calibri" w:hAnsi="Calibri"/>
        </w:rPr>
        <w:footnoteRef/>
      </w:r>
      <w:r w:rsidRPr="00990E67">
        <w:rPr>
          <w:rFonts w:ascii="Calibri" w:hAnsi="Calibri"/>
        </w:rPr>
        <w:t xml:space="preserve"> </w:t>
      </w:r>
      <w:r w:rsidRPr="00990E67">
        <w:rPr>
          <w:rFonts w:ascii="Calibri" w:hAnsi="Calibri"/>
        </w:rPr>
        <w:tab/>
      </w:r>
      <w:r>
        <w:rPr>
          <w:rFonts w:asciiTheme="minorHAnsi" w:hAnsiTheme="minorHAnsi"/>
        </w:rPr>
        <w:t>Datos reservados para su tratamiento administrativo interno</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r>
      <w:r>
        <w:rPr>
          <w:rFonts w:asciiTheme="minorHAnsi" w:hAnsiTheme="minorHAnsi"/>
        </w:rPr>
        <w:t xml:space="preserve">Para más detalles sobre el tratamiento de sus datos personales publicados en «EU WhoisWho», consulte el aviso de protección de datos pertinente en la dirección: </w:t>
      </w:r>
      <w:hyperlink r:id="rId1" w:history="1">
        <w:r>
          <w:rPr>
            <w:rStyle w:val="Hyperlink"/>
            <w:rFonts w:asciiTheme="minorHAnsi" w:hAnsiTheme="minorHAnsi"/>
          </w:rPr>
          <w:t>https://op.europa.eu/es/web/about-us/legal-notices/op_whoiswho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990E67" w:rsidRDefault="00155079" w:rsidP="004F2B7F">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990E67" w:rsidRDefault="00155079" w:rsidP="004F2B7F">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990E67" w:rsidRDefault="00155079" w:rsidP="004F2B7F">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B7C7F"/>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67772"/>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B0EC4"/>
    <w:rsid w:val="008B46B9"/>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0E67"/>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2E21"/>
    <w:rsid w:val="00E14342"/>
    <w:rsid w:val="00E15742"/>
    <w:rsid w:val="00E259D2"/>
    <w:rsid w:val="00E25C10"/>
    <w:rsid w:val="00E2636E"/>
    <w:rsid w:val="00E27C75"/>
    <w:rsid w:val="00E31928"/>
    <w:rsid w:val="00E329AE"/>
    <w:rsid w:val="00E34E1F"/>
    <w:rsid w:val="00E438C3"/>
    <w:rsid w:val="00E43A92"/>
    <w:rsid w:val="00E4630E"/>
    <w:rsid w:val="00E47D7F"/>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s-ES"/>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s-ES"/>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s-ES"/>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s-ES"/>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s-ES"/>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s-ES"/>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s-ES"/>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s-ES"/>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s-ES"/>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s-ES"/>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s-ES"/>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s-ES"/>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s-ES"/>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s-ES"/>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es"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s/web/about-us/privacy-statement" TargetMode="External"/><Relationship Id="rId20" Type="http://schemas.openxmlformats.org/officeDocument/2006/relationships/hyperlink" Target="https://www.eesc.europa.eu/es/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es/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A6WAAD5KZT2Q-235352946-5530</_dlc_DocId>
    <_dlc_DocIdUrl xmlns="1a33af13-4045-4f88-9d7b-618e30f79918">
      <Url>http://dm/eesc/2025/_layouts/15/DocIdRedir.aspx?ID=A6WAAD5KZT2Q-235352946-5530</Url>
      <Description>A6WAAD5KZT2Q-235352946-5530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Gonzalez Vilchez Almudena</DisplayName>
        <AccountId>1556</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2.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DA49BC0A-D4D8-4608-AD39-6038A2D6A21C}"/>
</file>

<file path=customXml/itemProps4.xml><?xml version="1.0" encoding="utf-8"?>
<ds:datastoreItem xmlns:ds="http://schemas.openxmlformats.org/officeDocument/2006/customXml" ds:itemID="{74A074BF-4010-4B1A-A798-2037320184EE}">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protección de datos: Gestión de los expedientes de los miembros</dc:title>
  <dc:creator/>
  <cp:keywords>EESC-2025-02938-00-00-ADMIN-TRA-EN</cp:keywords>
  <dc:description>Rapporteur: -  Original language: - EN Date of document: - 08/09/2025 Date of meeting: -  External documents: -  Administrator responsible: - M. LEPOUTTRE Koenraad Jan Gommaire</dc:description>
  <cp:lastModifiedBy/>
  <cp:revision>11</cp:revision>
  <cp:lastPrinted>2018-05-25T09:11:00Z</cp:lastPrinted>
  <dcterms:created xsi:type="dcterms:W3CDTF">2025-09-12T08:22:00Z</dcterms:created>
  <dcterms:modified xsi:type="dcterms:W3CDTF">2025-09-15T10:19:00Z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d3bdb22c-6d4a-42c2-ac83-2c60b07b3c9c</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PL|1e03da61-4678-4e07-b136-b5024ca9197b;IT|0774613c-01ed-4e5d-a25d-11d2388de825;EL|6d4f4d51-af9b-4650-94b4-4276bee85c91;MT|7df99101-6854-4a26-b53a-b88c0da02c26;EN|f2175f21-25d7-44a3-96da-d6a61b075e1b;NL|55c6556c-b4f4-441d-9acf-c498d4f838bd;SK|46d9fce0-ef79-4f71-b89b-cd6aa82426b8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32;#MT|7df99101-6854-4a26-b53a-b88c0da02c26;#27;#NL|55c6556c-b4f4-441d-9acf-c498d4f838bd;#24;#PL|1e03da61-4678-4e07-b136-b5024ca9197b;#22;#ADMIN|58d8ac89-e690-41f6-a5e8-508fa4a7c73c;#13;#TRA|150d2a88-1431-44e6-a8ca-0bb753ab8672;#46;#SK|46d9fce0-ef79-4f71-b89b-cd6aa82426b8;#8;#Final|ea5e6674-7b27-4bac-b091-73adbb394efe;#5;#EN|f2175f21-25d7-44a3-96da-d6a61b075e1b;#6;#Internal|2451815e-8241-4bbf-a22e-1ab710712bf2;#42;#EL|6d4f4d51-af9b-4650-94b4-4276bee85c91;#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16;#ES|e7a6b05b-ae16-40c8-add9-68b64b03aeba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