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0D7E2CE7" w:rsidR="006C03A9" w:rsidRPr="002A7061" w:rsidRDefault="005541CA" w:rsidP="006C03A9">
      <w:pPr>
        <w:jc w:val="center"/>
        <w:rPr>
          <w:rFonts w:asciiTheme="minorHAnsi" w:hAnsiTheme="minorHAnsi" w:cstheme="minorHAnsi"/>
          <w:szCs w:val="22"/>
        </w:rPr>
      </w:pPr>
      <w:r>
        <w:rPr>
          <w:rFonts w:asciiTheme="minorHAnsi" w:hAnsiTheme="minorHAnsi"/>
          <w:noProof/>
        </w:rPr>
        <w:drawing>
          <wp:inline distT="0" distB="0" distL="0" distR="0" wp14:anchorId="375F0FFB" wp14:editId="4D4FE7D8">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3C8D4ED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Verwaltung der personenbezogenen Daten von Mitgliedern, CCMI-Delegierten und Stellvertretern</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Datenschutzhinweis</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Vorbemerkung</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Der Europäische Wirtschafts- und Sozialausschuss (EWSA) ist verpflichtet, Ihre personenbezogenen Daten gemäß der </w:t>
      </w:r>
      <w:hyperlink r:id="rId12" w:history="1">
        <w:r>
          <w:rPr>
            <w:rStyle w:val="Hyperlink"/>
            <w:rFonts w:asciiTheme="minorHAnsi" w:hAnsiTheme="minorHAnsi"/>
            <w:sz w:val="22"/>
          </w:rPr>
          <w:t>Verordnung (EU) 2018/1725</w:t>
        </w:r>
      </w:hyperlink>
      <w:r>
        <w:rPr>
          <w:rFonts w:asciiTheme="minorHAnsi" w:hAnsiTheme="minorHAnsi"/>
          <w:sz w:val="22"/>
        </w:rPr>
        <w:t xml:space="preserve"> (EU-DSVO) zu achten und zu schützen.</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Ihre personenbezogenen Daten können für Verwaltungszwecke erhoben und verarbeitet werden.</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Welche Stelle ist für die Verarbeitung personenbezogener Daten verantwortlich?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Der EWSA ist die für die Verarbeitung der personenbezogenen Daten verantwortliche Stelle („Verantwortlicher“). </w:t>
      </w:r>
      <w:r>
        <w:t>Die zuständige Dienststelle („delegierter Verantwortlicher)“ ist das Referat Kanzlei und Legislativprogramm (</w:t>
      </w:r>
      <w:hyperlink r:id="rId13" w:history="1">
        <w:r>
          <w:rPr>
            <w:rStyle w:val="Hyperlink"/>
            <w:rFonts w:ascii="Calibri" w:hAnsi="Calibri"/>
          </w:rPr>
          <w:t>nominations-eesc@eesc.europa.eu</w:t>
        </w:r>
      </w:hyperlink>
      <w: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Welchem Zweck dient die Verarbeitung der Daten?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Alle personenbezogenen Daten, die Mitglieder, CCMI-Delegierte und Stellvertreter dem Referat Kanzlei und Legislativprogramm (auf Papier oder per E-Mail) übermitteln, werden in der Agora-Datenbank gespeichert und von den zuständigen EWSA-Dienststellen für Kommunikations- und Verwaltungszwecke im Zusammenhang mit der Wahrnehmung ihrer Aufgaben als Mitglieder, CCMI-Delegierte oder Stellvertreter sowie im Hinblick auf ihre Teilnahme an den Tätigkeiten des Ausschusses verwendet.</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Auf welcher Rechtsgrundlage erfolgt die Datenverarbeitung?</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Die Rechtsgrundlage für die Datenverarbeitung ist Artikel 5 Absatz 1 Buchstabe a der Verordnung (EU) 2018/1725: </w:t>
      </w:r>
      <w:r>
        <w:rPr>
          <w:rFonts w:asciiTheme="minorHAnsi" w:hAnsiTheme="minorHAnsi"/>
          <w:i/>
          <w:shd w:val="clear" w:color="auto" w:fill="FFFFFF"/>
        </w:rPr>
        <w:t>„die Verarbeitung ist für die Wahrnehmung einer Aufgabe erforderlich, die im öffentlichen Interesse liegt oder in Ausübung öffentlicher Gewalt erfolgt, die dem Organ oder der Einrichtung der Union übertragen wurde“</w:t>
      </w:r>
      <w:r>
        <w:rPr>
          <w:rFonts w:asciiTheme="minorHAnsi" w:hAnsiTheme="minorHAnsi"/>
          <w:shd w:val="clear" w:color="auto" w:fill="FFFFFF"/>
        </w:rPr>
        <w:t>. Der Begriff „öffentliches Interesse“ umfasst alle Verarbeitungsvorgänge, die für die Verwaltung und das Funktionieren der Organe und Einrichtungen der EU erforderlich sind.</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Für bestimmte Arten von personenbezogenen Daten (siehe Ziffer 6.4) ist die Rechtsgrundlage Artikel 5 Absatz 1 Buchstabe d der Verordnung (EU) 2018/1725: </w:t>
      </w:r>
      <w:r>
        <w:rPr>
          <w:rFonts w:asciiTheme="minorHAnsi" w:hAnsiTheme="minorHAnsi"/>
          <w:i/>
          <w:shd w:val="clear" w:color="auto" w:fill="FFFFFF"/>
        </w:rPr>
        <w:t>„die betroffene Person hat ihre Einwilligung zu der Verarbeitung der sie betreffenden personenbezogenen Daten für einen oder mehrere bestimmte Zwecke gegeben“</w:t>
      </w:r>
      <w:r>
        <w:rPr>
          <w:rFonts w:asciiTheme="minorHAnsi" w:hAnsiTheme="minorHAnsi"/>
          <w:shd w:val="clear" w:color="auto" w:fill="FFFFFF"/>
        </w:rPr>
        <w:t>.</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lastRenderedPageBreak/>
        <w:t xml:space="preserve">Welche personenbezogenen Daten werden verarbeitet?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Die folgenden Daten werden vom Referat Kanzlei und Legislativprogramm in die Agora-Datenbank eingegeben und auch in geschützten SharePoint-Ordnern gespeichert, auf die ausschließlich die Bediensteten des Referats Kanzlei und Legislativprogramm des EWSA Zugriff haben:</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Nachname</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Vorname</w:t>
      </w: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Titel</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Behinderung</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Geburtsdatum</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Vertretenes Land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Offizielle Funktion</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Art des Mandats</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Datum der Ernennung</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Ende der Amtszeit</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Stellvertreter/-in</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Assistent/-in</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Die folgenden Daten werden von den Mitgliedern selbst über ihr Dashboard auf dem Mitgliederportal eingegeben:</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Notfall-Kontakt</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Verwendeter Nachname</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Verwendeter Vorname</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Geburtsland</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Geburtsort</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Lebenslauf</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Nicht vertrauliche Postanschrift</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Private Postanschrift</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E-Mail-Adresse für den Schriftverkehr</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Private E-Mail-Adresse</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Telefonnummern</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Sprachkenntnisse</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Angaben zum offiziellen Wohnort (wird nicht in Agora hochgeladen, sondern in einem geschützten Ordner gespeichert)</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Nachweis über den angegebenen Wohnort (wird nicht in Agora hochgeladen, sondern in einem geschützten Ordner gespeichert)</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lastRenderedPageBreak/>
        <w:t>Erklärung der finanziellen Interessen (ohne Unterschrift in Agora; die unterzeichnete Erklärung wird in einem geschützten Ordner gespeichert)</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Einstellungen für den Ausdruck von Unterlagen</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Websites</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Konten in sozialen Medien</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Blogs</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Verbände</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Interessenschwerpunkte</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proofErr w:type="spellStart"/>
      <w:r>
        <w:rPr>
          <w:rFonts w:asciiTheme="minorHAnsi" w:hAnsiTheme="minorHAnsi"/>
        </w:rPr>
        <w:t>Privatsphäreeinstellungen</w:t>
      </w:r>
      <w:proofErr w:type="spellEnd"/>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Einstellungen bezüglich Benachrichtigungen</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Übertragung des Stimmrechts</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Kurzbiografie</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Alle Dokumente, die dem Referat Kanzlei und Legislativprogramm (auf Papier oder per E-Mail) von Mitgliedern, CCMI-Delegierten und Stellvertretern zur Verfügung gestellt werden, werden in geschützten SharePoint-Ordnern gespeichert, auf die ausschließlich die Bediensteten des Referats Kanzlei und Legislativprogramm des EWSA Zugriff haben:</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Zu Beginn des Mandats auszufüllendes Formular (in Form eines Fragebogens)</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Lebenslauf</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Personalausweis oder Reisepass</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Unterzeichnete Erklärung der finanziellen Interessen</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Angaben zum offiziellen Wohnort</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Formblatt „Rechtsträger“</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Formblatt „Finanzangaben“</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Wer sind die Empfänger oder Kategorien von Empfängern Ihrer personenbezogenen Daten?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Die Mitglieder des Referats Kanzlei und Legislativprogramm haben nur dann Zugriff auf Ihre personenbezogenen Daten, wenn dies erforderlich ist.</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Folgende EWSA-Dienststellen haben Zugriff auf folgende Daten:</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Nachname, Vorname, Geschlecht, Titel, Staatsangehörigkeit, Herkunftsort, Sprachkenntnisse, Einstellungen für den Ausdruck von Unterlagen, nicht vertrauliche Postanschrift, Kalender, vertrauliche E-Mail-Adresse, Lebenslauf, Geburtsdatum, nicht vertrauliche Telefon- und Mobiltelefonnummern</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Nachname, Vorname, Geschlecht, Titel, nicht vertrauliche Postanschrift, vertrauliche E-Mail-Adresse, nicht vertrauliche Telefon- und Mobiltelefonnummern, Kalender, Lebenslauf</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SG.B.1_REX, SG.B.2_TEN, SG.B.3_NAT, SG.B.4_FSA, SG.C.1_ECO, SG.C.2_SOC, SG.C.3_INT: Nachname, Vorname, Geschlecht, Titel, nicht vertrauliche Postanschrift, </w:t>
      </w:r>
      <w:r>
        <w:rPr>
          <w:rFonts w:asciiTheme="minorHAnsi" w:hAnsiTheme="minorHAnsi"/>
        </w:rPr>
        <w:lastRenderedPageBreak/>
        <w:t>vertrauliche E-Mail-Adresse, Mitgliedschaft in einer Gruppe, Staatsangehörigkeit, Herkunftsort, Sprachkenntnisse, Einstellungen für den Ausdruck von Unterlagen, Kalender, Tätigkeiten, Mitgliedschaft in EWSA-Arbeitsorganen, Lebenslauf, Foto, nicht vertrauliche Mobiltelefonnummer</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Nachname, Vorname, Geschlecht, Titel, nicht vertrauliche Postanschrift, vertrauliche E-Mail-Adresse, Staatsangehörigkeit, Herkunftsort, Sprachkenntnisse, Einstellungen für den Ausdruck von Unterlagen, Kalender, Tätigkeiten, Interessensschwerpunkte, Mitgliedschaft in EWSA-Interessengruppen, Lebenslauf, Foto, nicht vertrauliche Mobiltelefonnummer</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SG.D: SG.D.ICD, SG.D.1_PRE, SG.D.3_INF, SG.D.4_REL, SG.D.5_CSS: Nachname, Vorname, Geschlecht, Titel, Staatsangehörigkeit, Herkunftsort, Anwesenheitstage des EWSA-Mitglieds im Ausschuss, Kontaktdetails des Mitglieds, vom Mitglied übernommene Arbeiten, Sprachkenntnisse, Einstellungen für den Ausdruck von Unterlagen, Foto, Kalender</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Nachname, Vorname, Geschlecht, Titel, nicht vertrauliche Telefonnummer, vertrauliche Telefonnummer, nicht vertrauliche Mobiltelefonnummer, vertrauliche Mobiltelefonnummer</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Nachname, Vorname, Geschlecht, Titel</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Nachname, Vorname, Geschlecht, Titel, Staatsangehörigkeit, Zuweisung von Telefonleitungen, nicht vertrauliche und vertrauliche Mobiltelefonnummern</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Die folgenden Daten werden auf der Mitgliederseite über das Mitgliederportal veröffentlicht und sind für alle zugänglich:</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Verwendeter Nachname, verwendeter Vorname, Art des Mandats, Beginn der Amtszeit, vertretenes Land, offizielle Funktion in der nationalen Organisation, Mitgliedschaft in Gruppen und Fachgruppen, Mitgliedschaft in nationalen Organisationen, Erklärung der finanziellen Interessen ohne Unterschrift</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Die folgenden Daten werden nur mit Zustimmung veröffentlicht (kann von den Mitgliedern, CCMI-Delegierten und Stellvertretern für jede Datenkategorie einzeln erteilt werden), wobei die Daten über das Mitgliederportal auf der Mitgliederseite eingesehen werden können:</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Nicht vertrauliche Telefonnummer, nicht vertrauliche Mobiltelefonnummer, nicht vertrauliche Faxnummer, nicht vertrauliche E-Mail-Adresse, nicht vertrauliche Postanschrift, Websites, Blogs, Konten in den sozialen Medien, Foto, Geburtsdatum, Sprachkenntnisse, Einstellungen für den Ausdruck von Unterlagen, Stellvertreter/-in, Tätigkeiten im EWSA, Verbände, Interessensschwerpunkte, Stimmrechtsübertragung, Kurzbiographie</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1B717E" w:rsidRDefault="00014A35" w:rsidP="00D87AB3">
      <w:pPr>
        <w:keepNext/>
        <w:keepLines/>
        <w:spacing w:after="59" w:line="259" w:lineRule="auto"/>
        <w:ind w:left="927"/>
        <w:rPr>
          <w:rFonts w:asciiTheme="minorHAnsi" w:hAnsiTheme="minorHAnsi" w:cstheme="minorHAnsi"/>
          <w:szCs w:val="22"/>
        </w:rPr>
      </w:pPr>
      <w:r>
        <w:rPr>
          <w:rFonts w:asciiTheme="minorHAnsi" w:hAnsiTheme="minorHAnsi"/>
        </w:rPr>
        <w:lastRenderedPageBreak/>
        <w:t>6.5</w:t>
      </w:r>
      <w:r>
        <w:rPr>
          <w:rFonts w:asciiTheme="minorHAnsi" w:hAnsiTheme="minorHAnsi"/>
        </w:rPr>
        <w:tab/>
        <w:t xml:space="preserve">Bestimmte </w:t>
      </w:r>
      <w:r w:rsidRPr="001B717E">
        <w:rPr>
          <w:rFonts w:asciiTheme="minorHAnsi" w:hAnsiTheme="minorHAnsi" w:cstheme="minorHAnsi"/>
          <w:szCs w:val="22"/>
        </w:rPr>
        <w:t>personenbezogene Basisdaten können während der Amtszeit des jeweiligen Mitglieds verwendet werden:</w:t>
      </w:r>
    </w:p>
    <w:p w14:paraId="247CA6E3" w14:textId="63C8E099" w:rsidR="00F61D20" w:rsidRPr="001B717E" w:rsidRDefault="009A3E42" w:rsidP="00D87AB3">
      <w:pPr>
        <w:keepNext/>
        <w:keepLines/>
        <w:numPr>
          <w:ilvl w:val="0"/>
          <w:numId w:val="33"/>
        </w:numPr>
        <w:spacing w:after="43" w:line="259" w:lineRule="auto"/>
        <w:rPr>
          <w:rFonts w:asciiTheme="minorHAnsi" w:hAnsiTheme="minorHAnsi" w:cstheme="minorHAnsi"/>
          <w:szCs w:val="22"/>
        </w:rPr>
      </w:pPr>
      <w:r w:rsidRPr="001B717E">
        <w:rPr>
          <w:rFonts w:asciiTheme="minorHAnsi" w:hAnsiTheme="minorHAnsi" w:cstheme="minorHAnsi"/>
          <w:szCs w:val="22"/>
        </w:rPr>
        <w:t>im EWSA-Vademekum,</w:t>
      </w:r>
    </w:p>
    <w:p w14:paraId="62C8914C" w14:textId="77777777" w:rsidR="00336DEF" w:rsidRPr="001B717E" w:rsidRDefault="00336DEF" w:rsidP="00653AB4">
      <w:pPr>
        <w:numPr>
          <w:ilvl w:val="0"/>
          <w:numId w:val="33"/>
        </w:numPr>
        <w:spacing w:after="43" w:line="259" w:lineRule="auto"/>
        <w:rPr>
          <w:rFonts w:asciiTheme="minorHAnsi" w:hAnsiTheme="minorHAnsi" w:cstheme="minorHAnsi"/>
          <w:szCs w:val="22"/>
        </w:rPr>
      </w:pPr>
      <w:r w:rsidRPr="001B717E">
        <w:rPr>
          <w:rFonts w:asciiTheme="minorHAnsi" w:hAnsiTheme="minorHAnsi" w:cstheme="minorHAnsi"/>
          <w:szCs w:val="22"/>
        </w:rPr>
        <w:t>in den Veröffentlichungen, Newslettern, Videoproduktionen und Präsentationen des EWSA sowie auf dem EWSA-Internetportal,</w:t>
      </w:r>
    </w:p>
    <w:p w14:paraId="437AF4F0" w14:textId="77777777" w:rsidR="00336DEF" w:rsidRPr="001B717E" w:rsidRDefault="00336DEF" w:rsidP="00336DEF">
      <w:pPr>
        <w:numPr>
          <w:ilvl w:val="0"/>
          <w:numId w:val="33"/>
        </w:numPr>
        <w:spacing w:after="43" w:line="259" w:lineRule="auto"/>
        <w:rPr>
          <w:rFonts w:asciiTheme="minorHAnsi" w:hAnsiTheme="minorHAnsi" w:cstheme="minorHAnsi"/>
          <w:szCs w:val="22"/>
        </w:rPr>
      </w:pPr>
      <w:r w:rsidRPr="001B717E">
        <w:rPr>
          <w:rFonts w:asciiTheme="minorHAnsi" w:hAnsiTheme="minorHAnsi" w:cstheme="minorHAnsi"/>
          <w:szCs w:val="22"/>
        </w:rPr>
        <w:t>auf dem Mitgliederportal,</w:t>
      </w:r>
    </w:p>
    <w:p w14:paraId="5AA3AE5A" w14:textId="6AD8D18A" w:rsidR="00336DEF" w:rsidRDefault="00336DEF" w:rsidP="00CF6BF8">
      <w:pPr>
        <w:numPr>
          <w:ilvl w:val="0"/>
          <w:numId w:val="33"/>
        </w:numPr>
        <w:spacing w:after="43" w:line="259" w:lineRule="auto"/>
        <w:rPr>
          <w:rFonts w:asciiTheme="minorHAnsi" w:hAnsiTheme="minorHAnsi" w:cstheme="minorHAnsi"/>
          <w:szCs w:val="22"/>
        </w:rPr>
      </w:pPr>
      <w:r w:rsidRPr="001B717E">
        <w:rPr>
          <w:rFonts w:asciiTheme="minorHAnsi" w:hAnsiTheme="minorHAnsi" w:cstheme="minorHAnsi"/>
          <w:szCs w:val="22"/>
        </w:rPr>
        <w:t>im amtlichen Verzeichnis der Institutionen der Europäischen Union („EU </w:t>
      </w:r>
      <w:proofErr w:type="spellStart"/>
      <w:r w:rsidRPr="001B717E">
        <w:rPr>
          <w:rFonts w:asciiTheme="minorHAnsi" w:hAnsiTheme="minorHAnsi" w:cstheme="minorHAnsi"/>
          <w:szCs w:val="22"/>
        </w:rPr>
        <w:t>Whoiswho</w:t>
      </w:r>
      <w:proofErr w:type="spellEnd"/>
      <w:r w:rsidRPr="001B717E">
        <w:rPr>
          <w:rFonts w:asciiTheme="minorHAnsi" w:hAnsiTheme="minorHAnsi" w:cstheme="minorHAnsi"/>
          <w:szCs w:val="22"/>
        </w:rPr>
        <w:t>“)</w:t>
      </w:r>
      <w:r w:rsidR="0006787D" w:rsidRPr="001B717E">
        <w:rPr>
          <w:rStyle w:val="FootnoteReference"/>
          <w:rFonts w:asciiTheme="minorHAnsi" w:hAnsiTheme="minorHAnsi" w:cstheme="minorHAnsi"/>
          <w:sz w:val="22"/>
          <w:szCs w:val="22"/>
          <w:lang w:val="en-US"/>
        </w:rPr>
        <w:footnoteReference w:id="3"/>
      </w:r>
      <w:r w:rsidRPr="001B717E">
        <w:rPr>
          <w:rFonts w:asciiTheme="minorHAnsi" w:hAnsiTheme="minorHAnsi" w:cstheme="minorHAnsi"/>
          <w:szCs w:val="22"/>
        </w:rPr>
        <w:t>, das die Kontaktdaten aller Organe und Einrichtungen der EU enthält.</w:t>
      </w:r>
    </w:p>
    <w:p w14:paraId="1AEB78CC" w14:textId="77777777" w:rsidR="001B717E" w:rsidRPr="001B717E" w:rsidRDefault="001B717E" w:rsidP="001B717E">
      <w:pPr>
        <w:spacing w:after="43" w:line="259" w:lineRule="auto"/>
        <w:ind w:left="1335"/>
        <w:rPr>
          <w:rFonts w:asciiTheme="minorHAnsi" w:hAnsiTheme="minorHAnsi" w:cstheme="minorHAnsi"/>
          <w:szCs w:val="22"/>
        </w:rPr>
      </w:pP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sidRPr="001B717E">
        <w:rPr>
          <w:rFonts w:asciiTheme="minorHAnsi" w:hAnsiTheme="minorHAnsi" w:cstheme="minorHAnsi"/>
          <w:szCs w:val="22"/>
        </w:rPr>
        <w:t>„EU </w:t>
      </w:r>
      <w:proofErr w:type="spellStart"/>
      <w:r w:rsidRPr="001B717E">
        <w:rPr>
          <w:rFonts w:asciiTheme="minorHAnsi" w:hAnsiTheme="minorHAnsi" w:cstheme="minorHAnsi"/>
          <w:szCs w:val="22"/>
        </w:rPr>
        <w:t>Whoiswho</w:t>
      </w:r>
      <w:proofErr w:type="spellEnd"/>
      <w:r w:rsidRPr="001B717E">
        <w:rPr>
          <w:rFonts w:asciiTheme="minorHAnsi" w:hAnsiTheme="minorHAnsi" w:cstheme="minorHAnsi"/>
          <w:szCs w:val="22"/>
        </w:rPr>
        <w:t>“ ist das amtliche Verzeichnis der Organe und Einrichtungen der Europäischen Union und enthält Kontaktdaten aller Institutionen</w:t>
      </w:r>
      <w:r>
        <w:rPr>
          <w:rFonts w:asciiTheme="minorHAnsi" w:hAnsiTheme="minorHAnsi"/>
        </w:rPr>
        <w:t xml:space="preserve"> der EU. Es existiert in folgenden Formaten: online, als E-Book und in Papierform.</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Das vom Amt für Veröffentlichungen verwaltete EU-Portal für offene Daten ermöglicht den Zugriff auf Daten der Mitglieder, die auf den über das Mitgliederportal zugänglichen Mitglieder-Websites verfügbar sind.</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Die Übermittlung Ihrer Daten (Organisation/Einrichtung, Anschrift der Organisation/Einrichtung, Website, Titel, Nachname, Vorname, Foto, Funktion im EWSA, vertretenes Land, Funktion im Heimatland, Telefonnummer und E-Mail-Adresse, Mitgliedschaft in Arbeitsorganen des EWSA) an das Amt für Veröffentlichungen erfolgt zum Zweck ihrer Veröffentlichung im amtlichen Verzeichnis der Europäischen Union „EU </w:t>
      </w:r>
      <w:proofErr w:type="spellStart"/>
      <w:r>
        <w:rPr>
          <w:rFonts w:asciiTheme="minorHAnsi" w:hAnsiTheme="minorHAnsi"/>
        </w:rPr>
        <w:t>Whoiswho</w:t>
      </w:r>
      <w:proofErr w:type="spellEnd"/>
      <w:r>
        <w:rPr>
          <w:rFonts w:asciiTheme="minorHAnsi" w:hAnsiTheme="minorHAnsi"/>
        </w:rPr>
        <w:t>“, in dem die Kontaktdaten aller Organe und Einrichtungen der EU enthalten sind und das in folgenden Formaten vorliegt: online, als E-Book und in Papierform. Falls verfügbar, wird Ihr Foto in der elektronischen Fassung des „EU </w:t>
      </w:r>
      <w:proofErr w:type="spellStart"/>
      <w:r>
        <w:rPr>
          <w:rFonts w:asciiTheme="minorHAnsi" w:hAnsiTheme="minorHAnsi"/>
        </w:rPr>
        <w:t>Whoiswho</w:t>
      </w:r>
      <w:proofErr w:type="spellEnd"/>
      <w:r>
        <w:rPr>
          <w:rFonts w:asciiTheme="minorHAnsi" w:hAnsiTheme="minorHAnsi"/>
        </w:rPr>
        <w:t xml:space="preserve">“ veröffentlicht. In der Papierform des amtlichen EU-Verzeichnisses werden lediglich die Fotos des Präsidenten und der Vizepräsidenten veröffentlicht.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 xml:space="preserve">Das </w:t>
      </w:r>
      <w:hyperlink r:id="rId14">
        <w:r>
          <w:rPr>
            <w:rFonts w:asciiTheme="minorHAnsi" w:hAnsiTheme="minorHAnsi"/>
            <w:color w:val="0000FF"/>
            <w:u w:val="single"/>
          </w:rPr>
          <w:t>vom Amt für Veröffentlichungen verwaltete Internetportal</w:t>
        </w:r>
      </w:hyperlink>
      <w:r>
        <w:rPr>
          <w:rFonts w:asciiTheme="minorHAnsi" w:hAnsiTheme="minorHAnsi"/>
          <w:color w:val="000000"/>
        </w:rPr>
        <w:t xml:space="preserve"> ermöglicht auch den Zugriff auf Daten der Mitglieder, die auf den über das </w:t>
      </w:r>
      <w:hyperlink r:id="rId15">
        <w:r>
          <w:rPr>
            <w:rFonts w:asciiTheme="minorHAnsi" w:hAnsiTheme="minorHAnsi"/>
            <w:color w:val="0000FF"/>
            <w:u w:val="single"/>
          </w:rPr>
          <w:t>Internetportal des EWSA</w:t>
        </w:r>
      </w:hyperlink>
      <w:r>
        <w:rPr>
          <w:rFonts w:asciiTheme="minorHAnsi" w:hAnsiTheme="minorHAnsi"/>
          <w:color w:val="000000"/>
        </w:rPr>
        <w:t xml:space="preserve"> zugänglichen Mitgliederseiten verfügbar sind.</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Weitere Einzelheiten zur Verarbeitung Ihrer personenbezogenen Daten durch das Amt für Veröffentlichungen sind folgenden Dokumenten zu entnehmen:</w:t>
      </w:r>
    </w:p>
    <w:p w14:paraId="1FFE3AF4" w14:textId="234E9FEE" w:rsidR="002A7061" w:rsidRDefault="00612087" w:rsidP="00B354A2">
      <w:pPr>
        <w:spacing w:after="3" w:line="263" w:lineRule="auto"/>
        <w:ind w:left="560"/>
        <w:jc w:val="left"/>
      </w:pPr>
      <w:r>
        <w:rPr>
          <w:rFonts w:asciiTheme="minorHAnsi" w:hAnsiTheme="minorHAnsi"/>
          <w:u w:val="single"/>
        </w:rPr>
        <w:t>Amt für Veröffentlichungen der EU:</w:t>
      </w:r>
      <w:r>
        <w:rPr>
          <w:rFonts w:asciiTheme="minorHAnsi" w:hAnsiTheme="minorHAnsi"/>
        </w:rPr>
        <w:t xml:space="preserve"> </w:t>
      </w:r>
      <w:hyperlink r:id="rId16" w:history="1">
        <w:r>
          <w:rPr>
            <w:rFonts w:asciiTheme="minorHAnsi" w:hAnsiTheme="minorHAnsi"/>
            <w:color w:val="0000FF"/>
            <w:u w:val="single"/>
          </w:rPr>
          <w:t>Datenschutzerklärung</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Werden Ihre personenbezogenen Daten an Drittländer oder an internationale Organisationen weitergegeben?</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Ihre personenbezogenen Daten werden nicht an Drittländer bzw. EWR-Staaten oder internationale Organisationen weitergegeben.</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D87AB3">
      <w:pPr>
        <w:keepNext/>
        <w:keepLines/>
        <w:numPr>
          <w:ilvl w:val="0"/>
          <w:numId w:val="28"/>
        </w:numPr>
        <w:spacing w:after="3" w:line="259" w:lineRule="auto"/>
        <w:ind w:hanging="560"/>
        <w:rPr>
          <w:rFonts w:asciiTheme="minorHAnsi" w:hAnsiTheme="minorHAnsi" w:cstheme="minorHAnsi"/>
        </w:rPr>
      </w:pPr>
      <w:r>
        <w:rPr>
          <w:rFonts w:asciiTheme="minorHAnsi" w:hAnsiTheme="minorHAnsi"/>
          <w:b/>
        </w:rPr>
        <w:lastRenderedPageBreak/>
        <w:t xml:space="preserve">Wie können Sie Ihre Rechte geltend machen?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Sie haben das Recht, Ihre personenbezogenen Daten einzusehen, unzutreffende oder unvollständige Daten zu berichtigen, die Verarbeitung Ihrer personenbezogenen Daten (unter bestimmten Voraussetzungen) einzuschränken und (bei einer rechtswidrigen Verarbeitung) die Löschung Ihrer personenbezogenen Daten zu verlangen, sowie ggf. das Recht auf Datenübertragbarkeit. Sie haben das Recht, jederzeit aufgrund Ihrer besonderen Situation Widerspruch gegen die Verarbeitung Ihrer Daten einzulegen.</w:t>
      </w:r>
    </w:p>
    <w:p w14:paraId="2891715A" w14:textId="4FE4D93C" w:rsidR="002A7061" w:rsidRPr="008C14F9" w:rsidRDefault="002A7061" w:rsidP="004D3F24">
      <w:pPr>
        <w:pStyle w:val="Style1"/>
      </w:pPr>
      <w:r>
        <w:t xml:space="preserve">Sie können sich an das Referat Kanzlei und Legislativprogramm wenden, Rue </w:t>
      </w:r>
      <w:proofErr w:type="spellStart"/>
      <w:r>
        <w:t>Belliard</w:t>
      </w:r>
      <w:proofErr w:type="spellEnd"/>
      <w:r>
        <w:t>/</w:t>
      </w:r>
      <w:proofErr w:type="spellStart"/>
      <w:r>
        <w:t>Belliardstraat</w:t>
      </w:r>
      <w:proofErr w:type="spellEnd"/>
      <w:r>
        <w:t xml:space="preserve"> 99, 1040 Bruxelles/</w:t>
      </w:r>
      <w:proofErr w:type="spellStart"/>
      <w:r>
        <w:t>Brussel</w:t>
      </w:r>
      <w:proofErr w:type="spellEnd"/>
      <w:r>
        <w:t xml:space="preserve"> (</w:t>
      </w:r>
      <w:hyperlink r:id="rId17" w:history="1">
        <w:r>
          <w:rPr>
            <w:rStyle w:val="Hyperlink"/>
          </w:rPr>
          <w:t>nominations-eesc@eesc.europa.eu</w:t>
        </w:r>
      </w:hyperlink>
      <w:r>
        <w:t>). Ihre Anfrage wird unverzüglich, spätestens aber innerhalb eines Monats nach ihrem Erhalt bearbeitet. Dieser Zeitraum kann bei Bedarf um zwei Monate verlängert werden.</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Sie haben das Recht, sich an den </w:t>
      </w:r>
      <w:hyperlink r:id="rId18" w:history="1">
        <w:r>
          <w:rPr>
            <w:rStyle w:val="Hyperlink"/>
          </w:rPr>
          <w:t>Europäischen Datenschutzbeauftragten</w:t>
        </w:r>
      </w:hyperlink>
      <w:r>
        <w:t xml:space="preserve"> zu wenden, wenn Sie der Auffassung sind, dass Ihre Rechte aus der EU-DSVO aufgrund der Verarbeitung der Sie betreffenden personenbezogenen Daten durch den EWSA verletzt wurden.</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Wie lange werden Ihre personenbezogenen Daten gespeichert?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Personenbezogene Daten, die in vom EWSA registrierten Dokumenten enthalten sind, werden für im öffentlichen Interesse liegende Archivzwecke im Sinne von Artikel 4 Absatz 1 Buchstabe e der Verordnung (EU) 2018/1725, für mögliche historische Zwecke (z. B. zum Nachweis der langjährigen Mitgliedschaft eines Mitglieds in einem Gremium, wenn dieses Mitglied in eine Schlüsselfunktion innerhalb des EWSA bestellt werden soll, z. B. als Präsident/-in oder Vizepräsident/-in oder in eine andere Funktion) sowie für eventuelle statistische Zwecke aufbewahrt.</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Werden die erhobenen personenbezogenen Daten für die automatisierte Entscheidungsfindung und Erstellung von Profilen („</w:t>
      </w:r>
      <w:proofErr w:type="spellStart"/>
      <w:r>
        <w:rPr>
          <w:rFonts w:asciiTheme="minorHAnsi" w:hAnsiTheme="minorHAnsi"/>
          <w:b/>
        </w:rPr>
        <w:t>Profiling</w:t>
      </w:r>
      <w:proofErr w:type="spellEnd"/>
      <w:r>
        <w:rPr>
          <w:rFonts w:asciiTheme="minorHAnsi" w:hAnsiTheme="minorHAnsi"/>
          <w:b/>
        </w:rPr>
        <w:t xml:space="preserve">“) verwendet? </w:t>
      </w:r>
    </w:p>
    <w:p w14:paraId="538CC59A" w14:textId="6E2F5392" w:rsidR="002A7061" w:rsidRPr="008C14F9" w:rsidRDefault="002A7061" w:rsidP="00D87AB3">
      <w:pPr>
        <w:overflowPunct/>
        <w:autoSpaceDE/>
        <w:autoSpaceDN/>
        <w:adjustRightInd/>
        <w:spacing w:after="3" w:line="263" w:lineRule="auto"/>
        <w:ind w:left="560"/>
        <w:textAlignment w:val="auto"/>
        <w:rPr>
          <w:rFonts w:asciiTheme="minorHAnsi" w:hAnsiTheme="minorHAnsi" w:cstheme="minorHAnsi"/>
        </w:rPr>
      </w:pPr>
      <w:r>
        <w:rPr>
          <w:rFonts w:asciiTheme="minorHAnsi" w:hAnsiTheme="minorHAnsi"/>
          <w:shd w:val="clear" w:color="auto" w:fill="FFFFFF"/>
        </w:rPr>
        <w:t>Der EWSA wird Ihre personenbezogenen Daten nicht dazu nutzen, Sie betreffende automatisierte Entscheidungen zu treffen. Unter „automatisierten Entscheidungen“ sind ohne menschliche Beteiligung getroffene Entscheidungen zu verstehen.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Werden Ihre personenbezogenen Daten für einen anderen Zweck als den, für den sie erhoben wurden, weiterverarbeitet?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Ihre personenbezogenen Daten werden nicht für andere Zwecke weiterverarbeitet.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An wen wende ich mich bei Fragen oder Beschwerden? </w:t>
      </w:r>
    </w:p>
    <w:p w14:paraId="4D1FAA24" w14:textId="5EEF855C" w:rsidR="00C56472" w:rsidRPr="008C14F9" w:rsidRDefault="002A7061" w:rsidP="004D3F24">
      <w:pPr>
        <w:pStyle w:val="Style1"/>
      </w:pPr>
      <w:r>
        <w:t>Bei weiteren Fragen zur Verarbeitung Ihrer personenbezogenen Daten wenden Sie sich bitte zuerst an den Verantwortlichen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Sie können sich auch jederzeit unter Verwendung des entsprechenden Kontaktformulars an den </w:t>
      </w:r>
      <w:hyperlink r:id="rId20" w:history="1">
        <w:r>
          <w:rPr>
            <w:rStyle w:val="Hyperlink"/>
          </w:rPr>
          <w:t>Datenschutzbeauftragten des EWSA</w:t>
        </w:r>
      </w:hyperlink>
      <w:r>
        <w:t xml:space="preserve"> und/oder an den </w:t>
      </w:r>
      <w:hyperlink r:id="rId21" w:tgtFrame="_blank" w:history="1">
        <w:r>
          <w:rPr>
            <w:color w:val="0000FF"/>
            <w:u w:val="single"/>
          </w:rPr>
          <w:t>Europäischen Datenschutzbeauftragten</w:t>
        </w:r>
      </w:hyperlink>
      <w:r>
        <w:t xml:space="preserve"> wenden.</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EC2AD9">
      <w:fldChar w:fldCharType="begin"/>
    </w:r>
    <w:r w:rsidR="00EC2AD9">
      <w:instrText xml:space="preserve"> NUMPAGES </w:instrText>
    </w:r>
    <w:r w:rsidR="00EC2AD9">
      <w:fldChar w:fldCharType="separate"/>
    </w:r>
    <w:r w:rsidR="00553CB0">
      <w:t>6</w:t>
    </w:r>
    <w:r w:rsidR="00EC2A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Daten zur ausschließlich internen administrativen Verarbeitung.</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Weitere Informationen zur Verarbeitung Ihrer personenbezogenen Daten, die im EU </w:t>
      </w:r>
      <w:proofErr w:type="spellStart"/>
      <w:r>
        <w:rPr>
          <w:rFonts w:asciiTheme="minorHAnsi" w:hAnsiTheme="minorHAnsi"/>
        </w:rPr>
        <w:t>Whoiswho</w:t>
      </w:r>
      <w:proofErr w:type="spellEnd"/>
      <w:r>
        <w:rPr>
          <w:rFonts w:asciiTheme="minorHAnsi" w:hAnsiTheme="minorHAnsi"/>
        </w:rPr>
        <w:t xml:space="preserve"> veröffentlicht werden, erhalten Sie auf </w:t>
      </w:r>
      <w:hyperlink r:id="rId1" w:history="1">
        <w:r>
          <w:rPr>
            <w:rStyle w:val="Hyperlink"/>
            <w:rFonts w:asciiTheme="minorHAnsi" w:hAnsiTheme="minorHAnsi"/>
          </w:rPr>
          <w:t>https://op.europa.eu/de/web/about-us/legal-notices/op_whoiswho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B717E"/>
    <w:rsid w:val="001E4F95"/>
    <w:rsid w:val="001E766F"/>
    <w:rsid w:val="001F04B9"/>
    <w:rsid w:val="001F1A5C"/>
    <w:rsid w:val="001F22A8"/>
    <w:rsid w:val="0020573D"/>
    <w:rsid w:val="002102EC"/>
    <w:rsid w:val="0021094E"/>
    <w:rsid w:val="00224902"/>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541CA"/>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87AB3"/>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de-DE"/>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de-DE"/>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de-DE"/>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de-DE"/>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de-DE"/>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de-DE"/>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de-DE"/>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de-DE"/>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de-DE"/>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de-DE"/>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de-DE"/>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de-DE"/>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de-DE"/>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de-DE"/>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_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de"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de/web/about-us/privacy-statement" TargetMode="External"/><Relationship Id="rId20" Type="http://schemas.openxmlformats.org/officeDocument/2006/relationships/hyperlink" Target="https://www.eesc.europa.eu/de/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de/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de/web/who-is-who"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de/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A6WAAD5KZT2Q-235352946-5565</_dlc_DocId>
    <_dlc_DocIdUrl xmlns="1a33af13-4045-4f88-9d7b-618e30f79918">
      <Url>http://dm/eesc/2025/_layouts/15/DocIdRedir.aspx?ID=A6WAAD5KZT2Q-235352946-5565</Url>
      <Description>A6WAAD5KZT2Q-235352946-5565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Jonnek Holger</DisplayName>
        <AccountId>1566</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FB5AAFF3-F74F-48AB-B29C-A9B3CD5E60C8}"/>
</file>

<file path=customXml/itemProps2.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3.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4.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 Verwaltung der personenbezogenen Daten von Mitgliedern</dc:title>
  <dc:creator/>
  <cp:keywords>EESC-2025-02938-00-00-ADMIN-TRA-EN</cp:keywords>
  <dc:description>Rapporteur: -  Original language: - EN Date of document: - 08/09/2025 Date of meeting: -  External documents: -  Administrator responsible: - M. LEPOUTTRE Koenraad Jan Gommaire</dc:description>
  <cp:lastModifiedBy/>
  <cp:revision>9</cp:revision>
  <cp:lastPrinted>2018-05-25T09:11:00Z</cp:lastPrinted>
  <dcterms:created xsi:type="dcterms:W3CDTF">2025-09-12T08:22:00Z</dcterms:created>
  <dcterms:modified xsi:type="dcterms:W3CDTF">2025-09-15T12:53:00Z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2114b3b3-119d-45ef-84a0-27a56ea2f61b</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IT|0774613c-01ed-4e5d-a25d-11d2388de825;LT|a7ff5ce7-6123-4f68-865a-a57c31810414;EL|6d4f4d51-af9b-4650-94b4-4276bee85c91;MT|7df99101-6854-4a26-b53a-b88c0da02c26;PT|50ccc04a-eadd-42ae-a0cb-acaf45f812ba;LV|46f7e311-5d9f-4663-b433-18aeccb7ace7;EN|f2175f21-25d7-44a3-96da-d6a61b075e1b;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32;#MT|7df99101-6854-4a26-b53a-b88c0da02c26;#30;#LT|a7ff5ce7-6123-4f68-865a-a57c31810414;#27;#NL|55c6556c-b4f4-441d-9acf-c498d4f838bd;#24;#PL|1e03da61-4678-4e07-b136-b5024ca9197b;#22;#ADMIN|58d8ac89-e690-41f6-a5e8-508fa4a7c73c;#16;#ES|e7a6b05b-ae16-40c8-add9-68b64b03aeba;#13;#TRA|150d2a88-1431-44e6-a8ca-0bb753ab8672;#46;#SK|46d9fce0-ef79-4f71-b89b-cd6aa82426b8;#8;#Final|ea5e6674-7b27-4bac-b091-73adbb394efe;#5;#EN|f2175f21-25d7-44a3-96da-d6a61b075e1b;#6;#Internal|2451815e-8241-4bbf-a22e-1ab710712bf2;#42;#EL|6d4f4d51-af9b-4650-94b4-4276bee85c91;#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23;#DE|f6b31e5a-26fa-4935-b661-318e46daf27e</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