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E8D4" w14:textId="5336FF33" w:rsidR="006F33F4" w:rsidRPr="000B323C" w:rsidRDefault="006E7A01" w:rsidP="006E7A01">
      <w:pPr>
        <w:spacing w:after="0" w:line="240" w:lineRule="auto"/>
        <w:ind w:right="-567"/>
        <w:jc w:val="center"/>
        <w:rPr>
          <w:rFonts w:ascii="Times New Roman" w:eastAsia="Calibri Light" w:hAnsi="Times New Roman" w:cs="Times New Roman"/>
          <w:b/>
          <w:bCs/>
          <w:color w:val="2E74B5"/>
          <w:sz w:val="32"/>
          <w:szCs w:val="32"/>
        </w:rPr>
      </w:pPr>
      <w:r>
        <w:rPr>
          <w:rFonts w:ascii="Times New Roman" w:hAnsi="Times New Roman"/>
          <w:b/>
          <w:color w:val="2E74B5"/>
          <w:sz w:val="32"/>
        </w:rPr>
        <w:t xml:space="preserve">RAPPORT DE FIN DE MANDAT DE LA SECTION TEN </w:t>
      </w:r>
      <w:r w:rsidR="00D04734">
        <w:rPr>
          <w:rFonts w:ascii="Times New Roman" w:hAnsi="Times New Roman"/>
          <w:b/>
          <w:color w:val="2E74B5"/>
          <w:sz w:val="32"/>
        </w:rPr>
        <w:br/>
      </w:r>
      <w:r>
        <w:rPr>
          <w:rFonts w:ascii="Times New Roman" w:hAnsi="Times New Roman"/>
          <w:b/>
          <w:color w:val="2E74B5"/>
          <w:sz w:val="32"/>
        </w:rPr>
        <w:t>(avril 2023 — octobre 2025)</w:t>
      </w:r>
    </w:p>
    <w:p w14:paraId="34AB7BD7" w14:textId="21CA1CE4" w:rsidR="006E7A01" w:rsidRPr="000B323C" w:rsidRDefault="000B323C" w:rsidP="006E7A01">
      <w:pPr>
        <w:spacing w:after="0" w:line="240" w:lineRule="auto"/>
        <w:jc w:val="both"/>
        <w:rPr>
          <w:rFonts w:ascii="Times New Roman" w:eastAsia="Calibri Light" w:hAnsi="Times New Roman" w:cs="Times New Roman"/>
          <w:color w:val="2E74B5"/>
          <w:sz w:val="32"/>
          <w:szCs w:val="32"/>
        </w:rPr>
      </w:pPr>
      <w:r>
        <w:rPr>
          <w:rFonts w:ascii="Times New Roman" w:hAnsi="Times New Roman"/>
          <w:noProof/>
          <w:color w:val="2E74B5"/>
          <w:sz w:val="20"/>
        </w:rPr>
        <mc:AlternateContent>
          <mc:Choice Requires="wps">
            <w:drawing>
              <wp:anchor distT="0" distB="0" distL="114300" distR="114300" simplePos="0" relativeHeight="251658752" behindDoc="1" locked="0" layoutInCell="0" allowOverlap="1" wp14:anchorId="4E6F57E6" wp14:editId="3EF8893E">
                <wp:simplePos x="0" y="0"/>
                <wp:positionH relativeFrom="page">
                  <wp:posOffset>6583680</wp:posOffset>
                </wp:positionH>
                <wp:positionV relativeFrom="bottomMargin">
                  <wp:posOffset>1270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A2638" w14:textId="77777777" w:rsidR="000B323C" w:rsidRPr="00260E65" w:rsidRDefault="000B323C" w:rsidP="000B323C">
                            <w:pPr>
                              <w:jc w:val="center"/>
                              <w:rPr>
                                <w:rFonts w:ascii="Arial" w:hAnsi="Arial" w:cs="Arial"/>
                                <w:b/>
                                <w:bCs/>
                                <w:sz w:val="48"/>
                              </w:rPr>
                            </w:pPr>
                            <w:r>
                              <w:rPr>
                                <w:rFonts w:ascii="Arial" w:hAnsi="Arial"/>
                                <w:b/>
                                <w:sz w:val="48"/>
                              </w:rPr>
                              <w:t>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F57E6" id="_x0000_t202" coordsize="21600,21600" o:spt="202" path="m,l,21600r21600,l21600,xe">
                <v:stroke joinstyle="miter"/>
                <v:path gradientshapeok="t" o:connecttype="rect"/>
              </v:shapetype>
              <v:shape id="Text Box 17" o:spid="_x0000_s1026" type="#_x0000_t202" style="position:absolute;left:0;text-align:left;margin-left:518.4pt;margin-top:.1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seN2rtwAAAAJAQAADwAAAGRycy9kb3ducmV2LnhtbEyPy07DMBBF90j8gzVI&#10;7Oi4KUQlxKkQiC2I8pDYufE0iYjHUew24e+ZrmB5dEf3nik3s+/VkcbYBTawXGhQxHVwHTcG3t+e&#10;rtagYrLsbB+YDPxQhE11flbawoWJX+m4TY2SEo6FNdCmNBSIsW7J27gIA7Fk+zB6mwTHBt1oJyn3&#10;PWZa5+htx7LQ2oEeWqq/twdv4ON5//V5rV+aR38zTGHWyP4Wjbm8mO/vQCWa098xnPRFHSpx2oUD&#10;u6h6Yb3KxT0ZyECd8uVqLbwzkGc5YFXi/w+qXwAAAP//AwBQSwECLQAUAAYACAAAACEAtoM4kv4A&#10;AADhAQAAEwAAAAAAAAAAAAAAAAAAAAAAW0NvbnRlbnRfVHlwZXNdLnhtbFBLAQItABQABgAIAAAA&#10;IQA4/SH/1gAAAJQBAAALAAAAAAAAAAAAAAAAAC8BAABfcmVscy8ucmVsc1BLAQItABQABgAIAAAA&#10;IQA/ZDnW3wEAAKADAAAOAAAAAAAAAAAAAAAAAC4CAABkcnMvZTJvRG9jLnhtbFBLAQItABQABgAI&#10;AAAAIQCx43au3AAAAAkBAAAPAAAAAAAAAAAAAAAAADkEAABkcnMvZG93bnJldi54bWxQSwUGAAAA&#10;AAQABADzAAAAQgUAAAAA&#10;" o:allowincell="f" filled="f" stroked="f">
                <v:textbox>
                  <w:txbxContent>
                    <w:p w14:paraId="461A2638" w14:textId="77777777" w:rsidR="000B323C" w:rsidRPr="00260E65" w:rsidRDefault="000B323C" w:rsidP="000B323C">
                      <w:pPr>
                        <w:jc w:val="center"/>
                        <w:rPr>
                          <w:rFonts w:ascii="Arial" w:hAnsi="Arial" w:cs="Arial"/>
                          <w:b/>
                          <w:bCs/>
                          <w:sz w:val="48"/>
                        </w:rPr>
                      </w:pPr>
                      <w:r>
                        <w:rPr>
                          <w:rFonts w:ascii="Arial" w:hAnsi="Arial"/>
                          <w:b/>
                          <w:sz w:val="48"/>
                        </w:rPr>
                        <w:t>FR</w:t>
                      </w:r>
                    </w:p>
                  </w:txbxContent>
                </v:textbox>
                <w10:wrap anchorx="page" anchory="margin"/>
              </v:shape>
            </w:pict>
          </mc:Fallback>
        </mc:AlternateContent>
      </w:r>
    </w:p>
    <w:p w14:paraId="533BA5D6" w14:textId="36F373BA" w:rsidR="006F33F4" w:rsidRPr="000B323C" w:rsidRDefault="3A924AF7" w:rsidP="006E7A01">
      <w:pPr>
        <w:spacing w:after="0" w:line="240" w:lineRule="auto"/>
        <w:jc w:val="both"/>
        <w:rPr>
          <w:rFonts w:ascii="Times New Roman" w:hAnsi="Times New Roman" w:cs="Times New Roman"/>
        </w:rPr>
      </w:pPr>
      <w:r>
        <w:rPr>
          <w:rFonts w:ascii="Times New Roman" w:hAnsi="Times New Roman"/>
          <w:color w:val="2E74B5"/>
          <w:sz w:val="32"/>
        </w:rPr>
        <w:t>Table des matières</w:t>
      </w:r>
    </w:p>
    <w:p w14:paraId="5D8E2ED1" w14:textId="3535CC7E" w:rsidR="006F33F4" w:rsidRPr="000B323C" w:rsidRDefault="006F33F4" w:rsidP="006E7A01">
      <w:pPr>
        <w:spacing w:after="0" w:line="240" w:lineRule="auto"/>
        <w:jc w:val="both"/>
        <w:rPr>
          <w:rFonts w:ascii="Times New Roman" w:hAnsi="Times New Roman" w:cs="Times New Roman"/>
        </w:rPr>
      </w:pPr>
    </w:p>
    <w:p w14:paraId="605132B9" w14:textId="3CA3F006" w:rsidR="0083137E" w:rsidRPr="00F721A4" w:rsidRDefault="00D3495D" w:rsidP="00F721A4">
      <w:pPr>
        <w:pStyle w:val="ListParagraph"/>
        <w:numPr>
          <w:ilvl w:val="0"/>
          <w:numId w:val="27"/>
        </w:numPr>
        <w:spacing w:after="0" w:line="240" w:lineRule="auto"/>
        <w:ind w:left="567" w:hanging="567"/>
        <w:jc w:val="both"/>
        <w:rPr>
          <w:rFonts w:ascii="Times New Roman" w:eastAsia="Calibri Light" w:hAnsi="Times New Roman" w:cs="Times New Roman"/>
        </w:rPr>
      </w:pPr>
      <w:r>
        <w:rPr>
          <w:rFonts w:ascii="Times New Roman" w:hAnsi="Times New Roman"/>
        </w:rPr>
        <w:t xml:space="preserve">Énergie propre et abordable </w:t>
      </w:r>
    </w:p>
    <w:p w14:paraId="3BF055F9" w14:textId="783BDF88" w:rsidR="000002C0" w:rsidRPr="00F721A4" w:rsidRDefault="000002C0" w:rsidP="00F721A4">
      <w:pPr>
        <w:pStyle w:val="ListParagraph"/>
        <w:numPr>
          <w:ilvl w:val="0"/>
          <w:numId w:val="27"/>
        </w:numPr>
        <w:spacing w:after="0" w:line="240" w:lineRule="auto"/>
        <w:ind w:left="567" w:hanging="567"/>
        <w:jc w:val="both"/>
        <w:rPr>
          <w:rFonts w:ascii="Times New Roman" w:eastAsia="Calibri Light" w:hAnsi="Times New Roman" w:cs="Times New Roman"/>
        </w:rPr>
      </w:pPr>
      <w:r>
        <w:rPr>
          <w:rFonts w:ascii="Times New Roman" w:hAnsi="Times New Roman"/>
        </w:rPr>
        <w:t xml:space="preserve">Logement </w:t>
      </w:r>
    </w:p>
    <w:p w14:paraId="534B4989" w14:textId="2BFB5DF1" w:rsidR="0083137E" w:rsidRPr="00F721A4" w:rsidRDefault="0083137E" w:rsidP="00F721A4">
      <w:pPr>
        <w:pStyle w:val="ListParagraph"/>
        <w:numPr>
          <w:ilvl w:val="0"/>
          <w:numId w:val="27"/>
        </w:numPr>
        <w:spacing w:after="0" w:line="240" w:lineRule="auto"/>
        <w:ind w:left="567" w:hanging="567"/>
        <w:jc w:val="both"/>
        <w:rPr>
          <w:rFonts w:ascii="Times New Roman" w:eastAsia="Calibri Light" w:hAnsi="Times New Roman" w:cs="Times New Roman"/>
        </w:rPr>
      </w:pPr>
      <w:r>
        <w:rPr>
          <w:rFonts w:ascii="Times New Roman" w:hAnsi="Times New Roman"/>
        </w:rPr>
        <w:t xml:space="preserve">Énergie nucléaire et questions liées au nucléaire </w:t>
      </w:r>
    </w:p>
    <w:p w14:paraId="149710F7" w14:textId="654FB200" w:rsidR="0083137E" w:rsidRPr="00F721A4" w:rsidRDefault="0083137E" w:rsidP="00F721A4">
      <w:pPr>
        <w:pStyle w:val="ListParagraph"/>
        <w:numPr>
          <w:ilvl w:val="0"/>
          <w:numId w:val="27"/>
        </w:numPr>
        <w:spacing w:after="0" w:line="240" w:lineRule="auto"/>
        <w:ind w:left="567" w:hanging="567"/>
        <w:jc w:val="both"/>
        <w:rPr>
          <w:rFonts w:ascii="Times New Roman" w:eastAsia="Calibri" w:hAnsi="Times New Roman" w:cs="Times New Roman"/>
        </w:rPr>
      </w:pPr>
      <w:r>
        <w:rPr>
          <w:rFonts w:ascii="Times New Roman" w:hAnsi="Times New Roman"/>
        </w:rPr>
        <w:t>Parvenir à des transports durables, propres, abordables et accessibles</w:t>
      </w:r>
      <w:r>
        <w:rPr>
          <w:rFonts w:ascii="Times New Roman" w:hAnsi="Times New Roman"/>
          <w:highlight w:val="yellow"/>
        </w:rPr>
        <w:t xml:space="preserve"> </w:t>
      </w:r>
    </w:p>
    <w:p w14:paraId="026A788E" w14:textId="3D6CA6D5" w:rsidR="0083137E" w:rsidRPr="00F721A4" w:rsidRDefault="0083137E" w:rsidP="00F721A4">
      <w:pPr>
        <w:pStyle w:val="ListParagraph"/>
        <w:numPr>
          <w:ilvl w:val="0"/>
          <w:numId w:val="27"/>
        </w:numPr>
        <w:spacing w:after="0" w:line="240" w:lineRule="auto"/>
        <w:ind w:left="567" w:hanging="567"/>
        <w:jc w:val="both"/>
        <w:rPr>
          <w:rFonts w:ascii="Times New Roman" w:eastAsia="Calibri Light" w:hAnsi="Times New Roman" w:cs="Times New Roman"/>
        </w:rPr>
      </w:pPr>
      <w:proofErr w:type="gramStart"/>
      <w:r>
        <w:rPr>
          <w:rFonts w:ascii="Times New Roman" w:hAnsi="Times New Roman"/>
        </w:rPr>
        <w:t>Télécommunications:</w:t>
      </w:r>
      <w:proofErr w:type="gramEnd"/>
      <w:r>
        <w:rPr>
          <w:rFonts w:ascii="Times New Roman" w:hAnsi="Times New Roman"/>
        </w:rPr>
        <w:t xml:space="preserve"> accès universel, politique spatiale de l’UE, connectivité sûre</w:t>
      </w:r>
      <w:r>
        <w:rPr>
          <w:rFonts w:ascii="Times New Roman" w:hAnsi="Times New Roman"/>
          <w:highlight w:val="yellow"/>
        </w:rPr>
        <w:t xml:space="preserve"> </w:t>
      </w:r>
    </w:p>
    <w:p w14:paraId="6F64DA3F" w14:textId="19698568" w:rsidR="0083137E" w:rsidRPr="00F721A4" w:rsidRDefault="0083137E" w:rsidP="00F721A4">
      <w:pPr>
        <w:pStyle w:val="ListParagraph"/>
        <w:numPr>
          <w:ilvl w:val="0"/>
          <w:numId w:val="27"/>
        </w:numPr>
        <w:spacing w:after="0" w:line="240" w:lineRule="auto"/>
        <w:ind w:left="567" w:hanging="567"/>
        <w:jc w:val="both"/>
        <w:rPr>
          <w:rFonts w:ascii="Times New Roman" w:eastAsia="Calibri Light" w:hAnsi="Times New Roman" w:cs="Times New Roman"/>
        </w:rPr>
      </w:pPr>
      <w:r>
        <w:rPr>
          <w:rFonts w:ascii="Times New Roman" w:hAnsi="Times New Roman"/>
        </w:rPr>
        <w:t>Écho interinstitutionnel</w:t>
      </w:r>
    </w:p>
    <w:p w14:paraId="4A9C30B4" w14:textId="6839F69F" w:rsidR="0083137E" w:rsidRPr="00F721A4" w:rsidRDefault="0083137E" w:rsidP="00F721A4">
      <w:pPr>
        <w:pStyle w:val="ListParagraph"/>
        <w:numPr>
          <w:ilvl w:val="0"/>
          <w:numId w:val="27"/>
        </w:numPr>
        <w:spacing w:after="0" w:line="240" w:lineRule="auto"/>
        <w:ind w:left="567" w:hanging="567"/>
        <w:jc w:val="both"/>
        <w:rPr>
          <w:rFonts w:ascii="Times New Roman" w:eastAsia="Calibri Light" w:hAnsi="Times New Roman" w:cs="Times New Roman"/>
        </w:rPr>
      </w:pPr>
      <w:r>
        <w:rPr>
          <w:rFonts w:ascii="Times New Roman" w:hAnsi="Times New Roman"/>
        </w:rPr>
        <w:t>Initiatives phares</w:t>
      </w:r>
      <w:r>
        <w:rPr>
          <w:rFonts w:ascii="Times New Roman" w:hAnsi="Times New Roman"/>
          <w:highlight w:val="yellow"/>
        </w:rPr>
        <w:t xml:space="preserve"> </w:t>
      </w:r>
    </w:p>
    <w:p w14:paraId="27D6B391" w14:textId="26A57A96" w:rsidR="0083137E" w:rsidRPr="00F721A4" w:rsidRDefault="00B9032B" w:rsidP="00F721A4">
      <w:pPr>
        <w:pStyle w:val="ListParagraph"/>
        <w:numPr>
          <w:ilvl w:val="0"/>
          <w:numId w:val="27"/>
        </w:numPr>
        <w:spacing w:after="0" w:line="240" w:lineRule="auto"/>
        <w:ind w:left="567" w:hanging="567"/>
        <w:jc w:val="both"/>
        <w:rPr>
          <w:rFonts w:ascii="Times New Roman" w:eastAsia="Calibri Light" w:hAnsi="Times New Roman" w:cs="Times New Roman"/>
        </w:rPr>
      </w:pPr>
      <w:r>
        <w:rPr>
          <w:rFonts w:ascii="Times New Roman" w:hAnsi="Times New Roman"/>
        </w:rPr>
        <w:t>Outils</w:t>
      </w:r>
      <w:r w:rsidR="0083137E">
        <w:rPr>
          <w:rFonts w:ascii="Times New Roman" w:hAnsi="Times New Roman"/>
        </w:rPr>
        <w:t xml:space="preserve"> de communication</w:t>
      </w:r>
      <w:r w:rsidR="0083137E">
        <w:rPr>
          <w:rFonts w:ascii="Times New Roman" w:hAnsi="Times New Roman"/>
          <w:highlight w:val="yellow"/>
        </w:rPr>
        <w:t xml:space="preserve"> </w:t>
      </w:r>
    </w:p>
    <w:p w14:paraId="36036F9E" w14:textId="14C0538D" w:rsidR="006F33F4" w:rsidRPr="00F721A4" w:rsidRDefault="00484699" w:rsidP="00F721A4">
      <w:pPr>
        <w:pStyle w:val="ListParagraph"/>
        <w:numPr>
          <w:ilvl w:val="0"/>
          <w:numId w:val="27"/>
        </w:numPr>
        <w:spacing w:after="0" w:line="240" w:lineRule="auto"/>
        <w:ind w:left="567" w:hanging="567"/>
        <w:jc w:val="both"/>
        <w:rPr>
          <w:rFonts w:ascii="Times New Roman" w:eastAsia="Calibri Light" w:hAnsi="Times New Roman" w:cs="Times New Roman"/>
        </w:rPr>
      </w:pPr>
      <w:r>
        <w:rPr>
          <w:rFonts w:ascii="Times New Roman" w:hAnsi="Times New Roman"/>
        </w:rPr>
        <w:t>Perspectives du prochain mandat du CESE</w:t>
      </w:r>
      <w:r>
        <w:rPr>
          <w:rFonts w:ascii="Times New Roman" w:hAnsi="Times New Roman"/>
          <w:highlight w:val="yellow"/>
        </w:rPr>
        <w:t xml:space="preserve"> </w:t>
      </w:r>
    </w:p>
    <w:p w14:paraId="27C2D135" w14:textId="37FA6B87" w:rsidR="006F33F4" w:rsidRPr="000B323C" w:rsidRDefault="3A924AF7" w:rsidP="006E7A01">
      <w:pPr>
        <w:spacing w:after="0" w:line="240" w:lineRule="auto"/>
        <w:jc w:val="both"/>
        <w:rPr>
          <w:rFonts w:ascii="Times New Roman" w:hAnsi="Times New Roman" w:cs="Times New Roman"/>
        </w:rPr>
      </w:pPr>
      <w:r>
        <w:rPr>
          <w:rFonts w:ascii="Times New Roman" w:hAnsi="Times New Roman"/>
        </w:rPr>
        <w:t xml:space="preserve">Annexe — Statistiques clés </w:t>
      </w:r>
    </w:p>
    <w:p w14:paraId="7BCFA863" w14:textId="559F966D" w:rsidR="006F33F4" w:rsidRPr="000B323C" w:rsidRDefault="006F33F4" w:rsidP="006E7A01">
      <w:pPr>
        <w:spacing w:after="0" w:line="240" w:lineRule="auto"/>
        <w:jc w:val="both"/>
        <w:rPr>
          <w:rFonts w:ascii="Times New Roman" w:hAnsi="Times New Roman" w:cs="Times New Roman"/>
        </w:rPr>
      </w:pPr>
    </w:p>
    <w:p w14:paraId="6223E90E" w14:textId="3151F45B" w:rsidR="006F33F4" w:rsidRPr="00F721A4" w:rsidRDefault="00D3495D" w:rsidP="00F721A4">
      <w:pPr>
        <w:pStyle w:val="Heading1"/>
      </w:pPr>
      <w:r>
        <w:t>Énergie propre et abordable</w:t>
      </w:r>
    </w:p>
    <w:p w14:paraId="3E870CF1" w14:textId="77777777" w:rsidR="0058432D" w:rsidRPr="000B323C" w:rsidRDefault="0058432D" w:rsidP="006E7A01">
      <w:pPr>
        <w:spacing w:after="0" w:line="240" w:lineRule="auto"/>
        <w:jc w:val="both"/>
        <w:rPr>
          <w:rFonts w:ascii="Times New Roman" w:eastAsia="Times New Roman" w:hAnsi="Times New Roman" w:cs="Times New Roman"/>
          <w:color w:val="000000" w:themeColor="text1"/>
          <w:sz w:val="22"/>
          <w:szCs w:val="22"/>
          <w:lang w:val="en-GB"/>
        </w:rPr>
      </w:pPr>
    </w:p>
    <w:p w14:paraId="5E083FE8" w14:textId="68AB7F50" w:rsidR="0058432D" w:rsidRPr="000B323C" w:rsidRDefault="0058432D" w:rsidP="006E7A01">
      <w:pPr>
        <w:spacing w:after="0" w:line="240" w:lineRule="auto"/>
        <w:jc w:val="both"/>
        <w:rPr>
          <w:rFonts w:ascii="Times New Roman" w:eastAsia="Times New Roman" w:hAnsi="Times New Roman" w:cs="Times New Roman"/>
          <w:sz w:val="22"/>
          <w:szCs w:val="22"/>
        </w:rPr>
      </w:pPr>
      <w:r>
        <w:rPr>
          <w:rFonts w:ascii="Times New Roman" w:hAnsi="Times New Roman"/>
          <w:color w:val="000000" w:themeColor="text1"/>
          <w:sz w:val="22"/>
        </w:rPr>
        <w:t xml:space="preserve">L’engagement de la section «Transports, énergie, infrastructures et société de l’information» (section TEN) dans la lutte contre la </w:t>
      </w:r>
      <w:r>
        <w:rPr>
          <w:rFonts w:ascii="Times New Roman" w:hAnsi="Times New Roman"/>
          <w:b/>
          <w:color w:val="000000" w:themeColor="text1"/>
          <w:sz w:val="22"/>
        </w:rPr>
        <w:t>précarité énergétique</w:t>
      </w:r>
      <w:r>
        <w:rPr>
          <w:rFonts w:ascii="Times New Roman" w:hAnsi="Times New Roman"/>
          <w:color w:val="000000" w:themeColor="text1"/>
          <w:sz w:val="22"/>
        </w:rPr>
        <w:t xml:space="preserve"> s’est poursuivi au cours de cette deuxième partie du mandat, avec nos conférences annuelles sur le sujet «</w:t>
      </w:r>
      <w:hyperlink r:id="rId12">
        <w:r w:rsidRPr="00C834F8">
          <w:rPr>
            <w:rStyle w:val="Hyperlink"/>
            <w:rFonts w:ascii="Times New Roman" w:hAnsi="Times New Roman"/>
            <w:i/>
            <w:sz w:val="22"/>
          </w:rPr>
          <w:t>Lutter contre la précarité énergétique pour une transition juste</w:t>
        </w:r>
      </w:hyperlink>
      <w:r>
        <w:rPr>
          <w:rFonts w:ascii="Times New Roman" w:hAnsi="Times New Roman"/>
          <w:color w:val="000000" w:themeColor="text1"/>
          <w:sz w:val="22"/>
        </w:rPr>
        <w:t xml:space="preserve">» en 2023 </w:t>
      </w:r>
      <w:r>
        <w:rPr>
          <w:rFonts w:ascii="Times New Roman" w:hAnsi="Times New Roman"/>
          <w:color w:val="002060"/>
          <w:sz w:val="22"/>
        </w:rPr>
        <w:t>et «</w:t>
      </w:r>
      <w:hyperlink r:id="rId13">
        <w:r w:rsidRPr="00C834F8">
          <w:rPr>
            <w:rStyle w:val="Hyperlink"/>
            <w:rFonts w:ascii="Times New Roman" w:hAnsi="Times New Roman"/>
            <w:i/>
            <w:sz w:val="22"/>
          </w:rPr>
          <w:t>Une énergie abordable: Donner corps aux idées de la société civile</w:t>
        </w:r>
      </w:hyperlink>
      <w:r>
        <w:rPr>
          <w:rFonts w:ascii="Times New Roman" w:hAnsi="Times New Roman"/>
          <w:sz w:val="22"/>
        </w:rPr>
        <w:t>» en 2024</w:t>
      </w:r>
      <w:r>
        <w:rPr>
          <w:rFonts w:ascii="Times New Roman" w:hAnsi="Times New Roman"/>
          <w:color w:val="000000" w:themeColor="text1"/>
          <w:sz w:val="22"/>
        </w:rPr>
        <w:t>. La série s’est terminée par la conférence «</w:t>
      </w:r>
      <w:hyperlink r:id="rId14">
        <w:r w:rsidRPr="00C834F8">
          <w:rPr>
            <w:rStyle w:val="Hyperlink"/>
            <w:rFonts w:ascii="Times New Roman" w:hAnsi="Times New Roman"/>
            <w:i/>
            <w:sz w:val="22"/>
          </w:rPr>
          <w:t>Fournir une énergie abordable en Europe</w:t>
        </w:r>
      </w:hyperlink>
      <w:r>
        <w:rPr>
          <w:rFonts w:ascii="Times New Roman" w:hAnsi="Times New Roman"/>
          <w:sz w:val="22"/>
        </w:rPr>
        <w:t>» organisée conjointement par la section TEN du CESE et la DG ENER de la Commission européenne en juin 2025.</w:t>
      </w:r>
    </w:p>
    <w:p w14:paraId="16816F93" w14:textId="77777777" w:rsidR="00E7012E" w:rsidRPr="000B323C" w:rsidRDefault="00E7012E" w:rsidP="006E7A01">
      <w:pPr>
        <w:spacing w:after="0" w:line="240" w:lineRule="auto"/>
        <w:jc w:val="both"/>
        <w:rPr>
          <w:rFonts w:ascii="Times New Roman" w:eastAsia="Times New Roman" w:hAnsi="Times New Roman" w:cs="Times New Roman"/>
          <w:sz w:val="22"/>
          <w:szCs w:val="22"/>
          <w:lang w:val="en-GB"/>
        </w:rPr>
      </w:pPr>
    </w:p>
    <w:p w14:paraId="7D88969F" w14:textId="1D4B30D7" w:rsidR="0058432D" w:rsidRPr="000B323C" w:rsidRDefault="0058432D" w:rsidP="006E7A01">
      <w:pPr>
        <w:spacing w:after="0" w:line="240" w:lineRule="auto"/>
        <w:jc w:val="both"/>
        <w:rPr>
          <w:rFonts w:ascii="Times New Roman" w:eastAsia="Times New Roman" w:hAnsi="Times New Roman" w:cs="Times New Roman"/>
          <w:color w:val="000000" w:themeColor="text1"/>
          <w:sz w:val="22"/>
          <w:szCs w:val="22"/>
        </w:rPr>
      </w:pPr>
      <w:r>
        <w:rPr>
          <w:rFonts w:ascii="Times New Roman" w:hAnsi="Times New Roman"/>
          <w:color w:val="000000" w:themeColor="text1"/>
          <w:sz w:val="22"/>
        </w:rPr>
        <w:t xml:space="preserve">Ces manifestations ont renforcé le dialogue et la coopération entre les organisations de la société civile (par exemple, avec le groupe consultatif sur la précarité énergétique et le Réseau européen de lutte contre la pauvreté) et la participation de représentants du Parlement européen et du Comité des régions. </w:t>
      </w:r>
    </w:p>
    <w:p w14:paraId="29040D89" w14:textId="77777777" w:rsidR="00E7012E" w:rsidRPr="000B323C" w:rsidRDefault="00E7012E" w:rsidP="006E7A01">
      <w:pPr>
        <w:spacing w:after="0" w:line="240" w:lineRule="auto"/>
        <w:jc w:val="both"/>
        <w:rPr>
          <w:rFonts w:ascii="Times New Roman" w:hAnsi="Times New Roman" w:cs="Times New Roman"/>
        </w:rPr>
      </w:pPr>
    </w:p>
    <w:p w14:paraId="7C074ED0" w14:textId="1329BC2E" w:rsidR="0058432D" w:rsidRPr="000B323C" w:rsidRDefault="00BE246C" w:rsidP="006E7A01">
      <w:pPr>
        <w:spacing w:after="0" w:line="240" w:lineRule="auto"/>
        <w:jc w:val="both"/>
        <w:rPr>
          <w:rFonts w:ascii="Times New Roman" w:eastAsia="Times New Roman" w:hAnsi="Times New Roman" w:cs="Times New Roman"/>
          <w:color w:val="000000" w:themeColor="text1"/>
          <w:sz w:val="22"/>
          <w:szCs w:val="22"/>
        </w:rPr>
      </w:pPr>
      <w:r>
        <w:rPr>
          <w:rFonts w:ascii="Times New Roman" w:hAnsi="Times New Roman"/>
          <w:color w:val="000000" w:themeColor="text1"/>
          <w:sz w:val="22"/>
        </w:rPr>
        <w:t xml:space="preserve">La précarité énergétique et le caractère abordable de l’énergie ont été évoqués dans de nombreux avis de la section TEN en soutien de la réalisation de la </w:t>
      </w:r>
      <w:hyperlink r:id="rId15" w:history="1">
        <w:r>
          <w:rPr>
            <w:rStyle w:val="Hyperlink"/>
            <w:rFonts w:ascii="Times New Roman" w:hAnsi="Times New Roman"/>
            <w:sz w:val="22"/>
          </w:rPr>
          <w:t>transition énergétique</w:t>
        </w:r>
      </w:hyperlink>
      <w:r>
        <w:rPr>
          <w:rFonts w:ascii="Times New Roman" w:hAnsi="Times New Roman"/>
          <w:color w:val="000000" w:themeColor="text1"/>
          <w:sz w:val="22"/>
        </w:rPr>
        <w:t xml:space="preserve"> ainsi que de la sécurité énergétique et de l’autonomie stratégique. La promotion de la </w:t>
      </w:r>
      <w:hyperlink r:id="rId16" w:history="1">
        <w:r>
          <w:rPr>
            <w:rStyle w:val="Hyperlink"/>
            <w:rFonts w:ascii="Times New Roman" w:hAnsi="Times New Roman"/>
            <w:sz w:val="22"/>
          </w:rPr>
          <w:t>rénovation des bâtiments</w:t>
        </w:r>
      </w:hyperlink>
      <w:r>
        <w:rPr>
          <w:rFonts w:ascii="Times New Roman" w:hAnsi="Times New Roman"/>
          <w:color w:val="000000" w:themeColor="text1"/>
          <w:sz w:val="22"/>
        </w:rPr>
        <w:t xml:space="preserve"> afin de soutenir les groupes avec les revenus les plus bas et la nécessité d’</w:t>
      </w:r>
      <w:hyperlink r:id="rId17" w:history="1">
        <w:r>
          <w:rPr>
            <w:rStyle w:val="Hyperlink"/>
            <w:rFonts w:ascii="Times New Roman" w:hAnsi="Times New Roman"/>
            <w:sz w:val="22"/>
          </w:rPr>
          <w:t>impliquer les citoyens dans la transition énergétique</w:t>
        </w:r>
      </w:hyperlink>
      <w:r>
        <w:rPr>
          <w:rFonts w:ascii="Times New Roman" w:hAnsi="Times New Roman"/>
          <w:color w:val="000000" w:themeColor="text1"/>
          <w:sz w:val="22"/>
        </w:rPr>
        <w:t xml:space="preserve"> ont également été mises en avant. </w:t>
      </w:r>
    </w:p>
    <w:p w14:paraId="646E2DC2" w14:textId="77777777" w:rsidR="006E7A01" w:rsidRPr="000B323C" w:rsidRDefault="006E7A01" w:rsidP="006E7A01">
      <w:pPr>
        <w:spacing w:after="0" w:line="240" w:lineRule="auto"/>
        <w:jc w:val="both"/>
        <w:rPr>
          <w:rFonts w:ascii="Times New Roman" w:eastAsia="Times New Roman" w:hAnsi="Times New Roman" w:cs="Times New Roman"/>
          <w:color w:val="000000" w:themeColor="text1"/>
          <w:sz w:val="22"/>
          <w:szCs w:val="22"/>
          <w:lang w:val="en-GB"/>
        </w:rPr>
      </w:pPr>
    </w:p>
    <w:p w14:paraId="166E20D8" w14:textId="661E2685" w:rsidR="00542528" w:rsidRPr="000B323C" w:rsidRDefault="00BE246C" w:rsidP="006E7A01">
      <w:pPr>
        <w:spacing w:after="0" w:line="240" w:lineRule="auto"/>
        <w:jc w:val="both"/>
        <w:rPr>
          <w:rFonts w:ascii="Times New Roman" w:eastAsia="Times New Roman" w:hAnsi="Times New Roman" w:cs="Times New Roman"/>
          <w:sz w:val="22"/>
          <w:szCs w:val="22"/>
        </w:rPr>
      </w:pPr>
      <w:r>
        <w:rPr>
          <w:rFonts w:ascii="Times New Roman" w:hAnsi="Times New Roman"/>
          <w:color w:val="000000" w:themeColor="text1"/>
          <w:sz w:val="22"/>
        </w:rPr>
        <w:t xml:space="preserve">Il est essentiel de faire participer les citoyens à cette transition, non seulement pour obtenir un soutien public, mais aussi comme un moyen pratique de lutter contre la précarité énergétique en permettant aux communautés de bénéficier directement de solutions énergétiques locales propres. </w:t>
      </w:r>
      <w:r>
        <w:rPr>
          <w:rFonts w:ascii="Times New Roman" w:hAnsi="Times New Roman"/>
          <w:sz w:val="22"/>
        </w:rPr>
        <w:t xml:space="preserve">En 2025, à la suite de la demande de la Commission européenne d’élaborer un avis exploratoire concernant </w:t>
      </w:r>
      <w:r w:rsidR="00C834F8">
        <w:rPr>
          <w:rFonts w:ascii="Times New Roman" w:hAnsi="Times New Roman"/>
          <w:color w:val="000000" w:themeColor="text1"/>
          <w:sz w:val="22"/>
        </w:rPr>
        <w:t xml:space="preserve">le </w:t>
      </w:r>
      <w:hyperlink r:id="rId18" w:history="1">
        <w:r w:rsidR="00C834F8">
          <w:rPr>
            <w:rStyle w:val="Hyperlink"/>
            <w:rFonts w:ascii="Times New Roman" w:hAnsi="Times New Roman"/>
            <w:sz w:val="22"/>
          </w:rPr>
          <w:t>train de mesures sur l’énergie citoyenne</w:t>
        </w:r>
      </w:hyperlink>
      <w:r w:rsidR="00C834F8">
        <w:rPr>
          <w:rFonts w:ascii="Times New Roman" w:hAnsi="Times New Roman"/>
          <w:color w:val="000000" w:themeColor="text1"/>
          <w:sz w:val="22"/>
        </w:rPr>
        <w:t>,</w:t>
      </w:r>
      <w:r w:rsidR="00C834F8">
        <w:rPr>
          <w:rFonts w:ascii="Times New Roman" w:hAnsi="Times New Roman"/>
          <w:sz w:val="22"/>
        </w:rPr>
        <w:t xml:space="preserve"> </w:t>
      </w:r>
      <w:r>
        <w:rPr>
          <w:rFonts w:ascii="Times New Roman" w:hAnsi="Times New Roman"/>
          <w:sz w:val="22"/>
        </w:rPr>
        <w:t>la section a rendu l’avis intitulé «</w:t>
      </w:r>
      <w:hyperlink r:id="rId19" w:history="1">
        <w:r>
          <w:rPr>
            <w:rStyle w:val="Hyperlink"/>
            <w:rFonts w:ascii="Times New Roman" w:hAnsi="Times New Roman"/>
            <w:i/>
            <w:sz w:val="22"/>
          </w:rPr>
          <w:t xml:space="preserve">Train de mesures sur l’énergie citoyenne: engagement des citoyens, communautés énergétiques et </w:t>
        </w:r>
        <w:proofErr w:type="spellStart"/>
        <w:r>
          <w:rPr>
            <w:rStyle w:val="Hyperlink"/>
            <w:rFonts w:ascii="Times New Roman" w:hAnsi="Times New Roman"/>
            <w:i/>
            <w:sz w:val="22"/>
          </w:rPr>
          <w:t>prosumérisme</w:t>
        </w:r>
        <w:proofErr w:type="spellEnd"/>
        <w:r>
          <w:rPr>
            <w:rStyle w:val="Hyperlink"/>
            <w:rFonts w:ascii="Times New Roman" w:hAnsi="Times New Roman"/>
            <w:sz w:val="22"/>
          </w:rPr>
          <w:t>»,</w:t>
        </w:r>
      </w:hyperlink>
      <w:r>
        <w:rPr>
          <w:rFonts w:ascii="Times New Roman" w:hAnsi="Times New Roman"/>
          <w:sz w:val="22"/>
        </w:rPr>
        <w:t xml:space="preserve"> qui a alimenté la consultation publique se déroulant jusqu’en septembre 2025 et a mis en évidence des étapes stratégiques concrètes pour renforcer la participation des citoyens, notamment en favorisant le développement des communautés énergétiques.</w:t>
      </w:r>
    </w:p>
    <w:p w14:paraId="7C4EA9F5" w14:textId="38CDC427" w:rsidR="006E7A01" w:rsidRPr="000B323C" w:rsidRDefault="006E7A01" w:rsidP="006E7A01">
      <w:pPr>
        <w:spacing w:after="0" w:line="240" w:lineRule="auto"/>
        <w:jc w:val="both"/>
        <w:rPr>
          <w:rFonts w:ascii="Times New Roman" w:eastAsia="Times New Roman" w:hAnsi="Times New Roman" w:cs="Times New Roman"/>
          <w:color w:val="000000" w:themeColor="text1"/>
          <w:sz w:val="22"/>
          <w:szCs w:val="22"/>
          <w:lang w:val="en-GB"/>
        </w:rPr>
      </w:pPr>
    </w:p>
    <w:p w14:paraId="1F180B15" w14:textId="45706831" w:rsidR="00542528" w:rsidRPr="000B323C" w:rsidRDefault="00BE246C" w:rsidP="006E7A01">
      <w:pPr>
        <w:spacing w:after="0" w:line="240" w:lineRule="auto"/>
        <w:jc w:val="both"/>
        <w:rPr>
          <w:rFonts w:ascii="Times New Roman" w:eastAsia="Times New Roman" w:hAnsi="Times New Roman" w:cs="Times New Roman"/>
          <w:color w:val="000000" w:themeColor="text1"/>
          <w:sz w:val="22"/>
          <w:szCs w:val="22"/>
        </w:rPr>
      </w:pPr>
      <w:r>
        <w:rPr>
          <w:rFonts w:ascii="Times New Roman" w:hAnsi="Times New Roman"/>
          <w:color w:val="000000" w:themeColor="text1"/>
          <w:sz w:val="22"/>
        </w:rPr>
        <w:t>Le Comité a souligné à quel point garantir une transition énergétique abordable implique de faire de l’</w:t>
      </w:r>
      <w:hyperlink r:id="rId20" w:history="1">
        <w:r>
          <w:rPr>
            <w:rStyle w:val="Hyperlink"/>
            <w:rFonts w:ascii="Times New Roman" w:hAnsi="Times New Roman"/>
            <w:sz w:val="22"/>
          </w:rPr>
          <w:t>énergie propre européenne locale</w:t>
        </w:r>
      </w:hyperlink>
      <w:r>
        <w:rPr>
          <w:rFonts w:ascii="Times New Roman" w:hAnsi="Times New Roman"/>
          <w:color w:val="000000" w:themeColor="text1"/>
          <w:sz w:val="22"/>
        </w:rPr>
        <w:t xml:space="preserve"> une priorité, tout en veillant à ce que les </w:t>
      </w:r>
      <w:hyperlink r:id="rId21" w:history="1">
        <w:r>
          <w:rPr>
            <w:rStyle w:val="Hyperlink"/>
            <w:rFonts w:ascii="Times New Roman" w:hAnsi="Times New Roman"/>
            <w:sz w:val="22"/>
          </w:rPr>
          <w:t>infrastructures nécessaires pour la distribuer efficacement soient prêtes</w:t>
        </w:r>
      </w:hyperlink>
      <w:r>
        <w:rPr>
          <w:rFonts w:ascii="Times New Roman" w:hAnsi="Times New Roman"/>
          <w:color w:val="000000" w:themeColor="text1"/>
          <w:sz w:val="22"/>
        </w:rPr>
        <w:t xml:space="preserve">. En outre, il a souligné que le renforcement de la compétitivité </w:t>
      </w:r>
      <w:r>
        <w:rPr>
          <w:rFonts w:ascii="Times New Roman" w:hAnsi="Times New Roman"/>
          <w:color w:val="000000" w:themeColor="text1"/>
          <w:sz w:val="22"/>
        </w:rPr>
        <w:lastRenderedPageBreak/>
        <w:t xml:space="preserve">européenne implique de </w:t>
      </w:r>
      <w:hyperlink r:id="rId22" w:history="1">
        <w:r>
          <w:rPr>
            <w:rStyle w:val="Hyperlink"/>
            <w:rFonts w:ascii="Times New Roman" w:hAnsi="Times New Roman"/>
            <w:sz w:val="22"/>
          </w:rPr>
          <w:t>remodeler les marchés de l’énergie</w:t>
        </w:r>
      </w:hyperlink>
      <w:r>
        <w:rPr>
          <w:rFonts w:ascii="Times New Roman" w:hAnsi="Times New Roman"/>
          <w:color w:val="000000" w:themeColor="text1"/>
          <w:sz w:val="22"/>
        </w:rPr>
        <w:t xml:space="preserve"> de manière à ce qu’ils fonctionnent efficacement en s’appuyant sur les énergies renouvelables. </w:t>
      </w:r>
    </w:p>
    <w:p w14:paraId="71E389F0" w14:textId="7365C1D6" w:rsidR="00542528" w:rsidRPr="000B323C" w:rsidRDefault="00542528" w:rsidP="006E7A01">
      <w:pPr>
        <w:spacing w:after="0" w:line="240" w:lineRule="auto"/>
        <w:jc w:val="both"/>
        <w:rPr>
          <w:rFonts w:ascii="Times New Roman" w:eastAsia="Times New Roman" w:hAnsi="Times New Roman" w:cs="Times New Roman"/>
          <w:color w:val="000000" w:themeColor="text1"/>
          <w:sz w:val="22"/>
          <w:szCs w:val="22"/>
          <w:lang w:val="en-GB"/>
        </w:rPr>
      </w:pPr>
    </w:p>
    <w:p w14:paraId="03EAE703" w14:textId="2E779ACB" w:rsidR="00A54841" w:rsidRPr="000B323C" w:rsidRDefault="00BE246C" w:rsidP="006E7A01">
      <w:pPr>
        <w:spacing w:after="0" w:line="240" w:lineRule="auto"/>
        <w:jc w:val="both"/>
        <w:rPr>
          <w:rFonts w:ascii="Times New Roman" w:eastAsia="Times New Roman" w:hAnsi="Times New Roman" w:cs="Times New Roman"/>
          <w:sz w:val="22"/>
          <w:szCs w:val="22"/>
        </w:rPr>
      </w:pPr>
      <w:r>
        <w:rPr>
          <w:rFonts w:ascii="Times New Roman" w:hAnsi="Times New Roman"/>
          <w:sz w:val="22"/>
        </w:rPr>
        <w:t xml:space="preserve">Dans le cadre de son activité de promotion du </w:t>
      </w:r>
      <w:hyperlink r:id="rId23" w:history="1">
        <w:r>
          <w:rPr>
            <w:rStyle w:val="Hyperlink"/>
            <w:rFonts w:ascii="Times New Roman" w:hAnsi="Times New Roman"/>
            <w:sz w:val="22"/>
          </w:rPr>
          <w:t>secteur européen de l’hydrogène</w:t>
        </w:r>
      </w:hyperlink>
      <w:r>
        <w:rPr>
          <w:rFonts w:ascii="Times New Roman" w:hAnsi="Times New Roman"/>
          <w:sz w:val="22"/>
        </w:rPr>
        <w:t xml:space="preserve">, en novembre 2024, la section TEN a coorganisé une conférence sur la </w:t>
      </w:r>
      <w:hyperlink r:id="rId24" w:history="1">
        <w:r>
          <w:rPr>
            <w:rStyle w:val="Hyperlink"/>
            <w:rFonts w:ascii="Times New Roman" w:hAnsi="Times New Roman"/>
            <w:sz w:val="22"/>
          </w:rPr>
          <w:t>nouvelle économie de l’hydrogène</w:t>
        </w:r>
      </w:hyperlink>
      <w:r>
        <w:rPr>
          <w:rFonts w:ascii="Times New Roman" w:hAnsi="Times New Roman"/>
          <w:sz w:val="22"/>
        </w:rPr>
        <w:t xml:space="preserve"> à Pärnu, en Estonie, avec des partenaires estoniens locaux. Cet événement a servi de plateforme de discussion sur la promotion des initiatives pour l’hydrogène durable. Les conclusions soulignent la nécessité d’un écosystème solide de recherche et d’innovation (R&amp;I) pour accélérer l’exploitation de l’hydrogène d’origine renouvelable ainsi que d’un mécanisme financier efficace afin de soutenir les infrastructures pour l’hydrogène, et l’importance des ressources renouvelables régionales, des communautés locales et du développement des compétences de la main-d’œuvre pour stimuler le progrès.</w:t>
      </w:r>
    </w:p>
    <w:p w14:paraId="6A5E0CA4" w14:textId="05DE8772" w:rsidR="006F33F4" w:rsidRPr="000B323C" w:rsidRDefault="006F33F4" w:rsidP="006E7A01">
      <w:pPr>
        <w:spacing w:after="0" w:line="240" w:lineRule="auto"/>
        <w:jc w:val="both"/>
        <w:rPr>
          <w:rFonts w:ascii="Times New Roman" w:hAnsi="Times New Roman" w:cs="Times New Roman"/>
          <w:lang w:val="en-GB"/>
        </w:rPr>
      </w:pPr>
    </w:p>
    <w:p w14:paraId="0259C4F3" w14:textId="30182060" w:rsidR="00B55724" w:rsidRPr="00F721A4" w:rsidRDefault="3A924AF7" w:rsidP="00F721A4">
      <w:pPr>
        <w:pStyle w:val="Heading1"/>
      </w:pPr>
      <w:bookmarkStart w:id="0" w:name="_Hlk203340372"/>
      <w:r>
        <w:t>Logement</w:t>
      </w:r>
    </w:p>
    <w:bookmarkEnd w:id="0"/>
    <w:p w14:paraId="1734C9A0" w14:textId="77777777" w:rsidR="00BE246C" w:rsidRPr="000B323C" w:rsidRDefault="00BE246C" w:rsidP="006E7A01">
      <w:pPr>
        <w:spacing w:after="0" w:line="240" w:lineRule="auto"/>
        <w:jc w:val="both"/>
        <w:rPr>
          <w:rFonts w:ascii="Times New Roman" w:hAnsi="Times New Roman" w:cs="Times New Roman"/>
          <w:sz w:val="22"/>
          <w:szCs w:val="22"/>
          <w:lang w:eastAsia="fr-BE"/>
        </w:rPr>
      </w:pPr>
    </w:p>
    <w:p w14:paraId="71CE509B" w14:textId="4AC58965" w:rsidR="005C5F12" w:rsidRPr="000B323C" w:rsidRDefault="005C5F12" w:rsidP="006E7A01">
      <w:pPr>
        <w:spacing w:after="0" w:line="240" w:lineRule="auto"/>
        <w:jc w:val="both"/>
        <w:rPr>
          <w:rFonts w:ascii="Times New Roman" w:hAnsi="Times New Roman" w:cs="Times New Roman"/>
          <w:sz w:val="22"/>
          <w:szCs w:val="22"/>
        </w:rPr>
      </w:pPr>
      <w:r>
        <w:rPr>
          <w:rFonts w:ascii="Times New Roman" w:hAnsi="Times New Roman"/>
          <w:sz w:val="22"/>
        </w:rPr>
        <w:t xml:space="preserve">En réponse aux préoccupations croissantes du public concernant la crise du logement dans l’ensemble de l’UE, la section TEN a travaillé de manière intensive sur le thème des </w:t>
      </w:r>
      <w:r>
        <w:rPr>
          <w:rFonts w:ascii="Times New Roman" w:hAnsi="Times New Roman"/>
          <w:b/>
          <w:sz w:val="22"/>
        </w:rPr>
        <w:t>logements abordables et durables</w:t>
      </w:r>
      <w:r>
        <w:rPr>
          <w:rFonts w:ascii="Times New Roman" w:hAnsi="Times New Roman"/>
          <w:sz w:val="22"/>
        </w:rPr>
        <w:t xml:space="preserve"> au cours de la seconde moitié du mandat.</w:t>
      </w:r>
    </w:p>
    <w:p w14:paraId="5F2CCE19" w14:textId="77777777" w:rsidR="00E7012E" w:rsidRPr="000B323C" w:rsidRDefault="00E7012E" w:rsidP="006E7A01">
      <w:pPr>
        <w:spacing w:after="0" w:line="240" w:lineRule="auto"/>
        <w:jc w:val="both"/>
        <w:rPr>
          <w:rFonts w:ascii="Times New Roman" w:hAnsi="Times New Roman" w:cs="Times New Roman"/>
          <w:sz w:val="22"/>
          <w:szCs w:val="22"/>
          <w:lang w:eastAsia="fr-BE"/>
        </w:rPr>
      </w:pPr>
    </w:p>
    <w:p w14:paraId="12F741F9" w14:textId="7307A827" w:rsidR="005C5F12" w:rsidRPr="000B323C" w:rsidRDefault="005C5F12" w:rsidP="006E7A01">
      <w:pPr>
        <w:spacing w:after="0" w:line="240" w:lineRule="auto"/>
        <w:jc w:val="both"/>
        <w:rPr>
          <w:rFonts w:ascii="Times New Roman" w:hAnsi="Times New Roman" w:cs="Times New Roman"/>
          <w:sz w:val="22"/>
          <w:szCs w:val="22"/>
        </w:rPr>
      </w:pPr>
      <w:r>
        <w:rPr>
          <w:rFonts w:ascii="Times New Roman" w:hAnsi="Times New Roman"/>
          <w:sz w:val="22"/>
        </w:rPr>
        <w:t>L’avis d’initiative intitulé «</w:t>
      </w:r>
      <w:hyperlink r:id="rId25" w:history="1">
        <w:r>
          <w:rPr>
            <w:rStyle w:val="Hyperlink"/>
            <w:rFonts w:ascii="Times New Roman" w:hAnsi="Times New Roman"/>
            <w:i/>
            <w:sz w:val="22"/>
          </w:rPr>
          <w:t>Des logements sociaux décents, durables et abordables dans l’UE</w:t>
        </w:r>
      </w:hyperlink>
      <w:r>
        <w:rPr>
          <w:rFonts w:ascii="Times New Roman" w:hAnsi="Times New Roman"/>
          <w:sz w:val="22"/>
        </w:rPr>
        <w:t>», adopté en décembre 2024, a constitué une initiative clé mettant en avant le logement en tant que droit social fondamental et abordant la problématique de la pénurie chronique de logements abordables de qualité.</w:t>
      </w:r>
    </w:p>
    <w:p w14:paraId="6B8EB16A" w14:textId="77777777" w:rsidR="00E7012E" w:rsidRPr="000B323C" w:rsidRDefault="00E7012E" w:rsidP="006E7A01">
      <w:pPr>
        <w:spacing w:after="0" w:line="240" w:lineRule="auto"/>
        <w:jc w:val="both"/>
        <w:rPr>
          <w:rFonts w:ascii="Times New Roman" w:hAnsi="Times New Roman" w:cs="Times New Roman"/>
          <w:sz w:val="22"/>
          <w:szCs w:val="22"/>
          <w:lang w:eastAsia="fr-BE"/>
        </w:rPr>
      </w:pPr>
    </w:p>
    <w:p w14:paraId="32AAA415" w14:textId="38D434FD" w:rsidR="005C5F12" w:rsidRPr="000B323C" w:rsidRDefault="005C5F12" w:rsidP="006E7A01">
      <w:pPr>
        <w:spacing w:after="0" w:line="240" w:lineRule="auto"/>
        <w:jc w:val="both"/>
        <w:rPr>
          <w:rFonts w:ascii="Times New Roman" w:hAnsi="Times New Roman" w:cs="Times New Roman"/>
          <w:sz w:val="22"/>
          <w:szCs w:val="22"/>
        </w:rPr>
      </w:pPr>
      <w:r>
        <w:rPr>
          <w:rFonts w:ascii="Times New Roman" w:hAnsi="Times New Roman"/>
          <w:sz w:val="22"/>
        </w:rPr>
        <w:t>Avec l’avis d’initiative intitulé «</w:t>
      </w:r>
      <w:hyperlink r:id="rId26" w:history="1">
        <w:r>
          <w:rPr>
            <w:rStyle w:val="Hyperlink"/>
            <w:rFonts w:ascii="Times New Roman" w:hAnsi="Times New Roman"/>
            <w:i/>
            <w:sz w:val="22"/>
          </w:rPr>
          <w:t>Hausses des prix dans les secteurs des transports, de l’énergie et du logement: le rôle de services publics de qualité dans la lutte contre le coût élevé de la vie</w:t>
        </w:r>
      </w:hyperlink>
      <w:r>
        <w:rPr>
          <w:rFonts w:ascii="Times New Roman" w:hAnsi="Times New Roman"/>
          <w:sz w:val="22"/>
        </w:rPr>
        <w:t>», la section TEN a contribué au train de mesures plus vaste du CESE concernant la crise du coût de la vie. Cet avis mettait l’accent sur le rôle que jouent des services publics de qualité, y compris des logements abordables, dans l’allègement de la pression sociale et la garantie de l’inclusivité. Il proposait une coordination renforcée au niveau de l’UE, de meilleurs cadres réglementaires et des mécanismes de financement flexibles pour soutenir les stratégies nationales et régionales en matière de logement.</w:t>
      </w:r>
    </w:p>
    <w:p w14:paraId="17C8B7CD" w14:textId="77777777" w:rsidR="00E7012E" w:rsidRPr="000B323C" w:rsidRDefault="00E7012E" w:rsidP="006E7A01">
      <w:pPr>
        <w:spacing w:after="0" w:line="240" w:lineRule="auto"/>
        <w:jc w:val="both"/>
        <w:rPr>
          <w:rFonts w:ascii="Times New Roman" w:hAnsi="Times New Roman" w:cs="Times New Roman"/>
          <w:sz w:val="22"/>
          <w:szCs w:val="22"/>
          <w:lang w:eastAsia="fr-BE"/>
        </w:rPr>
      </w:pPr>
    </w:p>
    <w:p w14:paraId="4E90FFEF" w14:textId="448A1694" w:rsidR="006F33F4" w:rsidRPr="000B323C" w:rsidRDefault="005C5F12" w:rsidP="006E7A01">
      <w:pPr>
        <w:spacing w:after="0" w:line="240" w:lineRule="auto"/>
        <w:jc w:val="both"/>
        <w:rPr>
          <w:rFonts w:ascii="Times New Roman" w:hAnsi="Times New Roman" w:cs="Times New Roman"/>
          <w:sz w:val="22"/>
          <w:szCs w:val="22"/>
        </w:rPr>
      </w:pPr>
      <w:r>
        <w:rPr>
          <w:rFonts w:ascii="Times New Roman" w:hAnsi="Times New Roman"/>
          <w:sz w:val="22"/>
        </w:rPr>
        <w:t>En outre, à la demande de la présidence danoise du Conseil de l’Union européenne, le CESE élabore actuellement un avis exploratoire intitulé «</w:t>
      </w:r>
      <w:hyperlink r:id="rId27" w:history="1">
        <w:r>
          <w:rPr>
            <w:rStyle w:val="Hyperlink"/>
            <w:rFonts w:ascii="Times New Roman" w:hAnsi="Times New Roman"/>
            <w:i/>
          </w:rPr>
          <w:t xml:space="preserve">Vers un plan européen pour des logements abordables — la contribution de la </w:t>
        </w:r>
        <w:r>
          <w:rPr>
            <w:rStyle w:val="Hyperlink"/>
            <w:rFonts w:ascii="Times New Roman" w:hAnsi="Times New Roman"/>
            <w:i/>
            <w:sz w:val="22"/>
          </w:rPr>
          <w:t>société civile</w:t>
        </w:r>
      </w:hyperlink>
      <w:r>
        <w:rPr>
          <w:rFonts w:ascii="Times New Roman" w:hAnsi="Times New Roman"/>
          <w:sz w:val="22"/>
        </w:rPr>
        <w:t>», qui doit être adopté en septembre</w:t>
      </w:r>
      <w:r w:rsidR="001F7757">
        <w:rPr>
          <w:rFonts w:ascii="Times New Roman" w:hAnsi="Times New Roman"/>
          <w:sz w:val="22"/>
        </w:rPr>
        <w:t> </w:t>
      </w:r>
      <w:r>
        <w:rPr>
          <w:rFonts w:ascii="Times New Roman" w:hAnsi="Times New Roman"/>
          <w:sz w:val="22"/>
        </w:rPr>
        <w:t>2025. Cet avis alimentera la conférence de haut niveau sur un logement abordable et durable qui se tiendra à Copenhague en septembre</w:t>
      </w:r>
      <w:r w:rsidR="001F7757">
        <w:rPr>
          <w:rFonts w:ascii="Times New Roman" w:hAnsi="Times New Roman"/>
          <w:sz w:val="22"/>
        </w:rPr>
        <w:t> </w:t>
      </w:r>
      <w:r>
        <w:rPr>
          <w:rFonts w:ascii="Times New Roman" w:hAnsi="Times New Roman"/>
          <w:sz w:val="22"/>
        </w:rPr>
        <w:t xml:space="preserve">2025 et devrait contribuer au </w:t>
      </w:r>
      <w:hyperlink r:id="rId28" w:history="1">
        <w:r>
          <w:rPr>
            <w:rStyle w:val="Hyperlink"/>
            <w:rFonts w:ascii="Times New Roman" w:hAnsi="Times New Roman"/>
            <w:sz w:val="22"/>
          </w:rPr>
          <w:t>plan d’action</w:t>
        </w:r>
      </w:hyperlink>
      <w:r>
        <w:rPr>
          <w:rFonts w:ascii="Times New Roman" w:hAnsi="Times New Roman"/>
          <w:sz w:val="22"/>
        </w:rPr>
        <w:t xml:space="preserve"> qui sera publié par la Commission européenne au cours du premier trimestre de 2026.</w:t>
      </w:r>
    </w:p>
    <w:p w14:paraId="05C13015" w14:textId="5F5E49DA" w:rsidR="005C5F12" w:rsidRPr="000B323C" w:rsidRDefault="005C5F12" w:rsidP="006E7A01">
      <w:pPr>
        <w:spacing w:after="0" w:line="240" w:lineRule="auto"/>
        <w:jc w:val="both"/>
        <w:rPr>
          <w:rFonts w:ascii="Times New Roman" w:hAnsi="Times New Roman" w:cs="Times New Roman"/>
          <w:sz w:val="22"/>
          <w:szCs w:val="22"/>
          <w:lang w:eastAsia="fr-BE"/>
        </w:rPr>
      </w:pPr>
    </w:p>
    <w:p w14:paraId="3B1F8A30" w14:textId="0A9DD0F8" w:rsidR="000002C0" w:rsidRPr="00F721A4" w:rsidRDefault="000002C0" w:rsidP="00F721A4">
      <w:pPr>
        <w:pStyle w:val="Heading1"/>
      </w:pPr>
      <w:r>
        <w:t>Énergie nucléaire et questions liées au nucléaire</w:t>
      </w:r>
    </w:p>
    <w:p w14:paraId="44052496" w14:textId="77777777" w:rsidR="000002C0" w:rsidRPr="000B323C" w:rsidRDefault="000002C0" w:rsidP="006E7A01">
      <w:pPr>
        <w:spacing w:after="0" w:line="240" w:lineRule="auto"/>
        <w:jc w:val="both"/>
        <w:rPr>
          <w:rFonts w:ascii="Times New Roman" w:hAnsi="Times New Roman" w:cs="Times New Roman"/>
          <w:sz w:val="22"/>
          <w:szCs w:val="22"/>
        </w:rPr>
      </w:pPr>
    </w:p>
    <w:p w14:paraId="5C973E77" w14:textId="4AE15AAD" w:rsidR="000002C0" w:rsidRPr="000B323C" w:rsidRDefault="000002C0" w:rsidP="006E7A01">
      <w:pPr>
        <w:spacing w:after="0" w:line="240" w:lineRule="auto"/>
        <w:jc w:val="both"/>
        <w:rPr>
          <w:rFonts w:ascii="Times New Roman" w:hAnsi="Times New Roman" w:cs="Times New Roman"/>
        </w:rPr>
      </w:pPr>
      <w:r>
        <w:rPr>
          <w:rFonts w:ascii="Times New Roman" w:hAnsi="Times New Roman"/>
          <w:sz w:val="22"/>
        </w:rPr>
        <w:t>Dans son avis intitulé «</w:t>
      </w:r>
      <w:hyperlink r:id="rId29" w:history="1">
        <w:r>
          <w:rPr>
            <w:rStyle w:val="Hyperlink"/>
            <w:rFonts w:ascii="Times New Roman" w:hAnsi="Times New Roman"/>
            <w:i/>
            <w:sz w:val="22"/>
          </w:rPr>
          <w:t>Gestion des déchets radioactifs: le point de vue de la société civile</w:t>
        </w:r>
      </w:hyperlink>
      <w:r>
        <w:rPr>
          <w:rFonts w:ascii="Times New Roman" w:hAnsi="Times New Roman"/>
          <w:sz w:val="22"/>
        </w:rPr>
        <w:t>», le</w:t>
      </w:r>
      <w:r>
        <w:rPr>
          <w:rFonts w:ascii="Times New Roman" w:hAnsi="Times New Roman"/>
          <w:color w:val="333333"/>
          <w:sz w:val="21"/>
        </w:rPr>
        <w:t xml:space="preserve"> CESE </w:t>
      </w:r>
      <w:r>
        <w:rPr>
          <w:rFonts w:ascii="Times New Roman" w:hAnsi="Times New Roman"/>
          <w:sz w:val="22"/>
        </w:rPr>
        <w:t xml:space="preserve">soulignait que les États membres devraient faciliter, dans tous les domaines de la </w:t>
      </w:r>
      <w:r>
        <w:rPr>
          <w:rFonts w:ascii="Times New Roman" w:hAnsi="Times New Roman"/>
          <w:b/>
          <w:sz w:val="22"/>
        </w:rPr>
        <w:t>gestion des déchets radioactifs</w:t>
      </w:r>
      <w:r>
        <w:rPr>
          <w:rFonts w:ascii="Times New Roman" w:hAnsi="Times New Roman"/>
          <w:sz w:val="22"/>
        </w:rPr>
        <w:t xml:space="preserve">, une participation inclusive de la société civile, en promouvant l’ouverture et la transparence à son égard, s’agissant notamment des collectivités qui accueillent actuellement de telles infrastructures et de celles qui pourraient vouloir le faire. </w:t>
      </w:r>
    </w:p>
    <w:p w14:paraId="31443FDC" w14:textId="36604AED" w:rsidR="000002C0" w:rsidRPr="000B323C" w:rsidRDefault="000002C0" w:rsidP="006E7A01">
      <w:pPr>
        <w:spacing w:after="0" w:line="240" w:lineRule="auto"/>
        <w:jc w:val="both"/>
        <w:rPr>
          <w:rFonts w:ascii="Times New Roman" w:hAnsi="Times New Roman" w:cs="Times New Roman"/>
          <w:sz w:val="22"/>
          <w:szCs w:val="22"/>
        </w:rPr>
      </w:pPr>
    </w:p>
    <w:p w14:paraId="2252B297" w14:textId="27B97957" w:rsidR="000002C0" w:rsidRPr="000B323C" w:rsidRDefault="000002C0" w:rsidP="006E7A01">
      <w:pPr>
        <w:spacing w:after="0" w:line="240" w:lineRule="auto"/>
        <w:jc w:val="both"/>
        <w:rPr>
          <w:rFonts w:ascii="Times New Roman" w:hAnsi="Times New Roman" w:cs="Times New Roman"/>
          <w:sz w:val="22"/>
          <w:szCs w:val="22"/>
        </w:rPr>
      </w:pPr>
      <w:r>
        <w:rPr>
          <w:rFonts w:ascii="Times New Roman" w:hAnsi="Times New Roman"/>
          <w:sz w:val="22"/>
        </w:rPr>
        <w:t xml:space="preserve">Afin d’élargir la participation de la société civile, la section TEN a mis en place une coopération permanente avec la Commission européenne (DG RTD) sur le programme européen commun pour la gestion des déchets radioactifs (EURAD). Trois membres du CESE contribuent activement aux activités EURAD-2, aidant ainsi à renforcer la transparence et la confiance du public. À la fin de ce mandat, une délégation de </w:t>
      </w:r>
      <w:r>
        <w:rPr>
          <w:rFonts w:ascii="Times New Roman" w:hAnsi="Times New Roman"/>
          <w:sz w:val="22"/>
        </w:rPr>
        <w:lastRenderedPageBreak/>
        <w:t>la section TEN a participé à la manifestation annuelle EURAD2 à Bologne, en Italie, afin de transmettre les points de vue des organisations de la société civile de l’ensemble de l’Union.</w:t>
      </w:r>
    </w:p>
    <w:p w14:paraId="54AAA759" w14:textId="77777777" w:rsidR="002E2BF1" w:rsidRPr="000B323C" w:rsidRDefault="002E2BF1" w:rsidP="006E7A01">
      <w:pPr>
        <w:spacing w:after="0" w:line="240" w:lineRule="auto"/>
        <w:jc w:val="both"/>
        <w:rPr>
          <w:rFonts w:ascii="Times New Roman" w:eastAsia="Times New Roman" w:hAnsi="Times New Roman" w:cs="Times New Roman"/>
          <w:sz w:val="22"/>
          <w:szCs w:val="22"/>
        </w:rPr>
      </w:pPr>
    </w:p>
    <w:p w14:paraId="3A3C72AD" w14:textId="77777777" w:rsidR="00D04734" w:rsidRDefault="00A54841" w:rsidP="00F721A4">
      <w:pPr>
        <w:spacing w:after="0" w:line="240" w:lineRule="auto"/>
        <w:jc w:val="both"/>
        <w:rPr>
          <w:rFonts w:ascii="Times New Roman" w:hAnsi="Times New Roman"/>
          <w:sz w:val="22"/>
        </w:rPr>
      </w:pPr>
      <w:r>
        <w:rPr>
          <w:rFonts w:ascii="Times New Roman" w:hAnsi="Times New Roman"/>
          <w:sz w:val="22"/>
        </w:rPr>
        <w:t>Le Forum européen de l’énergie nucléaire (FEEN), à Bratislava en octobre 2025, comprend une délégation du CESE composée de trois membres qui abordent des sujets revêtant une grande importance pour la société civile, tels que l’engagement inclusif, l’ouverture et la transparence.</w:t>
      </w:r>
    </w:p>
    <w:p w14:paraId="219C9D79" w14:textId="77777777" w:rsidR="00D04734" w:rsidRDefault="00D04734" w:rsidP="00F721A4">
      <w:pPr>
        <w:spacing w:after="0" w:line="240" w:lineRule="auto"/>
        <w:jc w:val="both"/>
        <w:rPr>
          <w:rFonts w:ascii="Times New Roman" w:hAnsi="Times New Roman"/>
          <w:sz w:val="22"/>
        </w:rPr>
      </w:pPr>
    </w:p>
    <w:p w14:paraId="66A338F5" w14:textId="6B36D9E7" w:rsidR="006F33F4" w:rsidRPr="00F721A4" w:rsidRDefault="56F3704C" w:rsidP="00F721A4">
      <w:pPr>
        <w:pStyle w:val="Heading1"/>
      </w:pPr>
      <w:r>
        <w:t>Parvenir à des transports durables, propres, abordables et accessibles</w:t>
      </w:r>
    </w:p>
    <w:p w14:paraId="14B8C09D" w14:textId="77777777" w:rsidR="00FF469A" w:rsidRPr="000B323C" w:rsidRDefault="00FF469A" w:rsidP="006E7A01">
      <w:pPr>
        <w:spacing w:after="0" w:line="240" w:lineRule="auto"/>
        <w:jc w:val="both"/>
        <w:rPr>
          <w:rFonts w:ascii="Times New Roman" w:hAnsi="Times New Roman" w:cs="Times New Roman"/>
          <w:sz w:val="22"/>
          <w:szCs w:val="22"/>
          <w:lang w:val="en-GB"/>
        </w:rPr>
      </w:pPr>
    </w:p>
    <w:p w14:paraId="259BD93C" w14:textId="77777777" w:rsidR="00BE246C" w:rsidRPr="000B323C" w:rsidRDefault="00FF469A" w:rsidP="006E7A01">
      <w:pPr>
        <w:spacing w:after="0" w:line="240" w:lineRule="auto"/>
        <w:jc w:val="both"/>
        <w:rPr>
          <w:rFonts w:ascii="Times New Roman" w:hAnsi="Times New Roman" w:cs="Times New Roman"/>
          <w:sz w:val="22"/>
          <w:szCs w:val="22"/>
        </w:rPr>
      </w:pPr>
      <w:r>
        <w:rPr>
          <w:rFonts w:ascii="Times New Roman" w:hAnsi="Times New Roman"/>
          <w:sz w:val="22"/>
        </w:rPr>
        <w:t xml:space="preserve">Au cours de la seconde moitié du mandat, le Comité a toujours plaidé </w:t>
      </w:r>
      <w:r>
        <w:rPr>
          <w:rFonts w:ascii="Times New Roman" w:hAnsi="Times New Roman"/>
          <w:b/>
          <w:sz w:val="22"/>
        </w:rPr>
        <w:t>en faveur de systèmes de transport résilients, durables et inclusifs</w:t>
      </w:r>
      <w:r>
        <w:rPr>
          <w:rFonts w:ascii="Times New Roman" w:hAnsi="Times New Roman"/>
          <w:sz w:val="22"/>
        </w:rPr>
        <w:t xml:space="preserve">, capables de relever les défis géopolitiques et de faire progresser les objectifs du pacte vert pour l’Europe. Il a encouragé l’achèvement des infrastructures stratégiques, notamment le réseau central RTE-T, en mettant l’accent sur l’interopérabilité, les infrastructures à double usage et l’amélioration de la connectivité dans les régions frontalières et rurales. </w:t>
      </w:r>
    </w:p>
    <w:p w14:paraId="282A1918"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7D75B958" w14:textId="66E98898" w:rsidR="00FF469A" w:rsidRPr="000B323C" w:rsidRDefault="00FF469A" w:rsidP="006E7A01">
      <w:pPr>
        <w:spacing w:after="0" w:line="240" w:lineRule="auto"/>
        <w:jc w:val="both"/>
        <w:rPr>
          <w:rFonts w:ascii="Times New Roman" w:hAnsi="Times New Roman" w:cs="Times New Roman"/>
          <w:sz w:val="22"/>
          <w:szCs w:val="22"/>
        </w:rPr>
      </w:pPr>
      <w:r>
        <w:rPr>
          <w:rFonts w:ascii="Times New Roman" w:hAnsi="Times New Roman"/>
          <w:sz w:val="22"/>
        </w:rPr>
        <w:t xml:space="preserve">Le CESE a soutenu le </w:t>
      </w:r>
      <w:r>
        <w:rPr>
          <w:rFonts w:ascii="Times New Roman" w:hAnsi="Times New Roman"/>
          <w:b/>
          <w:sz w:val="22"/>
        </w:rPr>
        <w:t>transfert modal</w:t>
      </w:r>
      <w:r>
        <w:rPr>
          <w:rFonts w:ascii="Times New Roman" w:hAnsi="Times New Roman"/>
          <w:sz w:val="22"/>
        </w:rPr>
        <w:t xml:space="preserve"> par des investissements dans le rail, le transport maritime et les voies de navigation intérieures, tout en plaidant en faveur d’une stratégie cohérente pour le fret vert et la logistique intermodale. Pour tous les modes de transport, le Comité a souligné la nécessité de carburants propres, de réduction des émissions, de conditions de travail équitables et d’innovation numérique. Il a insisté sur le rôle de la planification de la mobilité urbaine et régionale et a plaidé en faveur de politiques renforcées en matière de main-d’œuvre et de compétences afin de remédier aux pénuries et de garantir l’attractivité à long terme du secteur. Le CESE a également souligné l’importance d’une gouvernance efficace, du dialogue social et de l’inclusion des parties prenantes, en particulier dans le contexte de la sécurité, de la numérisation et de la transition juste.</w:t>
      </w:r>
    </w:p>
    <w:p w14:paraId="2629C2EB"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4A86060A" w14:textId="72117A71" w:rsidR="00FF469A" w:rsidRPr="000B323C" w:rsidRDefault="00FF469A" w:rsidP="006E7A01">
      <w:pPr>
        <w:spacing w:after="0" w:line="240" w:lineRule="auto"/>
        <w:jc w:val="both"/>
        <w:rPr>
          <w:rFonts w:ascii="Times New Roman" w:hAnsi="Times New Roman" w:cs="Times New Roman"/>
          <w:sz w:val="22"/>
          <w:szCs w:val="22"/>
        </w:rPr>
      </w:pPr>
      <w:r>
        <w:rPr>
          <w:rFonts w:ascii="Times New Roman" w:hAnsi="Times New Roman"/>
          <w:b/>
          <w:sz w:val="22"/>
        </w:rPr>
        <w:t>Les changements géopolitiques</w:t>
      </w:r>
      <w:r>
        <w:rPr>
          <w:rFonts w:ascii="Times New Roman" w:hAnsi="Times New Roman"/>
          <w:sz w:val="22"/>
        </w:rPr>
        <w:t xml:space="preserve"> ont mis en avant </w:t>
      </w:r>
      <w:hyperlink r:id="rId30" w:history="1">
        <w:r>
          <w:rPr>
            <w:rStyle w:val="Hyperlink"/>
            <w:rFonts w:ascii="Times New Roman" w:hAnsi="Times New Roman"/>
            <w:sz w:val="22"/>
          </w:rPr>
          <w:t xml:space="preserve">l’importance du </w:t>
        </w:r>
        <w:r>
          <w:rPr>
            <w:rStyle w:val="Hyperlink"/>
            <w:rFonts w:ascii="Times New Roman" w:hAnsi="Times New Roman"/>
            <w:b/>
            <w:sz w:val="22"/>
          </w:rPr>
          <w:t>renforcement de la résilience et de la fiabilité</w:t>
        </w:r>
        <w:r>
          <w:rPr>
            <w:rStyle w:val="Hyperlink"/>
            <w:rFonts w:ascii="Times New Roman" w:hAnsi="Times New Roman"/>
            <w:sz w:val="22"/>
          </w:rPr>
          <w:t xml:space="preserve"> des systèmes de transport</w:t>
        </w:r>
      </w:hyperlink>
      <w:r>
        <w:rPr>
          <w:rFonts w:ascii="Times New Roman" w:hAnsi="Times New Roman"/>
          <w:sz w:val="22"/>
        </w:rPr>
        <w:t>, en mettant l’accent sur la préparation aux crises et l’achèvement des infrastructures stratégiques. Le CESE a appelé de ses vœux des investissements ciblés, en particulier dans les régions frontalières, les infrastructures à double usage et les mesures de renforcement de la mobilité afin de garantir la connectivité et la cohésion économique de l’Union.</w:t>
      </w:r>
    </w:p>
    <w:p w14:paraId="23934141"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001A1FCC" w14:textId="633B2C5C" w:rsidR="00FF469A" w:rsidRPr="000B323C" w:rsidRDefault="00FF469A" w:rsidP="006E7A01">
      <w:pPr>
        <w:spacing w:after="0" w:line="240" w:lineRule="auto"/>
        <w:jc w:val="both"/>
        <w:rPr>
          <w:rFonts w:ascii="Times New Roman" w:hAnsi="Times New Roman" w:cs="Times New Roman"/>
          <w:sz w:val="22"/>
          <w:szCs w:val="22"/>
        </w:rPr>
      </w:pPr>
      <w:r>
        <w:rPr>
          <w:rFonts w:ascii="Times New Roman" w:hAnsi="Times New Roman"/>
          <w:sz w:val="22"/>
        </w:rPr>
        <w:t xml:space="preserve">Dans le cadre de la promotion d’une transition vers un </w:t>
      </w:r>
      <w:r>
        <w:rPr>
          <w:rFonts w:ascii="Times New Roman" w:hAnsi="Times New Roman"/>
          <w:b/>
          <w:sz w:val="22"/>
        </w:rPr>
        <w:t>transport durable</w:t>
      </w:r>
      <w:r>
        <w:rPr>
          <w:rFonts w:ascii="Times New Roman" w:hAnsi="Times New Roman"/>
          <w:sz w:val="22"/>
        </w:rPr>
        <w:t xml:space="preserve">, le CESE a souligné l’importance de l’acceptation par le public, en conciliant les objectifs environnementaux et la viabilité financière et sociale. Il a insisté sur la nécessité d’une </w:t>
      </w:r>
      <w:hyperlink r:id="rId31" w:history="1">
        <w:r>
          <w:rPr>
            <w:rStyle w:val="Hyperlink"/>
            <w:rFonts w:ascii="Times New Roman" w:hAnsi="Times New Roman"/>
            <w:b/>
            <w:sz w:val="22"/>
          </w:rPr>
          <w:t>planification de la mobilité urbaine</w:t>
        </w:r>
      </w:hyperlink>
      <w:r>
        <w:rPr>
          <w:rFonts w:ascii="Times New Roman" w:hAnsi="Times New Roman"/>
          <w:sz w:val="22"/>
        </w:rPr>
        <w:t xml:space="preserve"> inclusive et équilibrée sur le plan territorial, avec un soutien aux populations vulnérables et aux zones rurales, et a encouragé les programmes nationaux visant à donner aux collectivités locales les moyens d’agir. </w:t>
      </w:r>
    </w:p>
    <w:p w14:paraId="7021A5C7"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643C9723" w14:textId="55E1B3C2" w:rsidR="00FF469A" w:rsidRPr="000B323C" w:rsidRDefault="00FF469A" w:rsidP="006E7A01">
      <w:pPr>
        <w:spacing w:after="0" w:line="240" w:lineRule="auto"/>
        <w:jc w:val="both"/>
        <w:rPr>
          <w:rFonts w:ascii="Times New Roman" w:hAnsi="Times New Roman" w:cs="Times New Roman"/>
          <w:sz w:val="22"/>
          <w:szCs w:val="22"/>
        </w:rPr>
      </w:pPr>
      <w:r>
        <w:rPr>
          <w:rFonts w:ascii="Times New Roman" w:hAnsi="Times New Roman"/>
          <w:sz w:val="22"/>
        </w:rPr>
        <w:t xml:space="preserve">Le CESE a également plaidé en faveur d’une mise en œuvre plus précoce des </w:t>
      </w:r>
      <w:hyperlink r:id="rId32" w:history="1">
        <w:r>
          <w:rPr>
            <w:rStyle w:val="Hyperlink"/>
            <w:rFonts w:ascii="Times New Roman" w:hAnsi="Times New Roman"/>
            <w:sz w:val="22"/>
          </w:rPr>
          <w:t>réformes des péages en fonction de l’efficacité énergétique</w:t>
        </w:r>
      </w:hyperlink>
      <w:r>
        <w:rPr>
          <w:rFonts w:ascii="Times New Roman" w:hAnsi="Times New Roman"/>
          <w:sz w:val="22"/>
        </w:rPr>
        <w:t>,</w:t>
      </w:r>
      <w:r>
        <w:rPr>
          <w:rFonts w:ascii="Times New Roman" w:hAnsi="Times New Roman"/>
          <w:b/>
          <w:sz w:val="22"/>
        </w:rPr>
        <w:t xml:space="preserve"> </w:t>
      </w:r>
      <w:r>
        <w:rPr>
          <w:rFonts w:ascii="Times New Roman" w:hAnsi="Times New Roman"/>
          <w:sz w:val="22"/>
        </w:rPr>
        <w:t xml:space="preserve">tout en demandant instamment une évaluation minutieuse de leur incidence sur les PME. Il a souligné la nécessité d’investissements substantiels et de mises à niveau des infrastructures afin de tenir compte de l’augmentation du trafic et de soutenir le déploiement d’infrastructures de recharge pour les </w:t>
      </w:r>
      <w:r>
        <w:rPr>
          <w:rFonts w:ascii="Times New Roman" w:hAnsi="Times New Roman"/>
          <w:b/>
          <w:sz w:val="22"/>
        </w:rPr>
        <w:t>véhicules à émission zéro</w:t>
      </w:r>
      <w:r>
        <w:rPr>
          <w:rFonts w:ascii="Times New Roman" w:hAnsi="Times New Roman"/>
          <w:sz w:val="22"/>
        </w:rPr>
        <w:t>, sans compromettre les normes de sécurité.</w:t>
      </w:r>
    </w:p>
    <w:p w14:paraId="4EBA0C0B" w14:textId="77777777" w:rsidR="00BE246C" w:rsidRPr="000B323C" w:rsidRDefault="00BE246C" w:rsidP="006E7A01">
      <w:pPr>
        <w:spacing w:after="0" w:line="240" w:lineRule="auto"/>
        <w:jc w:val="both"/>
        <w:rPr>
          <w:rFonts w:ascii="Times New Roman" w:hAnsi="Times New Roman" w:cs="Times New Roman"/>
          <w:sz w:val="22"/>
          <w:szCs w:val="22"/>
        </w:rPr>
      </w:pPr>
    </w:p>
    <w:p w14:paraId="3D1D3F18" w14:textId="526CD16B" w:rsidR="00FF469A" w:rsidRPr="000B323C" w:rsidRDefault="00FF469A" w:rsidP="006E7A01">
      <w:pPr>
        <w:spacing w:after="0" w:line="240" w:lineRule="auto"/>
        <w:jc w:val="both"/>
        <w:rPr>
          <w:rFonts w:ascii="Times New Roman" w:hAnsi="Times New Roman" w:cs="Times New Roman"/>
          <w:sz w:val="22"/>
          <w:szCs w:val="22"/>
        </w:rPr>
      </w:pPr>
      <w:r>
        <w:rPr>
          <w:rFonts w:ascii="Times New Roman" w:hAnsi="Times New Roman"/>
          <w:sz w:val="22"/>
        </w:rPr>
        <w:t xml:space="preserve">Dans le domaine du </w:t>
      </w:r>
      <w:r>
        <w:rPr>
          <w:rFonts w:ascii="Times New Roman" w:hAnsi="Times New Roman"/>
          <w:b/>
          <w:sz w:val="22"/>
        </w:rPr>
        <w:t>transport ferroviaire</w:t>
      </w:r>
      <w:r>
        <w:rPr>
          <w:rFonts w:ascii="Times New Roman" w:hAnsi="Times New Roman"/>
          <w:sz w:val="22"/>
        </w:rPr>
        <w:t xml:space="preserve">, le Comité a appelé de ses vœux l’utilisation d’une </w:t>
      </w:r>
      <w:hyperlink r:id="rId33" w:history="1">
        <w:r>
          <w:rPr>
            <w:rStyle w:val="Hyperlink"/>
            <w:rFonts w:ascii="Times New Roman" w:hAnsi="Times New Roman"/>
            <w:sz w:val="22"/>
          </w:rPr>
          <w:t>capacité accrue</w:t>
        </w:r>
      </w:hyperlink>
      <w:r>
        <w:rPr>
          <w:rFonts w:ascii="Times New Roman" w:hAnsi="Times New Roman"/>
          <w:sz w:val="22"/>
        </w:rPr>
        <w:t xml:space="preserve"> et des investissements à tous les niveaux, depuis les réseaux à haut débit jusqu’aux réseaux régionaux. Il a demandé instamment des stratégies de transport de marchandises écologiques, des services abordables et accessibles, ainsi que l’amélioration des conditions de travail et du développement des compétences. Le CESE s’est également prononcé en faveur d’un </w:t>
      </w:r>
      <w:hyperlink r:id="rId34" w:history="1">
        <w:r>
          <w:rPr>
            <w:rStyle w:val="Hyperlink"/>
            <w:rFonts w:ascii="Times New Roman" w:hAnsi="Times New Roman"/>
            <w:sz w:val="22"/>
          </w:rPr>
          <w:t>cadre harmonisé pour la mesure des émissions</w:t>
        </w:r>
      </w:hyperlink>
      <w:r>
        <w:rPr>
          <w:rFonts w:ascii="Times New Roman" w:hAnsi="Times New Roman"/>
          <w:sz w:val="22"/>
        </w:rPr>
        <w:t xml:space="preserve"> et a souligné le rôle du transfert modal et de la réforme des péages dans la réduction des émissions de CO</w:t>
      </w:r>
      <w:r>
        <w:rPr>
          <w:rFonts w:ascii="Times New Roman" w:hAnsi="Times New Roman"/>
          <w:sz w:val="22"/>
          <w:vertAlign w:val="subscript"/>
        </w:rPr>
        <w:t>2</w:t>
      </w:r>
      <w:r>
        <w:rPr>
          <w:rFonts w:ascii="Times New Roman" w:hAnsi="Times New Roman"/>
          <w:sz w:val="22"/>
        </w:rPr>
        <w:t>.</w:t>
      </w:r>
    </w:p>
    <w:p w14:paraId="33AAE464"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73E3333E" w14:textId="3E08A718" w:rsidR="00FF469A" w:rsidRPr="000B323C" w:rsidRDefault="000B323C" w:rsidP="006E7A01">
      <w:pPr>
        <w:spacing w:after="0" w:line="240" w:lineRule="auto"/>
        <w:jc w:val="both"/>
        <w:rPr>
          <w:rFonts w:ascii="Times New Roman" w:hAnsi="Times New Roman" w:cs="Times New Roman"/>
          <w:sz w:val="22"/>
          <w:szCs w:val="22"/>
        </w:rPr>
      </w:pPr>
      <w:hyperlink r:id="rId35" w:history="1">
        <w:r>
          <w:rPr>
            <w:rStyle w:val="Hyperlink"/>
            <w:rFonts w:ascii="Times New Roman" w:hAnsi="Times New Roman"/>
            <w:b/>
            <w:sz w:val="22"/>
          </w:rPr>
          <w:t>Le transport intermodal de marchandises</w:t>
        </w:r>
        <w:r>
          <w:rPr>
            <w:rStyle w:val="Hyperlink"/>
            <w:rFonts w:ascii="Times New Roman" w:hAnsi="Times New Roman"/>
            <w:sz w:val="22"/>
          </w:rPr>
          <w:t xml:space="preserve"> et les solutions de transports combinés</w:t>
        </w:r>
      </w:hyperlink>
      <w:r>
        <w:rPr>
          <w:rFonts w:ascii="Times New Roman" w:hAnsi="Times New Roman"/>
          <w:sz w:val="22"/>
        </w:rPr>
        <w:t xml:space="preserve"> ont été encouragés en tant qu’éléments essentiels de la logistique de l’Union. Le Comité insiste sur la nécessité de mises à niveau des infrastructures, d’infrastructures de recharge pour les véhicules à émission zéro et du respect des normes sociales et de sécurité dans le secteur du transport routier.</w:t>
      </w:r>
    </w:p>
    <w:p w14:paraId="6CFF2A98"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05288246" w14:textId="1411F21F" w:rsidR="00FF469A" w:rsidRPr="000B323C" w:rsidRDefault="00FF469A" w:rsidP="006E7A01">
      <w:pPr>
        <w:spacing w:after="0" w:line="240" w:lineRule="auto"/>
        <w:jc w:val="both"/>
        <w:rPr>
          <w:rFonts w:ascii="Times New Roman" w:hAnsi="Times New Roman" w:cs="Times New Roman"/>
          <w:sz w:val="22"/>
          <w:szCs w:val="22"/>
        </w:rPr>
      </w:pPr>
      <w:r>
        <w:rPr>
          <w:rFonts w:ascii="Times New Roman" w:hAnsi="Times New Roman"/>
          <w:sz w:val="22"/>
        </w:rPr>
        <w:t xml:space="preserve">Dans le domaine du </w:t>
      </w:r>
      <w:r>
        <w:rPr>
          <w:rFonts w:ascii="Times New Roman" w:hAnsi="Times New Roman"/>
          <w:b/>
          <w:sz w:val="22"/>
        </w:rPr>
        <w:t>transport maritime et par voie de navigation intérieure</w:t>
      </w:r>
      <w:r>
        <w:rPr>
          <w:rFonts w:ascii="Times New Roman" w:hAnsi="Times New Roman"/>
          <w:sz w:val="22"/>
        </w:rPr>
        <w:t xml:space="preserve">, le CESE a encouragé un secteur compétitif, durable et socialement responsable. Il a recommandé des investissements coordonnés, une coopération renforcée entre les agences de l’Union, une mise à jour de la législation en matière de </w:t>
      </w:r>
      <w:hyperlink r:id="rId36" w:history="1">
        <w:r>
          <w:rPr>
            <w:rStyle w:val="Hyperlink"/>
            <w:rFonts w:ascii="Times New Roman" w:hAnsi="Times New Roman"/>
            <w:sz w:val="22"/>
          </w:rPr>
          <w:t>sécurité</w:t>
        </w:r>
      </w:hyperlink>
      <w:r>
        <w:rPr>
          <w:rFonts w:ascii="Times New Roman" w:hAnsi="Times New Roman"/>
          <w:sz w:val="22"/>
        </w:rPr>
        <w:t xml:space="preserve"> et de </w:t>
      </w:r>
      <w:hyperlink r:id="rId37" w:history="1">
        <w:r>
          <w:rPr>
            <w:rStyle w:val="Hyperlink"/>
            <w:rFonts w:ascii="Times New Roman" w:hAnsi="Times New Roman"/>
            <w:sz w:val="22"/>
          </w:rPr>
          <w:t>pollution</w:t>
        </w:r>
      </w:hyperlink>
      <w:r>
        <w:rPr>
          <w:rFonts w:ascii="Times New Roman" w:hAnsi="Times New Roman"/>
          <w:sz w:val="22"/>
        </w:rPr>
        <w:t>, ainsi qu’un nouveau contrat social pour protéger les gens de mer. Il s’est félicité du renforcement du rôle de l’</w:t>
      </w:r>
      <w:hyperlink r:id="rId38" w:history="1">
        <w:r>
          <w:rPr>
            <w:rStyle w:val="Hyperlink"/>
            <w:rFonts w:ascii="Times New Roman" w:hAnsi="Times New Roman"/>
            <w:sz w:val="22"/>
          </w:rPr>
          <w:t>Agence européenne pour la sécurité maritime (AESM)</w:t>
        </w:r>
      </w:hyperlink>
      <w:r>
        <w:rPr>
          <w:rFonts w:ascii="Times New Roman" w:hAnsi="Times New Roman"/>
          <w:sz w:val="22"/>
        </w:rPr>
        <w:t xml:space="preserve"> et a soutenu l’amélioration des cadres de formation, de surveillance et d’étude des accidents. Il a également souligné l’importance de développer des systèmes numériques et des cadres de gestion de la qualité pour le contrôle par l’État du </w:t>
      </w:r>
      <w:hyperlink r:id="rId39" w:history="1">
        <w:r>
          <w:rPr>
            <w:rStyle w:val="Hyperlink"/>
            <w:rFonts w:ascii="Times New Roman" w:hAnsi="Times New Roman"/>
            <w:sz w:val="22"/>
          </w:rPr>
          <w:t>port</w:t>
        </w:r>
      </w:hyperlink>
      <w:r>
        <w:rPr>
          <w:rFonts w:ascii="Times New Roman" w:hAnsi="Times New Roman"/>
          <w:sz w:val="22"/>
        </w:rPr>
        <w:t xml:space="preserve"> et du </w:t>
      </w:r>
      <w:hyperlink r:id="rId40" w:history="1">
        <w:r>
          <w:rPr>
            <w:rStyle w:val="Hyperlink"/>
            <w:rFonts w:ascii="Times New Roman" w:hAnsi="Times New Roman"/>
            <w:sz w:val="22"/>
          </w:rPr>
          <w:t>pavillon</w:t>
        </w:r>
      </w:hyperlink>
      <w:r>
        <w:rPr>
          <w:rFonts w:ascii="Times New Roman" w:hAnsi="Times New Roman"/>
          <w:sz w:val="22"/>
        </w:rPr>
        <w:t xml:space="preserve">. Dans le domaine des voies de navigation intérieures, le CESE a soutenu un </w:t>
      </w:r>
      <w:hyperlink r:id="rId41" w:history="1">
        <w:r>
          <w:rPr>
            <w:rStyle w:val="Hyperlink"/>
            <w:rFonts w:ascii="Times New Roman" w:hAnsi="Times New Roman"/>
            <w:sz w:val="22"/>
          </w:rPr>
          <w:t>système d’information fluviale (SIF)</w:t>
        </w:r>
      </w:hyperlink>
      <w:r>
        <w:rPr>
          <w:rFonts w:ascii="Times New Roman" w:hAnsi="Times New Roman"/>
          <w:sz w:val="22"/>
        </w:rPr>
        <w:t xml:space="preserve"> adaptatif et interopérable, soulignant le rôle de la formation et de la participation des utilisateurs. </w:t>
      </w:r>
    </w:p>
    <w:p w14:paraId="0F824E21"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56B7D5A0" w14:textId="6F2825D6" w:rsidR="00FF469A" w:rsidRPr="000B323C" w:rsidRDefault="00FF469A" w:rsidP="006E7A01">
      <w:pPr>
        <w:spacing w:after="0" w:line="240" w:lineRule="auto"/>
        <w:jc w:val="both"/>
        <w:rPr>
          <w:rFonts w:ascii="Times New Roman" w:hAnsi="Times New Roman" w:cs="Times New Roman"/>
          <w:sz w:val="22"/>
          <w:szCs w:val="22"/>
        </w:rPr>
      </w:pPr>
      <w:r>
        <w:rPr>
          <w:rFonts w:ascii="Times New Roman" w:hAnsi="Times New Roman"/>
          <w:sz w:val="22"/>
        </w:rPr>
        <w:t>Dans le secteur de l’</w:t>
      </w:r>
      <w:r>
        <w:rPr>
          <w:rFonts w:ascii="Times New Roman" w:hAnsi="Times New Roman"/>
          <w:b/>
          <w:sz w:val="22"/>
        </w:rPr>
        <w:t>aviation</w:t>
      </w:r>
      <w:r>
        <w:rPr>
          <w:rFonts w:ascii="Times New Roman" w:hAnsi="Times New Roman"/>
          <w:sz w:val="22"/>
        </w:rPr>
        <w:t xml:space="preserve">, des retards dans la législation ont été constatés. Toutefois, le Comité a souligné le potentiel stratégique des </w:t>
      </w:r>
      <w:hyperlink r:id="rId42" w:history="1">
        <w:r>
          <w:rPr>
            <w:rStyle w:val="Hyperlink"/>
            <w:rFonts w:ascii="Times New Roman" w:hAnsi="Times New Roman"/>
            <w:sz w:val="22"/>
          </w:rPr>
          <w:t>drones</w:t>
        </w:r>
      </w:hyperlink>
      <w:r>
        <w:rPr>
          <w:rFonts w:ascii="Times New Roman" w:hAnsi="Times New Roman"/>
          <w:sz w:val="22"/>
        </w:rPr>
        <w:t xml:space="preserve"> pour les utilisateurs civils et de la défense, insistant sur l’importance de trouver un équilibre entre les avantages et les cadres de sécurité, d’urbanisme et d’éthique dans leur déploiement. </w:t>
      </w:r>
    </w:p>
    <w:p w14:paraId="24325BA7"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6248342E" w14:textId="77777777" w:rsidR="00BE246C" w:rsidRPr="000B323C" w:rsidRDefault="000B323C" w:rsidP="006E7A01">
      <w:pPr>
        <w:spacing w:after="0" w:line="240" w:lineRule="auto"/>
        <w:jc w:val="both"/>
        <w:rPr>
          <w:rFonts w:ascii="Times New Roman" w:hAnsi="Times New Roman" w:cs="Times New Roman"/>
          <w:sz w:val="22"/>
          <w:szCs w:val="22"/>
        </w:rPr>
      </w:pPr>
      <w:hyperlink r:id="rId43" w:history="1">
        <w:r>
          <w:rPr>
            <w:rStyle w:val="Hyperlink"/>
            <w:rFonts w:ascii="Times New Roman" w:hAnsi="Times New Roman"/>
            <w:b/>
            <w:sz w:val="22"/>
          </w:rPr>
          <w:t>Les droits des passagers</w:t>
        </w:r>
      </w:hyperlink>
      <w:r>
        <w:rPr>
          <w:rFonts w:ascii="Times New Roman" w:hAnsi="Times New Roman"/>
          <w:b/>
          <w:sz w:val="22"/>
        </w:rPr>
        <w:t xml:space="preserve"> </w:t>
      </w:r>
      <w:r>
        <w:rPr>
          <w:rFonts w:ascii="Times New Roman" w:hAnsi="Times New Roman"/>
          <w:sz w:val="22"/>
        </w:rPr>
        <w:t xml:space="preserve"> étaient une préoccupation récurrente. Le CESE a plaidé en faveur d’une meilleure information, d’une application plus stricte et d’un traitement équitable des travailleurs. Il a soutenu le développement d’un </w:t>
      </w:r>
      <w:hyperlink r:id="rId44" w:history="1">
        <w:r>
          <w:rPr>
            <w:rStyle w:val="Hyperlink"/>
            <w:rFonts w:ascii="Times New Roman" w:hAnsi="Times New Roman"/>
            <w:sz w:val="22"/>
          </w:rPr>
          <w:t>permis de conduire numérique</w:t>
        </w:r>
      </w:hyperlink>
      <w:r>
        <w:rPr>
          <w:rFonts w:ascii="Times New Roman" w:hAnsi="Times New Roman"/>
          <w:sz w:val="22"/>
        </w:rPr>
        <w:t xml:space="preserve"> et signalé des pénuries de main-d’œuvre dans le secteur. </w:t>
      </w:r>
    </w:p>
    <w:p w14:paraId="2523A68F"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2B34021A" w14:textId="0706A63A" w:rsidR="00FF469A" w:rsidRPr="000B323C" w:rsidRDefault="00FF469A" w:rsidP="006E7A01">
      <w:pPr>
        <w:spacing w:after="0" w:line="240" w:lineRule="auto"/>
        <w:jc w:val="both"/>
        <w:rPr>
          <w:rFonts w:ascii="Times New Roman" w:hAnsi="Times New Roman" w:cs="Times New Roman"/>
          <w:sz w:val="22"/>
          <w:szCs w:val="22"/>
        </w:rPr>
      </w:pPr>
      <w:r>
        <w:rPr>
          <w:rFonts w:ascii="Times New Roman" w:hAnsi="Times New Roman"/>
          <w:sz w:val="22"/>
        </w:rPr>
        <w:t xml:space="preserve">De manière plus générale, le Comité a mis en évidence les </w:t>
      </w:r>
      <w:hyperlink r:id="rId45" w:history="1">
        <w:r>
          <w:rPr>
            <w:rStyle w:val="Hyperlink"/>
            <w:rFonts w:ascii="Times New Roman" w:hAnsi="Times New Roman"/>
            <w:sz w:val="22"/>
          </w:rPr>
          <w:t>pénuries croissantes de main-d’œuvre et de compétences</w:t>
        </w:r>
      </w:hyperlink>
      <w:r>
        <w:rPr>
          <w:rFonts w:ascii="Times New Roman" w:hAnsi="Times New Roman"/>
          <w:sz w:val="22"/>
        </w:rPr>
        <w:t xml:space="preserve">, appelant à des </w:t>
      </w:r>
      <w:r>
        <w:rPr>
          <w:rFonts w:ascii="Times New Roman" w:hAnsi="Times New Roman"/>
          <w:b/>
          <w:sz w:val="22"/>
        </w:rPr>
        <w:t>mesures ambitieuses et inclusives en faveur de l’emploi</w:t>
      </w:r>
      <w:r>
        <w:rPr>
          <w:rFonts w:ascii="Times New Roman" w:hAnsi="Times New Roman"/>
          <w:sz w:val="22"/>
        </w:rPr>
        <w:t xml:space="preserve">. Il s’agit notamment de conditions de financement public, de salaires équitables, de critères sociaux, de la formation et de la négociation collective. L’égalité de traitement entre les États membres et des orientations plus claires sur le </w:t>
      </w:r>
      <w:hyperlink r:id="rId46" w:history="1">
        <w:r>
          <w:rPr>
            <w:rStyle w:val="Hyperlink"/>
            <w:rFonts w:ascii="Times New Roman" w:hAnsi="Times New Roman"/>
            <w:sz w:val="22"/>
          </w:rPr>
          <w:t>détachement de conducteurs</w:t>
        </w:r>
      </w:hyperlink>
      <w:r>
        <w:rPr>
          <w:rFonts w:ascii="Times New Roman" w:hAnsi="Times New Roman"/>
          <w:sz w:val="22"/>
        </w:rPr>
        <w:t xml:space="preserve"> ont également été préconisées, en accordant une attention particulière à la sécurité, à la rémunération équitable et à l’efficacité administrative. </w:t>
      </w:r>
    </w:p>
    <w:p w14:paraId="1026B617" w14:textId="77777777" w:rsidR="00BE246C" w:rsidRPr="000B323C" w:rsidRDefault="00BE246C" w:rsidP="006E7A01">
      <w:pPr>
        <w:spacing w:after="0" w:line="240" w:lineRule="auto"/>
        <w:jc w:val="both"/>
        <w:rPr>
          <w:rFonts w:ascii="Times New Roman" w:hAnsi="Times New Roman" w:cs="Times New Roman"/>
          <w:sz w:val="22"/>
          <w:szCs w:val="22"/>
          <w:lang w:val="en-GB"/>
        </w:rPr>
      </w:pPr>
    </w:p>
    <w:p w14:paraId="05417BB0" w14:textId="77777777" w:rsidR="00FF469A" w:rsidRPr="000B323C" w:rsidRDefault="00FF469A" w:rsidP="006E7A01">
      <w:pPr>
        <w:spacing w:after="0" w:line="240" w:lineRule="auto"/>
        <w:jc w:val="both"/>
        <w:rPr>
          <w:rFonts w:ascii="Times New Roman" w:eastAsiaTheme="minorHAnsi" w:hAnsi="Times New Roman" w:cs="Times New Roman"/>
          <w:sz w:val="22"/>
          <w:szCs w:val="22"/>
        </w:rPr>
      </w:pPr>
      <w:r>
        <w:rPr>
          <w:rFonts w:ascii="Times New Roman" w:hAnsi="Times New Roman"/>
          <w:sz w:val="22"/>
        </w:rPr>
        <w:t xml:space="preserve">Dans le cadre de son champ d’action élargi, des membres de la section TEN ont effectué des missions d’information, mettant en place une excellente coopération avec l’Agence européenne pour la sécurité maritime (AESM) à Lisbonne et avec les autorités locales à Ljubljana dans le cadre des </w:t>
      </w:r>
      <w:r>
        <w:rPr>
          <w:rFonts w:ascii="Times New Roman" w:hAnsi="Times New Roman"/>
          <w:b/>
          <w:sz w:val="22"/>
        </w:rPr>
        <w:t>plans de mobilité urbaine durable</w:t>
      </w:r>
      <w:r>
        <w:rPr>
          <w:rFonts w:ascii="Times New Roman" w:hAnsi="Times New Roman"/>
          <w:sz w:val="22"/>
        </w:rPr>
        <w:t xml:space="preserve">. </w:t>
      </w:r>
    </w:p>
    <w:p w14:paraId="04D96A8E" w14:textId="7967A5D4" w:rsidR="006F33F4" w:rsidRPr="000B323C" w:rsidRDefault="006F33F4" w:rsidP="006E7A01">
      <w:pPr>
        <w:spacing w:after="0" w:line="240" w:lineRule="auto"/>
        <w:jc w:val="both"/>
        <w:rPr>
          <w:rFonts w:ascii="Times New Roman" w:eastAsia="Times New Roman" w:hAnsi="Times New Roman" w:cs="Times New Roman"/>
          <w:sz w:val="22"/>
          <w:szCs w:val="22"/>
          <w:lang w:val="en-GB"/>
        </w:rPr>
      </w:pPr>
    </w:p>
    <w:p w14:paraId="48F27884" w14:textId="32526410" w:rsidR="006F33F4" w:rsidRPr="00F721A4" w:rsidRDefault="3A924AF7" w:rsidP="00F721A4">
      <w:pPr>
        <w:pStyle w:val="Heading1"/>
      </w:pPr>
      <w:proofErr w:type="gramStart"/>
      <w:r>
        <w:t>Télécommunications:</w:t>
      </w:r>
      <w:proofErr w:type="gramEnd"/>
      <w:r>
        <w:t xml:space="preserve"> accès universel, politique spatiale de l’UE, connectivité sûre</w:t>
      </w:r>
    </w:p>
    <w:p w14:paraId="43C86215" w14:textId="77777777" w:rsidR="00B51A00" w:rsidRPr="0096433C" w:rsidRDefault="00B51A00" w:rsidP="006E7A01">
      <w:pPr>
        <w:spacing w:after="0" w:line="240" w:lineRule="auto"/>
        <w:rPr>
          <w:rFonts w:ascii="Times New Roman" w:eastAsia="Calibri Light" w:hAnsi="Times New Roman" w:cs="Times New Roman"/>
          <w:sz w:val="22"/>
          <w:szCs w:val="22"/>
          <w:lang w:val="fr-BE"/>
        </w:rPr>
      </w:pPr>
    </w:p>
    <w:p w14:paraId="493E1C5B" w14:textId="61FFA2F3" w:rsidR="00566E01" w:rsidRPr="000B323C" w:rsidRDefault="00566E01" w:rsidP="006E7A01">
      <w:pPr>
        <w:spacing w:after="0" w:line="240" w:lineRule="auto"/>
        <w:jc w:val="both"/>
        <w:rPr>
          <w:rFonts w:ascii="Times New Roman" w:hAnsi="Times New Roman" w:cs="Times New Roman"/>
          <w:color w:val="000000" w:themeColor="text1"/>
          <w:sz w:val="22"/>
          <w:szCs w:val="22"/>
        </w:rPr>
      </w:pPr>
      <w:r>
        <w:rPr>
          <w:rFonts w:ascii="Times New Roman" w:hAnsi="Times New Roman"/>
          <w:color w:val="000000" w:themeColor="text1"/>
          <w:sz w:val="22"/>
        </w:rPr>
        <w:t>Dans le domaine des télécommunications et de la connectivité, le CESE répond aux efforts nécessaires pour atteindre les objectifs de la décennie numérique de l’Europe. La section TEN s’est concentrée sur trois initiatives clés.</w:t>
      </w:r>
    </w:p>
    <w:p w14:paraId="6D833BC9" w14:textId="77777777" w:rsidR="00E7012E" w:rsidRPr="000B323C" w:rsidRDefault="00E7012E" w:rsidP="006E7A01">
      <w:pPr>
        <w:spacing w:after="0" w:line="240" w:lineRule="auto"/>
        <w:jc w:val="both"/>
        <w:rPr>
          <w:rFonts w:ascii="Times New Roman" w:hAnsi="Times New Roman" w:cs="Times New Roman"/>
          <w:color w:val="000000" w:themeColor="text1"/>
          <w:sz w:val="22"/>
          <w:szCs w:val="22"/>
        </w:rPr>
      </w:pPr>
    </w:p>
    <w:p w14:paraId="72617077" w14:textId="09AAED05" w:rsidR="00541093" w:rsidRPr="000B323C" w:rsidRDefault="00541093" w:rsidP="006E7A01">
      <w:pPr>
        <w:spacing w:after="0" w:line="240" w:lineRule="auto"/>
        <w:jc w:val="both"/>
        <w:rPr>
          <w:rFonts w:ascii="Times New Roman" w:eastAsia="Times New Roman" w:hAnsi="Times New Roman" w:cs="Times New Roman"/>
          <w:sz w:val="22"/>
          <w:szCs w:val="22"/>
        </w:rPr>
      </w:pPr>
      <w:r>
        <w:rPr>
          <w:rFonts w:ascii="Times New Roman" w:hAnsi="Times New Roman"/>
          <w:sz w:val="22"/>
        </w:rPr>
        <w:t xml:space="preserve">En ce qui concerne le </w:t>
      </w:r>
      <w:hyperlink r:id="rId47" w:history="1">
        <w:r>
          <w:rPr>
            <w:rStyle w:val="Hyperlink"/>
            <w:rFonts w:ascii="Times New Roman" w:hAnsi="Times New Roman"/>
            <w:i/>
            <w:sz w:val="22"/>
          </w:rPr>
          <w:t>règlement sur les infrastructures gigabit</w:t>
        </w:r>
      </w:hyperlink>
      <w:r>
        <w:rPr>
          <w:rFonts w:ascii="Times New Roman" w:hAnsi="Times New Roman"/>
          <w:sz w:val="22"/>
        </w:rPr>
        <w:t>, le CESE a souligné le rôle des infrastructures partagées, de la sécurité des réseaux et des données relatives aux infrastructures publiques dans la réalisation des objectifs de la décennie numérique 2030 et dans la réduction des coûts de déploiement, tout en soulignant que la connectivité gigabit est essentielle pour un développement économique et social équilibré, en particulier pour les PME et les régions reculées.</w:t>
      </w:r>
    </w:p>
    <w:p w14:paraId="592256C1" w14:textId="77777777" w:rsidR="00E7012E" w:rsidRPr="000B323C" w:rsidRDefault="00E7012E" w:rsidP="006E7A01">
      <w:pPr>
        <w:spacing w:after="0" w:line="240" w:lineRule="auto"/>
        <w:jc w:val="both"/>
        <w:rPr>
          <w:rFonts w:ascii="Times New Roman" w:eastAsia="Times New Roman" w:hAnsi="Times New Roman" w:cs="Times New Roman"/>
          <w:sz w:val="22"/>
          <w:szCs w:val="22"/>
          <w:lang w:eastAsia="fr-BE"/>
        </w:rPr>
      </w:pPr>
    </w:p>
    <w:p w14:paraId="1F247FAA" w14:textId="4CF34857" w:rsidR="00541093" w:rsidRPr="000B323C" w:rsidRDefault="00541093" w:rsidP="006E7A01">
      <w:pPr>
        <w:spacing w:after="0" w:line="240" w:lineRule="auto"/>
        <w:jc w:val="both"/>
        <w:rPr>
          <w:rFonts w:ascii="Times New Roman" w:eastAsia="Times New Roman" w:hAnsi="Times New Roman" w:cs="Times New Roman"/>
          <w:sz w:val="22"/>
          <w:szCs w:val="22"/>
        </w:rPr>
      </w:pPr>
      <w:r>
        <w:rPr>
          <w:rFonts w:ascii="Times New Roman" w:hAnsi="Times New Roman"/>
          <w:sz w:val="22"/>
        </w:rPr>
        <w:t xml:space="preserve">En ce qui concerne le </w:t>
      </w:r>
      <w:hyperlink r:id="rId48" w:history="1">
        <w:r>
          <w:rPr>
            <w:rStyle w:val="Hyperlink"/>
            <w:rFonts w:ascii="Times New Roman" w:hAnsi="Times New Roman"/>
            <w:i/>
            <w:sz w:val="22"/>
          </w:rPr>
          <w:t>train de mesures sur la connectivité</w:t>
        </w:r>
      </w:hyperlink>
      <w:r>
        <w:rPr>
          <w:rFonts w:ascii="Times New Roman" w:hAnsi="Times New Roman"/>
          <w:sz w:val="22"/>
        </w:rPr>
        <w:t>, le CESE a souligné l’importance de l’interconnectivité pour les maisons, les transports, la santé et la société dans son ensemble, ainsi que la nécessité de garantir des conditions de concurrence équitables et une protection égale des consommateurs dans l’écosystème numérique. Il a appelé à des investissements publics et privés coordonnés afin de fournir des réseaux résilients et à haute capacité fondés sur des fournisseurs de confiance, des normes de cybersécurité strictes et des infrastructures intégrées, y compris des câbles sous-marins.</w:t>
      </w:r>
    </w:p>
    <w:p w14:paraId="2F4B5411" w14:textId="77777777" w:rsidR="00E7012E" w:rsidRPr="000B323C" w:rsidRDefault="00E7012E" w:rsidP="006E7A01">
      <w:pPr>
        <w:spacing w:after="0" w:line="240" w:lineRule="auto"/>
        <w:jc w:val="both"/>
        <w:rPr>
          <w:rFonts w:ascii="Times New Roman" w:eastAsia="Times New Roman" w:hAnsi="Times New Roman" w:cs="Times New Roman"/>
          <w:sz w:val="22"/>
          <w:szCs w:val="22"/>
          <w:lang w:eastAsia="fr-BE"/>
        </w:rPr>
      </w:pPr>
    </w:p>
    <w:p w14:paraId="0A72136D" w14:textId="3980CFA7" w:rsidR="006A53ED" w:rsidRPr="000B323C" w:rsidRDefault="00541093" w:rsidP="006E7A01">
      <w:pPr>
        <w:spacing w:after="0" w:line="240" w:lineRule="auto"/>
        <w:jc w:val="both"/>
        <w:rPr>
          <w:rFonts w:ascii="Times New Roman" w:eastAsia="Times New Roman" w:hAnsi="Times New Roman" w:cs="Times New Roman"/>
          <w:sz w:val="22"/>
          <w:szCs w:val="22"/>
        </w:rPr>
      </w:pPr>
      <w:r>
        <w:rPr>
          <w:rFonts w:ascii="Times New Roman" w:hAnsi="Times New Roman"/>
          <w:sz w:val="22"/>
        </w:rPr>
        <w:t xml:space="preserve">Dans son avis sur les </w:t>
      </w:r>
      <w:hyperlink r:id="rId49" w:history="1">
        <w:r>
          <w:rPr>
            <w:rStyle w:val="Hyperlink"/>
            <w:rFonts w:ascii="Times New Roman" w:hAnsi="Times New Roman"/>
            <w:i/>
            <w:sz w:val="22"/>
          </w:rPr>
          <w:t>droits en matière de service universel</w:t>
        </w:r>
      </w:hyperlink>
      <w:r>
        <w:rPr>
          <w:rFonts w:ascii="Times New Roman" w:hAnsi="Times New Roman"/>
          <w:sz w:val="22"/>
        </w:rPr>
        <w:t>, le CESE s’est penché sur les lacunes dans le domaine des compétences numériques et le manque de caractère abordable en tant que principaux obstacles à l’accès, exacerbant ainsi les inégalités sociales et économiques. Il s’est prononcé en faveur de garanties contraignantes pour un accès universel à l’internet d’au moins 100 Mb/s, devant être régulièrement mis à jour, et a exhorté les États membres à désigner des opérateurs et à soutenir la connectivité en cas d’échec des marchés. Prenant acte des coûts d’infrastructure élevés, le CESE a également proposé d’étudier des mécanismes de financement impliquant de grandes plateformes génératrices de données, en particulier les grandes entreprises technologiques, afin de soutenir la maintenance et le développement du réseau.</w:t>
      </w:r>
    </w:p>
    <w:p w14:paraId="243D29C4" w14:textId="77777777" w:rsidR="00E7012E" w:rsidRPr="000B323C" w:rsidRDefault="00E7012E" w:rsidP="006E7A01">
      <w:pPr>
        <w:spacing w:after="0" w:line="240" w:lineRule="auto"/>
        <w:jc w:val="both"/>
        <w:rPr>
          <w:rFonts w:ascii="Times New Roman" w:eastAsia="Times New Roman" w:hAnsi="Times New Roman" w:cs="Times New Roman"/>
          <w:lang w:eastAsia="fr-BE"/>
        </w:rPr>
      </w:pPr>
    </w:p>
    <w:p w14:paraId="1C8C87CA" w14:textId="7AF26CF0" w:rsidR="006F33F4" w:rsidRPr="000B323C" w:rsidRDefault="70499246" w:rsidP="006E7A01">
      <w:pPr>
        <w:spacing w:after="0" w:line="240" w:lineRule="auto"/>
        <w:jc w:val="both"/>
        <w:rPr>
          <w:rFonts w:ascii="Times New Roman" w:eastAsia="Times New Roman" w:hAnsi="Times New Roman" w:cs="Times New Roman"/>
          <w:sz w:val="22"/>
          <w:szCs w:val="22"/>
        </w:rPr>
      </w:pPr>
      <w:r>
        <w:rPr>
          <w:rFonts w:ascii="Times New Roman" w:hAnsi="Times New Roman"/>
          <w:sz w:val="22"/>
        </w:rPr>
        <w:t>En ce qui concerne la</w:t>
      </w:r>
      <w:r>
        <w:rPr>
          <w:rFonts w:ascii="Times New Roman" w:hAnsi="Times New Roman"/>
          <w:b/>
          <w:sz w:val="22"/>
        </w:rPr>
        <w:t xml:space="preserve"> politique spatiale de l’UE</w:t>
      </w:r>
      <w:r>
        <w:rPr>
          <w:rFonts w:ascii="Times New Roman" w:hAnsi="Times New Roman"/>
          <w:sz w:val="22"/>
        </w:rPr>
        <w:t xml:space="preserve">, certains travaux exploratoires ont été lancés avec une étude sur </w:t>
      </w:r>
      <w:hyperlink r:id="rId50" w:history="1">
        <w:r>
          <w:rPr>
            <w:rStyle w:val="Hyperlink"/>
            <w:rFonts w:ascii="Times New Roman" w:hAnsi="Times New Roman"/>
            <w:sz w:val="22"/>
          </w:rPr>
          <w:t>la politique spatiale de l’UE et la participation de la société civile</w:t>
        </w:r>
      </w:hyperlink>
      <w:r>
        <w:rPr>
          <w:rFonts w:ascii="Times New Roman" w:hAnsi="Times New Roman"/>
          <w:sz w:val="22"/>
        </w:rPr>
        <w:t xml:space="preserve">, publiée en mai 2023. La section TEN travaille actuellement à l’élaboration d’un avis sur la </w:t>
      </w:r>
      <w:hyperlink r:id="rId51" w:history="1">
        <w:r>
          <w:rPr>
            <w:rStyle w:val="Hyperlink"/>
            <w:rFonts w:ascii="Times New Roman" w:hAnsi="Times New Roman"/>
            <w:i/>
            <w:sz w:val="22"/>
          </w:rPr>
          <w:t>législation spatiale de l’UE</w:t>
        </w:r>
      </w:hyperlink>
      <w:r>
        <w:rPr>
          <w:rFonts w:ascii="Times New Roman" w:hAnsi="Times New Roman"/>
          <w:sz w:val="22"/>
        </w:rPr>
        <w:t xml:space="preserve">, une proposition de règlement, publiée en juin 2025, qui introduit un cadre harmonisé pour les activités spatiales dans l’ensemble de l’Union. La proposition est structurée autour de trois </w:t>
      </w:r>
      <w:proofErr w:type="gramStart"/>
      <w:r>
        <w:rPr>
          <w:rFonts w:ascii="Times New Roman" w:hAnsi="Times New Roman"/>
          <w:sz w:val="22"/>
        </w:rPr>
        <w:t>piliers:</w:t>
      </w:r>
      <w:proofErr w:type="gramEnd"/>
      <w:r>
        <w:rPr>
          <w:rFonts w:ascii="Times New Roman" w:hAnsi="Times New Roman"/>
          <w:sz w:val="22"/>
        </w:rPr>
        <w:t xml:space="preserve"> sécurité, résilience et durabilité. Elle vise à créer un marché unique pour les activités spatiales, en mettant l’accent sur la gestion des débris, l’infrastructure spatiale européenne et l’incidence environnementale. L’adoption de l’avis du CESE est prévue pour décembre 2025.</w:t>
      </w:r>
    </w:p>
    <w:p w14:paraId="2EAC0C16" w14:textId="19586702" w:rsidR="008535AB" w:rsidRPr="000B323C" w:rsidRDefault="008535AB" w:rsidP="006E7A01">
      <w:pPr>
        <w:spacing w:after="0" w:line="240" w:lineRule="auto"/>
        <w:jc w:val="both"/>
        <w:rPr>
          <w:rFonts w:ascii="Times New Roman" w:eastAsia="Times New Roman" w:hAnsi="Times New Roman" w:cs="Times New Roman"/>
          <w:sz w:val="22"/>
          <w:szCs w:val="22"/>
          <w:lang w:val="en-GB"/>
        </w:rPr>
      </w:pPr>
    </w:p>
    <w:p w14:paraId="1AD5C3DA" w14:textId="1DD57815" w:rsidR="006F33F4" w:rsidRPr="00F721A4" w:rsidRDefault="3A924AF7" w:rsidP="00F721A4">
      <w:pPr>
        <w:pStyle w:val="Heading1"/>
      </w:pPr>
      <w:r>
        <w:t>Écho interinstitutionnel</w:t>
      </w:r>
    </w:p>
    <w:p w14:paraId="0DAAA6E8" w14:textId="66D1CB73" w:rsidR="00F26475" w:rsidRPr="000B323C" w:rsidRDefault="00F26475" w:rsidP="006E7A01">
      <w:pPr>
        <w:spacing w:after="0" w:line="240" w:lineRule="auto"/>
        <w:jc w:val="both"/>
        <w:rPr>
          <w:rFonts w:ascii="Times New Roman" w:eastAsia="Times New Roman" w:hAnsi="Times New Roman" w:cs="Times New Roman"/>
          <w:sz w:val="22"/>
          <w:szCs w:val="22"/>
          <w:highlight w:val="yellow"/>
          <w:lang w:val="en-GB"/>
        </w:rPr>
      </w:pPr>
    </w:p>
    <w:p w14:paraId="4C5377CD" w14:textId="1D0EF7E5" w:rsidR="00F26475" w:rsidRPr="000B323C" w:rsidRDefault="00F26475" w:rsidP="006E7A01">
      <w:pPr>
        <w:spacing w:after="0" w:line="240" w:lineRule="auto"/>
        <w:jc w:val="both"/>
        <w:rPr>
          <w:rFonts w:ascii="Times New Roman" w:hAnsi="Times New Roman" w:cs="Times New Roman"/>
          <w:sz w:val="22"/>
          <w:szCs w:val="22"/>
        </w:rPr>
      </w:pPr>
      <w:r>
        <w:rPr>
          <w:rFonts w:ascii="Times New Roman" w:hAnsi="Times New Roman"/>
          <w:sz w:val="22"/>
        </w:rPr>
        <w:t>Les membres de la section TEN contribuent activement à l’élaboration des politiques de l’UE au sens large en présentant leurs travaux dans différentes institutions. Ils sont régulièrement invités à partager les avis de la section TEN au sein des commissions du Parlement européen (PE), en particulier les commissions TRAN et ITRE, à participer aux manifestations de la Commission européenne et à dialoguer avec les agences de l’Union et d’autres organisations. Ces échanges reflètent le rôle croissant du CESE en tant qu’intermédiaire entre la société civile et les décideurs institutionnels.</w:t>
      </w:r>
    </w:p>
    <w:p w14:paraId="6248CBF4" w14:textId="77777777" w:rsidR="00BE246C" w:rsidRPr="000B323C" w:rsidRDefault="00BE246C" w:rsidP="006E7A01">
      <w:pPr>
        <w:spacing w:after="0" w:line="240" w:lineRule="auto"/>
        <w:jc w:val="both"/>
        <w:rPr>
          <w:rFonts w:ascii="Times New Roman" w:hAnsi="Times New Roman" w:cs="Times New Roman"/>
          <w:sz w:val="22"/>
          <w:szCs w:val="22"/>
        </w:rPr>
      </w:pPr>
    </w:p>
    <w:p w14:paraId="3927C021" w14:textId="29FB3AF5" w:rsidR="00F26475" w:rsidRPr="000B323C" w:rsidRDefault="00F26475" w:rsidP="006E7A01">
      <w:pPr>
        <w:spacing w:after="0" w:line="240" w:lineRule="auto"/>
        <w:jc w:val="both"/>
        <w:rPr>
          <w:rFonts w:ascii="Times New Roman" w:hAnsi="Times New Roman" w:cs="Times New Roman"/>
          <w:sz w:val="22"/>
          <w:szCs w:val="22"/>
        </w:rPr>
      </w:pPr>
      <w:r>
        <w:rPr>
          <w:rFonts w:ascii="Times New Roman" w:hAnsi="Times New Roman"/>
          <w:sz w:val="22"/>
        </w:rPr>
        <w:t xml:space="preserve">Sur la base de l’accord de coopération entre le </w:t>
      </w:r>
      <w:r>
        <w:rPr>
          <w:rFonts w:ascii="Times New Roman" w:hAnsi="Times New Roman"/>
          <w:b/>
          <w:sz w:val="22"/>
        </w:rPr>
        <w:t>Parlement européen</w:t>
      </w:r>
      <w:r>
        <w:rPr>
          <w:rFonts w:ascii="Times New Roman" w:hAnsi="Times New Roman"/>
          <w:sz w:val="22"/>
        </w:rPr>
        <w:t xml:space="preserve"> et le CESE, la section TEN a participé aux réunions des commissions du PE.</w:t>
      </w:r>
    </w:p>
    <w:p w14:paraId="33251F35" w14:textId="77777777" w:rsidR="00BE246C" w:rsidRPr="000B323C" w:rsidRDefault="00BE246C" w:rsidP="006E7A01">
      <w:pPr>
        <w:spacing w:after="0" w:line="240" w:lineRule="auto"/>
        <w:jc w:val="both"/>
        <w:rPr>
          <w:rFonts w:ascii="Times New Roman" w:hAnsi="Times New Roman" w:cs="Times New Roman"/>
          <w:sz w:val="22"/>
          <w:szCs w:val="22"/>
        </w:rPr>
      </w:pPr>
    </w:p>
    <w:p w14:paraId="0AF00EF8" w14:textId="322AF332" w:rsidR="00F26475" w:rsidRPr="000B323C" w:rsidRDefault="00F26475" w:rsidP="006E7A01">
      <w:pPr>
        <w:spacing w:after="0" w:line="240" w:lineRule="auto"/>
        <w:jc w:val="both"/>
        <w:rPr>
          <w:rFonts w:ascii="Times New Roman" w:hAnsi="Times New Roman" w:cs="Times New Roman"/>
          <w:sz w:val="22"/>
          <w:szCs w:val="22"/>
        </w:rPr>
      </w:pPr>
      <w:r>
        <w:rPr>
          <w:rFonts w:ascii="Times New Roman" w:hAnsi="Times New Roman"/>
          <w:sz w:val="22"/>
        </w:rPr>
        <w:t>Les rapporteurs du CESE pour l’avis sur le paquet de mesures en faveur de la sécurité maritime ont exprimé leur point de vue lors des réunions de la commission TRAN du PE en septembre et octobre 2023. Ils ont abordé des sujets tels que la pollution par les navires, le mandat de l’Agence européenne pour la sécurité maritime (AESM), les enquêtes sur les accidents maritimes, ainsi que le contrôle par l’État du port et les obligations des États du pavillon.</w:t>
      </w:r>
    </w:p>
    <w:p w14:paraId="34C08ED2" w14:textId="77777777" w:rsidR="00BE246C" w:rsidRPr="000B323C" w:rsidRDefault="00BE246C" w:rsidP="006E7A01">
      <w:pPr>
        <w:spacing w:after="0" w:line="240" w:lineRule="auto"/>
        <w:jc w:val="both"/>
        <w:rPr>
          <w:rFonts w:ascii="Times New Roman" w:hAnsi="Times New Roman" w:cs="Times New Roman"/>
          <w:sz w:val="22"/>
          <w:szCs w:val="22"/>
        </w:rPr>
      </w:pPr>
    </w:p>
    <w:p w14:paraId="367AF5E5" w14:textId="5A33D6F8" w:rsidR="00F26475" w:rsidRPr="000B323C" w:rsidRDefault="00F26475" w:rsidP="006E7A01">
      <w:pPr>
        <w:spacing w:after="0" w:line="240" w:lineRule="auto"/>
        <w:jc w:val="both"/>
        <w:rPr>
          <w:rFonts w:ascii="Times New Roman" w:hAnsi="Times New Roman" w:cs="Times New Roman"/>
          <w:sz w:val="22"/>
          <w:szCs w:val="22"/>
        </w:rPr>
      </w:pPr>
      <w:r>
        <w:rPr>
          <w:rFonts w:ascii="Times New Roman" w:hAnsi="Times New Roman"/>
          <w:sz w:val="22"/>
        </w:rPr>
        <w:t>En décembre 2024, M. Rudolf Kolbe, corapporteur de l’avis du CESE intitulé «</w:t>
      </w:r>
      <w:r>
        <w:rPr>
          <w:rFonts w:ascii="Times New Roman" w:hAnsi="Times New Roman"/>
          <w:i/>
          <w:sz w:val="22"/>
        </w:rPr>
        <w:t>Des logements sociaux décents, durables et abordables dans l’UE</w:t>
      </w:r>
      <w:r>
        <w:rPr>
          <w:rFonts w:ascii="Times New Roman" w:hAnsi="Times New Roman"/>
          <w:sz w:val="22"/>
        </w:rPr>
        <w:t>», a participé en tant que personnalité extérieure à la session plénière du groupe de travail «</w:t>
      </w:r>
      <w:r>
        <w:rPr>
          <w:rFonts w:ascii="Times New Roman" w:hAnsi="Times New Roman"/>
          <w:i/>
          <w:sz w:val="22"/>
        </w:rPr>
        <w:t xml:space="preserve">The Future of Housing in the EU: </w:t>
      </w:r>
      <w:proofErr w:type="spellStart"/>
      <w:r>
        <w:rPr>
          <w:rFonts w:ascii="Times New Roman" w:hAnsi="Times New Roman"/>
          <w:i/>
          <w:sz w:val="22"/>
        </w:rPr>
        <w:t>Affordable</w:t>
      </w:r>
      <w:proofErr w:type="spellEnd"/>
      <w:r>
        <w:rPr>
          <w:rFonts w:ascii="Times New Roman" w:hAnsi="Times New Roman"/>
          <w:i/>
          <w:sz w:val="22"/>
        </w:rPr>
        <w:t xml:space="preserve"> &amp; </w:t>
      </w:r>
      <w:proofErr w:type="spellStart"/>
      <w:r>
        <w:rPr>
          <w:rFonts w:ascii="Times New Roman" w:hAnsi="Times New Roman"/>
          <w:i/>
          <w:sz w:val="22"/>
        </w:rPr>
        <w:t>Sustainable</w:t>
      </w:r>
      <w:proofErr w:type="spellEnd"/>
      <w:r>
        <w:rPr>
          <w:rFonts w:ascii="Times New Roman" w:hAnsi="Times New Roman"/>
          <w:sz w:val="22"/>
        </w:rPr>
        <w:t xml:space="preserve">» (L’avenir du logement dans l’UE: abordable et durable) du </w:t>
      </w:r>
      <w:hyperlink r:id="rId52" w:anchor=":~:text=This%20year%20marked%20a%20special%20milestone%20as%20the,the%20ceramic%20sector%20and%20Europe%20as%20a%20whole." w:history="1">
        <w:r>
          <w:rPr>
            <w:rStyle w:val="Hyperlink"/>
            <w:rFonts w:ascii="Times New Roman" w:hAnsi="Times New Roman"/>
            <w:sz w:val="22"/>
          </w:rPr>
          <w:t>30</w:t>
        </w:r>
        <w:r>
          <w:rPr>
            <w:rStyle w:val="Hyperlink"/>
            <w:rFonts w:ascii="Times New Roman" w:hAnsi="Times New Roman"/>
            <w:sz w:val="22"/>
            <w:vertAlign w:val="superscript"/>
          </w:rPr>
          <w:t>e</w:t>
        </w:r>
        <w:r>
          <w:rPr>
            <w:rStyle w:val="Hyperlink"/>
            <w:rFonts w:ascii="Times New Roman" w:hAnsi="Times New Roman"/>
            <w:sz w:val="22"/>
          </w:rPr>
          <w:t> forum de la céramique du Parlement européen (EPCF)</w:t>
        </w:r>
      </w:hyperlink>
      <w:r>
        <w:rPr>
          <w:rFonts w:ascii="Times New Roman" w:hAnsi="Times New Roman"/>
          <w:sz w:val="22"/>
        </w:rPr>
        <w:t>, qui s’est déroulée lors des Journées européennes de la céramique de 2024 à Bruxelles.</w:t>
      </w:r>
    </w:p>
    <w:p w14:paraId="11CAC947" w14:textId="77777777" w:rsidR="00BE246C" w:rsidRPr="000B323C" w:rsidRDefault="00BE246C" w:rsidP="006E7A01">
      <w:pPr>
        <w:spacing w:after="0" w:line="240" w:lineRule="auto"/>
        <w:jc w:val="both"/>
        <w:rPr>
          <w:rFonts w:ascii="Times New Roman" w:hAnsi="Times New Roman" w:cs="Times New Roman"/>
          <w:sz w:val="22"/>
          <w:szCs w:val="22"/>
          <w:lang w:eastAsia="fr-BE"/>
        </w:rPr>
      </w:pPr>
    </w:p>
    <w:p w14:paraId="7471C3BC" w14:textId="2B9872D3" w:rsidR="00F26475" w:rsidRPr="001F7757" w:rsidRDefault="00F26475" w:rsidP="009F34AA">
      <w:pPr>
        <w:shd w:val="clear" w:color="auto" w:fill="FFFFFF" w:themeFill="background1"/>
        <w:spacing w:after="0" w:line="240" w:lineRule="auto"/>
        <w:jc w:val="both"/>
        <w:rPr>
          <w:rFonts w:ascii="Times New Roman" w:hAnsi="Times New Roman" w:cs="Times New Roman"/>
          <w:sz w:val="22"/>
          <w:szCs w:val="22"/>
          <w:shd w:val="clear" w:color="auto" w:fill="FAFAFA"/>
        </w:rPr>
      </w:pPr>
      <w:r w:rsidRPr="001F7757">
        <w:rPr>
          <w:rFonts w:ascii="Times New Roman" w:hAnsi="Times New Roman"/>
          <w:sz w:val="22"/>
          <w:shd w:val="clear" w:color="auto" w:fill="FAFAFA"/>
        </w:rPr>
        <w:lastRenderedPageBreak/>
        <w:t>En janvier 2025, la 2</w:t>
      </w:r>
      <w:r w:rsidRPr="001F7757">
        <w:rPr>
          <w:rFonts w:ascii="Times New Roman" w:hAnsi="Times New Roman"/>
          <w:sz w:val="22"/>
          <w:shd w:val="clear" w:color="auto" w:fill="FAFAFA"/>
          <w:vertAlign w:val="superscript"/>
        </w:rPr>
        <w:t>e</w:t>
      </w:r>
      <w:r w:rsidRPr="001F7757">
        <w:rPr>
          <w:rFonts w:ascii="Times New Roman" w:hAnsi="Times New Roman"/>
          <w:sz w:val="22"/>
          <w:shd w:val="clear" w:color="auto" w:fill="FAFAFA"/>
        </w:rPr>
        <w:t> réunion du groupe d’étude et une audition pour l’avis TEN/845 du CESE sur «</w:t>
      </w:r>
      <w:hyperlink r:id="rId53" w:history="1">
        <w:r>
          <w:rPr>
            <w:rStyle w:val="Hyperlink"/>
            <w:rFonts w:ascii="Times New Roman" w:hAnsi="Times New Roman"/>
            <w:i/>
            <w:sz w:val="22"/>
            <w:shd w:val="clear" w:color="auto" w:fill="FAFAFA"/>
          </w:rPr>
          <w:t>L’achèvement matériel du marché intérieur de l’UE</w:t>
        </w:r>
      </w:hyperlink>
      <w:r w:rsidRPr="001F7757">
        <w:rPr>
          <w:rFonts w:ascii="Times New Roman" w:hAnsi="Times New Roman"/>
          <w:sz w:val="22"/>
          <w:shd w:val="clear" w:color="auto" w:fill="FAFAFA"/>
        </w:rPr>
        <w:t>» ont eu lieu avec une contribution de M</w:t>
      </w:r>
      <w:r w:rsidRPr="001F7757">
        <w:rPr>
          <w:rFonts w:ascii="Times New Roman" w:hAnsi="Times New Roman"/>
          <w:sz w:val="22"/>
          <w:shd w:val="clear" w:color="auto" w:fill="FAFAFA"/>
          <w:vertAlign w:val="superscript"/>
        </w:rPr>
        <w:t>me</w:t>
      </w:r>
      <w:r w:rsidRPr="001F7757">
        <w:rPr>
          <w:rFonts w:ascii="Times New Roman" w:hAnsi="Times New Roman"/>
          <w:sz w:val="22"/>
          <w:shd w:val="clear" w:color="auto" w:fill="FAFAFA"/>
        </w:rPr>
        <w:t> Merja </w:t>
      </w:r>
      <w:proofErr w:type="spellStart"/>
      <w:r w:rsidRPr="001F7757">
        <w:rPr>
          <w:rFonts w:ascii="Times New Roman" w:hAnsi="Times New Roman"/>
          <w:sz w:val="22"/>
          <w:shd w:val="clear" w:color="auto" w:fill="FAFAFA"/>
        </w:rPr>
        <w:t>Kyllönen</w:t>
      </w:r>
      <w:proofErr w:type="spellEnd"/>
      <w:r w:rsidRPr="001F7757">
        <w:rPr>
          <w:rFonts w:ascii="Times New Roman" w:hAnsi="Times New Roman"/>
          <w:sz w:val="22"/>
          <w:shd w:val="clear" w:color="auto" w:fill="FAFAFA"/>
        </w:rPr>
        <w:t>, députée au Parlement européen.</w:t>
      </w:r>
    </w:p>
    <w:p w14:paraId="1279CDD0" w14:textId="77777777" w:rsidR="00BE246C" w:rsidRPr="001F7757" w:rsidRDefault="00BE246C" w:rsidP="006E7A01">
      <w:pPr>
        <w:spacing w:after="0" w:line="240" w:lineRule="auto"/>
        <w:jc w:val="both"/>
        <w:rPr>
          <w:rFonts w:ascii="Times New Roman" w:hAnsi="Times New Roman" w:cs="Times New Roman"/>
          <w:sz w:val="22"/>
          <w:szCs w:val="22"/>
          <w:shd w:val="clear" w:color="auto" w:fill="FAFAFA"/>
        </w:rPr>
      </w:pPr>
    </w:p>
    <w:p w14:paraId="4B6EFB55" w14:textId="65D97123" w:rsidR="00F26475" w:rsidRPr="000B323C" w:rsidRDefault="00F26475" w:rsidP="006E7A01">
      <w:pPr>
        <w:spacing w:after="0" w:line="240" w:lineRule="auto"/>
        <w:jc w:val="both"/>
        <w:rPr>
          <w:rFonts w:ascii="Times New Roman" w:hAnsi="Times New Roman" w:cs="Times New Roman"/>
          <w:sz w:val="22"/>
          <w:szCs w:val="22"/>
        </w:rPr>
      </w:pPr>
      <w:r>
        <w:rPr>
          <w:rFonts w:ascii="Times New Roman" w:hAnsi="Times New Roman"/>
          <w:sz w:val="22"/>
        </w:rPr>
        <w:t xml:space="preserve">Lors de ses réunions, la section TEN a organisé des </w:t>
      </w:r>
      <w:r>
        <w:rPr>
          <w:rFonts w:ascii="Times New Roman" w:hAnsi="Times New Roman"/>
          <w:b/>
          <w:sz w:val="22"/>
        </w:rPr>
        <w:t>débats</w:t>
      </w:r>
      <w:r>
        <w:rPr>
          <w:rFonts w:ascii="Times New Roman" w:hAnsi="Times New Roman"/>
          <w:sz w:val="22"/>
        </w:rPr>
        <w:t xml:space="preserve"> sur des sujets actuels et futurs. Les députés au Parlement européen ont présenté leurs points de vue sur ces sujets et ont discuté à plusieurs reprises avec les membres de la section </w:t>
      </w:r>
      <w:proofErr w:type="gramStart"/>
      <w:r>
        <w:rPr>
          <w:rFonts w:ascii="Times New Roman" w:hAnsi="Times New Roman"/>
          <w:sz w:val="22"/>
        </w:rPr>
        <w:t>TEN:</w:t>
      </w:r>
      <w:proofErr w:type="gramEnd"/>
    </w:p>
    <w:p w14:paraId="61D63DFB" w14:textId="77777777" w:rsidR="00BE246C" w:rsidRPr="001F7757" w:rsidRDefault="00BE246C" w:rsidP="006E7A01">
      <w:pPr>
        <w:spacing w:after="0" w:line="240" w:lineRule="auto"/>
        <w:jc w:val="both"/>
        <w:rPr>
          <w:rFonts w:ascii="Times New Roman" w:hAnsi="Times New Roman" w:cs="Times New Roman"/>
          <w:sz w:val="22"/>
          <w:szCs w:val="22"/>
        </w:rPr>
      </w:pPr>
    </w:p>
    <w:p w14:paraId="7BACC56A" w14:textId="77777777" w:rsidR="00F26475" w:rsidRPr="001F7757" w:rsidRDefault="00F26475" w:rsidP="00BE246C">
      <w:pPr>
        <w:numPr>
          <w:ilvl w:val="0"/>
          <w:numId w:val="18"/>
        </w:numPr>
        <w:shd w:val="clear" w:color="auto" w:fill="FAFAFA"/>
        <w:tabs>
          <w:tab w:val="clear" w:pos="720"/>
        </w:tabs>
        <w:spacing w:after="0" w:line="240" w:lineRule="auto"/>
        <w:ind w:left="426" w:hanging="426"/>
        <w:jc w:val="both"/>
        <w:rPr>
          <w:rFonts w:ascii="Times New Roman" w:hAnsi="Times New Roman" w:cs="Times New Roman"/>
          <w:sz w:val="22"/>
          <w:szCs w:val="22"/>
        </w:rPr>
      </w:pPr>
      <w:r w:rsidRPr="001F7757">
        <w:rPr>
          <w:rFonts w:ascii="Times New Roman" w:hAnsi="Times New Roman"/>
          <w:sz w:val="22"/>
        </w:rPr>
        <w:t xml:space="preserve">6 septembre </w:t>
      </w:r>
      <w:proofErr w:type="gramStart"/>
      <w:r w:rsidRPr="001F7757">
        <w:rPr>
          <w:rFonts w:ascii="Times New Roman" w:hAnsi="Times New Roman"/>
          <w:sz w:val="22"/>
        </w:rPr>
        <w:t>2023:</w:t>
      </w:r>
      <w:proofErr w:type="gramEnd"/>
      <w:r w:rsidRPr="001F7757">
        <w:rPr>
          <w:rFonts w:ascii="Times New Roman" w:hAnsi="Times New Roman"/>
          <w:sz w:val="22"/>
        </w:rPr>
        <w:t xml:space="preserve"> Débat sur le paquet législatif maritime avec Marian-Jean </w:t>
      </w:r>
      <w:proofErr w:type="spellStart"/>
      <w:r w:rsidRPr="001F7757">
        <w:rPr>
          <w:rFonts w:ascii="Times New Roman" w:hAnsi="Times New Roman"/>
          <w:sz w:val="22"/>
        </w:rPr>
        <w:t>Marinescu</w:t>
      </w:r>
      <w:proofErr w:type="spellEnd"/>
      <w:r w:rsidRPr="001F7757">
        <w:rPr>
          <w:rFonts w:ascii="Times New Roman" w:hAnsi="Times New Roman"/>
          <w:sz w:val="22"/>
        </w:rPr>
        <w:t xml:space="preserve">, député au Parlement européen </w:t>
      </w:r>
    </w:p>
    <w:p w14:paraId="2E1E7609" w14:textId="77777777" w:rsidR="00F26475" w:rsidRPr="001F7757" w:rsidRDefault="00F26475" w:rsidP="00BE246C">
      <w:pPr>
        <w:numPr>
          <w:ilvl w:val="0"/>
          <w:numId w:val="18"/>
        </w:numPr>
        <w:shd w:val="clear" w:color="auto" w:fill="FAFAFA"/>
        <w:tabs>
          <w:tab w:val="clear" w:pos="720"/>
        </w:tabs>
        <w:spacing w:after="0" w:line="240" w:lineRule="auto"/>
        <w:ind w:left="426" w:hanging="426"/>
        <w:jc w:val="both"/>
        <w:rPr>
          <w:rFonts w:ascii="Times New Roman" w:hAnsi="Times New Roman" w:cs="Times New Roman"/>
          <w:sz w:val="22"/>
          <w:szCs w:val="22"/>
        </w:rPr>
      </w:pPr>
      <w:r w:rsidRPr="001F7757">
        <w:rPr>
          <w:rFonts w:ascii="Times New Roman" w:hAnsi="Times New Roman"/>
          <w:sz w:val="22"/>
        </w:rPr>
        <w:t xml:space="preserve">7 avril </w:t>
      </w:r>
      <w:proofErr w:type="gramStart"/>
      <w:r w:rsidRPr="001F7757">
        <w:rPr>
          <w:rFonts w:ascii="Times New Roman" w:hAnsi="Times New Roman"/>
          <w:sz w:val="22"/>
        </w:rPr>
        <w:t>2025:</w:t>
      </w:r>
      <w:proofErr w:type="gramEnd"/>
      <w:r w:rsidRPr="001F7757">
        <w:rPr>
          <w:rFonts w:ascii="Times New Roman" w:hAnsi="Times New Roman"/>
          <w:sz w:val="22"/>
        </w:rPr>
        <w:t xml:space="preserve"> Réunion de la section TEN </w:t>
      </w:r>
      <w:proofErr w:type="gramStart"/>
      <w:r w:rsidRPr="001F7757">
        <w:rPr>
          <w:rFonts w:ascii="Times New Roman" w:hAnsi="Times New Roman"/>
          <w:sz w:val="22"/>
        </w:rPr>
        <w:t>avec:</w:t>
      </w:r>
      <w:proofErr w:type="gramEnd"/>
    </w:p>
    <w:p w14:paraId="61A2FAEE" w14:textId="77777777" w:rsidR="00F26475" w:rsidRPr="001F7757" w:rsidRDefault="00F26475" w:rsidP="00BE246C">
      <w:pPr>
        <w:numPr>
          <w:ilvl w:val="1"/>
          <w:numId w:val="18"/>
        </w:numPr>
        <w:shd w:val="clear" w:color="auto" w:fill="FAFAFA"/>
        <w:spacing w:after="0" w:line="240" w:lineRule="auto"/>
        <w:ind w:left="426" w:hanging="426"/>
        <w:jc w:val="both"/>
        <w:rPr>
          <w:rFonts w:ascii="Times New Roman" w:hAnsi="Times New Roman" w:cs="Times New Roman"/>
          <w:sz w:val="22"/>
          <w:szCs w:val="22"/>
        </w:rPr>
      </w:pPr>
      <w:r w:rsidRPr="001F7757">
        <w:rPr>
          <w:rFonts w:ascii="Times New Roman" w:hAnsi="Times New Roman"/>
          <w:sz w:val="22"/>
        </w:rPr>
        <w:t>Débat sur la billetterie unique avec Kai </w:t>
      </w:r>
      <w:proofErr w:type="spellStart"/>
      <w:r w:rsidRPr="001F7757">
        <w:rPr>
          <w:rFonts w:ascii="Times New Roman" w:hAnsi="Times New Roman"/>
          <w:sz w:val="22"/>
        </w:rPr>
        <w:t>Tegethoff</w:t>
      </w:r>
      <w:proofErr w:type="spellEnd"/>
      <w:r w:rsidRPr="001F7757">
        <w:rPr>
          <w:rFonts w:ascii="Times New Roman" w:hAnsi="Times New Roman"/>
          <w:sz w:val="22"/>
        </w:rPr>
        <w:t>, député au Parlement européen</w:t>
      </w:r>
    </w:p>
    <w:p w14:paraId="44815720" w14:textId="77777777" w:rsidR="00F26475" w:rsidRPr="001F7757" w:rsidRDefault="00F26475" w:rsidP="00BE246C">
      <w:pPr>
        <w:numPr>
          <w:ilvl w:val="1"/>
          <w:numId w:val="18"/>
        </w:numPr>
        <w:shd w:val="clear" w:color="auto" w:fill="FAFAFA"/>
        <w:spacing w:after="0" w:line="240" w:lineRule="auto"/>
        <w:ind w:left="426" w:hanging="426"/>
        <w:jc w:val="both"/>
        <w:rPr>
          <w:rFonts w:ascii="Times New Roman" w:hAnsi="Times New Roman" w:cs="Times New Roman"/>
          <w:sz w:val="22"/>
          <w:szCs w:val="22"/>
        </w:rPr>
      </w:pPr>
      <w:r w:rsidRPr="001F7757">
        <w:rPr>
          <w:rFonts w:ascii="Times New Roman" w:hAnsi="Times New Roman"/>
          <w:sz w:val="22"/>
        </w:rPr>
        <w:t>Débat sur le logement avec Irene </w:t>
      </w:r>
      <w:proofErr w:type="spellStart"/>
      <w:r w:rsidRPr="001F7757">
        <w:rPr>
          <w:rFonts w:ascii="Times New Roman" w:hAnsi="Times New Roman"/>
          <w:sz w:val="22"/>
        </w:rPr>
        <w:t>Tinagli</w:t>
      </w:r>
      <w:proofErr w:type="spellEnd"/>
      <w:r w:rsidRPr="001F7757">
        <w:rPr>
          <w:rFonts w:ascii="Times New Roman" w:hAnsi="Times New Roman"/>
          <w:sz w:val="22"/>
        </w:rPr>
        <w:t>, députée au Parlement européen, présidente de la commission spéciale sur la crise du logement</w:t>
      </w:r>
    </w:p>
    <w:p w14:paraId="3D91B521" w14:textId="5C3C118B" w:rsidR="00F26475" w:rsidRPr="001F7757" w:rsidRDefault="00F26475" w:rsidP="00BE246C">
      <w:pPr>
        <w:numPr>
          <w:ilvl w:val="0"/>
          <w:numId w:val="18"/>
        </w:numPr>
        <w:shd w:val="clear" w:color="auto" w:fill="FAFAFA"/>
        <w:tabs>
          <w:tab w:val="clear" w:pos="720"/>
        </w:tabs>
        <w:spacing w:after="0" w:line="240" w:lineRule="auto"/>
        <w:ind w:left="426" w:hanging="426"/>
        <w:jc w:val="both"/>
        <w:rPr>
          <w:rFonts w:ascii="Times New Roman" w:hAnsi="Times New Roman" w:cs="Times New Roman"/>
          <w:sz w:val="22"/>
          <w:szCs w:val="22"/>
        </w:rPr>
      </w:pPr>
      <w:r w:rsidRPr="001F7757">
        <w:rPr>
          <w:rFonts w:ascii="Times New Roman" w:hAnsi="Times New Roman"/>
          <w:sz w:val="22"/>
        </w:rPr>
        <w:t xml:space="preserve">24 juin </w:t>
      </w:r>
      <w:proofErr w:type="gramStart"/>
      <w:r w:rsidRPr="001F7757">
        <w:rPr>
          <w:rFonts w:ascii="Times New Roman" w:hAnsi="Times New Roman"/>
          <w:sz w:val="22"/>
        </w:rPr>
        <w:t>2025:</w:t>
      </w:r>
      <w:proofErr w:type="gramEnd"/>
      <w:r w:rsidRPr="001F7757">
        <w:rPr>
          <w:rFonts w:ascii="Times New Roman" w:hAnsi="Times New Roman"/>
          <w:sz w:val="22"/>
        </w:rPr>
        <w:t xml:space="preserve"> Débat sur le secteur de la construction lors de la réunion de la section TEN avec Johan </w:t>
      </w:r>
      <w:proofErr w:type="spellStart"/>
      <w:r w:rsidRPr="001F7757">
        <w:rPr>
          <w:rFonts w:ascii="Times New Roman" w:hAnsi="Times New Roman"/>
          <w:sz w:val="22"/>
        </w:rPr>
        <w:t>Danielsson</w:t>
      </w:r>
      <w:proofErr w:type="spellEnd"/>
      <w:r w:rsidRPr="001F7757">
        <w:rPr>
          <w:rFonts w:ascii="Times New Roman" w:hAnsi="Times New Roman"/>
          <w:sz w:val="22"/>
        </w:rPr>
        <w:t>, député au Parlement européen</w:t>
      </w:r>
    </w:p>
    <w:p w14:paraId="08BE5640" w14:textId="77777777" w:rsidR="00BE246C" w:rsidRPr="001F7757" w:rsidRDefault="00BE246C" w:rsidP="006E7A01">
      <w:pPr>
        <w:spacing w:after="0" w:line="240" w:lineRule="auto"/>
        <w:jc w:val="both"/>
        <w:rPr>
          <w:rFonts w:ascii="Times New Roman" w:hAnsi="Times New Roman" w:cs="Times New Roman"/>
          <w:sz w:val="22"/>
          <w:szCs w:val="22"/>
          <w:lang w:eastAsia="fr-BE"/>
        </w:rPr>
      </w:pPr>
    </w:p>
    <w:p w14:paraId="08ADFFA0" w14:textId="7C5DF2B2" w:rsidR="00F26475" w:rsidRPr="000B323C" w:rsidRDefault="00F26475" w:rsidP="006E7A01">
      <w:pPr>
        <w:spacing w:after="0" w:line="240" w:lineRule="auto"/>
        <w:jc w:val="both"/>
        <w:rPr>
          <w:rFonts w:ascii="Times New Roman" w:hAnsi="Times New Roman" w:cs="Times New Roman"/>
          <w:sz w:val="22"/>
          <w:szCs w:val="22"/>
        </w:rPr>
      </w:pPr>
      <w:r>
        <w:rPr>
          <w:rFonts w:ascii="Times New Roman" w:hAnsi="Times New Roman"/>
          <w:sz w:val="22"/>
        </w:rPr>
        <w:t xml:space="preserve">Les députés au Parlement européen ont également participé à plusieurs conférences coorganisées par la section TEN sous les auspices des </w:t>
      </w:r>
      <w:r>
        <w:rPr>
          <w:rFonts w:ascii="Times New Roman" w:hAnsi="Times New Roman"/>
          <w:b/>
          <w:sz w:val="22"/>
        </w:rPr>
        <w:t xml:space="preserve">présidences du Conseil de l’Union </w:t>
      </w:r>
      <w:proofErr w:type="gramStart"/>
      <w:r>
        <w:rPr>
          <w:rFonts w:ascii="Times New Roman" w:hAnsi="Times New Roman"/>
          <w:b/>
          <w:sz w:val="22"/>
        </w:rPr>
        <w:t>européenne</w:t>
      </w:r>
      <w:r>
        <w:rPr>
          <w:rFonts w:ascii="Times New Roman" w:hAnsi="Times New Roman"/>
          <w:sz w:val="22"/>
        </w:rPr>
        <w:t>:</w:t>
      </w:r>
      <w:proofErr w:type="gramEnd"/>
    </w:p>
    <w:p w14:paraId="3B347FF0" w14:textId="77777777" w:rsidR="00BE246C" w:rsidRPr="001F7757" w:rsidRDefault="00BE246C" w:rsidP="006E7A01">
      <w:pPr>
        <w:spacing w:after="0" w:line="240" w:lineRule="auto"/>
        <w:jc w:val="both"/>
        <w:rPr>
          <w:rFonts w:ascii="Times New Roman" w:hAnsi="Times New Roman" w:cs="Times New Roman"/>
          <w:sz w:val="22"/>
          <w:szCs w:val="22"/>
          <w:lang w:eastAsia="fr-BE"/>
        </w:rPr>
      </w:pPr>
    </w:p>
    <w:p w14:paraId="6E784776" w14:textId="681CFBF8" w:rsidR="00F26475" w:rsidRPr="001F7757" w:rsidRDefault="00F26475" w:rsidP="006E7A01">
      <w:pPr>
        <w:spacing w:after="0" w:line="240" w:lineRule="auto"/>
        <w:jc w:val="both"/>
        <w:rPr>
          <w:rFonts w:ascii="Times New Roman" w:hAnsi="Times New Roman" w:cs="Times New Roman"/>
          <w:b/>
          <w:bCs/>
          <w:sz w:val="22"/>
          <w:szCs w:val="22"/>
          <w:shd w:val="clear" w:color="auto" w:fill="FAFAFA"/>
        </w:rPr>
      </w:pPr>
      <w:r w:rsidRPr="001F7757">
        <w:rPr>
          <w:rFonts w:ascii="Times New Roman" w:hAnsi="Times New Roman"/>
          <w:sz w:val="22"/>
          <w:shd w:val="clear" w:color="auto" w:fill="FAFAFA"/>
        </w:rPr>
        <w:t xml:space="preserve">En octobre 2023, le CESE, en coopération avec la </w:t>
      </w:r>
      <w:r w:rsidRPr="001F7757">
        <w:rPr>
          <w:rFonts w:ascii="Times New Roman" w:hAnsi="Times New Roman"/>
          <w:b/>
          <w:sz w:val="22"/>
          <w:shd w:val="clear" w:color="auto" w:fill="FAFAFA"/>
        </w:rPr>
        <w:t>présidence espagnole</w:t>
      </w:r>
      <w:r w:rsidRPr="001F7757">
        <w:rPr>
          <w:rFonts w:ascii="Times New Roman" w:hAnsi="Times New Roman"/>
          <w:sz w:val="22"/>
          <w:shd w:val="clear" w:color="auto" w:fill="FAFAFA"/>
        </w:rPr>
        <w:t xml:space="preserve"> du Conseil de l’Union européenne et les autorités du Pays basque, a organisé une conférence de haut niveau sur les </w:t>
      </w:r>
      <w:hyperlink r:id="rId54" w:history="1">
        <w:r>
          <w:rPr>
            <w:rStyle w:val="Hyperlink"/>
            <w:rFonts w:ascii="Times New Roman" w:hAnsi="Times New Roman"/>
            <w:i/>
            <w:sz w:val="22"/>
            <w:shd w:val="clear" w:color="auto" w:fill="FAFAFA"/>
          </w:rPr>
          <w:t>maladies rares et les réseaux européens de référence</w:t>
        </w:r>
      </w:hyperlink>
      <w:r w:rsidRPr="001F7757">
        <w:rPr>
          <w:rFonts w:ascii="Times New Roman" w:hAnsi="Times New Roman"/>
          <w:sz w:val="22"/>
          <w:shd w:val="clear" w:color="auto" w:fill="FAFAFA"/>
        </w:rPr>
        <w:t xml:space="preserve"> à Bilbao, en Espagne. Les députés au Parlement européen </w:t>
      </w:r>
      <w:proofErr w:type="spellStart"/>
      <w:r w:rsidRPr="001F7757">
        <w:rPr>
          <w:rFonts w:ascii="Times New Roman" w:hAnsi="Times New Roman"/>
          <w:sz w:val="22"/>
          <w:shd w:val="clear" w:color="auto" w:fill="FAFAFA"/>
        </w:rPr>
        <w:t>Izaskun</w:t>
      </w:r>
      <w:proofErr w:type="spellEnd"/>
      <w:r w:rsidRPr="001F7757">
        <w:rPr>
          <w:rFonts w:ascii="Times New Roman" w:hAnsi="Times New Roman"/>
          <w:sz w:val="22"/>
          <w:shd w:val="clear" w:color="auto" w:fill="FAFAFA"/>
        </w:rPr>
        <w:t> Bilbao </w:t>
      </w:r>
      <w:proofErr w:type="spellStart"/>
      <w:r w:rsidRPr="001F7757">
        <w:rPr>
          <w:rFonts w:ascii="Times New Roman" w:hAnsi="Times New Roman"/>
          <w:sz w:val="22"/>
          <w:shd w:val="clear" w:color="auto" w:fill="FAFAFA"/>
        </w:rPr>
        <w:t>Barandica</w:t>
      </w:r>
      <w:proofErr w:type="spellEnd"/>
      <w:r w:rsidRPr="001F7757">
        <w:rPr>
          <w:rFonts w:ascii="Times New Roman" w:hAnsi="Times New Roman"/>
          <w:sz w:val="22"/>
          <w:shd w:val="clear" w:color="auto" w:fill="FAFAFA"/>
        </w:rPr>
        <w:t xml:space="preserve"> et Stelios </w:t>
      </w:r>
      <w:proofErr w:type="spellStart"/>
      <w:r w:rsidRPr="001F7757">
        <w:rPr>
          <w:rFonts w:ascii="Times New Roman" w:hAnsi="Times New Roman"/>
          <w:sz w:val="22"/>
          <w:shd w:val="clear" w:color="auto" w:fill="FAFAFA"/>
        </w:rPr>
        <w:t>Kympouropoulos</w:t>
      </w:r>
      <w:proofErr w:type="spellEnd"/>
      <w:r w:rsidRPr="001F7757">
        <w:rPr>
          <w:rFonts w:ascii="Times New Roman" w:hAnsi="Times New Roman"/>
          <w:sz w:val="22"/>
          <w:shd w:val="clear" w:color="auto" w:fill="FAFAFA"/>
        </w:rPr>
        <w:t xml:space="preserve"> ont contribué activement aux discussions au cours de l’une des sessions de la conférence. Dans le prolongement de son engagement en la matière, le CESE a organisé, le 29 novembre 2024, une conférence conjointe RTE-SOC sur les maladies rares, avec la participation du député au Parlement européen Tomislav Sokol.</w:t>
      </w:r>
    </w:p>
    <w:p w14:paraId="3AFB3482" w14:textId="77777777" w:rsidR="00BE246C" w:rsidRPr="001F7757" w:rsidRDefault="00BE246C" w:rsidP="006E7A01">
      <w:pPr>
        <w:spacing w:after="0" w:line="240" w:lineRule="auto"/>
        <w:jc w:val="both"/>
        <w:rPr>
          <w:rFonts w:ascii="Times New Roman" w:hAnsi="Times New Roman" w:cs="Times New Roman"/>
          <w:sz w:val="22"/>
          <w:szCs w:val="22"/>
        </w:rPr>
      </w:pPr>
    </w:p>
    <w:p w14:paraId="175A72E1" w14:textId="77777777" w:rsidR="00F26475" w:rsidRPr="001F7757" w:rsidRDefault="00F26475" w:rsidP="006E7A01">
      <w:pPr>
        <w:spacing w:after="0" w:line="240" w:lineRule="auto"/>
        <w:jc w:val="both"/>
        <w:rPr>
          <w:rFonts w:ascii="Times New Roman" w:hAnsi="Times New Roman" w:cs="Times New Roman"/>
          <w:b/>
          <w:bCs/>
          <w:sz w:val="22"/>
          <w:szCs w:val="22"/>
          <w:shd w:val="clear" w:color="auto" w:fill="FAFAFA"/>
        </w:rPr>
      </w:pPr>
      <w:r w:rsidRPr="001F7757">
        <w:rPr>
          <w:rFonts w:ascii="Times New Roman" w:hAnsi="Times New Roman"/>
          <w:sz w:val="22"/>
          <w:shd w:val="clear" w:color="auto" w:fill="FAFAFA"/>
        </w:rPr>
        <w:t>Le CESE a activement contribué au débat européen sur le logement par le biais d’une série d’engagements et d’initiatives de haut niveau. En novembre 2023, le Comité a présenté ses principales recommandations lors de la réunion informelle des ministres sur le logement qui s’est tenue à Gijón, sous la présidence espagnole du Conseil de l’Union européenne.</w:t>
      </w:r>
    </w:p>
    <w:p w14:paraId="03F5E2B5" w14:textId="4FD26417" w:rsidR="00F26475" w:rsidRPr="001F7757" w:rsidRDefault="00F26475" w:rsidP="006E7A01">
      <w:pPr>
        <w:spacing w:after="0" w:line="240" w:lineRule="auto"/>
        <w:jc w:val="both"/>
        <w:rPr>
          <w:rFonts w:ascii="Times New Roman" w:hAnsi="Times New Roman" w:cs="Times New Roman"/>
          <w:sz w:val="22"/>
          <w:szCs w:val="22"/>
          <w:shd w:val="clear" w:color="auto" w:fill="FAFAFA"/>
        </w:rPr>
      </w:pPr>
      <w:r w:rsidRPr="001F7757">
        <w:rPr>
          <w:rFonts w:ascii="Times New Roman" w:hAnsi="Times New Roman"/>
          <w:sz w:val="22"/>
          <w:shd w:val="clear" w:color="auto" w:fill="FAFAFA"/>
        </w:rPr>
        <w:t>Cette conférence a été suivie par la conférence du CESE intitulée «</w:t>
      </w:r>
      <w:hyperlink r:id="rId55" w:history="1">
        <w:r>
          <w:rPr>
            <w:rStyle w:val="Hyperlink"/>
            <w:rFonts w:ascii="Times New Roman" w:hAnsi="Times New Roman"/>
            <w:i/>
            <w:sz w:val="22"/>
            <w:shd w:val="clear" w:color="auto" w:fill="FAFAFA"/>
          </w:rPr>
          <w:t xml:space="preserve">La crise du logement en Europe — la voie à </w:t>
        </w:r>
        <w:proofErr w:type="gramStart"/>
        <w:r>
          <w:rPr>
            <w:rStyle w:val="Hyperlink"/>
            <w:rFonts w:ascii="Times New Roman" w:hAnsi="Times New Roman"/>
            <w:i/>
            <w:sz w:val="22"/>
            <w:shd w:val="clear" w:color="auto" w:fill="FAFAFA"/>
          </w:rPr>
          <w:t>suivre?</w:t>
        </w:r>
        <w:proofErr w:type="gramEnd"/>
      </w:hyperlink>
      <w:r w:rsidRPr="001F7757">
        <w:rPr>
          <w:rFonts w:ascii="Times New Roman" w:hAnsi="Times New Roman"/>
          <w:sz w:val="22"/>
          <w:shd w:val="clear" w:color="auto" w:fill="FAFAFA"/>
        </w:rPr>
        <w:t>», qui s’est tenue à Bruxelles le 20 février 2024 et à laquelle a participé Estrella Dura </w:t>
      </w:r>
      <w:proofErr w:type="spellStart"/>
      <w:r w:rsidRPr="001F7757">
        <w:rPr>
          <w:rFonts w:ascii="Times New Roman" w:hAnsi="Times New Roman"/>
          <w:sz w:val="22"/>
          <w:shd w:val="clear" w:color="auto" w:fill="FAFAFA"/>
        </w:rPr>
        <w:t>Ferrandis</w:t>
      </w:r>
      <w:proofErr w:type="spellEnd"/>
      <w:r w:rsidRPr="001F7757">
        <w:rPr>
          <w:rFonts w:ascii="Times New Roman" w:hAnsi="Times New Roman"/>
          <w:sz w:val="22"/>
          <w:shd w:val="clear" w:color="auto" w:fill="FAFAFA"/>
        </w:rPr>
        <w:t xml:space="preserve">, députée au Parlement européen. S’appuyant sur les résultats de cette manifestation, le CESE a partagé ses propositions en mars 2024 lors de la </w:t>
      </w:r>
      <w:hyperlink r:id="rId56" w:history="1">
        <w:r w:rsidR="001F7757">
          <w:rPr>
            <w:rStyle w:val="Hyperlink"/>
            <w:rFonts w:ascii="Times New Roman" w:hAnsi="Times New Roman"/>
            <w:sz w:val="22"/>
            <w:shd w:val="clear" w:color="auto" w:fill="FAFAFA"/>
          </w:rPr>
          <w:t>conférence européenne des ministres du logement</w:t>
        </w:r>
      </w:hyperlink>
      <w:r w:rsidR="001F7757">
        <w:rPr>
          <w:rFonts w:ascii="Times New Roman" w:hAnsi="Times New Roman"/>
          <w:sz w:val="22"/>
          <w:shd w:val="clear" w:color="auto" w:fill="FAFAFA"/>
        </w:rPr>
        <w:t xml:space="preserve"> à Liège,</w:t>
      </w:r>
      <w:r w:rsidRPr="001F7757">
        <w:rPr>
          <w:rFonts w:ascii="Times New Roman" w:hAnsi="Times New Roman"/>
          <w:sz w:val="22"/>
          <w:shd w:val="clear" w:color="auto" w:fill="FAFAFA"/>
        </w:rPr>
        <w:t xml:space="preserve"> organisée sous la présidence belge du Conseil de l’Union européenne.</w:t>
      </w:r>
    </w:p>
    <w:p w14:paraId="50C1AD3B" w14:textId="77777777" w:rsidR="00BE246C" w:rsidRPr="001F7757" w:rsidRDefault="00BE246C" w:rsidP="006E7A01">
      <w:pPr>
        <w:spacing w:after="0" w:line="240" w:lineRule="auto"/>
        <w:jc w:val="both"/>
        <w:rPr>
          <w:rFonts w:ascii="Times New Roman" w:hAnsi="Times New Roman" w:cs="Times New Roman"/>
          <w:sz w:val="22"/>
          <w:szCs w:val="22"/>
          <w:shd w:val="clear" w:color="auto" w:fill="FAFAFA"/>
        </w:rPr>
      </w:pPr>
    </w:p>
    <w:p w14:paraId="0B06D961" w14:textId="311F8687" w:rsidR="00F26475" w:rsidRPr="001F7757" w:rsidRDefault="00F26475" w:rsidP="006E7A01">
      <w:pPr>
        <w:spacing w:after="0" w:line="240" w:lineRule="auto"/>
        <w:jc w:val="both"/>
        <w:rPr>
          <w:rFonts w:ascii="Times New Roman" w:hAnsi="Times New Roman" w:cs="Times New Roman"/>
          <w:sz w:val="22"/>
          <w:szCs w:val="22"/>
          <w:shd w:val="clear" w:color="auto" w:fill="FAFAFA"/>
        </w:rPr>
      </w:pPr>
      <w:r w:rsidRPr="001F7757">
        <w:rPr>
          <w:rFonts w:ascii="Times New Roman" w:hAnsi="Times New Roman"/>
          <w:sz w:val="22"/>
          <w:shd w:val="clear" w:color="auto" w:fill="FAFAFA"/>
        </w:rPr>
        <w:t xml:space="preserve">Dans le prolongement de son engagement en faveur d’une politique du logement inclusive, en mars 2025, le groupe permanent sur les services d’intérêt général a organisé un </w:t>
      </w:r>
      <w:hyperlink r:id="rId57" w:history="1">
        <w:r>
          <w:rPr>
            <w:rStyle w:val="Hyperlink"/>
            <w:rFonts w:ascii="Times New Roman" w:hAnsi="Times New Roman"/>
            <w:sz w:val="22"/>
            <w:shd w:val="clear" w:color="auto" w:fill="FAFAFA"/>
          </w:rPr>
          <w:t>séminaire à Varsovie, en coopération avec l’université Korczak et le comité polonais du réseau européen de lutte contre la pauvreté (EAPN)</w:t>
        </w:r>
      </w:hyperlink>
      <w:r w:rsidRPr="001F7757">
        <w:rPr>
          <w:rFonts w:ascii="Times New Roman" w:hAnsi="Times New Roman"/>
          <w:sz w:val="22"/>
          <w:shd w:val="clear" w:color="auto" w:fill="FAFAFA"/>
        </w:rPr>
        <w:t>, sous les auspices de la présidence polonaise du Conseil de l’Union européenne. Ce séminaire était axé sur les services liés au logement pour les groupes vulnérables, notamment les personnes âgées, les personnes handicapées et les personnes sans domicile.</w:t>
      </w:r>
    </w:p>
    <w:p w14:paraId="2178B792" w14:textId="77777777" w:rsidR="00BE246C" w:rsidRPr="001F7757" w:rsidRDefault="00BE246C" w:rsidP="006E7A01">
      <w:pPr>
        <w:spacing w:after="0" w:line="240" w:lineRule="auto"/>
        <w:jc w:val="both"/>
        <w:rPr>
          <w:rFonts w:ascii="Times New Roman" w:hAnsi="Times New Roman" w:cs="Times New Roman"/>
          <w:sz w:val="22"/>
          <w:szCs w:val="22"/>
          <w:shd w:val="clear" w:color="auto" w:fill="FAFAFA"/>
        </w:rPr>
      </w:pPr>
    </w:p>
    <w:p w14:paraId="1A8AC22D" w14:textId="6E5C113D" w:rsidR="00F26475" w:rsidRPr="000B323C" w:rsidRDefault="00F26475" w:rsidP="006E7A01">
      <w:pPr>
        <w:spacing w:after="0" w:line="240" w:lineRule="auto"/>
        <w:jc w:val="both"/>
        <w:rPr>
          <w:rFonts w:ascii="Times New Roman" w:hAnsi="Times New Roman" w:cs="Times New Roman"/>
          <w:sz w:val="22"/>
          <w:szCs w:val="22"/>
        </w:rPr>
      </w:pPr>
      <w:r>
        <w:rPr>
          <w:rFonts w:ascii="Times New Roman" w:hAnsi="Times New Roman"/>
          <w:sz w:val="22"/>
        </w:rPr>
        <w:t xml:space="preserve">Les recommandations du CESE fondées sur les avis de la section «Union économique et monétaire et cohésion économique et sociale» (section ECO) et de la section TEN alimenteront la </w:t>
      </w:r>
      <w:hyperlink r:id="rId58" w:history="1">
        <w:r>
          <w:rPr>
            <w:rStyle w:val="Hyperlink"/>
            <w:rFonts w:ascii="Times New Roman" w:hAnsi="Times New Roman"/>
            <w:sz w:val="22"/>
          </w:rPr>
          <w:t>conférence de haut niveau sur le logement abordable et durable</w:t>
        </w:r>
      </w:hyperlink>
      <w:r>
        <w:rPr>
          <w:rFonts w:ascii="Times New Roman" w:hAnsi="Times New Roman"/>
          <w:sz w:val="22"/>
        </w:rPr>
        <w:t xml:space="preserve"> organisée par la </w:t>
      </w:r>
      <w:r>
        <w:rPr>
          <w:rFonts w:ascii="Times New Roman" w:hAnsi="Times New Roman"/>
          <w:b/>
          <w:sz w:val="22"/>
        </w:rPr>
        <w:t>présidence danoise</w:t>
      </w:r>
      <w:r>
        <w:rPr>
          <w:rFonts w:ascii="Times New Roman" w:hAnsi="Times New Roman"/>
          <w:sz w:val="22"/>
        </w:rPr>
        <w:t xml:space="preserve"> du Conseil de l’Union européenne à Copenhague en septembre 2025.</w:t>
      </w:r>
    </w:p>
    <w:p w14:paraId="5D0E3F9A" w14:textId="77777777" w:rsidR="00BC1F32" w:rsidRPr="000B323C" w:rsidRDefault="00BC1F32" w:rsidP="006E7A01">
      <w:pPr>
        <w:spacing w:after="0" w:line="240" w:lineRule="auto"/>
        <w:jc w:val="both"/>
        <w:rPr>
          <w:rFonts w:ascii="Times New Roman" w:hAnsi="Times New Roman" w:cs="Times New Roman"/>
          <w:sz w:val="22"/>
          <w:szCs w:val="22"/>
          <w:lang w:eastAsia="fr-BE"/>
        </w:rPr>
      </w:pPr>
    </w:p>
    <w:p w14:paraId="5ACFC815" w14:textId="06AAED43" w:rsidR="00F26475" w:rsidRPr="000B323C" w:rsidRDefault="00F26475" w:rsidP="006E7A01">
      <w:pPr>
        <w:spacing w:after="0" w:line="240" w:lineRule="auto"/>
        <w:jc w:val="both"/>
        <w:rPr>
          <w:rFonts w:ascii="Times New Roman" w:eastAsia="Times New Roman" w:hAnsi="Times New Roman" w:cs="Times New Roman"/>
          <w:sz w:val="22"/>
          <w:szCs w:val="22"/>
        </w:rPr>
      </w:pPr>
      <w:r>
        <w:rPr>
          <w:rFonts w:ascii="Times New Roman" w:hAnsi="Times New Roman"/>
          <w:sz w:val="22"/>
        </w:rPr>
        <w:lastRenderedPageBreak/>
        <w:t>La section TEN a également contribué activement à d’autres sujets au niveau du Conseil. Après l’adoption de l’avis du CESE intitulé «</w:t>
      </w:r>
      <w:hyperlink r:id="rId59" w:history="1">
        <w:r>
          <w:rPr>
            <w:rStyle w:val="Hyperlink"/>
            <w:rFonts w:ascii="Times New Roman" w:hAnsi="Times New Roman"/>
            <w:i/>
            <w:sz w:val="22"/>
          </w:rPr>
          <w:t>Vers une stratégie maritime de l’UE</w:t>
        </w:r>
      </w:hyperlink>
      <w:r>
        <w:rPr>
          <w:rFonts w:ascii="Times New Roman" w:hAnsi="Times New Roman"/>
          <w:sz w:val="22"/>
        </w:rPr>
        <w:t xml:space="preserve">» en janvier 2025, le corapporteur de l’avis a présenté le document lors du </w:t>
      </w:r>
      <w:hyperlink r:id="rId60" w:anchor=":~:text=After%20a%20year%27s%20break%2C%20one%20of%20the%20most,the%20international%20maritime%20community%20will%20meet%20in%20Szczecin." w:history="1">
        <w:r>
          <w:rPr>
            <w:rStyle w:val="Hyperlink"/>
            <w:rFonts w:ascii="Times New Roman" w:hAnsi="Times New Roman"/>
            <w:sz w:val="22"/>
          </w:rPr>
          <w:t>11</w:t>
        </w:r>
        <w:r>
          <w:rPr>
            <w:rStyle w:val="Hyperlink"/>
            <w:rFonts w:ascii="Times New Roman" w:hAnsi="Times New Roman"/>
            <w:sz w:val="22"/>
            <w:vertAlign w:val="superscript"/>
          </w:rPr>
          <w:t>e</w:t>
        </w:r>
        <w:r>
          <w:rPr>
            <w:rStyle w:val="Hyperlink"/>
            <w:rFonts w:ascii="Times New Roman" w:hAnsi="Times New Roman"/>
            <w:sz w:val="22"/>
          </w:rPr>
          <w:t> congrès international des transports maritimes</w:t>
        </w:r>
      </w:hyperlink>
      <w:r>
        <w:rPr>
          <w:rFonts w:ascii="Times New Roman" w:hAnsi="Times New Roman"/>
          <w:sz w:val="22"/>
        </w:rPr>
        <w:t xml:space="preserve"> qui s’est tenu à Szczecin, en Pologne, en mai 2025. Le congrès était organisé par la </w:t>
      </w:r>
      <w:r>
        <w:rPr>
          <w:rFonts w:ascii="Times New Roman" w:hAnsi="Times New Roman"/>
          <w:b/>
          <w:sz w:val="22"/>
        </w:rPr>
        <w:t>présidence polonaise</w:t>
      </w:r>
      <w:r>
        <w:rPr>
          <w:rFonts w:ascii="Times New Roman" w:hAnsi="Times New Roman"/>
          <w:sz w:val="22"/>
        </w:rPr>
        <w:t xml:space="preserve"> du Conseil de l’Union européenne.</w:t>
      </w:r>
    </w:p>
    <w:p w14:paraId="665CCF8C" w14:textId="77777777" w:rsidR="00BC1F32" w:rsidRPr="001F7757" w:rsidRDefault="00BC1F32" w:rsidP="006E7A01">
      <w:pPr>
        <w:spacing w:after="0" w:line="240" w:lineRule="auto"/>
        <w:jc w:val="both"/>
        <w:rPr>
          <w:rFonts w:ascii="Times New Roman" w:hAnsi="Times New Roman" w:cs="Times New Roman"/>
          <w:sz w:val="22"/>
          <w:szCs w:val="22"/>
          <w:lang w:eastAsia="en-US"/>
        </w:rPr>
      </w:pPr>
    </w:p>
    <w:p w14:paraId="3B6C3A14" w14:textId="11930E25" w:rsidR="00F26475" w:rsidRPr="001F7757" w:rsidRDefault="00F26475" w:rsidP="006E7A01">
      <w:pPr>
        <w:spacing w:after="0" w:line="240" w:lineRule="auto"/>
        <w:jc w:val="both"/>
        <w:rPr>
          <w:rFonts w:ascii="Times New Roman" w:hAnsi="Times New Roman" w:cs="Times New Roman"/>
          <w:sz w:val="22"/>
          <w:szCs w:val="22"/>
        </w:rPr>
      </w:pPr>
      <w:r w:rsidRPr="001F7757">
        <w:rPr>
          <w:rFonts w:ascii="Times New Roman" w:hAnsi="Times New Roman"/>
          <w:sz w:val="22"/>
          <w:shd w:val="clear" w:color="auto" w:fill="FAFAFA"/>
        </w:rPr>
        <w:t xml:space="preserve">La section TEN a maintenu une collaboration étroite avec la </w:t>
      </w:r>
      <w:r w:rsidRPr="001F7757">
        <w:rPr>
          <w:rFonts w:ascii="Times New Roman" w:hAnsi="Times New Roman"/>
          <w:b/>
          <w:sz w:val="22"/>
          <w:shd w:val="clear" w:color="auto" w:fill="FAFAFA"/>
        </w:rPr>
        <w:t>Commission européenne</w:t>
      </w:r>
      <w:r w:rsidRPr="001F7757">
        <w:rPr>
          <w:rFonts w:ascii="Times New Roman" w:hAnsi="Times New Roman"/>
          <w:sz w:val="22"/>
          <w:shd w:val="clear" w:color="auto" w:fill="FAFAFA"/>
        </w:rPr>
        <w:t xml:space="preserve"> tout au long de la seconde moitié du mandat, contribuant ainsi à plusieurs manifestations </w:t>
      </w:r>
      <w:proofErr w:type="gramStart"/>
      <w:r w:rsidRPr="001F7757">
        <w:rPr>
          <w:rFonts w:ascii="Times New Roman" w:hAnsi="Times New Roman"/>
          <w:sz w:val="22"/>
          <w:shd w:val="clear" w:color="auto" w:fill="FAFAFA"/>
        </w:rPr>
        <w:t>conjointes</w:t>
      </w:r>
      <w:r w:rsidRPr="001F7757">
        <w:rPr>
          <w:rFonts w:ascii="Times New Roman" w:hAnsi="Times New Roman"/>
          <w:sz w:val="22"/>
        </w:rPr>
        <w:t>:</w:t>
      </w:r>
      <w:proofErr w:type="gramEnd"/>
      <w:r w:rsidRPr="001F7757">
        <w:rPr>
          <w:rFonts w:ascii="Times New Roman" w:hAnsi="Times New Roman"/>
          <w:sz w:val="22"/>
        </w:rPr>
        <w:t xml:space="preserve"> </w:t>
      </w:r>
    </w:p>
    <w:p w14:paraId="51926494" w14:textId="77777777" w:rsidR="00BC1F32" w:rsidRPr="001F7757" w:rsidRDefault="00BC1F32" w:rsidP="006E7A01">
      <w:pPr>
        <w:spacing w:after="0" w:line="240" w:lineRule="auto"/>
        <w:jc w:val="both"/>
        <w:rPr>
          <w:rFonts w:ascii="Times New Roman" w:hAnsi="Times New Roman" w:cs="Times New Roman"/>
          <w:sz w:val="22"/>
          <w:szCs w:val="22"/>
        </w:rPr>
      </w:pPr>
    </w:p>
    <w:p w14:paraId="41FCD7A0" w14:textId="78295203" w:rsidR="00F26475" w:rsidRPr="001F7757" w:rsidRDefault="00F26475" w:rsidP="00F721A4">
      <w:pPr>
        <w:pStyle w:val="Style1"/>
        <w:rPr>
          <w:color w:val="auto"/>
        </w:rPr>
      </w:pPr>
      <w:r w:rsidRPr="001F7757">
        <w:rPr>
          <w:color w:val="auto"/>
        </w:rPr>
        <w:t xml:space="preserve">En juin 2023, la Commission européenne a organisé la Semaine européenne de l’énergie durable, réunissant les parties prenantes pour discuter de l’avenir de l’énergie propre en Europe. Dans le cadre du programme, la section TEN du CESE a contribué à la </w:t>
      </w:r>
      <w:hyperlink r:id="rId61" w:history="1">
        <w:r>
          <w:rPr>
            <w:rStyle w:val="Hyperlink"/>
          </w:rPr>
          <w:t>session «</w:t>
        </w:r>
        <w:r>
          <w:rPr>
            <w:rStyle w:val="Hyperlink"/>
            <w:i/>
            <w:iCs/>
          </w:rPr>
          <w:t>Energy self-</w:t>
        </w:r>
        <w:proofErr w:type="spellStart"/>
        <w:r>
          <w:rPr>
            <w:rStyle w:val="Hyperlink"/>
            <w:i/>
            <w:iCs/>
          </w:rPr>
          <w:t>consumption</w:t>
        </w:r>
        <w:proofErr w:type="spellEnd"/>
        <w:r>
          <w:rPr>
            <w:rStyle w:val="Hyperlink"/>
            <w:i/>
            <w:iCs/>
          </w:rPr>
          <w:t xml:space="preserve"> as </w:t>
        </w:r>
        <w:proofErr w:type="spellStart"/>
        <w:r>
          <w:rPr>
            <w:rStyle w:val="Hyperlink"/>
            <w:i/>
            <w:iCs/>
          </w:rPr>
          <w:t>success</w:t>
        </w:r>
        <w:proofErr w:type="spellEnd"/>
        <w:r>
          <w:rPr>
            <w:rStyle w:val="Hyperlink"/>
            <w:i/>
            <w:iCs/>
          </w:rPr>
          <w:t xml:space="preserve"> factor of the </w:t>
        </w:r>
        <w:proofErr w:type="spellStart"/>
        <w:r>
          <w:rPr>
            <w:rStyle w:val="Hyperlink"/>
            <w:i/>
            <w:iCs/>
          </w:rPr>
          <w:t>ecological</w:t>
        </w:r>
        <w:proofErr w:type="spellEnd"/>
        <w:r>
          <w:rPr>
            <w:rStyle w:val="Hyperlink"/>
            <w:i/>
            <w:iCs/>
          </w:rPr>
          <w:t xml:space="preserve"> transition</w:t>
        </w:r>
        <w:r>
          <w:rPr>
            <w:rStyle w:val="Hyperlink"/>
          </w:rPr>
          <w:t>»</w:t>
        </w:r>
      </w:hyperlink>
      <w:r w:rsidRPr="001F7757">
        <w:rPr>
          <w:color w:val="auto"/>
        </w:rPr>
        <w:t xml:space="preserve"> (Autoconsommation d’énergie en tant que facteur de réussite de la transition écologique), en soulignant le rôle des citoyens et des collectivités dans la transition vers des systèmes énergétiques décentralisés durables.</w:t>
      </w:r>
    </w:p>
    <w:p w14:paraId="643C2B88" w14:textId="77777777" w:rsidR="00BC1F32" w:rsidRPr="001F7757" w:rsidRDefault="00BC1F32" w:rsidP="006E7A01">
      <w:pPr>
        <w:spacing w:after="0" w:line="240" w:lineRule="auto"/>
        <w:jc w:val="both"/>
        <w:rPr>
          <w:rFonts w:ascii="Times New Roman" w:hAnsi="Times New Roman" w:cs="Times New Roman"/>
          <w:sz w:val="22"/>
          <w:szCs w:val="22"/>
        </w:rPr>
      </w:pPr>
    </w:p>
    <w:p w14:paraId="698A7668" w14:textId="735EF6B7" w:rsidR="00F26475" w:rsidRPr="001F7757" w:rsidRDefault="00F26475" w:rsidP="006E7A01">
      <w:pPr>
        <w:spacing w:after="0" w:line="240" w:lineRule="auto"/>
        <w:jc w:val="both"/>
        <w:rPr>
          <w:rFonts w:ascii="Times New Roman" w:hAnsi="Times New Roman" w:cs="Times New Roman"/>
          <w:sz w:val="22"/>
          <w:szCs w:val="22"/>
          <w:shd w:val="clear" w:color="auto" w:fill="FAFAFA"/>
        </w:rPr>
      </w:pPr>
      <w:r w:rsidRPr="001F7757">
        <w:rPr>
          <w:rFonts w:ascii="Times New Roman" w:hAnsi="Times New Roman"/>
          <w:sz w:val="22"/>
          <w:shd w:val="clear" w:color="auto" w:fill="FAFAFA"/>
        </w:rPr>
        <w:t xml:space="preserve">En novembre 2023, le CESE, en coopération avec la direction générale de la recherche et de l’innovation (DG RTD) de la Commission européenne, a accueilli la conférence </w:t>
      </w:r>
      <w:hyperlink r:id="rId62" w:history="1">
        <w:r>
          <w:rPr>
            <w:rStyle w:val="Hyperlink"/>
            <w:rFonts w:ascii="Times New Roman" w:hAnsi="Times New Roman"/>
            <w:sz w:val="22"/>
            <w:shd w:val="clear" w:color="auto" w:fill="FAFAFA"/>
          </w:rPr>
          <w:t>#ReskillEU — nouveaux emplois pour les secteurs de l’énergie et des transports en Europe</w:t>
        </w:r>
      </w:hyperlink>
      <w:r w:rsidRPr="001F7757">
        <w:rPr>
          <w:rFonts w:ascii="Times New Roman" w:hAnsi="Times New Roman"/>
          <w:sz w:val="22"/>
          <w:shd w:val="clear" w:color="auto" w:fill="FAFAFA"/>
        </w:rPr>
        <w:t xml:space="preserve"> à Bruxelles. Organisée dans le cadre de l’Année européenne des compétences, la manifestation s’est concentrée sur le rôle de la recherche et de l’innovation dans le développement des compétences nécessaires aux transitions écologique et numérique, en particulier dans les secteurs de l’énergie propre et des transports.</w:t>
      </w:r>
    </w:p>
    <w:p w14:paraId="1D2BC36B" w14:textId="77777777" w:rsidR="00BC1F32" w:rsidRPr="001F7757" w:rsidRDefault="00BC1F32" w:rsidP="006E7A01">
      <w:pPr>
        <w:spacing w:after="0" w:line="240" w:lineRule="auto"/>
        <w:jc w:val="both"/>
        <w:rPr>
          <w:rFonts w:ascii="Times New Roman" w:eastAsiaTheme="minorHAnsi" w:hAnsi="Times New Roman" w:cs="Times New Roman"/>
          <w:sz w:val="22"/>
          <w:szCs w:val="22"/>
        </w:rPr>
      </w:pPr>
    </w:p>
    <w:p w14:paraId="7FED60CC" w14:textId="30B5CA32" w:rsidR="00F26475" w:rsidRPr="000B323C" w:rsidRDefault="00F26475" w:rsidP="006E7A01">
      <w:pPr>
        <w:spacing w:after="0" w:line="240" w:lineRule="auto"/>
        <w:jc w:val="both"/>
        <w:rPr>
          <w:rFonts w:ascii="Times New Roman" w:hAnsi="Times New Roman" w:cs="Times New Roman"/>
          <w:sz w:val="22"/>
          <w:szCs w:val="22"/>
        </w:rPr>
      </w:pPr>
      <w:r>
        <w:rPr>
          <w:rFonts w:ascii="Times New Roman" w:hAnsi="Times New Roman"/>
          <w:sz w:val="22"/>
        </w:rPr>
        <w:t>La coopération avec la Commission européenne s’est prolongée avec deux visites à l’</w:t>
      </w:r>
      <w:hyperlink r:id="rId63" w:anchor=":~:text=The%20European%20Maritime%20Safety%20Agency%20%28EMSA%29%20is%20a,pertinent%20EU%20legislation.%20It%20is%20headquartered%20in%20Lisbon." w:history="1">
        <w:r>
          <w:rPr>
            <w:rStyle w:val="Hyperlink"/>
            <w:rFonts w:ascii="Times New Roman" w:hAnsi="Times New Roman"/>
            <w:sz w:val="22"/>
          </w:rPr>
          <w:t>Agence européenne pour la sécurité maritime</w:t>
        </w:r>
      </w:hyperlink>
      <w:r>
        <w:rPr>
          <w:rFonts w:ascii="Times New Roman" w:hAnsi="Times New Roman"/>
          <w:sz w:val="22"/>
        </w:rPr>
        <w:t xml:space="preserve"> (</w:t>
      </w:r>
      <w:r>
        <w:rPr>
          <w:rFonts w:ascii="Times New Roman" w:hAnsi="Times New Roman"/>
          <w:b/>
          <w:sz w:val="22"/>
        </w:rPr>
        <w:t>AESM</w:t>
      </w:r>
      <w:r>
        <w:rPr>
          <w:rFonts w:ascii="Times New Roman" w:hAnsi="Times New Roman"/>
          <w:sz w:val="22"/>
        </w:rPr>
        <w:t>). Une délégation de membres de la section TEN s’est rendue à l’AESM en février 2024 pour présenter les avis issus du paquet de mesures en faveur de la sécurité maritime, établissant une excellente coopération avec l’agence. Après l’adoption de l’avis du CESE intitulé «</w:t>
      </w:r>
      <w:hyperlink r:id="rId64" w:history="1">
        <w:r>
          <w:rPr>
            <w:rStyle w:val="Hyperlink"/>
            <w:rFonts w:ascii="Times New Roman" w:hAnsi="Times New Roman"/>
            <w:i/>
            <w:sz w:val="22"/>
          </w:rPr>
          <w:t>Vers une stratégie maritime de l’UE</w:t>
        </w:r>
      </w:hyperlink>
      <w:r>
        <w:rPr>
          <w:rFonts w:ascii="Times New Roman" w:hAnsi="Times New Roman"/>
          <w:sz w:val="22"/>
        </w:rPr>
        <w:t>» en janvier 2025, une deuxième visite à l’AESM a été organisée en juillet</w:t>
      </w:r>
      <w:r w:rsidR="00D04734">
        <w:rPr>
          <w:rFonts w:ascii="Times New Roman" w:hAnsi="Times New Roman"/>
          <w:sz w:val="22"/>
        </w:rPr>
        <w:t> </w:t>
      </w:r>
      <w:r>
        <w:rPr>
          <w:rFonts w:ascii="Times New Roman" w:hAnsi="Times New Roman"/>
          <w:sz w:val="22"/>
        </w:rPr>
        <w:t>2025. Quatre membres du CESE qui y ont participé ont présenté l’avis.</w:t>
      </w:r>
    </w:p>
    <w:p w14:paraId="6CC2839F" w14:textId="77777777" w:rsidR="00BC1F32" w:rsidRPr="000B323C" w:rsidRDefault="00BC1F32" w:rsidP="006E7A01">
      <w:pPr>
        <w:spacing w:after="0" w:line="240" w:lineRule="auto"/>
        <w:jc w:val="both"/>
        <w:rPr>
          <w:rFonts w:ascii="Times New Roman" w:hAnsi="Times New Roman" w:cs="Times New Roman"/>
          <w:sz w:val="22"/>
          <w:szCs w:val="22"/>
          <w:lang w:val="en-GB"/>
        </w:rPr>
      </w:pPr>
    </w:p>
    <w:p w14:paraId="447FC5E0" w14:textId="7D405921" w:rsidR="00F26475" w:rsidRPr="000B323C" w:rsidRDefault="00F26475" w:rsidP="006E7A01">
      <w:pPr>
        <w:spacing w:after="0" w:line="240" w:lineRule="auto"/>
        <w:jc w:val="both"/>
        <w:rPr>
          <w:rFonts w:ascii="Times New Roman" w:eastAsia="Times New Roman" w:hAnsi="Times New Roman" w:cs="Times New Roman"/>
          <w:sz w:val="22"/>
          <w:szCs w:val="22"/>
        </w:rPr>
      </w:pPr>
      <w:r>
        <w:rPr>
          <w:rFonts w:ascii="Times New Roman" w:hAnsi="Times New Roman"/>
          <w:sz w:val="22"/>
        </w:rPr>
        <w:t>En septembre 2024, le groupe permanent</w:t>
      </w:r>
      <w:proofErr w:type="gramStart"/>
      <w:r>
        <w:rPr>
          <w:rFonts w:ascii="Times New Roman" w:hAnsi="Times New Roman"/>
          <w:sz w:val="22"/>
        </w:rPr>
        <w:t xml:space="preserve"> «Énergie</w:t>
      </w:r>
      <w:proofErr w:type="gramEnd"/>
      <w:r>
        <w:rPr>
          <w:rFonts w:ascii="Times New Roman" w:hAnsi="Times New Roman"/>
          <w:sz w:val="22"/>
        </w:rPr>
        <w:t xml:space="preserve">» de la section TEN s’est rendu dans les installations du </w:t>
      </w:r>
      <w:hyperlink r:id="rId65" w:history="1">
        <w:r>
          <w:rPr>
            <w:rStyle w:val="Hyperlink"/>
            <w:rFonts w:ascii="Times New Roman" w:hAnsi="Times New Roman"/>
            <w:b/>
            <w:sz w:val="22"/>
          </w:rPr>
          <w:t>Centre commun de recherche</w:t>
        </w:r>
      </w:hyperlink>
      <w:r>
        <w:rPr>
          <w:rFonts w:ascii="Times New Roman" w:hAnsi="Times New Roman"/>
          <w:sz w:val="22"/>
        </w:rPr>
        <w:t xml:space="preserve"> (JRC) de </w:t>
      </w:r>
      <w:proofErr w:type="spellStart"/>
      <w:r>
        <w:rPr>
          <w:rFonts w:ascii="Times New Roman" w:hAnsi="Times New Roman"/>
          <w:sz w:val="22"/>
        </w:rPr>
        <w:t>Petten</w:t>
      </w:r>
      <w:proofErr w:type="spellEnd"/>
      <w:r>
        <w:rPr>
          <w:rFonts w:ascii="Times New Roman" w:hAnsi="Times New Roman"/>
          <w:sz w:val="22"/>
        </w:rPr>
        <w:t xml:space="preserve"> afin d’étudier le rôle des petits réacteurs modulaires (PRM) dans le futur système énergétique de l’Europe. La section TEN s’est engagée à poursuivre l’évaluation du potentiel des PRM, en participant activement </w:t>
      </w:r>
      <w:proofErr w:type="spellStart"/>
      <w:r>
        <w:rPr>
          <w:rFonts w:ascii="Times New Roman" w:hAnsi="Times New Roman"/>
          <w:sz w:val="22"/>
        </w:rPr>
        <w:t>à</w:t>
      </w:r>
      <w:proofErr w:type="spellEnd"/>
      <w:r>
        <w:rPr>
          <w:rFonts w:ascii="Times New Roman" w:hAnsi="Times New Roman"/>
          <w:sz w:val="22"/>
        </w:rPr>
        <w:t xml:space="preserve"> l’</w:t>
      </w:r>
      <w:proofErr w:type="spellStart"/>
      <w:r>
        <w:rPr>
          <w:rFonts w:ascii="Times New Roman" w:hAnsi="Times New Roman"/>
          <w:i/>
          <w:iCs/>
          <w:sz w:val="22"/>
        </w:rPr>
        <w:t>European</w:t>
      </w:r>
      <w:proofErr w:type="spellEnd"/>
      <w:r>
        <w:rPr>
          <w:rFonts w:ascii="Times New Roman" w:hAnsi="Times New Roman"/>
          <w:i/>
          <w:iCs/>
          <w:sz w:val="22"/>
        </w:rPr>
        <w:t xml:space="preserve"> </w:t>
      </w:r>
      <w:proofErr w:type="spellStart"/>
      <w:r>
        <w:rPr>
          <w:rFonts w:ascii="Times New Roman" w:hAnsi="Times New Roman"/>
          <w:i/>
          <w:iCs/>
          <w:sz w:val="22"/>
        </w:rPr>
        <w:t>Industrial</w:t>
      </w:r>
      <w:proofErr w:type="spellEnd"/>
      <w:r>
        <w:rPr>
          <w:rFonts w:ascii="Times New Roman" w:hAnsi="Times New Roman"/>
          <w:i/>
          <w:iCs/>
          <w:sz w:val="22"/>
        </w:rPr>
        <w:t xml:space="preserve"> Alliance on </w:t>
      </w:r>
      <w:proofErr w:type="spellStart"/>
      <w:r>
        <w:rPr>
          <w:rFonts w:ascii="Times New Roman" w:hAnsi="Times New Roman"/>
          <w:i/>
          <w:iCs/>
          <w:sz w:val="22"/>
        </w:rPr>
        <w:t>SMRs</w:t>
      </w:r>
      <w:proofErr w:type="spellEnd"/>
      <w:r>
        <w:rPr>
          <w:rFonts w:ascii="Times New Roman" w:hAnsi="Times New Roman"/>
          <w:sz w:val="22"/>
        </w:rPr>
        <w:t xml:space="preserve"> (Alliance industrielle européenne sur les PRM) au sein du groupe de travail sur l’engagement public.</w:t>
      </w:r>
    </w:p>
    <w:p w14:paraId="28A83642" w14:textId="77777777" w:rsidR="00BC1F32" w:rsidRPr="000B323C" w:rsidRDefault="00BC1F32" w:rsidP="006E7A01">
      <w:pPr>
        <w:spacing w:after="0" w:line="240" w:lineRule="auto"/>
        <w:jc w:val="both"/>
        <w:rPr>
          <w:rFonts w:ascii="Times New Roman" w:hAnsi="Times New Roman" w:cs="Times New Roman"/>
          <w:sz w:val="22"/>
          <w:szCs w:val="22"/>
          <w:lang w:val="en-GB"/>
        </w:rPr>
      </w:pPr>
    </w:p>
    <w:p w14:paraId="4AB97D0F" w14:textId="583651C6" w:rsidR="00F26475" w:rsidRPr="001F7757" w:rsidRDefault="00F26475" w:rsidP="006E7A01">
      <w:pPr>
        <w:shd w:val="clear" w:color="auto" w:fill="FAFAFA"/>
        <w:spacing w:after="0" w:line="240" w:lineRule="auto"/>
        <w:jc w:val="both"/>
        <w:rPr>
          <w:rFonts w:ascii="Times New Roman" w:hAnsi="Times New Roman" w:cs="Times New Roman"/>
          <w:sz w:val="22"/>
          <w:szCs w:val="22"/>
        </w:rPr>
      </w:pPr>
      <w:r w:rsidRPr="001F7757">
        <w:rPr>
          <w:rFonts w:ascii="Times New Roman" w:hAnsi="Times New Roman"/>
          <w:sz w:val="22"/>
        </w:rPr>
        <w:t xml:space="preserve">La coopération du CESE avec les autres institutions de l’UE est restée forte, en particulier dans le domaine du logement. Le 14 novembre 2024, Baiba Miltoviča, présidente de la section TEN du CESE, et Andres Jaadla, rapporteur de l’avis du </w:t>
      </w:r>
      <w:r w:rsidRPr="001F7757">
        <w:rPr>
          <w:rFonts w:ascii="Times New Roman" w:hAnsi="Times New Roman"/>
          <w:b/>
          <w:sz w:val="22"/>
        </w:rPr>
        <w:t>Comité des régions (CdR)</w:t>
      </w:r>
      <w:r w:rsidRPr="001F7757">
        <w:rPr>
          <w:rFonts w:ascii="Times New Roman" w:hAnsi="Times New Roman"/>
          <w:sz w:val="22"/>
        </w:rPr>
        <w:t xml:space="preserve"> sur le logement, ont signé une </w:t>
      </w:r>
      <w:hyperlink r:id="rId66" w:history="1">
        <w:r>
          <w:rPr>
            <w:rStyle w:val="Hyperlink"/>
            <w:rFonts w:ascii="Times New Roman" w:hAnsi="Times New Roman"/>
            <w:sz w:val="22"/>
          </w:rPr>
          <w:t>déclaration conjointe</w:t>
        </w:r>
      </w:hyperlink>
      <w:r w:rsidRPr="001F7757">
        <w:rPr>
          <w:rFonts w:ascii="Times New Roman" w:hAnsi="Times New Roman"/>
          <w:sz w:val="22"/>
        </w:rPr>
        <w:t xml:space="preserve"> appelant les institutions européennes à prendre des mesures urgentes pour faire face à la crise du logement. Dans la déclaration, ils se réjouissaient également de la nomination d’un commissaire européen à l’énergie et au logement et soutenaient l’élaboration du tout premier plan européen pour des logements abordables.</w:t>
      </w:r>
    </w:p>
    <w:p w14:paraId="36EC03EE" w14:textId="77777777" w:rsidR="00BC1F32" w:rsidRPr="001F7757" w:rsidRDefault="00BC1F32" w:rsidP="006E7A01">
      <w:pPr>
        <w:shd w:val="clear" w:color="auto" w:fill="FAFAFA"/>
        <w:spacing w:after="0" w:line="240" w:lineRule="auto"/>
        <w:jc w:val="both"/>
        <w:rPr>
          <w:rFonts w:ascii="Times New Roman" w:hAnsi="Times New Roman" w:cs="Times New Roman"/>
          <w:sz w:val="22"/>
          <w:szCs w:val="22"/>
          <w:lang w:eastAsia="fr-BE"/>
        </w:rPr>
      </w:pPr>
    </w:p>
    <w:p w14:paraId="43090EB0" w14:textId="175F83A0" w:rsidR="00F26475" w:rsidRPr="001F7757" w:rsidRDefault="00F26475" w:rsidP="006E7A01">
      <w:pPr>
        <w:shd w:val="clear" w:color="auto" w:fill="FAFAFA"/>
        <w:spacing w:after="0" w:line="240" w:lineRule="auto"/>
        <w:jc w:val="both"/>
        <w:rPr>
          <w:rFonts w:ascii="Times New Roman" w:hAnsi="Times New Roman" w:cs="Times New Roman"/>
          <w:sz w:val="22"/>
          <w:szCs w:val="22"/>
        </w:rPr>
      </w:pPr>
      <w:r w:rsidRPr="001F7757">
        <w:rPr>
          <w:rFonts w:ascii="Times New Roman" w:hAnsi="Times New Roman"/>
          <w:sz w:val="22"/>
        </w:rPr>
        <w:t xml:space="preserve">Renforçant encore cette collaboration, en mars 2025, la présidente Miltoviča a participé </w:t>
      </w:r>
      <w:proofErr w:type="spellStart"/>
      <w:r w:rsidRPr="001F7757">
        <w:rPr>
          <w:rFonts w:ascii="Times New Roman" w:hAnsi="Times New Roman"/>
          <w:sz w:val="22"/>
        </w:rPr>
        <w:t>à</w:t>
      </w:r>
      <w:proofErr w:type="spellEnd"/>
      <w:r w:rsidRPr="001F7757">
        <w:rPr>
          <w:rFonts w:ascii="Times New Roman" w:hAnsi="Times New Roman"/>
          <w:sz w:val="22"/>
        </w:rPr>
        <w:t xml:space="preserve"> une session extraordinaire sur le logement lors du </w:t>
      </w:r>
      <w:hyperlink r:id="rId67" w:history="1">
        <w:r>
          <w:rPr>
            <w:rStyle w:val="Hyperlink"/>
            <w:rFonts w:ascii="Times New Roman" w:hAnsi="Times New Roman"/>
            <w:b/>
            <w:sz w:val="22"/>
          </w:rPr>
          <w:t>Forum du groupe BEI</w:t>
        </w:r>
        <w:r>
          <w:rPr>
            <w:rStyle w:val="Hyperlink"/>
            <w:rFonts w:ascii="Times New Roman" w:hAnsi="Times New Roman"/>
            <w:sz w:val="22"/>
          </w:rPr>
          <w:t xml:space="preserve"> à Luxembourg</w:t>
        </w:r>
      </w:hyperlink>
      <w:r w:rsidRPr="001F7757">
        <w:rPr>
          <w:rFonts w:ascii="Times New Roman" w:hAnsi="Times New Roman"/>
          <w:sz w:val="22"/>
        </w:rPr>
        <w:t>. La session, intitulée</w:t>
      </w:r>
      <w:proofErr w:type="gramStart"/>
      <w:r w:rsidRPr="001F7757">
        <w:rPr>
          <w:rFonts w:ascii="Times New Roman" w:hAnsi="Times New Roman"/>
          <w:sz w:val="22"/>
        </w:rPr>
        <w:t xml:space="preserve"> «</w:t>
      </w:r>
      <w:proofErr w:type="spellStart"/>
      <w:r w:rsidRPr="001F7757">
        <w:rPr>
          <w:rFonts w:ascii="Times New Roman" w:hAnsi="Times New Roman"/>
          <w:i/>
          <w:iCs/>
          <w:sz w:val="22"/>
        </w:rPr>
        <w:t>Strengthening</w:t>
      </w:r>
      <w:proofErr w:type="spellEnd"/>
      <w:proofErr w:type="gramEnd"/>
      <w:r w:rsidRPr="001F7757">
        <w:rPr>
          <w:rFonts w:ascii="Times New Roman" w:hAnsi="Times New Roman"/>
          <w:i/>
          <w:iCs/>
          <w:sz w:val="22"/>
        </w:rPr>
        <w:t xml:space="preserve"> support for </w:t>
      </w:r>
      <w:proofErr w:type="spellStart"/>
      <w:r w:rsidRPr="001F7757">
        <w:rPr>
          <w:rFonts w:ascii="Times New Roman" w:hAnsi="Times New Roman"/>
          <w:i/>
          <w:iCs/>
          <w:sz w:val="22"/>
        </w:rPr>
        <w:t>affordable</w:t>
      </w:r>
      <w:proofErr w:type="spellEnd"/>
      <w:r w:rsidRPr="001F7757">
        <w:rPr>
          <w:rFonts w:ascii="Times New Roman" w:hAnsi="Times New Roman"/>
          <w:i/>
          <w:iCs/>
          <w:sz w:val="22"/>
        </w:rPr>
        <w:t xml:space="preserve"> and </w:t>
      </w:r>
      <w:proofErr w:type="spellStart"/>
      <w:r w:rsidRPr="001F7757">
        <w:rPr>
          <w:rFonts w:ascii="Times New Roman" w:hAnsi="Times New Roman"/>
          <w:i/>
          <w:iCs/>
          <w:sz w:val="22"/>
        </w:rPr>
        <w:t>sustainable</w:t>
      </w:r>
      <w:proofErr w:type="spellEnd"/>
      <w:r w:rsidRPr="001F7757">
        <w:rPr>
          <w:rFonts w:ascii="Times New Roman" w:hAnsi="Times New Roman"/>
          <w:i/>
          <w:iCs/>
          <w:sz w:val="22"/>
        </w:rPr>
        <w:t xml:space="preserve"> </w:t>
      </w:r>
      <w:proofErr w:type="spellStart"/>
      <w:r w:rsidRPr="001F7757">
        <w:rPr>
          <w:rFonts w:ascii="Times New Roman" w:hAnsi="Times New Roman"/>
          <w:i/>
          <w:iCs/>
          <w:sz w:val="22"/>
        </w:rPr>
        <w:t>housing</w:t>
      </w:r>
      <w:proofErr w:type="spellEnd"/>
      <w:r w:rsidRPr="001F7757">
        <w:rPr>
          <w:rFonts w:ascii="Times New Roman" w:hAnsi="Times New Roman"/>
          <w:i/>
          <w:iCs/>
          <w:sz w:val="22"/>
        </w:rPr>
        <w:t xml:space="preserve"> </w:t>
      </w:r>
      <w:proofErr w:type="spellStart"/>
      <w:r w:rsidRPr="001F7757">
        <w:rPr>
          <w:rFonts w:ascii="Times New Roman" w:hAnsi="Times New Roman"/>
          <w:i/>
          <w:iCs/>
          <w:sz w:val="22"/>
        </w:rPr>
        <w:t>across</w:t>
      </w:r>
      <w:proofErr w:type="spellEnd"/>
      <w:r w:rsidRPr="001F7757">
        <w:rPr>
          <w:rFonts w:ascii="Times New Roman" w:hAnsi="Times New Roman"/>
          <w:i/>
          <w:iCs/>
          <w:sz w:val="22"/>
        </w:rPr>
        <w:t xml:space="preserve"> </w:t>
      </w:r>
      <w:proofErr w:type="gramStart"/>
      <w:r w:rsidRPr="001F7757">
        <w:rPr>
          <w:rFonts w:ascii="Times New Roman" w:hAnsi="Times New Roman"/>
          <w:i/>
          <w:iCs/>
          <w:sz w:val="22"/>
        </w:rPr>
        <w:t>Europe</w:t>
      </w:r>
      <w:r w:rsidRPr="001F7757">
        <w:rPr>
          <w:rFonts w:ascii="Times New Roman" w:hAnsi="Times New Roman"/>
          <w:sz w:val="22"/>
        </w:rPr>
        <w:t>»</w:t>
      </w:r>
      <w:proofErr w:type="gramEnd"/>
      <w:r w:rsidRPr="001F7757">
        <w:rPr>
          <w:rFonts w:ascii="Times New Roman" w:hAnsi="Times New Roman"/>
          <w:sz w:val="22"/>
        </w:rPr>
        <w:t xml:space="preserve"> (Renforcer le soutien en faveur d’un logement abordable et durable dans toute l’Europe), était axée sur l’amélioration des mécanismes de financement, l’alignement des cadres stratégiques et réglementaires et le renforcement du rôle de la plateforme paneuropéenne d’investissement. Cet événement a réuni des parties prenantes de haut niveau, dont Nadia </w:t>
      </w:r>
      <w:proofErr w:type="spellStart"/>
      <w:r w:rsidRPr="001F7757">
        <w:rPr>
          <w:rFonts w:ascii="Times New Roman" w:hAnsi="Times New Roman"/>
          <w:sz w:val="22"/>
        </w:rPr>
        <w:t>Calviño</w:t>
      </w:r>
      <w:proofErr w:type="spellEnd"/>
      <w:r w:rsidRPr="001F7757">
        <w:rPr>
          <w:rFonts w:ascii="Times New Roman" w:hAnsi="Times New Roman"/>
          <w:sz w:val="22"/>
        </w:rPr>
        <w:t xml:space="preserve">, présidente de la Banque européenne d’investissement (BEI), et Dan Jørgensen, </w:t>
      </w:r>
      <w:r w:rsidRPr="001F7757">
        <w:rPr>
          <w:rFonts w:ascii="Times New Roman" w:hAnsi="Times New Roman"/>
          <w:sz w:val="22"/>
        </w:rPr>
        <w:lastRenderedPageBreak/>
        <w:t>commissaire européen, afin de jeter les bases d’une nouvelle initiative paneuropéenne en matière de logement.</w:t>
      </w:r>
    </w:p>
    <w:p w14:paraId="46495383" w14:textId="77777777" w:rsidR="00BC1F32" w:rsidRPr="001F7757" w:rsidRDefault="00BC1F32" w:rsidP="006E7A01">
      <w:pPr>
        <w:shd w:val="clear" w:color="auto" w:fill="FAFAFA"/>
        <w:spacing w:after="0" w:line="240" w:lineRule="auto"/>
        <w:jc w:val="both"/>
        <w:rPr>
          <w:rFonts w:ascii="Times New Roman" w:hAnsi="Times New Roman" w:cs="Times New Roman"/>
          <w:sz w:val="22"/>
          <w:szCs w:val="22"/>
          <w:lang w:eastAsia="fr-BE"/>
        </w:rPr>
      </w:pPr>
    </w:p>
    <w:p w14:paraId="1DAFC412" w14:textId="19DB3A19" w:rsidR="00F26475" w:rsidRPr="001F7757" w:rsidRDefault="00F26475" w:rsidP="006E7A01">
      <w:pPr>
        <w:spacing w:after="0" w:line="240" w:lineRule="auto"/>
        <w:jc w:val="both"/>
        <w:rPr>
          <w:rFonts w:ascii="Times New Roman" w:hAnsi="Times New Roman" w:cs="Times New Roman"/>
          <w:sz w:val="22"/>
          <w:szCs w:val="22"/>
          <w:shd w:val="clear" w:color="auto" w:fill="FAFAFA"/>
        </w:rPr>
      </w:pPr>
      <w:r w:rsidRPr="001F7757">
        <w:rPr>
          <w:rFonts w:ascii="Times New Roman" w:hAnsi="Times New Roman"/>
          <w:sz w:val="22"/>
          <w:shd w:val="clear" w:color="auto" w:fill="FAFAFA"/>
        </w:rPr>
        <w:t xml:space="preserve">La section TEN a continué de renforcer sa visibilité en participant activement à des manifestations et débats stratégiques clés. Le 14 janvier 2025, la section a organisé un débat de haut niveau sur le double usage du réseau transeuropéen de transport (RTE-T) à Bruxelles. </w:t>
      </w:r>
      <w:proofErr w:type="spellStart"/>
      <w:r w:rsidRPr="001F7757">
        <w:rPr>
          <w:rFonts w:ascii="Times New Roman" w:hAnsi="Times New Roman"/>
          <w:sz w:val="22"/>
          <w:shd w:val="clear" w:color="auto" w:fill="FAFAFA"/>
        </w:rPr>
        <w:t>Kaspars</w:t>
      </w:r>
      <w:proofErr w:type="spellEnd"/>
      <w:r w:rsidRPr="001F7757">
        <w:rPr>
          <w:rFonts w:ascii="Times New Roman" w:hAnsi="Times New Roman"/>
          <w:sz w:val="22"/>
          <w:shd w:val="clear" w:color="auto" w:fill="FAFAFA"/>
        </w:rPr>
        <w:t> </w:t>
      </w:r>
      <w:proofErr w:type="spellStart"/>
      <w:r w:rsidRPr="001F7757">
        <w:rPr>
          <w:rFonts w:ascii="Times New Roman" w:hAnsi="Times New Roman"/>
          <w:sz w:val="22"/>
          <w:shd w:val="clear" w:color="auto" w:fill="FAFAFA"/>
        </w:rPr>
        <w:t>Briškens</w:t>
      </w:r>
      <w:proofErr w:type="spellEnd"/>
      <w:r w:rsidRPr="001F7757">
        <w:rPr>
          <w:rFonts w:ascii="Times New Roman" w:hAnsi="Times New Roman"/>
          <w:sz w:val="22"/>
          <w:shd w:val="clear" w:color="auto" w:fill="FAFAFA"/>
        </w:rPr>
        <w:t>, ministre letton des transports, qui a participé à l’événement en personne, a souligné l’importance d’intégrer la mobilité civile et militaire pour renforcer la résilience et la sécurité de l’Europe. Une personnalité de l’</w:t>
      </w:r>
      <w:r w:rsidRPr="001F7757">
        <w:rPr>
          <w:rFonts w:ascii="Times New Roman" w:hAnsi="Times New Roman"/>
          <w:b/>
          <w:sz w:val="22"/>
          <w:shd w:val="clear" w:color="auto" w:fill="FAFAFA"/>
        </w:rPr>
        <w:t>OTAN</w:t>
      </w:r>
      <w:r w:rsidRPr="001F7757">
        <w:rPr>
          <w:rFonts w:ascii="Times New Roman" w:hAnsi="Times New Roman"/>
          <w:sz w:val="22"/>
          <w:shd w:val="clear" w:color="auto" w:fill="FAFAFA"/>
        </w:rPr>
        <w:t xml:space="preserve"> a également été invitée à prendre la parole lors de cette manifestation.</w:t>
      </w:r>
    </w:p>
    <w:p w14:paraId="0A509F9C" w14:textId="77777777" w:rsidR="00BC1F32" w:rsidRPr="001F7757" w:rsidRDefault="00BC1F32" w:rsidP="006E7A01">
      <w:pPr>
        <w:spacing w:after="0" w:line="240" w:lineRule="auto"/>
        <w:jc w:val="both"/>
        <w:rPr>
          <w:rFonts w:ascii="Times New Roman" w:hAnsi="Times New Roman" w:cs="Times New Roman"/>
          <w:sz w:val="22"/>
          <w:szCs w:val="22"/>
          <w:lang w:eastAsia="fr-BE"/>
        </w:rPr>
      </w:pPr>
    </w:p>
    <w:p w14:paraId="663B8173" w14:textId="0C0F465F" w:rsidR="002E2BF1" w:rsidRPr="001F7757" w:rsidRDefault="00F26475" w:rsidP="006E7A01">
      <w:pPr>
        <w:spacing w:after="0" w:line="240" w:lineRule="auto"/>
        <w:jc w:val="both"/>
        <w:rPr>
          <w:rFonts w:ascii="Times New Roman" w:eastAsia="Times New Roman" w:hAnsi="Times New Roman" w:cs="Times New Roman"/>
          <w:sz w:val="22"/>
          <w:szCs w:val="22"/>
          <w:highlight w:val="yellow"/>
        </w:rPr>
      </w:pPr>
      <w:r w:rsidRPr="001F7757">
        <w:rPr>
          <w:rFonts w:ascii="Times New Roman" w:hAnsi="Times New Roman"/>
          <w:sz w:val="22"/>
          <w:shd w:val="clear" w:color="auto" w:fill="FAFAFA"/>
        </w:rPr>
        <w:t xml:space="preserve">En mai 2025, la présidente Miltoviča a représenté le CESE au sommet du </w:t>
      </w:r>
      <w:hyperlink r:id="rId68" w:history="1">
        <w:r>
          <w:rPr>
            <w:rStyle w:val="Hyperlink"/>
            <w:rFonts w:ascii="Times New Roman" w:hAnsi="Times New Roman"/>
            <w:sz w:val="22"/>
            <w:shd w:val="clear" w:color="auto" w:fill="FAFAFA"/>
          </w:rPr>
          <w:t>Forum international des transports (</w:t>
        </w:r>
        <w:r>
          <w:rPr>
            <w:rStyle w:val="Hyperlink"/>
            <w:rFonts w:ascii="Times New Roman" w:hAnsi="Times New Roman"/>
            <w:b/>
            <w:sz w:val="22"/>
            <w:shd w:val="clear" w:color="auto" w:fill="FAFAFA"/>
          </w:rPr>
          <w:t>FIT</w:t>
        </w:r>
        <w:r>
          <w:rPr>
            <w:rStyle w:val="Hyperlink"/>
            <w:rFonts w:ascii="Times New Roman" w:hAnsi="Times New Roman"/>
            <w:sz w:val="22"/>
            <w:shd w:val="clear" w:color="auto" w:fill="FAFAFA"/>
          </w:rPr>
          <w:t>)</w:t>
        </w:r>
      </w:hyperlink>
      <w:r w:rsidRPr="001F7757">
        <w:rPr>
          <w:rFonts w:ascii="Times New Roman" w:hAnsi="Times New Roman"/>
          <w:sz w:val="22"/>
          <w:shd w:val="clear" w:color="auto" w:fill="FAFAFA"/>
        </w:rPr>
        <w:t xml:space="preserve"> à Leipzig, en Allemagne, le plus grand rassemblement mondial de ministres des transports et de responsables mondiaux de la mobilité.</w:t>
      </w:r>
    </w:p>
    <w:p w14:paraId="52F69986" w14:textId="596C7E1F" w:rsidR="00AF034B" w:rsidRPr="001F7757" w:rsidRDefault="00AF034B" w:rsidP="006E7A01">
      <w:pPr>
        <w:spacing w:after="0" w:line="240" w:lineRule="auto"/>
        <w:jc w:val="both"/>
        <w:rPr>
          <w:rFonts w:ascii="Times New Roman" w:hAnsi="Times New Roman" w:cs="Times New Roman"/>
          <w:highlight w:val="green"/>
        </w:rPr>
      </w:pPr>
    </w:p>
    <w:p w14:paraId="56C3C4C6" w14:textId="70DFABEF" w:rsidR="00B837FE" w:rsidRDefault="00B837FE" w:rsidP="00D04734">
      <w:pPr>
        <w:pStyle w:val="Heading1"/>
      </w:pPr>
      <w:r w:rsidRPr="00D04734">
        <w:t>Initiatives</w:t>
      </w:r>
      <w:r>
        <w:t xml:space="preserve"> phares</w:t>
      </w:r>
    </w:p>
    <w:p w14:paraId="2E5E99BF" w14:textId="77777777" w:rsidR="00B837FE" w:rsidRDefault="00B837FE" w:rsidP="006E7A01">
      <w:pPr>
        <w:spacing w:after="0" w:line="240" w:lineRule="auto"/>
        <w:jc w:val="both"/>
        <w:rPr>
          <w:rFonts w:ascii="Times New Roman" w:hAnsi="Times New Roman" w:cs="Times New Roman"/>
          <w:sz w:val="22"/>
          <w:szCs w:val="22"/>
        </w:rPr>
      </w:pPr>
    </w:p>
    <w:p w14:paraId="2C49F04D" w14:textId="2F60C47C" w:rsidR="00E30B96" w:rsidRPr="000B323C" w:rsidRDefault="00AF034B" w:rsidP="006E7A01">
      <w:pPr>
        <w:spacing w:after="0" w:line="240" w:lineRule="auto"/>
        <w:jc w:val="both"/>
        <w:rPr>
          <w:rFonts w:ascii="Times New Roman" w:hAnsi="Times New Roman" w:cs="Times New Roman"/>
          <w:sz w:val="22"/>
          <w:szCs w:val="22"/>
        </w:rPr>
      </w:pPr>
      <w:r>
        <w:rPr>
          <w:rFonts w:ascii="Times New Roman" w:hAnsi="Times New Roman"/>
          <w:sz w:val="22"/>
        </w:rPr>
        <w:t xml:space="preserve">Les initiatives phares lancées par la section TEN constituent des actions stratégiques clés visant à relever les défis sociétaux, économiques et technologiques urgents dans l’ensemble de l’Union. Au cours de la seconde moitié de ce mandat, la section a poursuivi ses travaux sur les actions stratégiques </w:t>
      </w:r>
      <w:proofErr w:type="gramStart"/>
      <w:r>
        <w:rPr>
          <w:rFonts w:ascii="Times New Roman" w:hAnsi="Times New Roman"/>
          <w:sz w:val="22"/>
        </w:rPr>
        <w:t>suivantes:</w:t>
      </w:r>
      <w:proofErr w:type="gramEnd"/>
    </w:p>
    <w:p w14:paraId="6FB2B6D2" w14:textId="77777777" w:rsidR="00E7012E" w:rsidRPr="0096433C" w:rsidRDefault="00E7012E" w:rsidP="006E7A01">
      <w:pPr>
        <w:spacing w:after="0" w:line="240" w:lineRule="auto"/>
        <w:jc w:val="both"/>
        <w:rPr>
          <w:rFonts w:ascii="Times New Roman" w:hAnsi="Times New Roman" w:cs="Times New Roman"/>
          <w:sz w:val="22"/>
          <w:szCs w:val="22"/>
          <w:lang w:val="fr-BE"/>
        </w:rPr>
      </w:pPr>
    </w:p>
    <w:p w14:paraId="14CB13A6" w14:textId="5344733F" w:rsidR="002E2BF1" w:rsidRPr="00F721A4" w:rsidRDefault="002E2BF1" w:rsidP="00F721A4">
      <w:pPr>
        <w:pStyle w:val="ListParagraph"/>
        <w:numPr>
          <w:ilvl w:val="0"/>
          <w:numId w:val="30"/>
        </w:numPr>
        <w:spacing w:after="0" w:line="240" w:lineRule="auto"/>
        <w:ind w:left="0" w:firstLine="0"/>
        <w:jc w:val="both"/>
        <w:rPr>
          <w:rFonts w:ascii="Times New Roman" w:hAnsi="Times New Roman" w:cs="Times New Roman"/>
          <w:sz w:val="22"/>
          <w:szCs w:val="22"/>
        </w:rPr>
      </w:pPr>
      <w:r>
        <w:rPr>
          <w:rFonts w:ascii="Times New Roman" w:hAnsi="Times New Roman"/>
          <w:sz w:val="22"/>
        </w:rPr>
        <w:t xml:space="preserve">Le CESE plaide en faveur d’une approche européenne globale qui tienne compte des besoins des personnes atteintes de maladies rares, en vue d’inclure un </w:t>
      </w:r>
      <w:r>
        <w:rPr>
          <w:rFonts w:ascii="Times New Roman" w:hAnsi="Times New Roman"/>
          <w:b/>
          <w:smallCaps/>
          <w:sz w:val="22"/>
        </w:rPr>
        <w:t>plan d’action de l’UE sur les maladies rares</w:t>
      </w:r>
      <w:r>
        <w:rPr>
          <w:rFonts w:ascii="Times New Roman" w:hAnsi="Times New Roman"/>
          <w:sz w:val="22"/>
        </w:rPr>
        <w:t xml:space="preserve"> dans le programme de travail de la Commission européenne. Ces travaux sont liés aux responsabilités essentielles de la section TEN en matière de services d’intérêt général et ont été mis en place en étroite coopération avec la section</w:t>
      </w:r>
      <w:proofErr w:type="gramStart"/>
      <w:r>
        <w:rPr>
          <w:rFonts w:ascii="Times New Roman" w:hAnsi="Times New Roman"/>
          <w:sz w:val="22"/>
        </w:rPr>
        <w:t xml:space="preserve"> «Emploi</w:t>
      </w:r>
      <w:proofErr w:type="gramEnd"/>
      <w:r>
        <w:rPr>
          <w:rFonts w:ascii="Times New Roman" w:hAnsi="Times New Roman"/>
          <w:sz w:val="22"/>
        </w:rPr>
        <w:t xml:space="preserve">, affaires sociales et </w:t>
      </w:r>
      <w:proofErr w:type="gramStart"/>
      <w:r>
        <w:rPr>
          <w:rFonts w:ascii="Times New Roman" w:hAnsi="Times New Roman"/>
          <w:sz w:val="22"/>
        </w:rPr>
        <w:t>citoyenneté»</w:t>
      </w:r>
      <w:proofErr w:type="gramEnd"/>
      <w:r>
        <w:rPr>
          <w:rFonts w:ascii="Times New Roman" w:hAnsi="Times New Roman"/>
          <w:sz w:val="22"/>
        </w:rPr>
        <w:t xml:space="preserve"> (section SOC). Les avis et les conférences annuelles ont constitué les jalons de cette </w:t>
      </w:r>
      <w:proofErr w:type="gramStart"/>
      <w:r>
        <w:rPr>
          <w:rFonts w:ascii="Times New Roman" w:hAnsi="Times New Roman"/>
          <w:sz w:val="22"/>
        </w:rPr>
        <w:t>stratégie:</w:t>
      </w:r>
      <w:proofErr w:type="gramEnd"/>
      <w:r>
        <w:rPr>
          <w:rFonts w:ascii="Times New Roman" w:hAnsi="Times New Roman"/>
          <w:sz w:val="22"/>
        </w:rPr>
        <w:t xml:space="preserve"> </w:t>
      </w:r>
    </w:p>
    <w:p w14:paraId="38039543" w14:textId="7C81FE22" w:rsidR="004F62BC" w:rsidRPr="000B323C" w:rsidRDefault="004F62BC" w:rsidP="006E7A01">
      <w:pPr>
        <w:spacing w:after="0" w:line="240" w:lineRule="auto"/>
        <w:jc w:val="both"/>
        <w:rPr>
          <w:rFonts w:ascii="Times New Roman" w:hAnsi="Times New Roman" w:cs="Times New Roman"/>
          <w:sz w:val="22"/>
          <w:szCs w:val="22"/>
        </w:rPr>
      </w:pPr>
    </w:p>
    <w:p w14:paraId="25DEE3CF" w14:textId="6740FE19" w:rsidR="004F62BC" w:rsidRPr="000B323C" w:rsidRDefault="004F62BC" w:rsidP="006E7A01">
      <w:pPr>
        <w:spacing w:after="0" w:line="240" w:lineRule="auto"/>
        <w:jc w:val="both"/>
        <w:rPr>
          <w:rFonts w:ascii="Times New Roman" w:hAnsi="Times New Roman" w:cs="Times New Roman"/>
          <w:sz w:val="22"/>
          <w:szCs w:val="22"/>
        </w:rPr>
      </w:pPr>
      <w:r>
        <w:rPr>
          <w:rFonts w:ascii="Times New Roman" w:hAnsi="Times New Roman"/>
          <w:sz w:val="22"/>
        </w:rPr>
        <w:t xml:space="preserve">En octobre 2023, à Bilbao, en Espagne, une conférence de haut niveau du CESE sur les </w:t>
      </w:r>
      <w:r>
        <w:rPr>
          <w:rFonts w:ascii="Times New Roman" w:hAnsi="Times New Roman"/>
          <w:b/>
          <w:sz w:val="22"/>
        </w:rPr>
        <w:t xml:space="preserve"> </w:t>
      </w:r>
      <w:hyperlink r:id="rId69" w:history="1">
        <w:r>
          <w:rPr>
            <w:rStyle w:val="Hyperlink"/>
            <w:rFonts w:ascii="Times New Roman" w:hAnsi="Times New Roman"/>
            <w:i/>
            <w:sz w:val="22"/>
          </w:rPr>
          <w:t>maladies rares et les réseaux européens de référence</w:t>
        </w:r>
      </w:hyperlink>
      <w:r>
        <w:rPr>
          <w:rFonts w:ascii="Times New Roman" w:hAnsi="Times New Roman"/>
          <w:sz w:val="22"/>
        </w:rPr>
        <w:t xml:space="preserve"> a été organisée par le CESE en coopération avec la présidence espagnole du Conseil de l’Union européenne et les autorités du Pays basque. </w:t>
      </w:r>
    </w:p>
    <w:p w14:paraId="236541BD" w14:textId="77777777" w:rsidR="00C17ACB" w:rsidRPr="000B323C" w:rsidRDefault="00C17ACB" w:rsidP="006E7A01">
      <w:pPr>
        <w:spacing w:after="0" w:line="240" w:lineRule="auto"/>
        <w:jc w:val="both"/>
        <w:rPr>
          <w:rFonts w:ascii="Times New Roman" w:hAnsi="Times New Roman" w:cs="Times New Roman"/>
          <w:sz w:val="22"/>
          <w:szCs w:val="22"/>
          <w:lang w:val="en-GB"/>
        </w:rPr>
      </w:pPr>
    </w:p>
    <w:p w14:paraId="20DFFCA8" w14:textId="7E97B32B" w:rsidR="004F62BC" w:rsidRPr="000B323C" w:rsidRDefault="004F62BC" w:rsidP="006E7A01">
      <w:pPr>
        <w:spacing w:after="0" w:line="240" w:lineRule="auto"/>
        <w:jc w:val="both"/>
        <w:rPr>
          <w:rFonts w:ascii="Times New Roman" w:hAnsi="Times New Roman" w:cs="Times New Roman"/>
          <w:sz w:val="22"/>
          <w:szCs w:val="22"/>
        </w:rPr>
      </w:pPr>
      <w:r>
        <w:rPr>
          <w:rFonts w:ascii="Times New Roman" w:hAnsi="Times New Roman"/>
          <w:sz w:val="22"/>
        </w:rPr>
        <w:t>Le CESE, en collaboration avec la direction générale de la santé et de la sécurité alimentaire (DG SANTE) de la Commission européenne, a organisé une grande conférence intitulée «</w:t>
      </w:r>
      <w:r>
        <w:rPr>
          <w:rFonts w:ascii="Times New Roman" w:hAnsi="Times New Roman"/>
          <w:b/>
          <w:sz w:val="22"/>
        </w:rPr>
        <w:t xml:space="preserve"> </w:t>
      </w:r>
      <w:hyperlink r:id="rId70" w:history="1">
        <w:r>
          <w:rPr>
            <w:rStyle w:val="Hyperlink"/>
            <w:rFonts w:ascii="Times New Roman" w:hAnsi="Times New Roman"/>
            <w:i/>
            <w:sz w:val="22"/>
          </w:rPr>
          <w:t xml:space="preserve">Maladies rares dans </w:t>
        </w:r>
        <w:proofErr w:type="gramStart"/>
        <w:r>
          <w:rPr>
            <w:rStyle w:val="Hyperlink"/>
            <w:rFonts w:ascii="Times New Roman" w:hAnsi="Times New Roman"/>
            <w:i/>
            <w:sz w:val="22"/>
          </w:rPr>
          <w:t>l’UE:</w:t>
        </w:r>
        <w:proofErr w:type="gramEnd"/>
        <w:r>
          <w:rPr>
            <w:rStyle w:val="Hyperlink"/>
            <w:rFonts w:ascii="Times New Roman" w:hAnsi="Times New Roman"/>
            <w:i/>
            <w:sz w:val="22"/>
          </w:rPr>
          <w:t xml:space="preserve"> des actions conjointes pour façonner l’avenir des RER</w:t>
        </w:r>
      </w:hyperlink>
      <w:r>
        <w:rPr>
          <w:rFonts w:ascii="Times New Roman" w:hAnsi="Times New Roman"/>
          <w:sz w:val="22"/>
        </w:rPr>
        <w:t>» en mars 2024, sous les auspices de la présidence belge de l’UE à Bruxelles, en Belgique.</w:t>
      </w:r>
      <w:r>
        <w:rPr>
          <w:rFonts w:ascii="Times New Roman" w:hAnsi="Times New Roman"/>
        </w:rPr>
        <w:t xml:space="preserve"> </w:t>
      </w:r>
      <w:r>
        <w:rPr>
          <w:rFonts w:ascii="Times New Roman" w:hAnsi="Times New Roman"/>
          <w:sz w:val="22"/>
        </w:rPr>
        <w:t>La conférence a marqué la fin de la réunion de démarrage de l’action commune JARDIN de trois jours sur l’intégration des réseaux européens de référence (RER) dans les systèmes de santé nationaux.</w:t>
      </w:r>
    </w:p>
    <w:p w14:paraId="1CC16BB7" w14:textId="77777777" w:rsidR="00C17ACB" w:rsidRPr="000B323C" w:rsidRDefault="00C17ACB" w:rsidP="006E7A01">
      <w:pPr>
        <w:spacing w:after="0" w:line="240" w:lineRule="auto"/>
        <w:jc w:val="both"/>
        <w:rPr>
          <w:rFonts w:ascii="Times New Roman" w:hAnsi="Times New Roman" w:cs="Times New Roman"/>
          <w:sz w:val="22"/>
          <w:szCs w:val="22"/>
          <w:lang w:val="en-GB"/>
        </w:rPr>
      </w:pPr>
    </w:p>
    <w:p w14:paraId="5F35A762" w14:textId="714031A7" w:rsidR="004F62BC" w:rsidRPr="000B323C" w:rsidRDefault="00644C1C" w:rsidP="006E7A01">
      <w:pPr>
        <w:spacing w:after="0" w:line="240" w:lineRule="auto"/>
        <w:jc w:val="both"/>
        <w:rPr>
          <w:rFonts w:ascii="Times New Roman" w:hAnsi="Times New Roman" w:cs="Times New Roman"/>
          <w:bCs/>
          <w:sz w:val="22"/>
          <w:szCs w:val="22"/>
        </w:rPr>
      </w:pPr>
      <w:r>
        <w:rPr>
          <w:rFonts w:ascii="Times New Roman" w:hAnsi="Times New Roman"/>
          <w:sz w:val="22"/>
        </w:rPr>
        <w:t>Une autre conférence a été organisée en novembre 2024 à Budapest sous la présidence hongroise. Elle a mis en avant l’avis exploratoire du CESE intitulé «</w:t>
      </w:r>
      <w:hyperlink r:id="rId71" w:history="1">
        <w:r>
          <w:rPr>
            <w:rStyle w:val="Hyperlink"/>
            <w:rFonts w:ascii="Times New Roman" w:hAnsi="Times New Roman"/>
            <w:i/>
            <w:sz w:val="22"/>
          </w:rPr>
          <w:t>Ne laisser personne de côté: l’engagement européen en faveur de la lutte contre les maladies rares</w:t>
        </w:r>
      </w:hyperlink>
      <w:r>
        <w:rPr>
          <w:rFonts w:ascii="Times New Roman" w:hAnsi="Times New Roman"/>
          <w:sz w:val="22"/>
        </w:rPr>
        <w:t>», élaboré à la demande de la présidence hongroise du Conseil de l’Union européenne. Les principales recommandations des travaux du CESE ont été portées à l’attention du Conseil</w:t>
      </w:r>
      <w:proofErr w:type="gramStart"/>
      <w:r>
        <w:rPr>
          <w:rFonts w:ascii="Times New Roman" w:hAnsi="Times New Roman"/>
          <w:sz w:val="22"/>
        </w:rPr>
        <w:t xml:space="preserve"> «Emploi</w:t>
      </w:r>
      <w:proofErr w:type="gramEnd"/>
      <w:r>
        <w:rPr>
          <w:rFonts w:ascii="Times New Roman" w:hAnsi="Times New Roman"/>
          <w:sz w:val="22"/>
        </w:rPr>
        <w:t xml:space="preserve">, politique sociale, santé et </w:t>
      </w:r>
      <w:proofErr w:type="gramStart"/>
      <w:r>
        <w:rPr>
          <w:rFonts w:ascii="Times New Roman" w:hAnsi="Times New Roman"/>
          <w:sz w:val="22"/>
        </w:rPr>
        <w:t>consommateurs»</w:t>
      </w:r>
      <w:proofErr w:type="gramEnd"/>
      <w:r>
        <w:rPr>
          <w:rFonts w:ascii="Times New Roman" w:hAnsi="Times New Roman"/>
          <w:sz w:val="22"/>
        </w:rPr>
        <w:t xml:space="preserve"> (Conseil EPSCO) de décembre 2024</w:t>
      </w:r>
      <w:r>
        <w:rPr>
          <w:rFonts w:ascii="Times New Roman" w:hAnsi="Times New Roman"/>
        </w:rPr>
        <w:t>, qui, lors de sa réunion de juin 2024, a inclus dans ses conclusions une référence à l’élaboration d’un plan d’action de l’UE sur les maladies rares.</w:t>
      </w:r>
    </w:p>
    <w:p w14:paraId="35D19E63" w14:textId="77777777" w:rsidR="00C17ACB" w:rsidRPr="0096433C" w:rsidRDefault="00C17ACB" w:rsidP="006E7A01">
      <w:pPr>
        <w:spacing w:after="0" w:line="240" w:lineRule="auto"/>
        <w:jc w:val="both"/>
        <w:rPr>
          <w:rFonts w:ascii="Times New Roman" w:hAnsi="Times New Roman" w:cs="Times New Roman"/>
          <w:bCs/>
          <w:sz w:val="22"/>
          <w:szCs w:val="22"/>
          <w:lang w:val="fr-BE"/>
        </w:rPr>
      </w:pPr>
    </w:p>
    <w:p w14:paraId="008F2859" w14:textId="47DAE675" w:rsidR="004F62BC" w:rsidRPr="000B323C" w:rsidRDefault="004F62BC" w:rsidP="006E7A01">
      <w:pPr>
        <w:spacing w:after="0" w:line="240" w:lineRule="auto"/>
        <w:jc w:val="both"/>
        <w:rPr>
          <w:rFonts w:ascii="Times New Roman" w:hAnsi="Times New Roman" w:cs="Times New Roman"/>
          <w:bCs/>
          <w:sz w:val="22"/>
          <w:szCs w:val="22"/>
        </w:rPr>
      </w:pPr>
      <w:r>
        <w:rPr>
          <w:rFonts w:ascii="Times New Roman" w:hAnsi="Times New Roman"/>
          <w:sz w:val="22"/>
        </w:rPr>
        <w:t>Durant la présidence polonaise, une conférence intitulée «</w:t>
      </w:r>
      <w:r>
        <w:rPr>
          <w:rFonts w:ascii="Times New Roman" w:hAnsi="Times New Roman"/>
        </w:rPr>
        <w:t xml:space="preserve"> </w:t>
      </w:r>
      <w:hyperlink r:id="rId72" w:history="1">
        <w:proofErr w:type="spellStart"/>
        <w:r>
          <w:rPr>
            <w:rStyle w:val="Hyperlink"/>
            <w:rFonts w:ascii="Times New Roman" w:hAnsi="Times New Roman"/>
            <w:i/>
            <w:sz w:val="22"/>
          </w:rPr>
          <w:t>Towards</w:t>
        </w:r>
        <w:proofErr w:type="spellEnd"/>
        <w:r>
          <w:rPr>
            <w:rStyle w:val="Hyperlink"/>
            <w:rFonts w:ascii="Times New Roman" w:hAnsi="Times New Roman"/>
            <w:i/>
            <w:sz w:val="22"/>
          </w:rPr>
          <w:t xml:space="preserve"> an EU Action Plan on Rare </w:t>
        </w:r>
        <w:proofErr w:type="spellStart"/>
        <w:proofErr w:type="gramStart"/>
        <w:r>
          <w:rPr>
            <w:rStyle w:val="Hyperlink"/>
            <w:rFonts w:ascii="Times New Roman" w:hAnsi="Times New Roman"/>
            <w:i/>
            <w:sz w:val="22"/>
          </w:rPr>
          <w:t>Diseases</w:t>
        </w:r>
        <w:proofErr w:type="spellEnd"/>
        <w:r>
          <w:rPr>
            <w:rStyle w:val="Hyperlink"/>
            <w:rFonts w:ascii="Times New Roman" w:hAnsi="Times New Roman"/>
            <w:i/>
            <w:sz w:val="22"/>
          </w:rPr>
          <w:t>:</w:t>
        </w:r>
        <w:proofErr w:type="gramEnd"/>
        <w:r>
          <w:rPr>
            <w:rStyle w:val="Hyperlink"/>
            <w:rFonts w:ascii="Times New Roman" w:hAnsi="Times New Roman"/>
            <w:i/>
            <w:sz w:val="22"/>
          </w:rPr>
          <w:t xml:space="preserve"> National Plans and </w:t>
        </w:r>
        <w:proofErr w:type="spellStart"/>
        <w:r>
          <w:rPr>
            <w:rStyle w:val="Hyperlink"/>
            <w:rFonts w:ascii="Times New Roman" w:hAnsi="Times New Roman"/>
            <w:i/>
            <w:sz w:val="22"/>
          </w:rPr>
          <w:t>European</w:t>
        </w:r>
        <w:proofErr w:type="spellEnd"/>
        <w:r>
          <w:rPr>
            <w:rStyle w:val="Hyperlink"/>
            <w:rFonts w:ascii="Times New Roman" w:hAnsi="Times New Roman"/>
            <w:i/>
            <w:sz w:val="22"/>
          </w:rPr>
          <w:t xml:space="preserve"> </w:t>
        </w:r>
        <w:proofErr w:type="spellStart"/>
        <w:r>
          <w:rPr>
            <w:rStyle w:val="Hyperlink"/>
            <w:rFonts w:ascii="Times New Roman" w:hAnsi="Times New Roman"/>
            <w:i/>
            <w:sz w:val="22"/>
          </w:rPr>
          <w:t>Cooperation</w:t>
        </w:r>
        <w:proofErr w:type="spellEnd"/>
      </w:hyperlink>
      <w:r>
        <w:rPr>
          <w:rFonts w:ascii="Times New Roman" w:hAnsi="Times New Roman"/>
          <w:sz w:val="22"/>
        </w:rPr>
        <w:t xml:space="preserve">» (Vers un plan d’action de l’UE sur les maladies </w:t>
      </w:r>
      <w:proofErr w:type="gramStart"/>
      <w:r>
        <w:rPr>
          <w:rFonts w:ascii="Times New Roman" w:hAnsi="Times New Roman"/>
          <w:sz w:val="22"/>
        </w:rPr>
        <w:t>rares:</w:t>
      </w:r>
      <w:proofErr w:type="gramEnd"/>
      <w:r>
        <w:rPr>
          <w:rFonts w:ascii="Times New Roman" w:hAnsi="Times New Roman"/>
          <w:sz w:val="22"/>
        </w:rPr>
        <w:t xml:space="preserve"> plans nationaux et coopération européenne) a eu lieu en avril 2025 à l’université médicale de Varsovie, en Pologne. Organisé sous les auspices de la présidence polonaise du Conseil de l’Union européenne, cet </w:t>
      </w:r>
      <w:r>
        <w:rPr>
          <w:rFonts w:ascii="Times New Roman" w:hAnsi="Times New Roman"/>
          <w:sz w:val="22"/>
        </w:rPr>
        <w:lastRenderedPageBreak/>
        <w:t>événement a marqué une étape importante dans l’élaboration d’une stratégie européenne globale sur les maladies rares.</w:t>
      </w:r>
    </w:p>
    <w:p w14:paraId="7352E9D1" w14:textId="77777777" w:rsidR="00C17ACB" w:rsidRPr="000B323C" w:rsidRDefault="00C17ACB" w:rsidP="006E7A01">
      <w:pPr>
        <w:spacing w:after="0" w:line="240" w:lineRule="auto"/>
        <w:jc w:val="both"/>
        <w:rPr>
          <w:rFonts w:ascii="Times New Roman" w:hAnsi="Times New Roman" w:cs="Times New Roman"/>
          <w:bCs/>
          <w:sz w:val="22"/>
          <w:szCs w:val="22"/>
          <w:lang w:val="en-GB"/>
        </w:rPr>
      </w:pPr>
    </w:p>
    <w:p w14:paraId="21FF538B" w14:textId="401E57A5" w:rsidR="004F62BC" w:rsidRPr="000B323C" w:rsidRDefault="004F62BC" w:rsidP="006E7A01">
      <w:pPr>
        <w:spacing w:after="0" w:line="240" w:lineRule="auto"/>
        <w:jc w:val="both"/>
        <w:rPr>
          <w:rFonts w:ascii="Times New Roman" w:hAnsi="Times New Roman" w:cs="Times New Roman"/>
          <w:sz w:val="22"/>
          <w:szCs w:val="22"/>
        </w:rPr>
      </w:pPr>
      <w:r>
        <w:rPr>
          <w:rFonts w:ascii="Times New Roman" w:hAnsi="Times New Roman"/>
          <w:sz w:val="22"/>
        </w:rPr>
        <w:t xml:space="preserve">À la demande de la présidence danoise du Conseil de l’Union européenne, le CESE prépare actuellement un avis exploratoire intitulé </w:t>
      </w:r>
      <w:hyperlink r:id="rId73" w:history="1">
        <w:r>
          <w:rPr>
            <w:rStyle w:val="Hyperlink"/>
            <w:rFonts w:ascii="Times New Roman" w:hAnsi="Times New Roman"/>
            <w:i/>
            <w:sz w:val="22"/>
          </w:rPr>
          <w:t>IA, mégadonnées et maladies rares</w:t>
        </w:r>
      </w:hyperlink>
      <w:r>
        <w:rPr>
          <w:rFonts w:ascii="Times New Roman" w:hAnsi="Times New Roman"/>
          <w:sz w:val="22"/>
        </w:rPr>
        <w:t>. Durant la présidence danoise, un événement intitulé «</w:t>
      </w:r>
      <w:hyperlink r:id="rId74" w:history="1">
        <w:r>
          <w:rPr>
            <w:rStyle w:val="Hyperlink"/>
            <w:rFonts w:ascii="Times New Roman" w:hAnsi="Times New Roman"/>
            <w:i/>
            <w:sz w:val="22"/>
          </w:rPr>
          <w:t xml:space="preserve">AI Implications on </w:t>
        </w:r>
        <w:proofErr w:type="spellStart"/>
        <w:r>
          <w:rPr>
            <w:rStyle w:val="Hyperlink"/>
            <w:rFonts w:ascii="Times New Roman" w:hAnsi="Times New Roman"/>
            <w:i/>
            <w:sz w:val="22"/>
          </w:rPr>
          <w:t>European</w:t>
        </w:r>
        <w:proofErr w:type="spellEnd"/>
        <w:r>
          <w:rPr>
            <w:rStyle w:val="Hyperlink"/>
            <w:rFonts w:ascii="Times New Roman" w:hAnsi="Times New Roman"/>
            <w:i/>
            <w:sz w:val="22"/>
          </w:rPr>
          <w:t xml:space="preserve"> Union Civil </w:t>
        </w:r>
        <w:proofErr w:type="gramStart"/>
        <w:r>
          <w:rPr>
            <w:rStyle w:val="Hyperlink"/>
            <w:rFonts w:ascii="Times New Roman" w:hAnsi="Times New Roman"/>
            <w:i/>
            <w:sz w:val="22"/>
          </w:rPr>
          <w:t>Society:</w:t>
        </w:r>
        <w:proofErr w:type="gramEnd"/>
        <w:r>
          <w:rPr>
            <w:rStyle w:val="Hyperlink"/>
            <w:rFonts w:ascii="Times New Roman" w:hAnsi="Times New Roman"/>
            <w:i/>
            <w:sz w:val="22"/>
          </w:rPr>
          <w:t xml:space="preserve"> Perspectives </w:t>
        </w:r>
        <w:proofErr w:type="spellStart"/>
        <w:r>
          <w:rPr>
            <w:rStyle w:val="Hyperlink"/>
            <w:rFonts w:ascii="Times New Roman" w:hAnsi="Times New Roman"/>
            <w:i/>
            <w:sz w:val="22"/>
          </w:rPr>
          <w:t>from</w:t>
        </w:r>
        <w:proofErr w:type="spellEnd"/>
        <w:r>
          <w:rPr>
            <w:rStyle w:val="Hyperlink"/>
            <w:rFonts w:ascii="Times New Roman" w:hAnsi="Times New Roman"/>
            <w:i/>
            <w:sz w:val="22"/>
          </w:rPr>
          <w:t xml:space="preserve"> </w:t>
        </w:r>
        <w:proofErr w:type="spellStart"/>
        <w:r>
          <w:rPr>
            <w:rStyle w:val="Hyperlink"/>
            <w:rFonts w:ascii="Times New Roman" w:hAnsi="Times New Roman"/>
            <w:i/>
            <w:sz w:val="22"/>
          </w:rPr>
          <w:t>Denmark</w:t>
        </w:r>
        <w:proofErr w:type="spellEnd"/>
      </w:hyperlink>
      <w:r>
        <w:rPr>
          <w:rFonts w:ascii="Times New Roman" w:hAnsi="Times New Roman"/>
          <w:sz w:val="22"/>
        </w:rPr>
        <w:t xml:space="preserve">» (Implications de l’IA sur la société civile </w:t>
      </w:r>
      <w:proofErr w:type="gramStart"/>
      <w:r>
        <w:rPr>
          <w:rFonts w:ascii="Times New Roman" w:hAnsi="Times New Roman"/>
          <w:sz w:val="22"/>
        </w:rPr>
        <w:t>européenne:</w:t>
      </w:r>
      <w:proofErr w:type="gramEnd"/>
      <w:r>
        <w:rPr>
          <w:rFonts w:ascii="Times New Roman" w:hAnsi="Times New Roman"/>
          <w:sz w:val="22"/>
        </w:rPr>
        <w:t xml:space="preserve"> Perspectives selon le Danemark) sera organisé en coopération avec la Fondation Novo </w:t>
      </w:r>
      <w:proofErr w:type="spellStart"/>
      <w:r>
        <w:rPr>
          <w:rFonts w:ascii="Times New Roman" w:hAnsi="Times New Roman"/>
          <w:sz w:val="22"/>
        </w:rPr>
        <w:t>Nordisk</w:t>
      </w:r>
      <w:proofErr w:type="spellEnd"/>
      <w:r>
        <w:rPr>
          <w:rFonts w:ascii="Times New Roman" w:hAnsi="Times New Roman"/>
          <w:sz w:val="22"/>
        </w:rPr>
        <w:t xml:space="preserve"> et la Société danoise des ingénieurs (IDA). Il se déroulera sous les auspices de la présidence danoise du Conseil de l’Union européenne en septembre 2025 à </w:t>
      </w:r>
      <w:proofErr w:type="spellStart"/>
      <w:r>
        <w:rPr>
          <w:rFonts w:ascii="Times New Roman" w:hAnsi="Times New Roman"/>
          <w:sz w:val="22"/>
        </w:rPr>
        <w:t>Hellerup</w:t>
      </w:r>
      <w:proofErr w:type="spellEnd"/>
      <w:r>
        <w:rPr>
          <w:rFonts w:ascii="Times New Roman" w:hAnsi="Times New Roman"/>
          <w:sz w:val="22"/>
        </w:rPr>
        <w:t>, au Danemark.</w:t>
      </w:r>
    </w:p>
    <w:p w14:paraId="40B24955" w14:textId="58321101" w:rsidR="00A6737D" w:rsidRPr="000B323C" w:rsidRDefault="00A6737D" w:rsidP="006E7A01">
      <w:pPr>
        <w:spacing w:after="0" w:line="240" w:lineRule="auto"/>
        <w:jc w:val="both"/>
        <w:rPr>
          <w:rFonts w:ascii="Times New Roman" w:hAnsi="Times New Roman" w:cs="Times New Roman"/>
          <w:sz w:val="22"/>
          <w:szCs w:val="22"/>
          <w:lang w:val="en-GB"/>
        </w:rPr>
      </w:pPr>
    </w:p>
    <w:p w14:paraId="5936F2B6" w14:textId="7994EAB6" w:rsidR="00A57B74" w:rsidRPr="000B323C" w:rsidRDefault="00A57B74" w:rsidP="00F721A4">
      <w:pPr>
        <w:pStyle w:val="ListParagraph"/>
        <w:numPr>
          <w:ilvl w:val="0"/>
          <w:numId w:val="30"/>
        </w:numPr>
        <w:spacing w:after="0" w:line="240" w:lineRule="auto"/>
        <w:ind w:left="0" w:firstLine="0"/>
        <w:jc w:val="both"/>
        <w:rPr>
          <w:rFonts w:ascii="Times New Roman" w:hAnsi="Times New Roman" w:cs="Times New Roman"/>
          <w:bCs/>
          <w:sz w:val="22"/>
          <w:szCs w:val="22"/>
        </w:rPr>
      </w:pPr>
      <w:r>
        <w:rPr>
          <w:rFonts w:ascii="Times New Roman" w:hAnsi="Times New Roman"/>
          <w:sz w:val="22"/>
        </w:rPr>
        <w:t xml:space="preserve">Depuis des années, et en particulier au cours du dernier mandat, le CESE a travaillé de manière intensive sur la question du </w:t>
      </w:r>
      <w:r>
        <w:rPr>
          <w:rFonts w:ascii="Times New Roman" w:hAnsi="Times New Roman"/>
          <w:b/>
          <w:smallCaps/>
          <w:sz w:val="22"/>
        </w:rPr>
        <w:t>logement</w:t>
      </w:r>
      <w:r>
        <w:rPr>
          <w:rFonts w:ascii="Times New Roman" w:hAnsi="Times New Roman"/>
          <w:sz w:val="22"/>
        </w:rPr>
        <w:t xml:space="preserve"> en réponse à la crise actuelle que connaît ce secteur, plaidant en faveur d’un </w:t>
      </w:r>
      <w:r>
        <w:rPr>
          <w:rFonts w:ascii="Times New Roman" w:hAnsi="Times New Roman"/>
          <w:b/>
          <w:sz w:val="22"/>
        </w:rPr>
        <w:t>plan d’action européen du logement</w:t>
      </w:r>
      <w:r>
        <w:rPr>
          <w:rFonts w:ascii="Times New Roman" w:hAnsi="Times New Roman"/>
          <w:sz w:val="22"/>
        </w:rPr>
        <w:t>. Le plan sera finalement présenté par la Commission européenne, en principe dans le courant du premier trimestre de 2026, avec d’autres initiatives clés telles que la stratégie de construction de logements, une plateforme paneuropéenne d’investissement pour des logements abordables et durables, la révision des règles existantes en matière d’aides d’État et la mise en œuvre du Fonds social pour le climat.</w:t>
      </w:r>
    </w:p>
    <w:p w14:paraId="7BF221F7" w14:textId="77777777" w:rsidR="00BC1F32" w:rsidRPr="000B323C" w:rsidRDefault="00BC1F32" w:rsidP="006E7A01">
      <w:pPr>
        <w:spacing w:after="0" w:line="240" w:lineRule="auto"/>
        <w:jc w:val="both"/>
        <w:rPr>
          <w:rFonts w:ascii="Times New Roman" w:hAnsi="Times New Roman" w:cs="Times New Roman"/>
          <w:bCs/>
          <w:sz w:val="22"/>
          <w:szCs w:val="22"/>
          <w:lang w:val="en-GB"/>
        </w:rPr>
      </w:pPr>
    </w:p>
    <w:p w14:paraId="6442F4BD" w14:textId="3BE5C26D" w:rsidR="00A57B74" w:rsidRPr="000B323C" w:rsidRDefault="00A57B74" w:rsidP="006E7A01">
      <w:pPr>
        <w:spacing w:after="0" w:line="240" w:lineRule="auto"/>
        <w:jc w:val="both"/>
        <w:rPr>
          <w:rFonts w:ascii="Times New Roman" w:hAnsi="Times New Roman" w:cs="Times New Roman"/>
          <w:bCs/>
          <w:sz w:val="22"/>
          <w:szCs w:val="22"/>
        </w:rPr>
      </w:pPr>
      <w:r>
        <w:rPr>
          <w:rFonts w:ascii="Times New Roman" w:hAnsi="Times New Roman"/>
          <w:sz w:val="22"/>
        </w:rPr>
        <w:t xml:space="preserve">La stratégie de la section TEN en matière de logement s’est adressée à différentes parties prenantes et est intervenue de différentes </w:t>
      </w:r>
      <w:proofErr w:type="gramStart"/>
      <w:r>
        <w:rPr>
          <w:rFonts w:ascii="Times New Roman" w:hAnsi="Times New Roman"/>
          <w:sz w:val="22"/>
        </w:rPr>
        <w:t>manières:</w:t>
      </w:r>
      <w:proofErr w:type="gramEnd"/>
    </w:p>
    <w:p w14:paraId="78FEE257" w14:textId="77777777" w:rsidR="00BC1F32" w:rsidRPr="0096433C" w:rsidRDefault="00BC1F32" w:rsidP="006E7A01">
      <w:pPr>
        <w:spacing w:after="0" w:line="240" w:lineRule="auto"/>
        <w:jc w:val="both"/>
        <w:rPr>
          <w:rFonts w:ascii="Times New Roman" w:hAnsi="Times New Roman" w:cs="Times New Roman"/>
          <w:b/>
          <w:bCs/>
          <w:sz w:val="22"/>
          <w:szCs w:val="22"/>
          <w:lang w:val="fr-BE"/>
        </w:rPr>
      </w:pPr>
    </w:p>
    <w:p w14:paraId="77B3E8D9" w14:textId="2D38D98E" w:rsidR="00A57B74" w:rsidRPr="000B323C" w:rsidRDefault="00A57B74" w:rsidP="00D04734">
      <w:pPr>
        <w:keepNext/>
        <w:spacing w:after="0" w:line="240" w:lineRule="auto"/>
        <w:jc w:val="both"/>
        <w:rPr>
          <w:rFonts w:ascii="Times New Roman" w:hAnsi="Times New Roman" w:cs="Times New Roman"/>
          <w:b/>
          <w:bCs/>
          <w:sz w:val="22"/>
          <w:szCs w:val="22"/>
        </w:rPr>
      </w:pPr>
      <w:r>
        <w:rPr>
          <w:rFonts w:ascii="Times New Roman" w:hAnsi="Times New Roman"/>
          <w:b/>
          <w:sz w:val="22"/>
        </w:rPr>
        <w:t>Apport de contributions au Conseil</w:t>
      </w:r>
    </w:p>
    <w:p w14:paraId="4BF8C624" w14:textId="77777777" w:rsidR="00A57B74" w:rsidRPr="000B323C" w:rsidRDefault="00A57B74" w:rsidP="002355C5">
      <w:pPr>
        <w:pStyle w:val="ListParagraph"/>
        <w:numPr>
          <w:ilvl w:val="0"/>
          <w:numId w:val="8"/>
        </w:numPr>
        <w:spacing w:after="0" w:line="240" w:lineRule="auto"/>
        <w:ind w:left="284" w:hanging="284"/>
        <w:jc w:val="both"/>
        <w:rPr>
          <w:rFonts w:ascii="Times New Roman" w:hAnsi="Times New Roman" w:cs="Times New Roman"/>
          <w:iCs/>
          <w:sz w:val="22"/>
          <w:szCs w:val="22"/>
        </w:rPr>
      </w:pPr>
      <w:r>
        <w:rPr>
          <w:rFonts w:ascii="Times New Roman" w:hAnsi="Times New Roman"/>
          <w:sz w:val="22"/>
        </w:rPr>
        <w:t xml:space="preserve">À partir de novembre 2023, le Comité a contribué, par ses principales recommandations, aux travaux de la </w:t>
      </w:r>
      <w:r>
        <w:rPr>
          <w:rFonts w:ascii="Times New Roman" w:hAnsi="Times New Roman"/>
          <w:b/>
          <w:sz w:val="22"/>
        </w:rPr>
        <w:t>réunion informelle des ministres sur le logement sous la présidence espagnole</w:t>
      </w:r>
      <w:r>
        <w:rPr>
          <w:rFonts w:ascii="Times New Roman" w:hAnsi="Times New Roman"/>
          <w:sz w:val="22"/>
        </w:rPr>
        <w:t xml:space="preserve"> du Conseil de l’Union européenne (Gijón, 13-14 novembre 2023). </w:t>
      </w:r>
    </w:p>
    <w:p w14:paraId="21D62FEB" w14:textId="724085A4" w:rsidR="00A57B74" w:rsidRPr="000B323C" w:rsidRDefault="003C1DBC" w:rsidP="002355C5">
      <w:pPr>
        <w:pStyle w:val="ListParagraph"/>
        <w:numPr>
          <w:ilvl w:val="0"/>
          <w:numId w:val="8"/>
        </w:numPr>
        <w:spacing w:after="0" w:line="240" w:lineRule="auto"/>
        <w:ind w:left="284" w:hanging="284"/>
        <w:jc w:val="both"/>
        <w:rPr>
          <w:rFonts w:ascii="Times New Roman" w:hAnsi="Times New Roman" w:cs="Times New Roman"/>
          <w:sz w:val="22"/>
          <w:szCs w:val="22"/>
        </w:rPr>
      </w:pPr>
      <w:r>
        <w:rPr>
          <w:rFonts w:ascii="Times New Roman" w:hAnsi="Times New Roman"/>
          <w:sz w:val="22"/>
        </w:rPr>
        <w:t xml:space="preserve">Le Comité a présenté ses recommandations à Liège le 5 mars 2024 lors de la </w:t>
      </w:r>
      <w:r>
        <w:rPr>
          <w:rFonts w:ascii="Times New Roman" w:hAnsi="Times New Roman"/>
          <w:b/>
          <w:sz w:val="22"/>
        </w:rPr>
        <w:t>conférence européenne des ministres du logement</w:t>
      </w:r>
      <w:r>
        <w:rPr>
          <w:rFonts w:ascii="Times New Roman" w:hAnsi="Times New Roman"/>
          <w:i/>
          <w:sz w:val="22"/>
        </w:rPr>
        <w:t xml:space="preserve"> </w:t>
      </w:r>
      <w:r>
        <w:rPr>
          <w:rFonts w:ascii="Times New Roman" w:hAnsi="Times New Roman"/>
          <w:b/>
          <w:sz w:val="22"/>
        </w:rPr>
        <w:t>organisée sous la présidence belge</w:t>
      </w:r>
      <w:r>
        <w:rPr>
          <w:rFonts w:ascii="Times New Roman" w:hAnsi="Times New Roman"/>
          <w:sz w:val="22"/>
        </w:rPr>
        <w:t xml:space="preserve"> du Conseil de l’Union européenne.</w:t>
      </w:r>
    </w:p>
    <w:p w14:paraId="30F8FFDF" w14:textId="7772C47B" w:rsidR="00A57B74" w:rsidRPr="000B323C" w:rsidRDefault="00A57B74" w:rsidP="002355C5">
      <w:pPr>
        <w:pStyle w:val="ListParagraph"/>
        <w:numPr>
          <w:ilvl w:val="0"/>
          <w:numId w:val="8"/>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 xml:space="preserve">Le 6 mars à Varsovie, le groupe permanent sur les services d’intérêt général a organisé un </w:t>
      </w:r>
      <w:hyperlink r:id="rId75" w:history="1">
        <w:r>
          <w:rPr>
            <w:rStyle w:val="Hyperlink"/>
            <w:rFonts w:ascii="Times New Roman" w:hAnsi="Times New Roman"/>
            <w:sz w:val="22"/>
          </w:rPr>
          <w:t>séminaire</w:t>
        </w:r>
      </w:hyperlink>
      <w:r>
        <w:rPr>
          <w:rFonts w:ascii="Times New Roman" w:hAnsi="Times New Roman"/>
          <w:sz w:val="22"/>
        </w:rPr>
        <w:t xml:space="preserve"> avec l’université Korczak et le comité polonais de l’EAPN sur les services d’intérêt général liés au logement, </w:t>
      </w:r>
      <w:r>
        <w:rPr>
          <w:rFonts w:ascii="Times New Roman" w:hAnsi="Times New Roman"/>
          <w:b/>
          <w:sz w:val="22"/>
        </w:rPr>
        <w:t>sous le patronage de la présidence polonaise</w:t>
      </w:r>
      <w:r>
        <w:rPr>
          <w:rFonts w:ascii="Times New Roman" w:hAnsi="Times New Roman"/>
          <w:sz w:val="22"/>
        </w:rPr>
        <w:t xml:space="preserve"> du Conseil de l’Union européenne.</w:t>
      </w:r>
    </w:p>
    <w:p w14:paraId="5B7CDC03" w14:textId="3053CB02" w:rsidR="00A57B74" w:rsidRPr="000B323C" w:rsidRDefault="003C1DBC" w:rsidP="002355C5">
      <w:pPr>
        <w:pStyle w:val="ListParagraph"/>
        <w:numPr>
          <w:ilvl w:val="0"/>
          <w:numId w:val="8"/>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 xml:space="preserve">À la demande de la </w:t>
      </w:r>
      <w:r>
        <w:rPr>
          <w:rFonts w:ascii="Times New Roman" w:hAnsi="Times New Roman"/>
          <w:b/>
          <w:sz w:val="22"/>
        </w:rPr>
        <w:t>présidence danoise du Conseil</w:t>
      </w:r>
      <w:r>
        <w:rPr>
          <w:rFonts w:ascii="Times New Roman" w:hAnsi="Times New Roman"/>
          <w:sz w:val="22"/>
        </w:rPr>
        <w:t xml:space="preserve"> de l’Union européenne, un </w:t>
      </w:r>
      <w:hyperlink r:id="rId76" w:history="1">
        <w:r>
          <w:rPr>
            <w:rStyle w:val="Hyperlink"/>
            <w:rFonts w:ascii="Times New Roman" w:hAnsi="Times New Roman"/>
            <w:b/>
            <w:sz w:val="22"/>
          </w:rPr>
          <w:t>avis exploratoire</w:t>
        </w:r>
        <w:r>
          <w:rPr>
            <w:rStyle w:val="Hyperlink"/>
            <w:rFonts w:ascii="Times New Roman" w:hAnsi="Times New Roman"/>
            <w:sz w:val="22"/>
          </w:rPr>
          <w:t xml:space="preserve"> «</w:t>
        </w:r>
        <w:r>
          <w:rPr>
            <w:rStyle w:val="Hyperlink"/>
            <w:rFonts w:ascii="Times New Roman" w:hAnsi="Times New Roman"/>
            <w:b/>
            <w:i/>
            <w:sz w:val="22"/>
          </w:rPr>
          <w:t>Vers un plan européen pour des logements abordables — la contribution de la société civile</w:t>
        </w:r>
        <w:r>
          <w:rPr>
            <w:rStyle w:val="Hyperlink"/>
            <w:rFonts w:ascii="Times New Roman" w:hAnsi="Times New Roman"/>
            <w:sz w:val="22"/>
          </w:rPr>
          <w:t>»</w:t>
        </w:r>
      </w:hyperlink>
      <w:r>
        <w:rPr>
          <w:rFonts w:ascii="Times New Roman" w:hAnsi="Times New Roman"/>
          <w:b/>
          <w:i/>
          <w:sz w:val="22"/>
        </w:rPr>
        <w:t xml:space="preserve"> </w:t>
      </w:r>
      <w:r>
        <w:rPr>
          <w:rFonts w:ascii="Times New Roman" w:hAnsi="Times New Roman"/>
          <w:sz w:val="22"/>
        </w:rPr>
        <w:t xml:space="preserve">sera élaboré d’ici septembre 2025 sur le thème de la crise actuelle du logement. </w:t>
      </w:r>
    </w:p>
    <w:p w14:paraId="10432E51" w14:textId="243D4C31" w:rsidR="00A57B74" w:rsidRPr="000B323C" w:rsidRDefault="00A57B74" w:rsidP="002355C5">
      <w:pPr>
        <w:pStyle w:val="ListParagraph"/>
        <w:numPr>
          <w:ilvl w:val="0"/>
          <w:numId w:val="8"/>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 xml:space="preserve">En tant que jalon essentiel de la stratégie de la section TEN, les recommandations du CESE alimenteront la prochaine </w:t>
      </w:r>
      <w:r>
        <w:rPr>
          <w:rFonts w:ascii="Times New Roman" w:hAnsi="Times New Roman"/>
          <w:b/>
          <w:sz w:val="22"/>
        </w:rPr>
        <w:t>conférence de haut niveau sur un logement abordable et durable, organisée par la</w:t>
      </w:r>
      <w:r>
        <w:rPr>
          <w:rFonts w:ascii="Times New Roman" w:hAnsi="Times New Roman"/>
          <w:sz w:val="22"/>
        </w:rPr>
        <w:t xml:space="preserve"> </w:t>
      </w:r>
      <w:r>
        <w:rPr>
          <w:rFonts w:ascii="Times New Roman" w:hAnsi="Times New Roman"/>
          <w:b/>
          <w:sz w:val="22"/>
        </w:rPr>
        <w:t>présidence danoise du Conseil de l’Union européenne</w:t>
      </w:r>
      <w:r>
        <w:rPr>
          <w:rFonts w:ascii="Times New Roman" w:hAnsi="Times New Roman"/>
          <w:sz w:val="22"/>
        </w:rPr>
        <w:t xml:space="preserve"> les 29 et 30 septembre 2025 à Copenhague</w:t>
      </w:r>
      <w:r>
        <w:rPr>
          <w:rFonts w:ascii="Times New Roman" w:hAnsi="Times New Roman"/>
          <w:b/>
          <w:sz w:val="22"/>
        </w:rPr>
        <w:t>.</w:t>
      </w:r>
    </w:p>
    <w:p w14:paraId="5EA0B0CA" w14:textId="77777777" w:rsidR="00A57B74" w:rsidRPr="000B323C" w:rsidRDefault="00A57B74" w:rsidP="006E7A01">
      <w:pPr>
        <w:pStyle w:val="ListParagraph"/>
        <w:spacing w:after="0" w:line="240" w:lineRule="auto"/>
        <w:ind w:left="0"/>
        <w:jc w:val="both"/>
        <w:rPr>
          <w:rFonts w:ascii="Times New Roman" w:hAnsi="Times New Roman" w:cs="Times New Roman"/>
          <w:bCs/>
          <w:sz w:val="22"/>
          <w:szCs w:val="22"/>
          <w:lang w:val="en-GB"/>
        </w:rPr>
      </w:pPr>
    </w:p>
    <w:p w14:paraId="7C5492D1" w14:textId="77777777" w:rsidR="00A57B74" w:rsidRPr="000B323C" w:rsidRDefault="00A57B74" w:rsidP="006E7A01">
      <w:pPr>
        <w:spacing w:after="0" w:line="240" w:lineRule="auto"/>
        <w:jc w:val="both"/>
        <w:rPr>
          <w:rFonts w:ascii="Times New Roman" w:hAnsi="Times New Roman" w:cs="Times New Roman"/>
          <w:b/>
          <w:bCs/>
          <w:iCs/>
          <w:sz w:val="22"/>
          <w:szCs w:val="22"/>
        </w:rPr>
      </w:pPr>
      <w:r>
        <w:rPr>
          <w:rFonts w:ascii="Times New Roman" w:hAnsi="Times New Roman"/>
          <w:b/>
          <w:sz w:val="22"/>
        </w:rPr>
        <w:t>Organisation de ses propres conférences</w:t>
      </w:r>
    </w:p>
    <w:p w14:paraId="5391615F" w14:textId="500D73BC" w:rsidR="00A57B74" w:rsidRPr="000B323C" w:rsidRDefault="00A57B74" w:rsidP="002355C5">
      <w:pPr>
        <w:pStyle w:val="ListParagraph"/>
        <w:numPr>
          <w:ilvl w:val="0"/>
          <w:numId w:val="9"/>
        </w:numPr>
        <w:spacing w:after="0" w:line="240" w:lineRule="auto"/>
        <w:ind w:left="284" w:hanging="284"/>
        <w:jc w:val="both"/>
        <w:rPr>
          <w:rFonts w:ascii="Times New Roman" w:hAnsi="Times New Roman" w:cs="Times New Roman"/>
          <w:iCs/>
          <w:sz w:val="22"/>
          <w:szCs w:val="22"/>
        </w:rPr>
      </w:pPr>
      <w:r>
        <w:rPr>
          <w:rFonts w:ascii="Times New Roman" w:hAnsi="Times New Roman"/>
          <w:sz w:val="22"/>
        </w:rPr>
        <w:t>Conférence du CESE sur «</w:t>
      </w:r>
      <w:hyperlink r:id="rId77" w:history="1">
        <w:r>
          <w:rPr>
            <w:rStyle w:val="Hyperlink"/>
            <w:rFonts w:ascii="Times New Roman" w:hAnsi="Times New Roman"/>
            <w:sz w:val="22"/>
          </w:rPr>
          <w:t xml:space="preserve">La crise du logement en Europe — la voie à </w:t>
        </w:r>
        <w:proofErr w:type="gramStart"/>
        <w:r>
          <w:rPr>
            <w:rStyle w:val="Hyperlink"/>
            <w:rFonts w:ascii="Times New Roman" w:hAnsi="Times New Roman"/>
            <w:sz w:val="22"/>
          </w:rPr>
          <w:t>suivre?</w:t>
        </w:r>
        <w:proofErr w:type="gramEnd"/>
      </w:hyperlink>
      <w:r>
        <w:rPr>
          <w:rFonts w:ascii="Times New Roman" w:hAnsi="Times New Roman"/>
          <w:sz w:val="22"/>
        </w:rPr>
        <w:t>», tenue à Bruxelles le 20 février 2024.</w:t>
      </w:r>
    </w:p>
    <w:p w14:paraId="0B5166B0" w14:textId="77777777" w:rsidR="00A57B74" w:rsidRPr="000B323C" w:rsidRDefault="000B323C" w:rsidP="002355C5">
      <w:pPr>
        <w:pStyle w:val="ListParagraph"/>
        <w:numPr>
          <w:ilvl w:val="0"/>
          <w:numId w:val="9"/>
        </w:numPr>
        <w:spacing w:after="0" w:line="240" w:lineRule="auto"/>
        <w:ind w:left="284" w:hanging="284"/>
        <w:jc w:val="both"/>
        <w:rPr>
          <w:rFonts w:ascii="Times New Roman" w:hAnsi="Times New Roman" w:cs="Times New Roman"/>
          <w:bCs/>
          <w:sz w:val="22"/>
          <w:szCs w:val="22"/>
        </w:rPr>
      </w:pPr>
      <w:hyperlink r:id="rId78" w:history="1">
        <w:r>
          <w:rPr>
            <w:rStyle w:val="Hyperlink"/>
            <w:rFonts w:ascii="Times New Roman" w:hAnsi="Times New Roman"/>
            <w:sz w:val="22"/>
          </w:rPr>
          <w:t xml:space="preserve">Le </w:t>
        </w:r>
        <w:r>
          <w:rPr>
            <w:rStyle w:val="Hyperlink"/>
            <w:rFonts w:ascii="Times New Roman" w:hAnsi="Times New Roman"/>
            <w:b/>
            <w:sz w:val="22"/>
          </w:rPr>
          <w:t>tout premier forum du CESE sur le logement</w:t>
        </w:r>
      </w:hyperlink>
      <w:r>
        <w:rPr>
          <w:rFonts w:ascii="Times New Roman" w:hAnsi="Times New Roman"/>
          <w:sz w:val="22"/>
        </w:rPr>
        <w:t xml:space="preserve"> s’est tenu lors de la session plénière du Comité de décembre 2024, au cours de laquelle a été adopté l’avis d’initiative intitulé «</w:t>
      </w:r>
      <w:hyperlink r:id="rId79" w:history="1">
        <w:r>
          <w:rPr>
            <w:rStyle w:val="Hyperlink"/>
            <w:rFonts w:ascii="Times New Roman" w:hAnsi="Times New Roman"/>
            <w:i/>
            <w:sz w:val="22"/>
          </w:rPr>
          <w:t>Des logements sociaux décents, durables et abordables dans l’UE</w:t>
        </w:r>
      </w:hyperlink>
      <w:r>
        <w:rPr>
          <w:rFonts w:ascii="Times New Roman" w:hAnsi="Times New Roman"/>
          <w:sz w:val="22"/>
        </w:rPr>
        <w:t xml:space="preserve">». </w:t>
      </w:r>
    </w:p>
    <w:p w14:paraId="4CDD1400" w14:textId="77777777" w:rsidR="00A57B74" w:rsidRPr="000B323C" w:rsidRDefault="00A57B74" w:rsidP="002355C5">
      <w:pPr>
        <w:spacing w:after="0" w:line="240" w:lineRule="auto"/>
        <w:ind w:left="284" w:hanging="284"/>
        <w:jc w:val="both"/>
        <w:rPr>
          <w:rFonts w:ascii="Times New Roman" w:hAnsi="Times New Roman" w:cs="Times New Roman"/>
          <w:sz w:val="22"/>
          <w:szCs w:val="22"/>
          <w:lang w:val="en-GB"/>
        </w:rPr>
      </w:pPr>
    </w:p>
    <w:p w14:paraId="58552854" w14:textId="77777777" w:rsidR="00A57B74" w:rsidRPr="000B323C" w:rsidRDefault="00A57B74" w:rsidP="002355C5">
      <w:pPr>
        <w:spacing w:after="0" w:line="240" w:lineRule="auto"/>
        <w:ind w:left="284" w:hanging="284"/>
        <w:jc w:val="both"/>
        <w:rPr>
          <w:rFonts w:ascii="Times New Roman" w:hAnsi="Times New Roman" w:cs="Times New Roman"/>
          <w:b/>
          <w:bCs/>
          <w:sz w:val="22"/>
          <w:szCs w:val="22"/>
        </w:rPr>
      </w:pPr>
      <w:r>
        <w:rPr>
          <w:rFonts w:ascii="Times New Roman" w:hAnsi="Times New Roman"/>
          <w:b/>
          <w:sz w:val="22"/>
        </w:rPr>
        <w:t>Échanges avec les différents États membres</w:t>
      </w:r>
    </w:p>
    <w:p w14:paraId="55F900AC" w14:textId="199FCAE5" w:rsidR="00A57B74" w:rsidRPr="000B323C" w:rsidRDefault="00A57B74" w:rsidP="002355C5">
      <w:pPr>
        <w:pStyle w:val="ListParagraph"/>
        <w:numPr>
          <w:ilvl w:val="0"/>
          <w:numId w:val="10"/>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 xml:space="preserve">Les 12 et 13 juin 2024 à La Valette, le groupe permanent de la section TEN sur les services d’intérêt général a rencontré des représentants du ministère du logement social et abordable et de l’autorité du logement de </w:t>
      </w:r>
      <w:r>
        <w:rPr>
          <w:rFonts w:ascii="Times New Roman" w:hAnsi="Times New Roman"/>
          <w:b/>
          <w:sz w:val="22"/>
        </w:rPr>
        <w:t>Malte</w:t>
      </w:r>
      <w:r>
        <w:rPr>
          <w:rFonts w:ascii="Times New Roman" w:hAnsi="Times New Roman"/>
          <w:sz w:val="22"/>
        </w:rPr>
        <w:t xml:space="preserve">, de la société civile organisée maltaise et du Conseil pour le développement économique et social de Malte. </w:t>
      </w:r>
    </w:p>
    <w:p w14:paraId="0917A531" w14:textId="4789A645" w:rsidR="00BC1F32" w:rsidRPr="000B323C" w:rsidRDefault="00A57B74" w:rsidP="00F721A4">
      <w:pPr>
        <w:pStyle w:val="ListParagraph"/>
        <w:numPr>
          <w:ilvl w:val="0"/>
          <w:numId w:val="10"/>
        </w:numPr>
        <w:spacing w:after="0" w:line="240" w:lineRule="auto"/>
        <w:ind w:left="284" w:hanging="284"/>
        <w:jc w:val="both"/>
        <w:rPr>
          <w:rFonts w:ascii="Times New Roman" w:hAnsi="Times New Roman" w:cs="Times New Roman"/>
          <w:bCs/>
          <w:sz w:val="22"/>
          <w:szCs w:val="22"/>
        </w:rPr>
      </w:pPr>
      <w:r>
        <w:rPr>
          <w:rFonts w:ascii="Times New Roman" w:hAnsi="Times New Roman"/>
          <w:sz w:val="22"/>
        </w:rPr>
        <w:lastRenderedPageBreak/>
        <w:t xml:space="preserve">Le 20 septembre à Jūrmala, une délégation du CESE a fait entendre la voix de la société civile lors du </w:t>
      </w:r>
      <w:hyperlink r:id="rId80" w:history="1">
        <w:r>
          <w:rPr>
            <w:rStyle w:val="Hyperlink"/>
            <w:rFonts w:ascii="Times New Roman" w:hAnsi="Times New Roman"/>
            <w:b/>
            <w:sz w:val="22"/>
          </w:rPr>
          <w:t>forum letton intitulé</w:t>
        </w:r>
        <w:proofErr w:type="gramStart"/>
        <w:r>
          <w:rPr>
            <w:rStyle w:val="Hyperlink"/>
            <w:rFonts w:ascii="Times New Roman" w:hAnsi="Times New Roman"/>
            <w:b/>
            <w:sz w:val="22"/>
          </w:rPr>
          <w:t xml:space="preserve"> «</w:t>
        </w:r>
        <w:r>
          <w:rPr>
            <w:rStyle w:val="Hyperlink"/>
            <w:rFonts w:ascii="Times New Roman" w:hAnsi="Times New Roman"/>
            <w:b/>
            <w:i/>
            <w:sz w:val="22"/>
          </w:rPr>
          <w:t>Smart</w:t>
        </w:r>
        <w:proofErr w:type="gramEnd"/>
        <w:r>
          <w:rPr>
            <w:rStyle w:val="Hyperlink"/>
            <w:rFonts w:ascii="Times New Roman" w:hAnsi="Times New Roman"/>
            <w:b/>
            <w:i/>
            <w:sz w:val="22"/>
          </w:rPr>
          <w:t xml:space="preserve">, Energy-Efficient, and Accessible Housing </w:t>
        </w:r>
        <w:proofErr w:type="gramStart"/>
        <w:r>
          <w:rPr>
            <w:rStyle w:val="Hyperlink"/>
            <w:rFonts w:ascii="Times New Roman" w:hAnsi="Times New Roman"/>
            <w:b/>
            <w:i/>
            <w:sz w:val="22"/>
          </w:rPr>
          <w:t>Future</w:t>
        </w:r>
        <w:r>
          <w:rPr>
            <w:rStyle w:val="Hyperlink"/>
            <w:rFonts w:ascii="Times New Roman" w:hAnsi="Times New Roman"/>
            <w:b/>
            <w:sz w:val="22"/>
          </w:rPr>
          <w:t>»</w:t>
        </w:r>
        <w:proofErr w:type="gramEnd"/>
      </w:hyperlink>
      <w:r>
        <w:rPr>
          <w:rFonts w:ascii="Times New Roman" w:hAnsi="Times New Roman"/>
          <w:sz w:val="22"/>
        </w:rPr>
        <w:t xml:space="preserve"> (L’avenir du logement intelligent, économe en énergie et accessible), une conférence coorganisée avec le ministère letton de l’économie.</w:t>
      </w:r>
    </w:p>
    <w:p w14:paraId="1C8EA6E9" w14:textId="77777777" w:rsidR="00A57B74" w:rsidRPr="0096433C" w:rsidRDefault="00A57B74" w:rsidP="006E7A01">
      <w:pPr>
        <w:spacing w:after="0" w:line="240" w:lineRule="auto"/>
        <w:jc w:val="both"/>
        <w:rPr>
          <w:rFonts w:ascii="Times New Roman" w:hAnsi="Times New Roman" w:cs="Times New Roman"/>
          <w:bCs/>
          <w:sz w:val="22"/>
          <w:szCs w:val="22"/>
          <w:lang w:val="fr-BE"/>
        </w:rPr>
      </w:pPr>
    </w:p>
    <w:p w14:paraId="6B28F3E2" w14:textId="67134E5D" w:rsidR="00A57B74" w:rsidRPr="000B323C" w:rsidRDefault="00A57B74" w:rsidP="006E7A01">
      <w:pPr>
        <w:spacing w:after="0" w:line="240" w:lineRule="auto"/>
        <w:jc w:val="both"/>
        <w:rPr>
          <w:rFonts w:ascii="Times New Roman" w:hAnsi="Times New Roman" w:cs="Times New Roman"/>
          <w:b/>
          <w:sz w:val="22"/>
          <w:szCs w:val="22"/>
        </w:rPr>
      </w:pPr>
      <w:r>
        <w:rPr>
          <w:rFonts w:ascii="Times New Roman" w:hAnsi="Times New Roman"/>
          <w:b/>
          <w:sz w:val="22"/>
        </w:rPr>
        <w:t>Collaboration au sein du CESE selon une approche transversale</w:t>
      </w:r>
    </w:p>
    <w:p w14:paraId="1D210FF4" w14:textId="77777777" w:rsidR="00A57B74" w:rsidRPr="000B323C" w:rsidRDefault="00A57B74" w:rsidP="002355C5">
      <w:pPr>
        <w:pStyle w:val="ListParagraph"/>
        <w:numPr>
          <w:ilvl w:val="0"/>
          <w:numId w:val="11"/>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 xml:space="preserve">Lors de la </w:t>
      </w:r>
      <w:r>
        <w:rPr>
          <w:rFonts w:ascii="Times New Roman" w:hAnsi="Times New Roman"/>
          <w:b/>
          <w:sz w:val="22"/>
        </w:rPr>
        <w:t>réunion du groupe de liaison</w:t>
      </w:r>
      <w:r>
        <w:rPr>
          <w:rFonts w:ascii="Times New Roman" w:hAnsi="Times New Roman"/>
          <w:sz w:val="22"/>
        </w:rPr>
        <w:t xml:space="preserve"> d’octobre 2024, M</w:t>
      </w:r>
      <w:r>
        <w:rPr>
          <w:rFonts w:ascii="Times New Roman" w:hAnsi="Times New Roman"/>
          <w:sz w:val="22"/>
          <w:vertAlign w:val="superscript"/>
        </w:rPr>
        <w:t>me</w:t>
      </w:r>
      <w:r>
        <w:rPr>
          <w:rFonts w:ascii="Times New Roman" w:hAnsi="Times New Roman"/>
          <w:sz w:val="22"/>
        </w:rPr>
        <w:t> Baiba Miltoviča, présidente de la section TEN, aux côtés des rapporteurs de l’avis «</w:t>
      </w:r>
      <w:hyperlink r:id="rId81" w:history="1">
        <w:r>
          <w:rPr>
            <w:rStyle w:val="Hyperlink"/>
            <w:rFonts w:ascii="Times New Roman" w:hAnsi="Times New Roman"/>
            <w:i/>
            <w:sz w:val="22"/>
          </w:rPr>
          <w:t>Des logements sociaux décents, durables et abordables dans l’UE</w:t>
        </w:r>
      </w:hyperlink>
      <w:r>
        <w:rPr>
          <w:rFonts w:ascii="Times New Roman" w:hAnsi="Times New Roman"/>
          <w:sz w:val="22"/>
        </w:rPr>
        <w:t xml:space="preserve">», M. Thomas Kattnig et M. Rudolf Kolbe, a abordé la question urgente du logement social abordable dans l’Union. </w:t>
      </w:r>
    </w:p>
    <w:p w14:paraId="186DB805" w14:textId="77777777" w:rsidR="00A57B74" w:rsidRPr="000B323C" w:rsidRDefault="00A57B74" w:rsidP="002355C5">
      <w:pPr>
        <w:pStyle w:val="ListParagraph"/>
        <w:numPr>
          <w:ilvl w:val="0"/>
          <w:numId w:val="11"/>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 xml:space="preserve">Une </w:t>
      </w:r>
      <w:r>
        <w:rPr>
          <w:rFonts w:ascii="Times New Roman" w:hAnsi="Times New Roman"/>
          <w:b/>
          <w:sz w:val="22"/>
        </w:rPr>
        <w:t>conférence intitulée «</w:t>
      </w:r>
      <w:hyperlink r:id="rId82" w:history="1">
        <w:r>
          <w:rPr>
            <w:rStyle w:val="Hyperlink"/>
            <w:rFonts w:ascii="Times New Roman" w:hAnsi="Times New Roman"/>
            <w:b/>
            <w:i/>
            <w:sz w:val="22"/>
          </w:rPr>
          <w:t xml:space="preserve">The EU </w:t>
        </w:r>
        <w:proofErr w:type="spellStart"/>
        <w:r>
          <w:rPr>
            <w:rStyle w:val="Hyperlink"/>
            <w:rFonts w:ascii="Times New Roman" w:hAnsi="Times New Roman"/>
            <w:b/>
            <w:i/>
            <w:sz w:val="22"/>
          </w:rPr>
          <w:t>needs</w:t>
        </w:r>
        <w:proofErr w:type="spellEnd"/>
        <w:r>
          <w:rPr>
            <w:rStyle w:val="Hyperlink"/>
            <w:rFonts w:ascii="Times New Roman" w:hAnsi="Times New Roman"/>
            <w:b/>
            <w:i/>
            <w:sz w:val="22"/>
          </w:rPr>
          <w:t xml:space="preserve"> a pan-</w:t>
        </w:r>
        <w:proofErr w:type="spellStart"/>
        <w:r>
          <w:rPr>
            <w:rStyle w:val="Hyperlink"/>
            <w:rFonts w:ascii="Times New Roman" w:hAnsi="Times New Roman"/>
            <w:b/>
            <w:i/>
            <w:sz w:val="22"/>
          </w:rPr>
          <w:t>European</w:t>
        </w:r>
        <w:proofErr w:type="spellEnd"/>
        <w:r>
          <w:rPr>
            <w:rStyle w:val="Hyperlink"/>
            <w:rFonts w:ascii="Times New Roman" w:hAnsi="Times New Roman"/>
            <w:b/>
            <w:i/>
            <w:sz w:val="22"/>
          </w:rPr>
          <w:t xml:space="preserve"> </w:t>
        </w:r>
        <w:proofErr w:type="spellStart"/>
        <w:r>
          <w:rPr>
            <w:rStyle w:val="Hyperlink"/>
            <w:rFonts w:ascii="Times New Roman" w:hAnsi="Times New Roman"/>
            <w:b/>
            <w:i/>
            <w:sz w:val="22"/>
          </w:rPr>
          <w:t>policy</w:t>
        </w:r>
        <w:proofErr w:type="spellEnd"/>
        <w:r>
          <w:rPr>
            <w:rStyle w:val="Hyperlink"/>
            <w:rFonts w:ascii="Times New Roman" w:hAnsi="Times New Roman"/>
            <w:b/>
            <w:i/>
            <w:sz w:val="22"/>
          </w:rPr>
          <w:t xml:space="preserve"> </w:t>
        </w:r>
        <w:proofErr w:type="spellStart"/>
        <w:r>
          <w:rPr>
            <w:rStyle w:val="Hyperlink"/>
            <w:rFonts w:ascii="Times New Roman" w:hAnsi="Times New Roman"/>
            <w:b/>
            <w:i/>
            <w:sz w:val="22"/>
          </w:rPr>
          <w:t>response</w:t>
        </w:r>
        <w:proofErr w:type="spellEnd"/>
        <w:r>
          <w:rPr>
            <w:rStyle w:val="Hyperlink"/>
            <w:rFonts w:ascii="Times New Roman" w:hAnsi="Times New Roman"/>
            <w:b/>
            <w:i/>
            <w:sz w:val="22"/>
          </w:rPr>
          <w:t xml:space="preserve"> to </w:t>
        </w:r>
        <w:proofErr w:type="spellStart"/>
        <w:r>
          <w:rPr>
            <w:rStyle w:val="Hyperlink"/>
            <w:rFonts w:ascii="Times New Roman" w:hAnsi="Times New Roman"/>
            <w:b/>
            <w:i/>
            <w:sz w:val="22"/>
          </w:rPr>
          <w:t>its</w:t>
        </w:r>
        <w:proofErr w:type="spellEnd"/>
        <w:r>
          <w:rPr>
            <w:rStyle w:val="Hyperlink"/>
            <w:rFonts w:ascii="Times New Roman" w:hAnsi="Times New Roman"/>
            <w:b/>
            <w:i/>
            <w:sz w:val="22"/>
          </w:rPr>
          <w:t xml:space="preserve"> </w:t>
        </w:r>
        <w:proofErr w:type="spellStart"/>
        <w:r>
          <w:rPr>
            <w:rStyle w:val="Hyperlink"/>
            <w:rFonts w:ascii="Times New Roman" w:hAnsi="Times New Roman"/>
            <w:b/>
            <w:i/>
            <w:sz w:val="22"/>
          </w:rPr>
          <w:t>housing</w:t>
        </w:r>
        <w:proofErr w:type="spellEnd"/>
        <w:r>
          <w:rPr>
            <w:rStyle w:val="Hyperlink"/>
            <w:rFonts w:ascii="Times New Roman" w:hAnsi="Times New Roman"/>
            <w:b/>
            <w:i/>
            <w:sz w:val="22"/>
          </w:rPr>
          <w:t xml:space="preserve"> </w:t>
        </w:r>
        <w:proofErr w:type="spellStart"/>
        <w:r>
          <w:rPr>
            <w:rStyle w:val="Hyperlink"/>
            <w:rFonts w:ascii="Times New Roman" w:hAnsi="Times New Roman"/>
            <w:b/>
            <w:i/>
            <w:sz w:val="22"/>
          </w:rPr>
          <w:t>crisis</w:t>
        </w:r>
        <w:proofErr w:type="spellEnd"/>
      </w:hyperlink>
      <w:r>
        <w:rPr>
          <w:rFonts w:ascii="Times New Roman" w:hAnsi="Times New Roman"/>
          <w:sz w:val="22"/>
        </w:rPr>
        <w:t xml:space="preserve">» (L’UE a besoin d’une réponse politique paneuropéenne à sa crise du logement) a été organisée par le </w:t>
      </w:r>
      <w:r>
        <w:rPr>
          <w:rFonts w:ascii="Times New Roman" w:hAnsi="Times New Roman"/>
          <w:b/>
          <w:sz w:val="22"/>
        </w:rPr>
        <w:t>groupe des organisations de la société civile</w:t>
      </w:r>
      <w:r>
        <w:rPr>
          <w:rFonts w:ascii="Times New Roman" w:hAnsi="Times New Roman"/>
          <w:sz w:val="22"/>
        </w:rPr>
        <w:t xml:space="preserve"> du CESE en novembre 2024, dans le but de promouvoir un recours accru à la numérisation dans le secteur de la construction et du logement et la participation des acteurs de l’économie sociale à la fourniture de logements. </w:t>
      </w:r>
    </w:p>
    <w:p w14:paraId="44394A05" w14:textId="77777777" w:rsidR="00A57B74" w:rsidRPr="000B323C" w:rsidRDefault="00A57B74" w:rsidP="002355C5">
      <w:pPr>
        <w:pStyle w:val="ListParagraph"/>
        <w:numPr>
          <w:ilvl w:val="0"/>
          <w:numId w:val="11"/>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En 2025, la section TEN a contribué avec un avis d’initiative à l’ensemble d’avis du CESE sur la crise du coût de la vie du point de vue des services d’intérêt général (avis intitulé «</w:t>
      </w:r>
      <w:hyperlink r:id="rId83" w:history="1">
        <w:r>
          <w:rPr>
            <w:rStyle w:val="Hyperlink"/>
            <w:rFonts w:ascii="Times New Roman" w:hAnsi="Times New Roman"/>
            <w:b/>
            <w:i/>
            <w:sz w:val="22"/>
          </w:rPr>
          <w:t>Hausses des prix dans les secteurs des transports, de l’énergie et du logement: le rôle de services publics de qualité dans la lutte contre le coût élevé de la vie</w:t>
        </w:r>
      </w:hyperlink>
      <w:r>
        <w:rPr>
          <w:rFonts w:ascii="Times New Roman" w:hAnsi="Times New Roman"/>
          <w:sz w:val="22"/>
        </w:rPr>
        <w:t>»).</w:t>
      </w:r>
    </w:p>
    <w:p w14:paraId="64D9701D" w14:textId="77777777" w:rsidR="00A57B74" w:rsidRPr="000B323C" w:rsidRDefault="00A57B74" w:rsidP="006E7A01">
      <w:pPr>
        <w:spacing w:after="0" w:line="240" w:lineRule="auto"/>
        <w:jc w:val="both"/>
        <w:rPr>
          <w:rFonts w:ascii="Times New Roman" w:hAnsi="Times New Roman" w:cs="Times New Roman"/>
          <w:b/>
          <w:sz w:val="22"/>
          <w:szCs w:val="22"/>
          <w:lang w:val="en-GB"/>
        </w:rPr>
      </w:pPr>
    </w:p>
    <w:p w14:paraId="04AF01A0" w14:textId="77777777" w:rsidR="00A57B74" w:rsidRPr="000B323C" w:rsidRDefault="00A57B74" w:rsidP="006E7A01">
      <w:pPr>
        <w:spacing w:after="0" w:line="240" w:lineRule="auto"/>
        <w:jc w:val="both"/>
        <w:rPr>
          <w:rFonts w:ascii="Times New Roman" w:hAnsi="Times New Roman" w:cs="Times New Roman"/>
          <w:b/>
          <w:sz w:val="22"/>
          <w:szCs w:val="22"/>
        </w:rPr>
      </w:pPr>
      <w:r>
        <w:rPr>
          <w:rFonts w:ascii="Times New Roman" w:hAnsi="Times New Roman"/>
          <w:b/>
          <w:sz w:val="22"/>
        </w:rPr>
        <w:t>Recherche d’alliances avec le Comité des régions</w:t>
      </w:r>
    </w:p>
    <w:p w14:paraId="48DDF89E" w14:textId="1C6D2046" w:rsidR="00A57B74" w:rsidRPr="000B323C" w:rsidRDefault="00A57B74" w:rsidP="002355C5">
      <w:pPr>
        <w:pStyle w:val="ListParagraph"/>
        <w:numPr>
          <w:ilvl w:val="0"/>
          <w:numId w:val="12"/>
        </w:numPr>
        <w:spacing w:after="0" w:line="240" w:lineRule="auto"/>
        <w:ind w:left="284" w:hanging="284"/>
        <w:jc w:val="both"/>
        <w:rPr>
          <w:rFonts w:ascii="Times New Roman" w:hAnsi="Times New Roman" w:cs="Times New Roman"/>
          <w:bCs/>
          <w:sz w:val="22"/>
          <w:szCs w:val="22"/>
        </w:rPr>
      </w:pPr>
      <w:r>
        <w:rPr>
          <w:rFonts w:ascii="Times New Roman" w:hAnsi="Times New Roman"/>
          <w:b/>
          <w:sz w:val="22"/>
        </w:rPr>
        <w:t>Le 14 novembre 2024</w:t>
      </w:r>
      <w:r>
        <w:rPr>
          <w:rFonts w:ascii="Times New Roman" w:hAnsi="Times New Roman"/>
          <w:sz w:val="22"/>
        </w:rPr>
        <w:t xml:space="preserve">, Baiba Miltoviča, présidente de la section TEN, et Andres Jaadla, rapporteur d’un avis du Comité des régions (CdR) sur le logement, </w:t>
      </w:r>
      <w:hyperlink r:id="rId84" w:anchor=":~:text=In%20a%20joint%20statement%20signed%20on%2014%20November,to%20adopt%20urgent%20measures%20to%20get%20the%20E" w:history="1">
        <w:r>
          <w:rPr>
            <w:rStyle w:val="Hyperlink"/>
            <w:rFonts w:ascii="Times New Roman" w:hAnsi="Times New Roman"/>
            <w:sz w:val="22"/>
          </w:rPr>
          <w:t xml:space="preserve">ont signé </w:t>
        </w:r>
        <w:r>
          <w:rPr>
            <w:rStyle w:val="Hyperlink"/>
            <w:rFonts w:ascii="Times New Roman" w:hAnsi="Times New Roman"/>
            <w:b/>
            <w:sz w:val="22"/>
          </w:rPr>
          <w:t>une déclaration commune</w:t>
        </w:r>
      </w:hyperlink>
      <w:r>
        <w:rPr>
          <w:rFonts w:ascii="Times New Roman" w:hAnsi="Times New Roman"/>
          <w:sz w:val="22"/>
        </w:rPr>
        <w:t xml:space="preserve"> appelant instamment les institutions européennes à adopter des mesures urgentes pour sortir l’Union de la crise actuelle du logement. </w:t>
      </w:r>
    </w:p>
    <w:p w14:paraId="0697A6A9" w14:textId="77777777" w:rsidR="00A57B74" w:rsidRPr="000B323C" w:rsidRDefault="00A57B74" w:rsidP="006E7A01">
      <w:pPr>
        <w:spacing w:after="0" w:line="240" w:lineRule="auto"/>
        <w:jc w:val="both"/>
        <w:rPr>
          <w:rFonts w:ascii="Times New Roman" w:hAnsi="Times New Roman" w:cs="Times New Roman"/>
          <w:bCs/>
          <w:sz w:val="22"/>
          <w:szCs w:val="22"/>
          <w:lang w:val="en-GB"/>
        </w:rPr>
      </w:pPr>
    </w:p>
    <w:p w14:paraId="02E14C08" w14:textId="77777777" w:rsidR="00A57B74" w:rsidRPr="000B323C" w:rsidRDefault="00A57B74" w:rsidP="006E7A01">
      <w:pPr>
        <w:spacing w:after="0" w:line="240" w:lineRule="auto"/>
        <w:jc w:val="both"/>
        <w:rPr>
          <w:rFonts w:ascii="Times New Roman" w:hAnsi="Times New Roman" w:cs="Times New Roman"/>
          <w:b/>
          <w:sz w:val="22"/>
          <w:szCs w:val="22"/>
        </w:rPr>
      </w:pPr>
      <w:r>
        <w:rPr>
          <w:rFonts w:ascii="Times New Roman" w:hAnsi="Times New Roman"/>
          <w:b/>
          <w:sz w:val="22"/>
        </w:rPr>
        <w:t>Influence sur le Parlement européen</w:t>
      </w:r>
    </w:p>
    <w:p w14:paraId="182E8FF2" w14:textId="77777777" w:rsidR="00A57B74" w:rsidRPr="000B323C" w:rsidRDefault="00A57B74" w:rsidP="002355C5">
      <w:pPr>
        <w:pStyle w:val="ListParagraph"/>
        <w:numPr>
          <w:ilvl w:val="0"/>
          <w:numId w:val="12"/>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M. Rudolf Kolbe, corapporteur de l’avis «</w:t>
      </w:r>
      <w:hyperlink r:id="rId85" w:history="1">
        <w:r>
          <w:rPr>
            <w:rStyle w:val="Hyperlink"/>
            <w:rFonts w:ascii="Times New Roman" w:hAnsi="Times New Roman"/>
            <w:i/>
            <w:sz w:val="22"/>
          </w:rPr>
          <w:t>Des logements sociaux décents, durables et abordables dans l’UE</w:t>
        </w:r>
      </w:hyperlink>
      <w:r>
        <w:rPr>
          <w:rFonts w:ascii="Times New Roman" w:hAnsi="Times New Roman"/>
          <w:sz w:val="22"/>
        </w:rPr>
        <w:t xml:space="preserve">», a participé en tant que personnalité extérieure à la session plénière du groupe de travail «The Future of Housing in the EU: </w:t>
      </w:r>
      <w:proofErr w:type="spellStart"/>
      <w:r>
        <w:rPr>
          <w:rFonts w:ascii="Times New Roman" w:hAnsi="Times New Roman"/>
          <w:sz w:val="22"/>
        </w:rPr>
        <w:t>Affordable</w:t>
      </w:r>
      <w:proofErr w:type="spellEnd"/>
      <w:r>
        <w:rPr>
          <w:rFonts w:ascii="Times New Roman" w:hAnsi="Times New Roman"/>
          <w:sz w:val="22"/>
        </w:rPr>
        <w:t xml:space="preserve"> &amp; </w:t>
      </w:r>
      <w:proofErr w:type="spellStart"/>
      <w:r>
        <w:rPr>
          <w:rFonts w:ascii="Times New Roman" w:hAnsi="Times New Roman"/>
          <w:sz w:val="22"/>
        </w:rPr>
        <w:t>Sustainable</w:t>
      </w:r>
      <w:proofErr w:type="spellEnd"/>
      <w:r>
        <w:rPr>
          <w:rFonts w:ascii="Times New Roman" w:hAnsi="Times New Roman"/>
          <w:sz w:val="22"/>
        </w:rPr>
        <w:t xml:space="preserve">» (L’avenir du logement dans l’UE: abordable et durable) du </w:t>
      </w:r>
      <w:r>
        <w:rPr>
          <w:b/>
        </w:rPr>
        <w:t>30</w:t>
      </w:r>
      <w:r>
        <w:rPr>
          <w:b/>
          <w:vertAlign w:val="superscript"/>
        </w:rPr>
        <w:t>e</w:t>
      </w:r>
      <w:r>
        <w:rPr>
          <w:b/>
        </w:rPr>
        <w:t> forum de la céramique du Parlement européen</w:t>
      </w:r>
      <w:r>
        <w:t xml:space="preserve"> (EPCF), qui s’est déroulée le 3 décembre à la Bibliothèque Solvay, à Bruxelles.</w:t>
      </w:r>
    </w:p>
    <w:p w14:paraId="51823B08" w14:textId="48D90B35" w:rsidR="00A57B74" w:rsidRPr="000B323C" w:rsidRDefault="00A57B74" w:rsidP="002355C5">
      <w:pPr>
        <w:pStyle w:val="ListParagraph"/>
        <w:numPr>
          <w:ilvl w:val="0"/>
          <w:numId w:val="12"/>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Le 18 mars, le rapporteur du CESE, M. Kattnig, a présenté, lors de l’</w:t>
      </w:r>
      <w:hyperlink r:id="rId86" w:history="1">
        <w:r>
          <w:rPr>
            <w:rStyle w:val="Hyperlink"/>
            <w:rFonts w:ascii="Times New Roman" w:hAnsi="Times New Roman"/>
            <w:sz w:val="22"/>
          </w:rPr>
          <w:t>audition publique</w:t>
        </w:r>
      </w:hyperlink>
      <w:r>
        <w:rPr>
          <w:rFonts w:ascii="Times New Roman" w:hAnsi="Times New Roman"/>
          <w:sz w:val="22"/>
        </w:rPr>
        <w:t xml:space="preserve"> de la </w:t>
      </w:r>
      <w:r>
        <w:rPr>
          <w:rFonts w:ascii="Times New Roman" w:hAnsi="Times New Roman"/>
          <w:b/>
          <w:sz w:val="22"/>
        </w:rPr>
        <w:t>commission des pétitions du Parlement européen</w:t>
      </w:r>
      <w:r>
        <w:rPr>
          <w:rFonts w:ascii="Times New Roman" w:hAnsi="Times New Roman"/>
          <w:sz w:val="22"/>
        </w:rPr>
        <w:t>, son avis sur les expulsions, les occupations sauvages et l’indisponibilité de logements abordables.</w:t>
      </w:r>
    </w:p>
    <w:p w14:paraId="498FD2C9" w14:textId="77777777" w:rsidR="00D761C7" w:rsidRPr="000B323C" w:rsidRDefault="00D761C7" w:rsidP="006E7A01">
      <w:pPr>
        <w:pStyle w:val="ListParagraph"/>
        <w:spacing w:after="0" w:line="240" w:lineRule="auto"/>
        <w:ind w:left="0"/>
        <w:jc w:val="both"/>
        <w:rPr>
          <w:rFonts w:ascii="Times New Roman" w:hAnsi="Times New Roman" w:cs="Times New Roman"/>
          <w:bCs/>
          <w:sz w:val="22"/>
          <w:szCs w:val="22"/>
          <w:lang w:val="en-GB"/>
        </w:rPr>
      </w:pPr>
    </w:p>
    <w:p w14:paraId="0C1F8484" w14:textId="77777777" w:rsidR="00A57B74" w:rsidRPr="000B323C" w:rsidRDefault="00A57B74" w:rsidP="006E7A01">
      <w:pPr>
        <w:spacing w:after="0" w:line="240" w:lineRule="auto"/>
        <w:jc w:val="both"/>
        <w:rPr>
          <w:rFonts w:ascii="Times New Roman" w:hAnsi="Times New Roman" w:cs="Times New Roman"/>
          <w:b/>
          <w:bCs/>
          <w:sz w:val="22"/>
          <w:szCs w:val="22"/>
        </w:rPr>
      </w:pPr>
      <w:r>
        <w:rPr>
          <w:rFonts w:ascii="Times New Roman" w:hAnsi="Times New Roman"/>
          <w:b/>
          <w:sz w:val="22"/>
        </w:rPr>
        <w:t>Coopération avec la Banque européenne d’investissement (BEI)</w:t>
      </w:r>
    </w:p>
    <w:p w14:paraId="302B70EE" w14:textId="77777777" w:rsidR="00A57B74" w:rsidRPr="000B323C" w:rsidRDefault="00A57B74" w:rsidP="002355C5">
      <w:pPr>
        <w:pStyle w:val="ListParagraph"/>
        <w:numPr>
          <w:ilvl w:val="0"/>
          <w:numId w:val="13"/>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 xml:space="preserve">Le 6 mars, Baiba Miltoviča, présidente de la section TEN du CESE, a participé à une session extraordinaire sur le logement qui a eu lieu lors du </w:t>
      </w:r>
      <w:hyperlink r:id="rId87" w:history="1">
        <w:r>
          <w:rPr>
            <w:rStyle w:val="Hyperlink"/>
            <w:rFonts w:ascii="Times New Roman" w:hAnsi="Times New Roman"/>
            <w:b/>
            <w:sz w:val="22"/>
          </w:rPr>
          <w:t>forum du groupe BEI</w:t>
        </w:r>
      </w:hyperlink>
      <w:r>
        <w:rPr>
          <w:rFonts w:ascii="Times New Roman" w:hAnsi="Times New Roman"/>
          <w:b/>
          <w:sz w:val="22"/>
        </w:rPr>
        <w:t xml:space="preserve"> à Luxembourg. </w:t>
      </w:r>
      <w:r>
        <w:rPr>
          <w:rFonts w:ascii="Times New Roman" w:hAnsi="Times New Roman"/>
          <w:sz w:val="22"/>
        </w:rPr>
        <w:t>La manifestation avait pour thème</w:t>
      </w:r>
      <w:proofErr w:type="gramStart"/>
      <w:r>
        <w:rPr>
          <w:rFonts w:ascii="Times New Roman" w:hAnsi="Times New Roman"/>
          <w:sz w:val="22"/>
        </w:rPr>
        <w:t xml:space="preserve"> «</w:t>
      </w:r>
      <w:proofErr w:type="spellStart"/>
      <w:r>
        <w:rPr>
          <w:rFonts w:ascii="Times New Roman" w:hAnsi="Times New Roman"/>
          <w:b/>
          <w:sz w:val="22"/>
        </w:rPr>
        <w:t>Strengthening</w:t>
      </w:r>
      <w:proofErr w:type="spellEnd"/>
      <w:proofErr w:type="gramEnd"/>
      <w:r>
        <w:rPr>
          <w:rFonts w:ascii="Times New Roman" w:hAnsi="Times New Roman"/>
          <w:b/>
          <w:sz w:val="22"/>
        </w:rPr>
        <w:t xml:space="preserve"> support for </w:t>
      </w:r>
      <w:proofErr w:type="spellStart"/>
      <w:r>
        <w:rPr>
          <w:rFonts w:ascii="Times New Roman" w:hAnsi="Times New Roman"/>
          <w:b/>
          <w:sz w:val="22"/>
        </w:rPr>
        <w:t>affordable</w:t>
      </w:r>
      <w:proofErr w:type="spellEnd"/>
      <w:r>
        <w:rPr>
          <w:rFonts w:ascii="Times New Roman" w:hAnsi="Times New Roman"/>
          <w:b/>
          <w:sz w:val="22"/>
        </w:rPr>
        <w:t xml:space="preserve"> and </w:t>
      </w:r>
      <w:proofErr w:type="spellStart"/>
      <w:r>
        <w:rPr>
          <w:rFonts w:ascii="Times New Roman" w:hAnsi="Times New Roman"/>
          <w:b/>
          <w:sz w:val="22"/>
        </w:rPr>
        <w:t>sustainable</w:t>
      </w:r>
      <w:proofErr w:type="spellEnd"/>
      <w:r>
        <w:rPr>
          <w:rFonts w:ascii="Times New Roman" w:hAnsi="Times New Roman"/>
          <w:b/>
          <w:sz w:val="22"/>
        </w:rPr>
        <w:t xml:space="preserve"> </w:t>
      </w:r>
      <w:proofErr w:type="spellStart"/>
      <w:r>
        <w:rPr>
          <w:rFonts w:ascii="Times New Roman" w:hAnsi="Times New Roman"/>
          <w:b/>
          <w:sz w:val="22"/>
        </w:rPr>
        <w:t>housing</w:t>
      </w:r>
      <w:proofErr w:type="spellEnd"/>
      <w:r>
        <w:rPr>
          <w:rFonts w:ascii="Times New Roman" w:hAnsi="Times New Roman"/>
          <w:b/>
          <w:sz w:val="22"/>
        </w:rPr>
        <w:t xml:space="preserve"> </w:t>
      </w:r>
      <w:proofErr w:type="spellStart"/>
      <w:r>
        <w:rPr>
          <w:rFonts w:ascii="Times New Roman" w:hAnsi="Times New Roman"/>
          <w:b/>
          <w:sz w:val="22"/>
        </w:rPr>
        <w:t>across</w:t>
      </w:r>
      <w:proofErr w:type="spellEnd"/>
      <w:r>
        <w:rPr>
          <w:rFonts w:ascii="Times New Roman" w:hAnsi="Times New Roman"/>
          <w:b/>
          <w:sz w:val="22"/>
        </w:rPr>
        <w:t xml:space="preserve"> </w:t>
      </w:r>
      <w:proofErr w:type="gramStart"/>
      <w:r>
        <w:rPr>
          <w:rFonts w:ascii="Times New Roman" w:hAnsi="Times New Roman"/>
          <w:b/>
          <w:sz w:val="22"/>
        </w:rPr>
        <w:t>Europe</w:t>
      </w:r>
      <w:r>
        <w:rPr>
          <w:rFonts w:ascii="Times New Roman" w:hAnsi="Times New Roman"/>
          <w:sz w:val="22"/>
        </w:rPr>
        <w:t>»</w:t>
      </w:r>
      <w:proofErr w:type="gramEnd"/>
      <w:r>
        <w:rPr>
          <w:rFonts w:ascii="Times New Roman" w:hAnsi="Times New Roman"/>
          <w:sz w:val="22"/>
        </w:rPr>
        <w:t xml:space="preserve"> (Renforcer le soutien en faveur d’un logement abordable et durable dans toute l’Europe). La </w:t>
      </w:r>
      <w:r>
        <w:rPr>
          <w:rFonts w:ascii="Times New Roman" w:hAnsi="Times New Roman"/>
          <w:b/>
          <w:sz w:val="22"/>
        </w:rPr>
        <w:t>plateforme paneuropéenne d’investissement</w:t>
      </w:r>
      <w:r>
        <w:rPr>
          <w:rFonts w:ascii="Times New Roman" w:hAnsi="Times New Roman"/>
          <w:sz w:val="22"/>
        </w:rPr>
        <w:t xml:space="preserve"> vise à fournir un financement, des mesures stratégiques et réglementaires et un soutien consultatif. </w:t>
      </w:r>
    </w:p>
    <w:p w14:paraId="0D981E0D" w14:textId="2CB139D5" w:rsidR="00A57B74" w:rsidRPr="00C834F8" w:rsidRDefault="00A57B74" w:rsidP="002355C5">
      <w:pPr>
        <w:pStyle w:val="ListParagraph"/>
        <w:numPr>
          <w:ilvl w:val="0"/>
          <w:numId w:val="13"/>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 xml:space="preserve">Le CESE participe également à l’élaboration d’une vision pour le financement de logements abordables, en collaboration avec la Banque européenne d’investissement: le Comité travaille actuellement à l’élaboration d’un avis d’initiative sur le </w:t>
      </w:r>
      <w:r w:rsidRPr="00C834F8">
        <w:rPr>
          <w:rFonts w:ascii="Times New Roman" w:hAnsi="Times New Roman" w:cs="Times New Roman"/>
          <w:sz w:val="22"/>
          <w:szCs w:val="22"/>
        </w:rPr>
        <w:t>thème «</w:t>
      </w:r>
      <w:proofErr w:type="spellStart"/>
      <w:r w:rsidR="00C834F8" w:rsidRPr="00C834F8">
        <w:fldChar w:fldCharType="begin"/>
      </w:r>
      <w:r w:rsidR="00C834F8" w:rsidRPr="00C834F8">
        <w:rPr>
          <w:rFonts w:ascii="Times New Roman" w:hAnsi="Times New Roman" w:cs="Times New Roman"/>
          <w:sz w:val="22"/>
          <w:szCs w:val="22"/>
        </w:rPr>
        <w:instrText xml:space="preserve"> HYPERLINK "https://www.eesc.europa.eu/fr/our-work/opinions-information-reports/opinions/le-logement-abordable-politique-de-cohesion-programme-urbain-et-societe-civile" </w:instrText>
      </w:r>
      <w:r w:rsidR="00C834F8" w:rsidRPr="00C834F8">
        <w:fldChar w:fldCharType="separate"/>
      </w:r>
      <w:r w:rsidRPr="00C834F8">
        <w:rPr>
          <w:rStyle w:val="Hyperlink"/>
          <w:rFonts w:ascii="Times New Roman" w:hAnsi="Times New Roman" w:cs="Times New Roman"/>
          <w:b/>
          <w:i/>
          <w:sz w:val="22"/>
          <w:szCs w:val="22"/>
        </w:rPr>
        <w:t>Affordable</w:t>
      </w:r>
      <w:proofErr w:type="spellEnd"/>
      <w:r w:rsidRPr="00C834F8">
        <w:rPr>
          <w:rStyle w:val="Hyperlink"/>
          <w:rFonts w:ascii="Times New Roman" w:hAnsi="Times New Roman" w:cs="Times New Roman"/>
          <w:b/>
          <w:i/>
          <w:sz w:val="22"/>
          <w:szCs w:val="22"/>
        </w:rPr>
        <w:t xml:space="preserve"> Housing: </w:t>
      </w:r>
      <w:proofErr w:type="spellStart"/>
      <w:r w:rsidRPr="00C834F8">
        <w:rPr>
          <w:rStyle w:val="Hyperlink"/>
          <w:rFonts w:ascii="Times New Roman" w:hAnsi="Times New Roman" w:cs="Times New Roman"/>
          <w:b/>
          <w:i/>
          <w:sz w:val="22"/>
          <w:szCs w:val="22"/>
        </w:rPr>
        <w:t>What</w:t>
      </w:r>
      <w:proofErr w:type="spellEnd"/>
      <w:r w:rsidRPr="00C834F8">
        <w:rPr>
          <w:rStyle w:val="Hyperlink"/>
          <w:rFonts w:ascii="Times New Roman" w:hAnsi="Times New Roman" w:cs="Times New Roman"/>
          <w:b/>
          <w:i/>
          <w:sz w:val="22"/>
          <w:szCs w:val="22"/>
        </w:rPr>
        <w:t xml:space="preserve"> can </w:t>
      </w:r>
      <w:proofErr w:type="spellStart"/>
      <w:r w:rsidRPr="00C834F8">
        <w:rPr>
          <w:rStyle w:val="Hyperlink"/>
          <w:rFonts w:ascii="Times New Roman" w:hAnsi="Times New Roman" w:cs="Times New Roman"/>
          <w:b/>
          <w:i/>
          <w:sz w:val="22"/>
          <w:szCs w:val="22"/>
        </w:rPr>
        <w:t>cohesion</w:t>
      </w:r>
      <w:proofErr w:type="spellEnd"/>
      <w:r w:rsidRPr="00C834F8">
        <w:rPr>
          <w:rStyle w:val="Hyperlink"/>
          <w:rFonts w:ascii="Times New Roman" w:hAnsi="Times New Roman" w:cs="Times New Roman"/>
          <w:b/>
          <w:i/>
          <w:sz w:val="22"/>
          <w:szCs w:val="22"/>
        </w:rPr>
        <w:t xml:space="preserve"> </w:t>
      </w:r>
      <w:proofErr w:type="spellStart"/>
      <w:r w:rsidRPr="00C834F8">
        <w:rPr>
          <w:rStyle w:val="Hyperlink"/>
          <w:rFonts w:ascii="Times New Roman" w:hAnsi="Times New Roman" w:cs="Times New Roman"/>
          <w:b/>
          <w:i/>
          <w:sz w:val="22"/>
          <w:szCs w:val="22"/>
        </w:rPr>
        <w:t>policy</w:t>
      </w:r>
      <w:proofErr w:type="spellEnd"/>
      <w:r w:rsidRPr="00C834F8">
        <w:rPr>
          <w:rStyle w:val="Hyperlink"/>
          <w:rFonts w:ascii="Times New Roman" w:hAnsi="Times New Roman" w:cs="Times New Roman"/>
          <w:b/>
          <w:i/>
          <w:sz w:val="22"/>
          <w:szCs w:val="22"/>
        </w:rPr>
        <w:t xml:space="preserve">, the Urban Agenda and civil society do to </w:t>
      </w:r>
      <w:proofErr w:type="spellStart"/>
      <w:r w:rsidRPr="00C834F8">
        <w:rPr>
          <w:rStyle w:val="Hyperlink"/>
          <w:rFonts w:ascii="Times New Roman" w:hAnsi="Times New Roman" w:cs="Times New Roman"/>
          <w:b/>
          <w:i/>
          <w:sz w:val="22"/>
          <w:szCs w:val="22"/>
        </w:rPr>
        <w:t>ensure</w:t>
      </w:r>
      <w:proofErr w:type="spellEnd"/>
      <w:r w:rsidRPr="00C834F8">
        <w:rPr>
          <w:rStyle w:val="Hyperlink"/>
          <w:rFonts w:ascii="Times New Roman" w:hAnsi="Times New Roman" w:cs="Times New Roman"/>
          <w:b/>
          <w:i/>
          <w:sz w:val="22"/>
          <w:szCs w:val="22"/>
        </w:rPr>
        <w:t xml:space="preserve"> </w:t>
      </w:r>
      <w:proofErr w:type="spellStart"/>
      <w:r w:rsidRPr="00C834F8">
        <w:rPr>
          <w:rStyle w:val="Hyperlink"/>
          <w:rFonts w:ascii="Times New Roman" w:hAnsi="Times New Roman" w:cs="Times New Roman"/>
          <w:b/>
          <w:i/>
          <w:sz w:val="22"/>
          <w:szCs w:val="22"/>
        </w:rPr>
        <w:t>housing</w:t>
      </w:r>
      <w:proofErr w:type="spellEnd"/>
      <w:r w:rsidRPr="00C834F8">
        <w:rPr>
          <w:rStyle w:val="Hyperlink"/>
          <w:rFonts w:ascii="Times New Roman" w:hAnsi="Times New Roman" w:cs="Times New Roman"/>
          <w:b/>
          <w:i/>
          <w:sz w:val="22"/>
          <w:szCs w:val="22"/>
        </w:rPr>
        <w:t xml:space="preserve"> </w:t>
      </w:r>
      <w:proofErr w:type="spellStart"/>
      <w:r w:rsidRPr="00C834F8">
        <w:rPr>
          <w:rStyle w:val="Hyperlink"/>
          <w:rFonts w:ascii="Times New Roman" w:hAnsi="Times New Roman" w:cs="Times New Roman"/>
          <w:b/>
          <w:i/>
          <w:sz w:val="22"/>
          <w:szCs w:val="22"/>
        </w:rPr>
        <w:t>is</w:t>
      </w:r>
      <w:proofErr w:type="spellEnd"/>
      <w:r w:rsidRPr="00C834F8">
        <w:rPr>
          <w:rStyle w:val="Hyperlink"/>
          <w:rFonts w:ascii="Times New Roman" w:hAnsi="Times New Roman" w:cs="Times New Roman"/>
          <w:b/>
          <w:i/>
          <w:sz w:val="22"/>
          <w:szCs w:val="22"/>
        </w:rPr>
        <w:t xml:space="preserve"> </w:t>
      </w:r>
      <w:proofErr w:type="spellStart"/>
      <w:r w:rsidRPr="00C834F8">
        <w:rPr>
          <w:rStyle w:val="Hyperlink"/>
          <w:rFonts w:ascii="Times New Roman" w:hAnsi="Times New Roman" w:cs="Times New Roman"/>
          <w:b/>
          <w:i/>
          <w:sz w:val="22"/>
          <w:szCs w:val="22"/>
        </w:rPr>
        <w:t>affordable</w:t>
      </w:r>
      <w:proofErr w:type="spellEnd"/>
      <w:r w:rsidRPr="00C834F8">
        <w:rPr>
          <w:rStyle w:val="Hyperlink"/>
          <w:rFonts w:ascii="Times New Roman" w:hAnsi="Times New Roman" w:cs="Times New Roman"/>
          <w:b/>
          <w:i/>
          <w:sz w:val="22"/>
          <w:szCs w:val="22"/>
        </w:rPr>
        <w:t xml:space="preserve"> to </w:t>
      </w:r>
      <w:proofErr w:type="spellStart"/>
      <w:r w:rsidRPr="00C834F8">
        <w:rPr>
          <w:rStyle w:val="Hyperlink"/>
          <w:rFonts w:ascii="Times New Roman" w:hAnsi="Times New Roman" w:cs="Times New Roman"/>
          <w:b/>
          <w:i/>
          <w:sz w:val="22"/>
          <w:szCs w:val="22"/>
        </w:rPr>
        <w:t>everyone</w:t>
      </w:r>
      <w:proofErr w:type="spellEnd"/>
      <w:r w:rsidRPr="00C834F8">
        <w:rPr>
          <w:rStyle w:val="Hyperlink"/>
          <w:rFonts w:ascii="Times New Roman" w:hAnsi="Times New Roman" w:cs="Times New Roman"/>
          <w:b/>
          <w:i/>
          <w:sz w:val="22"/>
          <w:szCs w:val="22"/>
        </w:rPr>
        <w:t>?</w:t>
      </w:r>
      <w:r w:rsidR="00C834F8" w:rsidRPr="00C834F8">
        <w:rPr>
          <w:rStyle w:val="Hyperlink"/>
          <w:rFonts w:ascii="Times New Roman" w:hAnsi="Times New Roman" w:cs="Times New Roman"/>
          <w:b/>
          <w:i/>
          <w:sz w:val="22"/>
          <w:szCs w:val="22"/>
        </w:rPr>
        <w:fldChar w:fldCharType="end"/>
      </w:r>
      <w:r w:rsidRPr="00C834F8">
        <w:rPr>
          <w:rFonts w:ascii="Times New Roman" w:hAnsi="Times New Roman" w:cs="Times New Roman"/>
          <w:sz w:val="22"/>
          <w:szCs w:val="22"/>
        </w:rPr>
        <w:t>» (Logement abordable: comment la politique de cohésion, le programme urbain et la société civile peuvent-ils garantir que le logement soit abordable pour tous?) (</w:t>
      </w:r>
      <w:proofErr w:type="gramStart"/>
      <w:r w:rsidRPr="00C834F8">
        <w:rPr>
          <w:rFonts w:ascii="Times New Roman" w:hAnsi="Times New Roman" w:cs="Times New Roman"/>
          <w:sz w:val="22"/>
          <w:szCs w:val="22"/>
        </w:rPr>
        <w:t>adopté</w:t>
      </w:r>
      <w:proofErr w:type="gramEnd"/>
      <w:r w:rsidRPr="00C834F8">
        <w:rPr>
          <w:rFonts w:ascii="Times New Roman" w:hAnsi="Times New Roman" w:cs="Times New Roman"/>
          <w:sz w:val="22"/>
          <w:szCs w:val="22"/>
        </w:rPr>
        <w:t xml:space="preserve"> en juillet 2025).</w:t>
      </w:r>
    </w:p>
    <w:p w14:paraId="1FC5860E" w14:textId="77777777" w:rsidR="00A57B74" w:rsidRPr="000B323C" w:rsidRDefault="00A57B74" w:rsidP="006E7A01">
      <w:pPr>
        <w:spacing w:after="0" w:line="240" w:lineRule="auto"/>
        <w:jc w:val="both"/>
        <w:rPr>
          <w:rFonts w:ascii="Times New Roman" w:hAnsi="Times New Roman" w:cs="Times New Roman"/>
          <w:bCs/>
          <w:sz w:val="22"/>
          <w:szCs w:val="22"/>
          <w:lang w:val="en-GB"/>
        </w:rPr>
      </w:pPr>
    </w:p>
    <w:p w14:paraId="77B49CCD" w14:textId="77777777" w:rsidR="00A57B74" w:rsidRPr="000B323C" w:rsidRDefault="00A57B74" w:rsidP="006E7A01">
      <w:pPr>
        <w:spacing w:after="0" w:line="240" w:lineRule="auto"/>
        <w:jc w:val="both"/>
        <w:rPr>
          <w:rFonts w:ascii="Times New Roman" w:hAnsi="Times New Roman" w:cs="Times New Roman"/>
          <w:b/>
          <w:sz w:val="22"/>
          <w:szCs w:val="22"/>
        </w:rPr>
      </w:pPr>
      <w:r>
        <w:rPr>
          <w:rFonts w:ascii="Times New Roman" w:hAnsi="Times New Roman"/>
          <w:b/>
          <w:sz w:val="22"/>
        </w:rPr>
        <w:lastRenderedPageBreak/>
        <w:t>Action au niveau de ses propres éléments livrables</w:t>
      </w:r>
    </w:p>
    <w:p w14:paraId="66F05CE1" w14:textId="77777777" w:rsidR="00A57B74" w:rsidRPr="000B323C" w:rsidRDefault="00A57B74" w:rsidP="002355C5">
      <w:pPr>
        <w:pStyle w:val="ListParagraph"/>
        <w:numPr>
          <w:ilvl w:val="0"/>
          <w:numId w:val="14"/>
        </w:numPr>
        <w:spacing w:after="0" w:line="240" w:lineRule="auto"/>
        <w:ind w:left="284" w:hanging="284"/>
        <w:jc w:val="both"/>
        <w:rPr>
          <w:rFonts w:ascii="Times New Roman" w:hAnsi="Times New Roman" w:cs="Times New Roman"/>
          <w:sz w:val="22"/>
          <w:szCs w:val="22"/>
        </w:rPr>
      </w:pPr>
      <w:bookmarkStart w:id="1" w:name="_Hlk190336150"/>
      <w:r>
        <w:rPr>
          <w:rFonts w:ascii="Times New Roman" w:hAnsi="Times New Roman"/>
          <w:sz w:val="22"/>
        </w:rPr>
        <w:t xml:space="preserve">Trois avis ont été </w:t>
      </w:r>
      <w:proofErr w:type="gramStart"/>
      <w:r>
        <w:rPr>
          <w:rFonts w:ascii="Times New Roman" w:hAnsi="Times New Roman"/>
          <w:sz w:val="22"/>
        </w:rPr>
        <w:t>élaborés:</w:t>
      </w:r>
      <w:proofErr w:type="gramEnd"/>
      <w:r>
        <w:rPr>
          <w:rFonts w:ascii="Times New Roman" w:hAnsi="Times New Roman"/>
          <w:sz w:val="22"/>
        </w:rPr>
        <w:t xml:space="preserve"> </w:t>
      </w:r>
    </w:p>
    <w:p w14:paraId="2E28200C" w14:textId="77777777" w:rsidR="00A57B74" w:rsidRPr="000B323C" w:rsidRDefault="000B323C" w:rsidP="002355C5">
      <w:pPr>
        <w:pStyle w:val="ListParagraph"/>
        <w:numPr>
          <w:ilvl w:val="0"/>
          <w:numId w:val="15"/>
        </w:numPr>
        <w:spacing w:after="0" w:line="240" w:lineRule="auto"/>
        <w:ind w:left="284" w:hanging="284"/>
        <w:jc w:val="both"/>
        <w:rPr>
          <w:rFonts w:ascii="Times New Roman" w:hAnsi="Times New Roman" w:cs="Times New Roman"/>
          <w:sz w:val="22"/>
          <w:szCs w:val="22"/>
        </w:rPr>
      </w:pPr>
      <w:hyperlink r:id="rId88" w:history="1">
        <w:r>
          <w:rPr>
            <w:rStyle w:val="Hyperlink"/>
            <w:rFonts w:ascii="Times New Roman" w:hAnsi="Times New Roman"/>
            <w:i/>
            <w:sz w:val="22"/>
          </w:rPr>
          <w:t>Des logements sociaux décents, durables et abordables dans l’UE</w:t>
        </w:r>
      </w:hyperlink>
    </w:p>
    <w:bookmarkStart w:id="2" w:name="_Hlk188267560"/>
    <w:p w14:paraId="54622CF2" w14:textId="4B975C40" w:rsidR="00A57B74" w:rsidRPr="000B323C" w:rsidRDefault="00A57B74" w:rsidP="002355C5">
      <w:pPr>
        <w:pStyle w:val="ListParagraph"/>
        <w:numPr>
          <w:ilvl w:val="0"/>
          <w:numId w:val="15"/>
        </w:numPr>
        <w:spacing w:after="0" w:line="240" w:lineRule="auto"/>
        <w:ind w:left="284" w:hanging="284"/>
        <w:jc w:val="both"/>
        <w:rPr>
          <w:rFonts w:ascii="Times New Roman" w:hAnsi="Times New Roman" w:cs="Times New Roman"/>
          <w:sz w:val="22"/>
          <w:szCs w:val="22"/>
        </w:rPr>
      </w:pPr>
      <w:r w:rsidRPr="00F721A4">
        <w:fldChar w:fldCharType="begin"/>
      </w:r>
      <w:r w:rsidRPr="000B323C">
        <w:rPr>
          <w:rFonts w:ascii="Times New Roman" w:hAnsi="Times New Roman" w:cs="Times New Roman"/>
          <w:sz w:val="22"/>
        </w:rPr>
        <w:instrText xml:space="preserve"> HYPERLINK "https://www.eesc.europa.eu/fr/our-work/opinions-information-reports/opinions/hausses-des-prix-dans-les-secteurs-des-transports-de-lenergie-et-du-logement-le-role-de-services-publics-de-qualite-dans" </w:instrText>
      </w:r>
      <w:r w:rsidRPr="00F721A4">
        <w:fldChar w:fldCharType="separate"/>
      </w:r>
      <w:r>
        <w:rPr>
          <w:rStyle w:val="Hyperlink"/>
          <w:rFonts w:ascii="Times New Roman" w:hAnsi="Times New Roman"/>
          <w:i/>
          <w:sz w:val="22"/>
        </w:rPr>
        <w:t xml:space="preserve">Hausses des prix dans les secteurs des transports, de l’énergie et du </w:t>
      </w:r>
      <w:proofErr w:type="gramStart"/>
      <w:r>
        <w:rPr>
          <w:rStyle w:val="Hyperlink"/>
          <w:rFonts w:ascii="Times New Roman" w:hAnsi="Times New Roman"/>
          <w:i/>
          <w:sz w:val="22"/>
        </w:rPr>
        <w:t>logement:</w:t>
      </w:r>
      <w:proofErr w:type="gramEnd"/>
      <w:r>
        <w:rPr>
          <w:rStyle w:val="Hyperlink"/>
          <w:rFonts w:ascii="Times New Roman" w:hAnsi="Times New Roman"/>
          <w:i/>
          <w:sz w:val="22"/>
        </w:rPr>
        <w:t xml:space="preserve"> le rôle de services publics de qualité dans la lutte contre le coût élevé de la vie</w:t>
      </w:r>
      <w:r w:rsidRPr="00F721A4">
        <w:rPr>
          <w:rStyle w:val="Hyperlink"/>
          <w:rFonts w:ascii="Times New Roman" w:hAnsi="Times New Roman" w:cs="Times New Roman"/>
          <w:i/>
          <w:sz w:val="22"/>
        </w:rPr>
        <w:fldChar w:fldCharType="end"/>
      </w:r>
      <w:r>
        <w:rPr>
          <w:rFonts w:ascii="Times New Roman" w:hAnsi="Times New Roman"/>
          <w:sz w:val="22"/>
        </w:rPr>
        <w:t xml:space="preserve"> </w:t>
      </w:r>
      <w:bookmarkEnd w:id="1"/>
      <w:bookmarkEnd w:id="2"/>
    </w:p>
    <w:p w14:paraId="55632FC8" w14:textId="77777777" w:rsidR="00A57B74" w:rsidRPr="000B323C" w:rsidRDefault="000B323C" w:rsidP="002355C5">
      <w:pPr>
        <w:pStyle w:val="ListParagraph"/>
        <w:numPr>
          <w:ilvl w:val="0"/>
          <w:numId w:val="15"/>
        </w:numPr>
        <w:spacing w:after="0" w:line="240" w:lineRule="auto"/>
        <w:ind w:left="284" w:hanging="284"/>
        <w:jc w:val="both"/>
        <w:rPr>
          <w:rFonts w:ascii="Times New Roman" w:hAnsi="Times New Roman" w:cs="Times New Roman"/>
          <w:sz w:val="22"/>
          <w:szCs w:val="22"/>
        </w:rPr>
      </w:pPr>
      <w:hyperlink r:id="rId89" w:history="1">
        <w:r>
          <w:rPr>
            <w:rStyle w:val="Hyperlink"/>
            <w:rFonts w:ascii="Times New Roman" w:hAnsi="Times New Roman"/>
            <w:i/>
            <w:sz w:val="22"/>
          </w:rPr>
          <w:t>Vers un plan européen pour des logements abordables — la contribution de la société civile</w:t>
        </w:r>
      </w:hyperlink>
    </w:p>
    <w:p w14:paraId="66240CC2" w14:textId="13622658" w:rsidR="00767ACA" w:rsidRPr="000B323C" w:rsidRDefault="00A57B74" w:rsidP="002355C5">
      <w:pPr>
        <w:pStyle w:val="ListParagraph"/>
        <w:numPr>
          <w:ilvl w:val="0"/>
          <w:numId w:val="16"/>
        </w:numPr>
        <w:spacing w:after="0" w:line="240" w:lineRule="auto"/>
        <w:ind w:left="284" w:hanging="284"/>
        <w:jc w:val="both"/>
        <w:rPr>
          <w:rFonts w:ascii="Times New Roman" w:hAnsi="Times New Roman" w:cs="Times New Roman"/>
          <w:bCs/>
          <w:sz w:val="22"/>
          <w:szCs w:val="22"/>
        </w:rPr>
      </w:pPr>
      <w:r>
        <w:rPr>
          <w:rFonts w:ascii="Times New Roman" w:hAnsi="Times New Roman"/>
          <w:sz w:val="22"/>
        </w:rPr>
        <w:t xml:space="preserve">Les </w:t>
      </w:r>
      <w:hyperlink r:id="rId90" w:history="1">
        <w:r>
          <w:rPr>
            <w:rStyle w:val="Hyperlink"/>
            <w:rFonts w:ascii="Times New Roman" w:hAnsi="Times New Roman"/>
            <w:b/>
            <w:sz w:val="22"/>
          </w:rPr>
          <w:t>recommandations du CESE</w:t>
        </w:r>
        <w:r>
          <w:rPr>
            <w:rStyle w:val="Hyperlink"/>
            <w:rFonts w:ascii="Times New Roman" w:hAnsi="Times New Roman"/>
            <w:sz w:val="22"/>
          </w:rPr>
          <w:t xml:space="preserve"> pour un logement durable, abordable et décent</w:t>
        </w:r>
      </w:hyperlink>
      <w:r>
        <w:rPr>
          <w:rFonts w:ascii="Times New Roman" w:hAnsi="Times New Roman"/>
          <w:sz w:val="22"/>
        </w:rPr>
        <w:t xml:space="preserve"> ont été publiées en décembre 2024.</w:t>
      </w:r>
    </w:p>
    <w:p w14:paraId="266B6677" w14:textId="2FED4257" w:rsidR="002E2BF1" w:rsidRPr="000B323C" w:rsidRDefault="00A57B74" w:rsidP="002355C5">
      <w:pPr>
        <w:spacing w:after="0" w:line="240" w:lineRule="auto"/>
        <w:ind w:left="284" w:hanging="284"/>
        <w:jc w:val="both"/>
        <w:rPr>
          <w:rFonts w:ascii="Times New Roman" w:hAnsi="Times New Roman" w:cs="Times New Roman"/>
          <w:b/>
          <w:bCs/>
          <w:sz w:val="22"/>
          <w:szCs w:val="22"/>
          <w:highlight w:val="yellow"/>
        </w:rPr>
      </w:pPr>
      <w:r>
        <w:rPr>
          <w:rFonts w:ascii="Times New Roman" w:hAnsi="Times New Roman"/>
          <w:sz w:val="22"/>
        </w:rPr>
        <w:t>Une</w:t>
      </w:r>
      <w:r>
        <w:rPr>
          <w:rFonts w:ascii="Times New Roman" w:hAnsi="Times New Roman"/>
          <w:b/>
          <w:sz w:val="22"/>
        </w:rPr>
        <w:t xml:space="preserve"> étude du CESE</w:t>
      </w:r>
      <w:r>
        <w:rPr>
          <w:rFonts w:ascii="Times New Roman" w:hAnsi="Times New Roman"/>
          <w:sz w:val="22"/>
        </w:rPr>
        <w:t xml:space="preserve"> a été réalisée sur le sujet à la demande de la section </w:t>
      </w:r>
      <w:proofErr w:type="gramStart"/>
      <w:r>
        <w:rPr>
          <w:rFonts w:ascii="Times New Roman" w:hAnsi="Times New Roman"/>
          <w:sz w:val="22"/>
        </w:rPr>
        <w:t>TEN:</w:t>
      </w:r>
      <w:proofErr w:type="gramEnd"/>
      <w:r>
        <w:rPr>
          <w:rFonts w:ascii="Times New Roman" w:hAnsi="Times New Roman"/>
          <w:sz w:val="22"/>
        </w:rPr>
        <w:t xml:space="preserve"> «</w:t>
      </w:r>
      <w:hyperlink r:id="rId91" w:history="1">
        <w:r>
          <w:rPr>
            <w:rStyle w:val="Hyperlink"/>
            <w:rFonts w:ascii="Times New Roman" w:hAnsi="Times New Roman"/>
            <w:i/>
            <w:sz w:val="22"/>
          </w:rPr>
          <w:t>Le logement durable et abordable dans l’UE</w:t>
        </w:r>
      </w:hyperlink>
      <w:r>
        <w:rPr>
          <w:rFonts w:ascii="Times New Roman" w:hAnsi="Times New Roman"/>
          <w:sz w:val="22"/>
        </w:rPr>
        <w:t>».</w:t>
      </w:r>
    </w:p>
    <w:p w14:paraId="7BB63A2C" w14:textId="77777777" w:rsidR="00767ACA" w:rsidRPr="0096433C" w:rsidRDefault="00767ACA" w:rsidP="006E7A01">
      <w:pPr>
        <w:pStyle w:val="NormalWeb"/>
        <w:spacing w:before="0" w:beforeAutospacing="0" w:after="0" w:afterAutospacing="0"/>
        <w:jc w:val="both"/>
        <w:rPr>
          <w:sz w:val="22"/>
          <w:szCs w:val="22"/>
          <w:lang w:val="fr-BE"/>
        </w:rPr>
      </w:pPr>
    </w:p>
    <w:p w14:paraId="7308810E" w14:textId="52BEC899" w:rsidR="00321697" w:rsidRPr="00B837FE" w:rsidRDefault="00321697" w:rsidP="00F721A4">
      <w:pPr>
        <w:pStyle w:val="ListParagraph"/>
        <w:numPr>
          <w:ilvl w:val="0"/>
          <w:numId w:val="30"/>
        </w:numPr>
        <w:spacing w:after="0" w:line="240" w:lineRule="auto"/>
        <w:ind w:left="0" w:firstLine="0"/>
        <w:jc w:val="both"/>
        <w:rPr>
          <w:sz w:val="22"/>
          <w:szCs w:val="22"/>
        </w:rPr>
      </w:pPr>
      <w:r>
        <w:rPr>
          <w:rFonts w:ascii="Times New Roman" w:hAnsi="Times New Roman"/>
          <w:sz w:val="22"/>
        </w:rPr>
        <w:t xml:space="preserve">Conformément aux nombreuses années d’efforts déployés pour mieux comprendre la situation des citoyens exposés au risque de </w:t>
      </w:r>
      <w:r>
        <w:rPr>
          <w:rFonts w:ascii="Times New Roman" w:hAnsi="Times New Roman"/>
          <w:b/>
          <w:smallCaps/>
          <w:sz w:val="22"/>
        </w:rPr>
        <w:t>précarité énergétique</w:t>
      </w:r>
      <w:r>
        <w:rPr>
          <w:rFonts w:ascii="Times New Roman" w:hAnsi="Times New Roman"/>
          <w:sz w:val="22"/>
        </w:rPr>
        <w:t>, le CESE a mené de multiples activités pour que la question reste parmi les priorités à l’ordre du jour de l’Union dans ce contexte en évolution.</w:t>
      </w:r>
    </w:p>
    <w:p w14:paraId="284BDCAA" w14:textId="77777777" w:rsidR="00321697" w:rsidRPr="000B323C" w:rsidRDefault="00321697" w:rsidP="006E7A01">
      <w:pPr>
        <w:pStyle w:val="NormalWeb"/>
        <w:spacing w:before="0" w:beforeAutospacing="0" w:after="0" w:afterAutospacing="0"/>
        <w:jc w:val="both"/>
        <w:rPr>
          <w:sz w:val="22"/>
          <w:szCs w:val="22"/>
          <w:lang w:val="en-US"/>
        </w:rPr>
      </w:pPr>
    </w:p>
    <w:p w14:paraId="015D32DD" w14:textId="14DF1F2B" w:rsidR="00321697" w:rsidRPr="000B323C" w:rsidRDefault="00321697" w:rsidP="006E7A01">
      <w:pPr>
        <w:pStyle w:val="NormalWeb"/>
        <w:spacing w:before="0" w:beforeAutospacing="0" w:after="0" w:afterAutospacing="0"/>
        <w:jc w:val="both"/>
        <w:rPr>
          <w:sz w:val="22"/>
          <w:szCs w:val="22"/>
        </w:rPr>
      </w:pPr>
      <w:r>
        <w:rPr>
          <w:sz w:val="22"/>
        </w:rPr>
        <w:t xml:space="preserve">Les travaux de la section TEN, qu’il s’agisse d’avis ou de conférences, sont importants. Au fil des années passées à mener des activités fructueuses pour lutter contre le phénomène de la précarité énergétique, un réseau cohérent de parties prenantes et de partenaires a été mis sur pied et continue de croître. </w:t>
      </w:r>
    </w:p>
    <w:p w14:paraId="6F74F83D" w14:textId="77777777" w:rsidR="00321697" w:rsidRPr="000B323C" w:rsidRDefault="00321697" w:rsidP="006E7A01">
      <w:pPr>
        <w:pStyle w:val="NormalWeb"/>
        <w:spacing w:before="0" w:beforeAutospacing="0" w:after="0" w:afterAutospacing="0"/>
        <w:jc w:val="both"/>
        <w:rPr>
          <w:sz w:val="22"/>
          <w:szCs w:val="22"/>
          <w:lang w:val="en-US"/>
        </w:rPr>
      </w:pPr>
    </w:p>
    <w:p w14:paraId="75641F97" w14:textId="77777777" w:rsidR="00321697" w:rsidRPr="000B323C" w:rsidRDefault="00321697" w:rsidP="006E7A01">
      <w:pPr>
        <w:pStyle w:val="NormalWeb"/>
        <w:spacing w:before="0" w:beforeAutospacing="0" w:after="0" w:afterAutospacing="0"/>
        <w:jc w:val="both"/>
        <w:rPr>
          <w:sz w:val="22"/>
          <w:szCs w:val="22"/>
        </w:rPr>
      </w:pPr>
      <w:r>
        <w:rPr>
          <w:sz w:val="22"/>
        </w:rPr>
        <w:t xml:space="preserve">Le dialogue mené avec des organisations de terrain ainsi qu’avec d’autres institutions de l’UE a donné des </w:t>
      </w:r>
      <w:r>
        <w:rPr>
          <w:b/>
          <w:sz w:val="22"/>
        </w:rPr>
        <w:t>résultats</w:t>
      </w:r>
      <w:r>
        <w:rPr>
          <w:sz w:val="22"/>
        </w:rPr>
        <w:t xml:space="preserve"> </w:t>
      </w:r>
      <w:proofErr w:type="gramStart"/>
      <w:r>
        <w:rPr>
          <w:sz w:val="22"/>
        </w:rPr>
        <w:t>tangibles:</w:t>
      </w:r>
      <w:proofErr w:type="gramEnd"/>
    </w:p>
    <w:p w14:paraId="1D1CCABC" w14:textId="77777777" w:rsidR="00321697" w:rsidRPr="0096433C" w:rsidRDefault="00321697" w:rsidP="006E7A01">
      <w:pPr>
        <w:pStyle w:val="NormalWeb"/>
        <w:spacing w:before="0" w:beforeAutospacing="0" w:after="0" w:afterAutospacing="0"/>
        <w:jc w:val="both"/>
        <w:rPr>
          <w:sz w:val="22"/>
          <w:szCs w:val="22"/>
          <w:lang w:val="fr-BE"/>
        </w:rPr>
      </w:pPr>
    </w:p>
    <w:p w14:paraId="749A50E8" w14:textId="260462FE" w:rsidR="00321697" w:rsidRPr="000B323C" w:rsidRDefault="00321697" w:rsidP="003837ED">
      <w:pPr>
        <w:pStyle w:val="NormalWeb"/>
        <w:numPr>
          <w:ilvl w:val="0"/>
          <w:numId w:val="17"/>
        </w:numPr>
        <w:spacing w:before="0" w:beforeAutospacing="0" w:after="0" w:afterAutospacing="0"/>
        <w:ind w:left="284" w:hanging="284"/>
        <w:jc w:val="both"/>
        <w:rPr>
          <w:sz w:val="22"/>
          <w:szCs w:val="22"/>
        </w:rPr>
      </w:pPr>
      <w:proofErr w:type="gramStart"/>
      <w:r>
        <w:rPr>
          <w:sz w:val="22"/>
        </w:rPr>
        <w:t>sensibilisation</w:t>
      </w:r>
      <w:proofErr w:type="gramEnd"/>
      <w:r>
        <w:rPr>
          <w:sz w:val="22"/>
        </w:rPr>
        <w:t xml:space="preserve"> </w:t>
      </w:r>
      <w:proofErr w:type="gramStart"/>
      <w:r>
        <w:rPr>
          <w:sz w:val="22"/>
        </w:rPr>
        <w:t>accrue;</w:t>
      </w:r>
      <w:proofErr w:type="gramEnd"/>
    </w:p>
    <w:p w14:paraId="5F1EC07A" w14:textId="1156701C" w:rsidR="00321697" w:rsidRPr="000B323C" w:rsidRDefault="00321697" w:rsidP="003837ED">
      <w:pPr>
        <w:pStyle w:val="NormalWeb"/>
        <w:numPr>
          <w:ilvl w:val="0"/>
          <w:numId w:val="17"/>
        </w:numPr>
        <w:spacing w:before="0" w:beforeAutospacing="0" w:after="0" w:afterAutospacing="0"/>
        <w:ind w:left="284" w:hanging="284"/>
        <w:jc w:val="both"/>
        <w:rPr>
          <w:sz w:val="22"/>
          <w:szCs w:val="22"/>
        </w:rPr>
      </w:pPr>
      <w:proofErr w:type="gramStart"/>
      <w:r>
        <w:rPr>
          <w:sz w:val="22"/>
        </w:rPr>
        <w:t>transmission</w:t>
      </w:r>
      <w:proofErr w:type="gramEnd"/>
      <w:r>
        <w:rPr>
          <w:sz w:val="22"/>
        </w:rPr>
        <w:t xml:space="preserve"> de la voix des personnes en situation de précarité énergétique au niveau de </w:t>
      </w:r>
      <w:proofErr w:type="gramStart"/>
      <w:r>
        <w:rPr>
          <w:sz w:val="22"/>
        </w:rPr>
        <w:t>l’Union;</w:t>
      </w:r>
      <w:proofErr w:type="gramEnd"/>
    </w:p>
    <w:p w14:paraId="39CAED40" w14:textId="3C17A0BD" w:rsidR="00321697" w:rsidRPr="000B323C" w:rsidRDefault="00321697" w:rsidP="003837ED">
      <w:pPr>
        <w:pStyle w:val="NormalWeb"/>
        <w:numPr>
          <w:ilvl w:val="0"/>
          <w:numId w:val="17"/>
        </w:numPr>
        <w:spacing w:before="0" w:beforeAutospacing="0" w:after="0" w:afterAutospacing="0"/>
        <w:ind w:left="284" w:hanging="284"/>
        <w:jc w:val="both"/>
        <w:rPr>
          <w:sz w:val="22"/>
          <w:szCs w:val="22"/>
        </w:rPr>
      </w:pPr>
      <w:proofErr w:type="gramStart"/>
      <w:r>
        <w:rPr>
          <w:sz w:val="22"/>
        </w:rPr>
        <w:t>prise</w:t>
      </w:r>
      <w:proofErr w:type="gramEnd"/>
      <w:r>
        <w:rPr>
          <w:sz w:val="22"/>
        </w:rPr>
        <w:t xml:space="preserve"> en compte de nos demandes dans les recommandations de la Commission européenne de 2023 adressées aux États </w:t>
      </w:r>
      <w:proofErr w:type="gramStart"/>
      <w:r>
        <w:rPr>
          <w:sz w:val="22"/>
        </w:rPr>
        <w:t>membres;</w:t>
      </w:r>
      <w:proofErr w:type="gramEnd"/>
    </w:p>
    <w:p w14:paraId="38FC7D6D" w14:textId="717E3FD5" w:rsidR="00321697" w:rsidRPr="000B323C" w:rsidRDefault="00321697" w:rsidP="003837ED">
      <w:pPr>
        <w:pStyle w:val="NormalWeb"/>
        <w:numPr>
          <w:ilvl w:val="0"/>
          <w:numId w:val="17"/>
        </w:numPr>
        <w:spacing w:before="0" w:beforeAutospacing="0" w:after="0" w:afterAutospacing="0"/>
        <w:ind w:left="284" w:hanging="284"/>
        <w:jc w:val="both"/>
        <w:rPr>
          <w:sz w:val="22"/>
          <w:szCs w:val="22"/>
        </w:rPr>
      </w:pPr>
      <w:proofErr w:type="gramStart"/>
      <w:r>
        <w:rPr>
          <w:sz w:val="22"/>
        </w:rPr>
        <w:t>nous</w:t>
      </w:r>
      <w:proofErr w:type="gramEnd"/>
      <w:r>
        <w:rPr>
          <w:sz w:val="22"/>
        </w:rPr>
        <w:t xml:space="preserve"> sommes devenus un moyen de recueillir et de transmettre les points de vue d’un réseau solide de la société civile, du monde universitaire, des institutions de l’UE, des États membres ainsi que des acteurs régionaux et </w:t>
      </w:r>
      <w:proofErr w:type="gramStart"/>
      <w:r>
        <w:rPr>
          <w:sz w:val="22"/>
        </w:rPr>
        <w:t>locaux;</w:t>
      </w:r>
      <w:proofErr w:type="gramEnd"/>
    </w:p>
    <w:p w14:paraId="49649BE2" w14:textId="1363D208" w:rsidR="00321697" w:rsidRPr="000B323C" w:rsidRDefault="00321697" w:rsidP="003837ED">
      <w:pPr>
        <w:pStyle w:val="NormalWeb"/>
        <w:numPr>
          <w:ilvl w:val="0"/>
          <w:numId w:val="17"/>
        </w:numPr>
        <w:spacing w:before="0" w:beforeAutospacing="0" w:after="0" w:afterAutospacing="0"/>
        <w:ind w:left="284" w:hanging="284"/>
        <w:jc w:val="both"/>
        <w:rPr>
          <w:sz w:val="22"/>
          <w:szCs w:val="22"/>
        </w:rPr>
      </w:pPr>
      <w:proofErr w:type="gramStart"/>
      <w:r>
        <w:rPr>
          <w:sz w:val="22"/>
        </w:rPr>
        <w:t>le</w:t>
      </w:r>
      <w:proofErr w:type="gramEnd"/>
      <w:r>
        <w:rPr>
          <w:sz w:val="22"/>
        </w:rPr>
        <w:t xml:space="preserve"> plan d’action de 2025 pour une énergie abordable élargit son champ d’action pour garantir le caractère abordable de l’énergie pour tous les citoyens et entreprises européens, et pas seulement pour les personnes en situation de précarité </w:t>
      </w:r>
      <w:proofErr w:type="gramStart"/>
      <w:r>
        <w:rPr>
          <w:sz w:val="22"/>
        </w:rPr>
        <w:t>énergétique;</w:t>
      </w:r>
      <w:proofErr w:type="gramEnd"/>
    </w:p>
    <w:p w14:paraId="33BD0C69" w14:textId="77777777" w:rsidR="00321697" w:rsidRPr="000B323C" w:rsidRDefault="00321697" w:rsidP="003837ED">
      <w:pPr>
        <w:pStyle w:val="NormalWeb"/>
        <w:numPr>
          <w:ilvl w:val="0"/>
          <w:numId w:val="17"/>
        </w:numPr>
        <w:spacing w:before="0" w:beforeAutospacing="0" w:after="0" w:afterAutospacing="0"/>
        <w:ind w:left="284" w:hanging="284"/>
        <w:jc w:val="both"/>
        <w:rPr>
          <w:sz w:val="22"/>
          <w:szCs w:val="22"/>
        </w:rPr>
      </w:pPr>
      <w:proofErr w:type="gramStart"/>
      <w:r>
        <w:rPr>
          <w:sz w:val="22"/>
        </w:rPr>
        <w:t>la</w:t>
      </w:r>
      <w:proofErr w:type="gramEnd"/>
      <w:r>
        <w:rPr>
          <w:sz w:val="22"/>
        </w:rPr>
        <w:t xml:space="preserve"> Commission européenne s’appuie de plus en plus sur nous pour apporter des contributions de la société civile, en nous demandant de coorganiser la conférence de 2025 et d’élaborer un avis exploratoire sur le train de mesures sur l’énergie citoyenne de 2026.</w:t>
      </w:r>
    </w:p>
    <w:p w14:paraId="7691F3C7" w14:textId="77777777" w:rsidR="00321697" w:rsidRPr="0096433C" w:rsidRDefault="00321697" w:rsidP="006E7A01">
      <w:pPr>
        <w:pStyle w:val="NormalWeb"/>
        <w:spacing w:before="0" w:beforeAutospacing="0" w:after="0" w:afterAutospacing="0"/>
        <w:jc w:val="both"/>
        <w:rPr>
          <w:sz w:val="22"/>
          <w:szCs w:val="22"/>
          <w:lang w:val="fr-BE"/>
        </w:rPr>
      </w:pPr>
    </w:p>
    <w:p w14:paraId="78454558" w14:textId="2B67413A" w:rsidR="00304788" w:rsidRPr="000B323C" w:rsidRDefault="00321697" w:rsidP="006E7A01">
      <w:pPr>
        <w:spacing w:after="0" w:line="240" w:lineRule="auto"/>
        <w:jc w:val="both"/>
        <w:rPr>
          <w:rFonts w:ascii="Times New Roman" w:eastAsiaTheme="minorHAnsi" w:hAnsi="Times New Roman" w:cs="Times New Roman"/>
          <w:sz w:val="22"/>
          <w:szCs w:val="22"/>
        </w:rPr>
      </w:pPr>
      <w:r>
        <w:rPr>
          <w:rFonts w:ascii="Times New Roman" w:hAnsi="Times New Roman"/>
          <w:sz w:val="22"/>
        </w:rPr>
        <w:t xml:space="preserve">Depuis 2021, le Comité organise une série de </w:t>
      </w:r>
      <w:r>
        <w:rPr>
          <w:rFonts w:ascii="Times New Roman" w:hAnsi="Times New Roman"/>
          <w:b/>
          <w:sz w:val="22"/>
        </w:rPr>
        <w:t>conférences annuelles</w:t>
      </w:r>
      <w:r>
        <w:rPr>
          <w:rFonts w:ascii="Times New Roman" w:hAnsi="Times New Roman"/>
          <w:sz w:val="22"/>
        </w:rPr>
        <w:t xml:space="preserve"> réunissant à la fois les institutions de l’UE et les parties prenantes sur le terrain. Cette série de conférences a bénéficié de la participation active de diverses institutions, dont la Commission européenne, le Comité européen des régions, le Parlement européen, le Conseil européen et les ministères nationaux, ainsi que de plus de quarante organisations de la société civile. Le premier événement a été la «</w:t>
      </w:r>
      <w:hyperlink r:id="rId92" w:history="1">
        <w:r>
          <w:rPr>
            <w:rStyle w:val="Hyperlink"/>
            <w:rFonts w:ascii="Times New Roman" w:hAnsi="Times New Roman"/>
            <w:sz w:val="22"/>
          </w:rPr>
          <w:t>Conférence sur la précarité énergétique à la croisée des chemins entre le socle européen des droits sociaux et le pacte vert pour l’Europe</w:t>
        </w:r>
      </w:hyperlink>
      <w:r>
        <w:t xml:space="preserve">». </w:t>
      </w:r>
      <w:r>
        <w:rPr>
          <w:rFonts w:ascii="Times New Roman" w:hAnsi="Times New Roman"/>
          <w:sz w:val="22"/>
        </w:rPr>
        <w:t>Nos partenaires de longue date, le groupe consultatif sur la précarité énergétique et le réseau européen de lutte contre la pauvreté (EAPN), disposent depuis lors d’un espace. La création même du groupe consultatif sur la précarité énergétique, une plateforme centrale d’expertise en matière de précarité énergétique pour les activités locales et régionales, a suivi l’</w:t>
      </w:r>
      <w:hyperlink r:id="rId93" w:history="1">
        <w:r>
          <w:rPr>
            <w:rStyle w:val="Hyperlink"/>
            <w:rFonts w:ascii="Times New Roman" w:hAnsi="Times New Roman"/>
            <w:sz w:val="22"/>
          </w:rPr>
          <w:t>appel du CESE</w:t>
        </w:r>
      </w:hyperlink>
      <w:r>
        <w:rPr>
          <w:rFonts w:ascii="Times New Roman" w:hAnsi="Times New Roman"/>
          <w:sz w:val="22"/>
        </w:rPr>
        <w:t xml:space="preserve"> en faveur de la création d’un observatoire coordonnant les mesures européennes de prévention et de lutte contre la précarité énergétique.</w:t>
      </w:r>
    </w:p>
    <w:p w14:paraId="7EF84637" w14:textId="77777777" w:rsidR="00321697" w:rsidRPr="000B323C" w:rsidRDefault="00321697" w:rsidP="006E7A01">
      <w:pPr>
        <w:pStyle w:val="NormalWeb"/>
        <w:spacing w:before="0" w:beforeAutospacing="0" w:after="0" w:afterAutospacing="0"/>
        <w:jc w:val="both"/>
        <w:rPr>
          <w:sz w:val="22"/>
          <w:szCs w:val="22"/>
          <w:lang w:val="en-US"/>
        </w:rPr>
      </w:pPr>
    </w:p>
    <w:p w14:paraId="326395E0" w14:textId="65B2DE2D" w:rsidR="00264982" w:rsidRPr="000B323C" w:rsidRDefault="00321697" w:rsidP="006E7A01">
      <w:pPr>
        <w:spacing w:after="0" w:line="240" w:lineRule="auto"/>
        <w:jc w:val="both"/>
        <w:rPr>
          <w:rFonts w:ascii="Times New Roman" w:hAnsi="Times New Roman" w:cs="Times New Roman"/>
          <w:sz w:val="22"/>
          <w:szCs w:val="22"/>
        </w:rPr>
      </w:pPr>
      <w:r>
        <w:rPr>
          <w:rFonts w:ascii="Times New Roman" w:hAnsi="Times New Roman"/>
          <w:color w:val="000000"/>
          <w:sz w:val="22"/>
        </w:rPr>
        <w:t xml:space="preserve">Après avoir ouvert la voie à une compréhension approfondie et exhaustive de la question multidimensionnelle du caractère abordable de l’énergie pour tous, en 2023, la </w:t>
      </w:r>
      <w:r w:rsidRPr="00C834F8">
        <w:rPr>
          <w:rFonts w:ascii="Times New Roman" w:hAnsi="Times New Roman" w:cs="Times New Roman"/>
          <w:color w:val="000000"/>
          <w:sz w:val="22"/>
          <w:szCs w:val="22"/>
        </w:rPr>
        <w:t xml:space="preserve">conférence intitulée </w:t>
      </w:r>
      <w:r w:rsidR="00C834F8">
        <w:rPr>
          <w:rFonts w:ascii="Times New Roman" w:hAnsi="Times New Roman" w:cs="Times New Roman"/>
          <w:color w:val="000000"/>
          <w:sz w:val="22"/>
          <w:szCs w:val="22"/>
        </w:rPr>
        <w:t>«</w:t>
      </w:r>
      <w:hyperlink r:id="rId94" w:history="1">
        <w:r w:rsidR="00C834F8" w:rsidRPr="00C834F8">
          <w:rPr>
            <w:rStyle w:val="Hyperlink"/>
            <w:rFonts w:ascii="Times New Roman" w:hAnsi="Times New Roman" w:cs="Times New Roman"/>
            <w:sz w:val="22"/>
            <w:szCs w:val="22"/>
          </w:rPr>
          <w:t xml:space="preserve">Lutter </w:t>
        </w:r>
        <w:r w:rsidR="00C834F8" w:rsidRPr="00C834F8">
          <w:rPr>
            <w:rStyle w:val="Hyperlink"/>
            <w:rFonts w:ascii="Times New Roman" w:hAnsi="Times New Roman" w:cs="Times New Roman"/>
            <w:sz w:val="22"/>
            <w:szCs w:val="22"/>
          </w:rPr>
          <w:lastRenderedPageBreak/>
          <w:t>contre la précarité énergétique pour une transition juste</w:t>
        </w:r>
      </w:hyperlink>
      <w:r w:rsidR="00C834F8">
        <w:rPr>
          <w:rFonts w:ascii="Times New Roman" w:hAnsi="Times New Roman" w:cs="Times New Roman"/>
          <w:sz w:val="22"/>
          <w:szCs w:val="22"/>
        </w:rPr>
        <w:t>»</w:t>
      </w:r>
      <w:r w:rsidRPr="00C834F8">
        <w:rPr>
          <w:rFonts w:ascii="Times New Roman" w:hAnsi="Times New Roman" w:cs="Times New Roman"/>
          <w:color w:val="000000"/>
          <w:sz w:val="22"/>
          <w:szCs w:val="22"/>
        </w:rPr>
        <w:t xml:space="preserve"> a</w:t>
      </w:r>
      <w:r>
        <w:rPr>
          <w:rFonts w:ascii="Times New Roman" w:hAnsi="Times New Roman"/>
          <w:color w:val="000000"/>
          <w:sz w:val="22"/>
        </w:rPr>
        <w:t xml:space="preserve"> étendu davantage le réseau RTE aux personnes en situation de précarité énergétique elles-mêmes. </w:t>
      </w:r>
      <w:r>
        <w:rPr>
          <w:rFonts w:ascii="Times New Roman" w:hAnsi="Times New Roman"/>
          <w:sz w:val="22"/>
        </w:rPr>
        <w:t>Cette année, le groupe consultatif sur la précarité énergétique a organisé une série d’</w:t>
      </w:r>
      <w:hyperlink r:id="rId95" w:history="1">
        <w:r>
          <w:rPr>
            <w:rStyle w:val="Hyperlink"/>
            <w:rFonts w:ascii="Times New Roman" w:hAnsi="Times New Roman"/>
            <w:sz w:val="22"/>
          </w:rPr>
          <w:t>ateliers nationaux</w:t>
        </w:r>
      </w:hyperlink>
      <w:r>
        <w:rPr>
          <w:rFonts w:ascii="Times New Roman" w:hAnsi="Times New Roman"/>
          <w:sz w:val="22"/>
        </w:rPr>
        <w:t xml:space="preserve"> dans sept pays européens afin de mettre en relation les acteurs locaux et de fournir une plateforme d’échange lors de la conférence du CESE. Cette même année, l’EAPN, représentant 31 réseaux nationaux et 13 organisations européennes, a organisé une </w:t>
      </w:r>
      <w:r>
        <w:t xml:space="preserve"> </w:t>
      </w:r>
      <w:hyperlink r:id="rId96" w:history="1">
        <w:r>
          <w:rPr>
            <w:rStyle w:val="Hyperlink"/>
            <w:rFonts w:ascii="Times New Roman" w:hAnsi="Times New Roman"/>
            <w:sz w:val="22"/>
          </w:rPr>
          <w:t>manifestation parallèle</w:t>
        </w:r>
      </w:hyperlink>
      <w:r>
        <w:rPr>
          <w:rFonts w:ascii="Times New Roman" w:hAnsi="Times New Roman"/>
          <w:sz w:val="22"/>
        </w:rPr>
        <w:t xml:space="preserve"> rassemblant les voix des personnes en situation de précarité énergétique afin de favoriser un dialogue ouvert et le partage des connaissances, en centrant les expériences. </w:t>
      </w:r>
    </w:p>
    <w:p w14:paraId="1E137685" w14:textId="77777777" w:rsidR="00264982" w:rsidRPr="000B323C" w:rsidRDefault="00264982" w:rsidP="006E7A01">
      <w:pPr>
        <w:spacing w:after="0" w:line="240" w:lineRule="auto"/>
        <w:jc w:val="both"/>
        <w:rPr>
          <w:rFonts w:ascii="Times New Roman" w:hAnsi="Times New Roman" w:cs="Times New Roman"/>
          <w:sz w:val="22"/>
          <w:szCs w:val="22"/>
          <w:lang w:val="en-GB"/>
        </w:rPr>
      </w:pPr>
    </w:p>
    <w:p w14:paraId="15AAB135" w14:textId="6BB6803D" w:rsidR="00321697" w:rsidRPr="000B323C" w:rsidRDefault="00321697" w:rsidP="006E7A01">
      <w:pPr>
        <w:spacing w:after="0" w:line="240" w:lineRule="auto"/>
        <w:jc w:val="both"/>
        <w:rPr>
          <w:rFonts w:ascii="Times New Roman" w:hAnsi="Times New Roman" w:cs="Times New Roman"/>
          <w:sz w:val="22"/>
          <w:szCs w:val="22"/>
        </w:rPr>
      </w:pPr>
      <w:r>
        <w:rPr>
          <w:rFonts w:ascii="Times New Roman" w:hAnsi="Times New Roman"/>
          <w:color w:val="000000"/>
          <w:sz w:val="22"/>
        </w:rPr>
        <w:t xml:space="preserve">Cette conférence a invité la Commission européenne à proposer des mesures concrètes aux États membres sur la manière de lutter contre la précarité énergétique. La Commission européenne a répondu en </w:t>
      </w:r>
      <w:r>
        <w:rPr>
          <w:rFonts w:ascii="Times New Roman" w:hAnsi="Times New Roman"/>
          <w:sz w:val="22"/>
        </w:rPr>
        <w:t xml:space="preserve">publiant, le 20 octobre 2023, une </w:t>
      </w:r>
      <w:hyperlink r:id="rId97" w:history="1">
        <w:r>
          <w:rPr>
            <w:rStyle w:val="Hyperlink"/>
            <w:rFonts w:ascii="Times New Roman" w:hAnsi="Times New Roman"/>
            <w:sz w:val="22"/>
          </w:rPr>
          <w:t>recommandation</w:t>
        </w:r>
      </w:hyperlink>
      <w:r>
        <w:rPr>
          <w:rFonts w:ascii="Times New Roman" w:hAnsi="Times New Roman"/>
          <w:sz w:val="22"/>
        </w:rPr>
        <w:t xml:space="preserve"> sur la précarité énergétique adressée aux États membres, dont la moitié du contenu correspond aux </w:t>
      </w:r>
      <w:r>
        <w:rPr>
          <w:rFonts w:ascii="Times New Roman" w:hAnsi="Times New Roman"/>
          <w:b/>
          <w:sz w:val="22"/>
        </w:rPr>
        <w:t>recommandations du CESE</w:t>
      </w:r>
      <w:r>
        <w:rPr>
          <w:rFonts w:ascii="Times New Roman" w:hAnsi="Times New Roman"/>
          <w:sz w:val="22"/>
        </w:rPr>
        <w:t xml:space="preserve"> sur la manière de mettre en œuvre efficacement les mesures de lutte contre la pauvreté. </w:t>
      </w:r>
    </w:p>
    <w:p w14:paraId="53629FA4" w14:textId="77777777" w:rsidR="00264982" w:rsidRPr="000B323C" w:rsidRDefault="00264982" w:rsidP="006E7A01">
      <w:pPr>
        <w:spacing w:after="0" w:line="240" w:lineRule="auto"/>
        <w:jc w:val="both"/>
        <w:rPr>
          <w:rFonts w:ascii="Times New Roman" w:eastAsiaTheme="minorHAnsi" w:hAnsi="Times New Roman" w:cs="Times New Roman"/>
          <w:sz w:val="22"/>
          <w:szCs w:val="22"/>
          <w:lang w:eastAsia="fr-BE" w:bidi="pa-IN"/>
        </w:rPr>
      </w:pPr>
    </w:p>
    <w:p w14:paraId="1878E732" w14:textId="77777777" w:rsidR="00321697" w:rsidRPr="000B323C" w:rsidRDefault="00321697" w:rsidP="006E7A01">
      <w:pPr>
        <w:pStyle w:val="NormalWeb"/>
        <w:spacing w:before="0" w:beforeAutospacing="0" w:after="0" w:afterAutospacing="0"/>
        <w:jc w:val="both"/>
        <w:rPr>
          <w:sz w:val="22"/>
          <w:szCs w:val="22"/>
        </w:rPr>
      </w:pPr>
      <w:r>
        <w:rPr>
          <w:sz w:val="22"/>
        </w:rPr>
        <w:t>À la suite de la crise des prix de l’énergie, la question de l’énergie abordable s’est étendue au-delà des citoyens vulnérables et a commencé à toucher la société dans son ensemble. En réponse, le CESE a décidé d’élargir son champ d’action afin de garantir le caractère abordable de l’énergie à tous les citoyens et entreprises européens. Cet engagement se manifeste dans la conférence de 2024 sur le thème «</w:t>
      </w:r>
      <w:hyperlink r:id="rId98" w:history="1">
        <w:r>
          <w:rPr>
            <w:rStyle w:val="Hyperlink"/>
            <w:sz w:val="22"/>
          </w:rPr>
          <w:t>Une énergie abordable — Donner corps aux idées de la société civile</w:t>
        </w:r>
      </w:hyperlink>
      <w:r>
        <w:rPr>
          <w:sz w:val="22"/>
        </w:rPr>
        <w:t>». La Commission européenne a également adopté cette approche dans son plan d’action de 2025 pour une énergie abordable.</w:t>
      </w:r>
    </w:p>
    <w:p w14:paraId="714A21E2" w14:textId="55174D9F" w:rsidR="00321697" w:rsidRPr="000B323C" w:rsidRDefault="00321697" w:rsidP="006E7A01">
      <w:pPr>
        <w:pStyle w:val="NormalWeb"/>
        <w:spacing w:before="0" w:beforeAutospacing="0" w:after="0" w:afterAutospacing="0"/>
        <w:jc w:val="both"/>
        <w:rPr>
          <w:sz w:val="22"/>
          <w:szCs w:val="22"/>
          <w:lang w:val="en-US"/>
        </w:rPr>
      </w:pPr>
    </w:p>
    <w:p w14:paraId="4402C832" w14:textId="6D9236DD" w:rsidR="00321697" w:rsidRPr="000B323C" w:rsidRDefault="00321697" w:rsidP="006E7A01">
      <w:pPr>
        <w:pStyle w:val="NormalWeb"/>
        <w:spacing w:before="0" w:beforeAutospacing="0" w:after="0" w:afterAutospacing="0"/>
        <w:jc w:val="both"/>
        <w:rPr>
          <w:sz w:val="22"/>
          <w:szCs w:val="22"/>
        </w:rPr>
      </w:pPr>
      <w:r>
        <w:rPr>
          <w:sz w:val="22"/>
        </w:rPr>
        <w:t>La dernière conférence, intitulée «</w:t>
      </w:r>
      <w:hyperlink r:id="rId99" w:history="1">
        <w:r>
          <w:rPr>
            <w:rStyle w:val="Hyperlink"/>
            <w:sz w:val="22"/>
          </w:rPr>
          <w:t>Fournir une énergie abordable en Europe</w:t>
        </w:r>
      </w:hyperlink>
      <w:r>
        <w:rPr>
          <w:sz w:val="22"/>
        </w:rPr>
        <w:t xml:space="preserve">», a été organisée en juin 2025 en collaboration avec la Commission européenne (DG ENER) et dans le cadre de la préparation du train de mesures sur l’énergie citoyenne. Le CESE a également été invité par la Commission à rédiger un </w:t>
      </w:r>
      <w:hyperlink r:id="rId100" w:history="1">
        <w:r>
          <w:rPr>
            <w:rStyle w:val="Hyperlink"/>
            <w:sz w:val="22"/>
          </w:rPr>
          <w:t>avis</w:t>
        </w:r>
      </w:hyperlink>
      <w:r>
        <w:rPr>
          <w:sz w:val="22"/>
        </w:rPr>
        <w:t xml:space="preserve"> afin de contribuer à l’élaboration du train de mesures, reflétant l’appel lancé de longue date par le Comité pour que les citoyens soient au cœur de la transition énergétique.</w:t>
      </w:r>
    </w:p>
    <w:p w14:paraId="39C711FD" w14:textId="77777777" w:rsidR="00321697" w:rsidRPr="000B323C" w:rsidRDefault="00321697" w:rsidP="006E7A01">
      <w:pPr>
        <w:pStyle w:val="NormalWeb"/>
        <w:spacing w:before="0" w:beforeAutospacing="0" w:after="0" w:afterAutospacing="0"/>
        <w:jc w:val="both"/>
        <w:rPr>
          <w:sz w:val="22"/>
          <w:szCs w:val="22"/>
          <w:lang w:val="en-US"/>
        </w:rPr>
      </w:pPr>
    </w:p>
    <w:p w14:paraId="2509D900" w14:textId="77777777" w:rsidR="00321697" w:rsidRPr="000B323C" w:rsidRDefault="00321697" w:rsidP="006E7A01">
      <w:pPr>
        <w:pStyle w:val="NormalWeb"/>
        <w:spacing w:before="0" w:beforeAutospacing="0" w:after="0" w:afterAutospacing="0"/>
        <w:jc w:val="both"/>
        <w:rPr>
          <w:sz w:val="22"/>
          <w:szCs w:val="22"/>
        </w:rPr>
      </w:pPr>
      <w:r>
        <w:rPr>
          <w:sz w:val="22"/>
        </w:rPr>
        <w:t>Outre des conférences et des avis, les éléments livrables de la section TEN concernant le caractère abordable de l’énergie ont également pris en compte la perspective de genre: le Comité a demandé une étude intitulée «</w:t>
      </w:r>
      <w:hyperlink r:id="rId101" w:history="1">
        <w:r>
          <w:rPr>
            <w:rStyle w:val="Hyperlink"/>
            <w:sz w:val="22"/>
          </w:rPr>
          <w:t>Données ventilées par sexe sur la précarité énergétique</w:t>
        </w:r>
      </w:hyperlink>
      <w:r>
        <w:rPr>
          <w:sz w:val="22"/>
        </w:rPr>
        <w:t>» afin de mieux comprendre l’interdépendance entre le genre et la précarité énergétique.</w:t>
      </w:r>
    </w:p>
    <w:p w14:paraId="05D6906C" w14:textId="77777777" w:rsidR="00321697" w:rsidRPr="000B323C" w:rsidRDefault="00321697" w:rsidP="006E7A01">
      <w:pPr>
        <w:pStyle w:val="NormalWeb"/>
        <w:spacing w:before="0" w:beforeAutospacing="0" w:after="0" w:afterAutospacing="0"/>
        <w:jc w:val="both"/>
        <w:rPr>
          <w:sz w:val="22"/>
          <w:szCs w:val="22"/>
          <w:lang w:val="en-US"/>
        </w:rPr>
      </w:pPr>
    </w:p>
    <w:p w14:paraId="7FEEFF0D" w14:textId="24C7D5F2" w:rsidR="002E2BF1" w:rsidRPr="000B323C" w:rsidRDefault="00321697" w:rsidP="006E7A01">
      <w:pPr>
        <w:spacing w:after="0" w:line="240" w:lineRule="auto"/>
        <w:jc w:val="both"/>
        <w:rPr>
          <w:rFonts w:ascii="Times New Roman" w:hAnsi="Times New Roman" w:cs="Times New Roman"/>
          <w:sz w:val="22"/>
          <w:szCs w:val="22"/>
        </w:rPr>
      </w:pPr>
      <w:r>
        <w:rPr>
          <w:rFonts w:ascii="Times New Roman" w:hAnsi="Times New Roman"/>
          <w:sz w:val="22"/>
        </w:rPr>
        <w:t>L’engagement du CESE en matière de précarité énergétique est une entreprise couronnée de succès qui est étroitement liée à d’autres activités pertinentes, notamment l’efficacité énergétique dans la rénovation des bâtiments, le logement abordable, les transports durables, la réduction de la fracture numérique, l’investissement dans les infrastructures, les carburants alternatifs, le lien entre la précarité en matière de transport et la précarité énergétique, etc. C’est en reliant toutes ces questions ensemble que nous maximisons notre impact politique et notre visibilité.</w:t>
      </w:r>
    </w:p>
    <w:p w14:paraId="21676607" w14:textId="16C1EE77" w:rsidR="00757807" w:rsidRPr="000B323C" w:rsidRDefault="00757807" w:rsidP="006E7A01">
      <w:pPr>
        <w:spacing w:after="0" w:line="240" w:lineRule="auto"/>
        <w:jc w:val="both"/>
        <w:rPr>
          <w:rFonts w:ascii="Times New Roman" w:hAnsi="Times New Roman" w:cs="Times New Roman"/>
          <w:sz w:val="22"/>
          <w:szCs w:val="22"/>
          <w:lang w:val="en-GB" w:eastAsia="en-GB"/>
        </w:rPr>
      </w:pPr>
    </w:p>
    <w:p w14:paraId="0BFABE3C" w14:textId="60884543" w:rsidR="00757807" w:rsidRPr="000B323C" w:rsidRDefault="00757807" w:rsidP="00F721A4">
      <w:pPr>
        <w:pStyle w:val="ListParagraph"/>
        <w:numPr>
          <w:ilvl w:val="0"/>
          <w:numId w:val="30"/>
        </w:numPr>
        <w:spacing w:after="0" w:line="240" w:lineRule="auto"/>
        <w:ind w:left="0" w:firstLine="0"/>
        <w:jc w:val="both"/>
        <w:rPr>
          <w:rFonts w:ascii="Times New Roman" w:eastAsia="Calibri" w:hAnsi="Times New Roman" w:cs="Times New Roman"/>
          <w:sz w:val="22"/>
          <w:szCs w:val="22"/>
        </w:rPr>
      </w:pPr>
      <w:r>
        <w:rPr>
          <w:rFonts w:ascii="Times New Roman" w:hAnsi="Times New Roman"/>
          <w:sz w:val="22"/>
        </w:rPr>
        <w:t>Les données du dernier rapport</w:t>
      </w:r>
      <w:r w:rsidRPr="000B323C">
        <w:rPr>
          <w:rFonts w:ascii="Times New Roman" w:eastAsia="Calibri" w:hAnsi="Times New Roman" w:cs="Times New Roman"/>
          <w:sz w:val="22"/>
          <w:szCs w:val="22"/>
          <w:vertAlign w:val="superscript"/>
          <w:lang w:val="en-GB"/>
        </w:rPr>
        <w:footnoteReference w:id="1"/>
      </w:r>
      <w:r>
        <w:rPr>
          <w:rFonts w:ascii="Times New Roman" w:hAnsi="Times New Roman"/>
          <w:sz w:val="22"/>
        </w:rPr>
        <w:t xml:space="preserve"> élaboré par la Commission européenne montrent clairement que la quantité de </w:t>
      </w:r>
      <w:r>
        <w:rPr>
          <w:rFonts w:ascii="Times New Roman" w:hAnsi="Times New Roman"/>
          <w:b/>
          <w:smallCaps/>
          <w:sz w:val="22"/>
        </w:rPr>
        <w:t>déchets radioactifs</w:t>
      </w:r>
      <w:r>
        <w:rPr>
          <w:rFonts w:ascii="Times New Roman" w:hAnsi="Times New Roman"/>
          <w:sz w:val="22"/>
        </w:rPr>
        <w:t xml:space="preserve"> dans l’UE augmentera considérablement au cours de la prochaine décennie. On s’attend à ce que les déchets classés comme très faiblement radioactifs puissent presque </w:t>
      </w:r>
      <w:r>
        <w:rPr>
          <w:rFonts w:ascii="Times New Roman" w:hAnsi="Times New Roman"/>
          <w:sz w:val="22"/>
        </w:rPr>
        <w:lastRenderedPageBreak/>
        <w:t xml:space="preserve">doubler d’ici à 2030. Ces prévisions ne peuvent que confirmer l’impératif de garantir une gestion responsable et sûre du combustible usé et des déchets radioactifs. </w:t>
      </w:r>
    </w:p>
    <w:p w14:paraId="753549A3" w14:textId="0370D3DF" w:rsidR="00757807" w:rsidRPr="000B323C" w:rsidRDefault="00757807" w:rsidP="006E7A01">
      <w:pPr>
        <w:spacing w:after="0" w:line="240" w:lineRule="auto"/>
        <w:jc w:val="both"/>
        <w:rPr>
          <w:rFonts w:ascii="Times New Roman" w:eastAsia="Calibri" w:hAnsi="Times New Roman" w:cs="Times New Roman"/>
          <w:sz w:val="22"/>
          <w:szCs w:val="22"/>
        </w:rPr>
      </w:pPr>
      <w:r>
        <w:rPr>
          <w:rFonts w:ascii="Times New Roman" w:hAnsi="Times New Roman"/>
          <w:sz w:val="22"/>
        </w:rPr>
        <w:t>Cela implique également d’assumer des responsabilités et de ne pas léguer un fardeau aux générations futures. Si la science et la technologie nucléaires jouent un rôle diversifié dans des secteurs importants, par exemple dans le domaine de la médecine nucléaire, cet objectif ne peut être atteint que par un dialogue large et efficace entre les représentants de la société civile et les acteurs traditionnels de la gestion des déchets radioactifs dans tous les États membres.</w:t>
      </w:r>
    </w:p>
    <w:p w14:paraId="1A7CC57D" w14:textId="77777777" w:rsidR="00264982" w:rsidRPr="000B323C" w:rsidRDefault="00264982" w:rsidP="006E7A01">
      <w:pPr>
        <w:spacing w:after="0" w:line="240" w:lineRule="auto"/>
        <w:jc w:val="both"/>
        <w:rPr>
          <w:rFonts w:ascii="Times New Roman" w:eastAsia="Calibri" w:hAnsi="Times New Roman" w:cs="Times New Roman"/>
          <w:sz w:val="22"/>
          <w:szCs w:val="22"/>
          <w:lang w:val="en-GB"/>
        </w:rPr>
      </w:pPr>
    </w:p>
    <w:p w14:paraId="1856F365" w14:textId="1064DEA5" w:rsidR="00757807" w:rsidRPr="000B323C" w:rsidRDefault="00757807" w:rsidP="006E7A01">
      <w:pPr>
        <w:pStyle w:val="ListParagraph"/>
        <w:spacing w:after="0" w:line="240" w:lineRule="auto"/>
        <w:ind w:left="0"/>
        <w:jc w:val="both"/>
        <w:rPr>
          <w:rFonts w:ascii="Times New Roman" w:eastAsia="Times New Roman" w:hAnsi="Times New Roman" w:cs="Times New Roman"/>
          <w:sz w:val="22"/>
          <w:szCs w:val="22"/>
        </w:rPr>
      </w:pPr>
      <w:r>
        <w:rPr>
          <w:rFonts w:ascii="Times New Roman" w:hAnsi="Times New Roman"/>
          <w:sz w:val="22"/>
        </w:rPr>
        <w:t>Le programme européen commun pour la gestion des déchets radioactifs (</w:t>
      </w:r>
      <w:hyperlink r:id="rId102" w:history="1">
        <w:r>
          <w:rPr>
            <w:rStyle w:val="Hyperlink"/>
            <w:rFonts w:ascii="Times New Roman" w:hAnsi="Times New Roman"/>
            <w:sz w:val="22"/>
          </w:rPr>
          <w:t>EURAD</w:t>
        </w:r>
      </w:hyperlink>
      <w:r>
        <w:rPr>
          <w:rFonts w:ascii="Times New Roman" w:hAnsi="Times New Roman"/>
          <w:sz w:val="22"/>
        </w:rPr>
        <w:t>) soutient les États membres de l’UE en leur apportant le savoir-faire nécessaire à la mise en œuvre et à l’exploitation d’une gestion sûre et à long terme des déchets radioactifs. EURAD a pour mandat d’associer la société civile à ses activités.</w:t>
      </w:r>
    </w:p>
    <w:p w14:paraId="5AC422DC" w14:textId="77777777" w:rsidR="00757807" w:rsidRPr="000B323C" w:rsidRDefault="00757807" w:rsidP="006E7A01">
      <w:pPr>
        <w:pStyle w:val="ListParagraph"/>
        <w:spacing w:after="0" w:line="240" w:lineRule="auto"/>
        <w:ind w:left="0"/>
        <w:jc w:val="both"/>
        <w:rPr>
          <w:rFonts w:ascii="Times New Roman" w:eastAsia="Times New Roman" w:hAnsi="Times New Roman" w:cs="Times New Roman"/>
          <w:sz w:val="22"/>
          <w:szCs w:val="22"/>
          <w:lang w:val="en-GB" w:eastAsia="en-GB"/>
        </w:rPr>
      </w:pPr>
    </w:p>
    <w:p w14:paraId="317A4277" w14:textId="77777777" w:rsidR="00757807" w:rsidRPr="000B323C" w:rsidRDefault="00757807" w:rsidP="006E7A01">
      <w:pPr>
        <w:pStyle w:val="ListParagraph"/>
        <w:spacing w:after="0" w:line="240" w:lineRule="auto"/>
        <w:ind w:left="0"/>
        <w:jc w:val="both"/>
        <w:rPr>
          <w:rFonts w:ascii="Times New Roman" w:eastAsia="Times New Roman" w:hAnsi="Times New Roman" w:cs="Times New Roman"/>
          <w:sz w:val="22"/>
          <w:szCs w:val="22"/>
        </w:rPr>
      </w:pPr>
      <w:r>
        <w:rPr>
          <w:rFonts w:ascii="Times New Roman" w:hAnsi="Times New Roman"/>
          <w:sz w:val="22"/>
        </w:rPr>
        <w:t xml:space="preserve">En décembre 2023, EURAD a contacté le président de la section TEN, désireux de voir si le CESE, en tant qu’institution représentant la société civile européenne dans toute sa diversité, pourrait l’aider à élargir la portée de ses échanges avec la société civile sur cette question à un éventail plus large d’intérêts, dans le cadre d’une approche équilibrée. </w:t>
      </w:r>
    </w:p>
    <w:p w14:paraId="3A54A254" w14:textId="77777777" w:rsidR="00757807" w:rsidRPr="000B323C" w:rsidRDefault="00757807" w:rsidP="006E7A01">
      <w:pPr>
        <w:spacing w:after="0" w:line="240" w:lineRule="auto"/>
        <w:jc w:val="both"/>
        <w:rPr>
          <w:rFonts w:ascii="Times New Roman" w:hAnsi="Times New Roman" w:cs="Times New Roman"/>
          <w:sz w:val="22"/>
          <w:szCs w:val="22"/>
          <w:lang w:val="en-GB"/>
        </w:rPr>
      </w:pPr>
    </w:p>
    <w:p w14:paraId="5BE434D9" w14:textId="77777777" w:rsidR="00757807" w:rsidRPr="000B323C" w:rsidRDefault="00757807" w:rsidP="006E7A01">
      <w:pPr>
        <w:spacing w:after="0" w:line="240" w:lineRule="auto"/>
        <w:jc w:val="both"/>
        <w:rPr>
          <w:rFonts w:ascii="Times New Roman" w:hAnsi="Times New Roman" w:cs="Times New Roman"/>
          <w:b/>
          <w:bCs/>
          <w:sz w:val="22"/>
          <w:szCs w:val="22"/>
        </w:rPr>
      </w:pPr>
      <w:r>
        <w:rPr>
          <w:rFonts w:ascii="Times New Roman" w:hAnsi="Times New Roman"/>
          <w:b/>
          <w:sz w:val="22"/>
        </w:rPr>
        <w:t>Objectifs de la section TEN en matière de gestion des déchets radioactifs depuis octobre 2024</w:t>
      </w:r>
    </w:p>
    <w:p w14:paraId="5CCC5BD8" w14:textId="77777777" w:rsidR="00757807" w:rsidRPr="000B323C" w:rsidRDefault="00757807" w:rsidP="003837ED">
      <w:pPr>
        <w:pStyle w:val="ListParagraph"/>
        <w:numPr>
          <w:ilvl w:val="0"/>
          <w:numId w:val="2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t>Devenir un canal fiable, permanent et privilégié de consultation et de contribution de la société civile auprès de la Commission européenne (DG RTD, JRC, EURAD) sur la gestion des déchets radioactifs</w:t>
      </w:r>
    </w:p>
    <w:p w14:paraId="26EC66B4" w14:textId="77777777" w:rsidR="00757807" w:rsidRPr="000B323C" w:rsidRDefault="00757807" w:rsidP="003837ED">
      <w:pPr>
        <w:pStyle w:val="ListParagraph"/>
        <w:numPr>
          <w:ilvl w:val="0"/>
          <w:numId w:val="2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t>Désigner une délégation permanente de représentants du CESE au sein du consortium EURAD</w:t>
      </w:r>
    </w:p>
    <w:p w14:paraId="562CDD2F" w14:textId="77777777" w:rsidR="00757807" w:rsidRPr="000B323C" w:rsidRDefault="00757807" w:rsidP="003837ED">
      <w:pPr>
        <w:pStyle w:val="ListParagraph"/>
        <w:numPr>
          <w:ilvl w:val="0"/>
          <w:numId w:val="2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t>Organiser, en collaboration avec la DG RTD, des consultations régulières de la société civile afin de contribuer aux manifestations annuelles EURAD2</w:t>
      </w:r>
    </w:p>
    <w:p w14:paraId="122E2D18" w14:textId="77777777" w:rsidR="00757807" w:rsidRPr="000B323C" w:rsidRDefault="00757807" w:rsidP="003837ED">
      <w:pPr>
        <w:pStyle w:val="ListParagraph"/>
        <w:numPr>
          <w:ilvl w:val="0"/>
          <w:numId w:val="20"/>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t xml:space="preserve">À intervalles réguliers, lorsque cela est </w:t>
      </w:r>
      <w:proofErr w:type="gramStart"/>
      <w:r>
        <w:rPr>
          <w:rFonts w:ascii="Times New Roman" w:hAnsi="Times New Roman"/>
          <w:sz w:val="22"/>
        </w:rPr>
        <w:t>nécessaire:</w:t>
      </w:r>
      <w:proofErr w:type="gramEnd"/>
      <w:r>
        <w:rPr>
          <w:rFonts w:ascii="Times New Roman" w:hAnsi="Times New Roman"/>
          <w:sz w:val="22"/>
        </w:rPr>
        <w:t xml:space="preserve"> rédiger des avis, si possible des avis exploratoires, afin de suivre les évolutions concernant la gestion des déchets radioactifs dans l’Union et d’y répondre.</w:t>
      </w:r>
    </w:p>
    <w:p w14:paraId="10849D1B" w14:textId="77777777" w:rsidR="00757807" w:rsidRPr="0096433C" w:rsidRDefault="00757807" w:rsidP="006E7A01">
      <w:pPr>
        <w:spacing w:after="0" w:line="240" w:lineRule="auto"/>
        <w:jc w:val="both"/>
        <w:rPr>
          <w:rFonts w:ascii="Times New Roman" w:hAnsi="Times New Roman" w:cs="Times New Roman"/>
          <w:sz w:val="22"/>
          <w:szCs w:val="22"/>
          <w:lang w:val="fr-BE"/>
        </w:rPr>
      </w:pPr>
    </w:p>
    <w:p w14:paraId="4A8BCECE" w14:textId="77777777" w:rsidR="00757807" w:rsidRPr="000B323C" w:rsidRDefault="00757807" w:rsidP="006E7A01">
      <w:pPr>
        <w:spacing w:after="0" w:line="240" w:lineRule="auto"/>
        <w:jc w:val="both"/>
        <w:rPr>
          <w:rFonts w:ascii="Times New Roman" w:hAnsi="Times New Roman" w:cs="Times New Roman"/>
          <w:b/>
          <w:bCs/>
          <w:sz w:val="22"/>
          <w:szCs w:val="22"/>
        </w:rPr>
      </w:pPr>
      <w:r>
        <w:rPr>
          <w:rFonts w:ascii="Times New Roman" w:hAnsi="Times New Roman"/>
          <w:b/>
          <w:sz w:val="22"/>
        </w:rPr>
        <w:t>Public cible</w:t>
      </w:r>
    </w:p>
    <w:p w14:paraId="70897EF0" w14:textId="77777777" w:rsidR="00757807" w:rsidRPr="000B323C" w:rsidRDefault="00757807" w:rsidP="00264982">
      <w:pPr>
        <w:pStyle w:val="ListParagraph"/>
        <w:numPr>
          <w:ilvl w:val="0"/>
          <w:numId w:val="2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2"/>
          <w:szCs w:val="22"/>
        </w:rPr>
      </w:pPr>
      <w:r>
        <w:rPr>
          <w:rFonts w:ascii="Times New Roman" w:hAnsi="Times New Roman"/>
          <w:sz w:val="22"/>
        </w:rPr>
        <w:t>DG RTD</w:t>
      </w:r>
    </w:p>
    <w:p w14:paraId="65D7AFAD" w14:textId="77777777" w:rsidR="00757807" w:rsidRPr="000B323C" w:rsidRDefault="00757807" w:rsidP="00264982">
      <w:pPr>
        <w:pStyle w:val="ListParagraph"/>
        <w:numPr>
          <w:ilvl w:val="0"/>
          <w:numId w:val="2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2"/>
          <w:szCs w:val="22"/>
        </w:rPr>
      </w:pPr>
      <w:r>
        <w:rPr>
          <w:rFonts w:ascii="Times New Roman" w:hAnsi="Times New Roman"/>
          <w:sz w:val="22"/>
        </w:rPr>
        <w:t>DG ENER</w:t>
      </w:r>
    </w:p>
    <w:p w14:paraId="1E7B6EAB" w14:textId="77777777" w:rsidR="00757807" w:rsidRPr="000B323C" w:rsidRDefault="00757807" w:rsidP="00264982">
      <w:pPr>
        <w:pStyle w:val="ListParagraph"/>
        <w:numPr>
          <w:ilvl w:val="0"/>
          <w:numId w:val="2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2"/>
          <w:szCs w:val="22"/>
        </w:rPr>
      </w:pPr>
      <w:r>
        <w:rPr>
          <w:rFonts w:ascii="Times New Roman" w:hAnsi="Times New Roman"/>
          <w:sz w:val="22"/>
        </w:rPr>
        <w:t>Consortium EURAD</w:t>
      </w:r>
    </w:p>
    <w:p w14:paraId="00516267" w14:textId="77777777" w:rsidR="00757807" w:rsidRPr="000B323C" w:rsidRDefault="00757807" w:rsidP="00264982">
      <w:pPr>
        <w:pStyle w:val="ListParagraph"/>
        <w:numPr>
          <w:ilvl w:val="0"/>
          <w:numId w:val="2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2"/>
          <w:szCs w:val="22"/>
        </w:rPr>
      </w:pPr>
      <w:r>
        <w:rPr>
          <w:rFonts w:ascii="Times New Roman" w:hAnsi="Times New Roman"/>
          <w:sz w:val="22"/>
        </w:rPr>
        <w:t>Organisations de la société civile de l’UE</w:t>
      </w:r>
    </w:p>
    <w:p w14:paraId="4D38B972" w14:textId="77777777" w:rsidR="00757807" w:rsidRPr="000B323C" w:rsidRDefault="00757807" w:rsidP="00264982">
      <w:pPr>
        <w:pStyle w:val="ListParagraph"/>
        <w:numPr>
          <w:ilvl w:val="0"/>
          <w:numId w:val="21"/>
        </w:numPr>
        <w:overflowPunct w:val="0"/>
        <w:autoSpaceDE w:val="0"/>
        <w:autoSpaceDN w:val="0"/>
        <w:adjustRightInd w:val="0"/>
        <w:spacing w:after="0" w:line="240" w:lineRule="auto"/>
        <w:ind w:left="0" w:firstLine="0"/>
        <w:jc w:val="both"/>
        <w:textAlignment w:val="baseline"/>
        <w:rPr>
          <w:rFonts w:ascii="Times New Roman" w:eastAsia="Times New Roman" w:hAnsi="Times New Roman" w:cs="Times New Roman"/>
          <w:sz w:val="22"/>
          <w:szCs w:val="22"/>
        </w:rPr>
      </w:pPr>
      <w:r>
        <w:rPr>
          <w:rFonts w:ascii="Times New Roman" w:hAnsi="Times New Roman"/>
          <w:sz w:val="22"/>
        </w:rPr>
        <w:t>États membres de l’UE</w:t>
      </w:r>
    </w:p>
    <w:p w14:paraId="142F34D1" w14:textId="77777777" w:rsidR="00757807" w:rsidRPr="000B323C" w:rsidRDefault="00757807" w:rsidP="00264982">
      <w:pPr>
        <w:pStyle w:val="ListParagraph"/>
        <w:numPr>
          <w:ilvl w:val="0"/>
          <w:numId w:val="21"/>
        </w:numPr>
        <w:spacing w:after="0" w:line="240" w:lineRule="auto"/>
        <w:ind w:left="0" w:firstLine="0"/>
        <w:jc w:val="both"/>
        <w:rPr>
          <w:rFonts w:ascii="Times New Roman" w:hAnsi="Times New Roman" w:cs="Times New Roman"/>
          <w:sz w:val="22"/>
          <w:szCs w:val="22"/>
        </w:rPr>
      </w:pPr>
      <w:r>
        <w:rPr>
          <w:rFonts w:ascii="Times New Roman" w:hAnsi="Times New Roman"/>
          <w:sz w:val="22"/>
        </w:rPr>
        <w:t>Autres parties prenantes intéressées par la gestion des déchets radioactifs (groupes de réflexion, universités, chercheurs, etc.)</w:t>
      </w:r>
    </w:p>
    <w:p w14:paraId="7209F516" w14:textId="77777777" w:rsidR="00757807" w:rsidRPr="000B323C" w:rsidRDefault="00757807" w:rsidP="006E7A01">
      <w:pPr>
        <w:spacing w:after="0" w:line="240" w:lineRule="auto"/>
        <w:jc w:val="both"/>
        <w:rPr>
          <w:rFonts w:ascii="Times New Roman" w:hAnsi="Times New Roman" w:cs="Times New Roman"/>
          <w:sz w:val="22"/>
          <w:szCs w:val="22"/>
          <w:lang w:val="en-GB"/>
        </w:rPr>
      </w:pPr>
    </w:p>
    <w:p w14:paraId="030C51EB" w14:textId="77777777" w:rsidR="00757807" w:rsidRPr="000B323C" w:rsidRDefault="00757807" w:rsidP="006E7A01">
      <w:pPr>
        <w:spacing w:after="0" w:line="240" w:lineRule="auto"/>
        <w:jc w:val="both"/>
        <w:rPr>
          <w:rFonts w:ascii="Times New Roman" w:hAnsi="Times New Roman" w:cs="Times New Roman"/>
          <w:b/>
          <w:bCs/>
          <w:sz w:val="22"/>
          <w:szCs w:val="22"/>
        </w:rPr>
      </w:pPr>
      <w:r>
        <w:rPr>
          <w:rFonts w:ascii="Times New Roman" w:hAnsi="Times New Roman"/>
          <w:b/>
          <w:sz w:val="22"/>
        </w:rPr>
        <w:t>La stratégie</w:t>
      </w:r>
    </w:p>
    <w:p w14:paraId="0AAF60D8" w14:textId="77777777" w:rsidR="00757807" w:rsidRPr="000B323C" w:rsidRDefault="00757807" w:rsidP="003837ED">
      <w:pPr>
        <w:numPr>
          <w:ilvl w:val="0"/>
          <w:numId w:val="22"/>
        </w:numPr>
        <w:spacing w:after="0" w:line="240" w:lineRule="auto"/>
        <w:ind w:left="284" w:hanging="284"/>
        <w:jc w:val="both"/>
        <w:rPr>
          <w:rFonts w:ascii="Times New Roman" w:hAnsi="Times New Roman" w:cs="Times New Roman"/>
          <w:sz w:val="22"/>
          <w:szCs w:val="22"/>
        </w:rPr>
      </w:pPr>
      <w:r>
        <w:rPr>
          <w:rFonts w:ascii="Times New Roman" w:hAnsi="Times New Roman"/>
          <w:sz w:val="22"/>
        </w:rPr>
        <w:t xml:space="preserve">Définition d’un </w:t>
      </w:r>
      <w:r>
        <w:rPr>
          <w:rFonts w:ascii="Times New Roman" w:hAnsi="Times New Roman"/>
          <w:b/>
          <w:sz w:val="22"/>
        </w:rPr>
        <w:t>calendrier d’action</w:t>
      </w:r>
      <w:r>
        <w:rPr>
          <w:rFonts w:ascii="Times New Roman" w:hAnsi="Times New Roman"/>
          <w:sz w:val="22"/>
        </w:rPr>
        <w:t xml:space="preserve"> à partir des premiers contacts exploratoires de la DG RTD jusqu’à la fin de 2024, dans le cadre de la nouvelle Commission</w:t>
      </w:r>
    </w:p>
    <w:p w14:paraId="0522E1FE" w14:textId="77777777" w:rsidR="00757807" w:rsidRPr="000B323C" w:rsidRDefault="00757807" w:rsidP="003837ED">
      <w:pPr>
        <w:numPr>
          <w:ilvl w:val="0"/>
          <w:numId w:val="22"/>
        </w:numPr>
        <w:spacing w:after="0" w:line="240" w:lineRule="auto"/>
        <w:ind w:left="284" w:hanging="284"/>
        <w:jc w:val="both"/>
        <w:rPr>
          <w:rFonts w:ascii="Times New Roman" w:hAnsi="Times New Roman" w:cs="Times New Roman"/>
          <w:sz w:val="22"/>
          <w:szCs w:val="22"/>
        </w:rPr>
      </w:pPr>
      <w:r>
        <w:rPr>
          <w:rFonts w:ascii="Times New Roman" w:hAnsi="Times New Roman"/>
          <w:sz w:val="22"/>
        </w:rPr>
        <w:t xml:space="preserve">Élaboration d’un </w:t>
      </w:r>
      <w:r>
        <w:rPr>
          <w:rFonts w:ascii="Times New Roman" w:hAnsi="Times New Roman"/>
          <w:b/>
          <w:sz w:val="22"/>
        </w:rPr>
        <w:t>avis d’initiative</w:t>
      </w:r>
      <w:r>
        <w:rPr>
          <w:rFonts w:ascii="Times New Roman" w:hAnsi="Times New Roman"/>
          <w:sz w:val="22"/>
        </w:rPr>
        <w:t xml:space="preserve"> au sein de la section TEN sur la gestion des déchets radioactifs, afin que le CESE dispose de ses propres points de vue et recommandations </w:t>
      </w:r>
    </w:p>
    <w:p w14:paraId="26447521" w14:textId="77777777" w:rsidR="00757807" w:rsidRPr="000B323C" w:rsidRDefault="00757807" w:rsidP="003837ED">
      <w:pPr>
        <w:numPr>
          <w:ilvl w:val="0"/>
          <w:numId w:val="22"/>
        </w:numPr>
        <w:spacing w:after="0" w:line="240" w:lineRule="auto"/>
        <w:ind w:left="284" w:hanging="284"/>
        <w:jc w:val="both"/>
        <w:rPr>
          <w:rFonts w:ascii="Times New Roman" w:hAnsi="Times New Roman" w:cs="Times New Roman"/>
          <w:sz w:val="22"/>
          <w:szCs w:val="22"/>
        </w:rPr>
      </w:pPr>
      <w:r>
        <w:rPr>
          <w:rFonts w:ascii="Times New Roman" w:hAnsi="Times New Roman"/>
          <w:sz w:val="22"/>
        </w:rPr>
        <w:t xml:space="preserve">Organisation d’une </w:t>
      </w:r>
      <w:r>
        <w:rPr>
          <w:rFonts w:ascii="Times New Roman" w:hAnsi="Times New Roman"/>
          <w:b/>
          <w:sz w:val="22"/>
        </w:rPr>
        <w:t>conférence spécifique conjointe CESE-DG RTD</w:t>
      </w:r>
      <w:r>
        <w:rPr>
          <w:rFonts w:ascii="Times New Roman" w:hAnsi="Times New Roman"/>
          <w:sz w:val="22"/>
        </w:rPr>
        <w:t xml:space="preserve"> en tant que première étape vers la future coopération soutenue dans le cadre d’EURAD2. Les objectifs de la manifestation conjointe seront les </w:t>
      </w:r>
      <w:proofErr w:type="gramStart"/>
      <w:r>
        <w:rPr>
          <w:rFonts w:ascii="Times New Roman" w:hAnsi="Times New Roman"/>
          <w:sz w:val="22"/>
        </w:rPr>
        <w:t>suivants:</w:t>
      </w:r>
      <w:proofErr w:type="gramEnd"/>
    </w:p>
    <w:p w14:paraId="2B4E2F7C" w14:textId="77777777" w:rsidR="00757807" w:rsidRPr="000B323C" w:rsidRDefault="00757807" w:rsidP="003837ED">
      <w:pPr>
        <w:numPr>
          <w:ilvl w:val="0"/>
          <w:numId w:val="23"/>
        </w:numPr>
        <w:spacing w:after="0" w:line="240" w:lineRule="auto"/>
        <w:ind w:left="284" w:hanging="284"/>
        <w:jc w:val="both"/>
        <w:rPr>
          <w:rFonts w:ascii="Times New Roman" w:hAnsi="Times New Roman" w:cs="Times New Roman"/>
          <w:sz w:val="22"/>
          <w:szCs w:val="22"/>
        </w:rPr>
      </w:pPr>
      <w:r>
        <w:rPr>
          <w:rFonts w:ascii="Times New Roman" w:hAnsi="Times New Roman"/>
          <w:sz w:val="22"/>
        </w:rPr>
        <w:t>Dialoguer avec les organisations européennes de la société civile, recueillir leurs contributions et leurs retours d’information</w:t>
      </w:r>
    </w:p>
    <w:p w14:paraId="71807957" w14:textId="77777777" w:rsidR="00757807" w:rsidRPr="000B323C" w:rsidRDefault="00757807" w:rsidP="003837ED">
      <w:pPr>
        <w:numPr>
          <w:ilvl w:val="0"/>
          <w:numId w:val="23"/>
        </w:numPr>
        <w:spacing w:after="0" w:line="240" w:lineRule="auto"/>
        <w:ind w:left="284" w:hanging="284"/>
        <w:jc w:val="both"/>
        <w:rPr>
          <w:rFonts w:ascii="Times New Roman" w:hAnsi="Times New Roman" w:cs="Times New Roman"/>
          <w:sz w:val="22"/>
          <w:szCs w:val="22"/>
        </w:rPr>
      </w:pPr>
      <w:r>
        <w:rPr>
          <w:rFonts w:ascii="Times New Roman" w:hAnsi="Times New Roman"/>
          <w:sz w:val="22"/>
        </w:rPr>
        <w:t xml:space="preserve">Promouvoir la </w:t>
      </w:r>
      <w:r>
        <w:rPr>
          <w:rFonts w:ascii="Times New Roman" w:hAnsi="Times New Roman"/>
          <w:b/>
          <w:sz w:val="22"/>
        </w:rPr>
        <w:t>sensibilisation des groupes de la société civile</w:t>
      </w:r>
      <w:r>
        <w:rPr>
          <w:rFonts w:ascii="Times New Roman" w:hAnsi="Times New Roman"/>
          <w:sz w:val="22"/>
        </w:rPr>
        <w:t xml:space="preserve"> au sens large au programme de recherche et de formation de la Communauté européenne de l’énergie atomique (Euratom) sur la gestion des déchets radioactifs</w:t>
      </w:r>
    </w:p>
    <w:p w14:paraId="68BC01E1" w14:textId="77777777" w:rsidR="00757807" w:rsidRPr="000B323C" w:rsidRDefault="00757807" w:rsidP="003837ED">
      <w:pPr>
        <w:numPr>
          <w:ilvl w:val="0"/>
          <w:numId w:val="22"/>
        </w:numPr>
        <w:overflowPunct w:val="0"/>
        <w:autoSpaceDE w:val="0"/>
        <w:autoSpaceDN w:val="0"/>
        <w:adjustRightInd w:val="0"/>
        <w:spacing w:after="0" w:line="240" w:lineRule="auto"/>
        <w:ind w:left="284" w:hanging="284"/>
        <w:jc w:val="both"/>
        <w:textAlignment w:val="baseline"/>
        <w:rPr>
          <w:rFonts w:ascii="Times New Roman" w:hAnsi="Times New Roman" w:cs="Times New Roman"/>
          <w:sz w:val="22"/>
          <w:szCs w:val="22"/>
        </w:rPr>
      </w:pPr>
      <w:r>
        <w:rPr>
          <w:rFonts w:ascii="Times New Roman" w:hAnsi="Times New Roman"/>
          <w:sz w:val="22"/>
        </w:rPr>
        <w:lastRenderedPageBreak/>
        <w:t xml:space="preserve">Dans le cadre de l’audition d’experts de l’avis et de la participation à la conférence conjointe, mise en place d’un </w:t>
      </w:r>
      <w:r>
        <w:rPr>
          <w:rFonts w:ascii="Times New Roman" w:hAnsi="Times New Roman"/>
          <w:b/>
          <w:sz w:val="22"/>
        </w:rPr>
        <w:t>réseau permanent de parties prenantes</w:t>
      </w:r>
      <w:r>
        <w:rPr>
          <w:rFonts w:ascii="Times New Roman" w:hAnsi="Times New Roman"/>
          <w:sz w:val="22"/>
        </w:rPr>
        <w:t xml:space="preserve"> désireuses de travailler avec le CESE et la Commission européenne.</w:t>
      </w:r>
    </w:p>
    <w:p w14:paraId="0FA0F792" w14:textId="77777777" w:rsidR="00757807" w:rsidRPr="000B323C" w:rsidRDefault="00757807" w:rsidP="003837ED">
      <w:pPr>
        <w:numPr>
          <w:ilvl w:val="0"/>
          <w:numId w:val="22"/>
        </w:numPr>
        <w:overflowPunct w:val="0"/>
        <w:autoSpaceDE w:val="0"/>
        <w:autoSpaceDN w:val="0"/>
        <w:adjustRightInd w:val="0"/>
        <w:spacing w:after="0" w:line="240" w:lineRule="auto"/>
        <w:ind w:left="284" w:hanging="284"/>
        <w:jc w:val="both"/>
        <w:textAlignment w:val="baseline"/>
        <w:rPr>
          <w:rFonts w:ascii="Times New Roman" w:hAnsi="Times New Roman" w:cs="Times New Roman"/>
          <w:sz w:val="22"/>
          <w:szCs w:val="22"/>
        </w:rPr>
      </w:pPr>
      <w:r>
        <w:rPr>
          <w:rFonts w:ascii="Times New Roman" w:hAnsi="Times New Roman"/>
          <w:sz w:val="22"/>
        </w:rPr>
        <w:t>Utilisation des médias sociaux et d’autres</w:t>
      </w:r>
      <w:r>
        <w:rPr>
          <w:rFonts w:ascii="Times New Roman" w:hAnsi="Times New Roman"/>
          <w:b/>
          <w:sz w:val="22"/>
        </w:rPr>
        <w:t xml:space="preserve"> outils de communication</w:t>
      </w:r>
      <w:r>
        <w:rPr>
          <w:rFonts w:ascii="Times New Roman" w:hAnsi="Times New Roman"/>
          <w:sz w:val="22"/>
        </w:rPr>
        <w:t xml:space="preserve"> du CESE pour diffuser nos points de vue et attirer les parties prenantes concernées</w:t>
      </w:r>
    </w:p>
    <w:p w14:paraId="2D4665EB" w14:textId="77777777" w:rsidR="00757807" w:rsidRPr="000B323C" w:rsidRDefault="00757807" w:rsidP="006E7A01">
      <w:pPr>
        <w:spacing w:after="0" w:line="240" w:lineRule="auto"/>
        <w:jc w:val="both"/>
        <w:rPr>
          <w:rFonts w:ascii="Times New Roman" w:hAnsi="Times New Roman" w:cs="Times New Roman"/>
          <w:sz w:val="22"/>
          <w:szCs w:val="22"/>
        </w:rPr>
      </w:pPr>
    </w:p>
    <w:p w14:paraId="00C0C5F6" w14:textId="77777777" w:rsidR="00757807" w:rsidRPr="000B323C" w:rsidRDefault="00757807" w:rsidP="006E7A01">
      <w:pPr>
        <w:spacing w:after="0" w:line="240" w:lineRule="auto"/>
        <w:jc w:val="both"/>
        <w:rPr>
          <w:rFonts w:ascii="Times New Roman" w:hAnsi="Times New Roman" w:cs="Times New Roman"/>
          <w:b/>
          <w:bCs/>
          <w:sz w:val="22"/>
          <w:szCs w:val="22"/>
        </w:rPr>
      </w:pPr>
      <w:r>
        <w:rPr>
          <w:rFonts w:ascii="Times New Roman" w:hAnsi="Times New Roman"/>
          <w:b/>
          <w:sz w:val="22"/>
        </w:rPr>
        <w:t>Calendrier et principales étapes</w:t>
      </w:r>
    </w:p>
    <w:p w14:paraId="7E771CD2"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Décembre 2023</w:t>
      </w:r>
      <w:r>
        <w:rPr>
          <w:rFonts w:ascii="Times New Roman" w:hAnsi="Times New Roman"/>
          <w:sz w:val="22"/>
        </w:rPr>
        <w:t xml:space="preserve"> — premiers contacts entre la présidente de la section TEN et la DG RTD, à leur demande, pour analyser notre soutien dans la consultation des organisations de la société civile de l’UE</w:t>
      </w:r>
    </w:p>
    <w:p w14:paraId="3A9995CF" w14:textId="77777777" w:rsidR="00757807" w:rsidRPr="000B323C" w:rsidRDefault="00757807" w:rsidP="003837ED">
      <w:pPr>
        <w:pStyle w:val="ListParagraph"/>
        <w:numPr>
          <w:ilvl w:val="0"/>
          <w:numId w:val="19"/>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Janvier 2024</w:t>
      </w:r>
      <w:r>
        <w:rPr>
          <w:rFonts w:ascii="Times New Roman" w:hAnsi="Times New Roman"/>
          <w:sz w:val="22"/>
        </w:rPr>
        <w:t xml:space="preserve"> — deuxième réunion, en vue d’une conférence conjointe à l’automne 2024 ou pour organiser celle-ci</w:t>
      </w:r>
    </w:p>
    <w:p w14:paraId="3114EC69" w14:textId="77777777" w:rsidR="00757807" w:rsidRPr="000B323C" w:rsidRDefault="00757807" w:rsidP="003837ED">
      <w:pPr>
        <w:pStyle w:val="ListParagraph"/>
        <w:numPr>
          <w:ilvl w:val="0"/>
          <w:numId w:val="24"/>
        </w:numPr>
        <w:spacing w:after="0" w:line="240" w:lineRule="auto"/>
        <w:ind w:left="284" w:hanging="284"/>
        <w:jc w:val="both"/>
        <w:rPr>
          <w:rFonts w:ascii="Times New Roman" w:eastAsia="Times New Roman" w:hAnsi="Times New Roman" w:cs="Times New Roman"/>
          <w:sz w:val="22"/>
          <w:szCs w:val="22"/>
        </w:rPr>
      </w:pPr>
      <w:r>
        <w:rPr>
          <w:rFonts w:ascii="Times New Roman" w:hAnsi="Times New Roman"/>
          <w:b/>
          <w:sz w:val="22"/>
        </w:rPr>
        <w:t>Février 2024</w:t>
      </w:r>
      <w:r>
        <w:rPr>
          <w:rFonts w:ascii="Times New Roman" w:hAnsi="Times New Roman"/>
          <w:sz w:val="22"/>
        </w:rPr>
        <w:t xml:space="preserve"> — troisième </w:t>
      </w:r>
      <w:proofErr w:type="gramStart"/>
      <w:r>
        <w:rPr>
          <w:rFonts w:ascii="Times New Roman" w:hAnsi="Times New Roman"/>
          <w:sz w:val="22"/>
        </w:rPr>
        <w:t>réunion:</w:t>
      </w:r>
      <w:proofErr w:type="gramEnd"/>
      <w:r>
        <w:rPr>
          <w:rFonts w:ascii="Times New Roman" w:hAnsi="Times New Roman"/>
          <w:sz w:val="22"/>
        </w:rPr>
        <w:t xml:space="preserve"> présentation par la DG RTD et la DG ENERG d’une vue d’ensemble du secteur nucléaire dans le cadre d’Euratom, en mettant l’accent sur la gestion des déchets radioactifs, le cadre financier européen correspondant, les programmes de recherche et de formation dans le domaine, leur rôle et leur mise en œuvre </w:t>
      </w:r>
    </w:p>
    <w:p w14:paraId="0ABE3331"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Mars 2024</w:t>
      </w:r>
      <w:r>
        <w:rPr>
          <w:rFonts w:ascii="Times New Roman" w:hAnsi="Times New Roman"/>
          <w:sz w:val="22"/>
        </w:rPr>
        <w:t xml:space="preserve"> — échanges réguliers au niveau du secrétariat en vue de la définition commune d’une stratégie partagée à l’avenir</w:t>
      </w:r>
    </w:p>
    <w:p w14:paraId="3DBE975F"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Mai 2024</w:t>
      </w:r>
      <w:r>
        <w:rPr>
          <w:rFonts w:ascii="Times New Roman" w:hAnsi="Times New Roman"/>
          <w:sz w:val="22"/>
        </w:rPr>
        <w:t xml:space="preserve"> — le bureau de la section TEN lance un avis d’initiative sur la gestion des déchets radioactifs, afin de définir la position du CESE à ce sujet</w:t>
      </w:r>
    </w:p>
    <w:p w14:paraId="53C1F6AB"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Mai 2024</w:t>
      </w:r>
      <w:r>
        <w:rPr>
          <w:rFonts w:ascii="Times New Roman" w:hAnsi="Times New Roman"/>
          <w:sz w:val="22"/>
        </w:rPr>
        <w:t xml:space="preserve"> — le bureau du CESE approuve l’élaboration de l’avis d’initiative TEN/842, A-12, octobre 2024</w:t>
      </w:r>
    </w:p>
    <w:p w14:paraId="5320F22F"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26 septembre</w:t>
      </w:r>
      <w:r>
        <w:rPr>
          <w:rFonts w:ascii="Times New Roman" w:hAnsi="Times New Roman"/>
          <w:sz w:val="22"/>
        </w:rPr>
        <w:t xml:space="preserve"> — présentation de l’avis TEN/842 à la section TEN</w:t>
      </w:r>
    </w:p>
    <w:p w14:paraId="31F7DCC7"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17 octobre</w:t>
      </w:r>
      <w:r>
        <w:rPr>
          <w:rFonts w:ascii="Times New Roman" w:hAnsi="Times New Roman"/>
          <w:sz w:val="22"/>
        </w:rPr>
        <w:t xml:space="preserve"> — conférence conjointe CESE-DG RT sur la gestion des déchets radioactifs — point de vue des organisations de la société civile de l’UE</w:t>
      </w:r>
    </w:p>
    <w:p w14:paraId="0CDD80C2"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23-24 octobre 2024</w:t>
      </w:r>
      <w:r>
        <w:rPr>
          <w:rFonts w:ascii="Times New Roman" w:hAnsi="Times New Roman"/>
          <w:sz w:val="22"/>
        </w:rPr>
        <w:t xml:space="preserve"> — présentation de l’avis TEN/842 à la session plénière du CESE</w:t>
      </w:r>
    </w:p>
    <w:p w14:paraId="28A14A60" w14:textId="77AA818F"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21-25 octobre 2024</w:t>
      </w:r>
      <w:r>
        <w:rPr>
          <w:rFonts w:ascii="Times New Roman" w:hAnsi="Times New Roman"/>
          <w:sz w:val="22"/>
        </w:rPr>
        <w:t xml:space="preserve"> — lancement de la phase EURAD2 par la DG RTD Une délégation du CESE présente les conclusions de la conférence conjointe</w:t>
      </w:r>
    </w:p>
    <w:p w14:paraId="4EAF0BAF"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Février 2025</w:t>
      </w:r>
      <w:r>
        <w:rPr>
          <w:rFonts w:ascii="Times New Roman" w:hAnsi="Times New Roman"/>
          <w:sz w:val="22"/>
        </w:rPr>
        <w:t xml:space="preserve"> — nomination de </w:t>
      </w:r>
      <w:r>
        <w:rPr>
          <w:rFonts w:ascii="Times New Roman" w:hAnsi="Times New Roman"/>
          <w:b/>
          <w:sz w:val="22"/>
        </w:rPr>
        <w:t>trois membres permanents du CESE</w:t>
      </w:r>
      <w:r>
        <w:rPr>
          <w:rFonts w:ascii="Times New Roman" w:hAnsi="Times New Roman"/>
          <w:sz w:val="22"/>
        </w:rPr>
        <w:t xml:space="preserve"> au sein du consortium EURAD</w:t>
      </w:r>
    </w:p>
    <w:p w14:paraId="2C600501"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Septembre 2025</w:t>
      </w:r>
      <w:r>
        <w:rPr>
          <w:rFonts w:ascii="Times New Roman" w:hAnsi="Times New Roman"/>
          <w:sz w:val="22"/>
        </w:rPr>
        <w:t xml:space="preserve"> — délégation du CESE à la manifestation annuelle EURAD2</w:t>
      </w:r>
    </w:p>
    <w:p w14:paraId="7AACB553"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b/>
          <w:sz w:val="22"/>
        </w:rPr>
        <w:t>En 2026</w:t>
      </w:r>
      <w:r>
        <w:rPr>
          <w:rFonts w:ascii="Times New Roman" w:hAnsi="Times New Roman"/>
          <w:sz w:val="22"/>
        </w:rPr>
        <w:t xml:space="preserve"> — coorganisation avec la DG RT de l’</w:t>
      </w:r>
      <w:r>
        <w:rPr>
          <w:rFonts w:ascii="Times New Roman" w:hAnsi="Times New Roman"/>
          <w:b/>
          <w:sz w:val="22"/>
        </w:rPr>
        <w:t>événement annuel EURAD2</w:t>
      </w:r>
    </w:p>
    <w:p w14:paraId="4EB539AC" w14:textId="77777777" w:rsidR="00757807" w:rsidRPr="000B323C" w:rsidRDefault="00757807" w:rsidP="006E7A01">
      <w:pPr>
        <w:spacing w:after="0" w:line="240" w:lineRule="auto"/>
        <w:jc w:val="both"/>
        <w:rPr>
          <w:rFonts w:ascii="Times New Roman" w:hAnsi="Times New Roman" w:cs="Times New Roman"/>
          <w:sz w:val="22"/>
          <w:szCs w:val="22"/>
          <w:lang w:val="en-GB"/>
        </w:rPr>
      </w:pPr>
    </w:p>
    <w:p w14:paraId="19725387" w14:textId="77777777" w:rsidR="00757807" w:rsidRPr="000B323C" w:rsidRDefault="00757807" w:rsidP="006E7A01">
      <w:pPr>
        <w:spacing w:after="0" w:line="240" w:lineRule="auto"/>
        <w:jc w:val="both"/>
        <w:rPr>
          <w:rFonts w:ascii="Times New Roman" w:hAnsi="Times New Roman" w:cs="Times New Roman"/>
          <w:b/>
          <w:bCs/>
          <w:sz w:val="22"/>
          <w:szCs w:val="22"/>
        </w:rPr>
      </w:pPr>
      <w:r>
        <w:rPr>
          <w:rFonts w:ascii="Times New Roman" w:hAnsi="Times New Roman"/>
          <w:b/>
          <w:sz w:val="22"/>
        </w:rPr>
        <w:t>Résultats</w:t>
      </w:r>
    </w:p>
    <w:p w14:paraId="51FB25ED"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t xml:space="preserve">Octobre </w:t>
      </w:r>
      <w:proofErr w:type="gramStart"/>
      <w:r>
        <w:rPr>
          <w:rFonts w:ascii="Times New Roman" w:hAnsi="Times New Roman"/>
          <w:sz w:val="22"/>
        </w:rPr>
        <w:t>2024:</w:t>
      </w:r>
      <w:proofErr w:type="gramEnd"/>
      <w:r>
        <w:rPr>
          <w:rFonts w:ascii="Times New Roman" w:hAnsi="Times New Roman"/>
          <w:sz w:val="22"/>
        </w:rPr>
        <w:t xml:space="preserve"> avis largement consensuel et bien accepté sur la gestion des déchets radioactifs, qui servira de base aux futurs travaux du CESE</w:t>
      </w:r>
    </w:p>
    <w:p w14:paraId="2AEAE4AB"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t xml:space="preserve">Octobre </w:t>
      </w:r>
      <w:proofErr w:type="gramStart"/>
      <w:r>
        <w:rPr>
          <w:rFonts w:ascii="Times New Roman" w:hAnsi="Times New Roman"/>
          <w:sz w:val="22"/>
        </w:rPr>
        <w:t>2024:</w:t>
      </w:r>
      <w:proofErr w:type="gramEnd"/>
      <w:r>
        <w:rPr>
          <w:rFonts w:ascii="Times New Roman" w:hAnsi="Times New Roman"/>
          <w:sz w:val="22"/>
        </w:rPr>
        <w:t xml:space="preserve"> conférence conjointe avec une belle participation, aboutissant sur des conclusions et recommandations pertinentes</w:t>
      </w:r>
    </w:p>
    <w:p w14:paraId="1053395C"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t xml:space="preserve">À partir de 2024 et </w:t>
      </w:r>
      <w:proofErr w:type="gramStart"/>
      <w:r>
        <w:rPr>
          <w:rFonts w:ascii="Times New Roman" w:hAnsi="Times New Roman"/>
          <w:sz w:val="22"/>
        </w:rPr>
        <w:t>ensuite:</w:t>
      </w:r>
      <w:proofErr w:type="gramEnd"/>
      <w:r>
        <w:rPr>
          <w:rFonts w:ascii="Times New Roman" w:hAnsi="Times New Roman"/>
          <w:sz w:val="22"/>
        </w:rPr>
        <w:t xml:space="preserve"> réseau permanent de parties prenantes mis sur pied à la fois par le biais de l’avis et de la conférence</w:t>
      </w:r>
    </w:p>
    <w:p w14:paraId="63CC2B9A"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t xml:space="preserve">À partir de 2024 et </w:t>
      </w:r>
      <w:proofErr w:type="gramStart"/>
      <w:r>
        <w:rPr>
          <w:rFonts w:ascii="Times New Roman" w:hAnsi="Times New Roman"/>
          <w:sz w:val="22"/>
        </w:rPr>
        <w:t>ensuite:</w:t>
      </w:r>
      <w:proofErr w:type="gramEnd"/>
      <w:r>
        <w:rPr>
          <w:rFonts w:ascii="Times New Roman" w:hAnsi="Times New Roman"/>
          <w:sz w:val="22"/>
        </w:rPr>
        <w:t xml:space="preserve"> conversion en espace de rassemblement où les acteurs de la société civile se réunissent, trouvent un terrain d’entente en vue d’un consensus et transmettent leurs recommandations aux institutions de l’UE</w:t>
      </w:r>
    </w:p>
    <w:p w14:paraId="2AB1A117"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t xml:space="preserve">Mai </w:t>
      </w:r>
      <w:proofErr w:type="gramStart"/>
      <w:r>
        <w:rPr>
          <w:rFonts w:ascii="Times New Roman" w:hAnsi="Times New Roman"/>
          <w:sz w:val="22"/>
        </w:rPr>
        <w:t>2025:</w:t>
      </w:r>
      <w:proofErr w:type="gramEnd"/>
      <w:r>
        <w:rPr>
          <w:rFonts w:ascii="Times New Roman" w:hAnsi="Times New Roman"/>
          <w:sz w:val="22"/>
        </w:rPr>
        <w:t xml:space="preserve"> participation du CESE à la 11</w:t>
      </w:r>
      <w:r>
        <w:rPr>
          <w:rFonts w:ascii="Times New Roman" w:hAnsi="Times New Roman"/>
          <w:sz w:val="22"/>
          <w:vertAlign w:val="superscript"/>
        </w:rPr>
        <w:t>e</w:t>
      </w:r>
      <w:r>
        <w:rPr>
          <w:rFonts w:ascii="Times New Roman" w:hAnsi="Times New Roman"/>
          <w:sz w:val="22"/>
        </w:rPr>
        <w:t> édition des conférences internationales en recherche et formation d’Euratom sur la sûreté de la fission des systèmes de réacteurs (FISA) et sur la gestion des déchets radioactifs (EURADWASTE), organisées à Varsovie</w:t>
      </w:r>
    </w:p>
    <w:p w14:paraId="7B7DC9A4" w14:textId="77777777" w:rsidR="00757807" w:rsidRPr="000B323C" w:rsidRDefault="00757807" w:rsidP="003837ED">
      <w:pPr>
        <w:pStyle w:val="ListParagraph"/>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t>Octobre </w:t>
      </w:r>
      <w:proofErr w:type="gramStart"/>
      <w:r>
        <w:rPr>
          <w:rFonts w:ascii="Times New Roman" w:hAnsi="Times New Roman"/>
          <w:sz w:val="22"/>
        </w:rPr>
        <w:t>2025:</w:t>
      </w:r>
      <w:proofErr w:type="gramEnd"/>
      <w:r>
        <w:rPr>
          <w:rFonts w:ascii="Times New Roman" w:hAnsi="Times New Roman"/>
          <w:sz w:val="22"/>
        </w:rPr>
        <w:t xml:space="preserve"> participation d’une délégation du CESE à la réunion annuelle du FEEN (Forum européen de l’énergie nucléaire) qui aura lieu à Bratislava</w:t>
      </w:r>
    </w:p>
    <w:p w14:paraId="23AD9410" w14:textId="77777777" w:rsidR="00757807" w:rsidRPr="000B323C" w:rsidRDefault="00757807" w:rsidP="00C834F8">
      <w:pPr>
        <w:pStyle w:val="ListParagraph"/>
        <w:keepNext/>
        <w:numPr>
          <w:ilvl w:val="0"/>
          <w:numId w:val="24"/>
        </w:num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 w:val="22"/>
          <w:szCs w:val="22"/>
        </w:rPr>
      </w:pPr>
      <w:r>
        <w:rPr>
          <w:rFonts w:ascii="Times New Roman" w:hAnsi="Times New Roman"/>
          <w:sz w:val="22"/>
        </w:rPr>
        <w:lastRenderedPageBreak/>
        <w:t>Dans le cadre d’EURAD2 (2024-2029</w:t>
      </w:r>
      <w:proofErr w:type="gramStart"/>
      <w:r>
        <w:rPr>
          <w:rFonts w:ascii="Times New Roman" w:hAnsi="Times New Roman"/>
          <w:sz w:val="22"/>
        </w:rPr>
        <w:t>):</w:t>
      </w:r>
      <w:proofErr w:type="gramEnd"/>
    </w:p>
    <w:p w14:paraId="5515EA7A" w14:textId="77777777" w:rsidR="00757807" w:rsidRPr="000B323C" w:rsidRDefault="00757807" w:rsidP="003837ED">
      <w:pPr>
        <w:pStyle w:val="ListParagraph"/>
        <w:numPr>
          <w:ilvl w:val="0"/>
          <w:numId w:val="25"/>
        </w:numPr>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sz w:val="22"/>
          <w:szCs w:val="22"/>
        </w:rPr>
      </w:pPr>
      <w:r>
        <w:rPr>
          <w:rFonts w:ascii="Times New Roman" w:hAnsi="Times New Roman"/>
          <w:sz w:val="22"/>
        </w:rPr>
        <w:t xml:space="preserve"> </w:t>
      </w:r>
      <w:proofErr w:type="gramStart"/>
      <w:r>
        <w:rPr>
          <w:rFonts w:ascii="Times New Roman" w:hAnsi="Times New Roman"/>
          <w:sz w:val="22"/>
        </w:rPr>
        <w:t>devenir</w:t>
      </w:r>
      <w:proofErr w:type="gramEnd"/>
      <w:r>
        <w:rPr>
          <w:rFonts w:ascii="Times New Roman" w:hAnsi="Times New Roman"/>
          <w:sz w:val="22"/>
        </w:rPr>
        <w:t xml:space="preserve"> un </w:t>
      </w:r>
      <w:r>
        <w:rPr>
          <w:rFonts w:ascii="Times New Roman" w:hAnsi="Times New Roman"/>
          <w:b/>
          <w:sz w:val="22"/>
        </w:rPr>
        <w:t>canal</w:t>
      </w:r>
      <w:r>
        <w:rPr>
          <w:rFonts w:ascii="Times New Roman" w:hAnsi="Times New Roman"/>
          <w:sz w:val="22"/>
        </w:rPr>
        <w:t xml:space="preserve"> fiable, permanent et privilégié de consultation et de contribution </w:t>
      </w:r>
      <w:r>
        <w:rPr>
          <w:rFonts w:ascii="Times New Roman" w:hAnsi="Times New Roman"/>
          <w:b/>
          <w:bCs/>
          <w:sz w:val="22"/>
        </w:rPr>
        <w:t>pour la société civile</w:t>
      </w:r>
      <w:r>
        <w:rPr>
          <w:rFonts w:ascii="Times New Roman" w:hAnsi="Times New Roman"/>
          <w:sz w:val="22"/>
        </w:rPr>
        <w:t xml:space="preserve"> auprès de la Commission européenne (DG RTD, DG ENER) sur la gestion des déchets radioactifs </w:t>
      </w:r>
    </w:p>
    <w:p w14:paraId="0770AA5B" w14:textId="77777777" w:rsidR="00264982" w:rsidRPr="000B323C" w:rsidRDefault="00757807" w:rsidP="003837ED">
      <w:pPr>
        <w:pStyle w:val="ListParagraph"/>
        <w:numPr>
          <w:ilvl w:val="0"/>
          <w:numId w:val="25"/>
        </w:numPr>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sz w:val="22"/>
          <w:szCs w:val="22"/>
        </w:rPr>
      </w:pPr>
      <w:proofErr w:type="gramStart"/>
      <w:r>
        <w:rPr>
          <w:rFonts w:ascii="Times New Roman" w:hAnsi="Times New Roman"/>
          <w:sz w:val="22"/>
        </w:rPr>
        <w:t>disposer</w:t>
      </w:r>
      <w:proofErr w:type="gramEnd"/>
      <w:r>
        <w:rPr>
          <w:rFonts w:ascii="Times New Roman" w:hAnsi="Times New Roman"/>
          <w:sz w:val="22"/>
        </w:rPr>
        <w:t xml:space="preserve"> de 3 membres du CESE nommés au sein du </w:t>
      </w:r>
      <w:r>
        <w:rPr>
          <w:rFonts w:ascii="Times New Roman" w:hAnsi="Times New Roman"/>
          <w:b/>
          <w:sz w:val="22"/>
        </w:rPr>
        <w:t>consortium EURAD</w:t>
      </w:r>
    </w:p>
    <w:p w14:paraId="28E60F7E" w14:textId="5EC6B092" w:rsidR="00757807" w:rsidRPr="000B323C" w:rsidRDefault="00757807" w:rsidP="003837ED">
      <w:pPr>
        <w:pStyle w:val="ListParagraph"/>
        <w:numPr>
          <w:ilvl w:val="0"/>
          <w:numId w:val="25"/>
        </w:numPr>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sz w:val="22"/>
          <w:szCs w:val="22"/>
        </w:rPr>
      </w:pPr>
      <w:proofErr w:type="gramStart"/>
      <w:r>
        <w:rPr>
          <w:rFonts w:ascii="Times New Roman" w:hAnsi="Times New Roman"/>
          <w:sz w:val="22"/>
        </w:rPr>
        <w:t>devenir</w:t>
      </w:r>
      <w:proofErr w:type="gramEnd"/>
      <w:r>
        <w:rPr>
          <w:rFonts w:ascii="Times New Roman" w:hAnsi="Times New Roman"/>
          <w:sz w:val="22"/>
        </w:rPr>
        <w:t xml:space="preserve"> un </w:t>
      </w:r>
      <w:r>
        <w:rPr>
          <w:rFonts w:ascii="Times New Roman" w:hAnsi="Times New Roman"/>
          <w:b/>
          <w:sz w:val="22"/>
        </w:rPr>
        <w:t>partenaire permanent dans le cadre des événements annuels EURAD2</w:t>
      </w:r>
    </w:p>
    <w:p w14:paraId="09D4022D" w14:textId="77777777" w:rsidR="00757807" w:rsidRPr="000B323C" w:rsidRDefault="00757807" w:rsidP="006E7A01">
      <w:pPr>
        <w:spacing w:after="0" w:line="240" w:lineRule="auto"/>
        <w:jc w:val="both"/>
        <w:rPr>
          <w:rFonts w:ascii="Times New Roman" w:hAnsi="Times New Roman" w:cs="Times New Roman"/>
          <w:sz w:val="22"/>
          <w:szCs w:val="22"/>
          <w:highlight w:val="yellow"/>
        </w:rPr>
      </w:pPr>
    </w:p>
    <w:p w14:paraId="1A9D199F" w14:textId="53F34B47" w:rsidR="006F33F4" w:rsidRPr="00F721A4" w:rsidRDefault="3A924AF7" w:rsidP="00D04734">
      <w:pPr>
        <w:pStyle w:val="Heading1"/>
        <w:keepNext/>
        <w:ind w:left="567" w:hanging="567"/>
      </w:pPr>
      <w:r>
        <w:t>Outils de communication</w:t>
      </w:r>
    </w:p>
    <w:p w14:paraId="53584BC3" w14:textId="77777777" w:rsidR="00566E01" w:rsidRPr="000B323C" w:rsidRDefault="00566E01" w:rsidP="00D04734">
      <w:pPr>
        <w:keepNext/>
        <w:spacing w:after="0" w:line="240" w:lineRule="auto"/>
        <w:jc w:val="both"/>
        <w:rPr>
          <w:rFonts w:ascii="Times New Roman" w:eastAsia="Times New Roman" w:hAnsi="Times New Roman" w:cs="Times New Roman"/>
          <w:sz w:val="22"/>
          <w:szCs w:val="22"/>
          <w:highlight w:val="yellow"/>
          <w:lang w:val="en-GB"/>
        </w:rPr>
      </w:pPr>
    </w:p>
    <w:p w14:paraId="1E2C577A" w14:textId="379BC8FF" w:rsidR="00BC332F" w:rsidRPr="000B323C" w:rsidRDefault="00C17ACB" w:rsidP="006E7A01">
      <w:pPr>
        <w:pStyle w:val="paragraph"/>
        <w:spacing w:before="0" w:beforeAutospacing="0" w:after="0" w:afterAutospacing="0"/>
        <w:jc w:val="both"/>
        <w:textAlignment w:val="baseline"/>
        <w:rPr>
          <w:rFonts w:eastAsiaTheme="majorEastAsia"/>
          <w:sz w:val="22"/>
          <w:szCs w:val="22"/>
        </w:rPr>
      </w:pPr>
      <w:r>
        <w:rPr>
          <w:sz w:val="22"/>
        </w:rPr>
        <w:t xml:space="preserve">La section TEN utilise tous les outils de communication disponibles au CESE. Chaque avis de la section TEN dispose d’une </w:t>
      </w:r>
      <w:hyperlink r:id="rId103" w:history="1">
        <w:r>
          <w:rPr>
            <w:rStyle w:val="Hyperlink"/>
            <w:b/>
            <w:sz w:val="22"/>
          </w:rPr>
          <w:t>page web</w:t>
        </w:r>
      </w:hyperlink>
      <w:r>
        <w:rPr>
          <w:sz w:val="22"/>
        </w:rPr>
        <w:t xml:space="preserve"> spécifique, mise à jour tout au long de la rédaction et de l’adoption afin de garantir la transparence. Les avis adoptés y sont accessibles dans toutes les langues officielles, de même que les principales recommandations. Ils sont diffusés sous forme numérique auprès des abonnés, tandis que nous nous adressons à toutes les parties prenantes participant au processus de rédaction, ainsi qu’aux partenaires interinstitutionnels et aux principaux acteurs sectoriels. </w:t>
      </w:r>
    </w:p>
    <w:p w14:paraId="65271CDD" w14:textId="77777777" w:rsidR="00BC332F" w:rsidRPr="000B323C" w:rsidRDefault="00BC332F" w:rsidP="006E7A01">
      <w:pPr>
        <w:pStyle w:val="paragraph"/>
        <w:spacing w:before="0" w:beforeAutospacing="0" w:after="0" w:afterAutospacing="0"/>
        <w:jc w:val="both"/>
        <w:textAlignment w:val="baseline"/>
        <w:rPr>
          <w:rFonts w:eastAsiaTheme="majorEastAsia"/>
          <w:sz w:val="22"/>
          <w:szCs w:val="22"/>
          <w:lang w:val="en-GB"/>
        </w:rPr>
      </w:pPr>
    </w:p>
    <w:p w14:paraId="656147D2" w14:textId="262499A5" w:rsidR="00F12EFA" w:rsidRPr="000B323C" w:rsidRDefault="00F12EFA" w:rsidP="006E7A01">
      <w:pPr>
        <w:pStyle w:val="paragraph"/>
        <w:spacing w:before="0" w:beforeAutospacing="0" w:after="0" w:afterAutospacing="0"/>
        <w:jc w:val="both"/>
        <w:textAlignment w:val="baseline"/>
        <w:rPr>
          <w:rFonts w:eastAsiaTheme="majorEastAsia"/>
          <w:sz w:val="22"/>
          <w:szCs w:val="22"/>
        </w:rPr>
      </w:pPr>
      <w:r>
        <w:rPr>
          <w:sz w:val="22"/>
        </w:rPr>
        <w:t xml:space="preserve">Nos </w:t>
      </w:r>
      <w:r>
        <w:rPr>
          <w:b/>
          <w:sz w:val="22"/>
        </w:rPr>
        <w:t>manifestations</w:t>
      </w:r>
      <w:r>
        <w:rPr>
          <w:sz w:val="22"/>
        </w:rPr>
        <w:t xml:space="preserve"> disposent également d’une page web spécifique contenant les principales conclusions et les priorités exprimées par la société civile.</w:t>
      </w:r>
    </w:p>
    <w:p w14:paraId="4C6C9C5E" w14:textId="77777777" w:rsidR="00F12EFA" w:rsidRPr="000B323C" w:rsidRDefault="00F12EFA" w:rsidP="006E7A01">
      <w:pPr>
        <w:pStyle w:val="paragraph"/>
        <w:spacing w:before="0" w:beforeAutospacing="0" w:after="0" w:afterAutospacing="0"/>
        <w:jc w:val="both"/>
        <w:textAlignment w:val="baseline"/>
        <w:rPr>
          <w:sz w:val="18"/>
          <w:szCs w:val="18"/>
          <w:lang w:val="en-US"/>
        </w:rPr>
      </w:pPr>
    </w:p>
    <w:p w14:paraId="022B754B" w14:textId="77777777" w:rsidR="00BC332F" w:rsidRPr="000B323C" w:rsidRDefault="00F12EFA" w:rsidP="006E7A01">
      <w:pPr>
        <w:pStyle w:val="paragraph"/>
        <w:spacing w:before="0" w:beforeAutospacing="0" w:after="0" w:afterAutospacing="0"/>
        <w:jc w:val="both"/>
        <w:textAlignment w:val="baseline"/>
        <w:rPr>
          <w:rFonts w:eastAsiaTheme="majorEastAsia"/>
          <w:sz w:val="22"/>
          <w:szCs w:val="22"/>
        </w:rPr>
      </w:pPr>
      <w:r>
        <w:rPr>
          <w:sz w:val="22"/>
        </w:rPr>
        <w:t xml:space="preserve">Chaque trimestre, le </w:t>
      </w:r>
      <w:hyperlink r:id="rId104" w:history="1">
        <w:r>
          <w:rPr>
            <w:rStyle w:val="Hyperlink"/>
            <w:b/>
            <w:sz w:val="22"/>
          </w:rPr>
          <w:t>bulletin d’information</w:t>
        </w:r>
      </w:hyperlink>
      <w:r>
        <w:rPr>
          <w:sz w:val="22"/>
        </w:rPr>
        <w:t xml:space="preserve"> de la section TEN met l’accent sur les travaux récents et à venir. Nous travaillons en étroite collaboration avec nos collègues pour atteindre les publics des médias sociaux et des médias spécialisés. </w:t>
      </w:r>
    </w:p>
    <w:p w14:paraId="15CF4E50" w14:textId="77777777" w:rsidR="00BC332F" w:rsidRPr="000B323C" w:rsidRDefault="00BC332F" w:rsidP="006E7A01">
      <w:pPr>
        <w:pStyle w:val="paragraph"/>
        <w:spacing w:before="0" w:beforeAutospacing="0" w:after="0" w:afterAutospacing="0"/>
        <w:jc w:val="both"/>
        <w:textAlignment w:val="baseline"/>
        <w:rPr>
          <w:rFonts w:eastAsiaTheme="majorEastAsia"/>
          <w:sz w:val="22"/>
          <w:szCs w:val="22"/>
          <w:lang w:val="en-GB"/>
        </w:rPr>
      </w:pPr>
    </w:p>
    <w:p w14:paraId="4EA6A5D9" w14:textId="583F7744" w:rsidR="002E2BF1" w:rsidRPr="000B323C" w:rsidRDefault="00F12EFA" w:rsidP="006E7A01">
      <w:pPr>
        <w:pStyle w:val="paragraph"/>
        <w:spacing w:before="0" w:beforeAutospacing="0" w:after="0" w:afterAutospacing="0"/>
        <w:jc w:val="both"/>
        <w:textAlignment w:val="baseline"/>
        <w:rPr>
          <w:rFonts w:eastAsiaTheme="majorEastAsia"/>
          <w:sz w:val="22"/>
          <w:szCs w:val="22"/>
        </w:rPr>
      </w:pPr>
      <w:r>
        <w:rPr>
          <w:sz w:val="22"/>
        </w:rPr>
        <w:t xml:space="preserve">Chaque avis est étayé par une </w:t>
      </w:r>
      <w:r>
        <w:rPr>
          <w:b/>
          <w:sz w:val="22"/>
        </w:rPr>
        <w:t>revue de presse</w:t>
      </w:r>
      <w:r>
        <w:rPr>
          <w:sz w:val="22"/>
        </w:rPr>
        <w:t xml:space="preserve">, tandis que les événements et les avis clés figurent dans des </w:t>
      </w:r>
      <w:hyperlink r:id="rId105" w:history="1">
        <w:r>
          <w:rPr>
            <w:rStyle w:val="Hyperlink"/>
            <w:b/>
          </w:rPr>
          <w:t>web stories</w:t>
        </w:r>
        <w:r>
          <w:rPr>
            <w:rStyle w:val="Hyperlink"/>
            <w:b/>
            <w:sz w:val="22"/>
          </w:rPr>
          <w:t xml:space="preserve"> et des briefings de presse</w:t>
        </w:r>
      </w:hyperlink>
      <w:r>
        <w:rPr>
          <w:sz w:val="22"/>
        </w:rPr>
        <w:t xml:space="preserve"> spécifiques. </w:t>
      </w:r>
    </w:p>
    <w:p w14:paraId="1C2CB4EA" w14:textId="77777777" w:rsidR="002E2BF1" w:rsidRPr="000B323C" w:rsidRDefault="002E2BF1" w:rsidP="006E7A01">
      <w:pPr>
        <w:pStyle w:val="paragraph"/>
        <w:spacing w:before="0" w:beforeAutospacing="0" w:after="0" w:afterAutospacing="0"/>
        <w:jc w:val="both"/>
        <w:textAlignment w:val="baseline"/>
        <w:rPr>
          <w:rFonts w:eastAsiaTheme="majorEastAsia"/>
          <w:sz w:val="22"/>
          <w:szCs w:val="22"/>
          <w:lang w:val="en-GB"/>
        </w:rPr>
      </w:pPr>
    </w:p>
    <w:p w14:paraId="7F3FA383" w14:textId="77777777" w:rsidR="00BC332F" w:rsidRPr="000B323C" w:rsidRDefault="006F7541" w:rsidP="006E7A01">
      <w:pPr>
        <w:pStyle w:val="paragraph"/>
        <w:spacing w:before="0" w:beforeAutospacing="0" w:after="0" w:afterAutospacing="0"/>
        <w:jc w:val="both"/>
        <w:textAlignment w:val="baseline"/>
        <w:rPr>
          <w:rFonts w:eastAsiaTheme="majorEastAsia"/>
          <w:sz w:val="22"/>
          <w:szCs w:val="22"/>
        </w:rPr>
      </w:pPr>
      <w:r>
        <w:rPr>
          <w:sz w:val="22"/>
        </w:rPr>
        <w:t xml:space="preserve">Pour certains avis, des </w:t>
      </w:r>
      <w:r>
        <w:rPr>
          <w:b/>
          <w:sz w:val="22"/>
        </w:rPr>
        <w:t>petits-déjeuners avec la presse</w:t>
      </w:r>
      <w:r>
        <w:rPr>
          <w:sz w:val="22"/>
        </w:rPr>
        <w:t xml:space="preserve"> sont organisés. </w:t>
      </w:r>
    </w:p>
    <w:p w14:paraId="4E6D9E99" w14:textId="77777777" w:rsidR="00BC332F" w:rsidRPr="000B323C" w:rsidRDefault="00BC332F" w:rsidP="006E7A01">
      <w:pPr>
        <w:pStyle w:val="paragraph"/>
        <w:spacing w:before="0" w:beforeAutospacing="0" w:after="0" w:afterAutospacing="0"/>
        <w:jc w:val="both"/>
        <w:textAlignment w:val="baseline"/>
        <w:rPr>
          <w:rFonts w:eastAsiaTheme="majorEastAsia"/>
          <w:sz w:val="22"/>
          <w:szCs w:val="22"/>
          <w:lang w:val="en-GB"/>
        </w:rPr>
      </w:pPr>
    </w:p>
    <w:p w14:paraId="0222B433" w14:textId="14ED75E4" w:rsidR="00C17ACB" w:rsidRPr="000B323C" w:rsidRDefault="00F12EFA" w:rsidP="006E7A01">
      <w:pPr>
        <w:pStyle w:val="paragraph"/>
        <w:spacing w:before="0" w:beforeAutospacing="0" w:after="0" w:afterAutospacing="0"/>
        <w:jc w:val="both"/>
        <w:textAlignment w:val="baseline"/>
        <w:rPr>
          <w:rFonts w:eastAsiaTheme="majorEastAsia"/>
          <w:sz w:val="22"/>
          <w:szCs w:val="22"/>
        </w:rPr>
      </w:pPr>
      <w:r>
        <w:rPr>
          <w:sz w:val="22"/>
        </w:rPr>
        <w:t xml:space="preserve">Nous maintenons une présence active sur </w:t>
      </w:r>
      <w:r w:rsidR="001F7757" w:rsidRPr="001F7757">
        <w:rPr>
          <w:rFonts w:ascii="Cambria Math" w:hAnsi="Cambria Math" w:cs="Cambria Math"/>
          <w:color w:val="000000"/>
          <w:sz w:val="22"/>
          <w:szCs w:val="22"/>
          <w:shd w:val="clear" w:color="auto" w:fill="FFFFFF"/>
        </w:rPr>
        <w:t>𝕏</w:t>
      </w:r>
      <w:r>
        <w:rPr>
          <w:sz w:val="22"/>
        </w:rPr>
        <w:t xml:space="preserve"> </w:t>
      </w:r>
      <w:hyperlink r:id="rId106" w:history="1">
        <w:r>
          <w:rPr>
            <w:rStyle w:val="Hyperlink"/>
          </w:rPr>
          <w:t>(</w:t>
        </w:r>
        <w:r>
          <w:rPr>
            <w:rStyle w:val="Hyperlink"/>
            <w:b/>
            <w:sz w:val="22"/>
          </w:rPr>
          <w:t>@EESC_TEN</w:t>
        </w:r>
      </w:hyperlink>
      <w:r>
        <w:rPr>
          <w:sz w:val="22"/>
        </w:rPr>
        <w:t xml:space="preserve">) afin de promouvoir nos travaux auprès de plus de 3 000 abonnés, tandis que les profils Instagram et LinkedIn du Comité partagent des </w:t>
      </w:r>
      <w:proofErr w:type="spellStart"/>
      <w:r>
        <w:rPr>
          <w:sz w:val="22"/>
        </w:rPr>
        <w:t>reels</w:t>
      </w:r>
      <w:proofErr w:type="spellEnd"/>
      <w:r>
        <w:rPr>
          <w:sz w:val="22"/>
        </w:rPr>
        <w:t xml:space="preserve"> et des </w:t>
      </w:r>
      <w:proofErr w:type="spellStart"/>
      <w:r>
        <w:rPr>
          <w:sz w:val="22"/>
        </w:rPr>
        <w:t>posts</w:t>
      </w:r>
      <w:proofErr w:type="spellEnd"/>
      <w:r>
        <w:rPr>
          <w:sz w:val="22"/>
        </w:rPr>
        <w:t xml:space="preserve"> visuels, représentant souvent des membres de la section TEN, afin de promouvoir nos activités et d’élargir notre portée.</w:t>
      </w:r>
    </w:p>
    <w:p w14:paraId="011BEFBD" w14:textId="107459E4" w:rsidR="006F33F4" w:rsidRPr="000B323C" w:rsidRDefault="006F33F4" w:rsidP="006E7A01">
      <w:pPr>
        <w:spacing w:after="0" w:line="240" w:lineRule="auto"/>
        <w:jc w:val="both"/>
        <w:rPr>
          <w:rFonts w:ascii="Times New Roman" w:hAnsi="Times New Roman" w:cs="Times New Roman"/>
          <w:sz w:val="22"/>
          <w:szCs w:val="22"/>
        </w:rPr>
      </w:pPr>
    </w:p>
    <w:p w14:paraId="5AA92D15" w14:textId="209101D9" w:rsidR="00C17ACB" w:rsidRPr="000B323C" w:rsidRDefault="003D2930" w:rsidP="006E7A01">
      <w:pPr>
        <w:spacing w:after="0" w:line="240" w:lineRule="auto"/>
        <w:jc w:val="both"/>
        <w:rPr>
          <w:rFonts w:ascii="Times New Roman" w:hAnsi="Times New Roman" w:cs="Times New Roman"/>
          <w:sz w:val="22"/>
          <w:szCs w:val="22"/>
        </w:rPr>
      </w:pPr>
      <w:r>
        <w:rPr>
          <w:rFonts w:ascii="Times New Roman" w:hAnsi="Times New Roman"/>
          <w:sz w:val="22"/>
        </w:rPr>
        <w:t xml:space="preserve">Plusieurs </w:t>
      </w:r>
      <w:hyperlink r:id="rId107" w:history="1">
        <w:r>
          <w:rPr>
            <w:rStyle w:val="Hyperlink"/>
            <w:rFonts w:ascii="Times New Roman" w:hAnsi="Times New Roman"/>
            <w:b/>
            <w:sz w:val="22"/>
          </w:rPr>
          <w:t>vidéos</w:t>
        </w:r>
      </w:hyperlink>
      <w:r>
        <w:rPr>
          <w:rFonts w:ascii="Times New Roman" w:hAnsi="Times New Roman"/>
          <w:sz w:val="22"/>
        </w:rPr>
        <w:t xml:space="preserve"> ont été réalisées pour promouvoir les travaux de la section TEN.</w:t>
      </w:r>
    </w:p>
    <w:p w14:paraId="24250EA9" w14:textId="77777777" w:rsidR="00C17ACB" w:rsidRPr="000B323C" w:rsidRDefault="00C17ACB" w:rsidP="006E7A01">
      <w:pPr>
        <w:spacing w:after="0" w:line="240" w:lineRule="auto"/>
        <w:jc w:val="both"/>
        <w:rPr>
          <w:rFonts w:ascii="Times New Roman" w:hAnsi="Times New Roman" w:cs="Times New Roman"/>
          <w:sz w:val="22"/>
          <w:szCs w:val="22"/>
        </w:rPr>
      </w:pPr>
    </w:p>
    <w:p w14:paraId="71D24CA9" w14:textId="6E7AAF2F" w:rsidR="006F33F4" w:rsidRPr="00F721A4" w:rsidRDefault="3A924AF7" w:rsidP="00F721A4">
      <w:pPr>
        <w:pStyle w:val="Heading1"/>
        <w:ind w:left="567" w:hanging="567"/>
      </w:pPr>
      <w:r>
        <w:t>Perspectives du prochain mandat du CESE</w:t>
      </w:r>
    </w:p>
    <w:p w14:paraId="1BE8E890" w14:textId="77777777" w:rsidR="00C17ACB" w:rsidRPr="000B323C" w:rsidRDefault="00C17ACB" w:rsidP="006E7A01">
      <w:pPr>
        <w:spacing w:after="0" w:line="240" w:lineRule="auto"/>
        <w:jc w:val="both"/>
        <w:rPr>
          <w:rFonts w:ascii="Times New Roman" w:hAnsi="Times New Roman" w:cs="Times New Roman"/>
        </w:rPr>
      </w:pPr>
    </w:p>
    <w:p w14:paraId="0396BB51" w14:textId="436B7266" w:rsidR="00C17ACB" w:rsidRPr="000B323C" w:rsidRDefault="00C17ACB" w:rsidP="006E7A01">
      <w:pPr>
        <w:pStyle w:val="NormalWeb"/>
        <w:spacing w:before="0" w:beforeAutospacing="0" w:after="0" w:afterAutospacing="0"/>
        <w:jc w:val="both"/>
        <w:rPr>
          <w:sz w:val="22"/>
          <w:szCs w:val="22"/>
        </w:rPr>
      </w:pPr>
      <w:r>
        <w:rPr>
          <w:sz w:val="22"/>
        </w:rPr>
        <w:t xml:space="preserve">La présidence danoise du Conseil de l’Union européenne propose un programme clair et ambitieux, ancré dans plusieurs piliers stratégiques, dont la défense, le climat, l’économie et la compétitivité. </w:t>
      </w:r>
    </w:p>
    <w:p w14:paraId="0C107D9D" w14:textId="77777777" w:rsidR="00C17ACB" w:rsidRPr="000B323C" w:rsidRDefault="00C17ACB" w:rsidP="006E7A01">
      <w:pPr>
        <w:pStyle w:val="NormalWeb"/>
        <w:spacing w:before="0" w:beforeAutospacing="0" w:after="0" w:afterAutospacing="0"/>
        <w:jc w:val="both"/>
        <w:rPr>
          <w:sz w:val="22"/>
          <w:szCs w:val="22"/>
          <w:lang w:val="en-US"/>
        </w:rPr>
      </w:pPr>
    </w:p>
    <w:p w14:paraId="012B336C" w14:textId="3C8CF886" w:rsidR="008305EA" w:rsidRPr="000B323C" w:rsidRDefault="008305EA" w:rsidP="006E7A01">
      <w:pPr>
        <w:pStyle w:val="NormalWeb"/>
        <w:spacing w:before="0" w:beforeAutospacing="0" w:after="0" w:afterAutospacing="0"/>
        <w:jc w:val="both"/>
        <w:rPr>
          <w:sz w:val="22"/>
          <w:szCs w:val="22"/>
        </w:rPr>
      </w:pPr>
      <w:r>
        <w:rPr>
          <w:sz w:val="22"/>
        </w:rPr>
        <w:t xml:space="preserve">La section TEN prévoit d’élaborer des avis qui soutiennent une approche plus intégrée de la sécurité, une transition écologique plus rapide et une économie européenne plus compétitive et plus souveraine sur le plan </w:t>
      </w:r>
      <w:proofErr w:type="gramStart"/>
      <w:r>
        <w:rPr>
          <w:sz w:val="22"/>
        </w:rPr>
        <w:t>numérique:</w:t>
      </w:r>
      <w:proofErr w:type="gramEnd"/>
    </w:p>
    <w:p w14:paraId="0727065F" w14:textId="77777777" w:rsidR="00C17ACB" w:rsidRPr="0096433C" w:rsidRDefault="00C17ACB" w:rsidP="006E7A01">
      <w:pPr>
        <w:pStyle w:val="NormalWeb"/>
        <w:spacing w:before="0" w:beforeAutospacing="0" w:after="0" w:afterAutospacing="0"/>
        <w:jc w:val="both"/>
        <w:rPr>
          <w:sz w:val="22"/>
          <w:szCs w:val="22"/>
          <w:lang w:val="fr-BE"/>
        </w:rPr>
      </w:pPr>
    </w:p>
    <w:p w14:paraId="05108B41" w14:textId="092DA849" w:rsidR="008305EA" w:rsidRPr="000B323C" w:rsidRDefault="008305EA" w:rsidP="006E7A01">
      <w:pPr>
        <w:pStyle w:val="NormalWeb"/>
        <w:spacing w:before="0" w:beforeAutospacing="0" w:after="0" w:afterAutospacing="0"/>
        <w:jc w:val="both"/>
        <w:rPr>
          <w:sz w:val="22"/>
          <w:szCs w:val="22"/>
        </w:rPr>
      </w:pPr>
      <w:r>
        <w:rPr>
          <w:b/>
          <w:sz w:val="22"/>
        </w:rPr>
        <w:t>Défense</w:t>
      </w:r>
      <w:r>
        <w:rPr>
          <w:sz w:val="22"/>
        </w:rPr>
        <w:t xml:space="preserve"> — La section TEN contribuera activement à la réalisation des objectifs de l’Union visant à renforcer la sécurité et la résilience démocratique en tenant compte de l’environnement réglementaire de la sécurité énergétique, élément essentiel de la résilience nationale et à l’échelle de l’UE. Une </w:t>
      </w:r>
      <w:r>
        <w:rPr>
          <w:i/>
          <w:iCs/>
          <w:sz w:val="22"/>
        </w:rPr>
        <w:t>révision législative du cadre réglementaire en matière de sécurité énergétique</w:t>
      </w:r>
      <w:r>
        <w:rPr>
          <w:sz w:val="22"/>
        </w:rPr>
        <w:t xml:space="preserve"> est attendue pour le début de l’année 2026, et la section TEN élaborera un avis sur cette initiative.</w:t>
      </w:r>
    </w:p>
    <w:p w14:paraId="379DBDE7" w14:textId="77777777" w:rsidR="00C17ACB" w:rsidRPr="000B323C" w:rsidRDefault="00C17ACB" w:rsidP="006E7A01">
      <w:pPr>
        <w:pStyle w:val="NormalWeb"/>
        <w:spacing w:before="0" w:beforeAutospacing="0" w:after="0" w:afterAutospacing="0"/>
        <w:jc w:val="both"/>
        <w:rPr>
          <w:sz w:val="22"/>
          <w:szCs w:val="22"/>
          <w:lang w:val="en-US"/>
        </w:rPr>
      </w:pPr>
    </w:p>
    <w:p w14:paraId="180B0B1B" w14:textId="66FA0F7E" w:rsidR="008305EA" w:rsidRPr="000B323C" w:rsidRDefault="008305EA" w:rsidP="006E7A01">
      <w:pPr>
        <w:pStyle w:val="NormalWeb"/>
        <w:spacing w:before="0" w:beforeAutospacing="0" w:after="0" w:afterAutospacing="0"/>
        <w:jc w:val="both"/>
        <w:rPr>
          <w:sz w:val="22"/>
          <w:szCs w:val="22"/>
        </w:rPr>
      </w:pPr>
      <w:r>
        <w:rPr>
          <w:b/>
          <w:sz w:val="22"/>
        </w:rPr>
        <w:lastRenderedPageBreak/>
        <w:t>Climat</w:t>
      </w:r>
      <w:r>
        <w:rPr>
          <w:sz w:val="22"/>
        </w:rPr>
        <w:t xml:space="preserve"> — La transition écologique est un moteur de croissance et de compétitivité. Les politiques en matière de climat et d’énergie devraient non seulement réduire les émissions, mais aussi stimuler l’innovation industrielle et la productivité. La section TEN a déjà présenté un programme de travail qui reflète ce double objectif. Plusieurs initiatives clés pour la fin de 2025 et l’année suivante sont à </w:t>
      </w:r>
      <w:proofErr w:type="gramStart"/>
      <w:r>
        <w:rPr>
          <w:sz w:val="22"/>
        </w:rPr>
        <w:t>l’horizon:</w:t>
      </w:r>
      <w:proofErr w:type="gramEnd"/>
    </w:p>
    <w:p w14:paraId="1175DC9B" w14:textId="77777777" w:rsidR="00C17ACB" w:rsidRPr="0096433C" w:rsidRDefault="00C17ACB" w:rsidP="006E7A01">
      <w:pPr>
        <w:pStyle w:val="NormalWeb"/>
        <w:spacing w:before="0" w:beforeAutospacing="0" w:after="0" w:afterAutospacing="0"/>
        <w:jc w:val="both"/>
        <w:rPr>
          <w:sz w:val="22"/>
          <w:szCs w:val="22"/>
          <w:lang w:val="fr-BE"/>
        </w:rPr>
      </w:pPr>
    </w:p>
    <w:p w14:paraId="7AB5CE2A" w14:textId="77777777" w:rsidR="008305EA" w:rsidRPr="000B323C" w:rsidRDefault="008305EA" w:rsidP="00167020">
      <w:pPr>
        <w:pStyle w:val="NormalWeb"/>
        <w:numPr>
          <w:ilvl w:val="0"/>
          <w:numId w:val="5"/>
        </w:numPr>
        <w:tabs>
          <w:tab w:val="clear" w:pos="720"/>
        </w:tabs>
        <w:spacing w:before="0" w:beforeAutospacing="0" w:after="0" w:afterAutospacing="0"/>
        <w:ind w:left="0" w:firstLine="0"/>
        <w:jc w:val="both"/>
      </w:pPr>
      <w:r>
        <w:rPr>
          <w:i/>
          <w:sz w:val="22"/>
        </w:rPr>
        <w:t>Écologisation des flottes d’entreprise</w:t>
      </w:r>
    </w:p>
    <w:p w14:paraId="2BB32CC7" w14:textId="77777777" w:rsidR="008305EA" w:rsidRPr="000B323C" w:rsidRDefault="008305EA" w:rsidP="00167020">
      <w:pPr>
        <w:pStyle w:val="NormalWeb"/>
        <w:numPr>
          <w:ilvl w:val="0"/>
          <w:numId w:val="5"/>
        </w:numPr>
        <w:tabs>
          <w:tab w:val="clear" w:pos="720"/>
        </w:tabs>
        <w:spacing w:before="0" w:beforeAutospacing="0" w:after="0" w:afterAutospacing="0"/>
        <w:ind w:left="0" w:firstLine="0"/>
        <w:jc w:val="both"/>
        <w:rPr>
          <w:b/>
          <w:bCs/>
          <w:i/>
          <w:iCs/>
          <w:sz w:val="22"/>
          <w:szCs w:val="22"/>
        </w:rPr>
      </w:pPr>
      <w:r>
        <w:rPr>
          <w:i/>
          <w:sz w:val="22"/>
        </w:rPr>
        <w:t xml:space="preserve">Train de mesures sur les réseaux européens </w:t>
      </w:r>
    </w:p>
    <w:p w14:paraId="13C98A2A" w14:textId="77777777" w:rsidR="008305EA" w:rsidRPr="000B323C" w:rsidRDefault="008305EA" w:rsidP="00167020">
      <w:pPr>
        <w:pStyle w:val="NormalWeb"/>
        <w:numPr>
          <w:ilvl w:val="0"/>
          <w:numId w:val="5"/>
        </w:numPr>
        <w:tabs>
          <w:tab w:val="clear" w:pos="720"/>
        </w:tabs>
        <w:spacing w:before="0" w:beforeAutospacing="0" w:after="0" w:afterAutospacing="0"/>
        <w:ind w:left="0" w:firstLine="0"/>
        <w:jc w:val="both"/>
        <w:rPr>
          <w:sz w:val="22"/>
          <w:szCs w:val="22"/>
        </w:rPr>
      </w:pPr>
      <w:r>
        <w:rPr>
          <w:i/>
          <w:sz w:val="22"/>
        </w:rPr>
        <w:t>Révision du règlement sur la gouvernance de l’union de l’énergie</w:t>
      </w:r>
    </w:p>
    <w:p w14:paraId="39F47906" w14:textId="77777777" w:rsidR="00C17ACB" w:rsidRPr="000B323C" w:rsidRDefault="00C17ACB" w:rsidP="006E7A01">
      <w:pPr>
        <w:pStyle w:val="NormalWeb"/>
        <w:spacing w:before="0" w:beforeAutospacing="0" w:after="0" w:afterAutospacing="0"/>
        <w:jc w:val="both"/>
        <w:rPr>
          <w:sz w:val="22"/>
          <w:szCs w:val="22"/>
          <w:lang w:val="en-US"/>
        </w:rPr>
      </w:pPr>
    </w:p>
    <w:p w14:paraId="35C625C1" w14:textId="500822B9" w:rsidR="008305EA" w:rsidRPr="000B323C" w:rsidRDefault="008305EA" w:rsidP="006E7A01">
      <w:pPr>
        <w:pStyle w:val="NormalWeb"/>
        <w:spacing w:before="0" w:beforeAutospacing="0" w:after="0" w:afterAutospacing="0"/>
        <w:jc w:val="both"/>
        <w:rPr>
          <w:sz w:val="22"/>
          <w:szCs w:val="22"/>
        </w:rPr>
      </w:pPr>
      <w:r>
        <w:rPr>
          <w:sz w:val="22"/>
        </w:rPr>
        <w:t xml:space="preserve">Dans le secteur de la mobilité, diverses révisions législatives et de nouvelles propositions visant à transformer les systèmes européens de transport et d’énergie d’une manière qui soit à la fois durable sur le plan environnemental et stratégique sur le plan économique sont </w:t>
      </w:r>
      <w:proofErr w:type="gramStart"/>
      <w:r>
        <w:rPr>
          <w:sz w:val="22"/>
        </w:rPr>
        <w:t>attendues:</w:t>
      </w:r>
      <w:proofErr w:type="gramEnd"/>
    </w:p>
    <w:p w14:paraId="0A06C722" w14:textId="77777777" w:rsidR="00C17ACB" w:rsidRPr="0096433C" w:rsidRDefault="00C17ACB" w:rsidP="006E7A01">
      <w:pPr>
        <w:pStyle w:val="NormalWeb"/>
        <w:spacing w:before="0" w:beforeAutospacing="0" w:after="0" w:afterAutospacing="0"/>
        <w:jc w:val="both"/>
        <w:rPr>
          <w:sz w:val="22"/>
          <w:szCs w:val="22"/>
          <w:lang w:val="fr-BE"/>
        </w:rPr>
      </w:pPr>
    </w:p>
    <w:p w14:paraId="0DA3354F"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pPr>
      <w:r>
        <w:rPr>
          <w:i/>
          <w:sz w:val="22"/>
        </w:rPr>
        <w:t>Directive Eurovignette</w:t>
      </w:r>
    </w:p>
    <w:p w14:paraId="4940C328"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pPr>
      <w:r>
        <w:rPr>
          <w:i/>
          <w:sz w:val="22"/>
        </w:rPr>
        <w:t>Règlement relatif à un système unique de réservation et de billetterie numériques</w:t>
      </w:r>
      <w:r>
        <w:t xml:space="preserve"> et </w:t>
      </w:r>
      <w:r>
        <w:rPr>
          <w:i/>
          <w:sz w:val="22"/>
        </w:rPr>
        <w:t>services numériques de mobilité multimodale</w:t>
      </w:r>
    </w:p>
    <w:p w14:paraId="548BBCDB"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pPr>
      <w:r>
        <w:rPr>
          <w:i/>
          <w:sz w:val="22"/>
        </w:rPr>
        <w:t>Révision de la directive relative aux conducteurs de trains</w:t>
      </w:r>
      <w:r>
        <w:t xml:space="preserve"> et du </w:t>
      </w:r>
      <w:r>
        <w:rPr>
          <w:i/>
          <w:sz w:val="22"/>
        </w:rPr>
        <w:t>règlement sur les droits des voyageurs ferroviaires</w:t>
      </w:r>
    </w:p>
    <w:p w14:paraId="0FD909E8"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pPr>
      <w:r>
        <w:rPr>
          <w:i/>
          <w:sz w:val="22"/>
        </w:rPr>
        <w:t>Révision du cadre du système européen de gestion du trafic ferroviaire (ERTMS)</w:t>
      </w:r>
    </w:p>
    <w:p w14:paraId="145DD5C9"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pPr>
      <w:r>
        <w:rPr>
          <w:i/>
          <w:sz w:val="22"/>
        </w:rPr>
        <w:t>Règles dans le domaine de l’aviation et réformes transfrontalières en matière de location de voitures</w:t>
      </w:r>
    </w:p>
    <w:p w14:paraId="6EDF44F3" w14:textId="77777777" w:rsidR="008305EA" w:rsidRPr="000B323C" w:rsidRDefault="008305EA" w:rsidP="00BB4C9E">
      <w:pPr>
        <w:pStyle w:val="NormalWeb"/>
        <w:numPr>
          <w:ilvl w:val="0"/>
          <w:numId w:val="5"/>
        </w:numPr>
        <w:tabs>
          <w:tab w:val="clear" w:pos="720"/>
        </w:tabs>
        <w:spacing w:before="0" w:beforeAutospacing="0" w:after="0" w:afterAutospacing="0"/>
        <w:ind w:left="709" w:hanging="709"/>
        <w:jc w:val="both"/>
        <w:rPr>
          <w:i/>
          <w:iCs/>
        </w:rPr>
      </w:pPr>
      <w:r>
        <w:rPr>
          <w:i/>
          <w:sz w:val="22"/>
        </w:rPr>
        <w:t>Collecte de données sur la mobilité urbaine</w:t>
      </w:r>
    </w:p>
    <w:p w14:paraId="5004D541" w14:textId="77777777" w:rsidR="00C17ACB" w:rsidRPr="000B323C" w:rsidRDefault="00C17ACB" w:rsidP="006E7A01">
      <w:pPr>
        <w:pStyle w:val="NormalWeb"/>
        <w:spacing w:before="0" w:beforeAutospacing="0" w:after="0" w:afterAutospacing="0"/>
        <w:jc w:val="both"/>
        <w:rPr>
          <w:sz w:val="22"/>
          <w:szCs w:val="22"/>
          <w:lang w:val="en-US"/>
        </w:rPr>
      </w:pPr>
    </w:p>
    <w:p w14:paraId="004FE167" w14:textId="714E85F0" w:rsidR="008305EA" w:rsidRPr="000B323C" w:rsidRDefault="008305EA" w:rsidP="006E7A01">
      <w:pPr>
        <w:pStyle w:val="NormalWeb"/>
        <w:spacing w:before="0" w:beforeAutospacing="0" w:after="0" w:afterAutospacing="0"/>
        <w:jc w:val="both"/>
        <w:rPr>
          <w:sz w:val="22"/>
          <w:szCs w:val="22"/>
        </w:rPr>
      </w:pPr>
      <w:r>
        <w:rPr>
          <w:b/>
          <w:sz w:val="22"/>
        </w:rPr>
        <w:t>Économie</w:t>
      </w:r>
      <w:r>
        <w:rPr>
          <w:sz w:val="22"/>
        </w:rPr>
        <w:t xml:space="preserve"> — Étant donné que la concurrence mondiale s’intensifie et que les progrès technologiques s’accélèrent, le renforcement de l’avantage concurrentiel de l’Europe doit reposer sur la souveraineté numérique grâce à des cadres réglementaires qui favorisent l’innovation sur des marchés ouverts et équitables. Les travaux prévus de la section TEN dans les secteurs du numérique et des médias contribueront directement à la réalisation de ces objectifs. Parmi les initiatives à venir importantes figurent les </w:t>
      </w:r>
      <w:proofErr w:type="gramStart"/>
      <w:r>
        <w:rPr>
          <w:sz w:val="22"/>
        </w:rPr>
        <w:t>suivantes:</w:t>
      </w:r>
      <w:proofErr w:type="gramEnd"/>
    </w:p>
    <w:p w14:paraId="6C753A60" w14:textId="77777777" w:rsidR="00E42EA5" w:rsidRPr="000B323C" w:rsidRDefault="00E42EA5" w:rsidP="006E7A01">
      <w:pPr>
        <w:pStyle w:val="NormalWeb"/>
        <w:spacing w:before="0" w:beforeAutospacing="0" w:after="0" w:afterAutospacing="0"/>
        <w:jc w:val="both"/>
        <w:rPr>
          <w:sz w:val="22"/>
          <w:szCs w:val="22"/>
          <w:lang w:val="en-US"/>
        </w:rPr>
      </w:pPr>
    </w:p>
    <w:p w14:paraId="1386DABA" w14:textId="77777777" w:rsidR="008305EA" w:rsidRPr="000B323C" w:rsidRDefault="008305EA" w:rsidP="00167020">
      <w:pPr>
        <w:pStyle w:val="NormalWeb"/>
        <w:numPr>
          <w:ilvl w:val="0"/>
          <w:numId w:val="5"/>
        </w:numPr>
        <w:tabs>
          <w:tab w:val="clear" w:pos="720"/>
        </w:tabs>
        <w:spacing w:before="0" w:beforeAutospacing="0" w:after="0" w:afterAutospacing="0"/>
        <w:ind w:left="0" w:firstLine="0"/>
        <w:jc w:val="both"/>
      </w:pPr>
      <w:r>
        <w:rPr>
          <w:i/>
          <w:sz w:val="22"/>
        </w:rPr>
        <w:t>Législation sur les réseaux numériques</w:t>
      </w:r>
    </w:p>
    <w:p w14:paraId="440D16D8" w14:textId="77777777" w:rsidR="008305EA" w:rsidRPr="000B323C" w:rsidRDefault="008305EA" w:rsidP="00167020">
      <w:pPr>
        <w:pStyle w:val="NormalWeb"/>
        <w:numPr>
          <w:ilvl w:val="0"/>
          <w:numId w:val="5"/>
        </w:numPr>
        <w:tabs>
          <w:tab w:val="clear" w:pos="720"/>
        </w:tabs>
        <w:spacing w:before="0" w:beforeAutospacing="0" w:after="0" w:afterAutospacing="0"/>
        <w:ind w:left="0" w:firstLine="0"/>
        <w:jc w:val="both"/>
        <w:rPr>
          <w:b/>
          <w:bCs/>
          <w:i/>
          <w:iCs/>
          <w:sz w:val="22"/>
          <w:szCs w:val="22"/>
        </w:rPr>
      </w:pPr>
      <w:r>
        <w:rPr>
          <w:i/>
          <w:sz w:val="22"/>
        </w:rPr>
        <w:t>Révision de la directive</w:t>
      </w:r>
      <w:proofErr w:type="gramStart"/>
      <w:r>
        <w:rPr>
          <w:i/>
          <w:sz w:val="22"/>
        </w:rPr>
        <w:t xml:space="preserve"> «Services</w:t>
      </w:r>
      <w:proofErr w:type="gramEnd"/>
      <w:r>
        <w:rPr>
          <w:i/>
          <w:sz w:val="22"/>
        </w:rPr>
        <w:t xml:space="preserve"> de médias </w:t>
      </w:r>
      <w:proofErr w:type="gramStart"/>
      <w:r>
        <w:rPr>
          <w:i/>
          <w:sz w:val="22"/>
        </w:rPr>
        <w:t>audiovisuels»</w:t>
      </w:r>
      <w:proofErr w:type="gramEnd"/>
    </w:p>
    <w:p w14:paraId="7D88DDE8" w14:textId="11CD21B4" w:rsidR="00E42EA5" w:rsidRPr="000B323C" w:rsidRDefault="008305EA" w:rsidP="00167020">
      <w:pPr>
        <w:pStyle w:val="NormalWeb"/>
        <w:numPr>
          <w:ilvl w:val="0"/>
          <w:numId w:val="5"/>
        </w:numPr>
        <w:tabs>
          <w:tab w:val="clear" w:pos="720"/>
        </w:tabs>
        <w:spacing w:before="0" w:beforeAutospacing="0" w:after="0" w:afterAutospacing="0"/>
        <w:ind w:left="0" w:firstLine="0"/>
        <w:jc w:val="both"/>
        <w:rPr>
          <w:i/>
          <w:iCs/>
          <w:sz w:val="22"/>
          <w:szCs w:val="22"/>
        </w:rPr>
      </w:pPr>
      <w:r>
        <w:t xml:space="preserve">Un nouveau </w:t>
      </w:r>
      <w:r>
        <w:rPr>
          <w:i/>
          <w:sz w:val="22"/>
        </w:rPr>
        <w:t>programme en matière de politique du spectre radioélectrique</w:t>
      </w:r>
    </w:p>
    <w:p w14:paraId="0592AD04" w14:textId="670435E3" w:rsidR="003D2930" w:rsidRPr="000B323C" w:rsidRDefault="003D2930" w:rsidP="006E7A01">
      <w:pPr>
        <w:pStyle w:val="NormalWeb"/>
        <w:spacing w:before="0" w:beforeAutospacing="0" w:after="0" w:afterAutospacing="0"/>
        <w:jc w:val="both"/>
        <w:rPr>
          <w:i/>
          <w:iCs/>
          <w:sz w:val="22"/>
          <w:szCs w:val="22"/>
          <w:lang w:val="en-US"/>
        </w:rPr>
      </w:pPr>
    </w:p>
    <w:p w14:paraId="0D8E6F77" w14:textId="2CF61233" w:rsidR="003B2152" w:rsidRPr="000B323C" w:rsidRDefault="003B2152" w:rsidP="006E7A01">
      <w:pPr>
        <w:spacing w:after="0" w:line="240" w:lineRule="auto"/>
        <w:jc w:val="both"/>
        <w:rPr>
          <w:rFonts w:ascii="Times New Roman" w:hAnsi="Times New Roman" w:cs="Times New Roman"/>
          <w:sz w:val="22"/>
          <w:szCs w:val="22"/>
        </w:rPr>
      </w:pPr>
      <w:r>
        <w:rPr>
          <w:rFonts w:ascii="Times New Roman" w:hAnsi="Times New Roman"/>
          <w:sz w:val="22"/>
        </w:rPr>
        <w:t>La section TEN est bien placée pour orienter les activités du CESE dans le cadre du nouveau mandat quinquennal afin de soutenir et de façonner le programme de la Commission européenne 2024</w:t>
      </w:r>
      <w:r>
        <w:rPr>
          <w:rFonts w:ascii="Times New Roman" w:hAnsi="Times New Roman"/>
          <w:sz w:val="22"/>
        </w:rPr>
        <w:noBreakHyphen/>
        <w:t>2029. Le futur programme du CESE sera fortement aligné sur les priorités de la Commission européenne en matière de transports durables, de transition énergétique, de numérisation et d’équité sociale. La section TEN encouragera activement la participation civique aux investissements dans les infrastructures, à l’encadrement réglementaire et à l’innovation numérique verte dans les transports et l’énergie.</w:t>
      </w:r>
    </w:p>
    <w:p w14:paraId="7724ED50" w14:textId="77777777" w:rsidR="00167020" w:rsidRPr="000B323C" w:rsidRDefault="00167020" w:rsidP="006E7A01">
      <w:pPr>
        <w:spacing w:after="0" w:line="240" w:lineRule="auto"/>
        <w:jc w:val="both"/>
        <w:rPr>
          <w:rFonts w:ascii="Times New Roman" w:hAnsi="Times New Roman" w:cs="Times New Roman"/>
          <w:sz w:val="22"/>
          <w:szCs w:val="22"/>
        </w:rPr>
      </w:pPr>
    </w:p>
    <w:p w14:paraId="2C56D5A3" w14:textId="5C1D8808" w:rsidR="003B2152" w:rsidRPr="000B323C" w:rsidRDefault="003B2152" w:rsidP="006E7A01">
      <w:pPr>
        <w:spacing w:after="0" w:line="240" w:lineRule="auto"/>
        <w:jc w:val="both"/>
        <w:rPr>
          <w:rFonts w:ascii="Times New Roman" w:hAnsi="Times New Roman" w:cs="Times New Roman"/>
          <w:sz w:val="22"/>
          <w:szCs w:val="22"/>
        </w:rPr>
      </w:pPr>
      <w:r>
        <w:rPr>
          <w:rFonts w:ascii="Times New Roman" w:hAnsi="Times New Roman"/>
          <w:sz w:val="22"/>
        </w:rPr>
        <w:t xml:space="preserve">Elle orientera les travaux du CESE en fonction des orientations politiques et des principales priorités de l’Union, en particulier </w:t>
      </w:r>
      <w:r>
        <w:rPr>
          <w:rFonts w:ascii="Times New Roman" w:hAnsi="Times New Roman"/>
          <w:i/>
          <w:sz w:val="22"/>
        </w:rPr>
        <w:t xml:space="preserve">Un nouveau plan pour une prospérité et </w:t>
      </w:r>
      <w:proofErr w:type="gramStart"/>
      <w:r>
        <w:rPr>
          <w:rFonts w:ascii="Times New Roman" w:hAnsi="Times New Roman"/>
          <w:i/>
          <w:sz w:val="22"/>
        </w:rPr>
        <w:t>une compétitivité durables</w:t>
      </w:r>
      <w:proofErr w:type="gramEnd"/>
      <w:r>
        <w:rPr>
          <w:rFonts w:ascii="Times New Roman" w:hAnsi="Times New Roman"/>
          <w:i/>
          <w:sz w:val="22"/>
        </w:rPr>
        <w:t xml:space="preserve"> de l’Europe</w:t>
      </w:r>
      <w:r>
        <w:rPr>
          <w:rFonts w:ascii="Times New Roman" w:hAnsi="Times New Roman"/>
          <w:sz w:val="22"/>
        </w:rPr>
        <w:t xml:space="preserve"> et </w:t>
      </w:r>
      <w:r>
        <w:rPr>
          <w:rFonts w:ascii="Times New Roman" w:hAnsi="Times New Roman"/>
          <w:i/>
          <w:sz w:val="22"/>
        </w:rPr>
        <w:t>Soutenir les personnes et renforcer nos sociétés et notre modèle social</w:t>
      </w:r>
      <w:r>
        <w:rPr>
          <w:rFonts w:ascii="Times New Roman" w:hAnsi="Times New Roman"/>
          <w:sz w:val="22"/>
        </w:rPr>
        <w:t>. La section TEN contribuera également à la réalisation d’</w:t>
      </w:r>
      <w:r>
        <w:rPr>
          <w:rFonts w:ascii="Times New Roman" w:hAnsi="Times New Roman"/>
          <w:b/>
          <w:sz w:val="22"/>
        </w:rPr>
        <w:t>objectifs horizontaux</w:t>
      </w:r>
      <w:r>
        <w:rPr>
          <w:rFonts w:ascii="Times New Roman" w:hAnsi="Times New Roman"/>
          <w:sz w:val="22"/>
        </w:rPr>
        <w:t xml:space="preserve"> tels que la </w:t>
      </w:r>
      <w:r>
        <w:rPr>
          <w:rFonts w:ascii="Times New Roman" w:hAnsi="Times New Roman"/>
          <w:i/>
          <w:sz w:val="22"/>
        </w:rPr>
        <w:t>stratégie pour une union de la préparation</w:t>
      </w:r>
      <w:r>
        <w:rPr>
          <w:rFonts w:ascii="Times New Roman" w:hAnsi="Times New Roman"/>
          <w:sz w:val="22"/>
        </w:rPr>
        <w:t xml:space="preserve">, la résilience et la réforme du </w:t>
      </w:r>
      <w:r>
        <w:rPr>
          <w:rFonts w:ascii="Times New Roman" w:hAnsi="Times New Roman"/>
          <w:i/>
          <w:sz w:val="22"/>
        </w:rPr>
        <w:t>cadre financier pluriannuel</w:t>
      </w:r>
      <w:r>
        <w:rPr>
          <w:rFonts w:ascii="Times New Roman" w:hAnsi="Times New Roman"/>
          <w:sz w:val="22"/>
        </w:rPr>
        <w:t>.</w:t>
      </w:r>
    </w:p>
    <w:p w14:paraId="73F888C0" w14:textId="77777777" w:rsidR="00BB4C9E" w:rsidRPr="000B323C" w:rsidRDefault="00BB4C9E" w:rsidP="006E7A01">
      <w:pPr>
        <w:spacing w:after="0" w:line="240" w:lineRule="auto"/>
        <w:jc w:val="both"/>
        <w:rPr>
          <w:rFonts w:ascii="Times New Roman" w:hAnsi="Times New Roman" w:cs="Times New Roman"/>
          <w:sz w:val="22"/>
          <w:szCs w:val="22"/>
          <w:lang w:eastAsia="fr-BE"/>
        </w:rPr>
      </w:pPr>
    </w:p>
    <w:p w14:paraId="1AE3ABD1" w14:textId="77777777" w:rsidR="00EF1DC7" w:rsidRPr="000B323C" w:rsidRDefault="003B2152" w:rsidP="006E7A01">
      <w:pPr>
        <w:spacing w:after="0" w:line="240" w:lineRule="auto"/>
        <w:jc w:val="both"/>
        <w:rPr>
          <w:rFonts w:ascii="Times New Roman" w:hAnsi="Times New Roman" w:cs="Times New Roman"/>
          <w:sz w:val="22"/>
          <w:szCs w:val="22"/>
        </w:rPr>
      </w:pPr>
      <w:r>
        <w:rPr>
          <w:rFonts w:ascii="Times New Roman" w:hAnsi="Times New Roman"/>
          <w:sz w:val="22"/>
        </w:rPr>
        <w:t xml:space="preserve">Conformément à la </w:t>
      </w:r>
      <w:r>
        <w:rPr>
          <w:rFonts w:ascii="Times New Roman" w:hAnsi="Times New Roman"/>
          <w:i/>
          <w:sz w:val="22"/>
        </w:rPr>
        <w:t>boussole pour la compétitivité</w:t>
      </w:r>
      <w:r>
        <w:rPr>
          <w:rFonts w:ascii="Times New Roman" w:hAnsi="Times New Roman"/>
          <w:sz w:val="22"/>
        </w:rPr>
        <w:t xml:space="preserve"> et aux objectifs plus larges du </w:t>
      </w:r>
      <w:r>
        <w:rPr>
          <w:rFonts w:ascii="Times New Roman" w:hAnsi="Times New Roman"/>
          <w:i/>
          <w:sz w:val="22"/>
        </w:rPr>
        <w:t>pacte pour une industrie propre</w:t>
      </w:r>
      <w:r>
        <w:rPr>
          <w:rFonts w:ascii="Times New Roman" w:hAnsi="Times New Roman"/>
          <w:sz w:val="22"/>
        </w:rPr>
        <w:t xml:space="preserve">, la section TEN soutiendra les actions législatives et non législatives en matière d’innovation numérique et verte, y compris la législation spatiale de l’UE. </w:t>
      </w:r>
    </w:p>
    <w:p w14:paraId="4BD23E54" w14:textId="77777777" w:rsidR="00EF1DC7" w:rsidRPr="000B323C" w:rsidRDefault="00EF1DC7" w:rsidP="006E7A01">
      <w:pPr>
        <w:spacing w:after="0" w:line="240" w:lineRule="auto"/>
        <w:jc w:val="both"/>
        <w:rPr>
          <w:rFonts w:ascii="Times New Roman" w:hAnsi="Times New Roman" w:cs="Times New Roman"/>
          <w:sz w:val="22"/>
          <w:szCs w:val="22"/>
          <w:lang w:eastAsia="fr-BE"/>
        </w:rPr>
      </w:pPr>
    </w:p>
    <w:p w14:paraId="1A4EAAE7" w14:textId="2B433197" w:rsidR="003B2152" w:rsidRPr="000B323C" w:rsidRDefault="003B2152" w:rsidP="006E7A01">
      <w:pPr>
        <w:spacing w:after="0" w:line="240" w:lineRule="auto"/>
        <w:jc w:val="both"/>
        <w:rPr>
          <w:rFonts w:ascii="Times New Roman" w:hAnsi="Times New Roman" w:cs="Times New Roman"/>
          <w:sz w:val="22"/>
          <w:szCs w:val="22"/>
        </w:rPr>
      </w:pPr>
      <w:r>
        <w:rPr>
          <w:rFonts w:ascii="Times New Roman" w:hAnsi="Times New Roman"/>
          <w:sz w:val="22"/>
        </w:rPr>
        <w:lastRenderedPageBreak/>
        <w:t>Elle s’impliquera avec des dossiers clés dans le domaine des transports, tels que le système européen de gestion du trafic ferroviaire, les véhicules autonomes, le transport ferroviaire à grande vitesse et la billetterie numérique.</w:t>
      </w:r>
    </w:p>
    <w:p w14:paraId="2B0AAAB9" w14:textId="77777777" w:rsidR="00BB4C9E" w:rsidRPr="000B323C" w:rsidRDefault="00BB4C9E" w:rsidP="006E7A01">
      <w:pPr>
        <w:spacing w:after="0" w:line="240" w:lineRule="auto"/>
        <w:jc w:val="both"/>
        <w:rPr>
          <w:rFonts w:ascii="Times New Roman" w:hAnsi="Times New Roman" w:cs="Times New Roman"/>
          <w:sz w:val="22"/>
          <w:szCs w:val="22"/>
          <w:lang w:eastAsia="fr-BE"/>
        </w:rPr>
      </w:pPr>
    </w:p>
    <w:p w14:paraId="56FF2DD8" w14:textId="325DE204" w:rsidR="003B2152" w:rsidRPr="000B323C" w:rsidRDefault="003B2152" w:rsidP="006E7A01">
      <w:pPr>
        <w:spacing w:after="0" w:line="240" w:lineRule="auto"/>
        <w:jc w:val="both"/>
        <w:rPr>
          <w:rFonts w:ascii="Times New Roman" w:hAnsi="Times New Roman" w:cs="Times New Roman"/>
          <w:color w:val="000000"/>
          <w:sz w:val="22"/>
          <w:szCs w:val="22"/>
        </w:rPr>
      </w:pPr>
      <w:r>
        <w:rPr>
          <w:rFonts w:ascii="Times New Roman" w:hAnsi="Times New Roman"/>
          <w:sz w:val="22"/>
        </w:rPr>
        <w:t xml:space="preserve">En ce qui concerne l’énergie, la section TEN contribuera au train de mesures sur l’énergie citoyenne et à la mise en œuvre des communautés énergétiques et du </w:t>
      </w:r>
      <w:proofErr w:type="spellStart"/>
      <w:r>
        <w:rPr>
          <w:rFonts w:ascii="Times New Roman" w:hAnsi="Times New Roman"/>
          <w:sz w:val="22"/>
        </w:rPr>
        <w:t>prosumérisme</w:t>
      </w:r>
      <w:proofErr w:type="spellEnd"/>
      <w:r>
        <w:rPr>
          <w:rFonts w:ascii="Times New Roman" w:hAnsi="Times New Roman"/>
          <w:sz w:val="22"/>
        </w:rPr>
        <w:t xml:space="preserve">, au train de mesures sur les réseaux européens et à la </w:t>
      </w:r>
      <w:r>
        <w:rPr>
          <w:rFonts w:ascii="Times New Roman" w:hAnsi="Times New Roman"/>
          <w:color w:val="000000"/>
          <w:sz w:val="22"/>
        </w:rPr>
        <w:t>révision du règlement sur la gouvernance de l’union de l’énergie.</w:t>
      </w:r>
    </w:p>
    <w:p w14:paraId="7C8B810A" w14:textId="77777777" w:rsidR="00BB4C9E" w:rsidRPr="000B323C" w:rsidRDefault="00BB4C9E" w:rsidP="006E7A01">
      <w:pPr>
        <w:spacing w:after="0" w:line="240" w:lineRule="auto"/>
        <w:jc w:val="both"/>
        <w:rPr>
          <w:rFonts w:ascii="Times New Roman" w:hAnsi="Times New Roman" w:cs="Times New Roman"/>
          <w:color w:val="000000"/>
          <w:sz w:val="22"/>
          <w:szCs w:val="22"/>
          <w:lang w:eastAsia="fr-BE"/>
        </w:rPr>
      </w:pPr>
    </w:p>
    <w:p w14:paraId="408CA470" w14:textId="75DF5B93" w:rsidR="003D2930" w:rsidRPr="000B323C" w:rsidRDefault="003B2152" w:rsidP="006E7A01">
      <w:pPr>
        <w:pStyle w:val="NormalWeb"/>
        <w:spacing w:before="0" w:beforeAutospacing="0" w:after="0" w:afterAutospacing="0"/>
        <w:jc w:val="both"/>
        <w:rPr>
          <w:i/>
          <w:iCs/>
          <w:sz w:val="22"/>
          <w:szCs w:val="22"/>
        </w:rPr>
      </w:pPr>
      <w:r>
        <w:rPr>
          <w:sz w:val="22"/>
        </w:rPr>
        <w:t>Grâce à ses travaux sur le programme pour une réglementation affûtée et performante (REFIT), aux avis exploratoires et d’initiative et à la participation des parties prenantes, la section TEN assurera la continuité et fournira des orientations tout au long du mandat de la Commission, en promouvant la compétitivité, l’inclusion et les infrastructures durables.</w:t>
      </w:r>
    </w:p>
    <w:p w14:paraId="608F3A74" w14:textId="119E0F31" w:rsidR="00B104AA" w:rsidRPr="00771933" w:rsidRDefault="00B104AA" w:rsidP="006E7A01">
      <w:pPr>
        <w:spacing w:after="0" w:line="240" w:lineRule="auto"/>
        <w:rPr>
          <w:rFonts w:ascii="Times New Roman" w:eastAsia="Calibri Light" w:hAnsi="Times New Roman" w:cs="Times New Roman"/>
          <w:lang w:val="en-GB"/>
        </w:rPr>
      </w:pPr>
    </w:p>
    <w:p w14:paraId="04437EE4" w14:textId="78CDD3B7" w:rsidR="006F33F4" w:rsidRPr="000B323C" w:rsidRDefault="3A924AF7" w:rsidP="006E7A01">
      <w:pPr>
        <w:spacing w:after="0" w:line="240" w:lineRule="auto"/>
        <w:jc w:val="both"/>
        <w:rPr>
          <w:rFonts w:ascii="Times New Roman" w:hAnsi="Times New Roman" w:cs="Times New Roman"/>
        </w:rPr>
      </w:pPr>
      <w:r>
        <w:rPr>
          <w:rFonts w:ascii="Times New Roman" w:hAnsi="Times New Roman"/>
          <w:color w:val="0070C0"/>
          <w:sz w:val="32"/>
        </w:rPr>
        <w:t>Annexe — Statistiques clés (avril 2023-septembre 2025)</w:t>
      </w:r>
    </w:p>
    <w:p w14:paraId="18F988BD" w14:textId="78637D4C" w:rsidR="006F33F4" w:rsidRPr="000B323C" w:rsidRDefault="006F33F4" w:rsidP="006E7A01">
      <w:pPr>
        <w:spacing w:after="0" w:line="240" w:lineRule="auto"/>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8495"/>
        <w:gridCol w:w="709"/>
      </w:tblGrid>
      <w:tr w:rsidR="00016926" w:rsidRPr="000B323C" w14:paraId="2A736EE0"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176556F0" w14:textId="3F33FB93" w:rsidR="00016926" w:rsidRPr="000B323C" w:rsidRDefault="00016926" w:rsidP="006E7A01">
            <w:pPr>
              <w:jc w:val="center"/>
              <w:rPr>
                <w:rFonts w:ascii="Times New Roman" w:hAnsi="Times New Roman" w:cs="Times New Roman"/>
              </w:rPr>
            </w:pPr>
            <w:r>
              <w:rPr>
                <w:rFonts w:ascii="Times New Roman" w:hAnsi="Times New Roman"/>
                <w:b/>
                <w:color w:val="FFFFFF" w:themeColor="background1"/>
                <w:sz w:val="22"/>
              </w:rPr>
              <w:t xml:space="preserve"> </w:t>
            </w:r>
          </w:p>
        </w:tc>
        <w:tc>
          <w:tcPr>
            <w:tcW w:w="709"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tcPr>
          <w:p w14:paraId="2892D287" w14:textId="2A973EFF" w:rsidR="00016926" w:rsidRPr="000B323C" w:rsidRDefault="00016926" w:rsidP="006E7A01">
            <w:pPr>
              <w:jc w:val="center"/>
              <w:rPr>
                <w:rFonts w:ascii="Times New Roman" w:hAnsi="Times New Roman" w:cs="Times New Roman"/>
              </w:rPr>
            </w:pPr>
            <w:r>
              <w:rPr>
                <w:rFonts w:ascii="Times New Roman" w:hAnsi="Times New Roman"/>
                <w:b/>
                <w:color w:val="FFFFFF" w:themeColor="background1"/>
                <w:sz w:val="22"/>
              </w:rPr>
              <w:t>Total</w:t>
            </w:r>
          </w:p>
        </w:tc>
      </w:tr>
      <w:tr w:rsidR="00016926" w:rsidRPr="000B323C" w14:paraId="1692C98C"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1E1AC798" w14:textId="0B1640AE" w:rsidR="00016926" w:rsidRPr="000B323C" w:rsidRDefault="00016926" w:rsidP="006E7A01">
            <w:pPr>
              <w:rPr>
                <w:rFonts w:ascii="Times New Roman" w:hAnsi="Times New Roman" w:cs="Times New Roman"/>
              </w:rPr>
            </w:pPr>
            <w:r>
              <w:rPr>
                <w:rFonts w:ascii="Times New Roman" w:hAnsi="Times New Roman"/>
                <w:b/>
                <w:sz w:val="22"/>
              </w:rPr>
              <w:t>Réunions de section</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5F0E1" w14:textId="3699FB45" w:rsidR="00016926" w:rsidRPr="000B323C" w:rsidRDefault="00016926" w:rsidP="006E7A01">
            <w:pPr>
              <w:jc w:val="right"/>
              <w:rPr>
                <w:rFonts w:ascii="Times New Roman" w:hAnsi="Times New Roman" w:cs="Times New Roman"/>
              </w:rPr>
            </w:pPr>
            <w:r>
              <w:rPr>
                <w:rFonts w:ascii="Times New Roman" w:hAnsi="Times New Roman"/>
                <w:sz w:val="22"/>
              </w:rPr>
              <w:t>22</w:t>
            </w:r>
          </w:p>
        </w:tc>
      </w:tr>
      <w:tr w:rsidR="00016926" w:rsidRPr="000B323C" w14:paraId="06DD8C75"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1DA35895" w14:textId="23EFC5AD" w:rsidR="00016926" w:rsidRPr="000B323C" w:rsidRDefault="00016926" w:rsidP="006E7A01">
            <w:pPr>
              <w:rPr>
                <w:rFonts w:ascii="Times New Roman" w:hAnsi="Times New Roman" w:cs="Times New Roman"/>
              </w:rPr>
            </w:pPr>
            <w:r>
              <w:rPr>
                <w:rFonts w:ascii="Times New Roman" w:hAnsi="Times New Roman"/>
                <w:b/>
                <w:sz w:val="22"/>
              </w:rPr>
              <w:t>Réunions du bureau de la section</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1D5714" w14:textId="1B4EE9FD" w:rsidR="00016926" w:rsidRPr="000B323C" w:rsidRDefault="00016926" w:rsidP="006E7A01">
            <w:pPr>
              <w:jc w:val="right"/>
              <w:rPr>
                <w:rFonts w:ascii="Times New Roman" w:hAnsi="Times New Roman" w:cs="Times New Roman"/>
              </w:rPr>
            </w:pPr>
            <w:r>
              <w:rPr>
                <w:rFonts w:ascii="Times New Roman" w:hAnsi="Times New Roman"/>
                <w:sz w:val="22"/>
              </w:rPr>
              <w:t>26</w:t>
            </w:r>
          </w:p>
        </w:tc>
      </w:tr>
      <w:tr w:rsidR="00016926" w:rsidRPr="000B323C" w14:paraId="5CB1119A"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09F300AD" w14:textId="166D5A70" w:rsidR="00016926" w:rsidRPr="000B323C" w:rsidRDefault="00016926" w:rsidP="006E7A01">
            <w:pPr>
              <w:rPr>
                <w:rFonts w:ascii="Times New Roman" w:hAnsi="Times New Roman" w:cs="Times New Roman"/>
              </w:rPr>
            </w:pPr>
            <w:r>
              <w:rPr>
                <w:rFonts w:ascii="Times New Roman" w:hAnsi="Times New Roman"/>
                <w:b/>
                <w:sz w:val="22"/>
              </w:rPr>
              <w:t>Réunions de groupes d’étude</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9CBBF" w14:textId="14373208" w:rsidR="00016926" w:rsidRPr="000B323C" w:rsidRDefault="00016926" w:rsidP="006E7A01">
            <w:pPr>
              <w:jc w:val="right"/>
              <w:rPr>
                <w:rFonts w:ascii="Times New Roman" w:hAnsi="Times New Roman" w:cs="Times New Roman"/>
              </w:rPr>
            </w:pPr>
            <w:r>
              <w:rPr>
                <w:rFonts w:ascii="Times New Roman" w:hAnsi="Times New Roman"/>
                <w:sz w:val="22"/>
              </w:rPr>
              <w:t>65</w:t>
            </w:r>
          </w:p>
        </w:tc>
      </w:tr>
      <w:tr w:rsidR="00016926" w:rsidRPr="000B323C" w14:paraId="3135C8D7"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58765265" w14:textId="2D5FBD3C" w:rsidR="00016926" w:rsidRPr="000B323C" w:rsidRDefault="00016926" w:rsidP="006E7A01">
            <w:pPr>
              <w:rPr>
                <w:rFonts w:ascii="Times New Roman" w:hAnsi="Times New Roman" w:cs="Times New Roman"/>
              </w:rPr>
            </w:pPr>
            <w:r>
              <w:rPr>
                <w:rFonts w:ascii="Times New Roman" w:hAnsi="Times New Roman"/>
                <w:b/>
                <w:sz w:val="22"/>
              </w:rPr>
              <w:t>Réunions du groupe d’étude permanent</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5A7EB1" w14:textId="3F5C7D5D" w:rsidR="00016926" w:rsidRPr="000B323C" w:rsidRDefault="00016926" w:rsidP="006E7A01">
            <w:pPr>
              <w:jc w:val="right"/>
              <w:rPr>
                <w:rFonts w:ascii="Times New Roman" w:hAnsi="Times New Roman" w:cs="Times New Roman"/>
              </w:rPr>
            </w:pPr>
            <w:r>
              <w:rPr>
                <w:rFonts w:ascii="Times New Roman" w:hAnsi="Times New Roman"/>
                <w:sz w:val="22"/>
              </w:rPr>
              <w:t>11</w:t>
            </w:r>
          </w:p>
        </w:tc>
      </w:tr>
      <w:tr w:rsidR="00016926" w:rsidRPr="000B323C" w14:paraId="23E1729D"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64DF5813" w14:textId="595166C2" w:rsidR="00016926" w:rsidRPr="000B323C" w:rsidRDefault="00016926" w:rsidP="006E7A01">
            <w:pPr>
              <w:rPr>
                <w:rFonts w:ascii="Times New Roman" w:hAnsi="Times New Roman" w:cs="Times New Roman"/>
              </w:rPr>
            </w:pPr>
            <w:r>
              <w:rPr>
                <w:rFonts w:ascii="Times New Roman" w:hAnsi="Times New Roman"/>
                <w:b/>
                <w:sz w:val="22"/>
              </w:rPr>
              <w:t>Avis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1B021" w14:textId="7108CEC0" w:rsidR="00016926" w:rsidRPr="000B323C" w:rsidRDefault="00016926" w:rsidP="006E7A01">
            <w:pPr>
              <w:jc w:val="right"/>
              <w:rPr>
                <w:rFonts w:ascii="Times New Roman" w:hAnsi="Times New Roman" w:cs="Times New Roman"/>
              </w:rPr>
            </w:pPr>
            <w:r>
              <w:rPr>
                <w:rFonts w:ascii="Times New Roman" w:hAnsi="Times New Roman"/>
                <w:sz w:val="22"/>
              </w:rPr>
              <w:t>56</w:t>
            </w:r>
          </w:p>
        </w:tc>
      </w:tr>
      <w:tr w:rsidR="00016926" w:rsidRPr="000B323C" w14:paraId="378AB24B"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324DE536" w14:textId="739F8207" w:rsidR="00016926" w:rsidRPr="000B323C" w:rsidRDefault="00016926" w:rsidP="00F721A4">
            <w:pPr>
              <w:ind w:firstLine="164"/>
              <w:rPr>
                <w:rFonts w:ascii="Times New Roman" w:hAnsi="Times New Roman" w:cs="Times New Roman"/>
              </w:rPr>
            </w:pPr>
            <w:r>
              <w:rPr>
                <w:rFonts w:ascii="Times New Roman" w:hAnsi="Times New Roman"/>
                <w:sz w:val="22"/>
              </w:rPr>
              <w:t>Saisines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FDCA5" w14:textId="593335DA" w:rsidR="00016926" w:rsidRPr="000B323C" w:rsidRDefault="00016926" w:rsidP="006E7A01">
            <w:pPr>
              <w:jc w:val="right"/>
              <w:rPr>
                <w:rFonts w:ascii="Times New Roman" w:hAnsi="Times New Roman" w:cs="Times New Roman"/>
              </w:rPr>
            </w:pPr>
            <w:r>
              <w:rPr>
                <w:rFonts w:ascii="Times New Roman" w:hAnsi="Times New Roman"/>
                <w:sz w:val="22"/>
              </w:rPr>
              <w:t>27</w:t>
            </w:r>
          </w:p>
        </w:tc>
      </w:tr>
      <w:tr w:rsidR="00016926" w:rsidRPr="000B323C" w14:paraId="3609FB45"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57ACCF07" w14:textId="494C2C5F" w:rsidR="00016926" w:rsidRPr="000B323C" w:rsidRDefault="00016926" w:rsidP="00F721A4">
            <w:pPr>
              <w:ind w:firstLine="164"/>
              <w:rPr>
                <w:rFonts w:ascii="Times New Roman" w:hAnsi="Times New Roman" w:cs="Times New Roman"/>
              </w:rPr>
            </w:pPr>
            <w:r>
              <w:rPr>
                <w:rFonts w:ascii="Times New Roman" w:hAnsi="Times New Roman"/>
                <w:sz w:val="22"/>
              </w:rPr>
              <w:t>Avis exploratoires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701E17" w14:textId="28F250C8" w:rsidR="00016926" w:rsidRPr="000B323C" w:rsidRDefault="00016926" w:rsidP="006E7A01">
            <w:pPr>
              <w:jc w:val="right"/>
              <w:rPr>
                <w:rFonts w:ascii="Times New Roman" w:hAnsi="Times New Roman" w:cs="Times New Roman"/>
              </w:rPr>
            </w:pPr>
            <w:r>
              <w:rPr>
                <w:rFonts w:ascii="Times New Roman" w:hAnsi="Times New Roman"/>
                <w:sz w:val="22"/>
              </w:rPr>
              <w:t>7</w:t>
            </w:r>
          </w:p>
        </w:tc>
      </w:tr>
      <w:tr w:rsidR="00016926" w:rsidRPr="000B323C" w14:paraId="7B57F6F5"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6F4E55BF" w14:textId="0A4F0CA9" w:rsidR="00016926" w:rsidRPr="000B323C" w:rsidRDefault="00016926" w:rsidP="00F721A4">
            <w:pPr>
              <w:ind w:firstLine="164"/>
              <w:rPr>
                <w:rFonts w:ascii="Times New Roman" w:hAnsi="Times New Roman" w:cs="Times New Roman"/>
              </w:rPr>
            </w:pPr>
            <w:r>
              <w:rPr>
                <w:rFonts w:ascii="Times New Roman" w:hAnsi="Times New Roman"/>
                <w:sz w:val="22"/>
              </w:rPr>
              <w:t>Avis d’initiative</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2D4DA1" w14:textId="61EFF1F1" w:rsidR="00016926" w:rsidRPr="000B323C" w:rsidRDefault="00016926" w:rsidP="006E7A01">
            <w:pPr>
              <w:jc w:val="right"/>
              <w:rPr>
                <w:rFonts w:ascii="Times New Roman" w:hAnsi="Times New Roman" w:cs="Times New Roman"/>
              </w:rPr>
            </w:pPr>
            <w:r>
              <w:rPr>
                <w:rFonts w:ascii="Times New Roman" w:hAnsi="Times New Roman"/>
                <w:sz w:val="22"/>
              </w:rPr>
              <w:t>22</w:t>
            </w:r>
          </w:p>
        </w:tc>
      </w:tr>
      <w:tr w:rsidR="00016926" w:rsidRPr="000B323C" w14:paraId="4B55B927"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70A8D2F6" w14:textId="3CFBFB18" w:rsidR="00016926" w:rsidRPr="000B323C" w:rsidRDefault="00016926" w:rsidP="006E7A01">
            <w:pPr>
              <w:rPr>
                <w:rFonts w:ascii="Times New Roman" w:eastAsia="Calibri" w:hAnsi="Times New Roman" w:cs="Times New Roman"/>
                <w:b/>
                <w:bCs/>
                <w:sz w:val="22"/>
                <w:szCs w:val="22"/>
              </w:rPr>
            </w:pPr>
            <w:r>
              <w:rPr>
                <w:rFonts w:ascii="Times New Roman" w:hAnsi="Times New Roman"/>
                <w:b/>
                <w:sz w:val="22"/>
              </w:rPr>
              <w:t>Études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C56338" w14:textId="388EEE09" w:rsidR="00016926" w:rsidRPr="000B323C" w:rsidRDefault="00016926" w:rsidP="006E7A01">
            <w:pPr>
              <w:jc w:val="right"/>
              <w:rPr>
                <w:rFonts w:ascii="Times New Roman" w:eastAsia="Calibri" w:hAnsi="Times New Roman" w:cs="Times New Roman"/>
                <w:sz w:val="22"/>
                <w:szCs w:val="22"/>
              </w:rPr>
            </w:pPr>
            <w:r>
              <w:rPr>
                <w:rFonts w:ascii="Times New Roman" w:hAnsi="Times New Roman"/>
                <w:sz w:val="22"/>
              </w:rPr>
              <w:t>2</w:t>
            </w:r>
          </w:p>
        </w:tc>
      </w:tr>
      <w:tr w:rsidR="00016926" w:rsidRPr="000B323C" w14:paraId="42F9E850"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3E95C1AF" w14:textId="2E2D4C7F" w:rsidR="00016926" w:rsidRPr="000B323C" w:rsidRDefault="00016926" w:rsidP="006E7A01">
            <w:pPr>
              <w:rPr>
                <w:rFonts w:ascii="Times New Roman" w:hAnsi="Times New Roman" w:cs="Times New Roman"/>
              </w:rPr>
            </w:pPr>
            <w:r>
              <w:rPr>
                <w:rFonts w:ascii="Times New Roman" w:hAnsi="Times New Roman"/>
                <w:b/>
                <w:sz w:val="22"/>
              </w:rPr>
              <w:t xml:space="preserve">Missions d’information </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D216C7" w14:textId="453263AE" w:rsidR="00016926" w:rsidRPr="000B323C" w:rsidRDefault="00016926" w:rsidP="006E7A01">
            <w:pPr>
              <w:jc w:val="right"/>
              <w:rPr>
                <w:rFonts w:ascii="Times New Roman" w:hAnsi="Times New Roman" w:cs="Times New Roman"/>
              </w:rPr>
            </w:pPr>
            <w:r>
              <w:rPr>
                <w:rFonts w:ascii="Times New Roman" w:hAnsi="Times New Roman"/>
                <w:sz w:val="22"/>
              </w:rPr>
              <w:t>8</w:t>
            </w:r>
          </w:p>
        </w:tc>
      </w:tr>
      <w:tr w:rsidR="00016926" w:rsidRPr="000B323C" w14:paraId="7C84AEEA"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2C11394E" w14:textId="191B70CE" w:rsidR="00016926" w:rsidRPr="000B323C" w:rsidRDefault="00016926" w:rsidP="006E7A01">
            <w:pPr>
              <w:rPr>
                <w:rFonts w:ascii="Times New Roman" w:hAnsi="Times New Roman" w:cs="Times New Roman"/>
              </w:rPr>
            </w:pPr>
            <w:r>
              <w:rPr>
                <w:rFonts w:ascii="Times New Roman" w:hAnsi="Times New Roman"/>
                <w:b/>
                <w:sz w:val="22"/>
              </w:rPr>
              <w:t>Conférences et auditions organisées par la section</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0E79C5" w14:textId="1F9E5B4D" w:rsidR="00016926" w:rsidRPr="000B323C" w:rsidRDefault="00016926" w:rsidP="006E7A01">
            <w:pPr>
              <w:jc w:val="right"/>
              <w:rPr>
                <w:rFonts w:ascii="Times New Roman" w:hAnsi="Times New Roman" w:cs="Times New Roman"/>
              </w:rPr>
            </w:pPr>
            <w:r>
              <w:rPr>
                <w:rFonts w:ascii="Times New Roman" w:hAnsi="Times New Roman"/>
                <w:sz w:val="22"/>
              </w:rPr>
              <w:t>39</w:t>
            </w:r>
          </w:p>
        </w:tc>
      </w:tr>
      <w:tr w:rsidR="00016926" w:rsidRPr="000B323C" w14:paraId="646244B4"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32A54F24" w14:textId="4ED5FB26" w:rsidR="00016926" w:rsidRPr="000B323C" w:rsidRDefault="00016926" w:rsidP="006E7A01">
            <w:pPr>
              <w:rPr>
                <w:rFonts w:ascii="Times New Roman" w:hAnsi="Times New Roman" w:cs="Times New Roman"/>
              </w:rPr>
            </w:pPr>
            <w:r>
              <w:rPr>
                <w:rFonts w:ascii="Times New Roman" w:hAnsi="Times New Roman"/>
                <w:b/>
                <w:sz w:val="22"/>
              </w:rPr>
              <w:t>Participation des membres de la section TEN à des réunions/manifestations/conférences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1EBDF" w14:textId="52A20EA2" w:rsidR="00016926" w:rsidRPr="000B323C" w:rsidRDefault="00016926" w:rsidP="006E7A01">
            <w:pPr>
              <w:jc w:val="right"/>
              <w:rPr>
                <w:rFonts w:ascii="Times New Roman" w:hAnsi="Times New Roman" w:cs="Times New Roman"/>
              </w:rPr>
            </w:pPr>
            <w:r>
              <w:rPr>
                <w:rFonts w:ascii="Times New Roman" w:hAnsi="Times New Roman"/>
                <w:sz w:val="22"/>
              </w:rPr>
              <w:t>288</w:t>
            </w:r>
          </w:p>
        </w:tc>
      </w:tr>
      <w:tr w:rsidR="00016926" w:rsidRPr="00D22994" w14:paraId="730045D7"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0D6B402E" w14:textId="15A56233" w:rsidR="00016926" w:rsidRPr="00D22994" w:rsidRDefault="00B837FE" w:rsidP="006E7A01">
            <w:pPr>
              <w:rPr>
                <w:rFonts w:ascii="Times New Roman" w:hAnsi="Times New Roman" w:cs="Times New Roman"/>
                <w:sz w:val="22"/>
                <w:szCs w:val="22"/>
              </w:rPr>
            </w:pPr>
            <w:r w:rsidRPr="00D22994">
              <w:rPr>
                <w:rFonts w:ascii="Times New Roman" w:hAnsi="Times New Roman" w:cs="Times New Roman"/>
                <w:sz w:val="22"/>
                <w:szCs w:val="22"/>
              </w:rPr>
              <w:t>Réunions entre les rapporteurs du CESE/Parlement ou les présidents de sections/commissions du Parlement</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39C7DD" w14:textId="411A2FC6" w:rsidR="00016926" w:rsidRPr="00D22994" w:rsidRDefault="00016926" w:rsidP="006E7A01">
            <w:pPr>
              <w:jc w:val="right"/>
              <w:rPr>
                <w:rFonts w:ascii="Times New Roman" w:hAnsi="Times New Roman" w:cs="Times New Roman"/>
                <w:sz w:val="22"/>
                <w:szCs w:val="22"/>
              </w:rPr>
            </w:pPr>
            <w:r w:rsidRPr="00D22994">
              <w:rPr>
                <w:rFonts w:ascii="Times New Roman" w:hAnsi="Times New Roman" w:cs="Times New Roman"/>
                <w:sz w:val="22"/>
                <w:szCs w:val="22"/>
              </w:rPr>
              <w:t>5</w:t>
            </w:r>
          </w:p>
        </w:tc>
      </w:tr>
      <w:tr w:rsidR="00016926" w:rsidRPr="000B323C" w14:paraId="4F09BF63" w14:textId="77777777" w:rsidTr="00016926">
        <w:trPr>
          <w:trHeight w:val="300"/>
        </w:trPr>
        <w:tc>
          <w:tcPr>
            <w:tcW w:w="8495" w:type="dxa"/>
            <w:tcBorders>
              <w:top w:val="single" w:sz="8" w:space="0" w:color="auto"/>
              <w:left w:val="single" w:sz="8" w:space="0" w:color="auto"/>
              <w:bottom w:val="single" w:sz="8" w:space="0" w:color="auto"/>
              <w:right w:val="single" w:sz="8" w:space="0" w:color="auto"/>
            </w:tcBorders>
            <w:tcMar>
              <w:left w:w="108" w:type="dxa"/>
              <w:right w:w="108" w:type="dxa"/>
            </w:tcMar>
          </w:tcPr>
          <w:p w14:paraId="28A66AF5" w14:textId="710D7F2E" w:rsidR="00016926" w:rsidRPr="000B323C" w:rsidRDefault="00016926" w:rsidP="006E7A01">
            <w:pPr>
              <w:rPr>
                <w:rFonts w:ascii="Times New Roman" w:hAnsi="Times New Roman" w:cs="Times New Roman"/>
              </w:rPr>
            </w:pPr>
            <w:r>
              <w:rPr>
                <w:rFonts w:ascii="Times New Roman" w:hAnsi="Times New Roman"/>
                <w:b/>
                <w:sz w:val="22"/>
              </w:rPr>
              <w:t>Réunions de membres du CESE avec des représentants du Conseil ou des représentants des États membres</w:t>
            </w:r>
          </w:p>
        </w:tc>
        <w:tc>
          <w:tcPr>
            <w:tcW w:w="7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D0467C" w14:textId="21B45DDC" w:rsidR="00016926" w:rsidRPr="000B323C" w:rsidRDefault="00016926" w:rsidP="006E7A01">
            <w:pPr>
              <w:jc w:val="right"/>
              <w:rPr>
                <w:rFonts w:ascii="Times New Roman" w:hAnsi="Times New Roman" w:cs="Times New Roman"/>
              </w:rPr>
            </w:pPr>
            <w:r>
              <w:rPr>
                <w:rFonts w:ascii="Times New Roman" w:hAnsi="Times New Roman"/>
                <w:sz w:val="22"/>
              </w:rPr>
              <w:t>12</w:t>
            </w:r>
          </w:p>
        </w:tc>
      </w:tr>
    </w:tbl>
    <w:p w14:paraId="2C078E63" w14:textId="6553275F" w:rsidR="006F33F4" w:rsidRPr="001F7757" w:rsidRDefault="001F7757" w:rsidP="001F7757">
      <w:pPr>
        <w:overflowPunct w:val="0"/>
        <w:autoSpaceDE w:val="0"/>
        <w:autoSpaceDN w:val="0"/>
        <w:adjustRightInd w:val="0"/>
        <w:spacing w:line="288" w:lineRule="auto"/>
        <w:jc w:val="center"/>
        <w:textAlignment w:val="baseline"/>
        <w:rPr>
          <w:rFonts w:ascii="Times New Roman" w:hAnsi="Times New Roman" w:cs="Times New Roman"/>
          <w:sz w:val="22"/>
          <w:szCs w:val="22"/>
          <w:lang w:val="nl-BE"/>
        </w:rPr>
      </w:pPr>
      <w:r w:rsidRPr="001F7757">
        <w:rPr>
          <w:rFonts w:ascii="Times New Roman" w:hAnsi="Times New Roman" w:cs="Times New Roman"/>
          <w:sz w:val="22"/>
          <w:szCs w:val="22"/>
          <w:lang w:val="nl-BE"/>
        </w:rPr>
        <w:t>_____________</w:t>
      </w:r>
    </w:p>
    <w:sectPr w:rsidR="006F33F4" w:rsidRPr="001F7757" w:rsidSect="000B323C">
      <w:headerReference w:type="even" r:id="rId108"/>
      <w:footerReference w:type="even" r:id="rId109"/>
      <w:footerReference w:type="default" r:id="rId110"/>
      <w:pgSz w:w="12240" w:h="15874"/>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F2C9E" w14:textId="77777777" w:rsidR="007B2E3D" w:rsidRDefault="007B2E3D" w:rsidP="00757807">
      <w:pPr>
        <w:spacing w:after="0" w:line="240" w:lineRule="auto"/>
      </w:pPr>
      <w:r>
        <w:separator/>
      </w:r>
    </w:p>
    <w:p w14:paraId="115D3563" w14:textId="77777777" w:rsidR="00942CDC" w:rsidRDefault="00942CDC"/>
    <w:p w14:paraId="3186439E" w14:textId="77777777" w:rsidR="00033B7B" w:rsidRDefault="00033B7B"/>
  </w:endnote>
  <w:endnote w:type="continuationSeparator" w:id="0">
    <w:p w14:paraId="1ECF3D1D" w14:textId="77777777" w:rsidR="007B2E3D" w:rsidRDefault="007B2E3D" w:rsidP="00757807">
      <w:pPr>
        <w:spacing w:after="0" w:line="240" w:lineRule="auto"/>
      </w:pPr>
      <w:r>
        <w:continuationSeparator/>
      </w:r>
    </w:p>
    <w:p w14:paraId="6E6133A0" w14:textId="77777777" w:rsidR="00942CDC" w:rsidRDefault="00942CDC"/>
    <w:p w14:paraId="4A761812" w14:textId="77777777" w:rsidR="00033B7B" w:rsidRDefault="00033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2A666" w14:textId="77777777" w:rsidR="000B323C" w:rsidRDefault="000B323C" w:rsidP="000B323C">
    <w:pPr>
      <w:pStyle w:val="Footer"/>
    </w:pPr>
  </w:p>
  <w:p w14:paraId="05A55A7E" w14:textId="77777777" w:rsidR="00942CDC" w:rsidRDefault="00942CDC"/>
  <w:p w14:paraId="11AA116F" w14:textId="77777777" w:rsidR="00033B7B" w:rsidRDefault="00033B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C750" w14:textId="7E1DDFA7" w:rsidR="00033B7B" w:rsidRDefault="000B323C">
    <w:r>
      <w:rPr>
        <w:rFonts w:ascii="Times New Roman" w:hAnsi="Times New Roman"/>
        <w:sz w:val="22"/>
      </w:rPr>
      <w:t>EESC-2025-02</w:t>
    </w:r>
    <w:r w:rsidR="00B9032B">
      <w:rPr>
        <w:rFonts w:ascii="Times New Roman" w:hAnsi="Times New Roman"/>
        <w:sz w:val="22"/>
      </w:rPr>
      <w:t>6</w:t>
    </w:r>
    <w:r>
      <w:rPr>
        <w:rFonts w:ascii="Times New Roman" w:hAnsi="Times New Roman"/>
        <w:sz w:val="22"/>
      </w:rPr>
      <w:t>25-</w:t>
    </w:r>
    <w:r w:rsidR="00B9032B">
      <w:rPr>
        <w:rFonts w:ascii="Times New Roman" w:hAnsi="Times New Roman"/>
        <w:sz w:val="22"/>
      </w:rPr>
      <w:t>21</w:t>
    </w:r>
    <w:r>
      <w:rPr>
        <w:rFonts w:ascii="Times New Roman" w:hAnsi="Times New Roman"/>
        <w:sz w:val="22"/>
      </w:rPr>
      <w:t>-0</w:t>
    </w:r>
    <w:r w:rsidR="00B9032B">
      <w:rPr>
        <w:rFonts w:ascii="Times New Roman" w:hAnsi="Times New Roman"/>
        <w:sz w:val="22"/>
      </w:rPr>
      <w:t>1</w:t>
    </w:r>
    <w:r>
      <w:rPr>
        <w:rFonts w:ascii="Times New Roman" w:hAnsi="Times New Roman"/>
        <w:sz w:val="22"/>
      </w:rPr>
      <w:t>-</w:t>
    </w:r>
    <w:r w:rsidR="00B9032B">
      <w:rPr>
        <w:rFonts w:ascii="Times New Roman" w:hAnsi="Times New Roman"/>
        <w:sz w:val="22"/>
      </w:rPr>
      <w:t>NB</w:t>
    </w:r>
    <w:r>
      <w:rPr>
        <w:rFonts w:ascii="Times New Roman" w:hAnsi="Times New Roman"/>
        <w:sz w:val="22"/>
      </w:rPr>
      <w:t xml:space="preserve">-TRA (EN) </w:t>
    </w:r>
    <w:r w:rsidRPr="00F721A4">
      <w:rPr>
        <w:rFonts w:ascii="Times New Roman" w:hAnsi="Times New Roman" w:cs="Times New Roman"/>
        <w:sz w:val="22"/>
      </w:rPr>
      <w:fldChar w:fldCharType="begin"/>
    </w:r>
    <w:r w:rsidRPr="00F721A4">
      <w:rPr>
        <w:rFonts w:ascii="Times New Roman" w:hAnsi="Times New Roman" w:cs="Times New Roman"/>
        <w:sz w:val="22"/>
      </w:rPr>
      <w:instrText xml:space="preserve"> PAGE  \* Arabic  \* MERGEFORMAT </w:instrText>
    </w:r>
    <w:r w:rsidRPr="00F721A4">
      <w:rPr>
        <w:rFonts w:ascii="Times New Roman" w:hAnsi="Times New Roman" w:cs="Times New Roman"/>
        <w:sz w:val="22"/>
      </w:rPr>
      <w:fldChar w:fldCharType="separate"/>
    </w:r>
    <w:r w:rsidR="00F721A4">
      <w:rPr>
        <w:rFonts w:ascii="Times New Roman" w:hAnsi="Times New Roman" w:cs="Times New Roman"/>
        <w:sz w:val="22"/>
      </w:rPr>
      <w:t>1</w:t>
    </w:r>
    <w:r w:rsidRPr="00F721A4">
      <w:rPr>
        <w:rFonts w:ascii="Times New Roman" w:hAnsi="Times New Roman" w:cs="Times New Roman"/>
        <w:sz w:val="22"/>
      </w:rPr>
      <w:fldChar w:fldCharType="end"/>
    </w:r>
    <w:r>
      <w:rPr>
        <w:rFonts w:ascii="Times New Roman" w:hAnsi="Times New Roman"/>
        <w:sz w:val="22"/>
      </w:rPr>
      <w:t>/</w:t>
    </w:r>
    <w:r w:rsidR="00D40B2B" w:rsidRPr="00F721A4">
      <w:rPr>
        <w:rFonts w:ascii="Times New Roman" w:hAnsi="Times New Roman" w:cs="Times New Roman"/>
        <w:sz w:val="22"/>
      </w:rPr>
      <w:fldChar w:fldCharType="begin"/>
    </w:r>
    <w:r w:rsidR="00D40B2B" w:rsidRPr="00F721A4">
      <w:rPr>
        <w:rFonts w:ascii="Times New Roman" w:hAnsi="Times New Roman" w:cs="Times New Roman"/>
        <w:sz w:val="22"/>
      </w:rPr>
      <w:instrText xml:space="preserve"> NUMPAGES </w:instrText>
    </w:r>
    <w:r w:rsidR="00D40B2B" w:rsidRPr="00F721A4">
      <w:rPr>
        <w:rFonts w:ascii="Times New Roman" w:hAnsi="Times New Roman" w:cs="Times New Roman"/>
        <w:sz w:val="22"/>
      </w:rPr>
      <w:fldChar w:fldCharType="separate"/>
    </w:r>
    <w:r w:rsidR="00F721A4">
      <w:rPr>
        <w:rFonts w:ascii="Times New Roman" w:hAnsi="Times New Roman" w:cs="Times New Roman"/>
        <w:sz w:val="22"/>
      </w:rPr>
      <w:t>1</w:t>
    </w:r>
    <w:r w:rsidR="00D40B2B" w:rsidRPr="00F721A4">
      <w:rPr>
        <w:rFonts w:ascii="Times New Roman" w:hAnsi="Times New Roman" w:cs="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56BD6" w14:textId="77777777" w:rsidR="007B2E3D" w:rsidRDefault="007B2E3D" w:rsidP="00757807">
      <w:pPr>
        <w:spacing w:after="0" w:line="240" w:lineRule="auto"/>
      </w:pPr>
      <w:r>
        <w:separator/>
      </w:r>
    </w:p>
    <w:p w14:paraId="17DB95D6" w14:textId="77777777" w:rsidR="00942CDC" w:rsidRDefault="00942CDC"/>
    <w:p w14:paraId="1D08622C" w14:textId="77777777" w:rsidR="00033B7B" w:rsidRDefault="00033B7B"/>
  </w:footnote>
  <w:footnote w:type="continuationSeparator" w:id="0">
    <w:p w14:paraId="15EA36D2" w14:textId="77777777" w:rsidR="007B2E3D" w:rsidRDefault="007B2E3D" w:rsidP="00757807">
      <w:pPr>
        <w:spacing w:after="0" w:line="240" w:lineRule="auto"/>
      </w:pPr>
      <w:r>
        <w:continuationSeparator/>
      </w:r>
    </w:p>
    <w:p w14:paraId="14EE1437" w14:textId="77777777" w:rsidR="00942CDC" w:rsidRDefault="00942CDC"/>
    <w:p w14:paraId="67C72197" w14:textId="77777777" w:rsidR="00033B7B" w:rsidRDefault="00033B7B"/>
  </w:footnote>
  <w:footnote w:id="1">
    <w:p w14:paraId="34F181BC" w14:textId="20E7366F" w:rsidR="00757807" w:rsidRPr="00400FF1" w:rsidRDefault="00757807" w:rsidP="00757807">
      <w:pPr>
        <w:pStyle w:val="FootnoteText"/>
        <w:rPr>
          <w:rFonts w:ascii="Garamond" w:hAnsi="Garamond"/>
        </w:rPr>
      </w:pPr>
      <w:r>
        <w:rPr>
          <w:rStyle w:val="FootnoteReference"/>
        </w:rPr>
        <w:footnoteRef/>
      </w:r>
      <w:r>
        <w:tab/>
      </w:r>
      <w:hyperlink r:id="rId1" w:history="1">
        <w:r>
          <w:rPr>
            <w:rStyle w:val="Hyperlink"/>
            <w:rFonts w:ascii="Garamond" w:hAnsi="Garamond"/>
          </w:rPr>
          <w:t>Rapport</w:t>
        </w:r>
      </w:hyperlink>
      <w:r>
        <w:rPr>
          <w:rFonts w:ascii="Garamond" w:hAnsi="Garamond"/>
        </w:rPr>
        <w:t xml:space="preserve"> de la Commission européenne publié en mai 2024 sur les progrès réalisés dans le cadre de la mise en œuvre de la </w:t>
      </w:r>
      <w:hyperlink r:id="rId2" w:history="1">
        <w:r>
          <w:rPr>
            <w:rStyle w:val="Hyperlink"/>
            <w:rFonts w:ascii="Garamond" w:hAnsi="Garamond"/>
          </w:rPr>
          <w:t>directive 2011/70/Euratom du Conseil</w:t>
        </w:r>
      </w:hyperlink>
      <w:r>
        <w:rPr>
          <w:rFonts w:ascii="Garamond" w:hAnsi="Garamond"/>
        </w:rPr>
        <w:t xml:space="preserve"> et inventaire des combustibles usés et des déchets radioactifs présents sur le territoire de la Communauté et des prévisions pour l’avenir.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A0CC7" w14:textId="77777777" w:rsidR="000B323C" w:rsidRDefault="000B323C">
    <w:pPr>
      <w:pStyle w:val="Header"/>
    </w:pPr>
  </w:p>
  <w:p w14:paraId="1B061294" w14:textId="77777777" w:rsidR="00942CDC" w:rsidRDefault="00942CDC"/>
  <w:p w14:paraId="1CAC7C0A" w14:textId="77777777" w:rsidR="00033B7B" w:rsidRDefault="00033B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7CB"/>
    <w:multiLevelType w:val="multilevel"/>
    <w:tmpl w:val="E5245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8A05EB"/>
    <w:multiLevelType w:val="hybridMultilevel"/>
    <w:tmpl w:val="5B847018"/>
    <w:lvl w:ilvl="0" w:tplc="D4C66B40">
      <w:start w:val="1"/>
      <w:numFmt w:val="bullet"/>
      <w:lvlText w:val="-"/>
      <w:lvlJc w:val="left"/>
      <w:pPr>
        <w:ind w:left="720" w:hanging="360"/>
      </w:pPr>
      <w:rPr>
        <w:rFonts w:ascii="Symbol" w:hAnsi="Symbol" w:hint="default"/>
      </w:rPr>
    </w:lvl>
    <w:lvl w:ilvl="1" w:tplc="133091D8">
      <w:start w:val="1"/>
      <w:numFmt w:val="bullet"/>
      <w:lvlText w:val="o"/>
      <w:lvlJc w:val="left"/>
      <w:pPr>
        <w:ind w:left="1440" w:hanging="360"/>
      </w:pPr>
      <w:rPr>
        <w:rFonts w:ascii="Courier New" w:hAnsi="Courier New" w:hint="default"/>
      </w:rPr>
    </w:lvl>
    <w:lvl w:ilvl="2" w:tplc="77126D42">
      <w:start w:val="1"/>
      <w:numFmt w:val="bullet"/>
      <w:lvlText w:val=""/>
      <w:lvlJc w:val="left"/>
      <w:pPr>
        <w:ind w:left="2160" w:hanging="360"/>
      </w:pPr>
      <w:rPr>
        <w:rFonts w:ascii="Wingdings" w:hAnsi="Wingdings" w:hint="default"/>
      </w:rPr>
    </w:lvl>
    <w:lvl w:ilvl="3" w:tplc="FD2AE858">
      <w:start w:val="1"/>
      <w:numFmt w:val="bullet"/>
      <w:lvlText w:val=""/>
      <w:lvlJc w:val="left"/>
      <w:pPr>
        <w:ind w:left="2880" w:hanging="360"/>
      </w:pPr>
      <w:rPr>
        <w:rFonts w:ascii="Symbol" w:hAnsi="Symbol" w:hint="default"/>
      </w:rPr>
    </w:lvl>
    <w:lvl w:ilvl="4" w:tplc="2438FF5C">
      <w:start w:val="1"/>
      <w:numFmt w:val="bullet"/>
      <w:lvlText w:val="o"/>
      <w:lvlJc w:val="left"/>
      <w:pPr>
        <w:ind w:left="3600" w:hanging="360"/>
      </w:pPr>
      <w:rPr>
        <w:rFonts w:ascii="Courier New" w:hAnsi="Courier New" w:hint="default"/>
      </w:rPr>
    </w:lvl>
    <w:lvl w:ilvl="5" w:tplc="1AA450F2">
      <w:start w:val="1"/>
      <w:numFmt w:val="bullet"/>
      <w:lvlText w:val=""/>
      <w:lvlJc w:val="left"/>
      <w:pPr>
        <w:ind w:left="4320" w:hanging="360"/>
      </w:pPr>
      <w:rPr>
        <w:rFonts w:ascii="Wingdings" w:hAnsi="Wingdings" w:hint="default"/>
      </w:rPr>
    </w:lvl>
    <w:lvl w:ilvl="6" w:tplc="DD049240">
      <w:start w:val="1"/>
      <w:numFmt w:val="bullet"/>
      <w:lvlText w:val=""/>
      <w:lvlJc w:val="left"/>
      <w:pPr>
        <w:ind w:left="5040" w:hanging="360"/>
      </w:pPr>
      <w:rPr>
        <w:rFonts w:ascii="Symbol" w:hAnsi="Symbol" w:hint="default"/>
      </w:rPr>
    </w:lvl>
    <w:lvl w:ilvl="7" w:tplc="4C6AF9B4">
      <w:start w:val="1"/>
      <w:numFmt w:val="bullet"/>
      <w:lvlText w:val="o"/>
      <w:lvlJc w:val="left"/>
      <w:pPr>
        <w:ind w:left="5760" w:hanging="360"/>
      </w:pPr>
      <w:rPr>
        <w:rFonts w:ascii="Courier New" w:hAnsi="Courier New" w:hint="default"/>
      </w:rPr>
    </w:lvl>
    <w:lvl w:ilvl="8" w:tplc="F0CC4A32">
      <w:start w:val="1"/>
      <w:numFmt w:val="bullet"/>
      <w:lvlText w:val=""/>
      <w:lvlJc w:val="left"/>
      <w:pPr>
        <w:ind w:left="6480" w:hanging="360"/>
      </w:pPr>
      <w:rPr>
        <w:rFonts w:ascii="Wingdings" w:hAnsi="Wingdings" w:hint="default"/>
      </w:rPr>
    </w:lvl>
  </w:abstractNum>
  <w:abstractNum w:abstractNumId="2" w15:restartNumberingAfterBreak="0">
    <w:nsid w:val="15AD3BD1"/>
    <w:multiLevelType w:val="hybridMultilevel"/>
    <w:tmpl w:val="1BD66A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89F560A"/>
    <w:multiLevelType w:val="hybridMultilevel"/>
    <w:tmpl w:val="15BE8790"/>
    <w:lvl w:ilvl="0" w:tplc="46905776">
      <w:start w:val="1"/>
      <w:numFmt w:val="bullet"/>
      <w:lvlText w:val="-"/>
      <w:lvlJc w:val="left"/>
      <w:pPr>
        <w:ind w:left="720" w:hanging="360"/>
      </w:pPr>
      <w:rPr>
        <w:rFonts w:ascii="Symbol" w:hAnsi="Symbol" w:hint="default"/>
      </w:rPr>
    </w:lvl>
    <w:lvl w:ilvl="1" w:tplc="C8C852FE">
      <w:start w:val="1"/>
      <w:numFmt w:val="bullet"/>
      <w:lvlText w:val="o"/>
      <w:lvlJc w:val="left"/>
      <w:pPr>
        <w:ind w:left="1440" w:hanging="360"/>
      </w:pPr>
      <w:rPr>
        <w:rFonts w:ascii="Courier New" w:hAnsi="Courier New" w:hint="default"/>
      </w:rPr>
    </w:lvl>
    <w:lvl w:ilvl="2" w:tplc="56B4A746">
      <w:start w:val="1"/>
      <w:numFmt w:val="bullet"/>
      <w:lvlText w:val=""/>
      <w:lvlJc w:val="left"/>
      <w:pPr>
        <w:ind w:left="2160" w:hanging="360"/>
      </w:pPr>
      <w:rPr>
        <w:rFonts w:ascii="Wingdings" w:hAnsi="Wingdings" w:hint="default"/>
      </w:rPr>
    </w:lvl>
    <w:lvl w:ilvl="3" w:tplc="AD66D4FC">
      <w:start w:val="1"/>
      <w:numFmt w:val="bullet"/>
      <w:lvlText w:val=""/>
      <w:lvlJc w:val="left"/>
      <w:pPr>
        <w:ind w:left="2880" w:hanging="360"/>
      </w:pPr>
      <w:rPr>
        <w:rFonts w:ascii="Symbol" w:hAnsi="Symbol" w:hint="default"/>
      </w:rPr>
    </w:lvl>
    <w:lvl w:ilvl="4" w:tplc="847022EE">
      <w:start w:val="1"/>
      <w:numFmt w:val="bullet"/>
      <w:lvlText w:val="o"/>
      <w:lvlJc w:val="left"/>
      <w:pPr>
        <w:ind w:left="3600" w:hanging="360"/>
      </w:pPr>
      <w:rPr>
        <w:rFonts w:ascii="Courier New" w:hAnsi="Courier New" w:hint="default"/>
      </w:rPr>
    </w:lvl>
    <w:lvl w:ilvl="5" w:tplc="655855C4">
      <w:start w:val="1"/>
      <w:numFmt w:val="bullet"/>
      <w:lvlText w:val=""/>
      <w:lvlJc w:val="left"/>
      <w:pPr>
        <w:ind w:left="4320" w:hanging="360"/>
      </w:pPr>
      <w:rPr>
        <w:rFonts w:ascii="Wingdings" w:hAnsi="Wingdings" w:hint="default"/>
      </w:rPr>
    </w:lvl>
    <w:lvl w:ilvl="6" w:tplc="C518BE06">
      <w:start w:val="1"/>
      <w:numFmt w:val="bullet"/>
      <w:lvlText w:val=""/>
      <w:lvlJc w:val="left"/>
      <w:pPr>
        <w:ind w:left="5040" w:hanging="360"/>
      </w:pPr>
      <w:rPr>
        <w:rFonts w:ascii="Symbol" w:hAnsi="Symbol" w:hint="default"/>
      </w:rPr>
    </w:lvl>
    <w:lvl w:ilvl="7" w:tplc="6B9CCEE4">
      <w:start w:val="1"/>
      <w:numFmt w:val="bullet"/>
      <w:lvlText w:val="o"/>
      <w:lvlJc w:val="left"/>
      <w:pPr>
        <w:ind w:left="5760" w:hanging="360"/>
      </w:pPr>
      <w:rPr>
        <w:rFonts w:ascii="Courier New" w:hAnsi="Courier New" w:hint="default"/>
      </w:rPr>
    </w:lvl>
    <w:lvl w:ilvl="8" w:tplc="99F83E8E">
      <w:start w:val="1"/>
      <w:numFmt w:val="bullet"/>
      <w:lvlText w:val=""/>
      <w:lvlJc w:val="left"/>
      <w:pPr>
        <w:ind w:left="6480" w:hanging="360"/>
      </w:pPr>
      <w:rPr>
        <w:rFonts w:ascii="Wingdings" w:hAnsi="Wingdings" w:hint="default"/>
      </w:rPr>
    </w:lvl>
  </w:abstractNum>
  <w:abstractNum w:abstractNumId="4" w15:restartNumberingAfterBreak="0">
    <w:nsid w:val="1F524D74"/>
    <w:multiLevelType w:val="hybridMultilevel"/>
    <w:tmpl w:val="20FE1B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531564B"/>
    <w:multiLevelType w:val="hybridMultilevel"/>
    <w:tmpl w:val="4328EC68"/>
    <w:lvl w:ilvl="0" w:tplc="D098DFA4">
      <w:start w:val="1"/>
      <w:numFmt w:val="bullet"/>
      <w:lvlText w:val="·"/>
      <w:lvlJc w:val="left"/>
      <w:pPr>
        <w:ind w:left="720" w:hanging="360"/>
      </w:pPr>
      <w:rPr>
        <w:rFonts w:ascii="Symbol" w:hAnsi="Symbol" w:hint="default"/>
      </w:rPr>
    </w:lvl>
    <w:lvl w:ilvl="1" w:tplc="4372D2BA">
      <w:start w:val="1"/>
      <w:numFmt w:val="bullet"/>
      <w:lvlText w:val="o"/>
      <w:lvlJc w:val="left"/>
      <w:pPr>
        <w:ind w:left="1440" w:hanging="360"/>
      </w:pPr>
      <w:rPr>
        <w:rFonts w:ascii="Courier New" w:hAnsi="Courier New" w:hint="default"/>
      </w:rPr>
    </w:lvl>
    <w:lvl w:ilvl="2" w:tplc="B1FCC4C4">
      <w:start w:val="1"/>
      <w:numFmt w:val="bullet"/>
      <w:lvlText w:val=""/>
      <w:lvlJc w:val="left"/>
      <w:pPr>
        <w:ind w:left="2160" w:hanging="360"/>
      </w:pPr>
      <w:rPr>
        <w:rFonts w:ascii="Wingdings" w:hAnsi="Wingdings" w:hint="default"/>
      </w:rPr>
    </w:lvl>
    <w:lvl w:ilvl="3" w:tplc="2E1E860C">
      <w:start w:val="1"/>
      <w:numFmt w:val="bullet"/>
      <w:lvlText w:val=""/>
      <w:lvlJc w:val="left"/>
      <w:pPr>
        <w:ind w:left="2880" w:hanging="360"/>
      </w:pPr>
      <w:rPr>
        <w:rFonts w:ascii="Symbol" w:hAnsi="Symbol" w:hint="default"/>
      </w:rPr>
    </w:lvl>
    <w:lvl w:ilvl="4" w:tplc="0798C262">
      <w:start w:val="1"/>
      <w:numFmt w:val="bullet"/>
      <w:lvlText w:val="o"/>
      <w:lvlJc w:val="left"/>
      <w:pPr>
        <w:ind w:left="3600" w:hanging="360"/>
      </w:pPr>
      <w:rPr>
        <w:rFonts w:ascii="Courier New" w:hAnsi="Courier New" w:hint="default"/>
      </w:rPr>
    </w:lvl>
    <w:lvl w:ilvl="5" w:tplc="CB8E7D16">
      <w:start w:val="1"/>
      <w:numFmt w:val="bullet"/>
      <w:lvlText w:val=""/>
      <w:lvlJc w:val="left"/>
      <w:pPr>
        <w:ind w:left="4320" w:hanging="360"/>
      </w:pPr>
      <w:rPr>
        <w:rFonts w:ascii="Wingdings" w:hAnsi="Wingdings" w:hint="default"/>
      </w:rPr>
    </w:lvl>
    <w:lvl w:ilvl="6" w:tplc="1EC866E4">
      <w:start w:val="1"/>
      <w:numFmt w:val="bullet"/>
      <w:lvlText w:val=""/>
      <w:lvlJc w:val="left"/>
      <w:pPr>
        <w:ind w:left="5040" w:hanging="360"/>
      </w:pPr>
      <w:rPr>
        <w:rFonts w:ascii="Symbol" w:hAnsi="Symbol" w:hint="default"/>
      </w:rPr>
    </w:lvl>
    <w:lvl w:ilvl="7" w:tplc="CB62E94E">
      <w:start w:val="1"/>
      <w:numFmt w:val="bullet"/>
      <w:lvlText w:val="o"/>
      <w:lvlJc w:val="left"/>
      <w:pPr>
        <w:ind w:left="5760" w:hanging="360"/>
      </w:pPr>
      <w:rPr>
        <w:rFonts w:ascii="Courier New" w:hAnsi="Courier New" w:hint="default"/>
      </w:rPr>
    </w:lvl>
    <w:lvl w:ilvl="8" w:tplc="D960D8F6">
      <w:start w:val="1"/>
      <w:numFmt w:val="bullet"/>
      <w:lvlText w:val=""/>
      <w:lvlJc w:val="left"/>
      <w:pPr>
        <w:ind w:left="6480" w:hanging="360"/>
      </w:pPr>
      <w:rPr>
        <w:rFonts w:ascii="Wingdings" w:hAnsi="Wingdings" w:hint="default"/>
      </w:rPr>
    </w:lvl>
  </w:abstractNum>
  <w:abstractNum w:abstractNumId="6" w15:restartNumberingAfterBreak="0">
    <w:nsid w:val="337A126A"/>
    <w:multiLevelType w:val="hybridMultilevel"/>
    <w:tmpl w:val="F09E8E6E"/>
    <w:lvl w:ilvl="0" w:tplc="559E0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927131"/>
    <w:multiLevelType w:val="hybridMultilevel"/>
    <w:tmpl w:val="6BDAFAF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ADD5DA2"/>
    <w:multiLevelType w:val="hybridMultilevel"/>
    <w:tmpl w:val="C2BAE4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A1A0D69"/>
    <w:multiLevelType w:val="hybridMultilevel"/>
    <w:tmpl w:val="A9E08E04"/>
    <w:lvl w:ilvl="0" w:tplc="BD9212FE">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782C9F"/>
    <w:multiLevelType w:val="hybridMultilevel"/>
    <w:tmpl w:val="555887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4F3B9518"/>
    <w:multiLevelType w:val="hybridMultilevel"/>
    <w:tmpl w:val="71B2440C"/>
    <w:lvl w:ilvl="0" w:tplc="F0E8A7DA">
      <w:start w:val="1"/>
      <w:numFmt w:val="bullet"/>
      <w:lvlText w:val="·"/>
      <w:lvlJc w:val="left"/>
      <w:pPr>
        <w:ind w:left="720" w:hanging="360"/>
      </w:pPr>
      <w:rPr>
        <w:rFonts w:ascii="Symbol" w:hAnsi="Symbol" w:hint="default"/>
      </w:rPr>
    </w:lvl>
    <w:lvl w:ilvl="1" w:tplc="E22A00C6">
      <w:start w:val="1"/>
      <w:numFmt w:val="bullet"/>
      <w:lvlText w:val="o"/>
      <w:lvlJc w:val="left"/>
      <w:pPr>
        <w:ind w:left="1440" w:hanging="360"/>
      </w:pPr>
      <w:rPr>
        <w:rFonts w:ascii="Courier New" w:hAnsi="Courier New" w:hint="default"/>
      </w:rPr>
    </w:lvl>
    <w:lvl w:ilvl="2" w:tplc="2860482A">
      <w:start w:val="1"/>
      <w:numFmt w:val="bullet"/>
      <w:lvlText w:val=""/>
      <w:lvlJc w:val="left"/>
      <w:pPr>
        <w:ind w:left="2160" w:hanging="360"/>
      </w:pPr>
      <w:rPr>
        <w:rFonts w:ascii="Wingdings" w:hAnsi="Wingdings" w:hint="default"/>
      </w:rPr>
    </w:lvl>
    <w:lvl w:ilvl="3" w:tplc="C5B2EBBE">
      <w:start w:val="1"/>
      <w:numFmt w:val="bullet"/>
      <w:lvlText w:val=""/>
      <w:lvlJc w:val="left"/>
      <w:pPr>
        <w:ind w:left="2880" w:hanging="360"/>
      </w:pPr>
      <w:rPr>
        <w:rFonts w:ascii="Symbol" w:hAnsi="Symbol" w:hint="default"/>
      </w:rPr>
    </w:lvl>
    <w:lvl w:ilvl="4" w:tplc="6ECC10EA">
      <w:start w:val="1"/>
      <w:numFmt w:val="bullet"/>
      <w:lvlText w:val="o"/>
      <w:lvlJc w:val="left"/>
      <w:pPr>
        <w:ind w:left="3600" w:hanging="360"/>
      </w:pPr>
      <w:rPr>
        <w:rFonts w:ascii="Courier New" w:hAnsi="Courier New" w:hint="default"/>
      </w:rPr>
    </w:lvl>
    <w:lvl w:ilvl="5" w:tplc="49D84674">
      <w:start w:val="1"/>
      <w:numFmt w:val="bullet"/>
      <w:lvlText w:val=""/>
      <w:lvlJc w:val="left"/>
      <w:pPr>
        <w:ind w:left="4320" w:hanging="360"/>
      </w:pPr>
      <w:rPr>
        <w:rFonts w:ascii="Wingdings" w:hAnsi="Wingdings" w:hint="default"/>
      </w:rPr>
    </w:lvl>
    <w:lvl w:ilvl="6" w:tplc="5BBE123C">
      <w:start w:val="1"/>
      <w:numFmt w:val="bullet"/>
      <w:lvlText w:val=""/>
      <w:lvlJc w:val="left"/>
      <w:pPr>
        <w:ind w:left="5040" w:hanging="360"/>
      </w:pPr>
      <w:rPr>
        <w:rFonts w:ascii="Symbol" w:hAnsi="Symbol" w:hint="default"/>
      </w:rPr>
    </w:lvl>
    <w:lvl w:ilvl="7" w:tplc="D5244AC4">
      <w:start w:val="1"/>
      <w:numFmt w:val="bullet"/>
      <w:lvlText w:val="o"/>
      <w:lvlJc w:val="left"/>
      <w:pPr>
        <w:ind w:left="5760" w:hanging="360"/>
      </w:pPr>
      <w:rPr>
        <w:rFonts w:ascii="Courier New" w:hAnsi="Courier New" w:hint="default"/>
      </w:rPr>
    </w:lvl>
    <w:lvl w:ilvl="8" w:tplc="A7EEFD40">
      <w:start w:val="1"/>
      <w:numFmt w:val="bullet"/>
      <w:lvlText w:val=""/>
      <w:lvlJc w:val="left"/>
      <w:pPr>
        <w:ind w:left="6480" w:hanging="360"/>
      </w:pPr>
      <w:rPr>
        <w:rFonts w:ascii="Wingdings" w:hAnsi="Wingdings" w:hint="default"/>
      </w:rPr>
    </w:lvl>
  </w:abstractNum>
  <w:abstractNum w:abstractNumId="12" w15:restartNumberingAfterBreak="0">
    <w:nsid w:val="4F826E6C"/>
    <w:multiLevelType w:val="hybridMultilevel"/>
    <w:tmpl w:val="0E6ECC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4FBA4F83"/>
    <w:multiLevelType w:val="hybridMultilevel"/>
    <w:tmpl w:val="207231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64F5553"/>
    <w:multiLevelType w:val="hybridMultilevel"/>
    <w:tmpl w:val="13D2C95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5" w15:restartNumberingAfterBreak="0">
    <w:nsid w:val="5691337F"/>
    <w:multiLevelType w:val="hybridMultilevel"/>
    <w:tmpl w:val="AF68C23C"/>
    <w:lvl w:ilvl="0" w:tplc="559E0D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0C5465"/>
    <w:multiLevelType w:val="hybridMultilevel"/>
    <w:tmpl w:val="E884BD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B7C6311"/>
    <w:multiLevelType w:val="hybridMultilevel"/>
    <w:tmpl w:val="CA6E74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D9A2E99"/>
    <w:multiLevelType w:val="hybridMultilevel"/>
    <w:tmpl w:val="E3062340"/>
    <w:lvl w:ilvl="0" w:tplc="0956AA78">
      <w:start w:val="1"/>
      <w:numFmt w:val="bullet"/>
      <w:lvlText w:val="-"/>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E355AF4"/>
    <w:multiLevelType w:val="hybridMultilevel"/>
    <w:tmpl w:val="7BFCD8C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6DF47C43"/>
    <w:multiLevelType w:val="hybridMultilevel"/>
    <w:tmpl w:val="E61438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F887829"/>
    <w:multiLevelType w:val="hybridMultilevel"/>
    <w:tmpl w:val="FC98F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FF4DB3"/>
    <w:multiLevelType w:val="multilevel"/>
    <w:tmpl w:val="025A8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004C74"/>
    <w:multiLevelType w:val="hybridMultilevel"/>
    <w:tmpl w:val="B8F40934"/>
    <w:lvl w:ilvl="0" w:tplc="625E133C">
      <w:start w:val="1"/>
      <w:numFmt w:val="upperRoman"/>
      <w:lvlText w:val="%1."/>
      <w:lvlJc w:val="left"/>
      <w:pPr>
        <w:ind w:left="1080" w:hanging="72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D3345"/>
    <w:multiLevelType w:val="hybridMultilevel"/>
    <w:tmpl w:val="35DCB19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7664829"/>
    <w:multiLevelType w:val="multilevel"/>
    <w:tmpl w:val="328466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90E5443"/>
    <w:multiLevelType w:val="multilevel"/>
    <w:tmpl w:val="B00E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E14687"/>
    <w:multiLevelType w:val="hybridMultilevel"/>
    <w:tmpl w:val="E97E19B2"/>
    <w:lvl w:ilvl="0" w:tplc="0409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BFA6B45"/>
    <w:multiLevelType w:val="hybridMultilevel"/>
    <w:tmpl w:val="06924D5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DDA58D3"/>
    <w:multiLevelType w:val="hybridMultilevel"/>
    <w:tmpl w:val="C1D8F44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02366085">
    <w:abstractNumId w:val="11"/>
  </w:num>
  <w:num w:numId="2" w16cid:durableId="321154392">
    <w:abstractNumId w:val="5"/>
  </w:num>
  <w:num w:numId="3" w16cid:durableId="22638006">
    <w:abstractNumId w:val="3"/>
  </w:num>
  <w:num w:numId="4" w16cid:durableId="1421365968">
    <w:abstractNumId w:val="1"/>
  </w:num>
  <w:num w:numId="5" w16cid:durableId="127404264">
    <w:abstractNumId w:val="22"/>
  </w:num>
  <w:num w:numId="6" w16cid:durableId="324476209">
    <w:abstractNumId w:val="0"/>
  </w:num>
  <w:num w:numId="7" w16cid:durableId="966201544">
    <w:abstractNumId w:val="26"/>
  </w:num>
  <w:num w:numId="8" w16cid:durableId="916937132">
    <w:abstractNumId w:val="8"/>
  </w:num>
  <w:num w:numId="9" w16cid:durableId="1777479981">
    <w:abstractNumId w:val="13"/>
  </w:num>
  <w:num w:numId="10" w16cid:durableId="1715077730">
    <w:abstractNumId w:val="29"/>
  </w:num>
  <w:num w:numId="11" w16cid:durableId="1594313667">
    <w:abstractNumId w:val="20"/>
  </w:num>
  <w:num w:numId="12" w16cid:durableId="759251398">
    <w:abstractNumId w:val="17"/>
  </w:num>
  <w:num w:numId="13" w16cid:durableId="1259947114">
    <w:abstractNumId w:val="16"/>
  </w:num>
  <w:num w:numId="14" w16cid:durableId="350761329">
    <w:abstractNumId w:val="4"/>
  </w:num>
  <w:num w:numId="15" w16cid:durableId="1633948842">
    <w:abstractNumId w:val="18"/>
  </w:num>
  <w:num w:numId="16" w16cid:durableId="1110974116">
    <w:abstractNumId w:val="12"/>
  </w:num>
  <w:num w:numId="17" w16cid:durableId="1750761227">
    <w:abstractNumId w:val="7"/>
  </w:num>
  <w:num w:numId="18" w16cid:durableId="704521853">
    <w:abstractNumId w:val="25"/>
  </w:num>
  <w:num w:numId="19" w16cid:durableId="1783381310">
    <w:abstractNumId w:val="19"/>
  </w:num>
  <w:num w:numId="20" w16cid:durableId="973490365">
    <w:abstractNumId w:val="24"/>
  </w:num>
  <w:num w:numId="21" w16cid:durableId="399913486">
    <w:abstractNumId w:val="10"/>
  </w:num>
  <w:num w:numId="22" w16cid:durableId="1100182790">
    <w:abstractNumId w:val="14"/>
  </w:num>
  <w:num w:numId="23" w16cid:durableId="653948331">
    <w:abstractNumId w:val="28"/>
  </w:num>
  <w:num w:numId="24" w16cid:durableId="1797064186">
    <w:abstractNumId w:val="2"/>
  </w:num>
  <w:num w:numId="25" w16cid:durableId="431752290">
    <w:abstractNumId w:val="27"/>
  </w:num>
  <w:num w:numId="26" w16cid:durableId="384716038">
    <w:abstractNumId w:val="21"/>
  </w:num>
  <w:num w:numId="27" w16cid:durableId="366680827">
    <w:abstractNumId w:val="6"/>
  </w:num>
  <w:num w:numId="28" w16cid:durableId="1491017240">
    <w:abstractNumId w:val="15"/>
  </w:num>
  <w:num w:numId="29" w16cid:durableId="1767772098">
    <w:abstractNumId w:val="9"/>
  </w:num>
  <w:num w:numId="30" w16cid:durableId="7004753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0A6FE13"/>
    <w:rsid w:val="000002C0"/>
    <w:rsid w:val="00004543"/>
    <w:rsid w:val="00016926"/>
    <w:rsid w:val="000207D5"/>
    <w:rsid w:val="00020E61"/>
    <w:rsid w:val="000238B7"/>
    <w:rsid w:val="00033146"/>
    <w:rsid w:val="00033B7B"/>
    <w:rsid w:val="0005295D"/>
    <w:rsid w:val="00067B95"/>
    <w:rsid w:val="00076950"/>
    <w:rsid w:val="000A76D2"/>
    <w:rsid w:val="000B0367"/>
    <w:rsid w:val="000B323C"/>
    <w:rsid w:val="000E3269"/>
    <w:rsid w:val="000E3348"/>
    <w:rsid w:val="000F3B89"/>
    <w:rsid w:val="00102171"/>
    <w:rsid w:val="00117B45"/>
    <w:rsid w:val="001347C8"/>
    <w:rsid w:val="00145A88"/>
    <w:rsid w:val="00150CB7"/>
    <w:rsid w:val="00153E21"/>
    <w:rsid w:val="00167020"/>
    <w:rsid w:val="00167574"/>
    <w:rsid w:val="001B2146"/>
    <w:rsid w:val="001F01A0"/>
    <w:rsid w:val="001F7757"/>
    <w:rsid w:val="002032C2"/>
    <w:rsid w:val="00203303"/>
    <w:rsid w:val="0021595C"/>
    <w:rsid w:val="002355C5"/>
    <w:rsid w:val="00250FE2"/>
    <w:rsid w:val="00264982"/>
    <w:rsid w:val="002710E5"/>
    <w:rsid w:val="00277BF8"/>
    <w:rsid w:val="002816F0"/>
    <w:rsid w:val="00281B50"/>
    <w:rsid w:val="0029231E"/>
    <w:rsid w:val="00296DDB"/>
    <w:rsid w:val="002C4C5A"/>
    <w:rsid w:val="002C5335"/>
    <w:rsid w:val="002D36BA"/>
    <w:rsid w:val="002E12CC"/>
    <w:rsid w:val="002E2BF1"/>
    <w:rsid w:val="002F2D8B"/>
    <w:rsid w:val="00304788"/>
    <w:rsid w:val="00306A21"/>
    <w:rsid w:val="00321512"/>
    <w:rsid w:val="00321697"/>
    <w:rsid w:val="0033386C"/>
    <w:rsid w:val="00337182"/>
    <w:rsid w:val="0034265C"/>
    <w:rsid w:val="00372204"/>
    <w:rsid w:val="003749B8"/>
    <w:rsid w:val="00374E2F"/>
    <w:rsid w:val="003837ED"/>
    <w:rsid w:val="003B2152"/>
    <w:rsid w:val="003C1DBC"/>
    <w:rsid w:val="003C3716"/>
    <w:rsid w:val="003D2930"/>
    <w:rsid w:val="003E0A07"/>
    <w:rsid w:val="004166AC"/>
    <w:rsid w:val="0043127F"/>
    <w:rsid w:val="0043606C"/>
    <w:rsid w:val="004562DD"/>
    <w:rsid w:val="00456C72"/>
    <w:rsid w:val="00477AB7"/>
    <w:rsid w:val="004840A7"/>
    <w:rsid w:val="00484699"/>
    <w:rsid w:val="00491A9E"/>
    <w:rsid w:val="004C1885"/>
    <w:rsid w:val="004E276B"/>
    <w:rsid w:val="004F0C8C"/>
    <w:rsid w:val="004F62BC"/>
    <w:rsid w:val="005157CB"/>
    <w:rsid w:val="0052505D"/>
    <w:rsid w:val="00525AF1"/>
    <w:rsid w:val="00541093"/>
    <w:rsid w:val="00542528"/>
    <w:rsid w:val="00563072"/>
    <w:rsid w:val="00566E01"/>
    <w:rsid w:val="00570D73"/>
    <w:rsid w:val="00572097"/>
    <w:rsid w:val="00580C41"/>
    <w:rsid w:val="0058432D"/>
    <w:rsid w:val="00594435"/>
    <w:rsid w:val="00596965"/>
    <w:rsid w:val="005A4821"/>
    <w:rsid w:val="005C5F12"/>
    <w:rsid w:val="005D2156"/>
    <w:rsid w:val="005D3C46"/>
    <w:rsid w:val="005E226B"/>
    <w:rsid w:val="005E7D2A"/>
    <w:rsid w:val="005F36AB"/>
    <w:rsid w:val="00610694"/>
    <w:rsid w:val="00631A66"/>
    <w:rsid w:val="00635393"/>
    <w:rsid w:val="00635B82"/>
    <w:rsid w:val="00644C1C"/>
    <w:rsid w:val="00663ED3"/>
    <w:rsid w:val="006678ED"/>
    <w:rsid w:val="006702E8"/>
    <w:rsid w:val="006A1637"/>
    <w:rsid w:val="006A297E"/>
    <w:rsid w:val="006A53ED"/>
    <w:rsid w:val="006B6A1A"/>
    <w:rsid w:val="006D4B5F"/>
    <w:rsid w:val="006E7A01"/>
    <w:rsid w:val="006F33F4"/>
    <w:rsid w:val="006F7541"/>
    <w:rsid w:val="007156CE"/>
    <w:rsid w:val="00716288"/>
    <w:rsid w:val="00730E63"/>
    <w:rsid w:val="00734AC2"/>
    <w:rsid w:val="0074779D"/>
    <w:rsid w:val="00750371"/>
    <w:rsid w:val="00757807"/>
    <w:rsid w:val="00767ACA"/>
    <w:rsid w:val="00771933"/>
    <w:rsid w:val="00791A58"/>
    <w:rsid w:val="007B10C6"/>
    <w:rsid w:val="007B111D"/>
    <w:rsid w:val="007B2E3D"/>
    <w:rsid w:val="007B3DFD"/>
    <w:rsid w:val="007C6715"/>
    <w:rsid w:val="007E0CC5"/>
    <w:rsid w:val="008107C2"/>
    <w:rsid w:val="00810E59"/>
    <w:rsid w:val="008305EA"/>
    <w:rsid w:val="0083137E"/>
    <w:rsid w:val="00844CC8"/>
    <w:rsid w:val="008535AB"/>
    <w:rsid w:val="00853C08"/>
    <w:rsid w:val="00855084"/>
    <w:rsid w:val="00875984"/>
    <w:rsid w:val="008972DB"/>
    <w:rsid w:val="008C0BA5"/>
    <w:rsid w:val="008C2B89"/>
    <w:rsid w:val="008C35A8"/>
    <w:rsid w:val="008D057C"/>
    <w:rsid w:val="008D309F"/>
    <w:rsid w:val="008D4018"/>
    <w:rsid w:val="008E7FE3"/>
    <w:rsid w:val="00904D21"/>
    <w:rsid w:val="00912792"/>
    <w:rsid w:val="009157E7"/>
    <w:rsid w:val="009201F4"/>
    <w:rsid w:val="00920DCD"/>
    <w:rsid w:val="00934711"/>
    <w:rsid w:val="00942CDC"/>
    <w:rsid w:val="00945666"/>
    <w:rsid w:val="0096433C"/>
    <w:rsid w:val="00972825"/>
    <w:rsid w:val="00972D1C"/>
    <w:rsid w:val="009802D7"/>
    <w:rsid w:val="009846AA"/>
    <w:rsid w:val="0099406F"/>
    <w:rsid w:val="009A2FD9"/>
    <w:rsid w:val="009A3EAA"/>
    <w:rsid w:val="009B6850"/>
    <w:rsid w:val="009D0985"/>
    <w:rsid w:val="009E0BFF"/>
    <w:rsid w:val="009F34AA"/>
    <w:rsid w:val="009F371C"/>
    <w:rsid w:val="009F7A84"/>
    <w:rsid w:val="00A0612D"/>
    <w:rsid w:val="00A32F6E"/>
    <w:rsid w:val="00A3541F"/>
    <w:rsid w:val="00A3643A"/>
    <w:rsid w:val="00A36E8D"/>
    <w:rsid w:val="00A400CC"/>
    <w:rsid w:val="00A52B68"/>
    <w:rsid w:val="00A54841"/>
    <w:rsid w:val="00A57752"/>
    <w:rsid w:val="00A57B74"/>
    <w:rsid w:val="00A60695"/>
    <w:rsid w:val="00A6737D"/>
    <w:rsid w:val="00A77B34"/>
    <w:rsid w:val="00A84124"/>
    <w:rsid w:val="00A8496F"/>
    <w:rsid w:val="00AA78E3"/>
    <w:rsid w:val="00AB0937"/>
    <w:rsid w:val="00AB0FD9"/>
    <w:rsid w:val="00AB4DCF"/>
    <w:rsid w:val="00AE3B54"/>
    <w:rsid w:val="00AE66C8"/>
    <w:rsid w:val="00AF034B"/>
    <w:rsid w:val="00AF504B"/>
    <w:rsid w:val="00B00FAB"/>
    <w:rsid w:val="00B02AF9"/>
    <w:rsid w:val="00B104AA"/>
    <w:rsid w:val="00B414B8"/>
    <w:rsid w:val="00B46DAC"/>
    <w:rsid w:val="00B51A00"/>
    <w:rsid w:val="00B55724"/>
    <w:rsid w:val="00B77E8E"/>
    <w:rsid w:val="00B837FE"/>
    <w:rsid w:val="00B9032B"/>
    <w:rsid w:val="00B91340"/>
    <w:rsid w:val="00B94BDB"/>
    <w:rsid w:val="00B94E85"/>
    <w:rsid w:val="00BB4C9E"/>
    <w:rsid w:val="00BB736A"/>
    <w:rsid w:val="00BC1F32"/>
    <w:rsid w:val="00BC332F"/>
    <w:rsid w:val="00BD648F"/>
    <w:rsid w:val="00BE246C"/>
    <w:rsid w:val="00C0257C"/>
    <w:rsid w:val="00C07A0E"/>
    <w:rsid w:val="00C17ACB"/>
    <w:rsid w:val="00C33DDD"/>
    <w:rsid w:val="00C3494A"/>
    <w:rsid w:val="00C43012"/>
    <w:rsid w:val="00C67218"/>
    <w:rsid w:val="00C70C7A"/>
    <w:rsid w:val="00C834F8"/>
    <w:rsid w:val="00CA58CE"/>
    <w:rsid w:val="00CB167D"/>
    <w:rsid w:val="00CC24C3"/>
    <w:rsid w:val="00CC3399"/>
    <w:rsid w:val="00CD01A1"/>
    <w:rsid w:val="00CD549E"/>
    <w:rsid w:val="00CE0A77"/>
    <w:rsid w:val="00CE3018"/>
    <w:rsid w:val="00CF0920"/>
    <w:rsid w:val="00D04734"/>
    <w:rsid w:val="00D22994"/>
    <w:rsid w:val="00D33E8D"/>
    <w:rsid w:val="00D3495D"/>
    <w:rsid w:val="00D34CF9"/>
    <w:rsid w:val="00D40B2B"/>
    <w:rsid w:val="00D44CD6"/>
    <w:rsid w:val="00D761C7"/>
    <w:rsid w:val="00D77C95"/>
    <w:rsid w:val="00D958DE"/>
    <w:rsid w:val="00DB3AD3"/>
    <w:rsid w:val="00DD0A8E"/>
    <w:rsid w:val="00DE638E"/>
    <w:rsid w:val="00E07CCF"/>
    <w:rsid w:val="00E108A0"/>
    <w:rsid w:val="00E2359D"/>
    <w:rsid w:val="00E30B96"/>
    <w:rsid w:val="00E40F9C"/>
    <w:rsid w:val="00E42EA5"/>
    <w:rsid w:val="00E43425"/>
    <w:rsid w:val="00E504EF"/>
    <w:rsid w:val="00E5452F"/>
    <w:rsid w:val="00E61B51"/>
    <w:rsid w:val="00E7012E"/>
    <w:rsid w:val="00EA0CAD"/>
    <w:rsid w:val="00EF1DC7"/>
    <w:rsid w:val="00EF2B72"/>
    <w:rsid w:val="00F034D3"/>
    <w:rsid w:val="00F1245E"/>
    <w:rsid w:val="00F12EFA"/>
    <w:rsid w:val="00F26475"/>
    <w:rsid w:val="00F42BB0"/>
    <w:rsid w:val="00F4678C"/>
    <w:rsid w:val="00F54B1E"/>
    <w:rsid w:val="00F63288"/>
    <w:rsid w:val="00F71286"/>
    <w:rsid w:val="00F721A4"/>
    <w:rsid w:val="00F74F67"/>
    <w:rsid w:val="00F774B5"/>
    <w:rsid w:val="00F8444E"/>
    <w:rsid w:val="00F85F1F"/>
    <w:rsid w:val="00FA56B7"/>
    <w:rsid w:val="00FF469A"/>
    <w:rsid w:val="0477D2AE"/>
    <w:rsid w:val="04F1CA6C"/>
    <w:rsid w:val="05085BF1"/>
    <w:rsid w:val="05922C5A"/>
    <w:rsid w:val="05C5194D"/>
    <w:rsid w:val="05EF1120"/>
    <w:rsid w:val="063F83C4"/>
    <w:rsid w:val="0669F296"/>
    <w:rsid w:val="066C827C"/>
    <w:rsid w:val="068F7279"/>
    <w:rsid w:val="07DDD4F8"/>
    <w:rsid w:val="098547D1"/>
    <w:rsid w:val="0A3D2565"/>
    <w:rsid w:val="0B4A4EBE"/>
    <w:rsid w:val="0D0F3533"/>
    <w:rsid w:val="0D35816B"/>
    <w:rsid w:val="0D4BE3B9"/>
    <w:rsid w:val="0F20981E"/>
    <w:rsid w:val="1083E348"/>
    <w:rsid w:val="10F7707E"/>
    <w:rsid w:val="13292693"/>
    <w:rsid w:val="14761764"/>
    <w:rsid w:val="1477FE01"/>
    <w:rsid w:val="15EB7956"/>
    <w:rsid w:val="182D14B4"/>
    <w:rsid w:val="1B09F99B"/>
    <w:rsid w:val="1CB7288F"/>
    <w:rsid w:val="1F2A7345"/>
    <w:rsid w:val="1F8FF04A"/>
    <w:rsid w:val="20EB0AD0"/>
    <w:rsid w:val="23B159C0"/>
    <w:rsid w:val="2442CEC7"/>
    <w:rsid w:val="24D6F1A9"/>
    <w:rsid w:val="252E621E"/>
    <w:rsid w:val="256BE895"/>
    <w:rsid w:val="25D84511"/>
    <w:rsid w:val="27765308"/>
    <w:rsid w:val="2A5FFCEE"/>
    <w:rsid w:val="2C99F082"/>
    <w:rsid w:val="2CB540B0"/>
    <w:rsid w:val="2D8ED0D2"/>
    <w:rsid w:val="2DBC4719"/>
    <w:rsid w:val="2FF846D4"/>
    <w:rsid w:val="3005B96E"/>
    <w:rsid w:val="30196DFF"/>
    <w:rsid w:val="30A69931"/>
    <w:rsid w:val="323A06C5"/>
    <w:rsid w:val="34645C3C"/>
    <w:rsid w:val="34D9B5B3"/>
    <w:rsid w:val="3557D558"/>
    <w:rsid w:val="3674B730"/>
    <w:rsid w:val="37ED779D"/>
    <w:rsid w:val="37FDF544"/>
    <w:rsid w:val="3852CA19"/>
    <w:rsid w:val="38545B57"/>
    <w:rsid w:val="3A07225C"/>
    <w:rsid w:val="3A924AF7"/>
    <w:rsid w:val="3BD694ED"/>
    <w:rsid w:val="3BEFDD1F"/>
    <w:rsid w:val="3CEB68F1"/>
    <w:rsid w:val="3D6BE193"/>
    <w:rsid w:val="3F1FF28A"/>
    <w:rsid w:val="3F56A09C"/>
    <w:rsid w:val="3FA73504"/>
    <w:rsid w:val="405B33B0"/>
    <w:rsid w:val="414C7226"/>
    <w:rsid w:val="45C08BAA"/>
    <w:rsid w:val="46FF2BC0"/>
    <w:rsid w:val="473A37D4"/>
    <w:rsid w:val="488619A7"/>
    <w:rsid w:val="48EFB94C"/>
    <w:rsid w:val="49116853"/>
    <w:rsid w:val="49DF10AE"/>
    <w:rsid w:val="49E64215"/>
    <w:rsid w:val="4A00F95A"/>
    <w:rsid w:val="4C1D3ED1"/>
    <w:rsid w:val="4C85D560"/>
    <w:rsid w:val="4CA0D180"/>
    <w:rsid w:val="4CD45EA6"/>
    <w:rsid w:val="4D797B8E"/>
    <w:rsid w:val="4DB0CFFD"/>
    <w:rsid w:val="4FDCA3CF"/>
    <w:rsid w:val="51619679"/>
    <w:rsid w:val="5169EA2D"/>
    <w:rsid w:val="524C4D46"/>
    <w:rsid w:val="534C9698"/>
    <w:rsid w:val="53908F48"/>
    <w:rsid w:val="54E1103F"/>
    <w:rsid w:val="55C02F10"/>
    <w:rsid w:val="56F3704C"/>
    <w:rsid w:val="573D9051"/>
    <w:rsid w:val="5A9338D0"/>
    <w:rsid w:val="5B27DD63"/>
    <w:rsid w:val="5B3EE779"/>
    <w:rsid w:val="5F3B28A9"/>
    <w:rsid w:val="5FAA9FA0"/>
    <w:rsid w:val="6049C87D"/>
    <w:rsid w:val="60A6FE13"/>
    <w:rsid w:val="60DE8160"/>
    <w:rsid w:val="61B71FAD"/>
    <w:rsid w:val="62847733"/>
    <w:rsid w:val="637999E6"/>
    <w:rsid w:val="6446C01C"/>
    <w:rsid w:val="64726C60"/>
    <w:rsid w:val="64A2F717"/>
    <w:rsid w:val="65F76F08"/>
    <w:rsid w:val="6614541C"/>
    <w:rsid w:val="6710FC05"/>
    <w:rsid w:val="68948584"/>
    <w:rsid w:val="6AF3C702"/>
    <w:rsid w:val="6B7C5960"/>
    <w:rsid w:val="6C137162"/>
    <w:rsid w:val="70499246"/>
    <w:rsid w:val="720484D7"/>
    <w:rsid w:val="7378854C"/>
    <w:rsid w:val="7518C7F2"/>
    <w:rsid w:val="75FF77FF"/>
    <w:rsid w:val="7750DBCB"/>
    <w:rsid w:val="7817ED20"/>
    <w:rsid w:val="786A4629"/>
    <w:rsid w:val="78F9B511"/>
    <w:rsid w:val="79D0566E"/>
    <w:rsid w:val="7A0196C0"/>
    <w:rsid w:val="7BEB4CE9"/>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6F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FR"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0B323C"/>
    <w:pPr>
      <w:numPr>
        <w:numId w:val="29"/>
      </w:numPr>
      <w:spacing w:after="0" w:line="240" w:lineRule="auto"/>
      <w:jc w:val="both"/>
      <w:outlineLvl w:val="0"/>
    </w:pPr>
    <w:rPr>
      <w:rFonts w:ascii="Times New Roman" w:eastAsia="Calibri Light" w:hAnsi="Times New Roman" w:cs="Times New Roman"/>
      <w:color w:val="0070C0"/>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23C"/>
    <w:rPr>
      <w:rFonts w:ascii="Times New Roman" w:eastAsia="Calibri Light" w:hAnsi="Times New Roman" w:cs="Times New Roman"/>
      <w:color w:val="0070C0"/>
      <w:sz w:val="32"/>
      <w:szCs w:val="32"/>
      <w:lang w:val="fr-FR"/>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817ED20"/>
    <w:pPr>
      <w:ind w:left="720"/>
      <w:contextualSpacing/>
    </w:pPr>
  </w:style>
  <w:style w:type="character" w:styleId="Hyperlink">
    <w:name w:val="Hyperlink"/>
    <w:basedOn w:val="DefaultParagraphFont"/>
    <w:uiPriority w:val="99"/>
    <w:unhideWhenUsed/>
    <w:rsid w:val="7817ED2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305EA"/>
    <w:pPr>
      <w:spacing w:before="100" w:beforeAutospacing="1" w:after="100" w:afterAutospacing="1" w:line="240" w:lineRule="auto"/>
    </w:pPr>
    <w:rPr>
      <w:rFonts w:ascii="Times New Roman" w:eastAsia="Times New Roman" w:hAnsi="Times New Roman" w:cs="Times New Roman"/>
      <w:lang w:eastAsia="fr-BE"/>
    </w:rPr>
  </w:style>
  <w:style w:type="character" w:styleId="FollowedHyperlink">
    <w:name w:val="FollowedHyperlink"/>
    <w:basedOn w:val="DefaultParagraphFont"/>
    <w:uiPriority w:val="99"/>
    <w:semiHidden/>
    <w:unhideWhenUsed/>
    <w:rsid w:val="00F74F67"/>
    <w:rPr>
      <w:color w:val="96607D" w:themeColor="followedHyperlink"/>
      <w:u w:val="single"/>
    </w:rPr>
  </w:style>
  <w:style w:type="character" w:customStyle="1" w:styleId="UnresolvedMention1">
    <w:name w:val="Unresolved Mention1"/>
    <w:basedOn w:val="DefaultParagraphFont"/>
    <w:uiPriority w:val="99"/>
    <w:semiHidden/>
    <w:unhideWhenUsed/>
    <w:rsid w:val="008C35A8"/>
    <w:rPr>
      <w:color w:val="605E5C"/>
      <w:shd w:val="clear" w:color="auto" w:fill="E1DFDD"/>
    </w:rPr>
  </w:style>
  <w:style w:type="paragraph" w:customStyle="1" w:styleId="paragraph">
    <w:name w:val="paragraph"/>
    <w:basedOn w:val="Normal"/>
    <w:rsid w:val="00F12EFA"/>
    <w:pPr>
      <w:spacing w:before="100" w:beforeAutospacing="1" w:after="100" w:afterAutospacing="1" w:line="240" w:lineRule="auto"/>
    </w:pPr>
    <w:rPr>
      <w:rFonts w:ascii="Times New Roman" w:eastAsia="Times New Roman" w:hAnsi="Times New Roman" w:cs="Times New Roman"/>
      <w:lang w:eastAsia="fr-BE"/>
    </w:rPr>
  </w:style>
  <w:style w:type="character" w:styleId="CommentReference">
    <w:name w:val="annotation reference"/>
    <w:basedOn w:val="DefaultParagraphFont"/>
    <w:uiPriority w:val="99"/>
    <w:semiHidden/>
    <w:unhideWhenUsed/>
    <w:rsid w:val="00A60695"/>
    <w:rPr>
      <w:sz w:val="16"/>
      <w:szCs w:val="16"/>
    </w:rPr>
  </w:style>
  <w:style w:type="paragraph" w:styleId="CommentText">
    <w:name w:val="annotation text"/>
    <w:basedOn w:val="Normal"/>
    <w:link w:val="CommentTextChar"/>
    <w:uiPriority w:val="99"/>
    <w:semiHidden/>
    <w:unhideWhenUsed/>
    <w:rsid w:val="00A60695"/>
    <w:pPr>
      <w:spacing w:line="240" w:lineRule="auto"/>
    </w:pPr>
    <w:rPr>
      <w:sz w:val="20"/>
      <w:szCs w:val="20"/>
    </w:rPr>
  </w:style>
  <w:style w:type="character" w:customStyle="1" w:styleId="CommentTextChar">
    <w:name w:val="Comment Text Char"/>
    <w:basedOn w:val="DefaultParagraphFont"/>
    <w:link w:val="CommentText"/>
    <w:uiPriority w:val="99"/>
    <w:semiHidden/>
    <w:rsid w:val="00A60695"/>
    <w:rPr>
      <w:sz w:val="20"/>
      <w:szCs w:val="20"/>
    </w:rPr>
  </w:style>
  <w:style w:type="paragraph" w:styleId="CommentSubject">
    <w:name w:val="annotation subject"/>
    <w:basedOn w:val="CommentText"/>
    <w:next w:val="CommentText"/>
    <w:link w:val="CommentSubjectChar"/>
    <w:uiPriority w:val="99"/>
    <w:semiHidden/>
    <w:unhideWhenUsed/>
    <w:rsid w:val="00A60695"/>
    <w:rPr>
      <w:b/>
      <w:bCs/>
    </w:rPr>
  </w:style>
  <w:style w:type="character" w:customStyle="1" w:styleId="CommentSubjectChar">
    <w:name w:val="Comment Subject Char"/>
    <w:basedOn w:val="CommentTextChar"/>
    <w:link w:val="CommentSubject"/>
    <w:uiPriority w:val="99"/>
    <w:semiHidden/>
    <w:rsid w:val="00A60695"/>
    <w:rPr>
      <w:b/>
      <w:bCs/>
      <w:sz w:val="20"/>
      <w:szCs w:val="20"/>
    </w:rPr>
  </w:style>
  <w:style w:type="paragraph" w:styleId="FootnoteText">
    <w:name w:val="footnote text"/>
    <w:basedOn w:val="Normal"/>
    <w:link w:val="FootnoteTextChar"/>
    <w:uiPriority w:val="99"/>
    <w:qFormat/>
    <w:rsid w:val="00757807"/>
    <w:pPr>
      <w:keepLines/>
      <w:spacing w:after="60" w:line="240" w:lineRule="auto"/>
      <w:ind w:left="567" w:hanging="567"/>
      <w:jc w:val="both"/>
    </w:pPr>
    <w:rPr>
      <w:rFonts w:ascii="Times New Roman" w:eastAsia="Times New Roman" w:hAnsi="Times New Roman" w:cs="Times New Roman"/>
      <w:sz w:val="16"/>
      <w:szCs w:val="22"/>
      <w:lang w:eastAsia="en-US"/>
    </w:rPr>
  </w:style>
  <w:style w:type="character" w:customStyle="1" w:styleId="FootnoteTextChar">
    <w:name w:val="Footnote Text Char"/>
    <w:basedOn w:val="DefaultParagraphFont"/>
    <w:link w:val="FootnoteText"/>
    <w:uiPriority w:val="99"/>
    <w:rsid w:val="00757807"/>
    <w:rPr>
      <w:rFonts w:ascii="Times New Roman" w:eastAsia="Times New Roman" w:hAnsi="Times New Roman" w:cs="Times New Roman"/>
      <w:sz w:val="16"/>
      <w:szCs w:val="22"/>
      <w:lang w:eastAsia="en-US"/>
    </w:rPr>
  </w:style>
  <w:style w:type="character" w:styleId="FootnoteReference">
    <w:name w:val="footnote reference"/>
    <w:basedOn w:val="DefaultParagraphFont"/>
    <w:uiPriority w:val="99"/>
    <w:unhideWhenUsed/>
    <w:qFormat/>
    <w:rsid w:val="00757807"/>
    <w:rPr>
      <w:sz w:val="24"/>
      <w:vertAlign w:val="superscript"/>
    </w:rPr>
  </w:style>
  <w:style w:type="paragraph" w:styleId="Revision">
    <w:name w:val="Revision"/>
    <w:hidden/>
    <w:uiPriority w:val="99"/>
    <w:semiHidden/>
    <w:rsid w:val="00716288"/>
    <w:pPr>
      <w:spacing w:after="0" w:line="240" w:lineRule="auto"/>
    </w:pPr>
  </w:style>
  <w:style w:type="paragraph" w:styleId="Header">
    <w:name w:val="header"/>
    <w:basedOn w:val="Normal"/>
    <w:link w:val="HeaderChar"/>
    <w:uiPriority w:val="99"/>
    <w:unhideWhenUsed/>
    <w:rsid w:val="004360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606C"/>
  </w:style>
  <w:style w:type="paragraph" w:styleId="Footer">
    <w:name w:val="footer"/>
    <w:basedOn w:val="Normal"/>
    <w:link w:val="FooterChar"/>
    <w:uiPriority w:val="99"/>
    <w:unhideWhenUsed/>
    <w:rsid w:val="0043606C"/>
    <w:pPr>
      <w:spacing w:after="0" w:line="288" w:lineRule="auto"/>
      <w:jc w:val="both"/>
    </w:pPr>
    <w:rPr>
      <w:rFonts w:ascii="Times New Roman" w:hAnsi="Times New Roman" w:cs="Times New Roman"/>
      <w:sz w:val="22"/>
    </w:rPr>
  </w:style>
  <w:style w:type="character" w:customStyle="1" w:styleId="FooterChar">
    <w:name w:val="Footer Char"/>
    <w:basedOn w:val="DefaultParagraphFont"/>
    <w:link w:val="Footer"/>
    <w:uiPriority w:val="99"/>
    <w:rsid w:val="0043606C"/>
    <w:rPr>
      <w:rFonts w:ascii="Times New Roman" w:hAnsi="Times New Roman" w:cs="Times New Roman"/>
      <w:sz w:val="22"/>
    </w:rPr>
  </w:style>
  <w:style w:type="paragraph" w:customStyle="1" w:styleId="Style1">
    <w:name w:val="Style1"/>
    <w:basedOn w:val="Normal"/>
    <w:qFormat/>
    <w:rsid w:val="00B837FE"/>
    <w:pPr>
      <w:spacing w:after="0" w:line="240" w:lineRule="auto"/>
      <w:jc w:val="both"/>
    </w:pPr>
    <w:rPr>
      <w:rFonts w:ascii="Times New Roman" w:hAnsi="Times New Roman" w:cs="Times New Roman"/>
      <w:color w:val="424242"/>
      <w:sz w:val="22"/>
      <w:szCs w:val="22"/>
      <w:shd w:val="clear" w:color="auto" w:fill="FAFAF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371272">
      <w:bodyDiv w:val="1"/>
      <w:marLeft w:val="0"/>
      <w:marRight w:val="0"/>
      <w:marTop w:val="0"/>
      <w:marBottom w:val="0"/>
      <w:divBdr>
        <w:top w:val="none" w:sz="0" w:space="0" w:color="auto"/>
        <w:left w:val="none" w:sz="0" w:space="0" w:color="auto"/>
        <w:bottom w:val="none" w:sz="0" w:space="0" w:color="auto"/>
        <w:right w:val="none" w:sz="0" w:space="0" w:color="auto"/>
      </w:divBdr>
    </w:div>
    <w:div w:id="421923061">
      <w:bodyDiv w:val="1"/>
      <w:marLeft w:val="0"/>
      <w:marRight w:val="0"/>
      <w:marTop w:val="0"/>
      <w:marBottom w:val="0"/>
      <w:divBdr>
        <w:top w:val="none" w:sz="0" w:space="0" w:color="auto"/>
        <w:left w:val="none" w:sz="0" w:space="0" w:color="auto"/>
        <w:bottom w:val="none" w:sz="0" w:space="0" w:color="auto"/>
        <w:right w:val="none" w:sz="0" w:space="0" w:color="auto"/>
      </w:divBdr>
      <w:divsChild>
        <w:div w:id="907805447">
          <w:marLeft w:val="0"/>
          <w:marRight w:val="0"/>
          <w:marTop w:val="0"/>
          <w:marBottom w:val="0"/>
          <w:divBdr>
            <w:top w:val="none" w:sz="0" w:space="0" w:color="auto"/>
            <w:left w:val="none" w:sz="0" w:space="0" w:color="auto"/>
            <w:bottom w:val="none" w:sz="0" w:space="0" w:color="auto"/>
            <w:right w:val="none" w:sz="0" w:space="0" w:color="auto"/>
          </w:divBdr>
        </w:div>
        <w:div w:id="779641993">
          <w:marLeft w:val="0"/>
          <w:marRight w:val="0"/>
          <w:marTop w:val="0"/>
          <w:marBottom w:val="0"/>
          <w:divBdr>
            <w:top w:val="none" w:sz="0" w:space="0" w:color="auto"/>
            <w:left w:val="none" w:sz="0" w:space="0" w:color="auto"/>
            <w:bottom w:val="none" w:sz="0" w:space="0" w:color="auto"/>
            <w:right w:val="none" w:sz="0" w:space="0" w:color="auto"/>
          </w:divBdr>
        </w:div>
        <w:div w:id="213857361">
          <w:marLeft w:val="0"/>
          <w:marRight w:val="0"/>
          <w:marTop w:val="0"/>
          <w:marBottom w:val="0"/>
          <w:divBdr>
            <w:top w:val="none" w:sz="0" w:space="0" w:color="auto"/>
            <w:left w:val="none" w:sz="0" w:space="0" w:color="auto"/>
            <w:bottom w:val="none" w:sz="0" w:space="0" w:color="auto"/>
            <w:right w:val="none" w:sz="0" w:space="0" w:color="auto"/>
          </w:divBdr>
        </w:div>
      </w:divsChild>
    </w:div>
    <w:div w:id="1058630516">
      <w:bodyDiv w:val="1"/>
      <w:marLeft w:val="0"/>
      <w:marRight w:val="0"/>
      <w:marTop w:val="0"/>
      <w:marBottom w:val="0"/>
      <w:divBdr>
        <w:top w:val="none" w:sz="0" w:space="0" w:color="auto"/>
        <w:left w:val="none" w:sz="0" w:space="0" w:color="auto"/>
        <w:bottom w:val="none" w:sz="0" w:space="0" w:color="auto"/>
        <w:right w:val="none" w:sz="0" w:space="0" w:color="auto"/>
      </w:divBdr>
    </w:div>
    <w:div w:id="1201557194">
      <w:bodyDiv w:val="1"/>
      <w:marLeft w:val="0"/>
      <w:marRight w:val="0"/>
      <w:marTop w:val="0"/>
      <w:marBottom w:val="0"/>
      <w:divBdr>
        <w:top w:val="none" w:sz="0" w:space="0" w:color="auto"/>
        <w:left w:val="none" w:sz="0" w:space="0" w:color="auto"/>
        <w:bottom w:val="none" w:sz="0" w:space="0" w:color="auto"/>
        <w:right w:val="none" w:sz="0" w:space="0" w:color="auto"/>
      </w:divBdr>
    </w:div>
    <w:div w:id="159632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esc.europa.eu/fr/our-work/opinions-information-reports/opinions/hausses-des-prix-dans-les-secteurs-des-transports-de-lenergie-et-du-logement-le-role-de-services-publics-de-qualite-dans" TargetMode="External"/><Relationship Id="rId21" Type="http://schemas.openxmlformats.org/officeDocument/2006/relationships/hyperlink" Target="https://www.eesc.europa.eu/fr/our-work/opinions-information-reports/opinions/planification-des-infrastructures-energetiques-transfrontalieres" TargetMode="External"/><Relationship Id="rId42" Type="http://schemas.openxmlformats.org/officeDocument/2006/relationships/hyperlink" Target="https://www.eesc.europa.eu/fr/our-work/opinions-information-reports/opinions/strategie-drone-20" TargetMode="External"/><Relationship Id="rId47" Type="http://schemas.openxmlformats.org/officeDocument/2006/relationships/hyperlink" Target="https://www.eesc.europa.eu/fr/our-work/opinions-information-reports/opinions/reglement-sur-les-infrastructures-gigabit" TargetMode="External"/><Relationship Id="rId63" Type="http://schemas.openxmlformats.org/officeDocument/2006/relationships/hyperlink" Target="https://emsa.europa.eu/" TargetMode="External"/><Relationship Id="rId68" Type="http://schemas.openxmlformats.org/officeDocument/2006/relationships/hyperlink" Target="https://summit.itf-oecd.org/2025/" TargetMode="External"/><Relationship Id="rId84" Type="http://schemas.openxmlformats.org/officeDocument/2006/relationships/hyperlink" Target="https://www.eesc.europa.eu/fr/news-media/news/baiba-miltovica-presidente-de-la-section-ten-du-cese-et-andres-jaadla-rapporteur-du-cdr-signent-la-declaration-sur-le" TargetMode="External"/><Relationship Id="rId89" Type="http://schemas.openxmlformats.org/officeDocument/2006/relationships/hyperlink" Target="https://www.eesc.europa.eu/fr/our-work/opinions-information-reports/opinions/vers-un-plan-europeen-pour-des-logements-abordables-la-contribution-de-la-societe-civile" TargetMode="External"/><Relationship Id="rId112" Type="http://schemas.openxmlformats.org/officeDocument/2006/relationships/theme" Target="theme/theme1.xml"/><Relationship Id="rId16" Type="http://schemas.openxmlformats.org/officeDocument/2006/relationships/hyperlink" Target="https://www.eesc.europa.eu/fr/news-media/news/les-batiments-economes-en-energie-contribueront-lutter-contre-la-precarite-energetique" TargetMode="External"/><Relationship Id="rId107" Type="http://schemas.openxmlformats.org/officeDocument/2006/relationships/hyperlink" Target="https://eesccor-my.sharepoint.com/personal/giulia_lanza_eesc_europa_eu/_layouts/15/stream.aspx?id=%2Fpersonal%2Fgiulia%5Flanza%5Feesc%5Feuropa%5Feu%2FDocuments%2FAttachments%2FTEN%20FINAL%20VERSION%2Emov&amp;ga=1&amp;LOF=1&amp;referrer=StreamWebApp%2EWeb&amp;referrerScenario=AddressBarCopied%2Eview%2E2bcb09aa%2D0417%2D4c49%2Dad94%2De55d4065b8cd" TargetMode="External"/><Relationship Id="rId11" Type="http://schemas.openxmlformats.org/officeDocument/2006/relationships/endnotes" Target="endnotes.xml"/><Relationship Id="rId32" Type="http://schemas.openxmlformats.org/officeDocument/2006/relationships/hyperlink" Target="https://www.eesc.europa.eu/fr/our-work/opinions-information-reports/opinions/classe-demissions-de-co2-des-vehicules-lourds-avec-remorques" TargetMode="External"/><Relationship Id="rId37" Type="http://schemas.openxmlformats.org/officeDocument/2006/relationships/hyperlink" Target="https://www.eesc.europa.eu/fr/our-work/opinions-information-reports/opinions/revision-de-la-directive-relative-la-pollution-causee-par-les-navires" TargetMode="External"/><Relationship Id="rId53" Type="http://schemas.openxmlformats.org/officeDocument/2006/relationships/hyperlink" Target="https://www.eesc.europa.eu/fr/our-work/opinions-information-reports/opinions/lachevement-materiel-du-marche-interieur-de-lue-dans-le-nouveau-contexte-geopolitique" TargetMode="External"/><Relationship Id="rId58" Type="http://schemas.openxmlformats.org/officeDocument/2006/relationships/hyperlink" Target="https://danish-presidency.consilium.europa.eu/fr/evenements/conference-de-haut-niveau-sur-le-logement-abordable-et-durable/" TargetMode="External"/><Relationship Id="rId74" Type="http://schemas.openxmlformats.org/officeDocument/2006/relationships/hyperlink" Target="https://www.eesc.europa.eu/fr/agenda/our-events/events/ai-implications-european-union-civil-society-perspectives-denmark" TargetMode="External"/><Relationship Id="rId79" Type="http://schemas.openxmlformats.org/officeDocument/2006/relationships/hyperlink" Target="https://www.eesc.europa.eu/fr/our-work/opinions-information-reports/opinions/des-logements-sociaux-decents-durables-et-abordables-dans-lue" TargetMode="External"/><Relationship Id="rId102" Type="http://schemas.openxmlformats.org/officeDocument/2006/relationships/hyperlink" Target="https://www.ejp-eurad.eu/about-eurad" TargetMode="External"/><Relationship Id="rId5" Type="http://schemas.openxmlformats.org/officeDocument/2006/relationships/customXml" Target="../customXml/item5.xml"/><Relationship Id="rId90" Type="http://schemas.openxmlformats.org/officeDocument/2006/relationships/hyperlink" Target="https://www.eesc.europa.eu/sites/default/files/2024-12/qe-01-24-025-en-n.pdf" TargetMode="External"/><Relationship Id="rId95" Type="http://schemas.openxmlformats.org/officeDocument/2006/relationships/hyperlink" Target="https://energy-poverty.ec.europa.eu/newsroom/news/local-level-reflections-energy-poverty-2023-input-seven-european-countries" TargetMode="External"/><Relationship Id="rId22" Type="http://schemas.openxmlformats.org/officeDocument/2006/relationships/hyperlink" Target="https://www.eesc.europa.eu/fr/our-work/opinions-information-reports/opinions/future-supply-and-pricing-electricity-eu" TargetMode="External"/><Relationship Id="rId27" Type="http://schemas.openxmlformats.org/officeDocument/2006/relationships/hyperlink" Target="https://www.eesc.europa.eu/fr/our-work/opinions-information-reports/opinions/vers-un-plan-europeen-pour-des-logements-abordables-la-contribution-de-la-societe-civile" TargetMode="External"/><Relationship Id="rId43" Type="http://schemas.openxmlformats.org/officeDocument/2006/relationships/hyperlink" Target="https://www.eesc.europa.eu/fr/our-work/opinions-information-reports/opinions/reexamen-du-cadre-relatif-aux-droits-des-passagers" TargetMode="External"/><Relationship Id="rId48" Type="http://schemas.openxmlformats.org/officeDocument/2006/relationships/hyperlink" Target="https://www.eesc.europa.eu/fr/our-work/opinions-information-reports/opinions/train-de-mesures-sur-la-connectivite-relatif-aux-reseaux-et-infrastructures-numeriques" TargetMode="External"/><Relationship Id="rId64" Type="http://schemas.openxmlformats.org/officeDocument/2006/relationships/hyperlink" Target="https://www.eesc.europa.eu/fr/news-media/press-summaries/towards-eu-maritime-strategy-navigating-future-through-coordinated-investment-policies-legislative-initiatives-social" TargetMode="External"/><Relationship Id="rId69" Type="http://schemas.openxmlformats.org/officeDocument/2006/relationships/hyperlink" Target="https://www.eesc.europa.eu/fr/agenda/our-events/events/conference-rare-diseases-and-european-reference-networks" TargetMode="External"/><Relationship Id="rId80" Type="http://schemas.openxmlformats.org/officeDocument/2006/relationships/hyperlink" Target="https://www.eesc.europa.eu/fr/agenda/our-events/events/forum-smart-energy-efficient-and-accessible-housing-future" TargetMode="External"/><Relationship Id="rId85" Type="http://schemas.openxmlformats.org/officeDocument/2006/relationships/hyperlink" Target="https://www.eesc.europa.eu/fr/our-work/opinions-information-reports/opinions/des-logements-sociaux-decents-durables-et-abordables-dans-lue" TargetMode="External"/><Relationship Id="rId12" Type="http://schemas.openxmlformats.org/officeDocument/2006/relationships/hyperlink" Target="https://www.eesc.europa.eu/fr/agenda/our-events/events/lutter-contre-la-precarite-energetique-pour-une-transition-juste" TargetMode="External"/><Relationship Id="rId17" Type="http://schemas.openxmlformats.org/officeDocument/2006/relationships/hyperlink" Target="https://www.eesc.europa.eu/fr/our-work/opinions-information-reports/opinions/lautoconsommation-denergie-individuelle-et-collective-comme-element-de-la-lutte-pour-la-transition-ecologique-et" TargetMode="External"/><Relationship Id="rId33" Type="http://schemas.openxmlformats.org/officeDocument/2006/relationships/hyperlink" Target="https://www.eesc.europa.eu/fr/our-work/opinions-information-reports/opinions/capacite-ferroviaire-et-gestion-du-trafic" TargetMode="External"/><Relationship Id="rId38" Type="http://schemas.openxmlformats.org/officeDocument/2006/relationships/hyperlink" Target="https://www.eesc.europa.eu/fr/our-work/opinions-information-reports/opinions/agence-europeenne-pour-la-securite-maritime-0" TargetMode="External"/><Relationship Id="rId59" Type="http://schemas.openxmlformats.org/officeDocument/2006/relationships/hyperlink" Target="https://www.eesc.europa.eu/fr/news-media/press-summaries/towards-eu-maritime-strategy-navigating-future-through-coordinated-investment-policies-legislative-initiatives-social" TargetMode="External"/><Relationship Id="rId103" Type="http://schemas.openxmlformats.org/officeDocument/2006/relationships/hyperlink" Target="https://www.eesc.europa.eu/fr/sections-other-bodies/sections-commission/transport-energy-infrastructure-and-information-society-ten/opinions" TargetMode="External"/><Relationship Id="rId108" Type="http://schemas.openxmlformats.org/officeDocument/2006/relationships/header" Target="header1.xml"/><Relationship Id="rId54" Type="http://schemas.openxmlformats.org/officeDocument/2006/relationships/hyperlink" Target="https://www.eesc.europa.eu/fr/agenda/our-events/events/conference-rare-diseases-and-european-reference-networks" TargetMode="External"/><Relationship Id="rId70" Type="http://schemas.openxmlformats.org/officeDocument/2006/relationships/hyperlink" Target="https://www.eesc.europa.eu/fr/agenda/our-events/events/rare-diseases-eu-joint-action-shaping-future-ern" TargetMode="External"/><Relationship Id="rId75" Type="http://schemas.openxmlformats.org/officeDocument/2006/relationships/hyperlink" Target="https://www.eesc.europa.eu/fr/news-media/news/le-comite-economique-et-social-europeen-plaide-en-faveur-dun-logement-pour-tous" TargetMode="External"/><Relationship Id="rId91" Type="http://schemas.openxmlformats.org/officeDocument/2006/relationships/hyperlink" Target="https://www.eesc.europa.eu/fr/our-work/publications-other-work/publications/le-logement-durable-et-abordable-dans-lue" TargetMode="External"/><Relationship Id="rId96" Type="http://schemas.openxmlformats.org/officeDocument/2006/relationships/hyperlink" Target="https://www.eesc.europa.eu/fr/manifestation-en-parallel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eesc.europa.eu/fr/our-work/opinions-information-reports/opinions/vers-un-systeme-energetique-europeen-equilibre" TargetMode="External"/><Relationship Id="rId23" Type="http://schemas.openxmlformats.org/officeDocument/2006/relationships/hyperlink" Target="https://www.eesc.europa.eu/fr/our-work/opinions-information-reports/opinions/hydrogene-infrastructures-deploiement-financement-utilisation-et-limites" TargetMode="External"/><Relationship Id="rId28" Type="http://schemas.openxmlformats.org/officeDocument/2006/relationships/hyperlink" Target="https://housing.ec.europa.eu/affordable-housing-dialogue_en" TargetMode="External"/><Relationship Id="rId36" Type="http://schemas.openxmlformats.org/officeDocument/2006/relationships/hyperlink" Target="https://www.eesc.europa.eu/fr/our-work/opinions-information-reports/opinions/revision-de-la-directive-relative-aux-enquetes-sur-les-accidents-maritimes" TargetMode="External"/><Relationship Id="rId49" Type="http://schemas.openxmlformats.org/officeDocument/2006/relationships/hyperlink" Target="https://www.eesc.europa.eu/en/search?keywords=Universal+Service+rights" TargetMode="External"/><Relationship Id="rId57" Type="http://schemas.openxmlformats.org/officeDocument/2006/relationships/hyperlink" Target="https://www.eesc.europa.eu/fr/news-media/news/le-comite-economique-et-social-europeen-plaide-en-faveur-dun-logement-pour-tous" TargetMode="External"/><Relationship Id="rId106" Type="http://schemas.openxmlformats.org/officeDocument/2006/relationships/hyperlink" Target="https://x.com/EESC_TEN" TargetMode="External"/><Relationship Id="rId10" Type="http://schemas.openxmlformats.org/officeDocument/2006/relationships/footnotes" Target="footnotes.xml"/><Relationship Id="rId31" Type="http://schemas.openxmlformats.org/officeDocument/2006/relationships/hyperlink" Target="https://www.eesc.europa.eu/fr/our-work/opinions-information-reports/opinions/planification-de-la-mobilite-urbaine-durable-dans-lue" TargetMode="External"/><Relationship Id="rId44" Type="http://schemas.openxmlformats.org/officeDocument/2006/relationships/hyperlink" Target="https://www.eesc.europa.eu/fr/our-work/opinions-information-reports/opinions/permis-de-conduire-et-decheances-du-droit-de-conduire" TargetMode="External"/><Relationship Id="rId52" Type="http://schemas.openxmlformats.org/officeDocument/2006/relationships/hyperlink" Target="https://portal.ascer.es/en/2024-european-ceramic-days-a-clean-industrial-deal-transition-dialogue-on-heterogeneous-energy-intensive-industries-is-necessary-to-restore-and-strengthen-the-competitiveness-of-eur/" TargetMode="External"/><Relationship Id="rId60" Type="http://schemas.openxmlformats.org/officeDocument/2006/relationships/hyperlink" Target="https://kongres-morski.com.pl/en/" TargetMode="External"/><Relationship Id="rId65" Type="http://schemas.openxmlformats.org/officeDocument/2006/relationships/hyperlink" Target="https://joint-research-centre.ec.europa.eu/scientific-portfolios/small-modular-reactors_en" TargetMode="External"/><Relationship Id="rId73" Type="http://schemas.openxmlformats.org/officeDocument/2006/relationships/hyperlink" Target="https://www.eesc.europa.eu/fr/our-work/opinions-information-reports/opinions/ia-megadonnees-et-maladies-rares" TargetMode="External"/><Relationship Id="rId78" Type="http://schemas.openxmlformats.org/officeDocument/2006/relationships/hyperlink" Target="https://www.eesc.europa.eu/fr/news-media/press-releases/tout-premier-forum-du-cese-sur-le-logement-le-logement-doit-etre-considere-comme-un-droit-fondamental" TargetMode="External"/><Relationship Id="rId81" Type="http://schemas.openxmlformats.org/officeDocument/2006/relationships/hyperlink" Target="https://www.eesc.europa.eu/fr/our-work/opinions-information-reports/opinions/des-logements-sociaux-decents-durables-et-abordables-dans-lue" TargetMode="External"/><Relationship Id="rId86" Type="http://schemas.openxmlformats.org/officeDocument/2006/relationships/hyperlink" Target="https://www.europarl.europa.eu/petitions/fr/artcl/Decent%2C+sustainable+and+affordable+housing+for+all+European+citizens/det/20220906CDT10136" TargetMode="External"/><Relationship Id="rId94" Type="http://schemas.openxmlformats.org/officeDocument/2006/relationships/hyperlink" Target="https://www.eesc.europa.eu/fr/agenda/our-events/events/lutter-contre-la-precarite-energetique-pour-une-transition-juste" TargetMode="External"/><Relationship Id="rId99" Type="http://schemas.openxmlformats.org/officeDocument/2006/relationships/hyperlink" Target="https://www.eesc.europa.eu/fr/agenda/our-events/events/delivering-affordable-energy-europe/webstream" TargetMode="External"/><Relationship Id="rId101" Type="http://schemas.openxmlformats.org/officeDocument/2006/relationships/hyperlink" Target="https://www.eesc.europa.eu/fr/our-work/publications-other-work/publications/donnees-ventilees-par-sexe-sur-la-precarite-energetique"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fr/agenda/our-events/events/conference-affordable-energy-turning-civil-society-views-action/conclusions" TargetMode="External"/><Relationship Id="rId18" Type="http://schemas.openxmlformats.org/officeDocument/2006/relationships/hyperlink" Target="https://ec.europa.eu/info/law/better-regulation/have-your-say/initiatives/14737-Train-de-mesures-sur-lenergie-citoyenne-proteger-les-consommateurs-et-leur-donner-les-moyens-dagir-en-faveur-dune-transition-juste_fr" TargetMode="External"/><Relationship Id="rId39" Type="http://schemas.openxmlformats.org/officeDocument/2006/relationships/hyperlink" Target="https://www.eesc.europa.eu/fr/our-work/opinions-information-reports/opinions/revision-de-la-directive-sur-le-controle-par-letat-du-port" TargetMode="External"/><Relationship Id="rId109" Type="http://schemas.openxmlformats.org/officeDocument/2006/relationships/footer" Target="footer1.xml"/><Relationship Id="rId34" Type="http://schemas.openxmlformats.org/officeDocument/2006/relationships/hyperlink" Target="https://www.eesc.europa.eu/fr/our-work/opinions-information-reports/opinions/mesure-harmonisee-des-emissions-dans-les-secteurs-des-transports-et-de-la-logistique" TargetMode="External"/><Relationship Id="rId50" Type="http://schemas.openxmlformats.org/officeDocument/2006/relationships/hyperlink" Target="https://www.eesc.europa.eu/sites/default/files/files/qe-04-23-899-en-n.pdf" TargetMode="External"/><Relationship Id="rId55" Type="http://schemas.openxmlformats.org/officeDocument/2006/relationships/hyperlink" Target="https://www.eesc.europa.eu/fr/agenda/our-events/events/conference-housing-crisis-europe-way-forward/programm" TargetMode="External"/><Relationship Id="rId76" Type="http://schemas.openxmlformats.org/officeDocument/2006/relationships/hyperlink" Target="https://www.eesc.europa.eu/fr/our-work/opinions-information-reports/opinions/vers-un-plan-europeen-pour-des-logements-abordables-la-contribution-de-la-societe-civile" TargetMode="External"/><Relationship Id="rId97" Type="http://schemas.openxmlformats.org/officeDocument/2006/relationships/hyperlink" Target="https://eur-lex.europa.eu/legal-content/fr/TXT/HTML/?uri=OJ:L_202302407" TargetMode="External"/><Relationship Id="rId104" Type="http://schemas.openxmlformats.org/officeDocument/2006/relationships/hyperlink" Target="https://www.eesc.europa.eu/fr/sections-other-bodies/sections-commission/transport-energy-infrastructure-and-information-society-ten/newsletters" TargetMode="External"/><Relationship Id="rId7" Type="http://schemas.openxmlformats.org/officeDocument/2006/relationships/styles" Target="styles.xml"/><Relationship Id="rId71" Type="http://schemas.openxmlformats.org/officeDocument/2006/relationships/hyperlink" Target="https://www.eesc.europa.eu/fr/our-work/opinions-information-reports/opinions/ne-laisser-personne-de-cote-lengagement-europeen-en-faveur-de-lutte-contre-les-maladies-rares" TargetMode="External"/><Relationship Id="rId92" Type="http://schemas.openxmlformats.org/officeDocument/2006/relationships/hyperlink" Target="https://www.eesc.europa.eu/fr/agenda/our-events/events/conference-energy-poverty-crossroads-european-pillar-social-rights-and-european-green-deal/conclusions" TargetMode="External"/><Relationship Id="rId2" Type="http://schemas.openxmlformats.org/officeDocument/2006/relationships/customXml" Target="../customXml/item2.xml"/><Relationship Id="rId29" Type="http://schemas.openxmlformats.org/officeDocument/2006/relationships/hyperlink" Target="https://www.eesc.europa.eu/fr/our-work/opinions-information-reports/opinions/gestion-des-dechets-radioactifs-le-point-de-vue-de-la-societe-civile" TargetMode="External"/><Relationship Id="rId24" Type="http://schemas.openxmlformats.org/officeDocument/2006/relationships/hyperlink" Target="https://www.eesc.europa.eu/en/agenda/our-events/events/conference-offshore-power-e-fuels-boosting-new-hydrogen-economy" TargetMode="External"/><Relationship Id="rId40" Type="http://schemas.openxmlformats.org/officeDocument/2006/relationships/hyperlink" Target="https://www.eesc.europa.eu/fr/our-work/opinions-information-reports/opinions/revision-de-la-directive-concernant-le-respect-des-obligations-des-etats-du-pavillon" TargetMode="External"/><Relationship Id="rId45" Type="http://schemas.openxmlformats.org/officeDocument/2006/relationships/hyperlink" Target="https://www.eesc.europa.eu/fr/our-work/opinions-information-reports/opinions/remedier-aux-penuries-de-main-doeuvre-et-de-competences-dans-les-secteurs-des-transports-de-lenergie-des-infrastructures" TargetMode="External"/><Relationship Id="rId66" Type="http://schemas.openxmlformats.org/officeDocument/2006/relationships/hyperlink" Target="https://www.eesc.europa.eu/fr/news-media/news/baiba-miltovica-presidente-de-la-section-ten-du-cese-et-andres-jaadla-rapporteur-du-cdr-signent-la-declaration-sur-le" TargetMode="External"/><Relationship Id="rId87" Type="http://schemas.openxmlformats.org/officeDocument/2006/relationships/hyperlink" Target="https://www.eib.org/fr/press/all/2025-123-eib-group-and-european-commission-lay-foundations-for-a-new-pan-european-investment-platform-for-affordable-and-sustainable-housing" TargetMode="External"/><Relationship Id="rId110" Type="http://schemas.openxmlformats.org/officeDocument/2006/relationships/footer" Target="footer2.xml"/><Relationship Id="rId61" Type="http://schemas.openxmlformats.org/officeDocument/2006/relationships/hyperlink" Target="https://www.eesc.europa.eu/fr/our-work/opinions-information-reports/opinions/individual-and-collective-energy-self-consumption-factor-fight-green-and-energy-transition-and-economic-and-social/related-event" TargetMode="External"/><Relationship Id="rId82" Type="http://schemas.openxmlformats.org/officeDocument/2006/relationships/hyperlink" Target="https://www.eesc.europa.eu/fr/news-media/news/eu-needs-pan-european-policy-response-its-housing-crisis" TargetMode="External"/><Relationship Id="rId19" Type="http://schemas.openxmlformats.org/officeDocument/2006/relationships/hyperlink" Target="https://www.eesc.europa.eu/fr/our-work/opinions-information-reports/opinions/train-de-mesures-sur-lenergie-citoyenne-engagement-des-citoyens-communautes-energetiques-et-prosumerisme" TargetMode="External"/><Relationship Id="rId14" Type="http://schemas.openxmlformats.org/officeDocument/2006/relationships/hyperlink" Target="https://www.eesc.europa.eu/fr/agenda/our-events/events/fournir-une-energie-abordable-en-europe" TargetMode="External"/><Relationship Id="rId30" Type="http://schemas.openxmlformats.org/officeDocument/2006/relationships/hyperlink" Target="https://www.eesc.europa.eu/fr/our-work/opinions-information-reports/opinions/lachevement-materiel-du-marche-interieur-de-lue-dans-le-nouveau-contexte-geopolitique" TargetMode="External"/><Relationship Id="rId35" Type="http://schemas.openxmlformats.org/officeDocument/2006/relationships/hyperlink" Target="https://www.eesc.europa.eu/fr/our-work/opinions-information-reports/opinions/revision-de-la-directive-92106cee-sur-certains-transports-combines" TargetMode="External"/><Relationship Id="rId56" Type="http://schemas.openxmlformats.org/officeDocument/2006/relationships/hyperlink" Target="https://www.housingeurope.eu/wp-content/uploads/2024/12/LIEGE%20DECLARATION%20-%20EU%20Belgian%20Presidency%202024.pdf" TargetMode="External"/><Relationship Id="rId77" Type="http://schemas.openxmlformats.org/officeDocument/2006/relationships/hyperlink" Target="https://www.eesc.europa.eu/fr/agenda/our-events/events/conference-sur-la-crise-du-logement-en-europe-la-voie-suivre" TargetMode="External"/><Relationship Id="rId100" Type="http://schemas.openxmlformats.org/officeDocument/2006/relationships/hyperlink" Target="https://www.eesc.europa.eu/fr/our-work/opinions-information-reports/opinions/train-de-mesures-sur-lenergie-citoyenne-engagement-des-citoyens-communautes-energetiques-et-prosumerisme" TargetMode="External"/><Relationship Id="rId105" Type="http://schemas.openxmlformats.org/officeDocument/2006/relationships/hyperlink" Target="https://www.eesc.europa.eu/fr/sections-other-bodies/sections-commission/transport-energy-infrastructure-and-information-society-ten/newsletters" TargetMode="External"/><Relationship Id="rId8" Type="http://schemas.openxmlformats.org/officeDocument/2006/relationships/settings" Target="settings.xml"/><Relationship Id="rId51" Type="http://schemas.openxmlformats.org/officeDocument/2006/relationships/hyperlink" Target="https://www.eesc.europa.eu/fr/our-work/opinions-information-reports/opinions/legislation-spatiale-de-lue" TargetMode="External"/><Relationship Id="rId72" Type="http://schemas.openxmlformats.org/officeDocument/2006/relationships/hyperlink" Target="https://www.eesc.europa.eu/fr/agenda/our-events/events/conference-towards-eu-action-plan-rare-diseases" TargetMode="External"/><Relationship Id="rId93" Type="http://schemas.openxmlformats.org/officeDocument/2006/relationships/hyperlink" Target="https://www.eesc.europa.eu/fr/our-work/opinions-information-reports/opinions/pour-une-action-europeenne-coordonnee-pour-prevenir-et-combattre-la-pauvrete-energetique" TargetMode="External"/><Relationship Id="rId98" Type="http://schemas.openxmlformats.org/officeDocument/2006/relationships/hyperlink" Target="https://www.eesc.europa.eu/fr/agenda/our-events/events/conference-affordable-energy-turning-civil-society-views-action/conclusions" TargetMode="External"/><Relationship Id="rId3" Type="http://schemas.openxmlformats.org/officeDocument/2006/relationships/customXml" Target="../customXml/item3.xml"/><Relationship Id="rId25" Type="http://schemas.openxmlformats.org/officeDocument/2006/relationships/hyperlink" Target="https://www.eesc.europa.eu/fr/our-work/opinions-information-reports/opinions/des-logements-sociaux-decents-durables-et-abordables-dans-lue" TargetMode="External"/><Relationship Id="rId46" Type="http://schemas.openxmlformats.org/officeDocument/2006/relationships/hyperlink" Target="https://www.eesc.europa.eu/fr/our-work/opinions-information-reports/opinions/le-detachement-des-conducteurs-dans-le-secteur-europeen-du-transport-routier-enjeux-et-perspectives" TargetMode="External"/><Relationship Id="rId67" Type="http://schemas.openxmlformats.org/officeDocument/2006/relationships/hyperlink" Target="https://www.eib.org/en/events/eib-group-forum" TargetMode="External"/><Relationship Id="rId20" Type="http://schemas.openxmlformats.org/officeDocument/2006/relationships/hyperlink" Target="https://www.eesc.europa.eu/fr/our-work/opinions-information-reports/opinions/train-de-mesures-sur-lenergie-eolienne" TargetMode="External"/><Relationship Id="rId41" Type="http://schemas.openxmlformats.org/officeDocument/2006/relationships/hyperlink" Target="https://www.eesc.europa.eu/fr/our-work/opinions-information-reports/opinions/revision-des-regles-de-lue-relatives-des-services-dinformation-fluviale-harmonises" TargetMode="External"/><Relationship Id="rId62" Type="http://schemas.openxmlformats.org/officeDocument/2006/relationships/hyperlink" Target="https://www.eesc.europa.eu/fr/agenda/our-events/events/conference-reskilleu-nouveaux-emplois-pour-les-secteurs-de-lenergie-et-des-transports-en-europe" TargetMode="External"/><Relationship Id="rId83" Type="http://schemas.openxmlformats.org/officeDocument/2006/relationships/hyperlink" Target="https://www.eesc.europa.eu/fr/our-work/opinions-information-reports/opinions/hausses-des-prix-dans-les-secteurs-des-transports-de-lenergie-et-du-logement-le-role-de-services-publics-de-qualite-dans" TargetMode="External"/><Relationship Id="rId88" Type="http://schemas.openxmlformats.org/officeDocument/2006/relationships/hyperlink" Target="https://www.eesc.europa.eu/fr/our-work/opinions-information-reports/opinions/des-logements-sociaux-decents-durables-et-abordables-dans-lue" TargetMode="External"/><Relationship Id="rId111"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HTML/?uri=CELEX:32011L0070" TargetMode="External"/><Relationship Id="rId1" Type="http://schemas.openxmlformats.org/officeDocument/2006/relationships/hyperlink" Target="https://eur-lex.europa.eu/legal-content/EN/TXT/PDF/?uri=CELEX:52017SC0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A6WAAD5KZT2Q-235352946-4647</_dlc_DocId>
    <_dlc_DocIdUrl xmlns="1a33af13-4045-4f88-9d7b-618e30f79918">
      <Url>http://dm/eesc/2025/_layouts/15/DocIdRedir.aspx?ID=A6WAAD5KZT2Q-235352946-4647</Url>
      <Description>A6WAAD5KZT2Q-235352946-4647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NB</TermName>
          <TermId xmlns="http://schemas.microsoft.com/office/infopath/2007/PartnerControls">086d36d2-b81a-4b8e-8d1e-a22010addc8b</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2025-09-10T12:00:00+00:00</ProductionDate>
    <DocumentNumber xmlns="a3e83899-37aa-47c6-ba54-4ea80e9c17cf">2625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101</Value>
      <Value>13</Value>
      <Value>12</Value>
      <Value>23</Value>
      <Value>8</Value>
      <Value>6</Value>
      <Value>5</Value>
      <Value>1</Value>
      <Value>102</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s>
    </DocumentLanguage_0>
    <MeetingDate xmlns="1a33af13-4045-4f88-9d7b-618e30f79918">2025-09-16T12:00:00+00:00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294210</FicheNumber>
    <OriginalSender xmlns="1a33af13-4045-4f88-9d7b-618e30f79918">
      <UserInfo>
        <DisplayName>Reniere Nathalie</DisplayName>
        <AccountId>1462</AccountId>
        <AccountType/>
      </UserInfo>
    </OriginalSender>
    <DocumentPart xmlns="1a33af13-4045-4f88-9d7b-618e30f79918">21</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BUR CESE</TermName>
          <TermId xmlns="http://schemas.microsoft.com/office/infopath/2007/PartnerControls">4274fb1d-1fa2-4436-baac-f79426b09598</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FC50A5-583F-4548-AB93-D6AC2B34CB8F}">
  <ds:schemaRefs>
    <ds:schemaRef ds:uri="http://schemas.openxmlformats.org/officeDocument/2006/bibliography"/>
  </ds:schemaRefs>
</ds:datastoreItem>
</file>

<file path=customXml/itemProps2.xml><?xml version="1.0" encoding="utf-8"?>
<ds:datastoreItem xmlns:ds="http://schemas.openxmlformats.org/officeDocument/2006/customXml" ds:itemID="{DA96C265-1415-4E1A-BB10-54F86830FC27}">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a3e83899-37aa-47c6-ba54-4ea80e9c17cf"/>
  </ds:schemaRefs>
</ds:datastoreItem>
</file>

<file path=customXml/itemProps3.xml><?xml version="1.0" encoding="utf-8"?>
<ds:datastoreItem xmlns:ds="http://schemas.openxmlformats.org/officeDocument/2006/customXml" ds:itemID="{1A6E4F68-E578-40E7-B077-D4AAC978D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3af13-4045-4f88-9d7b-618e30f79918"/>
    <ds:schemaRef ds:uri="http://schemas.microsoft.com/sharepoint/v3/fields"/>
    <ds:schemaRef ds:uri="a3e83899-37aa-47c6-ba54-4ea80e9c1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F3DB5-817A-4925-A953-A545AFC3F4F9}">
  <ds:schemaRefs>
    <ds:schemaRef ds:uri="http://schemas.microsoft.com/sharepoint/v3/contenttype/forms"/>
  </ds:schemaRefs>
</ds:datastoreItem>
</file>

<file path=customXml/itemProps5.xml><?xml version="1.0" encoding="utf-8"?>
<ds:datastoreItem xmlns:ds="http://schemas.openxmlformats.org/officeDocument/2006/customXml" ds:itemID="{C01E21D8-FF6E-4A36-99C6-4D04713BEE1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11065</Words>
  <Characters>63074</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Rapport de fin de mandat de la section TEN</vt:lpstr>
    </vt:vector>
  </TitlesOfParts>
  <Company/>
  <LinksUpToDate>false</LinksUpToDate>
  <CharactersWithSpaces>73992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Pt_C.4.a_ANN1_Compte rendu des activités de la section TEN</dc:title>
  <dc:subject/>
  <dc:creator/>
  <cp:keywords/>
  <dc:description/>
  <cp:lastModifiedBy/>
  <cp:revision>1</cp:revision>
  <dcterms:created xsi:type="dcterms:W3CDTF">2025-09-23T14:33:00Z</dcterms:created>
  <dcterms:modified xsi:type="dcterms:W3CDTF">2025-09-23T14:33:00Z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22/08/2025</vt:lpwstr>
  </property>
  <property fmtid="{D5CDD505-2E9C-101B-9397-08002B2CF9AE}" pid="4" name="Pref_Time">
    <vt:lpwstr>16:23:58</vt:lpwstr>
  </property>
  <property fmtid="{D5CDD505-2E9C-101B-9397-08002B2CF9AE}" pid="5" name="Pref_User">
    <vt:lpwstr>pacup</vt:lpwstr>
  </property>
  <property fmtid="{D5CDD505-2E9C-101B-9397-08002B2CF9AE}" pid="6" name="Pref_FileName">
    <vt:lpwstr>EESC-2025-02725-00-00-TCD-ORI.docx</vt:lpwstr>
  </property>
  <property fmtid="{D5CDD505-2E9C-101B-9397-08002B2CF9AE}" pid="7" name="ContentTypeId">
    <vt:lpwstr>0x010100EA97B91038054C99906057A708A1480A004B94E0CD93B68F4F96D67EEBEC8A7176</vt:lpwstr>
  </property>
  <property fmtid="{D5CDD505-2E9C-101B-9397-08002B2CF9AE}" pid="8" name="_dlc_DocIdItemGuid">
    <vt:lpwstr>8f79963b-4306-4eff-bd88-ae2619eab500</vt:lpwstr>
  </property>
  <property fmtid="{D5CDD505-2E9C-101B-9397-08002B2CF9AE}" pid="9" name="AvailableTranslations">
    <vt:lpwstr>23;#DE|f6b31e5a-26fa-4935-b661-318e46daf27e;#5;#EN|f2175f21-25d7-44a3-96da-d6a61b075e1b;#12;#FR|d2afafd3-4c81-4f60-8f52-ee33f2f54ff3</vt:lpwstr>
  </property>
  <property fmtid="{D5CDD505-2E9C-101B-9397-08002B2CF9AE}" pid="10" name="DocumentType_0">
    <vt:lpwstr>NB|086d36d2-b81a-4b8e-8d1e-a22010addc8b</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2625</vt:i4>
  </property>
  <property fmtid="{D5CDD505-2E9C-101B-9397-08002B2CF9AE}" pid="14" name="DocumentVersion">
    <vt:i4>1</vt:i4>
  </property>
  <property fmtid="{D5CDD505-2E9C-101B-9397-08002B2CF9AE}" pid="15" name="DocumentStatus">
    <vt:lpwstr>13;#TRA|150d2a88-1431-44e6-a8ca-0bb753ab8672</vt:lpwstr>
  </property>
  <property fmtid="{D5CDD505-2E9C-101B-9397-08002B2CF9AE}" pid="16" name="DocumentPart">
    <vt:i4>21</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19" name="DocumentType">
    <vt:lpwstr>101;#NB|086d36d2-b81a-4b8e-8d1e-a22010addc8b</vt:lpwstr>
  </property>
  <property fmtid="{D5CDD505-2E9C-101B-9397-08002B2CF9AE}" pid="20" name="RequestingService">
    <vt:lpwstr>Greffe</vt:lpwstr>
  </property>
  <property fmtid="{D5CDD505-2E9C-101B-9397-08002B2CF9AE}" pid="21" name="Confidentiality">
    <vt:lpwstr>6;#Internal|2451815e-8241-4bbf-a22e-1ab710712bf2</vt:lpwstr>
  </property>
  <property fmtid="{D5CDD505-2E9C-101B-9397-08002B2CF9AE}" pid="22" name="MeetingName_0">
    <vt:lpwstr>BUR CESE|4274fb1d-1fa2-4436-baac-f79426b09598</vt:lpwstr>
  </property>
  <property fmtid="{D5CDD505-2E9C-101B-9397-08002B2CF9AE}" pid="23" name="Confidentiality_0">
    <vt:lpwstr>Internal|2451815e-8241-4bbf-a22e-1ab710712bf2</vt:lpwstr>
  </property>
  <property fmtid="{D5CDD505-2E9C-101B-9397-08002B2CF9AE}" pid="24" name="OriginalLanguage">
    <vt:lpwstr>5;#EN|f2175f21-25d7-44a3-96da-d6a61b075e1b</vt:lpwstr>
  </property>
  <property fmtid="{D5CDD505-2E9C-101B-9397-08002B2CF9AE}" pid="25" name="MeetingName">
    <vt:lpwstr>102;#BUR CESE|4274fb1d-1fa2-4436-baac-f79426b09598</vt:lpwstr>
  </property>
  <property fmtid="{D5CDD505-2E9C-101B-9397-08002B2CF9AE}" pid="26" name="AvailableTranslations_0">
    <vt:lpwstr>DE|f6b31e5a-26fa-4935-b661-318e46daf27e;EN|f2175f21-25d7-44a3-96da-d6a61b075e1b</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101;#NB|086d36d2-b81a-4b8e-8d1e-a22010addc8b;#13;#TRA|150d2a88-1431-44e6-a8ca-0bb753ab8672;#12;#FR|d2afafd3-4c81-4f60-8f52-ee33f2f54ff3;#23;#DE|f6b31e5a-26fa-4935-b661-318e46daf27e;#8;#Final|ea5e6674-7b27-4bac-b091-73adbb394efe;#6;#Internal|2451815e-8241-4bbf-a22e-1ab710712bf2;#5;#EN|f2175f21-25d7-44a3-96da-d6a61b075e1b;#1;#EESC|422833ec-8d7e-4e65-8e4e-8bed07ffb729;#102;#BUR CESE|4274fb1d-1fa2-4436-baac-f79426b09598</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294210</vt:i4>
  </property>
  <property fmtid="{D5CDD505-2E9C-101B-9397-08002B2CF9AE}" pid="34" name="DocumentLanguage">
    <vt:lpwstr>12;#FR|d2afafd3-4c81-4f60-8f52-ee33f2f54ff3</vt:lpwstr>
  </property>
  <property fmtid="{D5CDD505-2E9C-101B-9397-08002B2CF9AE}" pid="35" name="_docset_NoMedatataSyncRequired">
    <vt:lpwstr>False</vt:lpwstr>
  </property>
  <property fmtid="{D5CDD505-2E9C-101B-9397-08002B2CF9AE}" pid="36" name="DocumentLanguage_0">
    <vt:lpwstr>FR|d2afafd3-4c81-4f60-8f52-ee33f2f54ff3</vt:lpwstr>
  </property>
  <property fmtid="{D5CDD505-2E9C-101B-9397-08002B2CF9AE}" pid="37" name="MeetingDate">
    <vt:filetime>2025-09-16T12:00:00Z</vt:filetime>
  </property>
</Properties>
</file>