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0E46E3" w:rsidRDefault="00077C4F" w:rsidP="000E46E3">
      <w:pPr>
        <w:spacing w:after="0" w:line="240" w:lineRule="auto"/>
        <w:ind w:left="-709"/>
        <w:rPr>
          <w:rFonts w:ascii="Times New Roman" w:hAnsi="Times New Roman"/>
          <w:bCs/>
          <w:sz w:val="16"/>
          <w:szCs w:val="16"/>
          <w:u w:val="single"/>
        </w:rPr>
      </w:pPr>
    </w:p>
    <w:tbl>
      <w:tblPr>
        <w:tblW w:w="1019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93"/>
      </w:tblGrid>
      <w:tr w:rsidR="001C4138" w:rsidRPr="00442552" w14:paraId="7E6372DC" w14:textId="77777777" w:rsidTr="00E4463E">
        <w:trPr>
          <w:jc w:val="center"/>
        </w:trPr>
        <w:tc>
          <w:tcPr>
            <w:tcW w:w="10193" w:type="dxa"/>
          </w:tcPr>
          <w:p w14:paraId="3A4EDC3A" w14:textId="30C029E5" w:rsidR="001C4138" w:rsidRPr="00A470F2" w:rsidRDefault="0067105A" w:rsidP="0067105A">
            <w:pPr>
              <w:spacing w:before="120" w:after="120"/>
              <w:rPr>
                <w:rFonts w:ascii="Times New Roman" w:hAnsi="Times New Roman"/>
                <w:b/>
                <w:sz w:val="24"/>
                <w:szCs w:val="24"/>
              </w:rPr>
            </w:pPr>
            <w:r w:rsidRPr="00A470F2">
              <w:rPr>
                <w:rFonts w:ascii="Times New Roman" w:hAnsi="Times New Roman"/>
                <w:b/>
                <w:sz w:val="24"/>
                <w:szCs w:val="24"/>
              </w:rPr>
              <w:t>How to support social economy entities in line with State aid rules: thoughts following the suggestions in Enrico Letta’s report</w:t>
            </w:r>
            <w:r w:rsidR="00D74754">
              <w:rPr>
                <w:rFonts w:ascii="Times New Roman" w:hAnsi="Times New Roman"/>
                <w:b/>
                <w:sz w:val="24"/>
                <w:szCs w:val="24"/>
              </w:rPr>
              <w:br/>
            </w:r>
            <w:r w:rsidRPr="00A470F2">
              <w:rPr>
                <w:rFonts w:ascii="Times New Roman" w:hAnsi="Times New Roman"/>
                <w:b/>
                <w:sz w:val="24"/>
                <w:szCs w:val="24"/>
              </w:rPr>
              <w:t>(own-initiative opinion)</w:t>
            </w:r>
            <w:r w:rsidR="001C4138" w:rsidRPr="00A470F2">
              <w:rPr>
                <w:rFonts w:ascii="Times New Roman" w:hAnsi="Times New Roman"/>
                <w:b/>
                <w:sz w:val="24"/>
                <w:szCs w:val="24"/>
                <w:lang w:val="en-IE"/>
              </w:rPr>
              <w:br/>
            </w:r>
            <w:r w:rsidR="004E0E53" w:rsidRPr="00A470F2">
              <w:rPr>
                <w:rFonts w:ascii="Times New Roman" w:hAnsi="Times New Roman"/>
                <w:b/>
                <w:sz w:val="24"/>
                <w:szCs w:val="24"/>
              </w:rPr>
              <w:t xml:space="preserve">EESC-2024-03043 </w:t>
            </w:r>
            <w:r w:rsidR="001C4138" w:rsidRPr="00A470F2">
              <w:rPr>
                <w:rFonts w:ascii="Times New Roman" w:hAnsi="Times New Roman"/>
                <w:b/>
                <w:sz w:val="24"/>
                <w:szCs w:val="24"/>
              </w:rPr>
              <w:t xml:space="preserve">‒ </w:t>
            </w:r>
            <w:r w:rsidR="004E0E53" w:rsidRPr="00A470F2">
              <w:rPr>
                <w:rFonts w:ascii="Times New Roman" w:hAnsi="Times New Roman"/>
                <w:b/>
                <w:sz w:val="24"/>
                <w:szCs w:val="24"/>
              </w:rPr>
              <w:t>INT/1071</w:t>
            </w:r>
            <w:r w:rsidR="001C4138" w:rsidRPr="00A470F2">
              <w:rPr>
                <w:rFonts w:ascii="Times New Roman" w:hAnsi="Times New Roman"/>
                <w:b/>
                <w:sz w:val="24"/>
                <w:szCs w:val="24"/>
              </w:rPr>
              <w:br/>
            </w:r>
            <w:r w:rsidRPr="00A470F2">
              <w:rPr>
                <w:rFonts w:ascii="Times New Roman" w:hAnsi="Times New Roman"/>
                <w:b/>
                <w:sz w:val="24"/>
                <w:szCs w:val="24"/>
              </w:rPr>
              <w:t>593</w:t>
            </w:r>
            <w:r w:rsidR="001C4138" w:rsidRPr="00A470F2">
              <w:rPr>
                <w:rFonts w:ascii="Times New Roman" w:hAnsi="Times New Roman"/>
                <w:b/>
                <w:sz w:val="24"/>
                <w:szCs w:val="24"/>
                <w:vertAlign w:val="superscript"/>
                <w:lang w:val="en-IE"/>
              </w:rPr>
              <w:t>rd</w:t>
            </w:r>
            <w:r w:rsidR="001C4138" w:rsidRPr="00A470F2">
              <w:rPr>
                <w:rFonts w:ascii="Times New Roman" w:hAnsi="Times New Roman"/>
                <w:b/>
                <w:sz w:val="24"/>
                <w:szCs w:val="24"/>
                <w:lang w:val="en-IE"/>
              </w:rPr>
              <w:t xml:space="preserve"> </w:t>
            </w:r>
            <w:r w:rsidR="001C4138" w:rsidRPr="00A470F2">
              <w:rPr>
                <w:rFonts w:ascii="Times New Roman" w:hAnsi="Times New Roman"/>
                <w:b/>
                <w:sz w:val="24"/>
                <w:szCs w:val="24"/>
              </w:rPr>
              <w:t xml:space="preserve">Plenary Session – </w:t>
            </w:r>
            <w:r w:rsidRPr="00A470F2">
              <w:rPr>
                <w:rFonts w:ascii="Times New Roman" w:hAnsi="Times New Roman"/>
                <w:b/>
                <w:sz w:val="24"/>
                <w:szCs w:val="24"/>
              </w:rPr>
              <w:t>January 2025</w:t>
            </w:r>
            <w:r w:rsidR="001C4138" w:rsidRPr="00A470F2">
              <w:rPr>
                <w:rFonts w:ascii="Times New Roman" w:hAnsi="Times New Roman"/>
                <w:b/>
                <w:sz w:val="24"/>
                <w:szCs w:val="24"/>
              </w:rPr>
              <w:br/>
              <w:t xml:space="preserve">Rapporteur: </w:t>
            </w:r>
            <w:r w:rsidRPr="00A470F2">
              <w:rPr>
                <w:rFonts w:ascii="Times New Roman" w:hAnsi="Times New Roman"/>
                <w:b/>
                <w:sz w:val="24"/>
                <w:szCs w:val="24"/>
              </w:rPr>
              <w:t>Giuseppe GUERINI</w:t>
            </w:r>
            <w:r w:rsidR="001C4138" w:rsidRPr="00A470F2">
              <w:rPr>
                <w:rFonts w:ascii="Times New Roman" w:hAnsi="Times New Roman"/>
                <w:b/>
                <w:sz w:val="24"/>
                <w:szCs w:val="24"/>
              </w:rPr>
              <w:t xml:space="preserve"> (</w:t>
            </w:r>
            <w:r w:rsidR="00D74754">
              <w:rPr>
                <w:rFonts w:ascii="Times New Roman" w:hAnsi="Times New Roman"/>
                <w:b/>
                <w:sz w:val="24"/>
                <w:szCs w:val="24"/>
              </w:rPr>
              <w:t>IT-</w:t>
            </w:r>
            <w:r w:rsidR="000E7875" w:rsidRPr="00A470F2">
              <w:rPr>
                <w:rFonts w:ascii="Times New Roman" w:hAnsi="Times New Roman"/>
                <w:b/>
                <w:sz w:val="24"/>
                <w:szCs w:val="24"/>
              </w:rPr>
              <w:t>III</w:t>
            </w:r>
            <w:r w:rsidR="001C4138" w:rsidRPr="00A470F2">
              <w:rPr>
                <w:rFonts w:ascii="Times New Roman" w:hAnsi="Times New Roman"/>
                <w:b/>
                <w:sz w:val="24"/>
                <w:szCs w:val="24"/>
              </w:rPr>
              <w:t>)</w:t>
            </w:r>
            <w:r w:rsidR="001C4138" w:rsidRPr="00A470F2">
              <w:rPr>
                <w:rFonts w:ascii="Times New Roman" w:hAnsi="Times New Roman"/>
                <w:b/>
                <w:sz w:val="24"/>
                <w:szCs w:val="24"/>
              </w:rPr>
              <w:br/>
              <w:t xml:space="preserve">DG </w:t>
            </w:r>
            <w:r w:rsidR="000E7875" w:rsidRPr="00A470F2">
              <w:rPr>
                <w:rFonts w:ascii="Times New Roman" w:hAnsi="Times New Roman"/>
                <w:b/>
                <w:sz w:val="24"/>
                <w:szCs w:val="24"/>
              </w:rPr>
              <w:t>COMP</w:t>
            </w:r>
            <w:r w:rsidR="001C4138" w:rsidRPr="00A470F2">
              <w:rPr>
                <w:rFonts w:ascii="Times New Roman" w:hAnsi="Times New Roman"/>
                <w:b/>
                <w:sz w:val="24"/>
                <w:szCs w:val="24"/>
              </w:rPr>
              <w:t xml:space="preserve"> –</w:t>
            </w:r>
            <w:r w:rsidR="00D74754">
              <w:rPr>
                <w:rFonts w:ascii="Times New Roman" w:hAnsi="Times New Roman"/>
                <w:b/>
                <w:sz w:val="24"/>
                <w:szCs w:val="24"/>
              </w:rPr>
              <w:t xml:space="preserve"> </w:t>
            </w:r>
            <w:r w:rsidR="00833F77" w:rsidRPr="00A470F2">
              <w:rPr>
                <w:rFonts w:ascii="Times New Roman" w:hAnsi="Times New Roman"/>
                <w:b/>
                <w:sz w:val="24"/>
                <w:szCs w:val="24"/>
              </w:rPr>
              <w:t xml:space="preserve">Executive Vice-President </w:t>
            </w:r>
            <w:r w:rsidR="000E7875" w:rsidRPr="00A470F2">
              <w:rPr>
                <w:rFonts w:ascii="Times New Roman" w:hAnsi="Times New Roman"/>
                <w:b/>
                <w:sz w:val="24"/>
                <w:szCs w:val="24"/>
              </w:rPr>
              <w:t>RIBERA</w:t>
            </w:r>
          </w:p>
        </w:tc>
      </w:tr>
      <w:tr w:rsidR="00734613" w:rsidRPr="00442552" w14:paraId="1937071F" w14:textId="77777777" w:rsidTr="00E4463E">
        <w:trPr>
          <w:jc w:val="center"/>
        </w:trPr>
        <w:tc>
          <w:tcPr>
            <w:tcW w:w="10193" w:type="dxa"/>
          </w:tcPr>
          <w:p w14:paraId="1E50B4DB" w14:textId="17DE9BE2"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D74754">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E4463E">
        <w:trPr>
          <w:jc w:val="center"/>
        </w:trPr>
        <w:tc>
          <w:tcPr>
            <w:tcW w:w="10193" w:type="dxa"/>
          </w:tcPr>
          <w:p w14:paraId="30D14481" w14:textId="52144879" w:rsidR="000E0A3D" w:rsidRPr="00A470F2" w:rsidRDefault="00553685" w:rsidP="00A470F2">
            <w:pPr>
              <w:widowControl w:val="0"/>
              <w:spacing w:before="120" w:after="120"/>
              <w:ind w:right="11"/>
              <w:jc w:val="both"/>
              <w:rPr>
                <w:rFonts w:ascii="Times New Roman" w:hAnsi="Times New Roman"/>
                <w:color w:val="000000"/>
                <w:sz w:val="24"/>
                <w:szCs w:val="24"/>
              </w:rPr>
            </w:pPr>
            <w:r>
              <w:rPr>
                <w:rFonts w:ascii="Times New Roman" w:hAnsi="Times New Roman"/>
                <w:b/>
                <w:bCs/>
                <w:sz w:val="24"/>
                <w:szCs w:val="24"/>
              </w:rPr>
              <w:t>Concerning</w:t>
            </w:r>
            <w:r w:rsidR="00C365D2" w:rsidRPr="00A470F2">
              <w:rPr>
                <w:rFonts w:ascii="Times New Roman" w:hAnsi="Times New Roman"/>
                <w:b/>
                <w:bCs/>
                <w:sz w:val="24"/>
                <w:szCs w:val="24"/>
              </w:rPr>
              <w:t xml:space="preserve"> point 1.1</w:t>
            </w:r>
            <w:r>
              <w:rPr>
                <w:rFonts w:ascii="Times New Roman" w:hAnsi="Times New Roman"/>
                <w:b/>
                <w:bCs/>
                <w:sz w:val="24"/>
                <w:szCs w:val="24"/>
              </w:rPr>
              <w:t>.:</w:t>
            </w:r>
            <w:r w:rsidR="00B84947" w:rsidRPr="00A470F2">
              <w:rPr>
                <w:rFonts w:ascii="Times New Roman" w:hAnsi="Times New Roman"/>
                <w:color w:val="000000"/>
                <w:sz w:val="24"/>
                <w:szCs w:val="24"/>
              </w:rPr>
              <w:t xml:space="preserve">The Commission is </w:t>
            </w:r>
            <w:r w:rsidR="00326017" w:rsidRPr="00A470F2">
              <w:rPr>
                <w:rFonts w:ascii="Times New Roman" w:hAnsi="Times New Roman"/>
                <w:color w:val="000000"/>
                <w:sz w:val="24"/>
                <w:szCs w:val="24"/>
              </w:rPr>
              <w:t>conscious</w:t>
            </w:r>
            <w:r w:rsidR="00B84947" w:rsidRPr="00A470F2">
              <w:rPr>
                <w:rFonts w:ascii="Times New Roman" w:hAnsi="Times New Roman"/>
                <w:color w:val="000000"/>
                <w:sz w:val="24"/>
                <w:szCs w:val="24"/>
              </w:rPr>
              <w:t xml:space="preserve"> </w:t>
            </w:r>
            <w:r w:rsidR="00326017" w:rsidRPr="00A470F2">
              <w:rPr>
                <w:rFonts w:ascii="Times New Roman" w:hAnsi="Times New Roman"/>
                <w:color w:val="000000"/>
                <w:sz w:val="24"/>
                <w:szCs w:val="24"/>
              </w:rPr>
              <w:t xml:space="preserve">of the fact </w:t>
            </w:r>
            <w:r w:rsidR="00126E06" w:rsidRPr="00A470F2">
              <w:rPr>
                <w:rFonts w:ascii="Times New Roman" w:hAnsi="Times New Roman"/>
                <w:color w:val="000000"/>
                <w:sz w:val="24"/>
                <w:szCs w:val="24"/>
              </w:rPr>
              <w:t xml:space="preserve">that many social-economy entities </w:t>
            </w:r>
            <w:r w:rsidR="000E0A3D" w:rsidRPr="00A470F2">
              <w:rPr>
                <w:rFonts w:ascii="Times New Roman" w:hAnsi="Times New Roman"/>
                <w:color w:val="000000"/>
                <w:sz w:val="24"/>
                <w:szCs w:val="24"/>
              </w:rPr>
              <w:t xml:space="preserve">have a hybrid financing model, meaning that they combine sources from government and public authorities (grants, subsidies, and financial instruments) with private funds, investments, donations and their own revenues and resources. Available evidence </w:t>
            </w:r>
            <w:r w:rsidR="00326017" w:rsidRPr="00A470F2">
              <w:rPr>
                <w:rFonts w:ascii="Times New Roman" w:hAnsi="Times New Roman"/>
                <w:color w:val="000000"/>
                <w:sz w:val="24"/>
                <w:szCs w:val="24"/>
              </w:rPr>
              <w:t>suggests</w:t>
            </w:r>
            <w:r w:rsidR="000E0A3D" w:rsidRPr="00A470F2">
              <w:rPr>
                <w:rFonts w:ascii="Times New Roman" w:hAnsi="Times New Roman"/>
                <w:color w:val="000000"/>
                <w:sz w:val="24"/>
                <w:szCs w:val="24"/>
              </w:rPr>
              <w:t xml:space="preserve"> that the main obstacle to self-financin</w:t>
            </w:r>
            <w:r w:rsidR="00326017" w:rsidRPr="00A470F2">
              <w:rPr>
                <w:rFonts w:ascii="Times New Roman" w:hAnsi="Times New Roman"/>
                <w:color w:val="000000"/>
                <w:sz w:val="24"/>
                <w:szCs w:val="24"/>
              </w:rPr>
              <w:t xml:space="preserve">g </w:t>
            </w:r>
            <w:r w:rsidR="000E0A3D" w:rsidRPr="00A470F2">
              <w:rPr>
                <w:rFonts w:ascii="Times New Roman" w:hAnsi="Times New Roman"/>
                <w:color w:val="000000"/>
                <w:sz w:val="24"/>
                <w:szCs w:val="24"/>
              </w:rPr>
              <w:t>is a low return on investment and restrictions on profit distribution</w:t>
            </w:r>
            <w:r w:rsidR="002B715E" w:rsidRPr="00A470F2">
              <w:rPr>
                <w:rFonts w:ascii="Times New Roman" w:hAnsi="Times New Roman"/>
                <w:color w:val="000000"/>
                <w:sz w:val="24"/>
                <w:szCs w:val="24"/>
              </w:rPr>
              <w:t xml:space="preserve"> (Study on State aid for access to finance for social enterprises and for the recruitment of disadvantaged workers in the form of wage subsidies, 2024</w:t>
            </w:r>
            <w:r w:rsidR="00A152F4" w:rsidRPr="00A470F2">
              <w:rPr>
                <w:rStyle w:val="FootnoteReference"/>
                <w:rFonts w:ascii="Times New Roman" w:hAnsi="Times New Roman"/>
                <w:color w:val="000000"/>
                <w:sz w:val="24"/>
                <w:szCs w:val="24"/>
              </w:rPr>
              <w:footnoteReference w:id="2"/>
            </w:r>
            <w:r w:rsidR="002B715E" w:rsidRPr="00A470F2">
              <w:rPr>
                <w:rFonts w:ascii="Times New Roman" w:hAnsi="Times New Roman"/>
                <w:color w:val="000000"/>
                <w:sz w:val="24"/>
                <w:szCs w:val="24"/>
              </w:rPr>
              <w:t>)</w:t>
            </w:r>
            <w:r w:rsidR="000E0A3D" w:rsidRPr="00A470F2">
              <w:rPr>
                <w:rFonts w:ascii="Times New Roman" w:hAnsi="Times New Roman"/>
                <w:color w:val="000000"/>
                <w:sz w:val="24"/>
                <w:szCs w:val="24"/>
              </w:rPr>
              <w:t xml:space="preserve">. </w:t>
            </w:r>
            <w:r w:rsidR="00326017" w:rsidRPr="00A470F2">
              <w:rPr>
                <w:rFonts w:ascii="Times New Roman" w:hAnsi="Times New Roman"/>
                <w:color w:val="000000"/>
                <w:sz w:val="24"/>
                <w:szCs w:val="24"/>
              </w:rPr>
              <w:t xml:space="preserve">When reviewing </w:t>
            </w:r>
            <w:r w:rsidR="000E0A3D" w:rsidRPr="00A470F2">
              <w:rPr>
                <w:rFonts w:ascii="Times New Roman" w:hAnsi="Times New Roman"/>
                <w:color w:val="000000"/>
                <w:sz w:val="24"/>
                <w:szCs w:val="24"/>
              </w:rPr>
              <w:t>EU State aid rules</w:t>
            </w:r>
            <w:r w:rsidR="00326017" w:rsidRPr="00A470F2">
              <w:rPr>
                <w:rFonts w:ascii="Times New Roman" w:hAnsi="Times New Roman"/>
                <w:color w:val="000000"/>
                <w:sz w:val="24"/>
                <w:szCs w:val="24"/>
              </w:rPr>
              <w:t>, and in particular the General Block Exemption Regulation</w:t>
            </w:r>
            <w:r w:rsidR="003D34C2">
              <w:rPr>
                <w:rStyle w:val="FootnoteReference"/>
                <w:rFonts w:ascii="Times New Roman" w:hAnsi="Times New Roman"/>
                <w:color w:val="000000"/>
                <w:sz w:val="24"/>
                <w:szCs w:val="24"/>
              </w:rPr>
              <w:footnoteReference w:id="3"/>
            </w:r>
            <w:r w:rsidR="00326017" w:rsidRPr="00A470F2">
              <w:rPr>
                <w:rFonts w:ascii="Times New Roman" w:hAnsi="Times New Roman"/>
                <w:color w:val="000000"/>
                <w:sz w:val="24"/>
                <w:szCs w:val="24"/>
              </w:rPr>
              <w:t xml:space="preserve">, the Commission will </w:t>
            </w:r>
            <w:r w:rsidR="00AD6730" w:rsidRPr="00A470F2">
              <w:rPr>
                <w:rFonts w:ascii="Times New Roman" w:hAnsi="Times New Roman"/>
                <w:color w:val="000000"/>
                <w:sz w:val="24"/>
                <w:szCs w:val="24"/>
              </w:rPr>
              <w:t>consider all</w:t>
            </w:r>
            <w:r w:rsidR="00326017" w:rsidRPr="00A470F2">
              <w:rPr>
                <w:rFonts w:ascii="Times New Roman" w:hAnsi="Times New Roman"/>
                <w:color w:val="000000"/>
                <w:sz w:val="24"/>
                <w:szCs w:val="24"/>
              </w:rPr>
              <w:t xml:space="preserve"> relevant evidence</w:t>
            </w:r>
            <w:r w:rsidR="005D6D70" w:rsidRPr="00A470F2">
              <w:rPr>
                <w:rFonts w:ascii="Times New Roman" w:hAnsi="Times New Roman"/>
                <w:color w:val="000000"/>
                <w:sz w:val="24"/>
                <w:szCs w:val="24"/>
              </w:rPr>
              <w:t>.</w:t>
            </w:r>
          </w:p>
        </w:tc>
      </w:tr>
      <w:tr w:rsidR="001D432D" w:rsidRPr="004F6117" w14:paraId="554AE853" w14:textId="77777777" w:rsidTr="00E4463E">
        <w:trPr>
          <w:jc w:val="center"/>
        </w:trPr>
        <w:tc>
          <w:tcPr>
            <w:tcW w:w="10193" w:type="dxa"/>
          </w:tcPr>
          <w:p w14:paraId="14928D7E" w14:textId="300D3674" w:rsidR="00B84947" w:rsidRPr="00A470F2" w:rsidRDefault="00553685" w:rsidP="00A470F2">
            <w:pPr>
              <w:widowControl w:val="0"/>
              <w:spacing w:before="120" w:after="120"/>
              <w:ind w:right="11"/>
              <w:jc w:val="both"/>
              <w:rPr>
                <w:rFonts w:ascii="Times New Roman" w:hAnsi="Times New Roman"/>
                <w:bCs/>
                <w:color w:val="000000"/>
                <w:sz w:val="24"/>
                <w:szCs w:val="24"/>
              </w:rPr>
            </w:pPr>
            <w:r>
              <w:rPr>
                <w:rFonts w:ascii="Times New Roman" w:hAnsi="Times New Roman"/>
                <w:b/>
                <w:bCs/>
                <w:sz w:val="24"/>
                <w:szCs w:val="24"/>
              </w:rPr>
              <w:t xml:space="preserve">Concerning </w:t>
            </w:r>
            <w:r w:rsidR="005E4C2A" w:rsidRPr="00A470F2">
              <w:rPr>
                <w:rFonts w:ascii="Times New Roman" w:hAnsi="Times New Roman"/>
                <w:b/>
                <w:color w:val="000000"/>
                <w:sz w:val="24"/>
                <w:szCs w:val="24"/>
              </w:rPr>
              <w:t>point 3.7</w:t>
            </w:r>
            <w:r>
              <w:rPr>
                <w:rFonts w:ascii="Times New Roman" w:hAnsi="Times New Roman"/>
                <w:b/>
                <w:color w:val="000000"/>
                <w:sz w:val="24"/>
                <w:szCs w:val="24"/>
              </w:rPr>
              <w:t>.:</w:t>
            </w:r>
            <w:r w:rsidR="00083727" w:rsidRPr="00A470F2">
              <w:rPr>
                <w:rFonts w:ascii="Times New Roman" w:hAnsi="Times New Roman"/>
                <w:color w:val="000000"/>
                <w:sz w:val="24"/>
                <w:szCs w:val="24"/>
              </w:rPr>
              <w:t xml:space="preserve">The Commission is aware </w:t>
            </w:r>
            <w:r w:rsidR="001A5613" w:rsidRPr="00A470F2">
              <w:rPr>
                <w:rFonts w:ascii="Times New Roman" w:hAnsi="Times New Roman"/>
                <w:color w:val="000000"/>
                <w:sz w:val="24"/>
                <w:szCs w:val="24"/>
              </w:rPr>
              <w:t>of, and</w:t>
            </w:r>
            <w:r w:rsidR="00083727" w:rsidRPr="00A470F2">
              <w:rPr>
                <w:rFonts w:ascii="Times New Roman" w:hAnsi="Times New Roman"/>
                <w:color w:val="000000"/>
                <w:sz w:val="24"/>
                <w:szCs w:val="24"/>
              </w:rPr>
              <w:t xml:space="preserve"> recognises</w:t>
            </w:r>
            <w:r w:rsidR="001A5613" w:rsidRPr="00A470F2">
              <w:rPr>
                <w:rFonts w:ascii="Times New Roman" w:hAnsi="Times New Roman"/>
                <w:color w:val="000000"/>
                <w:sz w:val="24"/>
                <w:szCs w:val="24"/>
              </w:rPr>
              <w:t>,</w:t>
            </w:r>
            <w:r w:rsidR="00083727" w:rsidRPr="00A470F2">
              <w:rPr>
                <w:rFonts w:ascii="Times New Roman" w:hAnsi="Times New Roman"/>
                <w:color w:val="000000"/>
                <w:sz w:val="24"/>
                <w:szCs w:val="24"/>
              </w:rPr>
              <w:t xml:space="preserve"> the many functions these entities fulfil in the public interest. </w:t>
            </w:r>
            <w:r w:rsidR="00EB2305" w:rsidRPr="00A470F2">
              <w:rPr>
                <w:rFonts w:ascii="Times New Roman" w:hAnsi="Times New Roman"/>
                <w:color w:val="000000"/>
                <w:sz w:val="24"/>
                <w:szCs w:val="24"/>
              </w:rPr>
              <w:t xml:space="preserve">Where social economy entities engage in economic activities, the public support they receive is subject to EU State aid rules, </w:t>
            </w:r>
            <w:r w:rsidR="00083727" w:rsidRPr="00A470F2">
              <w:rPr>
                <w:rFonts w:ascii="Times New Roman" w:hAnsi="Times New Roman"/>
                <w:color w:val="000000"/>
                <w:sz w:val="24"/>
                <w:szCs w:val="24"/>
              </w:rPr>
              <w:t xml:space="preserve">just as </w:t>
            </w:r>
            <w:r w:rsidR="00734938" w:rsidRPr="00A470F2">
              <w:rPr>
                <w:rFonts w:ascii="Times New Roman" w:hAnsi="Times New Roman"/>
                <w:color w:val="000000"/>
                <w:sz w:val="24"/>
                <w:szCs w:val="24"/>
              </w:rPr>
              <w:t xml:space="preserve">for </w:t>
            </w:r>
            <w:r w:rsidR="00083727" w:rsidRPr="00A470F2">
              <w:rPr>
                <w:rFonts w:ascii="Times New Roman" w:hAnsi="Times New Roman"/>
                <w:color w:val="000000"/>
                <w:sz w:val="24"/>
                <w:szCs w:val="24"/>
              </w:rPr>
              <w:t>any other undertaking</w:t>
            </w:r>
            <w:r w:rsidR="00EB2305" w:rsidRPr="00A470F2">
              <w:rPr>
                <w:rFonts w:ascii="Times New Roman" w:hAnsi="Times New Roman"/>
                <w:color w:val="000000"/>
                <w:sz w:val="24"/>
                <w:szCs w:val="24"/>
              </w:rPr>
              <w:t xml:space="preserve">. The public support they receive may be exempted from the obligation of prior notification </w:t>
            </w:r>
            <w:r w:rsidR="00083727" w:rsidRPr="00A470F2">
              <w:rPr>
                <w:rFonts w:ascii="Times New Roman" w:hAnsi="Times New Roman"/>
                <w:color w:val="000000"/>
                <w:sz w:val="24"/>
                <w:szCs w:val="24"/>
              </w:rPr>
              <w:t>for example under the General Block Exemption Regulation. Moreover, EU State aid rules</w:t>
            </w:r>
            <w:r w:rsidR="00EB2305" w:rsidRPr="00A470F2">
              <w:rPr>
                <w:rFonts w:ascii="Times New Roman" w:hAnsi="Times New Roman"/>
                <w:color w:val="000000"/>
                <w:sz w:val="24"/>
                <w:szCs w:val="24"/>
              </w:rPr>
              <w:t xml:space="preserve"> recognise the importance of Services of General Economic Interest</w:t>
            </w:r>
            <w:r w:rsidR="0090125E">
              <w:rPr>
                <w:rFonts w:ascii="Times New Roman" w:hAnsi="Times New Roman"/>
                <w:color w:val="000000"/>
                <w:sz w:val="24"/>
                <w:szCs w:val="24"/>
              </w:rPr>
              <w:t xml:space="preserve"> (SGEI)</w:t>
            </w:r>
            <w:r w:rsidR="00EB2305" w:rsidRPr="00A470F2">
              <w:rPr>
                <w:rFonts w:ascii="Times New Roman" w:hAnsi="Times New Roman"/>
                <w:color w:val="000000"/>
                <w:sz w:val="24"/>
                <w:szCs w:val="24"/>
              </w:rPr>
              <w:t xml:space="preserve"> in Europe and provides rules according to which Member States may fund </w:t>
            </w:r>
            <w:r w:rsidR="00143686" w:rsidRPr="00A470F2">
              <w:rPr>
                <w:rFonts w:ascii="Times New Roman" w:hAnsi="Times New Roman"/>
                <w:color w:val="000000"/>
                <w:sz w:val="24"/>
                <w:szCs w:val="24"/>
              </w:rPr>
              <w:t>undertakings</w:t>
            </w:r>
            <w:r w:rsidR="00EB2305" w:rsidRPr="00A470F2">
              <w:rPr>
                <w:rFonts w:ascii="Times New Roman" w:hAnsi="Times New Roman"/>
                <w:color w:val="000000"/>
                <w:sz w:val="24"/>
                <w:szCs w:val="24"/>
              </w:rPr>
              <w:t xml:space="preserve"> (including social economy entities) for the provision of </w:t>
            </w:r>
            <w:r w:rsidR="00143686" w:rsidRPr="00A470F2">
              <w:rPr>
                <w:rFonts w:ascii="Times New Roman" w:hAnsi="Times New Roman"/>
                <w:color w:val="000000"/>
                <w:sz w:val="24"/>
                <w:szCs w:val="24"/>
              </w:rPr>
              <w:t>these S</w:t>
            </w:r>
            <w:r w:rsidR="00EB2305" w:rsidRPr="00A470F2">
              <w:rPr>
                <w:rFonts w:ascii="Times New Roman" w:hAnsi="Times New Roman"/>
                <w:color w:val="000000"/>
                <w:sz w:val="24"/>
                <w:szCs w:val="24"/>
              </w:rPr>
              <w:t xml:space="preserve">ervices of </w:t>
            </w:r>
            <w:r w:rsidR="00143686" w:rsidRPr="00A470F2">
              <w:rPr>
                <w:rFonts w:ascii="Times New Roman" w:hAnsi="Times New Roman"/>
                <w:color w:val="000000"/>
                <w:sz w:val="24"/>
                <w:szCs w:val="24"/>
              </w:rPr>
              <w:t>G</w:t>
            </w:r>
            <w:r w:rsidR="00EB2305" w:rsidRPr="00A470F2">
              <w:rPr>
                <w:rFonts w:ascii="Times New Roman" w:hAnsi="Times New Roman"/>
                <w:color w:val="000000"/>
                <w:sz w:val="24"/>
                <w:szCs w:val="24"/>
              </w:rPr>
              <w:t xml:space="preserve">eneral </w:t>
            </w:r>
            <w:r w:rsidR="00143686" w:rsidRPr="00A470F2">
              <w:rPr>
                <w:rFonts w:ascii="Times New Roman" w:hAnsi="Times New Roman"/>
                <w:color w:val="000000"/>
                <w:sz w:val="24"/>
                <w:szCs w:val="24"/>
              </w:rPr>
              <w:t>E</w:t>
            </w:r>
            <w:r w:rsidR="00EB2305" w:rsidRPr="00A470F2">
              <w:rPr>
                <w:rFonts w:ascii="Times New Roman" w:hAnsi="Times New Roman"/>
                <w:color w:val="000000"/>
                <w:sz w:val="24"/>
                <w:szCs w:val="24"/>
              </w:rPr>
              <w:t xml:space="preserve">conomic </w:t>
            </w:r>
            <w:r w:rsidR="00143686" w:rsidRPr="00A470F2">
              <w:rPr>
                <w:rFonts w:ascii="Times New Roman" w:hAnsi="Times New Roman"/>
                <w:color w:val="000000"/>
                <w:sz w:val="24"/>
                <w:szCs w:val="24"/>
              </w:rPr>
              <w:t>I</w:t>
            </w:r>
            <w:r w:rsidR="00EB2305" w:rsidRPr="00A470F2">
              <w:rPr>
                <w:rFonts w:ascii="Times New Roman" w:hAnsi="Times New Roman"/>
                <w:color w:val="000000"/>
                <w:sz w:val="24"/>
                <w:szCs w:val="24"/>
              </w:rPr>
              <w:t xml:space="preserve">nterest. </w:t>
            </w:r>
            <w:r w:rsidR="007641DC" w:rsidRPr="00A470F2">
              <w:rPr>
                <w:rFonts w:ascii="Times New Roman" w:hAnsi="Times New Roman"/>
                <w:color w:val="000000"/>
                <w:sz w:val="24"/>
                <w:szCs w:val="24"/>
              </w:rPr>
              <w:t>As mentioned above, when reviewing EU State aid rules, and in particular the General Block Exemption Regulation</w:t>
            </w:r>
            <w:r w:rsidR="00F932DA" w:rsidRPr="00A470F2">
              <w:rPr>
                <w:rFonts w:ascii="Times New Roman" w:hAnsi="Times New Roman"/>
                <w:color w:val="000000"/>
                <w:sz w:val="24"/>
                <w:szCs w:val="24"/>
              </w:rPr>
              <w:t xml:space="preserve"> and its provisions on aid for access to finance</w:t>
            </w:r>
            <w:r w:rsidR="007641DC" w:rsidRPr="00A470F2">
              <w:rPr>
                <w:rFonts w:ascii="Times New Roman" w:hAnsi="Times New Roman"/>
                <w:color w:val="000000"/>
                <w:sz w:val="24"/>
                <w:szCs w:val="24"/>
              </w:rPr>
              <w:t xml:space="preserve">, the Commission will consider all relevant evidence and will take </w:t>
            </w:r>
            <w:r w:rsidR="00083727" w:rsidRPr="00A470F2">
              <w:rPr>
                <w:rFonts w:ascii="Times New Roman" w:hAnsi="Times New Roman"/>
                <w:color w:val="000000"/>
                <w:sz w:val="24"/>
                <w:szCs w:val="24"/>
              </w:rPr>
              <w:t>social-economy entities functions duly into account.</w:t>
            </w:r>
            <w:r w:rsidR="002A5C96" w:rsidRPr="00A470F2">
              <w:rPr>
                <w:rFonts w:ascii="Times New Roman" w:hAnsi="Times New Roman"/>
                <w:color w:val="000000"/>
                <w:sz w:val="24"/>
                <w:szCs w:val="24"/>
              </w:rPr>
              <w:t xml:space="preserve"> </w:t>
            </w:r>
            <w:r w:rsidR="00D2205F" w:rsidRPr="00A470F2">
              <w:rPr>
                <w:rFonts w:ascii="Times New Roman" w:hAnsi="Times New Roman"/>
                <w:color w:val="000000"/>
                <w:sz w:val="24"/>
                <w:szCs w:val="24"/>
              </w:rPr>
              <w:t xml:space="preserve">The Commission is mindful that </w:t>
            </w:r>
            <w:r w:rsidR="002A5C96" w:rsidRPr="00A470F2">
              <w:rPr>
                <w:rFonts w:ascii="Times New Roman" w:hAnsi="Times New Roman"/>
                <w:color w:val="000000"/>
                <w:sz w:val="24"/>
                <w:szCs w:val="24"/>
              </w:rPr>
              <w:t xml:space="preserve">these entities </w:t>
            </w:r>
            <w:r w:rsidR="00D2205F" w:rsidRPr="00A470F2">
              <w:rPr>
                <w:rFonts w:ascii="Times New Roman" w:hAnsi="Times New Roman"/>
                <w:color w:val="000000"/>
                <w:sz w:val="24"/>
                <w:szCs w:val="24"/>
              </w:rPr>
              <w:t>w</w:t>
            </w:r>
            <w:r w:rsidR="005F6336" w:rsidRPr="00A470F2">
              <w:rPr>
                <w:rFonts w:ascii="Times New Roman" w:hAnsi="Times New Roman"/>
                <w:color w:val="000000"/>
                <w:sz w:val="24"/>
                <w:szCs w:val="24"/>
              </w:rPr>
              <w:t>ould</w:t>
            </w:r>
            <w:r w:rsidR="00D2205F" w:rsidRPr="00A470F2">
              <w:rPr>
                <w:rFonts w:ascii="Times New Roman" w:hAnsi="Times New Roman"/>
                <w:color w:val="000000"/>
                <w:sz w:val="24"/>
                <w:szCs w:val="24"/>
              </w:rPr>
              <w:t xml:space="preserve"> </w:t>
            </w:r>
            <w:r w:rsidR="002A5C96" w:rsidRPr="00A470F2">
              <w:rPr>
                <w:rFonts w:ascii="Times New Roman" w:hAnsi="Times New Roman"/>
                <w:color w:val="000000"/>
                <w:sz w:val="24"/>
                <w:szCs w:val="24"/>
              </w:rPr>
              <w:t xml:space="preserve">benefit from a regulatory framework that acknowledges their specific role </w:t>
            </w:r>
            <w:r w:rsidR="00D2205F" w:rsidRPr="00A470F2">
              <w:rPr>
                <w:rFonts w:ascii="Times New Roman" w:hAnsi="Times New Roman"/>
                <w:color w:val="000000"/>
                <w:sz w:val="24"/>
                <w:szCs w:val="24"/>
              </w:rPr>
              <w:t xml:space="preserve">and </w:t>
            </w:r>
            <w:r w:rsidR="002A5C96" w:rsidRPr="00A470F2">
              <w:rPr>
                <w:rFonts w:ascii="Times New Roman" w:hAnsi="Times New Roman"/>
                <w:color w:val="000000"/>
                <w:sz w:val="24"/>
                <w:szCs w:val="24"/>
              </w:rPr>
              <w:t>aligns with the principles of the European Pillar of Social Rights</w:t>
            </w:r>
            <w:r w:rsidR="003D34C2">
              <w:rPr>
                <w:rStyle w:val="FootnoteReference"/>
                <w:rFonts w:ascii="Times New Roman" w:hAnsi="Times New Roman"/>
                <w:color w:val="000000"/>
                <w:sz w:val="24"/>
                <w:szCs w:val="24"/>
              </w:rPr>
              <w:footnoteReference w:id="4"/>
            </w:r>
            <w:r w:rsidR="002A5C96" w:rsidRPr="00A470F2">
              <w:rPr>
                <w:rFonts w:ascii="Times New Roman" w:hAnsi="Times New Roman"/>
                <w:color w:val="000000"/>
                <w:sz w:val="24"/>
                <w:szCs w:val="24"/>
              </w:rPr>
              <w:t>, which calls for reinforced social inclusion and equal opportunities through sustainable social investment.</w:t>
            </w:r>
          </w:p>
        </w:tc>
      </w:tr>
      <w:tr w:rsidR="001D432D" w:rsidRPr="004F6117" w14:paraId="6C424969" w14:textId="77777777" w:rsidTr="00E4463E">
        <w:trPr>
          <w:jc w:val="center"/>
        </w:trPr>
        <w:tc>
          <w:tcPr>
            <w:tcW w:w="10193" w:type="dxa"/>
          </w:tcPr>
          <w:p w14:paraId="114DAF14" w14:textId="776063D5" w:rsidR="00B84947" w:rsidRPr="00A470F2" w:rsidRDefault="00553685" w:rsidP="00E4463E">
            <w:pPr>
              <w:keepNext/>
              <w:keepLines/>
              <w:spacing w:before="120" w:after="120"/>
              <w:ind w:right="11"/>
              <w:jc w:val="both"/>
              <w:rPr>
                <w:rFonts w:ascii="Times New Roman" w:hAnsi="Times New Roman"/>
                <w:color w:val="000000"/>
                <w:sz w:val="24"/>
                <w:szCs w:val="24"/>
                <w:lang w:val="en-US"/>
              </w:rPr>
            </w:pPr>
            <w:r>
              <w:rPr>
                <w:rFonts w:ascii="Times New Roman" w:hAnsi="Times New Roman"/>
                <w:b/>
                <w:bCs/>
                <w:sz w:val="24"/>
                <w:szCs w:val="24"/>
              </w:rPr>
              <w:t xml:space="preserve">Concerning </w:t>
            </w:r>
            <w:r w:rsidR="1C532D65" w:rsidRPr="00A470F2">
              <w:rPr>
                <w:rFonts w:ascii="Times New Roman" w:hAnsi="Times New Roman"/>
                <w:b/>
                <w:bCs/>
                <w:sz w:val="24"/>
                <w:szCs w:val="24"/>
              </w:rPr>
              <w:t>point 4.1</w:t>
            </w:r>
            <w:r>
              <w:rPr>
                <w:rFonts w:ascii="Times New Roman" w:hAnsi="Times New Roman"/>
                <w:b/>
                <w:bCs/>
                <w:sz w:val="24"/>
                <w:szCs w:val="24"/>
              </w:rPr>
              <w:t>.:</w:t>
            </w:r>
            <w:r w:rsidR="295316D7" w:rsidRPr="00A470F2">
              <w:rPr>
                <w:rFonts w:ascii="Times New Roman" w:hAnsi="Times New Roman"/>
                <w:color w:val="000000" w:themeColor="text1"/>
                <w:sz w:val="24"/>
                <w:szCs w:val="24"/>
              </w:rPr>
              <w:t>The Commission has collected and assessed evidence about the effectiveness of State aid for the recruitment of disadvantaged workers. When revising the General Block Exemption Regulation, the Commission will take this evidence into account and</w:t>
            </w:r>
            <w:r w:rsidR="00143686" w:rsidRPr="00A470F2">
              <w:rPr>
                <w:rFonts w:ascii="Times New Roman" w:hAnsi="Times New Roman"/>
                <w:color w:val="000000" w:themeColor="text1"/>
                <w:sz w:val="24"/>
                <w:szCs w:val="24"/>
              </w:rPr>
              <w:t>,</w:t>
            </w:r>
            <w:r w:rsidR="295316D7" w:rsidRPr="00A470F2">
              <w:rPr>
                <w:rFonts w:ascii="Times New Roman" w:hAnsi="Times New Roman"/>
                <w:color w:val="000000" w:themeColor="text1"/>
                <w:sz w:val="24"/>
                <w:szCs w:val="24"/>
              </w:rPr>
              <w:t xml:space="preserve"> where necessary</w:t>
            </w:r>
            <w:r w:rsidR="00143686" w:rsidRPr="00A470F2">
              <w:rPr>
                <w:rFonts w:ascii="Times New Roman" w:hAnsi="Times New Roman"/>
                <w:color w:val="000000" w:themeColor="text1"/>
                <w:sz w:val="24"/>
                <w:szCs w:val="24"/>
              </w:rPr>
              <w:t>,</w:t>
            </w:r>
            <w:r w:rsidR="295316D7" w:rsidRPr="00A470F2">
              <w:rPr>
                <w:rFonts w:ascii="Times New Roman" w:hAnsi="Times New Roman"/>
                <w:color w:val="000000" w:themeColor="text1"/>
                <w:sz w:val="24"/>
                <w:szCs w:val="24"/>
              </w:rPr>
              <w:t xml:space="preserve"> update the Regulation. That revision’s timeframe is determined by the scope of the revision as well as the </w:t>
            </w:r>
            <w:r w:rsidR="00143686" w:rsidRPr="00A470F2">
              <w:rPr>
                <w:rFonts w:ascii="Times New Roman" w:hAnsi="Times New Roman"/>
                <w:color w:val="000000" w:themeColor="text1"/>
                <w:sz w:val="24"/>
                <w:szCs w:val="24"/>
              </w:rPr>
              <w:t>appli</w:t>
            </w:r>
            <w:r w:rsidR="00835805" w:rsidRPr="00A470F2">
              <w:rPr>
                <w:rFonts w:ascii="Times New Roman" w:hAnsi="Times New Roman"/>
                <w:color w:val="000000" w:themeColor="text1"/>
                <w:sz w:val="24"/>
                <w:szCs w:val="24"/>
              </w:rPr>
              <w:t>c</w:t>
            </w:r>
            <w:r w:rsidR="00143686" w:rsidRPr="00A470F2">
              <w:rPr>
                <w:rFonts w:ascii="Times New Roman" w:hAnsi="Times New Roman"/>
                <w:color w:val="000000" w:themeColor="text1"/>
                <w:sz w:val="24"/>
                <w:szCs w:val="24"/>
              </w:rPr>
              <w:t xml:space="preserve">able </w:t>
            </w:r>
            <w:r w:rsidR="295316D7" w:rsidRPr="00A470F2">
              <w:rPr>
                <w:rFonts w:ascii="Times New Roman" w:hAnsi="Times New Roman"/>
                <w:color w:val="000000" w:themeColor="text1"/>
                <w:sz w:val="24"/>
                <w:szCs w:val="24"/>
              </w:rPr>
              <w:t xml:space="preserve">procedures. </w:t>
            </w:r>
            <w:r w:rsidR="0059747D" w:rsidRPr="00A470F2">
              <w:rPr>
                <w:rFonts w:ascii="Times New Roman" w:hAnsi="Times New Roman"/>
                <w:color w:val="000000" w:themeColor="text1"/>
                <w:sz w:val="24"/>
                <w:szCs w:val="24"/>
              </w:rPr>
              <w:t xml:space="preserve">The current Regulation is set to expire on 31 December 2026. </w:t>
            </w:r>
            <w:r w:rsidR="295316D7" w:rsidRPr="00A470F2">
              <w:rPr>
                <w:rFonts w:ascii="Times New Roman" w:hAnsi="Times New Roman"/>
                <w:color w:val="000000" w:themeColor="text1"/>
                <w:sz w:val="24"/>
                <w:szCs w:val="24"/>
              </w:rPr>
              <w:t xml:space="preserve">The Commission </w:t>
            </w:r>
            <w:r w:rsidR="00734938" w:rsidRPr="00A470F2">
              <w:rPr>
                <w:rFonts w:ascii="Times New Roman" w:hAnsi="Times New Roman"/>
                <w:color w:val="000000" w:themeColor="text1"/>
                <w:sz w:val="24"/>
                <w:szCs w:val="24"/>
              </w:rPr>
              <w:t>i</w:t>
            </w:r>
            <w:r w:rsidR="295316D7" w:rsidRPr="00A470F2">
              <w:rPr>
                <w:rFonts w:ascii="Times New Roman" w:hAnsi="Times New Roman"/>
                <w:color w:val="000000" w:themeColor="text1"/>
                <w:sz w:val="24"/>
                <w:szCs w:val="24"/>
              </w:rPr>
              <w:t xml:space="preserve">s </w:t>
            </w:r>
            <w:r w:rsidR="61B8197E" w:rsidRPr="00A470F2">
              <w:rPr>
                <w:rFonts w:ascii="Times New Roman" w:hAnsi="Times New Roman"/>
                <w:color w:val="000000" w:themeColor="text1"/>
                <w:sz w:val="24"/>
                <w:szCs w:val="24"/>
              </w:rPr>
              <w:t>a</w:t>
            </w:r>
            <w:r w:rsidR="295316D7" w:rsidRPr="00A470F2">
              <w:rPr>
                <w:rFonts w:ascii="Times New Roman" w:hAnsi="Times New Roman"/>
                <w:color w:val="000000" w:themeColor="text1"/>
                <w:sz w:val="24"/>
                <w:szCs w:val="24"/>
              </w:rPr>
              <w:t xml:space="preserve">ware that certain criteria of the </w:t>
            </w:r>
            <w:r w:rsidR="004E422E" w:rsidRPr="00A470F2">
              <w:rPr>
                <w:rFonts w:ascii="Times New Roman" w:hAnsi="Times New Roman"/>
                <w:color w:val="000000" w:themeColor="text1"/>
                <w:sz w:val="24"/>
                <w:szCs w:val="24"/>
              </w:rPr>
              <w:t xml:space="preserve">Communication </w:t>
            </w:r>
            <w:r w:rsidR="295316D7" w:rsidRPr="00A470F2">
              <w:rPr>
                <w:rFonts w:ascii="Times New Roman" w:hAnsi="Times New Roman"/>
                <w:color w:val="000000" w:themeColor="text1"/>
                <w:sz w:val="24"/>
                <w:szCs w:val="24"/>
              </w:rPr>
              <w:t>on employment aid</w:t>
            </w:r>
            <w:r w:rsidR="0090125E">
              <w:rPr>
                <w:rStyle w:val="FootnoteReference"/>
                <w:rFonts w:ascii="Times New Roman" w:hAnsi="Times New Roman"/>
                <w:color w:val="000000" w:themeColor="text1"/>
                <w:sz w:val="24"/>
                <w:szCs w:val="24"/>
              </w:rPr>
              <w:footnoteReference w:id="5"/>
            </w:r>
            <w:r w:rsidR="295316D7" w:rsidRPr="00A470F2">
              <w:rPr>
                <w:rFonts w:ascii="Times New Roman" w:hAnsi="Times New Roman"/>
                <w:color w:val="000000" w:themeColor="text1"/>
                <w:sz w:val="24"/>
                <w:szCs w:val="24"/>
              </w:rPr>
              <w:t xml:space="preserve"> are </w:t>
            </w:r>
            <w:r w:rsidR="004E422E" w:rsidRPr="00A470F2">
              <w:rPr>
                <w:rFonts w:ascii="Times New Roman" w:hAnsi="Times New Roman"/>
                <w:color w:val="000000" w:themeColor="text1"/>
                <w:sz w:val="24"/>
                <w:szCs w:val="24"/>
              </w:rPr>
              <w:t>outdated</w:t>
            </w:r>
            <w:r w:rsidR="009C4F5B" w:rsidRPr="00A470F2">
              <w:rPr>
                <w:rFonts w:ascii="Times New Roman" w:hAnsi="Times New Roman"/>
                <w:color w:val="000000" w:themeColor="text1"/>
                <w:sz w:val="24"/>
                <w:szCs w:val="24"/>
              </w:rPr>
              <w:t xml:space="preserve">. The Commission </w:t>
            </w:r>
            <w:r w:rsidR="295316D7" w:rsidRPr="00A470F2">
              <w:rPr>
                <w:rFonts w:ascii="Times New Roman" w:hAnsi="Times New Roman"/>
                <w:color w:val="000000" w:themeColor="text1"/>
                <w:sz w:val="24"/>
                <w:szCs w:val="24"/>
              </w:rPr>
              <w:t xml:space="preserve">will </w:t>
            </w:r>
            <w:r w:rsidR="00A152F4" w:rsidRPr="00A470F2">
              <w:rPr>
                <w:rFonts w:ascii="Times New Roman" w:hAnsi="Times New Roman"/>
                <w:color w:val="000000" w:themeColor="text1"/>
                <w:sz w:val="24"/>
                <w:szCs w:val="24"/>
              </w:rPr>
              <w:t xml:space="preserve">thus </w:t>
            </w:r>
            <w:r w:rsidR="295316D7" w:rsidRPr="00A470F2">
              <w:rPr>
                <w:rFonts w:ascii="Times New Roman" w:hAnsi="Times New Roman"/>
                <w:color w:val="000000" w:themeColor="text1"/>
                <w:sz w:val="24"/>
                <w:szCs w:val="24"/>
              </w:rPr>
              <w:t xml:space="preserve">assess </w:t>
            </w:r>
            <w:r w:rsidR="009C4F5B" w:rsidRPr="00A470F2">
              <w:rPr>
                <w:rFonts w:ascii="Times New Roman" w:hAnsi="Times New Roman"/>
                <w:color w:val="000000" w:themeColor="text1"/>
                <w:sz w:val="24"/>
                <w:szCs w:val="24"/>
              </w:rPr>
              <w:t xml:space="preserve">how </w:t>
            </w:r>
            <w:r w:rsidR="295316D7" w:rsidRPr="00A470F2">
              <w:rPr>
                <w:rFonts w:ascii="Times New Roman" w:hAnsi="Times New Roman"/>
                <w:color w:val="000000" w:themeColor="text1"/>
                <w:sz w:val="24"/>
                <w:szCs w:val="24"/>
              </w:rPr>
              <w:t>th</w:t>
            </w:r>
            <w:r w:rsidR="00143686" w:rsidRPr="00A470F2">
              <w:rPr>
                <w:rFonts w:ascii="Times New Roman" w:hAnsi="Times New Roman"/>
                <w:color w:val="000000" w:themeColor="text1"/>
                <w:sz w:val="24"/>
                <w:szCs w:val="24"/>
              </w:rPr>
              <w:t>e</w:t>
            </w:r>
            <w:r w:rsidR="295316D7" w:rsidRPr="00A470F2">
              <w:rPr>
                <w:rFonts w:ascii="Times New Roman" w:hAnsi="Times New Roman"/>
                <w:color w:val="000000" w:themeColor="text1"/>
                <w:sz w:val="24"/>
                <w:szCs w:val="24"/>
              </w:rPr>
              <w:t xml:space="preserve"> </w:t>
            </w:r>
            <w:r w:rsidR="00143686" w:rsidRPr="00A470F2">
              <w:rPr>
                <w:rFonts w:ascii="Times New Roman" w:hAnsi="Times New Roman"/>
                <w:color w:val="000000" w:themeColor="text1"/>
                <w:sz w:val="24"/>
                <w:szCs w:val="24"/>
              </w:rPr>
              <w:t>C</w:t>
            </w:r>
            <w:r w:rsidR="295316D7" w:rsidRPr="00A470F2">
              <w:rPr>
                <w:rFonts w:ascii="Times New Roman" w:hAnsi="Times New Roman"/>
                <w:color w:val="000000" w:themeColor="text1"/>
                <w:sz w:val="24"/>
                <w:szCs w:val="24"/>
              </w:rPr>
              <w:t xml:space="preserve">ommunication </w:t>
            </w:r>
            <w:r w:rsidR="009C4F5B" w:rsidRPr="00A470F2">
              <w:rPr>
                <w:rFonts w:ascii="Times New Roman" w:hAnsi="Times New Roman"/>
                <w:color w:val="000000" w:themeColor="text1"/>
                <w:sz w:val="24"/>
                <w:szCs w:val="24"/>
              </w:rPr>
              <w:t>can be improved to ensure it is fully fit for purpose</w:t>
            </w:r>
            <w:r w:rsidR="295316D7" w:rsidRPr="00A470F2">
              <w:rPr>
                <w:rFonts w:ascii="Times New Roman" w:hAnsi="Times New Roman"/>
                <w:color w:val="000000" w:themeColor="text1"/>
                <w:sz w:val="24"/>
                <w:szCs w:val="24"/>
              </w:rPr>
              <w:t>.</w:t>
            </w:r>
          </w:p>
        </w:tc>
      </w:tr>
      <w:tr w:rsidR="001D432D" w:rsidRPr="00977120" w14:paraId="3F2D421E" w14:textId="77777777" w:rsidTr="00E4463E">
        <w:trPr>
          <w:jc w:val="center"/>
        </w:trPr>
        <w:tc>
          <w:tcPr>
            <w:tcW w:w="10193" w:type="dxa"/>
          </w:tcPr>
          <w:p w14:paraId="1D96D9C6" w14:textId="60380E56" w:rsidR="00B84947" w:rsidRPr="00A470F2" w:rsidRDefault="00553685" w:rsidP="00A470F2">
            <w:pPr>
              <w:widowControl w:val="0"/>
              <w:spacing w:before="120" w:after="120"/>
              <w:ind w:right="11"/>
              <w:jc w:val="both"/>
              <w:rPr>
                <w:rFonts w:ascii="Times New Roman" w:hAnsi="Times New Roman"/>
                <w:sz w:val="24"/>
                <w:szCs w:val="24"/>
              </w:rPr>
            </w:pPr>
            <w:r>
              <w:rPr>
                <w:rFonts w:ascii="Times New Roman" w:hAnsi="Times New Roman"/>
                <w:b/>
                <w:bCs/>
                <w:sz w:val="24"/>
                <w:szCs w:val="24"/>
              </w:rPr>
              <w:t xml:space="preserve">Concerning </w:t>
            </w:r>
            <w:r w:rsidR="00977120" w:rsidRPr="00A470F2">
              <w:rPr>
                <w:rFonts w:ascii="Times New Roman" w:hAnsi="Times New Roman"/>
                <w:b/>
                <w:sz w:val="24"/>
                <w:szCs w:val="24"/>
              </w:rPr>
              <w:t>point 4.10</w:t>
            </w:r>
            <w:r>
              <w:rPr>
                <w:rFonts w:ascii="Times New Roman" w:hAnsi="Times New Roman"/>
                <w:b/>
                <w:sz w:val="24"/>
                <w:szCs w:val="24"/>
              </w:rPr>
              <w:t>.:</w:t>
            </w:r>
            <w:r w:rsidR="2C9B5301" w:rsidRPr="00A470F2">
              <w:rPr>
                <w:rFonts w:ascii="Times New Roman" w:hAnsi="Times New Roman"/>
                <w:color w:val="000000" w:themeColor="text1"/>
                <w:sz w:val="24"/>
                <w:szCs w:val="24"/>
              </w:rPr>
              <w:t xml:space="preserve">The Commission has provided such training in three workshops with national aid-granting authorities, in </w:t>
            </w:r>
            <w:r w:rsidR="75FA6558" w:rsidRPr="00A470F2">
              <w:rPr>
                <w:rFonts w:ascii="Times New Roman" w:hAnsi="Times New Roman"/>
                <w:color w:val="000000" w:themeColor="text1"/>
                <w:sz w:val="24"/>
                <w:szCs w:val="24"/>
              </w:rPr>
              <w:t xml:space="preserve">2023. The Commission </w:t>
            </w:r>
            <w:r w:rsidR="626A26D6" w:rsidRPr="00A470F2">
              <w:rPr>
                <w:rFonts w:ascii="Times New Roman" w:hAnsi="Times New Roman"/>
                <w:color w:val="000000" w:themeColor="text1"/>
                <w:sz w:val="24"/>
                <w:szCs w:val="24"/>
              </w:rPr>
              <w:t xml:space="preserve">will </w:t>
            </w:r>
            <w:r w:rsidR="2158D769" w:rsidRPr="00A470F2">
              <w:rPr>
                <w:rFonts w:ascii="Times New Roman" w:hAnsi="Times New Roman"/>
                <w:color w:val="000000" w:themeColor="text1"/>
                <w:sz w:val="24"/>
                <w:szCs w:val="24"/>
              </w:rPr>
              <w:t xml:space="preserve">propose </w:t>
            </w:r>
            <w:r w:rsidR="626A26D6" w:rsidRPr="00A470F2">
              <w:rPr>
                <w:rFonts w:ascii="Times New Roman" w:hAnsi="Times New Roman"/>
                <w:color w:val="000000" w:themeColor="text1"/>
                <w:sz w:val="24"/>
                <w:szCs w:val="24"/>
              </w:rPr>
              <w:t>put</w:t>
            </w:r>
            <w:r w:rsidR="2DCAB2FD" w:rsidRPr="00A470F2">
              <w:rPr>
                <w:rFonts w:ascii="Times New Roman" w:hAnsi="Times New Roman"/>
                <w:color w:val="000000" w:themeColor="text1"/>
                <w:sz w:val="24"/>
                <w:szCs w:val="24"/>
              </w:rPr>
              <w:t>ting</w:t>
            </w:r>
            <w:r w:rsidR="626A26D6" w:rsidRPr="00A470F2">
              <w:rPr>
                <w:rFonts w:ascii="Times New Roman" w:hAnsi="Times New Roman"/>
                <w:color w:val="000000" w:themeColor="text1"/>
                <w:sz w:val="24"/>
                <w:szCs w:val="24"/>
              </w:rPr>
              <w:t xml:space="preserve"> the application and interpretation of </w:t>
            </w:r>
            <w:r w:rsidR="0090125E">
              <w:rPr>
                <w:rFonts w:ascii="Times New Roman" w:hAnsi="Times New Roman"/>
                <w:color w:val="000000" w:themeColor="text1"/>
                <w:sz w:val="24"/>
                <w:szCs w:val="24"/>
              </w:rPr>
              <w:t>(</w:t>
            </w:r>
            <w:r w:rsidR="626A26D6" w:rsidRPr="00A470F2">
              <w:rPr>
                <w:rFonts w:ascii="Times New Roman" w:hAnsi="Times New Roman"/>
                <w:color w:val="000000" w:themeColor="text1"/>
                <w:sz w:val="24"/>
                <w:szCs w:val="24"/>
              </w:rPr>
              <w:t>SGEI</w:t>
            </w:r>
            <w:r w:rsidR="0090125E">
              <w:rPr>
                <w:rFonts w:ascii="Times New Roman" w:hAnsi="Times New Roman"/>
                <w:color w:val="000000" w:themeColor="text1"/>
                <w:sz w:val="24"/>
                <w:szCs w:val="24"/>
              </w:rPr>
              <w:t>)</w:t>
            </w:r>
            <w:r w:rsidR="626A26D6" w:rsidRPr="00A470F2">
              <w:rPr>
                <w:rFonts w:ascii="Times New Roman" w:hAnsi="Times New Roman"/>
                <w:color w:val="000000" w:themeColor="text1"/>
                <w:sz w:val="24"/>
                <w:szCs w:val="24"/>
              </w:rPr>
              <w:t xml:space="preserve"> rules, with particular reference to health and social services, on the agenda of one of the forthcoming meetings of the State aid working group</w:t>
            </w:r>
            <w:r w:rsidR="05AC0681" w:rsidRPr="00A470F2">
              <w:rPr>
                <w:rFonts w:ascii="Times New Roman" w:hAnsi="Times New Roman"/>
                <w:color w:val="000000" w:themeColor="text1"/>
                <w:sz w:val="24"/>
                <w:szCs w:val="24"/>
              </w:rPr>
              <w:t xml:space="preserve">. </w:t>
            </w:r>
            <w:r w:rsidR="0CE87AA9" w:rsidRPr="00A470F2">
              <w:rPr>
                <w:rFonts w:ascii="Times New Roman" w:hAnsi="Times New Roman"/>
                <w:color w:val="000000" w:themeColor="text1"/>
                <w:sz w:val="24"/>
                <w:szCs w:val="24"/>
              </w:rPr>
              <w:t>That Member-State chaired working group convenes regularly and brings</w:t>
            </w:r>
            <w:r w:rsidR="004E422E" w:rsidRPr="00A470F2">
              <w:rPr>
                <w:rFonts w:ascii="Times New Roman" w:hAnsi="Times New Roman"/>
                <w:color w:val="000000" w:themeColor="text1"/>
                <w:sz w:val="24"/>
                <w:szCs w:val="24"/>
              </w:rPr>
              <w:t xml:space="preserve"> </w:t>
            </w:r>
            <w:r w:rsidR="626A26D6" w:rsidRPr="00A470F2">
              <w:rPr>
                <w:rFonts w:ascii="Times New Roman" w:hAnsi="Times New Roman"/>
                <w:color w:val="000000" w:themeColor="text1"/>
                <w:sz w:val="24"/>
                <w:szCs w:val="24"/>
              </w:rPr>
              <w:t xml:space="preserve">together </w:t>
            </w:r>
            <w:r w:rsidR="351D7FF9" w:rsidRPr="00A470F2">
              <w:rPr>
                <w:rFonts w:ascii="Times New Roman" w:hAnsi="Times New Roman"/>
                <w:color w:val="000000" w:themeColor="text1"/>
                <w:sz w:val="24"/>
                <w:szCs w:val="24"/>
              </w:rPr>
              <w:t xml:space="preserve">27 </w:t>
            </w:r>
            <w:r w:rsidR="626A26D6" w:rsidRPr="00A470F2">
              <w:rPr>
                <w:rFonts w:ascii="Times New Roman" w:hAnsi="Times New Roman"/>
                <w:color w:val="000000" w:themeColor="text1"/>
                <w:sz w:val="24"/>
                <w:szCs w:val="24"/>
              </w:rPr>
              <w:t xml:space="preserve">Member States, the </w:t>
            </w:r>
            <w:r w:rsidR="0090125E" w:rsidRPr="0090125E">
              <w:rPr>
                <w:rFonts w:ascii="Times New Roman" w:hAnsi="Times New Roman"/>
                <w:color w:val="000000" w:themeColor="text1"/>
                <w:sz w:val="24"/>
                <w:szCs w:val="24"/>
              </w:rPr>
              <w:t xml:space="preserve">European Free Trade Association </w:t>
            </w:r>
            <w:r w:rsidR="0090125E">
              <w:rPr>
                <w:rFonts w:ascii="Times New Roman" w:hAnsi="Times New Roman"/>
                <w:color w:val="000000" w:themeColor="text1"/>
                <w:sz w:val="24"/>
                <w:szCs w:val="24"/>
              </w:rPr>
              <w:t>(</w:t>
            </w:r>
            <w:r w:rsidR="626A26D6" w:rsidRPr="00A470F2">
              <w:rPr>
                <w:rFonts w:ascii="Times New Roman" w:hAnsi="Times New Roman"/>
                <w:color w:val="000000" w:themeColor="text1"/>
                <w:sz w:val="24"/>
                <w:szCs w:val="24"/>
              </w:rPr>
              <w:t>EFTA</w:t>
            </w:r>
            <w:r w:rsidR="0090125E">
              <w:rPr>
                <w:rFonts w:ascii="Times New Roman" w:hAnsi="Times New Roman"/>
                <w:color w:val="000000" w:themeColor="text1"/>
                <w:sz w:val="24"/>
                <w:szCs w:val="24"/>
              </w:rPr>
              <w:t>)</w:t>
            </w:r>
            <w:r w:rsidR="626A26D6" w:rsidRPr="00A470F2">
              <w:rPr>
                <w:rFonts w:ascii="Times New Roman" w:hAnsi="Times New Roman"/>
                <w:color w:val="000000" w:themeColor="text1"/>
                <w:sz w:val="24"/>
                <w:szCs w:val="24"/>
              </w:rPr>
              <w:t xml:space="preserve"> States, the EFTA Surveillance Authority and the Commission</w:t>
            </w:r>
            <w:r w:rsidR="00734938" w:rsidRPr="00A470F2">
              <w:rPr>
                <w:rFonts w:ascii="Times New Roman" w:hAnsi="Times New Roman"/>
                <w:color w:val="000000" w:themeColor="text1"/>
                <w:sz w:val="24"/>
                <w:szCs w:val="24"/>
              </w:rPr>
              <w:t>;</w:t>
            </w:r>
            <w:r w:rsidR="00380DDD" w:rsidRPr="00A470F2">
              <w:rPr>
                <w:rFonts w:ascii="Times New Roman" w:hAnsi="Times New Roman"/>
                <w:color w:val="000000" w:themeColor="text1"/>
                <w:sz w:val="24"/>
                <w:szCs w:val="24"/>
              </w:rPr>
              <w:t xml:space="preserve"> </w:t>
            </w:r>
            <w:r w:rsidR="00734938" w:rsidRPr="00A470F2">
              <w:rPr>
                <w:rFonts w:ascii="Times New Roman" w:hAnsi="Times New Roman"/>
                <w:color w:val="000000" w:themeColor="text1"/>
                <w:sz w:val="24"/>
                <w:szCs w:val="24"/>
              </w:rPr>
              <w:t>i</w:t>
            </w:r>
            <w:r w:rsidR="626A26D6" w:rsidRPr="00A470F2">
              <w:rPr>
                <w:rFonts w:ascii="Times New Roman" w:hAnsi="Times New Roman"/>
                <w:color w:val="000000" w:themeColor="text1"/>
                <w:sz w:val="24"/>
                <w:szCs w:val="24"/>
              </w:rPr>
              <w:t>ts purpose is to help the Member States implement State aid rules</w:t>
            </w:r>
            <w:r w:rsidR="626A26D6" w:rsidRPr="00A470F2">
              <w:rPr>
                <w:rFonts w:ascii="Times New Roman" w:hAnsi="Times New Roman"/>
                <w:color w:val="FF0000"/>
                <w:sz w:val="24"/>
                <w:szCs w:val="24"/>
              </w:rPr>
              <w:t>.</w:t>
            </w:r>
          </w:p>
        </w:tc>
      </w:tr>
      <w:tr w:rsidR="001D432D" w:rsidRPr="00977120" w14:paraId="5045D6BD" w14:textId="77777777" w:rsidTr="00E4463E">
        <w:trPr>
          <w:jc w:val="center"/>
        </w:trPr>
        <w:tc>
          <w:tcPr>
            <w:tcW w:w="10193" w:type="dxa"/>
          </w:tcPr>
          <w:p w14:paraId="45F12C85" w14:textId="6DFC2132" w:rsidR="00B84947" w:rsidRPr="00A470F2" w:rsidRDefault="00553685" w:rsidP="00A470F2">
            <w:pPr>
              <w:widowControl w:val="0"/>
              <w:spacing w:before="120" w:after="120"/>
              <w:ind w:right="11"/>
              <w:jc w:val="both"/>
              <w:rPr>
                <w:rFonts w:ascii="Times New Roman" w:hAnsi="Times New Roman"/>
                <w:color w:val="000000"/>
                <w:sz w:val="24"/>
                <w:szCs w:val="24"/>
                <w:lang w:val="en-US"/>
              </w:rPr>
            </w:pPr>
            <w:r>
              <w:rPr>
                <w:rFonts w:ascii="Times New Roman" w:hAnsi="Times New Roman"/>
                <w:b/>
                <w:bCs/>
                <w:sz w:val="24"/>
                <w:szCs w:val="24"/>
              </w:rPr>
              <w:t>Concerning</w:t>
            </w:r>
            <w:r w:rsidR="00CD46D9" w:rsidRPr="00A470F2">
              <w:rPr>
                <w:rFonts w:ascii="Times New Roman" w:hAnsi="Times New Roman"/>
                <w:b/>
                <w:bCs/>
                <w:sz w:val="24"/>
                <w:szCs w:val="24"/>
              </w:rPr>
              <w:t xml:space="preserve"> point 1.3</w:t>
            </w:r>
            <w:r>
              <w:rPr>
                <w:rFonts w:ascii="Times New Roman" w:hAnsi="Times New Roman"/>
                <w:b/>
                <w:bCs/>
                <w:sz w:val="24"/>
                <w:szCs w:val="24"/>
              </w:rPr>
              <w:t>.:</w:t>
            </w:r>
            <w:r w:rsidR="00CD46D9" w:rsidRPr="00A470F2">
              <w:rPr>
                <w:rFonts w:ascii="Times New Roman" w:hAnsi="Times New Roman"/>
                <w:b/>
                <w:bCs/>
                <w:sz w:val="24"/>
                <w:szCs w:val="24"/>
              </w:rPr>
              <w:t xml:space="preserve"> </w:t>
            </w:r>
            <w:r w:rsidR="008043BF" w:rsidRPr="00A470F2">
              <w:rPr>
                <w:rFonts w:ascii="Times New Roman" w:hAnsi="Times New Roman"/>
                <w:color w:val="000000" w:themeColor="text1"/>
                <w:sz w:val="24"/>
                <w:szCs w:val="24"/>
              </w:rPr>
              <w:t xml:space="preserve">The Commission </w:t>
            </w:r>
            <w:r w:rsidR="00745A0A" w:rsidRPr="00A470F2">
              <w:rPr>
                <w:rFonts w:ascii="Times New Roman" w:hAnsi="Times New Roman"/>
                <w:color w:val="000000" w:themeColor="text1"/>
                <w:sz w:val="24"/>
                <w:szCs w:val="24"/>
              </w:rPr>
              <w:t xml:space="preserve">already provides guidance </w:t>
            </w:r>
            <w:r w:rsidR="00A477A5" w:rsidRPr="00A470F2">
              <w:rPr>
                <w:rFonts w:ascii="Times New Roman" w:hAnsi="Times New Roman"/>
                <w:color w:val="000000" w:themeColor="text1"/>
                <w:sz w:val="24"/>
                <w:szCs w:val="24"/>
              </w:rPr>
              <w:t xml:space="preserve">to the Member States </w:t>
            </w:r>
            <w:r w:rsidR="00745A0A" w:rsidRPr="00A470F2">
              <w:rPr>
                <w:rFonts w:ascii="Times New Roman" w:hAnsi="Times New Roman"/>
                <w:color w:val="000000" w:themeColor="text1"/>
                <w:sz w:val="24"/>
                <w:szCs w:val="24"/>
              </w:rPr>
              <w:t>on these</w:t>
            </w:r>
            <w:r w:rsidR="00A477A5" w:rsidRPr="00A470F2">
              <w:rPr>
                <w:rFonts w:ascii="Times New Roman" w:hAnsi="Times New Roman"/>
                <w:color w:val="000000" w:themeColor="text1"/>
                <w:sz w:val="24"/>
                <w:szCs w:val="24"/>
              </w:rPr>
              <w:t xml:space="preserve"> concepts</w:t>
            </w:r>
            <w:r w:rsidR="00257698">
              <w:rPr>
                <w:rStyle w:val="FootnoteReference"/>
                <w:rFonts w:ascii="Times New Roman" w:hAnsi="Times New Roman"/>
                <w:color w:val="000000" w:themeColor="text1"/>
                <w:sz w:val="24"/>
                <w:szCs w:val="24"/>
              </w:rPr>
              <w:footnoteReference w:id="6"/>
            </w:r>
            <w:r w:rsidR="00A477A5" w:rsidRPr="00A470F2">
              <w:rPr>
                <w:rFonts w:ascii="Times New Roman" w:hAnsi="Times New Roman"/>
                <w:color w:val="000000" w:themeColor="text1"/>
                <w:sz w:val="24"/>
                <w:szCs w:val="24"/>
              </w:rPr>
              <w:t xml:space="preserve">. </w:t>
            </w:r>
            <w:r w:rsidR="626A26D6" w:rsidRPr="00A470F2">
              <w:rPr>
                <w:rFonts w:ascii="Times New Roman" w:hAnsi="Times New Roman"/>
                <w:color w:val="000000" w:themeColor="text1"/>
                <w:sz w:val="24"/>
                <w:szCs w:val="24"/>
              </w:rPr>
              <w:t>‘Economic activity’ and ‘cross-border relevance’ are constitutive criteria of the notion of State aid, as referred to in Article 107(1) of the Treaty on the Functioning of the European Union and as interpreted by the Union Courts</w:t>
            </w:r>
            <w:r w:rsidR="3176B7CD" w:rsidRPr="00A470F2">
              <w:rPr>
                <w:rFonts w:ascii="Times New Roman" w:hAnsi="Times New Roman"/>
                <w:color w:val="000000" w:themeColor="text1"/>
                <w:sz w:val="24"/>
                <w:szCs w:val="24"/>
              </w:rPr>
              <w:t xml:space="preserve">. The </w:t>
            </w:r>
            <w:r w:rsidR="28B23EDB" w:rsidRPr="00A470F2">
              <w:rPr>
                <w:rFonts w:ascii="Times New Roman" w:eastAsia="Times New Roman" w:hAnsi="Times New Roman"/>
                <w:sz w:val="24"/>
                <w:szCs w:val="24"/>
              </w:rPr>
              <w:t>Commission Notice on the notion of State aid</w:t>
            </w:r>
            <w:r w:rsidR="00A152F4" w:rsidRPr="00A470F2">
              <w:rPr>
                <w:rStyle w:val="FootnoteReference"/>
                <w:rFonts w:ascii="Times New Roman" w:eastAsia="Times New Roman" w:hAnsi="Times New Roman"/>
                <w:sz w:val="24"/>
                <w:szCs w:val="24"/>
              </w:rPr>
              <w:footnoteReference w:id="7"/>
            </w:r>
            <w:r w:rsidR="70444116" w:rsidRPr="00A470F2">
              <w:rPr>
                <w:rFonts w:ascii="Times New Roman" w:eastAsia="Times New Roman" w:hAnsi="Times New Roman"/>
                <w:sz w:val="24"/>
                <w:szCs w:val="24"/>
              </w:rPr>
              <w:t xml:space="preserve"> sets out in </w:t>
            </w:r>
            <w:r w:rsidR="70444116" w:rsidRPr="00C629F2">
              <w:t>a</w:t>
            </w:r>
            <w:r w:rsidR="00C629F2">
              <w:t> </w:t>
            </w:r>
            <w:r w:rsidR="70444116" w:rsidRPr="00C629F2">
              <w:t>comprehensive</w:t>
            </w:r>
            <w:r w:rsidR="70444116" w:rsidRPr="00A470F2">
              <w:rPr>
                <w:rFonts w:ascii="Times New Roman" w:eastAsia="Times New Roman" w:hAnsi="Times New Roman"/>
                <w:sz w:val="24"/>
                <w:szCs w:val="24"/>
              </w:rPr>
              <w:t xml:space="preserve"> manner the case law to interpret the conditions for finding State aid</w:t>
            </w:r>
            <w:r w:rsidR="746D644A" w:rsidRPr="00A470F2">
              <w:rPr>
                <w:rFonts w:ascii="Times New Roman" w:eastAsia="Times New Roman" w:hAnsi="Times New Roman"/>
                <w:sz w:val="24"/>
                <w:szCs w:val="24"/>
              </w:rPr>
              <w:t xml:space="preserve"> and is the </w:t>
            </w:r>
            <w:r w:rsidR="00C60240" w:rsidRPr="00A470F2">
              <w:rPr>
                <w:rFonts w:ascii="Times New Roman" w:eastAsia="Times New Roman" w:hAnsi="Times New Roman"/>
                <w:sz w:val="24"/>
                <w:szCs w:val="24"/>
              </w:rPr>
              <w:t>relevant</w:t>
            </w:r>
            <w:r w:rsidR="746D644A" w:rsidRPr="00A470F2">
              <w:rPr>
                <w:rFonts w:ascii="Times New Roman" w:eastAsia="Times New Roman" w:hAnsi="Times New Roman"/>
                <w:sz w:val="24"/>
                <w:szCs w:val="24"/>
              </w:rPr>
              <w:t xml:space="preserve"> guidance document for Member States</w:t>
            </w:r>
            <w:r w:rsidR="626A26D6" w:rsidRPr="00A470F2">
              <w:rPr>
                <w:rFonts w:ascii="Times New Roman" w:hAnsi="Times New Roman"/>
                <w:color w:val="000000" w:themeColor="text1"/>
                <w:sz w:val="24"/>
                <w:szCs w:val="24"/>
              </w:rPr>
              <w:t>.</w:t>
            </w:r>
            <w:r w:rsidR="1A7DAEE1" w:rsidRPr="00A470F2">
              <w:rPr>
                <w:rFonts w:ascii="Times New Roman" w:hAnsi="Times New Roman"/>
                <w:color w:val="000000" w:themeColor="text1"/>
                <w:sz w:val="24"/>
                <w:szCs w:val="24"/>
              </w:rPr>
              <w:t xml:space="preserve"> </w:t>
            </w:r>
            <w:r w:rsidR="3AFD8293" w:rsidRPr="00A470F2">
              <w:rPr>
                <w:rFonts w:ascii="Times New Roman" w:hAnsi="Times New Roman"/>
                <w:color w:val="000000" w:themeColor="text1"/>
                <w:sz w:val="24"/>
                <w:szCs w:val="24"/>
              </w:rPr>
              <w:t>The SGEI Communication</w:t>
            </w:r>
            <w:r>
              <w:rPr>
                <w:rStyle w:val="FootnoteReference"/>
                <w:rFonts w:ascii="Times New Roman" w:hAnsi="Times New Roman"/>
                <w:color w:val="000000" w:themeColor="text1"/>
                <w:sz w:val="24"/>
                <w:szCs w:val="24"/>
              </w:rPr>
              <w:footnoteReference w:id="8"/>
            </w:r>
            <w:r w:rsidR="3AFD8293" w:rsidRPr="00A470F2">
              <w:rPr>
                <w:rFonts w:ascii="Times New Roman" w:hAnsi="Times New Roman"/>
                <w:color w:val="000000" w:themeColor="text1"/>
                <w:sz w:val="24"/>
                <w:szCs w:val="24"/>
              </w:rPr>
              <w:t xml:space="preserve"> clarifies key concepts related to State aid for SGEIs</w:t>
            </w:r>
            <w:r w:rsidR="69D8936D" w:rsidRPr="00A470F2">
              <w:rPr>
                <w:rFonts w:ascii="Times New Roman" w:hAnsi="Times New Roman"/>
                <w:color w:val="000000" w:themeColor="text1"/>
                <w:sz w:val="24"/>
                <w:szCs w:val="24"/>
              </w:rPr>
              <w:t xml:space="preserve">, such as </w:t>
            </w:r>
            <w:r w:rsidR="00380DDD" w:rsidRPr="00A470F2">
              <w:rPr>
                <w:rFonts w:ascii="Times New Roman" w:hAnsi="Times New Roman"/>
                <w:color w:val="000000" w:themeColor="text1"/>
                <w:sz w:val="24"/>
                <w:szCs w:val="24"/>
              </w:rPr>
              <w:t xml:space="preserve">the notions of </w:t>
            </w:r>
            <w:r w:rsidR="69D8936D" w:rsidRPr="00A470F2">
              <w:rPr>
                <w:rFonts w:ascii="Times New Roman" w:hAnsi="Times New Roman"/>
                <w:color w:val="000000" w:themeColor="text1"/>
                <w:sz w:val="24"/>
                <w:szCs w:val="24"/>
              </w:rPr>
              <w:t>undertaking, economic activity and effect on trade</w:t>
            </w:r>
            <w:r w:rsidR="3AFD8293" w:rsidRPr="00A470F2">
              <w:rPr>
                <w:rFonts w:ascii="Times New Roman" w:hAnsi="Times New Roman"/>
                <w:color w:val="000000" w:themeColor="text1"/>
                <w:sz w:val="24"/>
                <w:szCs w:val="24"/>
              </w:rPr>
              <w:t>.</w:t>
            </w:r>
            <w:r w:rsidR="626A26D6" w:rsidRPr="00A470F2">
              <w:rPr>
                <w:rFonts w:ascii="Times New Roman" w:hAnsi="Times New Roman"/>
                <w:color w:val="000000" w:themeColor="text1"/>
                <w:sz w:val="24"/>
                <w:szCs w:val="24"/>
              </w:rPr>
              <w:t xml:space="preserve"> </w:t>
            </w:r>
            <w:r w:rsidR="00380DDD" w:rsidRPr="00A470F2">
              <w:rPr>
                <w:rFonts w:ascii="Times New Roman" w:hAnsi="Times New Roman"/>
                <w:color w:val="000000" w:themeColor="text1"/>
                <w:sz w:val="24"/>
                <w:szCs w:val="24"/>
              </w:rPr>
              <w:t>National</w:t>
            </w:r>
            <w:r w:rsidR="626A26D6" w:rsidRPr="00A470F2">
              <w:rPr>
                <w:rFonts w:ascii="Times New Roman" w:hAnsi="Times New Roman"/>
                <w:color w:val="000000" w:themeColor="text1"/>
                <w:sz w:val="24"/>
                <w:szCs w:val="24"/>
              </w:rPr>
              <w:t xml:space="preserve"> authorities also can engage with the Commission, through the State aid e-Wiki tool, where authorities can ask interpretation questions. Moreover, if questions arise </w:t>
            </w:r>
            <w:r w:rsidR="7756898A" w:rsidRPr="00A470F2">
              <w:rPr>
                <w:rFonts w:ascii="Times New Roman" w:hAnsi="Times New Roman"/>
                <w:color w:val="000000" w:themeColor="text1"/>
                <w:sz w:val="24"/>
                <w:szCs w:val="24"/>
              </w:rPr>
              <w:t>regarding</w:t>
            </w:r>
            <w:r w:rsidR="626A26D6" w:rsidRPr="00A470F2">
              <w:rPr>
                <w:rFonts w:ascii="Times New Roman" w:hAnsi="Times New Roman"/>
                <w:color w:val="000000" w:themeColor="text1"/>
                <w:sz w:val="24"/>
                <w:szCs w:val="24"/>
              </w:rPr>
              <w:t xml:space="preserve"> a specific measure where the Member State seeks legal certainty on the presence of aid, the Member State can </w:t>
            </w:r>
            <w:r w:rsidR="61DE42AF" w:rsidRPr="00A470F2">
              <w:rPr>
                <w:rFonts w:ascii="Times New Roman" w:hAnsi="Times New Roman"/>
                <w:color w:val="000000" w:themeColor="text1"/>
                <w:sz w:val="24"/>
                <w:szCs w:val="24"/>
              </w:rPr>
              <w:t>contact the services of D</w:t>
            </w:r>
            <w:r w:rsidR="00C73DB4" w:rsidRPr="00A470F2">
              <w:rPr>
                <w:rFonts w:ascii="Times New Roman" w:hAnsi="Times New Roman"/>
                <w:color w:val="000000" w:themeColor="text1"/>
                <w:sz w:val="24"/>
                <w:szCs w:val="24"/>
              </w:rPr>
              <w:t xml:space="preserve">irectorate </w:t>
            </w:r>
            <w:r w:rsidR="61DE42AF" w:rsidRPr="00A470F2">
              <w:rPr>
                <w:rFonts w:ascii="Times New Roman" w:hAnsi="Times New Roman"/>
                <w:color w:val="000000" w:themeColor="text1"/>
                <w:sz w:val="24"/>
                <w:szCs w:val="24"/>
              </w:rPr>
              <w:t>G</w:t>
            </w:r>
            <w:r w:rsidR="00C73DB4" w:rsidRPr="00A470F2">
              <w:rPr>
                <w:rFonts w:ascii="Times New Roman" w:hAnsi="Times New Roman"/>
                <w:color w:val="000000" w:themeColor="text1"/>
                <w:sz w:val="24"/>
                <w:szCs w:val="24"/>
              </w:rPr>
              <w:t>eneral</w:t>
            </w:r>
            <w:r w:rsidR="61DE42AF" w:rsidRPr="00A470F2">
              <w:rPr>
                <w:rFonts w:ascii="Times New Roman" w:hAnsi="Times New Roman"/>
                <w:color w:val="000000" w:themeColor="text1"/>
                <w:sz w:val="24"/>
                <w:szCs w:val="24"/>
              </w:rPr>
              <w:t xml:space="preserve"> </w:t>
            </w:r>
            <w:r w:rsidR="00F21110" w:rsidRPr="00A470F2">
              <w:rPr>
                <w:rFonts w:ascii="Times New Roman" w:hAnsi="Times New Roman"/>
                <w:color w:val="000000" w:themeColor="text1"/>
                <w:sz w:val="24"/>
                <w:szCs w:val="24"/>
              </w:rPr>
              <w:t>for</w:t>
            </w:r>
            <w:r w:rsidR="00C73DB4" w:rsidRPr="00A470F2">
              <w:rPr>
                <w:rFonts w:ascii="Times New Roman" w:hAnsi="Times New Roman"/>
                <w:color w:val="000000" w:themeColor="text1"/>
                <w:sz w:val="24"/>
                <w:szCs w:val="24"/>
              </w:rPr>
              <w:t xml:space="preserve"> </w:t>
            </w:r>
            <w:r w:rsidR="61DE42AF" w:rsidRPr="00A470F2">
              <w:rPr>
                <w:rFonts w:ascii="Times New Roman" w:hAnsi="Times New Roman"/>
                <w:color w:val="000000" w:themeColor="text1"/>
                <w:sz w:val="24"/>
                <w:szCs w:val="24"/>
              </w:rPr>
              <w:t>Competition in the context of e.g. a pre-notification procedure</w:t>
            </w:r>
            <w:r w:rsidR="626A26D6" w:rsidRPr="00A470F2">
              <w:rPr>
                <w:rFonts w:ascii="Times New Roman" w:hAnsi="Times New Roman"/>
                <w:color w:val="000000" w:themeColor="text1"/>
                <w:sz w:val="24"/>
                <w:szCs w:val="24"/>
              </w:rPr>
              <w:t>.</w:t>
            </w:r>
          </w:p>
        </w:tc>
      </w:tr>
      <w:tr w:rsidR="00B2603C" w:rsidRPr="00977120" w14:paraId="70324D87" w14:textId="77777777" w:rsidTr="00E4463E">
        <w:trPr>
          <w:jc w:val="center"/>
        </w:trPr>
        <w:tc>
          <w:tcPr>
            <w:tcW w:w="10193" w:type="dxa"/>
          </w:tcPr>
          <w:p w14:paraId="6204E0D6" w14:textId="5A363CA3" w:rsidR="00B84947" w:rsidRPr="00A470F2" w:rsidRDefault="00553685" w:rsidP="00A470F2">
            <w:pPr>
              <w:widowControl w:val="0"/>
              <w:spacing w:before="120" w:after="120"/>
              <w:ind w:right="11"/>
              <w:jc w:val="both"/>
              <w:rPr>
                <w:rFonts w:ascii="Times New Roman" w:hAnsi="Times New Roman"/>
                <w:color w:val="000000"/>
                <w:sz w:val="24"/>
                <w:szCs w:val="24"/>
                <w:lang w:val="en-US"/>
              </w:rPr>
            </w:pPr>
            <w:r>
              <w:rPr>
                <w:rFonts w:ascii="Times New Roman" w:hAnsi="Times New Roman"/>
                <w:b/>
                <w:bCs/>
                <w:sz w:val="24"/>
                <w:szCs w:val="24"/>
              </w:rPr>
              <w:t>Concerning</w:t>
            </w:r>
            <w:r w:rsidR="00B2603C" w:rsidRPr="00A470F2">
              <w:rPr>
                <w:rFonts w:ascii="Times New Roman" w:hAnsi="Times New Roman"/>
                <w:b/>
                <w:sz w:val="24"/>
                <w:szCs w:val="24"/>
              </w:rPr>
              <w:t xml:space="preserve"> point 4.12</w:t>
            </w:r>
            <w:r w:rsidR="00257698">
              <w:rPr>
                <w:rFonts w:ascii="Times New Roman" w:hAnsi="Times New Roman"/>
                <w:b/>
                <w:sz w:val="24"/>
                <w:szCs w:val="24"/>
              </w:rPr>
              <w:t>.:</w:t>
            </w:r>
            <w:r w:rsidR="00233A0E" w:rsidRPr="00A470F2">
              <w:rPr>
                <w:rFonts w:ascii="Times New Roman" w:hAnsi="Times New Roman"/>
                <w:color w:val="000000"/>
                <w:sz w:val="24"/>
                <w:szCs w:val="24"/>
              </w:rPr>
              <w:t xml:space="preserve">The Commission agrees that State aid rules applicable to compensation for the provision of SGEIs are </w:t>
            </w:r>
            <w:r w:rsidR="004C2CCF" w:rsidRPr="00A470F2">
              <w:rPr>
                <w:rFonts w:ascii="Times New Roman" w:hAnsi="Times New Roman"/>
                <w:color w:val="000000"/>
                <w:sz w:val="24"/>
                <w:szCs w:val="24"/>
              </w:rPr>
              <w:t xml:space="preserve">part of the legal framework that is </w:t>
            </w:r>
            <w:r w:rsidR="00233A0E" w:rsidRPr="00A470F2">
              <w:rPr>
                <w:rFonts w:ascii="Times New Roman" w:hAnsi="Times New Roman"/>
                <w:color w:val="000000"/>
                <w:sz w:val="24"/>
                <w:szCs w:val="24"/>
              </w:rPr>
              <w:t xml:space="preserve">relevant for </w:t>
            </w:r>
            <w:r w:rsidR="004C2CCF" w:rsidRPr="00A470F2">
              <w:rPr>
                <w:rFonts w:ascii="Times New Roman" w:hAnsi="Times New Roman"/>
                <w:color w:val="000000"/>
                <w:sz w:val="24"/>
                <w:szCs w:val="24"/>
              </w:rPr>
              <w:t>social and affordable housing. The mission letter of E</w:t>
            </w:r>
            <w:r w:rsidR="00041876" w:rsidRPr="00A470F2">
              <w:rPr>
                <w:rFonts w:ascii="Times New Roman" w:hAnsi="Times New Roman"/>
                <w:color w:val="000000"/>
                <w:sz w:val="24"/>
                <w:szCs w:val="24"/>
              </w:rPr>
              <w:t xml:space="preserve">xecutive </w:t>
            </w:r>
            <w:r w:rsidR="004C2CCF" w:rsidRPr="00A470F2">
              <w:rPr>
                <w:rFonts w:ascii="Times New Roman" w:hAnsi="Times New Roman"/>
                <w:color w:val="000000"/>
                <w:sz w:val="24"/>
                <w:szCs w:val="24"/>
              </w:rPr>
              <w:t>V</w:t>
            </w:r>
            <w:r w:rsidR="00041876" w:rsidRPr="00A470F2">
              <w:rPr>
                <w:rFonts w:ascii="Times New Roman" w:hAnsi="Times New Roman"/>
                <w:color w:val="000000"/>
                <w:sz w:val="24"/>
                <w:szCs w:val="24"/>
              </w:rPr>
              <w:t>ice</w:t>
            </w:r>
            <w:r w:rsidR="00543995" w:rsidRPr="00A470F2">
              <w:rPr>
                <w:rFonts w:ascii="Times New Roman" w:hAnsi="Times New Roman"/>
                <w:color w:val="000000"/>
                <w:sz w:val="24"/>
                <w:szCs w:val="24"/>
              </w:rPr>
              <w:t>-</w:t>
            </w:r>
            <w:r w:rsidR="004C2CCF" w:rsidRPr="00A470F2">
              <w:rPr>
                <w:rFonts w:ascii="Times New Roman" w:hAnsi="Times New Roman"/>
                <w:color w:val="000000"/>
                <w:sz w:val="24"/>
                <w:szCs w:val="24"/>
              </w:rPr>
              <w:t>P</w:t>
            </w:r>
            <w:r w:rsidR="00543995" w:rsidRPr="00A470F2">
              <w:rPr>
                <w:rFonts w:ascii="Times New Roman" w:hAnsi="Times New Roman"/>
                <w:color w:val="000000"/>
                <w:sz w:val="24"/>
                <w:szCs w:val="24"/>
              </w:rPr>
              <w:t>resident</w:t>
            </w:r>
            <w:r w:rsidR="004C2CCF" w:rsidRPr="00A470F2">
              <w:rPr>
                <w:rFonts w:ascii="Times New Roman" w:hAnsi="Times New Roman"/>
                <w:color w:val="000000"/>
                <w:sz w:val="24"/>
                <w:szCs w:val="24"/>
              </w:rPr>
              <w:t xml:space="preserve"> Ribera</w:t>
            </w:r>
            <w:r w:rsidR="00A34143" w:rsidRPr="00A470F2">
              <w:rPr>
                <w:rFonts w:ascii="Times New Roman" w:hAnsi="Times New Roman"/>
                <w:color w:val="000000"/>
                <w:sz w:val="24"/>
                <w:szCs w:val="24"/>
              </w:rPr>
              <w:t>,</w:t>
            </w:r>
            <w:r w:rsidR="004C2CCF" w:rsidRPr="00A470F2">
              <w:rPr>
                <w:rFonts w:ascii="Times New Roman" w:hAnsi="Times New Roman"/>
                <w:color w:val="000000"/>
                <w:sz w:val="24"/>
                <w:szCs w:val="24"/>
              </w:rPr>
              <w:t xml:space="preserve"> states: </w:t>
            </w:r>
            <w:r w:rsidR="00C73DB4" w:rsidRPr="00A470F2">
              <w:rPr>
                <w:rFonts w:ascii="Times New Roman" w:hAnsi="Times New Roman"/>
                <w:color w:val="000000"/>
                <w:sz w:val="24"/>
                <w:szCs w:val="24"/>
              </w:rPr>
              <w:t>‘</w:t>
            </w:r>
            <w:r w:rsidR="004C2CCF" w:rsidRPr="00A470F2">
              <w:rPr>
                <w:rFonts w:ascii="Times New Roman" w:hAnsi="Times New Roman"/>
                <w:i/>
                <w:iCs/>
                <w:color w:val="000000"/>
                <w:sz w:val="24"/>
                <w:szCs w:val="24"/>
              </w:rPr>
              <w:t>You will propose to revise State aid rules to enable housing support measures, notably for energy-efficient and social housing</w:t>
            </w:r>
            <w:r w:rsidR="00C73DB4" w:rsidRPr="00A470F2">
              <w:rPr>
                <w:rFonts w:ascii="Times New Roman" w:hAnsi="Times New Roman"/>
                <w:color w:val="000000"/>
                <w:sz w:val="24"/>
                <w:szCs w:val="24"/>
              </w:rPr>
              <w:t>’</w:t>
            </w:r>
            <w:r w:rsidR="007B5EA9" w:rsidRPr="00A470F2">
              <w:rPr>
                <w:rFonts w:ascii="Times New Roman" w:hAnsi="Times New Roman"/>
                <w:color w:val="000000"/>
                <w:sz w:val="24"/>
                <w:szCs w:val="24"/>
              </w:rPr>
              <w:t xml:space="preserve">. </w:t>
            </w:r>
            <w:r w:rsidR="004C2CCF" w:rsidRPr="00A470F2">
              <w:rPr>
                <w:rFonts w:ascii="Times New Roman" w:hAnsi="Times New Roman"/>
                <w:color w:val="000000"/>
                <w:sz w:val="24"/>
                <w:szCs w:val="24"/>
              </w:rPr>
              <w:t>Commissioner Jørgensen will support E</w:t>
            </w:r>
            <w:r w:rsidRPr="00A470F2">
              <w:rPr>
                <w:rFonts w:ascii="Times New Roman" w:hAnsi="Times New Roman"/>
                <w:color w:val="000000"/>
                <w:sz w:val="24"/>
                <w:szCs w:val="24"/>
              </w:rPr>
              <w:t>xecutive</w:t>
            </w:r>
            <w:r>
              <w:rPr>
                <w:rFonts w:ascii="Times New Roman" w:hAnsi="Times New Roman"/>
                <w:color w:val="000000"/>
                <w:sz w:val="24"/>
                <w:szCs w:val="24"/>
              </w:rPr>
              <w:t xml:space="preserve"> </w:t>
            </w:r>
            <w:r w:rsidR="004C2CCF" w:rsidRPr="00A470F2">
              <w:rPr>
                <w:rFonts w:ascii="Times New Roman" w:hAnsi="Times New Roman"/>
                <w:color w:val="000000"/>
                <w:sz w:val="24"/>
                <w:szCs w:val="24"/>
              </w:rPr>
              <w:t>V</w:t>
            </w:r>
            <w:r>
              <w:rPr>
                <w:rFonts w:ascii="Times New Roman" w:hAnsi="Times New Roman"/>
                <w:color w:val="000000"/>
                <w:sz w:val="24"/>
                <w:szCs w:val="24"/>
              </w:rPr>
              <w:t>ice-</w:t>
            </w:r>
            <w:r w:rsidR="004C2CCF" w:rsidRPr="00A470F2">
              <w:rPr>
                <w:rFonts w:ascii="Times New Roman" w:hAnsi="Times New Roman"/>
                <w:color w:val="000000"/>
                <w:sz w:val="24"/>
                <w:szCs w:val="24"/>
              </w:rPr>
              <w:t>P</w:t>
            </w:r>
            <w:r w:rsidRPr="00A470F2">
              <w:rPr>
                <w:rFonts w:ascii="Times New Roman" w:hAnsi="Times New Roman"/>
                <w:color w:val="000000"/>
                <w:sz w:val="24"/>
                <w:szCs w:val="24"/>
              </w:rPr>
              <w:t>resident</w:t>
            </w:r>
            <w:r w:rsidR="004C2CCF" w:rsidRPr="00A470F2">
              <w:rPr>
                <w:rFonts w:ascii="Times New Roman" w:hAnsi="Times New Roman"/>
                <w:color w:val="000000"/>
                <w:sz w:val="24"/>
                <w:szCs w:val="24"/>
              </w:rPr>
              <w:t xml:space="preserve"> Ribera in this task. Already o</w:t>
            </w:r>
            <w:r w:rsidR="00233A0E" w:rsidRPr="00A470F2">
              <w:rPr>
                <w:rFonts w:ascii="Times New Roman" w:hAnsi="Times New Roman"/>
                <w:color w:val="000000"/>
                <w:sz w:val="24"/>
                <w:szCs w:val="24"/>
              </w:rPr>
              <w:t>n 26 June 2024, a meeting to</w:t>
            </w:r>
            <w:r w:rsidR="00727FF4" w:rsidRPr="00A470F2">
              <w:rPr>
                <w:rFonts w:ascii="Times New Roman" w:hAnsi="Times New Roman"/>
                <w:color w:val="000000"/>
                <w:sz w:val="24"/>
                <w:szCs w:val="24"/>
              </w:rPr>
              <w:t>ok pla</w:t>
            </w:r>
            <w:r w:rsidR="00085FE7" w:rsidRPr="00A470F2">
              <w:rPr>
                <w:rFonts w:ascii="Times New Roman" w:hAnsi="Times New Roman"/>
                <w:color w:val="000000"/>
                <w:sz w:val="24"/>
                <w:szCs w:val="24"/>
              </w:rPr>
              <w:t>ce to</w:t>
            </w:r>
            <w:r w:rsidR="00233A0E" w:rsidRPr="00A470F2">
              <w:rPr>
                <w:rFonts w:ascii="Times New Roman" w:hAnsi="Times New Roman"/>
                <w:color w:val="000000"/>
                <w:sz w:val="24"/>
                <w:szCs w:val="24"/>
              </w:rPr>
              <w:t xml:space="preserve"> discuss with Member States and stakeholders whether</w:t>
            </w:r>
            <w:r w:rsidR="00380DDD" w:rsidRPr="00A470F2">
              <w:rPr>
                <w:rFonts w:ascii="Times New Roman" w:hAnsi="Times New Roman"/>
                <w:color w:val="000000"/>
                <w:sz w:val="24"/>
                <w:szCs w:val="24"/>
              </w:rPr>
              <w:t xml:space="preserve"> </w:t>
            </w:r>
            <w:r w:rsidRPr="00A470F2">
              <w:rPr>
                <w:rFonts w:ascii="Times New Roman" w:hAnsi="Times New Roman"/>
                <w:b/>
                <w:sz w:val="24"/>
                <w:szCs w:val="24"/>
              </w:rPr>
              <w:t>‒</w:t>
            </w:r>
            <w:r w:rsidR="00233A0E" w:rsidRPr="00A470F2">
              <w:rPr>
                <w:rFonts w:ascii="Times New Roman" w:hAnsi="Times New Roman"/>
                <w:color w:val="000000"/>
                <w:sz w:val="24"/>
                <w:szCs w:val="24"/>
              </w:rPr>
              <w:t xml:space="preserve"> and</w:t>
            </w:r>
            <w:r w:rsidR="00380DDD" w:rsidRPr="00A470F2">
              <w:rPr>
                <w:rFonts w:ascii="Times New Roman" w:hAnsi="Times New Roman"/>
                <w:color w:val="000000"/>
                <w:sz w:val="24"/>
                <w:szCs w:val="24"/>
              </w:rPr>
              <w:t>,</w:t>
            </w:r>
            <w:r w:rsidR="00233A0E" w:rsidRPr="00A470F2">
              <w:rPr>
                <w:rFonts w:ascii="Times New Roman" w:hAnsi="Times New Roman"/>
                <w:color w:val="000000"/>
                <w:sz w:val="24"/>
                <w:szCs w:val="24"/>
              </w:rPr>
              <w:t xml:space="preserve"> if so, which</w:t>
            </w:r>
            <w:r w:rsidR="00380DDD" w:rsidRPr="00A470F2">
              <w:rPr>
                <w:rFonts w:ascii="Times New Roman" w:hAnsi="Times New Roman"/>
                <w:color w:val="000000"/>
                <w:sz w:val="24"/>
                <w:szCs w:val="24"/>
              </w:rPr>
              <w:t xml:space="preserve"> </w:t>
            </w:r>
            <w:r w:rsidRPr="00A470F2">
              <w:rPr>
                <w:rFonts w:ascii="Times New Roman" w:hAnsi="Times New Roman"/>
                <w:b/>
                <w:sz w:val="24"/>
                <w:szCs w:val="24"/>
              </w:rPr>
              <w:t>‒</w:t>
            </w:r>
            <w:r w:rsidR="00233A0E" w:rsidRPr="00A470F2">
              <w:rPr>
                <w:rFonts w:ascii="Times New Roman" w:hAnsi="Times New Roman"/>
                <w:color w:val="000000"/>
                <w:sz w:val="24"/>
                <w:szCs w:val="24"/>
              </w:rPr>
              <w:t xml:space="preserve"> amendments to the existing State aid rules in the field of social and affordable housing would be necessary. </w:t>
            </w:r>
            <w:r w:rsidR="31AE34C2" w:rsidRPr="00A470F2">
              <w:rPr>
                <w:rFonts w:ascii="Times New Roman" w:hAnsi="Times New Roman"/>
                <w:color w:val="000000"/>
                <w:sz w:val="24"/>
                <w:szCs w:val="24"/>
              </w:rPr>
              <w:t>T</w:t>
            </w:r>
            <w:r w:rsidR="004C2CCF" w:rsidRPr="00A470F2">
              <w:rPr>
                <w:rFonts w:ascii="Times New Roman" w:hAnsi="Times New Roman"/>
                <w:color w:val="000000"/>
                <w:sz w:val="24"/>
                <w:szCs w:val="24"/>
              </w:rPr>
              <w:t xml:space="preserve">he Commission is currently assessing </w:t>
            </w:r>
            <w:r w:rsidR="00233A0E" w:rsidRPr="00A470F2">
              <w:rPr>
                <w:rFonts w:ascii="Times New Roman" w:hAnsi="Times New Roman"/>
                <w:color w:val="000000"/>
                <w:sz w:val="24"/>
                <w:szCs w:val="24"/>
              </w:rPr>
              <w:t>the</w:t>
            </w:r>
            <w:r w:rsidR="7EFD0D8E" w:rsidRPr="00A470F2">
              <w:rPr>
                <w:rFonts w:ascii="Times New Roman" w:hAnsi="Times New Roman"/>
                <w:color w:val="000000"/>
                <w:sz w:val="24"/>
                <w:szCs w:val="24"/>
              </w:rPr>
              <w:t xml:space="preserve"> possible</w:t>
            </w:r>
            <w:r w:rsidR="00233A0E" w:rsidRPr="00A470F2">
              <w:rPr>
                <w:rFonts w:ascii="Times New Roman" w:hAnsi="Times New Roman"/>
                <w:color w:val="000000"/>
                <w:sz w:val="24"/>
                <w:szCs w:val="24"/>
              </w:rPr>
              <w:t xml:space="preserve"> modalities of a revision</w:t>
            </w:r>
            <w:r w:rsidR="275C6E29" w:rsidRPr="00A470F2">
              <w:rPr>
                <w:rFonts w:ascii="Times New Roman" w:hAnsi="Times New Roman"/>
                <w:color w:val="000000"/>
                <w:sz w:val="24"/>
                <w:szCs w:val="24"/>
              </w:rPr>
              <w:t xml:space="preserve"> of </w:t>
            </w:r>
            <w:r w:rsidR="00C60240" w:rsidRPr="00A470F2">
              <w:rPr>
                <w:rFonts w:ascii="Times New Roman" w:hAnsi="Times New Roman"/>
                <w:color w:val="000000"/>
                <w:sz w:val="24"/>
                <w:szCs w:val="24"/>
              </w:rPr>
              <w:t xml:space="preserve">relevant </w:t>
            </w:r>
            <w:r w:rsidR="275C6E29" w:rsidRPr="00A470F2">
              <w:rPr>
                <w:rFonts w:ascii="Times New Roman" w:hAnsi="Times New Roman"/>
                <w:color w:val="000000"/>
                <w:sz w:val="24"/>
                <w:szCs w:val="24"/>
              </w:rPr>
              <w:t>State aid rules</w:t>
            </w:r>
            <w:r w:rsidR="009361C6" w:rsidRPr="00A470F2">
              <w:rPr>
                <w:rFonts w:ascii="Times New Roman" w:hAnsi="Times New Roman"/>
                <w:color w:val="000000"/>
                <w:sz w:val="24"/>
                <w:szCs w:val="24"/>
              </w:rPr>
              <w:t xml:space="preserve"> and will carry out a broad and transparent </w:t>
            </w:r>
            <w:r w:rsidR="004E62D1" w:rsidRPr="00A470F2">
              <w:rPr>
                <w:rFonts w:ascii="Times New Roman" w:hAnsi="Times New Roman"/>
                <w:color w:val="000000"/>
                <w:sz w:val="24"/>
                <w:szCs w:val="24"/>
              </w:rPr>
              <w:t>public consultation to collect the views of stakeholders.</w:t>
            </w:r>
          </w:p>
        </w:tc>
      </w:tr>
      <w:tr w:rsidR="00B2603C" w:rsidRPr="00977120" w14:paraId="6FC442C8" w14:textId="77777777" w:rsidTr="00E4463E">
        <w:trPr>
          <w:jc w:val="center"/>
        </w:trPr>
        <w:tc>
          <w:tcPr>
            <w:tcW w:w="10193" w:type="dxa"/>
          </w:tcPr>
          <w:p w14:paraId="0F70A706" w14:textId="08C5BA8C" w:rsidR="00B84947" w:rsidRPr="00A470F2" w:rsidRDefault="00553685" w:rsidP="00A470F2">
            <w:pPr>
              <w:widowControl w:val="0"/>
              <w:spacing w:before="120" w:after="120"/>
              <w:ind w:right="11"/>
              <w:jc w:val="both"/>
              <w:rPr>
                <w:rFonts w:ascii="Times New Roman" w:hAnsi="Times New Roman"/>
                <w:sz w:val="24"/>
                <w:szCs w:val="24"/>
              </w:rPr>
            </w:pPr>
            <w:r>
              <w:rPr>
                <w:rFonts w:ascii="Times New Roman" w:hAnsi="Times New Roman"/>
                <w:b/>
                <w:bCs/>
                <w:sz w:val="24"/>
                <w:szCs w:val="24"/>
              </w:rPr>
              <w:t>Concerning</w:t>
            </w:r>
            <w:r w:rsidR="004C2CCF" w:rsidRPr="00A470F2">
              <w:rPr>
                <w:rFonts w:ascii="Times New Roman" w:hAnsi="Times New Roman"/>
                <w:b/>
                <w:sz w:val="24"/>
                <w:szCs w:val="24"/>
              </w:rPr>
              <w:t xml:space="preserve"> point 1.9</w:t>
            </w:r>
            <w:r w:rsidR="00257698">
              <w:rPr>
                <w:rFonts w:ascii="Times New Roman" w:hAnsi="Times New Roman"/>
                <w:b/>
                <w:sz w:val="24"/>
                <w:szCs w:val="24"/>
              </w:rPr>
              <w:t>.:</w:t>
            </w:r>
            <w:r w:rsidR="35A93E8F" w:rsidRPr="00A470F2">
              <w:rPr>
                <w:rFonts w:ascii="Times New Roman" w:hAnsi="Times New Roman"/>
                <w:color w:val="000000" w:themeColor="text1"/>
                <w:sz w:val="24"/>
                <w:szCs w:val="24"/>
              </w:rPr>
              <w:t>When revising the General Block Exemption Regulation, the Commission will assess if it is necessary and possible to further improve the interplay between the Regulation and EU funding rules, while at the same time preserving competition in the EU Single market.</w:t>
            </w:r>
            <w:r w:rsidR="7DDE64EC" w:rsidRPr="00A470F2">
              <w:rPr>
                <w:rFonts w:ascii="Times New Roman" w:hAnsi="Times New Roman"/>
                <w:color w:val="000000" w:themeColor="text1"/>
                <w:sz w:val="24"/>
                <w:szCs w:val="24"/>
              </w:rPr>
              <w:t xml:space="preserve"> </w:t>
            </w:r>
            <w:r w:rsidR="0543A2E3" w:rsidRPr="00A470F2">
              <w:rPr>
                <w:rFonts w:ascii="Times New Roman" w:hAnsi="Times New Roman"/>
                <w:color w:val="000000" w:themeColor="text1"/>
                <w:sz w:val="24"/>
                <w:szCs w:val="24"/>
              </w:rPr>
              <w:t>This approach is consistent with the objectives of the European Pillar of Social Rights, which emphasizes the need to ensure equal opportunities, fair working conditions, and social inclusion.</w:t>
            </w:r>
          </w:p>
        </w:tc>
      </w:tr>
      <w:tr w:rsidR="00B2603C" w:rsidRPr="00977120" w14:paraId="7EACDDAE" w14:textId="77777777" w:rsidTr="00E4463E">
        <w:trPr>
          <w:jc w:val="center"/>
        </w:trPr>
        <w:tc>
          <w:tcPr>
            <w:tcW w:w="10193" w:type="dxa"/>
          </w:tcPr>
          <w:p w14:paraId="76C48870" w14:textId="28AF21A3" w:rsidR="007B5EA9" w:rsidRPr="00A470F2" w:rsidRDefault="00553685" w:rsidP="00257698">
            <w:pPr>
              <w:widowControl w:val="0"/>
              <w:spacing w:before="120" w:after="120"/>
              <w:ind w:right="11"/>
              <w:jc w:val="both"/>
              <w:rPr>
                <w:rFonts w:ascii="Times New Roman" w:hAnsi="Times New Roman"/>
                <w:b/>
                <w:sz w:val="24"/>
                <w:szCs w:val="24"/>
              </w:rPr>
            </w:pPr>
            <w:r>
              <w:rPr>
                <w:rFonts w:ascii="Times New Roman" w:hAnsi="Times New Roman"/>
                <w:b/>
                <w:bCs/>
                <w:sz w:val="24"/>
                <w:szCs w:val="24"/>
              </w:rPr>
              <w:t>Concerning</w:t>
            </w:r>
            <w:r w:rsidR="004C2CCF" w:rsidRPr="00A470F2">
              <w:rPr>
                <w:rFonts w:ascii="Times New Roman" w:hAnsi="Times New Roman"/>
                <w:b/>
                <w:sz w:val="24"/>
                <w:szCs w:val="24"/>
              </w:rPr>
              <w:t xml:space="preserve"> point 1.10</w:t>
            </w:r>
            <w:r w:rsidR="00257698">
              <w:rPr>
                <w:rFonts w:ascii="Times New Roman" w:hAnsi="Times New Roman"/>
                <w:b/>
                <w:sz w:val="24"/>
                <w:szCs w:val="24"/>
              </w:rPr>
              <w:t>.:</w:t>
            </w:r>
          </w:p>
          <w:p w14:paraId="2C5A1C3A" w14:textId="70BF82C4" w:rsidR="009F6C6A" w:rsidRPr="00A470F2" w:rsidRDefault="004C2CCF" w:rsidP="00A470F2">
            <w:pPr>
              <w:widowControl w:val="0"/>
              <w:spacing w:before="120" w:after="120"/>
              <w:ind w:right="11"/>
              <w:jc w:val="both"/>
              <w:rPr>
                <w:rFonts w:ascii="Times New Roman" w:hAnsi="Times New Roman"/>
                <w:bCs/>
                <w:color w:val="000000"/>
                <w:sz w:val="24"/>
                <w:szCs w:val="24"/>
              </w:rPr>
            </w:pPr>
            <w:r w:rsidRPr="00A470F2">
              <w:rPr>
                <w:rFonts w:ascii="Times New Roman" w:hAnsi="Times New Roman"/>
                <w:bCs/>
                <w:color w:val="000000"/>
                <w:sz w:val="24"/>
                <w:szCs w:val="24"/>
              </w:rPr>
              <w:t>The Commission is actively following up on the commitments it has made in its Social Economy Action Plan</w:t>
            </w:r>
            <w:r w:rsidR="00B416B7">
              <w:rPr>
                <w:rStyle w:val="FootnoteReference"/>
                <w:rFonts w:ascii="Times New Roman" w:hAnsi="Times New Roman"/>
                <w:bCs/>
                <w:color w:val="000000"/>
                <w:sz w:val="24"/>
                <w:szCs w:val="24"/>
              </w:rPr>
              <w:footnoteReference w:id="9"/>
            </w:r>
            <w:r w:rsidR="00F932DA" w:rsidRPr="00A470F2">
              <w:rPr>
                <w:rFonts w:ascii="Times New Roman" w:hAnsi="Times New Roman"/>
                <w:bCs/>
                <w:color w:val="000000"/>
                <w:sz w:val="24"/>
                <w:szCs w:val="24"/>
              </w:rPr>
              <w:t xml:space="preserve">, planning to conduct a mid-term review </w:t>
            </w:r>
            <w:r w:rsidR="00B416B7">
              <w:rPr>
                <w:rFonts w:ascii="Times New Roman" w:hAnsi="Times New Roman"/>
                <w:bCs/>
                <w:color w:val="000000"/>
                <w:sz w:val="24"/>
                <w:szCs w:val="24"/>
              </w:rPr>
              <w:t xml:space="preserve">in 2025 </w:t>
            </w:r>
            <w:r w:rsidR="00F932DA" w:rsidRPr="00A470F2">
              <w:rPr>
                <w:rFonts w:ascii="Times New Roman" w:hAnsi="Times New Roman"/>
                <w:bCs/>
                <w:color w:val="000000"/>
                <w:sz w:val="24"/>
                <w:szCs w:val="24"/>
              </w:rPr>
              <w:t>to take stock of its degree of execution</w:t>
            </w:r>
            <w:r w:rsidRPr="00A470F2">
              <w:rPr>
                <w:rFonts w:ascii="Times New Roman" w:hAnsi="Times New Roman"/>
                <w:bCs/>
                <w:color w:val="000000"/>
                <w:sz w:val="24"/>
                <w:szCs w:val="24"/>
              </w:rPr>
              <w:t xml:space="preserve">. The Commission </w:t>
            </w:r>
            <w:r w:rsidR="00EE2FBB" w:rsidRPr="00A470F2">
              <w:rPr>
                <w:rFonts w:ascii="Times New Roman" w:hAnsi="Times New Roman"/>
                <w:bCs/>
                <w:color w:val="000000"/>
                <w:sz w:val="24"/>
                <w:szCs w:val="24"/>
              </w:rPr>
              <w:t xml:space="preserve">considers </w:t>
            </w:r>
            <w:r w:rsidRPr="00A470F2">
              <w:rPr>
                <w:rFonts w:ascii="Times New Roman" w:hAnsi="Times New Roman"/>
                <w:bCs/>
                <w:color w:val="000000"/>
                <w:sz w:val="24"/>
                <w:szCs w:val="24"/>
              </w:rPr>
              <w:t>the Liège Roadmap</w:t>
            </w:r>
            <w:r w:rsidR="00B416B7">
              <w:rPr>
                <w:rStyle w:val="FootnoteReference"/>
                <w:rFonts w:ascii="Times New Roman" w:hAnsi="Times New Roman"/>
                <w:bCs/>
                <w:color w:val="000000"/>
                <w:sz w:val="24"/>
                <w:szCs w:val="24"/>
              </w:rPr>
              <w:footnoteReference w:id="10"/>
            </w:r>
            <w:r w:rsidRPr="00A470F2">
              <w:rPr>
                <w:rFonts w:ascii="Times New Roman" w:hAnsi="Times New Roman"/>
                <w:bCs/>
                <w:color w:val="000000"/>
                <w:sz w:val="24"/>
                <w:szCs w:val="24"/>
              </w:rPr>
              <w:t xml:space="preserve"> a useful complement to the </w:t>
            </w:r>
            <w:r w:rsidR="00A34143" w:rsidRPr="00A470F2">
              <w:rPr>
                <w:rFonts w:ascii="Times New Roman" w:hAnsi="Times New Roman"/>
                <w:bCs/>
                <w:color w:val="000000"/>
                <w:sz w:val="24"/>
                <w:szCs w:val="24"/>
              </w:rPr>
              <w:t xml:space="preserve">Social Economy </w:t>
            </w:r>
            <w:r w:rsidRPr="00A470F2">
              <w:rPr>
                <w:rFonts w:ascii="Times New Roman" w:hAnsi="Times New Roman"/>
                <w:bCs/>
                <w:color w:val="000000"/>
                <w:sz w:val="24"/>
                <w:szCs w:val="24"/>
              </w:rPr>
              <w:t xml:space="preserve">Action Plan. </w:t>
            </w:r>
            <w:r w:rsidR="006755AB" w:rsidRPr="00A470F2">
              <w:rPr>
                <w:rFonts w:ascii="Times New Roman" w:hAnsi="Times New Roman"/>
                <w:bCs/>
                <w:color w:val="000000"/>
                <w:sz w:val="24"/>
                <w:szCs w:val="24"/>
              </w:rPr>
              <w:t>Overall</w:t>
            </w:r>
            <w:r w:rsidR="00A34143" w:rsidRPr="00A470F2">
              <w:rPr>
                <w:rFonts w:ascii="Times New Roman" w:hAnsi="Times New Roman"/>
                <w:bCs/>
                <w:color w:val="000000"/>
                <w:sz w:val="24"/>
                <w:szCs w:val="24"/>
              </w:rPr>
              <w:t>,</w:t>
            </w:r>
            <w:r w:rsidR="006755AB" w:rsidRPr="00A470F2">
              <w:rPr>
                <w:rFonts w:ascii="Times New Roman" w:hAnsi="Times New Roman"/>
                <w:bCs/>
                <w:color w:val="000000"/>
                <w:sz w:val="24"/>
                <w:szCs w:val="24"/>
              </w:rPr>
              <w:t xml:space="preserve"> the </w:t>
            </w:r>
            <w:r w:rsidR="00A34143" w:rsidRPr="00A470F2">
              <w:rPr>
                <w:rFonts w:ascii="Times New Roman" w:hAnsi="Times New Roman"/>
                <w:bCs/>
                <w:color w:val="000000"/>
                <w:sz w:val="24"/>
                <w:szCs w:val="24"/>
              </w:rPr>
              <w:t xml:space="preserve">Social Economy </w:t>
            </w:r>
            <w:r w:rsidR="006755AB" w:rsidRPr="00A470F2">
              <w:rPr>
                <w:rFonts w:ascii="Times New Roman" w:hAnsi="Times New Roman"/>
                <w:bCs/>
                <w:color w:val="000000"/>
                <w:sz w:val="24"/>
                <w:szCs w:val="24"/>
              </w:rPr>
              <w:t xml:space="preserve">Action Plan announces 53 specific actions. 10 of these are </w:t>
            </w:r>
            <w:r w:rsidR="00EE2FBB" w:rsidRPr="00A470F2">
              <w:rPr>
                <w:rFonts w:ascii="Times New Roman" w:hAnsi="Times New Roman"/>
                <w:bCs/>
                <w:color w:val="000000"/>
                <w:sz w:val="24"/>
                <w:szCs w:val="24"/>
              </w:rPr>
              <w:t>‘</w:t>
            </w:r>
            <w:r w:rsidR="006755AB" w:rsidRPr="00A470F2">
              <w:rPr>
                <w:rFonts w:ascii="Times New Roman" w:hAnsi="Times New Roman"/>
                <w:bCs/>
                <w:color w:val="000000"/>
                <w:sz w:val="24"/>
                <w:szCs w:val="24"/>
              </w:rPr>
              <w:t>key actions</w:t>
            </w:r>
            <w:r w:rsidR="00EE2FBB" w:rsidRPr="00A470F2">
              <w:rPr>
                <w:rFonts w:ascii="Times New Roman" w:hAnsi="Times New Roman"/>
                <w:bCs/>
                <w:color w:val="000000"/>
                <w:sz w:val="24"/>
                <w:szCs w:val="24"/>
              </w:rPr>
              <w:t>’</w:t>
            </w:r>
            <w:r w:rsidR="006755AB" w:rsidRPr="00A470F2">
              <w:rPr>
                <w:rFonts w:ascii="Times New Roman" w:hAnsi="Times New Roman"/>
                <w:bCs/>
                <w:color w:val="000000"/>
                <w:sz w:val="24"/>
                <w:szCs w:val="24"/>
              </w:rPr>
              <w:t xml:space="preserve"> of which a</w:t>
            </w:r>
            <w:r w:rsidR="004E62D1" w:rsidRPr="00A470F2">
              <w:rPr>
                <w:rFonts w:ascii="Times New Roman" w:hAnsi="Times New Roman"/>
                <w:bCs/>
                <w:color w:val="000000"/>
                <w:sz w:val="24"/>
                <w:szCs w:val="24"/>
              </w:rPr>
              <w:t xml:space="preserve">ll but </w:t>
            </w:r>
            <w:r w:rsidR="006755AB" w:rsidRPr="00A470F2">
              <w:rPr>
                <w:rFonts w:ascii="Times New Roman" w:hAnsi="Times New Roman"/>
                <w:bCs/>
                <w:color w:val="000000"/>
                <w:sz w:val="24"/>
                <w:szCs w:val="24"/>
              </w:rPr>
              <w:t>two</w:t>
            </w:r>
            <w:r w:rsidR="004E62D1" w:rsidRPr="00A470F2">
              <w:rPr>
                <w:rFonts w:ascii="Times New Roman" w:hAnsi="Times New Roman"/>
                <w:bCs/>
                <w:color w:val="000000"/>
                <w:sz w:val="24"/>
                <w:szCs w:val="24"/>
              </w:rPr>
              <w:t xml:space="preserve"> have been launched in accordance with the timeline set out in the </w:t>
            </w:r>
            <w:r w:rsidR="00A34143" w:rsidRPr="00A470F2">
              <w:rPr>
                <w:rFonts w:ascii="Times New Roman" w:hAnsi="Times New Roman"/>
                <w:bCs/>
                <w:color w:val="000000"/>
                <w:sz w:val="24"/>
                <w:szCs w:val="24"/>
              </w:rPr>
              <w:t>Social Economy A</w:t>
            </w:r>
            <w:r w:rsidR="004E62D1" w:rsidRPr="00A470F2">
              <w:rPr>
                <w:rFonts w:ascii="Times New Roman" w:hAnsi="Times New Roman"/>
                <w:bCs/>
                <w:color w:val="000000"/>
                <w:sz w:val="24"/>
                <w:szCs w:val="24"/>
              </w:rPr>
              <w:t xml:space="preserve">ction </w:t>
            </w:r>
            <w:r w:rsidR="00A34143" w:rsidRPr="00A470F2">
              <w:rPr>
                <w:rFonts w:ascii="Times New Roman" w:hAnsi="Times New Roman"/>
                <w:bCs/>
                <w:color w:val="000000"/>
                <w:sz w:val="24"/>
                <w:szCs w:val="24"/>
              </w:rPr>
              <w:t>P</w:t>
            </w:r>
            <w:r w:rsidR="004E62D1" w:rsidRPr="00A470F2">
              <w:rPr>
                <w:rFonts w:ascii="Times New Roman" w:hAnsi="Times New Roman"/>
                <w:bCs/>
                <w:color w:val="000000"/>
                <w:sz w:val="24"/>
                <w:szCs w:val="24"/>
              </w:rPr>
              <w:t>lan</w:t>
            </w:r>
            <w:r w:rsidR="003734F4" w:rsidRPr="00A470F2">
              <w:rPr>
                <w:rFonts w:ascii="Times New Roman" w:hAnsi="Times New Roman"/>
                <w:bCs/>
                <w:color w:val="000000"/>
                <w:sz w:val="24"/>
                <w:szCs w:val="24"/>
              </w:rPr>
              <w:t xml:space="preserve">: i) </w:t>
            </w:r>
            <w:r w:rsidR="0023146C" w:rsidRPr="00A470F2">
              <w:rPr>
                <w:rFonts w:ascii="Times New Roman" w:hAnsi="Times New Roman"/>
                <w:bCs/>
                <w:color w:val="000000"/>
                <w:sz w:val="24"/>
                <w:szCs w:val="24"/>
              </w:rPr>
              <w:t xml:space="preserve">the proposal for a Council Recommendation on developing social economy framework conditions in 2023 was </w:t>
            </w:r>
            <w:hyperlink r:id="rId11" w:history="1">
              <w:r w:rsidR="0023146C" w:rsidRPr="00A470F2">
                <w:rPr>
                  <w:rFonts w:ascii="Times New Roman" w:hAnsi="Times New Roman"/>
                  <w:color w:val="000000"/>
                  <w:sz w:val="24"/>
                  <w:szCs w:val="24"/>
                </w:rPr>
                <w:t>adopted</w:t>
              </w:r>
            </w:hyperlink>
            <w:r w:rsidR="0023146C" w:rsidRPr="00A470F2">
              <w:rPr>
                <w:rFonts w:ascii="Times New Roman" w:hAnsi="Times New Roman"/>
                <w:bCs/>
                <w:color w:val="000000"/>
                <w:sz w:val="24"/>
                <w:szCs w:val="24"/>
              </w:rPr>
              <w:t xml:space="preserve"> on 13 June 2023</w:t>
            </w:r>
            <w:r w:rsidR="00EE2FBB" w:rsidRPr="00A470F2">
              <w:rPr>
                <w:rStyle w:val="FootnoteReference"/>
                <w:rFonts w:ascii="Times New Roman" w:hAnsi="Times New Roman"/>
                <w:bCs/>
                <w:color w:val="000000"/>
                <w:sz w:val="24"/>
                <w:szCs w:val="24"/>
              </w:rPr>
              <w:footnoteReference w:id="11"/>
            </w:r>
            <w:r w:rsidR="0023146C" w:rsidRPr="00A470F2">
              <w:rPr>
                <w:rFonts w:ascii="Times New Roman" w:hAnsi="Times New Roman"/>
                <w:bCs/>
                <w:color w:val="000000"/>
                <w:sz w:val="24"/>
                <w:szCs w:val="24"/>
              </w:rPr>
              <w:t xml:space="preserve">; </w:t>
            </w:r>
            <w:r w:rsidR="003734F4" w:rsidRPr="00A470F2">
              <w:rPr>
                <w:rFonts w:ascii="Times New Roman" w:hAnsi="Times New Roman"/>
                <w:bCs/>
                <w:color w:val="000000"/>
                <w:sz w:val="24"/>
                <w:szCs w:val="24"/>
              </w:rPr>
              <w:t xml:space="preserve">ii) webinars and workshops for public officials have been held, e.g. on </w:t>
            </w:r>
            <w:r w:rsidR="0023146C" w:rsidRPr="00A470F2">
              <w:rPr>
                <w:rFonts w:ascii="Times New Roman" w:hAnsi="Times New Roman"/>
                <w:bCs/>
                <w:color w:val="000000"/>
                <w:sz w:val="24"/>
                <w:szCs w:val="24"/>
              </w:rPr>
              <w:t xml:space="preserve">EU State aid rules </w:t>
            </w:r>
            <w:r w:rsidR="003734F4" w:rsidRPr="00A470F2">
              <w:rPr>
                <w:rFonts w:ascii="Times New Roman" w:hAnsi="Times New Roman"/>
                <w:bCs/>
                <w:color w:val="000000"/>
                <w:sz w:val="24"/>
                <w:szCs w:val="24"/>
              </w:rPr>
              <w:t>in</w:t>
            </w:r>
            <w:r w:rsidR="0023146C" w:rsidRPr="00A470F2">
              <w:rPr>
                <w:rFonts w:ascii="Times New Roman" w:hAnsi="Times New Roman"/>
                <w:bCs/>
                <w:color w:val="000000"/>
                <w:sz w:val="24"/>
                <w:szCs w:val="24"/>
              </w:rPr>
              <w:t xml:space="preserve"> May/June 2023, the material </w:t>
            </w:r>
            <w:r w:rsidR="003734F4" w:rsidRPr="00A470F2">
              <w:rPr>
                <w:rFonts w:ascii="Times New Roman" w:hAnsi="Times New Roman"/>
                <w:bCs/>
                <w:color w:val="000000"/>
                <w:sz w:val="24"/>
                <w:szCs w:val="24"/>
              </w:rPr>
              <w:t>being</w:t>
            </w:r>
            <w:r w:rsidR="0023146C" w:rsidRPr="00A470F2">
              <w:rPr>
                <w:rFonts w:ascii="Times New Roman" w:hAnsi="Times New Roman"/>
                <w:bCs/>
                <w:color w:val="000000"/>
                <w:sz w:val="24"/>
                <w:szCs w:val="24"/>
              </w:rPr>
              <w:t xml:space="preserve"> accessible in the </w:t>
            </w:r>
            <w:hyperlink r:id="rId12" w:history="1">
              <w:r w:rsidR="0023146C" w:rsidRPr="00A470F2">
                <w:rPr>
                  <w:rFonts w:ascii="Times New Roman" w:hAnsi="Times New Roman"/>
                  <w:color w:val="000000"/>
                  <w:sz w:val="24"/>
                  <w:szCs w:val="24"/>
                </w:rPr>
                <w:t>Social Economy Gateway</w:t>
              </w:r>
            </w:hyperlink>
            <w:r w:rsidR="00EE2FBB" w:rsidRPr="00A470F2">
              <w:rPr>
                <w:rStyle w:val="FootnoteReference"/>
                <w:rFonts w:ascii="Times New Roman" w:hAnsi="Times New Roman"/>
                <w:bCs/>
                <w:color w:val="000000"/>
                <w:sz w:val="24"/>
                <w:szCs w:val="24"/>
              </w:rPr>
              <w:footnoteReference w:id="12"/>
            </w:r>
            <w:r w:rsidR="00893DF4" w:rsidRPr="00A470F2">
              <w:rPr>
                <w:rFonts w:ascii="Times New Roman" w:hAnsi="Times New Roman"/>
                <w:bCs/>
                <w:color w:val="000000"/>
                <w:sz w:val="24"/>
                <w:szCs w:val="24"/>
              </w:rPr>
              <w:t xml:space="preserve">; </w:t>
            </w:r>
            <w:r w:rsidR="003734F4" w:rsidRPr="00A470F2">
              <w:rPr>
                <w:rFonts w:ascii="Times New Roman" w:hAnsi="Times New Roman"/>
                <w:bCs/>
                <w:color w:val="000000"/>
                <w:sz w:val="24"/>
                <w:szCs w:val="24"/>
              </w:rPr>
              <w:t>iii) the</w:t>
            </w:r>
            <w:r w:rsidR="009F6C6A" w:rsidRPr="00A470F2">
              <w:rPr>
                <w:rFonts w:ascii="Times New Roman" w:hAnsi="Times New Roman"/>
                <w:bCs/>
                <w:color w:val="000000"/>
                <w:sz w:val="24"/>
                <w:szCs w:val="24"/>
              </w:rPr>
              <w:t xml:space="preserve"> </w:t>
            </w:r>
            <w:hyperlink r:id="rId13" w:history="1">
              <w:r w:rsidR="009F6C6A" w:rsidRPr="00A470F2">
                <w:rPr>
                  <w:rFonts w:ascii="Times New Roman" w:hAnsi="Times New Roman"/>
                  <w:color w:val="000000"/>
                  <w:sz w:val="24"/>
                  <w:szCs w:val="24"/>
                </w:rPr>
                <w:t>call for proposals</w:t>
              </w:r>
            </w:hyperlink>
            <w:r w:rsidR="00EE2FBB" w:rsidRPr="00A470F2">
              <w:rPr>
                <w:rStyle w:val="FootnoteReference"/>
                <w:rFonts w:ascii="Times New Roman" w:hAnsi="Times New Roman"/>
                <w:bCs/>
                <w:color w:val="000000"/>
                <w:sz w:val="24"/>
                <w:szCs w:val="24"/>
              </w:rPr>
              <w:footnoteReference w:id="13"/>
            </w:r>
            <w:r w:rsidR="009F6C6A" w:rsidRPr="00A470F2">
              <w:rPr>
                <w:rFonts w:ascii="Times New Roman" w:hAnsi="Times New Roman"/>
                <w:bCs/>
                <w:color w:val="000000"/>
                <w:sz w:val="24"/>
                <w:szCs w:val="24"/>
              </w:rPr>
              <w:t xml:space="preserve"> for</w:t>
            </w:r>
            <w:r w:rsidR="003734F4" w:rsidRPr="00A470F2">
              <w:rPr>
                <w:rFonts w:ascii="Times New Roman" w:hAnsi="Times New Roman"/>
                <w:bCs/>
                <w:color w:val="000000"/>
                <w:sz w:val="24"/>
                <w:szCs w:val="24"/>
              </w:rPr>
              <w:t xml:space="preserve"> </w:t>
            </w:r>
            <w:r w:rsidR="00745E0A" w:rsidRPr="00A470F2">
              <w:rPr>
                <w:rFonts w:ascii="Times New Roman" w:hAnsi="Times New Roman"/>
                <w:bCs/>
                <w:color w:val="000000"/>
                <w:sz w:val="24"/>
                <w:szCs w:val="24"/>
              </w:rPr>
              <w:t xml:space="preserve">a </w:t>
            </w:r>
            <w:r w:rsidR="003734F4" w:rsidRPr="00A470F2">
              <w:rPr>
                <w:rFonts w:ascii="Times New Roman" w:hAnsi="Times New Roman"/>
                <w:bCs/>
                <w:color w:val="000000"/>
                <w:sz w:val="24"/>
                <w:szCs w:val="24"/>
              </w:rPr>
              <w:t>new initiative under the Single Market Programme supporting the creation of local and regional partnerships between social economy entities and mainstream businesses has been launched</w:t>
            </w:r>
            <w:r w:rsidR="009F6C6A" w:rsidRPr="00A470F2">
              <w:rPr>
                <w:rFonts w:ascii="Times New Roman" w:hAnsi="Times New Roman"/>
                <w:bCs/>
                <w:color w:val="000000"/>
                <w:sz w:val="24"/>
                <w:szCs w:val="24"/>
              </w:rPr>
              <w:t xml:space="preserve">; iv) actions to </w:t>
            </w:r>
            <w:r w:rsidR="00745E0A" w:rsidRPr="00A470F2">
              <w:rPr>
                <w:rFonts w:ascii="Times New Roman" w:hAnsi="Times New Roman"/>
                <w:bCs/>
                <w:color w:val="000000"/>
                <w:sz w:val="24"/>
                <w:szCs w:val="24"/>
              </w:rPr>
              <w:t xml:space="preserve">improve </w:t>
            </w:r>
            <w:r w:rsidR="009F6C6A" w:rsidRPr="00A470F2">
              <w:rPr>
                <w:rFonts w:ascii="Times New Roman" w:hAnsi="Times New Roman"/>
                <w:bCs/>
                <w:color w:val="000000"/>
                <w:sz w:val="24"/>
                <w:szCs w:val="24"/>
              </w:rPr>
              <w:t xml:space="preserve">access to finance for social entrepreneurs in the Western Balkans, the Eastern Partnership and Southern Neighbourhood have started, e.g. the Sustainable Access to Finance for Entrepreneurship ‘SAFE’; v) the new single EU </w:t>
            </w:r>
            <w:hyperlink r:id="rId14" w:history="1">
              <w:r w:rsidR="009F6C6A" w:rsidRPr="00A470F2">
                <w:rPr>
                  <w:rFonts w:ascii="Times New Roman" w:hAnsi="Times New Roman"/>
                  <w:color w:val="000000"/>
                  <w:sz w:val="24"/>
                  <w:szCs w:val="24"/>
                </w:rPr>
                <w:t>Social Economy Gateway</w:t>
              </w:r>
            </w:hyperlink>
            <w:r w:rsidR="009F6C6A" w:rsidRPr="00A470F2">
              <w:rPr>
                <w:rFonts w:ascii="Times New Roman" w:hAnsi="Times New Roman"/>
                <w:color w:val="000000"/>
                <w:sz w:val="24"/>
                <w:szCs w:val="24"/>
              </w:rPr>
              <w:t xml:space="preserve"> </w:t>
            </w:r>
            <w:r w:rsidR="009F6C6A" w:rsidRPr="00A470F2">
              <w:rPr>
                <w:rFonts w:ascii="Times New Roman" w:hAnsi="Times New Roman"/>
                <w:bCs/>
                <w:color w:val="000000"/>
                <w:sz w:val="24"/>
                <w:szCs w:val="24"/>
              </w:rPr>
              <w:t xml:space="preserve">has been launched; vi) </w:t>
            </w:r>
            <w:r w:rsidR="000B000F" w:rsidRPr="00A470F2">
              <w:rPr>
                <w:rFonts w:ascii="Times New Roman" w:hAnsi="Times New Roman"/>
                <w:bCs/>
                <w:color w:val="000000"/>
                <w:sz w:val="24"/>
                <w:szCs w:val="24"/>
              </w:rPr>
              <w:t>the new Youth Entrepreneurship Policy Academy under ESF+ has been launched (launch event on 9-10</w:t>
            </w:r>
            <w:r w:rsidR="00B416B7">
              <w:rPr>
                <w:rFonts w:ascii="Times New Roman" w:hAnsi="Times New Roman"/>
                <w:bCs/>
                <w:color w:val="000000"/>
                <w:sz w:val="24"/>
                <w:szCs w:val="24"/>
              </w:rPr>
              <w:t> </w:t>
            </w:r>
            <w:r w:rsidR="000B000F" w:rsidRPr="00A470F2">
              <w:rPr>
                <w:rFonts w:ascii="Times New Roman" w:hAnsi="Times New Roman"/>
                <w:bCs/>
                <w:color w:val="000000"/>
                <w:sz w:val="24"/>
                <w:szCs w:val="24"/>
              </w:rPr>
              <w:t xml:space="preserve">March 2023); vii) </w:t>
            </w:r>
            <w:r w:rsidR="00A407EA" w:rsidRPr="00A470F2">
              <w:rPr>
                <w:rFonts w:ascii="Times New Roman" w:hAnsi="Times New Roman"/>
                <w:bCs/>
                <w:color w:val="000000"/>
                <w:sz w:val="24"/>
                <w:szCs w:val="24"/>
              </w:rPr>
              <w:t xml:space="preserve">regarding the launch of </w:t>
            </w:r>
            <w:r w:rsidR="000B000F" w:rsidRPr="00A470F2">
              <w:rPr>
                <w:rFonts w:ascii="Times New Roman" w:hAnsi="Times New Roman"/>
                <w:bCs/>
                <w:color w:val="000000"/>
                <w:sz w:val="24"/>
                <w:szCs w:val="24"/>
              </w:rPr>
              <w:t>new financial products under the InvestEU programme</w:t>
            </w:r>
            <w:r w:rsidR="00A407EA" w:rsidRPr="00A470F2">
              <w:rPr>
                <w:rFonts w:ascii="Times New Roman" w:hAnsi="Times New Roman"/>
                <w:bCs/>
                <w:color w:val="000000"/>
                <w:sz w:val="24"/>
                <w:szCs w:val="24"/>
              </w:rPr>
              <w:t>, the</w:t>
            </w:r>
            <w:r w:rsidR="000B000F" w:rsidRPr="00A470F2">
              <w:rPr>
                <w:rFonts w:ascii="Times New Roman" w:hAnsi="Times New Roman"/>
                <w:bCs/>
                <w:color w:val="000000"/>
                <w:sz w:val="24"/>
                <w:szCs w:val="24"/>
              </w:rPr>
              <w:t xml:space="preserve"> </w:t>
            </w:r>
            <w:r w:rsidR="00B416B7" w:rsidRPr="00B416B7">
              <w:rPr>
                <w:rFonts w:ascii="Times New Roman" w:hAnsi="Times New Roman"/>
                <w:bCs/>
                <w:color w:val="000000"/>
                <w:sz w:val="24"/>
                <w:szCs w:val="24"/>
              </w:rPr>
              <w:t>European Investment Fund</w:t>
            </w:r>
            <w:r w:rsidR="00B416B7">
              <w:rPr>
                <w:rFonts w:ascii="Times New Roman" w:hAnsi="Times New Roman"/>
                <w:bCs/>
                <w:color w:val="000000"/>
                <w:sz w:val="24"/>
                <w:szCs w:val="24"/>
              </w:rPr>
              <w:t>’s</w:t>
            </w:r>
            <w:r w:rsidR="00B416B7" w:rsidRPr="00B416B7">
              <w:rPr>
                <w:rFonts w:ascii="Times New Roman" w:hAnsi="Times New Roman"/>
                <w:bCs/>
                <w:color w:val="000000"/>
                <w:sz w:val="24"/>
                <w:szCs w:val="24"/>
              </w:rPr>
              <w:t xml:space="preserve"> </w:t>
            </w:r>
            <w:r w:rsidR="00B416B7">
              <w:rPr>
                <w:rFonts w:ascii="Times New Roman" w:hAnsi="Times New Roman"/>
                <w:bCs/>
                <w:color w:val="000000"/>
                <w:sz w:val="24"/>
                <w:szCs w:val="24"/>
              </w:rPr>
              <w:t>(</w:t>
            </w:r>
            <w:r w:rsidR="000B000F" w:rsidRPr="00A470F2">
              <w:rPr>
                <w:rFonts w:ascii="Times New Roman" w:hAnsi="Times New Roman"/>
                <w:bCs/>
                <w:color w:val="000000"/>
                <w:sz w:val="24"/>
                <w:szCs w:val="24"/>
              </w:rPr>
              <w:t>EIF</w:t>
            </w:r>
            <w:r w:rsidR="00A407EA" w:rsidRPr="00A470F2">
              <w:rPr>
                <w:rFonts w:ascii="Times New Roman" w:hAnsi="Times New Roman"/>
                <w:bCs/>
                <w:color w:val="000000"/>
                <w:sz w:val="24"/>
                <w:szCs w:val="24"/>
              </w:rPr>
              <w:t>’s</w:t>
            </w:r>
            <w:r w:rsidR="00B416B7">
              <w:rPr>
                <w:rFonts w:ascii="Times New Roman" w:hAnsi="Times New Roman"/>
                <w:bCs/>
                <w:color w:val="000000"/>
                <w:sz w:val="24"/>
                <w:szCs w:val="24"/>
              </w:rPr>
              <w:t>)</w:t>
            </w:r>
            <w:r w:rsidR="000B000F" w:rsidRPr="00A470F2">
              <w:rPr>
                <w:rFonts w:ascii="Times New Roman" w:hAnsi="Times New Roman"/>
                <w:bCs/>
                <w:color w:val="000000"/>
                <w:sz w:val="24"/>
                <w:szCs w:val="24"/>
              </w:rPr>
              <w:t xml:space="preserve"> call</w:t>
            </w:r>
            <w:r w:rsidR="003671AC" w:rsidRPr="00A470F2">
              <w:rPr>
                <w:rFonts w:ascii="Times New Roman" w:hAnsi="Times New Roman"/>
                <w:bCs/>
                <w:color w:val="000000"/>
                <w:sz w:val="24"/>
                <w:szCs w:val="24"/>
              </w:rPr>
              <w:t>s</w:t>
            </w:r>
            <w:r w:rsidR="000B000F" w:rsidRPr="00A470F2">
              <w:rPr>
                <w:rFonts w:ascii="Times New Roman" w:hAnsi="Times New Roman"/>
                <w:bCs/>
                <w:color w:val="000000"/>
                <w:sz w:val="24"/>
                <w:szCs w:val="24"/>
              </w:rPr>
              <w:t xml:space="preserve"> for proposals for guarantees and equity for the financial intermediaries active in the microfinance/social enterprises and social impact financing space </w:t>
            </w:r>
            <w:r w:rsidR="00A407EA" w:rsidRPr="00A470F2">
              <w:rPr>
                <w:rFonts w:ascii="Times New Roman" w:hAnsi="Times New Roman"/>
                <w:bCs/>
                <w:color w:val="000000"/>
                <w:sz w:val="24"/>
                <w:szCs w:val="24"/>
              </w:rPr>
              <w:t xml:space="preserve">opened </w:t>
            </w:r>
            <w:r w:rsidR="000B000F" w:rsidRPr="00A470F2">
              <w:rPr>
                <w:rFonts w:ascii="Times New Roman" w:hAnsi="Times New Roman"/>
                <w:bCs/>
                <w:color w:val="000000"/>
                <w:sz w:val="24"/>
                <w:szCs w:val="24"/>
              </w:rPr>
              <w:t>in April 2022 and will remain open until the end of 2027</w:t>
            </w:r>
            <w:r w:rsidR="00A407EA" w:rsidRPr="00A470F2">
              <w:rPr>
                <w:rFonts w:ascii="Times New Roman" w:hAnsi="Times New Roman"/>
                <w:bCs/>
                <w:color w:val="000000"/>
                <w:sz w:val="24"/>
                <w:szCs w:val="24"/>
              </w:rPr>
              <w:t>; vii</w:t>
            </w:r>
            <w:r w:rsidR="000B000F" w:rsidRPr="00A470F2">
              <w:rPr>
                <w:rFonts w:ascii="Times New Roman" w:hAnsi="Times New Roman"/>
                <w:bCs/>
                <w:color w:val="000000"/>
                <w:sz w:val="24"/>
                <w:szCs w:val="24"/>
              </w:rPr>
              <w:t>)</w:t>
            </w:r>
            <w:r w:rsidR="00A407EA" w:rsidRPr="00A470F2">
              <w:rPr>
                <w:rFonts w:ascii="Times New Roman" w:hAnsi="Times New Roman"/>
                <w:bCs/>
                <w:color w:val="000000"/>
                <w:sz w:val="24"/>
                <w:szCs w:val="24"/>
              </w:rPr>
              <w:t xml:space="preserve"> the transition pathway for the </w:t>
            </w:r>
            <w:r w:rsidR="00EE2FBB" w:rsidRPr="00A470F2">
              <w:rPr>
                <w:rFonts w:ascii="Times New Roman" w:hAnsi="Times New Roman"/>
                <w:bCs/>
                <w:color w:val="000000"/>
                <w:sz w:val="24"/>
                <w:szCs w:val="24"/>
              </w:rPr>
              <w:t>‘</w:t>
            </w:r>
            <w:r w:rsidR="00A407EA" w:rsidRPr="00A470F2">
              <w:rPr>
                <w:rFonts w:ascii="Times New Roman" w:hAnsi="Times New Roman"/>
                <w:bCs/>
                <w:color w:val="000000"/>
                <w:sz w:val="24"/>
                <w:szCs w:val="24"/>
              </w:rPr>
              <w:t>Proximity and social economy</w:t>
            </w:r>
            <w:r w:rsidR="00EE2FBB" w:rsidRPr="00A470F2">
              <w:rPr>
                <w:rFonts w:ascii="Times New Roman" w:hAnsi="Times New Roman"/>
                <w:bCs/>
                <w:color w:val="000000"/>
                <w:sz w:val="24"/>
                <w:szCs w:val="24"/>
              </w:rPr>
              <w:t>’</w:t>
            </w:r>
            <w:r w:rsidR="00A407EA" w:rsidRPr="00A470F2">
              <w:rPr>
                <w:rFonts w:ascii="Times New Roman" w:hAnsi="Times New Roman"/>
                <w:bCs/>
                <w:color w:val="000000"/>
                <w:sz w:val="24"/>
                <w:szCs w:val="24"/>
              </w:rPr>
              <w:t xml:space="preserve"> industrial ecosystem was launched in December 2021 on the occasion of the adoption of the Social Economy Action Plan; viii) The new </w:t>
            </w:r>
            <w:r w:rsidR="00EE2FBB" w:rsidRPr="00A470F2">
              <w:rPr>
                <w:rFonts w:ascii="Times New Roman" w:hAnsi="Times New Roman"/>
                <w:bCs/>
                <w:color w:val="000000"/>
                <w:sz w:val="24"/>
                <w:szCs w:val="24"/>
              </w:rPr>
              <w:t>‘</w:t>
            </w:r>
            <w:r w:rsidR="00A407EA" w:rsidRPr="00A470F2">
              <w:rPr>
                <w:rFonts w:ascii="Times New Roman" w:hAnsi="Times New Roman"/>
                <w:bCs/>
                <w:color w:val="000000"/>
                <w:sz w:val="24"/>
                <w:szCs w:val="24"/>
              </w:rPr>
              <w:t>European Competence Centre for Social Innovation</w:t>
            </w:r>
            <w:r w:rsidR="00EE2FBB" w:rsidRPr="00A470F2">
              <w:rPr>
                <w:rFonts w:ascii="Times New Roman" w:hAnsi="Times New Roman"/>
                <w:bCs/>
                <w:color w:val="000000"/>
                <w:sz w:val="24"/>
                <w:szCs w:val="24"/>
              </w:rPr>
              <w:t>’</w:t>
            </w:r>
            <w:r w:rsidR="00A407EA" w:rsidRPr="00A470F2">
              <w:rPr>
                <w:rFonts w:ascii="Times New Roman" w:hAnsi="Times New Roman"/>
                <w:bCs/>
                <w:color w:val="000000"/>
                <w:sz w:val="24"/>
                <w:szCs w:val="24"/>
              </w:rPr>
              <w:t xml:space="preserve"> </w:t>
            </w:r>
            <w:r w:rsidR="00A407EA" w:rsidRPr="00A470F2">
              <w:rPr>
                <w:rFonts w:ascii="Times New Roman" w:hAnsi="Times New Roman"/>
                <w:bCs/>
                <w:iCs/>
                <w:color w:val="000000"/>
                <w:sz w:val="24"/>
                <w:szCs w:val="24"/>
              </w:rPr>
              <w:t xml:space="preserve">has started operations in November 2022 and is </w:t>
            </w:r>
            <w:r w:rsidR="00A407EA" w:rsidRPr="00A470F2">
              <w:rPr>
                <w:rFonts w:ascii="Times New Roman" w:hAnsi="Times New Roman"/>
                <w:bCs/>
                <w:color w:val="000000"/>
                <w:sz w:val="24"/>
                <w:szCs w:val="24"/>
              </w:rPr>
              <w:t xml:space="preserve">managed by the </w:t>
            </w:r>
            <w:hyperlink r:id="rId15" w:history="1">
              <w:r w:rsidR="00A407EA" w:rsidRPr="00A470F2">
                <w:rPr>
                  <w:rFonts w:ascii="Times New Roman" w:hAnsi="Times New Roman"/>
                  <w:color w:val="000000"/>
                  <w:sz w:val="24"/>
                  <w:szCs w:val="24"/>
                </w:rPr>
                <w:t>Lithuanian European Social Fund Agency (ESFA)</w:t>
              </w:r>
            </w:hyperlink>
            <w:r w:rsidR="00EE2FBB" w:rsidRPr="00A470F2">
              <w:rPr>
                <w:rStyle w:val="FootnoteReference"/>
                <w:rFonts w:ascii="Times New Roman" w:hAnsi="Times New Roman"/>
                <w:bCs/>
                <w:iCs/>
                <w:color w:val="000000"/>
                <w:sz w:val="24"/>
                <w:szCs w:val="24"/>
              </w:rPr>
              <w:footnoteReference w:id="14"/>
            </w:r>
            <w:r w:rsidR="00A407EA" w:rsidRPr="00A470F2">
              <w:rPr>
                <w:rFonts w:ascii="Times New Roman" w:hAnsi="Times New Roman"/>
                <w:bCs/>
                <w:color w:val="000000"/>
                <w:sz w:val="24"/>
                <w:szCs w:val="24"/>
              </w:rPr>
              <w:t>.</w:t>
            </w:r>
          </w:p>
          <w:p w14:paraId="72C10BE1" w14:textId="51AFD47B" w:rsidR="004C2CCF" w:rsidRPr="00A470F2" w:rsidRDefault="004C2CCF" w:rsidP="00A470F2">
            <w:pPr>
              <w:widowControl w:val="0"/>
              <w:spacing w:before="120" w:after="120"/>
              <w:ind w:right="11"/>
              <w:jc w:val="both"/>
              <w:rPr>
                <w:rFonts w:ascii="Times New Roman" w:hAnsi="Times New Roman"/>
                <w:bCs/>
                <w:color w:val="000000"/>
                <w:sz w:val="24"/>
                <w:szCs w:val="24"/>
              </w:rPr>
            </w:pPr>
            <w:r w:rsidRPr="00A470F2">
              <w:rPr>
                <w:rFonts w:ascii="Times New Roman" w:hAnsi="Times New Roman"/>
                <w:bCs/>
                <w:color w:val="000000"/>
                <w:sz w:val="24"/>
                <w:szCs w:val="24"/>
              </w:rPr>
              <w:t xml:space="preserve">The President has tasked Executive Vice-President </w:t>
            </w:r>
            <w:r w:rsidR="00085FE7" w:rsidRPr="00A470F2">
              <w:rPr>
                <w:rFonts w:ascii="Times New Roman" w:hAnsi="Times New Roman"/>
                <w:bCs/>
                <w:color w:val="000000"/>
                <w:sz w:val="24"/>
                <w:szCs w:val="24"/>
              </w:rPr>
              <w:t>Mînzatu</w:t>
            </w:r>
            <w:r w:rsidR="00EE2FBB" w:rsidRPr="00A470F2">
              <w:rPr>
                <w:rFonts w:ascii="Times New Roman" w:hAnsi="Times New Roman"/>
                <w:bCs/>
                <w:color w:val="000000"/>
                <w:sz w:val="24"/>
                <w:szCs w:val="24"/>
              </w:rPr>
              <w:t xml:space="preserve"> </w:t>
            </w:r>
            <w:r w:rsidRPr="00A470F2">
              <w:rPr>
                <w:rFonts w:ascii="Times New Roman" w:hAnsi="Times New Roman"/>
                <w:bCs/>
                <w:color w:val="000000"/>
                <w:sz w:val="24"/>
                <w:szCs w:val="24"/>
              </w:rPr>
              <w:t xml:space="preserve">with advancing the development of the social economy, notably by fully implementing the Social Economy Action Plan. She also is tasked with developing a Quality Jobs Roadmap that </w:t>
            </w:r>
            <w:r w:rsidRPr="00A470F2">
              <w:rPr>
                <w:rFonts w:ascii="Times New Roman" w:hAnsi="Times New Roman"/>
                <w:bCs/>
                <w:i/>
                <w:iCs/>
                <w:color w:val="000000"/>
                <w:sz w:val="24"/>
                <w:szCs w:val="24"/>
              </w:rPr>
              <w:t>i.a.</w:t>
            </w:r>
            <w:r w:rsidRPr="00A470F2">
              <w:rPr>
                <w:rFonts w:ascii="Times New Roman" w:hAnsi="Times New Roman"/>
                <w:bCs/>
                <w:color w:val="000000"/>
                <w:sz w:val="24"/>
                <w:szCs w:val="24"/>
              </w:rPr>
              <w:t xml:space="preserve"> will support fair wages, high standards for health and safety, good working conditions, training and fair job transitions for workers and self-employed.</w:t>
            </w:r>
          </w:p>
          <w:p w14:paraId="28FCE07A" w14:textId="1CB47316" w:rsidR="00C60240" w:rsidRPr="00A470F2" w:rsidRDefault="004C2CCF" w:rsidP="00A470F2">
            <w:pPr>
              <w:widowControl w:val="0"/>
              <w:spacing w:before="120" w:after="120"/>
              <w:ind w:right="11"/>
              <w:jc w:val="both"/>
              <w:rPr>
                <w:rFonts w:ascii="Times New Roman" w:hAnsi="Times New Roman"/>
                <w:bCs/>
                <w:color w:val="000000"/>
                <w:sz w:val="24"/>
                <w:szCs w:val="24"/>
              </w:rPr>
            </w:pPr>
            <w:r w:rsidRPr="00A470F2">
              <w:rPr>
                <w:rFonts w:ascii="Times New Roman" w:hAnsi="Times New Roman"/>
                <w:bCs/>
                <w:color w:val="000000"/>
                <w:sz w:val="24"/>
                <w:szCs w:val="24"/>
              </w:rPr>
              <w:t xml:space="preserve">Executive Vice-President Ribera, will work with other Members of College </w:t>
            </w:r>
            <w:r w:rsidR="0053715C" w:rsidRPr="00A470F2">
              <w:rPr>
                <w:rFonts w:ascii="Times New Roman" w:hAnsi="Times New Roman"/>
                <w:bCs/>
                <w:color w:val="000000"/>
                <w:sz w:val="24"/>
                <w:szCs w:val="24"/>
              </w:rPr>
              <w:t>to steer</w:t>
            </w:r>
            <w:r w:rsidRPr="00A470F2">
              <w:rPr>
                <w:rFonts w:ascii="Times New Roman" w:hAnsi="Times New Roman"/>
                <w:bCs/>
                <w:color w:val="000000"/>
                <w:sz w:val="24"/>
                <w:szCs w:val="24"/>
              </w:rPr>
              <w:t xml:space="preserve"> investment and financing in a just and social transition</w:t>
            </w:r>
            <w:r w:rsidR="0053715C" w:rsidRPr="00A470F2">
              <w:rPr>
                <w:rFonts w:ascii="Times New Roman" w:hAnsi="Times New Roman"/>
                <w:bCs/>
                <w:color w:val="000000"/>
                <w:sz w:val="24"/>
                <w:szCs w:val="24"/>
              </w:rPr>
              <w:t xml:space="preserve">. She </w:t>
            </w:r>
            <w:r w:rsidR="006C4CD7" w:rsidRPr="00A470F2">
              <w:rPr>
                <w:rFonts w:ascii="Times New Roman" w:hAnsi="Times New Roman"/>
                <w:bCs/>
                <w:color w:val="000000"/>
                <w:sz w:val="24"/>
                <w:szCs w:val="24"/>
              </w:rPr>
              <w:t xml:space="preserve">will </w:t>
            </w:r>
            <w:r w:rsidR="0053715C" w:rsidRPr="00A470F2">
              <w:rPr>
                <w:rFonts w:ascii="Times New Roman" w:hAnsi="Times New Roman"/>
                <w:bCs/>
                <w:color w:val="000000"/>
                <w:sz w:val="24"/>
                <w:szCs w:val="24"/>
              </w:rPr>
              <w:t xml:space="preserve">also propose </w:t>
            </w:r>
            <w:r w:rsidRPr="00A470F2">
              <w:rPr>
                <w:rFonts w:ascii="Times New Roman" w:hAnsi="Times New Roman"/>
                <w:bCs/>
                <w:color w:val="000000"/>
                <w:sz w:val="24"/>
                <w:szCs w:val="24"/>
              </w:rPr>
              <w:t>State aid rules to enable housing support measures, notably for energy efficiency and social housing.</w:t>
            </w:r>
          </w:p>
          <w:p w14:paraId="2CB8C3F1" w14:textId="36ACC2A8" w:rsidR="00C60240" w:rsidRPr="00A470F2" w:rsidRDefault="004C2CCF" w:rsidP="00A470F2">
            <w:pPr>
              <w:widowControl w:val="0"/>
              <w:spacing w:before="120" w:after="120"/>
              <w:ind w:right="11"/>
              <w:jc w:val="both"/>
              <w:rPr>
                <w:rFonts w:ascii="Times New Roman" w:hAnsi="Times New Roman"/>
                <w:bCs/>
                <w:color w:val="000000"/>
                <w:sz w:val="24"/>
                <w:szCs w:val="24"/>
              </w:rPr>
            </w:pPr>
            <w:r w:rsidRPr="00A470F2">
              <w:rPr>
                <w:rFonts w:ascii="Times New Roman" w:hAnsi="Times New Roman"/>
                <w:bCs/>
                <w:color w:val="000000"/>
                <w:sz w:val="24"/>
                <w:szCs w:val="24"/>
              </w:rPr>
              <w:t>Commissioner Jørgensen is tasked with i.a. supporting Member States to address structural drivers and unlocking public and private investment for affordable and sustainable housing.</w:t>
            </w:r>
          </w:p>
          <w:p w14:paraId="3FE8DD38" w14:textId="2DA2B6CC" w:rsidR="006C4CD7" w:rsidRPr="00A470F2" w:rsidRDefault="004C2CCF" w:rsidP="00A470F2">
            <w:pPr>
              <w:widowControl w:val="0"/>
              <w:spacing w:before="120" w:after="120"/>
              <w:ind w:right="11"/>
              <w:jc w:val="both"/>
              <w:rPr>
                <w:rFonts w:ascii="Times New Roman" w:hAnsi="Times New Roman"/>
                <w:bCs/>
                <w:sz w:val="24"/>
                <w:szCs w:val="24"/>
              </w:rPr>
            </w:pPr>
            <w:r w:rsidRPr="00A470F2">
              <w:rPr>
                <w:rFonts w:ascii="Times New Roman" w:hAnsi="Times New Roman"/>
                <w:bCs/>
                <w:color w:val="000000"/>
                <w:sz w:val="24"/>
                <w:szCs w:val="24"/>
              </w:rPr>
              <w:t>The tasks of Commissioner Dombrovskis include policy coordination for competitiveness, sustainability and social fairness, and improving the coordination of national economic and social policies across Member States and ensuring that they address common EU priorities as well as national and, where relevant, regional challenges</w:t>
            </w:r>
            <w:r w:rsidRPr="00A470F2">
              <w:rPr>
                <w:rFonts w:ascii="Times New Roman" w:hAnsi="Times New Roman"/>
                <w:bCs/>
                <w:sz w:val="24"/>
                <w:szCs w:val="24"/>
              </w:rPr>
              <w:t>.</w:t>
            </w:r>
          </w:p>
          <w:p w14:paraId="3A162597" w14:textId="0F2DC242" w:rsidR="00B84947" w:rsidRPr="00A470F2" w:rsidRDefault="00F932DA" w:rsidP="00A470F2">
            <w:pPr>
              <w:widowControl w:val="0"/>
              <w:spacing w:before="120" w:after="120"/>
              <w:ind w:right="11"/>
              <w:jc w:val="both"/>
              <w:rPr>
                <w:rFonts w:ascii="Times New Roman" w:hAnsi="Times New Roman"/>
                <w:bCs/>
                <w:sz w:val="24"/>
                <w:szCs w:val="24"/>
              </w:rPr>
            </w:pPr>
            <w:r w:rsidRPr="00A470F2">
              <w:rPr>
                <w:rFonts w:ascii="Times New Roman" w:hAnsi="Times New Roman"/>
                <w:bCs/>
                <w:color w:val="000000"/>
                <w:sz w:val="24"/>
                <w:szCs w:val="24"/>
              </w:rPr>
              <w:t>Executive Vice-President Séjourné is tasked with revising the Public Procurement Directives</w:t>
            </w:r>
            <w:r w:rsidR="00631489">
              <w:rPr>
                <w:rStyle w:val="FootnoteReference"/>
                <w:rFonts w:ascii="Times New Roman" w:hAnsi="Times New Roman"/>
                <w:bCs/>
                <w:color w:val="000000"/>
                <w:sz w:val="24"/>
                <w:szCs w:val="24"/>
              </w:rPr>
              <w:footnoteReference w:id="15"/>
            </w:r>
            <w:r w:rsidRPr="00A470F2">
              <w:rPr>
                <w:rFonts w:ascii="Times New Roman" w:hAnsi="Times New Roman"/>
                <w:bCs/>
                <w:color w:val="000000"/>
                <w:sz w:val="24"/>
                <w:szCs w:val="24"/>
              </w:rPr>
              <w:t>, identifying, among other things, possible steps forward on the use of social clauses.</w:t>
            </w:r>
          </w:p>
        </w:tc>
      </w:tr>
    </w:tbl>
    <w:p w14:paraId="4B31F071" w14:textId="77777777" w:rsidR="00077C4F" w:rsidRPr="00A470F2" w:rsidRDefault="00077C4F" w:rsidP="00A470F2">
      <w:pPr>
        <w:widowControl w:val="0"/>
        <w:spacing w:after="0" w:line="240" w:lineRule="auto"/>
        <w:ind w:left="-567"/>
        <w:jc w:val="both"/>
        <w:rPr>
          <w:rFonts w:ascii="Times New Roman" w:hAnsi="Times New Roman"/>
          <w:bCs/>
          <w:sz w:val="16"/>
          <w:szCs w:val="16"/>
        </w:rPr>
      </w:pPr>
    </w:p>
    <w:sectPr w:rsidR="00077C4F" w:rsidRPr="00A470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674C" w14:textId="77777777" w:rsidR="00417B89" w:rsidRDefault="00417B89" w:rsidP="00FF63EA">
      <w:pPr>
        <w:spacing w:after="0" w:line="240" w:lineRule="auto"/>
      </w:pPr>
      <w:r>
        <w:separator/>
      </w:r>
    </w:p>
  </w:endnote>
  <w:endnote w:type="continuationSeparator" w:id="0">
    <w:p w14:paraId="408471A4" w14:textId="77777777" w:rsidR="00417B89" w:rsidRDefault="00417B89" w:rsidP="00FF63EA">
      <w:pPr>
        <w:spacing w:after="0" w:line="240" w:lineRule="auto"/>
      </w:pPr>
      <w:r>
        <w:continuationSeparator/>
      </w:r>
    </w:p>
  </w:endnote>
  <w:endnote w:type="continuationNotice" w:id="1">
    <w:p w14:paraId="46A311A5" w14:textId="77777777" w:rsidR="00417B89" w:rsidRDefault="00417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7520" w14:textId="77777777" w:rsidR="00417B89" w:rsidRDefault="00417B89" w:rsidP="00FF63EA">
      <w:pPr>
        <w:spacing w:after="0" w:line="240" w:lineRule="auto"/>
      </w:pPr>
      <w:r>
        <w:separator/>
      </w:r>
    </w:p>
  </w:footnote>
  <w:footnote w:type="continuationSeparator" w:id="0">
    <w:p w14:paraId="57F54CA0" w14:textId="77777777" w:rsidR="00417B89" w:rsidRDefault="00417B89" w:rsidP="00FF63EA">
      <w:pPr>
        <w:spacing w:after="0" w:line="240" w:lineRule="auto"/>
      </w:pPr>
      <w:r>
        <w:continuationSeparator/>
      </w:r>
    </w:p>
  </w:footnote>
  <w:footnote w:type="continuationNotice" w:id="1">
    <w:p w14:paraId="4F5EFCF3" w14:textId="77777777" w:rsidR="00417B89" w:rsidRDefault="00417B89">
      <w:pPr>
        <w:spacing w:after="0" w:line="240" w:lineRule="auto"/>
      </w:pPr>
    </w:p>
  </w:footnote>
  <w:footnote w:id="2">
    <w:p w14:paraId="1E069AC9" w14:textId="7E0887F2" w:rsidR="00A152F4" w:rsidRPr="00E4463E" w:rsidRDefault="00A152F4" w:rsidP="00E4463E">
      <w:pPr>
        <w:pStyle w:val="FootnoteText"/>
        <w:widowControl w:val="0"/>
        <w:spacing w:after="0" w:line="240" w:lineRule="auto"/>
        <w:ind w:left="-142" w:right="-426" w:hanging="283"/>
        <w:jc w:val="both"/>
        <w:rPr>
          <w:rFonts w:ascii="Times New Roman" w:hAnsi="Times New Roman"/>
          <w:lang w:val="en-IE"/>
        </w:rPr>
      </w:pPr>
      <w:r w:rsidRPr="00E4463E">
        <w:rPr>
          <w:rStyle w:val="FootnoteReference"/>
          <w:rFonts w:ascii="Times New Roman" w:hAnsi="Times New Roman"/>
        </w:rPr>
        <w:footnoteRef/>
      </w:r>
      <w:r w:rsidRPr="00E4463E">
        <w:rPr>
          <w:rFonts w:ascii="Times New Roman" w:hAnsi="Times New Roman"/>
        </w:rPr>
        <w:t xml:space="preserve"> </w:t>
      </w:r>
      <w:r w:rsidR="003D34C2" w:rsidRPr="00E4463E">
        <w:rPr>
          <w:rFonts w:ascii="Times New Roman" w:hAnsi="Times New Roman"/>
        </w:rPr>
        <w:tab/>
      </w:r>
      <w:r w:rsidRPr="00E4463E">
        <w:rPr>
          <w:rFonts w:ascii="Times New Roman" w:hAnsi="Times New Roman"/>
        </w:rPr>
        <w:t xml:space="preserve">European Commission: Directorate-General for Employment, Social Affairs and Inclusion, </w:t>
      </w:r>
      <w:r w:rsidRPr="00E4463E">
        <w:rPr>
          <w:rFonts w:ascii="Times New Roman" w:hAnsi="Times New Roman"/>
          <w:i/>
          <w:iCs/>
        </w:rPr>
        <w:t>Study on State aid for access to finance for social enterprises and for the recruitment of disadvantaged workers in the form of wage subsidies – Final study</w:t>
      </w:r>
      <w:r w:rsidRPr="00E4463E">
        <w:rPr>
          <w:rFonts w:ascii="Times New Roman" w:hAnsi="Times New Roman"/>
        </w:rPr>
        <w:t>, Publications Office of the European Union, 2024</w:t>
      </w:r>
      <w:r w:rsidR="003D34C2" w:rsidRPr="00E4463E">
        <w:rPr>
          <w:rFonts w:ascii="Times New Roman" w:hAnsi="Times New Roman"/>
        </w:rPr>
        <w:t xml:space="preserve"> (</w:t>
      </w:r>
      <w:r w:rsidRPr="00E4463E">
        <w:rPr>
          <w:rFonts w:ascii="Times New Roman" w:hAnsi="Times New Roman"/>
        </w:rPr>
        <w:t xml:space="preserve"> </w:t>
      </w:r>
      <w:hyperlink r:id="rId1" w:history="1">
        <w:r w:rsidRPr="00E4463E">
          <w:rPr>
            <w:rStyle w:val="Hyperlink"/>
            <w:rFonts w:ascii="Times New Roman" w:hAnsi="Times New Roman"/>
          </w:rPr>
          <w:t>https://data.europa.eu/doi/10.2767/715592</w:t>
        </w:r>
      </w:hyperlink>
      <w:r w:rsidR="003D34C2" w:rsidRPr="00E4463E">
        <w:rPr>
          <w:rStyle w:val="Hyperlink"/>
          <w:rFonts w:ascii="Times New Roman" w:hAnsi="Times New Roman"/>
        </w:rPr>
        <w:t>).</w:t>
      </w:r>
    </w:p>
  </w:footnote>
  <w:footnote w:id="3">
    <w:p w14:paraId="72AA4991" w14:textId="2401F0CF" w:rsidR="003D34C2" w:rsidRPr="00E4463E" w:rsidRDefault="003D34C2" w:rsidP="00E4463E">
      <w:pPr>
        <w:pStyle w:val="FootnoteText"/>
        <w:widowControl w:val="0"/>
        <w:spacing w:after="0" w:line="240" w:lineRule="auto"/>
        <w:ind w:left="-142" w:right="-426" w:hanging="283"/>
        <w:jc w:val="both"/>
        <w:rPr>
          <w:rFonts w:ascii="Times New Roman" w:hAnsi="Times New Roman"/>
        </w:rPr>
      </w:pPr>
      <w:r w:rsidRPr="00E4463E">
        <w:rPr>
          <w:rStyle w:val="FootnoteReference"/>
          <w:rFonts w:ascii="Times New Roman" w:hAnsi="Times New Roman"/>
        </w:rPr>
        <w:footnoteRef/>
      </w:r>
      <w:r w:rsidRPr="00E4463E">
        <w:rPr>
          <w:rFonts w:ascii="Times New Roman" w:hAnsi="Times New Roman"/>
        </w:rPr>
        <w:t xml:space="preserve"> </w:t>
      </w:r>
      <w:r w:rsidRPr="00E4463E">
        <w:rPr>
          <w:rFonts w:ascii="Times New Roman" w:hAnsi="Times New Roman"/>
        </w:rPr>
        <w:tab/>
        <w:t>Commission Regulation (EU) No 651/2014 of 17 June 2014 declaring certain categories of aid compatible with the internal market in application of Articles 107 and 108 of the Treaty (</w:t>
      </w:r>
      <w:hyperlink r:id="rId2" w:history="1">
        <w:r w:rsidRPr="00E4463E">
          <w:rPr>
            <w:rStyle w:val="Hyperlink"/>
            <w:rFonts w:ascii="Times New Roman" w:hAnsi="Times New Roman"/>
          </w:rPr>
          <w:t>Regulation - 651/2014 - EN - General Block Exemption Regulation - EUR-Lex</w:t>
        </w:r>
      </w:hyperlink>
      <w:r w:rsidRPr="00E4463E">
        <w:rPr>
          <w:rFonts w:ascii="Times New Roman" w:hAnsi="Times New Roman"/>
        </w:rPr>
        <w:t>).</w:t>
      </w:r>
    </w:p>
  </w:footnote>
  <w:footnote w:id="4">
    <w:p w14:paraId="4C3BDA9A" w14:textId="301D9E03" w:rsidR="003D34C2" w:rsidRPr="00E4463E" w:rsidRDefault="003D34C2" w:rsidP="00E4463E">
      <w:pPr>
        <w:pStyle w:val="FootnoteText"/>
        <w:spacing w:after="0" w:line="240" w:lineRule="auto"/>
        <w:ind w:left="-142" w:right="-426" w:hanging="283"/>
        <w:jc w:val="both"/>
        <w:rPr>
          <w:rFonts w:ascii="Times New Roman" w:hAnsi="Times New Roman"/>
          <w:lang w:val="fr-BE"/>
        </w:rPr>
      </w:pPr>
      <w:r w:rsidRPr="00E4463E">
        <w:rPr>
          <w:rStyle w:val="FootnoteReference"/>
          <w:rFonts w:ascii="Times New Roman" w:hAnsi="Times New Roman"/>
        </w:rPr>
        <w:footnoteRef/>
      </w:r>
      <w:r w:rsidRPr="00E4463E">
        <w:rPr>
          <w:rFonts w:ascii="Times New Roman" w:hAnsi="Times New Roman"/>
          <w:lang w:val="fr-BE"/>
        </w:rPr>
        <w:t xml:space="preserve"> </w:t>
      </w:r>
      <w:r w:rsidRPr="00E4463E">
        <w:rPr>
          <w:rFonts w:ascii="Times New Roman" w:hAnsi="Times New Roman"/>
          <w:lang w:val="fr-BE"/>
        </w:rPr>
        <w:tab/>
      </w:r>
      <w:hyperlink r:id="rId3" w:history="1">
        <w:r w:rsidRPr="00E4463E">
          <w:rPr>
            <w:rStyle w:val="Hyperlink"/>
            <w:rFonts w:ascii="Times New Roman" w:hAnsi="Times New Roman"/>
            <w:lang w:val="fr-BE"/>
          </w:rPr>
          <w:t>EUR-Lex - 32017C1213(01) - EN - EUR-Lex</w:t>
        </w:r>
      </w:hyperlink>
      <w:r w:rsidRPr="00E4463E">
        <w:rPr>
          <w:rFonts w:ascii="Times New Roman" w:hAnsi="Times New Roman"/>
          <w:lang w:val="fr-BE"/>
        </w:rPr>
        <w:t>.</w:t>
      </w:r>
    </w:p>
  </w:footnote>
  <w:footnote w:id="5">
    <w:p w14:paraId="14EE866B" w14:textId="03827339" w:rsidR="0090125E" w:rsidRPr="00E4463E" w:rsidRDefault="0090125E" w:rsidP="00E4463E">
      <w:pPr>
        <w:pStyle w:val="FootnoteText"/>
        <w:widowControl w:val="0"/>
        <w:spacing w:after="0" w:line="240" w:lineRule="auto"/>
        <w:ind w:left="-142" w:right="-426" w:hanging="283"/>
        <w:jc w:val="both"/>
        <w:rPr>
          <w:rFonts w:ascii="Times New Roman" w:hAnsi="Times New Roman"/>
        </w:rPr>
      </w:pPr>
      <w:r w:rsidRPr="00E4463E">
        <w:rPr>
          <w:rStyle w:val="FootnoteReference"/>
          <w:rFonts w:ascii="Times New Roman" w:hAnsi="Times New Roman"/>
        </w:rPr>
        <w:footnoteRef/>
      </w:r>
      <w:r w:rsidRPr="00E4463E">
        <w:rPr>
          <w:rFonts w:ascii="Times New Roman" w:hAnsi="Times New Roman"/>
        </w:rPr>
        <w:t xml:space="preserve"> </w:t>
      </w:r>
      <w:r w:rsidRPr="00E4463E">
        <w:rPr>
          <w:rFonts w:ascii="Times New Roman" w:hAnsi="Times New Roman"/>
        </w:rPr>
        <w:tab/>
        <w:t>Communication</w:t>
      </w:r>
      <w:r w:rsidR="009C780D" w:rsidRPr="00E4463E">
        <w:rPr>
          <w:rFonts w:ascii="Times New Roman" w:hAnsi="Times New Roman"/>
        </w:rPr>
        <w:t xml:space="preserve"> </w:t>
      </w:r>
      <w:r w:rsidRPr="00E4463E">
        <w:rPr>
          <w:rFonts w:ascii="Times New Roman" w:hAnsi="Times New Roman"/>
        </w:rPr>
        <w:t>from the Commission — Criteria for the analysis of the compatibility of State aid for the employment of disadvantaged and disabled workers subject to individual notification</w:t>
      </w:r>
      <w:r w:rsidR="00553685" w:rsidRPr="00E4463E">
        <w:rPr>
          <w:rFonts w:ascii="Times New Roman" w:hAnsi="Times New Roman"/>
        </w:rPr>
        <w:t>; 2009/C 188/02</w:t>
      </w:r>
      <w:r w:rsidRPr="00E4463E">
        <w:rPr>
          <w:rFonts w:ascii="Times New Roman" w:hAnsi="Times New Roman"/>
        </w:rPr>
        <w:t xml:space="preserve"> (</w:t>
      </w:r>
      <w:hyperlink r:id="rId4" w:anchor=":~:text=This%20Communication%20sets%20out%20guidance%20as%20to%20the,of%20the%20Treaty%20%28General%20block%20exemption%20Regulation%20%281%29%29." w:history="1">
        <w:r w:rsidRPr="00E4463E">
          <w:rPr>
            <w:rStyle w:val="Hyperlink"/>
            <w:rFonts w:ascii="Times New Roman" w:hAnsi="Times New Roman"/>
          </w:rPr>
          <w:t>EUR-Lex - 52009XC0811(02) - EN - EUR-Lex</w:t>
        </w:r>
      </w:hyperlink>
      <w:r w:rsidRPr="00E4463E">
        <w:rPr>
          <w:rFonts w:ascii="Times New Roman" w:hAnsi="Times New Roman"/>
        </w:rPr>
        <w:t>).</w:t>
      </w:r>
    </w:p>
  </w:footnote>
  <w:footnote w:id="6">
    <w:p w14:paraId="04F06B24" w14:textId="287E0119" w:rsidR="00257698" w:rsidRPr="00E4463E" w:rsidRDefault="00257698" w:rsidP="00E4463E">
      <w:pPr>
        <w:pStyle w:val="FootnoteText"/>
        <w:widowControl w:val="0"/>
        <w:spacing w:after="0" w:line="240" w:lineRule="auto"/>
        <w:ind w:left="-141" w:right="-426" w:hanging="284"/>
        <w:jc w:val="both"/>
        <w:rPr>
          <w:rFonts w:ascii="Times New Roman" w:hAnsi="Times New Roman"/>
        </w:rPr>
      </w:pPr>
      <w:r w:rsidRPr="00E4463E">
        <w:rPr>
          <w:rStyle w:val="FootnoteReference"/>
          <w:rFonts w:ascii="Times New Roman" w:hAnsi="Times New Roman"/>
        </w:rPr>
        <w:footnoteRef/>
      </w:r>
      <w:r w:rsidRPr="00E4463E">
        <w:rPr>
          <w:rFonts w:ascii="Times New Roman" w:hAnsi="Times New Roman"/>
        </w:rPr>
        <w:t xml:space="preserve"> </w:t>
      </w:r>
      <w:r w:rsidRPr="00E4463E">
        <w:rPr>
          <w:rFonts w:ascii="Times New Roman" w:hAnsi="Times New Roman"/>
        </w:rPr>
        <w:tab/>
        <w:t>SWD(2013) 53 final/2 (</w:t>
      </w:r>
      <w:hyperlink r:id="rId5" w:history="1">
        <w:r w:rsidRPr="00E4463E">
          <w:rPr>
            <w:rStyle w:val="Hyperlink"/>
            <w:rFonts w:ascii="Times New Roman" w:hAnsi="Times New Roman"/>
          </w:rPr>
          <w:t>fa5e107c-ad5c-4ae8-a8ae-b0037c993b23_en</w:t>
        </w:r>
      </w:hyperlink>
      <w:r w:rsidRPr="00E4463E">
        <w:rPr>
          <w:rFonts w:ascii="Times New Roman" w:hAnsi="Times New Roman"/>
        </w:rPr>
        <w:t>).</w:t>
      </w:r>
    </w:p>
  </w:footnote>
  <w:footnote w:id="7">
    <w:p w14:paraId="1122D7C0" w14:textId="425E26D2" w:rsidR="00A152F4" w:rsidRPr="00E4463E" w:rsidRDefault="00A152F4" w:rsidP="00E4463E">
      <w:pPr>
        <w:pStyle w:val="FootnoteText"/>
        <w:widowControl w:val="0"/>
        <w:spacing w:after="0" w:line="240" w:lineRule="auto"/>
        <w:ind w:left="-141" w:right="-426" w:hanging="284"/>
        <w:jc w:val="both"/>
        <w:rPr>
          <w:rFonts w:ascii="Times New Roman" w:hAnsi="Times New Roman"/>
          <w:lang w:val="en-IE"/>
        </w:rPr>
      </w:pPr>
      <w:r w:rsidRPr="00E4463E">
        <w:rPr>
          <w:rStyle w:val="FootnoteReference"/>
          <w:rFonts w:ascii="Times New Roman" w:hAnsi="Times New Roman"/>
        </w:rPr>
        <w:footnoteRef/>
      </w:r>
      <w:r w:rsidRPr="00E4463E">
        <w:rPr>
          <w:rFonts w:ascii="Times New Roman" w:hAnsi="Times New Roman"/>
        </w:rPr>
        <w:t xml:space="preserve"> </w:t>
      </w:r>
      <w:r w:rsidR="00553685" w:rsidRPr="00E4463E">
        <w:rPr>
          <w:rFonts w:ascii="Times New Roman" w:hAnsi="Times New Roman"/>
        </w:rPr>
        <w:tab/>
      </w:r>
      <w:r w:rsidR="00C73DB4" w:rsidRPr="00E4463E">
        <w:rPr>
          <w:rFonts w:ascii="Times New Roman" w:hAnsi="Times New Roman"/>
        </w:rPr>
        <w:t>Commission Notice on the notion of State aid as referred to in Article 107(1) of the Treaty on the Functioning of the European Union</w:t>
      </w:r>
      <w:r w:rsidR="00553685" w:rsidRPr="00E4463E">
        <w:rPr>
          <w:rFonts w:ascii="Times New Roman" w:hAnsi="Times New Roman"/>
        </w:rPr>
        <w:t>;</w:t>
      </w:r>
      <w:r w:rsidR="00C73DB4" w:rsidRPr="00E4463E">
        <w:rPr>
          <w:rFonts w:ascii="Times New Roman" w:hAnsi="Times New Roman"/>
        </w:rPr>
        <w:t xml:space="preserve"> C/2016/2946,</w:t>
      </w:r>
      <w:r w:rsidR="00553685" w:rsidRPr="00E4463E">
        <w:rPr>
          <w:rFonts w:ascii="Times New Roman" w:hAnsi="Times New Roman"/>
        </w:rPr>
        <w:t xml:space="preserve"> (</w:t>
      </w:r>
      <w:hyperlink r:id="rId6" w:history="1">
        <w:r w:rsidR="00553685" w:rsidRPr="00E4463E">
          <w:rPr>
            <w:rStyle w:val="Hyperlink"/>
            <w:rFonts w:ascii="Times New Roman" w:hAnsi="Times New Roman"/>
          </w:rPr>
          <w:t>EUR-Lex - 52016XC0719(05) - EN - EUR-Lex</w:t>
        </w:r>
      </w:hyperlink>
      <w:r w:rsidR="00553685" w:rsidRPr="00E4463E">
        <w:rPr>
          <w:rFonts w:ascii="Times New Roman" w:hAnsi="Times New Roman"/>
        </w:rPr>
        <w:t>)</w:t>
      </w:r>
      <w:r w:rsidR="00C73DB4" w:rsidRPr="00E4463E">
        <w:rPr>
          <w:rFonts w:ascii="Times New Roman" w:hAnsi="Times New Roman"/>
        </w:rPr>
        <w:t>.</w:t>
      </w:r>
    </w:p>
  </w:footnote>
  <w:footnote w:id="8">
    <w:p w14:paraId="7E677454" w14:textId="70E816F3" w:rsidR="00553685" w:rsidRPr="00E4463E" w:rsidRDefault="00553685" w:rsidP="00E4463E">
      <w:pPr>
        <w:pStyle w:val="FootnoteText"/>
        <w:widowControl w:val="0"/>
        <w:spacing w:after="0" w:line="240" w:lineRule="auto"/>
        <w:ind w:left="-141" w:right="-426" w:hanging="284"/>
        <w:jc w:val="both"/>
        <w:rPr>
          <w:rFonts w:ascii="Times New Roman" w:hAnsi="Times New Roman"/>
        </w:rPr>
      </w:pPr>
      <w:r w:rsidRPr="00E4463E">
        <w:rPr>
          <w:rStyle w:val="FootnoteReference"/>
          <w:rFonts w:ascii="Times New Roman" w:hAnsi="Times New Roman"/>
        </w:rPr>
        <w:footnoteRef/>
      </w:r>
      <w:r w:rsidRPr="00E4463E">
        <w:rPr>
          <w:rFonts w:ascii="Times New Roman" w:hAnsi="Times New Roman"/>
        </w:rPr>
        <w:t xml:space="preserve"> </w:t>
      </w:r>
      <w:r w:rsidRPr="00E4463E">
        <w:rPr>
          <w:rFonts w:ascii="Times New Roman" w:hAnsi="Times New Roman"/>
        </w:rPr>
        <w:tab/>
        <w:t>Communication</w:t>
      </w:r>
      <w:r w:rsidRPr="00E4463E">
        <w:rPr>
          <w:rFonts w:ascii="Times New Roman" w:hAnsi="Times New Roman"/>
          <w:color w:val="000000"/>
        </w:rPr>
        <w:t xml:space="preserve"> </w:t>
      </w:r>
      <w:r w:rsidRPr="00E4463E">
        <w:rPr>
          <w:rFonts w:ascii="Times New Roman" w:hAnsi="Times New Roman"/>
        </w:rPr>
        <w:t xml:space="preserve">from the Commission on the application of the European Union State aid rules to compensation granted for the provision of services of general economic interest; </w:t>
      </w:r>
      <w:r w:rsidRPr="00E4463E">
        <w:rPr>
          <w:rFonts w:ascii="Times New Roman" w:hAnsi="Times New Roman"/>
          <w:color w:val="000000"/>
        </w:rPr>
        <w:t>2012/C8/02</w:t>
      </w:r>
      <w:r w:rsidRPr="00E4463E">
        <w:rPr>
          <w:rFonts w:ascii="Times New Roman" w:hAnsi="Times New Roman"/>
        </w:rPr>
        <w:t xml:space="preserve"> (</w:t>
      </w:r>
      <w:hyperlink r:id="rId7" w:history="1">
        <w:r w:rsidRPr="00E4463E">
          <w:rPr>
            <w:rStyle w:val="Hyperlink"/>
            <w:rFonts w:ascii="Times New Roman" w:hAnsi="Times New Roman"/>
          </w:rPr>
          <w:t>EUR-Lex - 52012XC0111(02) - EN - EUR-Lex</w:t>
        </w:r>
      </w:hyperlink>
      <w:r w:rsidRPr="00E4463E">
        <w:rPr>
          <w:rFonts w:ascii="Times New Roman" w:hAnsi="Times New Roman"/>
        </w:rPr>
        <w:t>).</w:t>
      </w:r>
    </w:p>
  </w:footnote>
  <w:footnote w:id="9">
    <w:p w14:paraId="25BBC202" w14:textId="31C69B37" w:rsidR="00B416B7" w:rsidRPr="00E4463E" w:rsidRDefault="00B416B7" w:rsidP="00E4463E">
      <w:pPr>
        <w:pStyle w:val="FootnoteText"/>
        <w:widowControl w:val="0"/>
        <w:spacing w:after="0" w:line="240" w:lineRule="auto"/>
        <w:ind w:left="-141" w:right="-426" w:hanging="284"/>
        <w:jc w:val="both"/>
        <w:rPr>
          <w:rFonts w:ascii="Times New Roman" w:hAnsi="Times New Roman"/>
          <w:lang w:val="fr-BE"/>
        </w:rPr>
      </w:pPr>
      <w:r w:rsidRPr="00E4463E">
        <w:rPr>
          <w:rStyle w:val="FootnoteReference"/>
          <w:rFonts w:ascii="Times New Roman" w:hAnsi="Times New Roman"/>
        </w:rPr>
        <w:footnoteRef/>
      </w:r>
      <w:r w:rsidRPr="00E4463E">
        <w:rPr>
          <w:rFonts w:ascii="Times New Roman" w:hAnsi="Times New Roman"/>
          <w:lang w:val="fr-BE"/>
        </w:rPr>
        <w:t xml:space="preserve"> </w:t>
      </w:r>
      <w:r w:rsidRPr="00E4463E">
        <w:rPr>
          <w:rFonts w:ascii="Times New Roman" w:hAnsi="Times New Roman"/>
          <w:lang w:val="fr-BE"/>
        </w:rPr>
        <w:tab/>
        <w:t>COM(2021) 778 final (</w:t>
      </w:r>
      <w:hyperlink r:id="rId8" w:history="1">
        <w:r w:rsidRPr="00E4463E">
          <w:rPr>
            <w:rStyle w:val="Hyperlink"/>
            <w:rFonts w:ascii="Times New Roman" w:hAnsi="Times New Roman"/>
            <w:lang w:val="fr-BE"/>
          </w:rPr>
          <w:t>EUR-Lex - 52021DC0778 - EN - EUR-Lex</w:t>
        </w:r>
      </w:hyperlink>
      <w:r w:rsidRPr="00E4463E">
        <w:rPr>
          <w:rFonts w:ascii="Times New Roman" w:hAnsi="Times New Roman"/>
          <w:lang w:val="fr-BE"/>
        </w:rPr>
        <w:t>).</w:t>
      </w:r>
    </w:p>
  </w:footnote>
  <w:footnote w:id="10">
    <w:p w14:paraId="73186901" w14:textId="0BB173C6" w:rsidR="00B416B7" w:rsidRPr="00E4463E" w:rsidRDefault="00B416B7" w:rsidP="00E4463E">
      <w:pPr>
        <w:pStyle w:val="FootnoteText"/>
        <w:widowControl w:val="0"/>
        <w:spacing w:after="0" w:line="240" w:lineRule="auto"/>
        <w:ind w:left="-142" w:right="-426" w:hanging="284"/>
        <w:jc w:val="both"/>
        <w:rPr>
          <w:rFonts w:ascii="Times New Roman" w:hAnsi="Times New Roman"/>
          <w:lang w:val="fr-BE"/>
        </w:rPr>
      </w:pPr>
      <w:r w:rsidRPr="00E4463E">
        <w:rPr>
          <w:rStyle w:val="FootnoteReference"/>
          <w:rFonts w:ascii="Times New Roman" w:hAnsi="Times New Roman"/>
        </w:rPr>
        <w:footnoteRef/>
      </w:r>
      <w:r w:rsidRPr="00E4463E">
        <w:rPr>
          <w:rFonts w:ascii="Times New Roman" w:hAnsi="Times New Roman"/>
          <w:lang w:val="fr-BE"/>
        </w:rPr>
        <w:t xml:space="preserve"> </w:t>
      </w:r>
      <w:r w:rsidRPr="00E4463E">
        <w:rPr>
          <w:rFonts w:ascii="Times New Roman" w:hAnsi="Times New Roman"/>
          <w:lang w:val="fr-BE"/>
        </w:rPr>
        <w:tab/>
      </w:r>
      <w:hyperlink r:id="rId9" w:history="1">
        <w:r w:rsidRPr="00E4463E">
          <w:rPr>
            <w:rStyle w:val="Hyperlink"/>
            <w:rFonts w:ascii="Times New Roman" w:hAnsi="Times New Roman"/>
            <w:lang w:val="fr-BE"/>
          </w:rPr>
          <w:t>LiegeRoadmap-SocialEconomy-3-final_propre.pdf</w:t>
        </w:r>
      </w:hyperlink>
      <w:r w:rsidRPr="00E4463E">
        <w:rPr>
          <w:rFonts w:ascii="Times New Roman" w:hAnsi="Times New Roman"/>
          <w:lang w:val="fr-BE"/>
        </w:rPr>
        <w:t>.</w:t>
      </w:r>
    </w:p>
  </w:footnote>
  <w:footnote w:id="11">
    <w:p w14:paraId="3DE9F2F2" w14:textId="31042F0A" w:rsidR="00EE2FBB" w:rsidRPr="00E4463E" w:rsidRDefault="00EE2FBB" w:rsidP="00E4463E">
      <w:pPr>
        <w:pStyle w:val="FootnoteText"/>
        <w:widowControl w:val="0"/>
        <w:spacing w:after="0" w:line="240" w:lineRule="auto"/>
        <w:ind w:left="-142" w:right="-426" w:hanging="284"/>
        <w:jc w:val="both"/>
        <w:rPr>
          <w:rFonts w:ascii="Times New Roman" w:hAnsi="Times New Roman"/>
          <w:lang w:val="fr-BE"/>
        </w:rPr>
      </w:pPr>
      <w:r w:rsidRPr="00E4463E">
        <w:rPr>
          <w:rStyle w:val="FootnoteReference"/>
          <w:rFonts w:ascii="Times New Roman" w:hAnsi="Times New Roman"/>
        </w:rPr>
        <w:footnoteRef/>
      </w:r>
      <w:r w:rsidRPr="00E4463E">
        <w:rPr>
          <w:rFonts w:ascii="Times New Roman" w:hAnsi="Times New Roman"/>
          <w:lang w:val="fr-BE"/>
        </w:rPr>
        <w:t xml:space="preserve"> </w:t>
      </w:r>
      <w:r w:rsidRPr="00E4463E">
        <w:rPr>
          <w:rFonts w:ascii="Times New Roman" w:hAnsi="Times New Roman"/>
          <w:lang w:val="fr-BE"/>
        </w:rPr>
        <w:tab/>
      </w:r>
      <w:r w:rsidR="00B416B7" w:rsidRPr="00E4463E">
        <w:rPr>
          <w:rFonts w:ascii="Times New Roman" w:hAnsi="Times New Roman"/>
          <w:lang w:val="fr-BE"/>
        </w:rPr>
        <w:t>COM(2023) 316 final (</w:t>
      </w:r>
      <w:hyperlink r:id="rId10" w:history="1">
        <w:r w:rsidR="00B416B7" w:rsidRPr="00E4463E">
          <w:rPr>
            <w:rStyle w:val="Hyperlink"/>
            <w:rFonts w:ascii="Times New Roman" w:hAnsi="Times New Roman"/>
            <w:lang w:val="fr-BE"/>
          </w:rPr>
          <w:t>https://eur-lex.europa.eu/legal-content/EN/TXT/?uri=CELEX%3A52023DC0316</w:t>
        </w:r>
      </w:hyperlink>
      <w:r w:rsidR="00B416B7" w:rsidRPr="00E4463E">
        <w:rPr>
          <w:rFonts w:ascii="Times New Roman" w:hAnsi="Times New Roman"/>
          <w:lang w:val="fr-BE"/>
        </w:rPr>
        <w:t>).</w:t>
      </w:r>
    </w:p>
  </w:footnote>
  <w:footnote w:id="12">
    <w:p w14:paraId="0427C07B" w14:textId="5792D0BD" w:rsidR="00EE2FBB" w:rsidRPr="00E4463E" w:rsidRDefault="00EE2FBB" w:rsidP="00E4463E">
      <w:pPr>
        <w:pStyle w:val="FootnoteText"/>
        <w:widowControl w:val="0"/>
        <w:spacing w:after="0" w:line="240" w:lineRule="auto"/>
        <w:ind w:left="-142" w:right="-426" w:hanging="284"/>
        <w:jc w:val="both"/>
        <w:rPr>
          <w:rFonts w:ascii="Times New Roman" w:hAnsi="Times New Roman"/>
          <w:lang w:val="fr-BE"/>
        </w:rPr>
      </w:pPr>
      <w:r w:rsidRPr="00E4463E">
        <w:rPr>
          <w:rStyle w:val="FootnoteReference"/>
          <w:rFonts w:ascii="Times New Roman" w:hAnsi="Times New Roman"/>
        </w:rPr>
        <w:footnoteRef/>
      </w:r>
      <w:r w:rsidRPr="00E4463E">
        <w:rPr>
          <w:rFonts w:ascii="Times New Roman" w:hAnsi="Times New Roman"/>
          <w:lang w:val="fr-BE"/>
        </w:rPr>
        <w:t xml:space="preserve"> </w:t>
      </w:r>
      <w:r w:rsidRPr="00E4463E">
        <w:rPr>
          <w:rFonts w:ascii="Times New Roman" w:hAnsi="Times New Roman"/>
          <w:lang w:val="fr-BE"/>
        </w:rPr>
        <w:tab/>
      </w:r>
      <w:hyperlink r:id="rId11" w:history="1">
        <w:r w:rsidR="00553685" w:rsidRPr="00E4463E">
          <w:rPr>
            <w:rStyle w:val="Hyperlink"/>
            <w:rFonts w:ascii="Times New Roman" w:hAnsi="Times New Roman"/>
            <w:lang w:val="fr-BE"/>
          </w:rPr>
          <w:t>https://social-economy-gateway.ec.europa.eu/index_en</w:t>
        </w:r>
      </w:hyperlink>
      <w:r w:rsidR="00553685" w:rsidRPr="00E4463E">
        <w:rPr>
          <w:rFonts w:ascii="Times New Roman" w:hAnsi="Times New Roman"/>
          <w:lang w:val="fr-BE"/>
        </w:rPr>
        <w:t xml:space="preserve"> </w:t>
      </w:r>
    </w:p>
  </w:footnote>
  <w:footnote w:id="13">
    <w:p w14:paraId="4A59AFC7" w14:textId="3328B44F" w:rsidR="00EE2FBB" w:rsidRPr="00E4463E" w:rsidRDefault="00EE2FBB" w:rsidP="00E4463E">
      <w:pPr>
        <w:pStyle w:val="FootnoteText"/>
        <w:widowControl w:val="0"/>
        <w:spacing w:after="0" w:line="240" w:lineRule="auto"/>
        <w:ind w:left="-142" w:right="-426" w:hanging="284"/>
        <w:jc w:val="both"/>
        <w:rPr>
          <w:rFonts w:ascii="Times New Roman" w:hAnsi="Times New Roman"/>
          <w:lang w:val="fr-BE"/>
        </w:rPr>
      </w:pPr>
      <w:r w:rsidRPr="00E4463E">
        <w:rPr>
          <w:rStyle w:val="FootnoteReference"/>
          <w:rFonts w:ascii="Times New Roman" w:hAnsi="Times New Roman"/>
        </w:rPr>
        <w:footnoteRef/>
      </w:r>
      <w:r w:rsidRPr="00E4463E">
        <w:rPr>
          <w:rFonts w:ascii="Times New Roman" w:hAnsi="Times New Roman"/>
          <w:lang w:val="fr-BE"/>
        </w:rPr>
        <w:t xml:space="preserve"> </w:t>
      </w:r>
      <w:r w:rsidRPr="00E4463E">
        <w:rPr>
          <w:rFonts w:ascii="Times New Roman" w:hAnsi="Times New Roman"/>
          <w:lang w:val="fr-BE"/>
        </w:rPr>
        <w:tab/>
      </w:r>
      <w:hyperlink r:id="rId12" w:history="1">
        <w:r w:rsidR="00553685" w:rsidRPr="00E4463E">
          <w:rPr>
            <w:rStyle w:val="Hyperlink"/>
            <w:rFonts w:ascii="Times New Roman" w:hAnsi="Times New Roman"/>
            <w:lang w:val="fr-BE"/>
          </w:rPr>
          <w:t>https://ec.europa.eu/info/funding-tenders/opportunities/portal/screen/opportunities/topic-details/smp-cosme-2022-buysocialb2bmarket-01</w:t>
        </w:r>
      </w:hyperlink>
      <w:r w:rsidR="00C629F2">
        <w:rPr>
          <w:rFonts w:ascii="Times New Roman" w:hAnsi="Times New Roman"/>
          <w:lang w:val="fr-BE"/>
        </w:rPr>
        <w:t>.</w:t>
      </w:r>
    </w:p>
  </w:footnote>
  <w:footnote w:id="14">
    <w:p w14:paraId="2DB316F3" w14:textId="088D69EE" w:rsidR="00EE2FBB" w:rsidRPr="00E4463E" w:rsidRDefault="00EE2FBB" w:rsidP="00E4463E">
      <w:pPr>
        <w:pStyle w:val="FootnoteText"/>
        <w:widowControl w:val="0"/>
        <w:spacing w:after="0" w:line="240" w:lineRule="auto"/>
        <w:ind w:left="-142" w:right="-426" w:hanging="284"/>
        <w:jc w:val="both"/>
        <w:rPr>
          <w:rFonts w:ascii="Times New Roman" w:hAnsi="Times New Roman"/>
          <w:lang w:val="en-US"/>
        </w:rPr>
      </w:pPr>
      <w:r w:rsidRPr="00E4463E">
        <w:rPr>
          <w:rStyle w:val="FootnoteReference"/>
          <w:rFonts w:ascii="Times New Roman" w:hAnsi="Times New Roman"/>
        </w:rPr>
        <w:footnoteRef/>
      </w:r>
      <w:r w:rsidRPr="00E4463E">
        <w:rPr>
          <w:rFonts w:ascii="Times New Roman" w:hAnsi="Times New Roman"/>
        </w:rPr>
        <w:t xml:space="preserve"> </w:t>
      </w:r>
      <w:r w:rsidRPr="00E4463E">
        <w:rPr>
          <w:rFonts w:ascii="Times New Roman" w:hAnsi="Times New Roman"/>
        </w:rPr>
        <w:tab/>
      </w:r>
      <w:hyperlink r:id="rId13" w:history="1">
        <w:r w:rsidR="00631489" w:rsidRPr="00E4463E">
          <w:rPr>
            <w:rStyle w:val="Hyperlink"/>
            <w:rFonts w:ascii="Times New Roman" w:hAnsi="Times New Roman"/>
          </w:rPr>
          <w:t>Home - Europos socialinio fondo agentūra</w:t>
        </w:r>
      </w:hyperlink>
      <w:r w:rsidR="00631489" w:rsidRPr="00E4463E">
        <w:rPr>
          <w:rFonts w:ascii="Times New Roman" w:hAnsi="Times New Roman"/>
        </w:rPr>
        <w:t>.</w:t>
      </w:r>
    </w:p>
  </w:footnote>
  <w:footnote w:id="15">
    <w:p w14:paraId="69820BAE" w14:textId="7C9272AC" w:rsidR="00631489" w:rsidRPr="00E4463E" w:rsidRDefault="00631489" w:rsidP="00891BA4">
      <w:pPr>
        <w:pStyle w:val="FootnoteText"/>
        <w:widowControl w:val="0"/>
        <w:spacing w:after="0" w:line="240" w:lineRule="auto"/>
        <w:ind w:left="-141" w:hanging="284"/>
        <w:jc w:val="both"/>
        <w:rPr>
          <w:rFonts w:ascii="Times New Roman" w:hAnsi="Times New Roman"/>
          <w:lang w:val="fr-BE"/>
        </w:rPr>
      </w:pPr>
      <w:r w:rsidRPr="00E4463E">
        <w:rPr>
          <w:rStyle w:val="FootnoteReference"/>
          <w:rFonts w:ascii="Times New Roman" w:hAnsi="Times New Roman"/>
        </w:rPr>
        <w:footnoteRef/>
      </w:r>
      <w:r w:rsidRPr="00E4463E">
        <w:rPr>
          <w:rFonts w:ascii="Times New Roman" w:hAnsi="Times New Roman"/>
        </w:rPr>
        <w:t xml:space="preserve"> </w:t>
      </w:r>
      <w:r w:rsidRPr="00E4463E">
        <w:rPr>
          <w:rFonts w:ascii="Times New Roman" w:hAnsi="Times New Roman"/>
          <w:lang w:val="fr-BE"/>
        </w:rPr>
        <w:tab/>
      </w:r>
      <w:hyperlink r:id="rId14" w:history="1">
        <w:r w:rsidRPr="00E4463E">
          <w:rPr>
            <w:rStyle w:val="Hyperlink"/>
            <w:rFonts w:ascii="Times New Roman" w:hAnsi="Times New Roman"/>
          </w:rPr>
          <w:t>The Public Procurement Directives | Public Buyers Community</w:t>
        </w:r>
      </w:hyperlink>
      <w:r w:rsidR="00C629F2">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136316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68E3"/>
    <w:rsid w:val="00012A37"/>
    <w:rsid w:val="0001394D"/>
    <w:rsid w:val="00025D38"/>
    <w:rsid w:val="00041876"/>
    <w:rsid w:val="00046B15"/>
    <w:rsid w:val="00050DC7"/>
    <w:rsid w:val="00073736"/>
    <w:rsid w:val="00076109"/>
    <w:rsid w:val="00077C4F"/>
    <w:rsid w:val="00083727"/>
    <w:rsid w:val="00085D27"/>
    <w:rsid w:val="00085FE7"/>
    <w:rsid w:val="00087C5C"/>
    <w:rsid w:val="00091713"/>
    <w:rsid w:val="000B000F"/>
    <w:rsid w:val="000E0A3D"/>
    <w:rsid w:val="000E46E3"/>
    <w:rsid w:val="000E595C"/>
    <w:rsid w:val="000E7875"/>
    <w:rsid w:val="000F5FD8"/>
    <w:rsid w:val="001167C0"/>
    <w:rsid w:val="00126E06"/>
    <w:rsid w:val="00135C2A"/>
    <w:rsid w:val="00143686"/>
    <w:rsid w:val="001456C3"/>
    <w:rsid w:val="001518F5"/>
    <w:rsid w:val="00157011"/>
    <w:rsid w:val="001661E3"/>
    <w:rsid w:val="0019139E"/>
    <w:rsid w:val="001A5613"/>
    <w:rsid w:val="001B0E0B"/>
    <w:rsid w:val="001B7CC7"/>
    <w:rsid w:val="001C4138"/>
    <w:rsid w:val="001D1DF5"/>
    <w:rsid w:val="001D432D"/>
    <w:rsid w:val="001D57B5"/>
    <w:rsid w:val="001F2EC6"/>
    <w:rsid w:val="001F41FB"/>
    <w:rsid w:val="001F65D0"/>
    <w:rsid w:val="00201B79"/>
    <w:rsid w:val="00204CEC"/>
    <w:rsid w:val="002176B3"/>
    <w:rsid w:val="00217E59"/>
    <w:rsid w:val="0023146C"/>
    <w:rsid w:val="00232612"/>
    <w:rsid w:val="00233A0E"/>
    <w:rsid w:val="00256EDF"/>
    <w:rsid w:val="00257698"/>
    <w:rsid w:val="00266537"/>
    <w:rsid w:val="002A2A72"/>
    <w:rsid w:val="002A5C96"/>
    <w:rsid w:val="002B715E"/>
    <w:rsid w:val="002C1B24"/>
    <w:rsid w:val="002D2860"/>
    <w:rsid w:val="002E6501"/>
    <w:rsid w:val="002F03FA"/>
    <w:rsid w:val="003004D2"/>
    <w:rsid w:val="0030788A"/>
    <w:rsid w:val="00313360"/>
    <w:rsid w:val="00326017"/>
    <w:rsid w:val="0033104C"/>
    <w:rsid w:val="003349A3"/>
    <w:rsid w:val="00366FF0"/>
    <w:rsid w:val="003671AC"/>
    <w:rsid w:val="003734F4"/>
    <w:rsid w:val="0037616B"/>
    <w:rsid w:val="00377967"/>
    <w:rsid w:val="00380DDD"/>
    <w:rsid w:val="0038330C"/>
    <w:rsid w:val="00386143"/>
    <w:rsid w:val="003A79D1"/>
    <w:rsid w:val="003B4A89"/>
    <w:rsid w:val="003B58DC"/>
    <w:rsid w:val="003B71ED"/>
    <w:rsid w:val="003D0B0E"/>
    <w:rsid w:val="003D34C2"/>
    <w:rsid w:val="003D77AE"/>
    <w:rsid w:val="003F686E"/>
    <w:rsid w:val="00417B89"/>
    <w:rsid w:val="00432A0E"/>
    <w:rsid w:val="00442069"/>
    <w:rsid w:val="00442552"/>
    <w:rsid w:val="00455A1C"/>
    <w:rsid w:val="004609BC"/>
    <w:rsid w:val="00466A09"/>
    <w:rsid w:val="004675B5"/>
    <w:rsid w:val="004770D6"/>
    <w:rsid w:val="00482D06"/>
    <w:rsid w:val="004912BC"/>
    <w:rsid w:val="0049246C"/>
    <w:rsid w:val="00492FC7"/>
    <w:rsid w:val="004C0F0C"/>
    <w:rsid w:val="004C2CCF"/>
    <w:rsid w:val="004C7055"/>
    <w:rsid w:val="004D33B0"/>
    <w:rsid w:val="004E0E53"/>
    <w:rsid w:val="004E422E"/>
    <w:rsid w:val="004E62D1"/>
    <w:rsid w:val="004F6117"/>
    <w:rsid w:val="004F63F1"/>
    <w:rsid w:val="004F651E"/>
    <w:rsid w:val="00504AAE"/>
    <w:rsid w:val="005164F1"/>
    <w:rsid w:val="0052596B"/>
    <w:rsid w:val="00527867"/>
    <w:rsid w:val="00536537"/>
    <w:rsid w:val="0053715C"/>
    <w:rsid w:val="00543995"/>
    <w:rsid w:val="00552A87"/>
    <w:rsid w:val="00553685"/>
    <w:rsid w:val="00554D8D"/>
    <w:rsid w:val="00573835"/>
    <w:rsid w:val="00580131"/>
    <w:rsid w:val="00581306"/>
    <w:rsid w:val="0059747D"/>
    <w:rsid w:val="005B138D"/>
    <w:rsid w:val="005C0812"/>
    <w:rsid w:val="005C3105"/>
    <w:rsid w:val="005C50B8"/>
    <w:rsid w:val="005D6591"/>
    <w:rsid w:val="005D6D70"/>
    <w:rsid w:val="005E4C2A"/>
    <w:rsid w:val="005E4F09"/>
    <w:rsid w:val="005F6336"/>
    <w:rsid w:val="00606354"/>
    <w:rsid w:val="00613DAB"/>
    <w:rsid w:val="00617EE7"/>
    <w:rsid w:val="006210E2"/>
    <w:rsid w:val="00631489"/>
    <w:rsid w:val="006364D3"/>
    <w:rsid w:val="00644D75"/>
    <w:rsid w:val="00653ADC"/>
    <w:rsid w:val="00656B5D"/>
    <w:rsid w:val="006578C7"/>
    <w:rsid w:val="0067105A"/>
    <w:rsid w:val="006755AB"/>
    <w:rsid w:val="006813FA"/>
    <w:rsid w:val="00685AE9"/>
    <w:rsid w:val="00692C2F"/>
    <w:rsid w:val="00695797"/>
    <w:rsid w:val="00696A5E"/>
    <w:rsid w:val="006B3B69"/>
    <w:rsid w:val="006C4CD7"/>
    <w:rsid w:val="006E6CA1"/>
    <w:rsid w:val="006F3909"/>
    <w:rsid w:val="00702ED8"/>
    <w:rsid w:val="00727FF4"/>
    <w:rsid w:val="0073162A"/>
    <w:rsid w:val="00734613"/>
    <w:rsid w:val="00734938"/>
    <w:rsid w:val="00745A0A"/>
    <w:rsid w:val="00745E0A"/>
    <w:rsid w:val="00751910"/>
    <w:rsid w:val="00751E60"/>
    <w:rsid w:val="007538D1"/>
    <w:rsid w:val="007547B5"/>
    <w:rsid w:val="00755CB2"/>
    <w:rsid w:val="007641DC"/>
    <w:rsid w:val="00764EC3"/>
    <w:rsid w:val="00782E0B"/>
    <w:rsid w:val="00795A9E"/>
    <w:rsid w:val="007A3F69"/>
    <w:rsid w:val="007A606D"/>
    <w:rsid w:val="007B28F2"/>
    <w:rsid w:val="007B5EA9"/>
    <w:rsid w:val="007C2214"/>
    <w:rsid w:val="007C5186"/>
    <w:rsid w:val="007E0720"/>
    <w:rsid w:val="007F3EF0"/>
    <w:rsid w:val="008043BF"/>
    <w:rsid w:val="00807B48"/>
    <w:rsid w:val="008121D5"/>
    <w:rsid w:val="008135CA"/>
    <w:rsid w:val="0081584F"/>
    <w:rsid w:val="00825E20"/>
    <w:rsid w:val="00833F77"/>
    <w:rsid w:val="00834E2E"/>
    <w:rsid w:val="00835805"/>
    <w:rsid w:val="008703BF"/>
    <w:rsid w:val="008721C5"/>
    <w:rsid w:val="0089180C"/>
    <w:rsid w:val="00891BA4"/>
    <w:rsid w:val="008925CE"/>
    <w:rsid w:val="00892D89"/>
    <w:rsid w:val="00893DF4"/>
    <w:rsid w:val="008A1297"/>
    <w:rsid w:val="008B5852"/>
    <w:rsid w:val="008C4D41"/>
    <w:rsid w:val="008C7204"/>
    <w:rsid w:val="008F6E74"/>
    <w:rsid w:val="0090125E"/>
    <w:rsid w:val="00907004"/>
    <w:rsid w:val="00907032"/>
    <w:rsid w:val="009113CC"/>
    <w:rsid w:val="009268A2"/>
    <w:rsid w:val="009361C6"/>
    <w:rsid w:val="009439B0"/>
    <w:rsid w:val="00977120"/>
    <w:rsid w:val="00981F45"/>
    <w:rsid w:val="009927FD"/>
    <w:rsid w:val="00994D12"/>
    <w:rsid w:val="009B128B"/>
    <w:rsid w:val="009C4F5B"/>
    <w:rsid w:val="009C780D"/>
    <w:rsid w:val="009EB1E5"/>
    <w:rsid w:val="009F6C6A"/>
    <w:rsid w:val="00A152F4"/>
    <w:rsid w:val="00A16F07"/>
    <w:rsid w:val="00A3084F"/>
    <w:rsid w:val="00A34143"/>
    <w:rsid w:val="00A36979"/>
    <w:rsid w:val="00A407EA"/>
    <w:rsid w:val="00A470F2"/>
    <w:rsid w:val="00A477A5"/>
    <w:rsid w:val="00A62C7B"/>
    <w:rsid w:val="00A7709A"/>
    <w:rsid w:val="00A83430"/>
    <w:rsid w:val="00AA0C69"/>
    <w:rsid w:val="00AC64D4"/>
    <w:rsid w:val="00AD0F6C"/>
    <w:rsid w:val="00AD6730"/>
    <w:rsid w:val="00AE1842"/>
    <w:rsid w:val="00AE3C7C"/>
    <w:rsid w:val="00B0108B"/>
    <w:rsid w:val="00B13FC3"/>
    <w:rsid w:val="00B1494E"/>
    <w:rsid w:val="00B16A43"/>
    <w:rsid w:val="00B2603C"/>
    <w:rsid w:val="00B31306"/>
    <w:rsid w:val="00B416B7"/>
    <w:rsid w:val="00B42814"/>
    <w:rsid w:val="00B4695B"/>
    <w:rsid w:val="00B64FC0"/>
    <w:rsid w:val="00B83936"/>
    <w:rsid w:val="00B84947"/>
    <w:rsid w:val="00BA2B04"/>
    <w:rsid w:val="00BD6EB7"/>
    <w:rsid w:val="00BD7464"/>
    <w:rsid w:val="00BD7482"/>
    <w:rsid w:val="00BE7968"/>
    <w:rsid w:val="00BF082C"/>
    <w:rsid w:val="00BF528F"/>
    <w:rsid w:val="00C24999"/>
    <w:rsid w:val="00C365D2"/>
    <w:rsid w:val="00C42545"/>
    <w:rsid w:val="00C54D27"/>
    <w:rsid w:val="00C60240"/>
    <w:rsid w:val="00C629F2"/>
    <w:rsid w:val="00C73DB4"/>
    <w:rsid w:val="00C76EEB"/>
    <w:rsid w:val="00CA11B8"/>
    <w:rsid w:val="00CC59BD"/>
    <w:rsid w:val="00CD190D"/>
    <w:rsid w:val="00CD46D9"/>
    <w:rsid w:val="00CF24EF"/>
    <w:rsid w:val="00D00560"/>
    <w:rsid w:val="00D01F5A"/>
    <w:rsid w:val="00D11A0A"/>
    <w:rsid w:val="00D1716E"/>
    <w:rsid w:val="00D2205F"/>
    <w:rsid w:val="00D220C8"/>
    <w:rsid w:val="00D2537E"/>
    <w:rsid w:val="00D255AC"/>
    <w:rsid w:val="00D32F72"/>
    <w:rsid w:val="00D42C28"/>
    <w:rsid w:val="00D4378F"/>
    <w:rsid w:val="00D64E05"/>
    <w:rsid w:val="00D74754"/>
    <w:rsid w:val="00D8441A"/>
    <w:rsid w:val="00D92FD3"/>
    <w:rsid w:val="00D93CB0"/>
    <w:rsid w:val="00DA3B6E"/>
    <w:rsid w:val="00DB10D0"/>
    <w:rsid w:val="00DB7581"/>
    <w:rsid w:val="00DB7CF3"/>
    <w:rsid w:val="00DC6953"/>
    <w:rsid w:val="00DC70C1"/>
    <w:rsid w:val="00DD2BD9"/>
    <w:rsid w:val="00DD43DA"/>
    <w:rsid w:val="00DF515C"/>
    <w:rsid w:val="00E4463E"/>
    <w:rsid w:val="00E5692D"/>
    <w:rsid w:val="00E731FB"/>
    <w:rsid w:val="00E83C12"/>
    <w:rsid w:val="00E904C8"/>
    <w:rsid w:val="00EA1BBF"/>
    <w:rsid w:val="00EB2305"/>
    <w:rsid w:val="00EB29A9"/>
    <w:rsid w:val="00EB77D2"/>
    <w:rsid w:val="00EE2FBB"/>
    <w:rsid w:val="00EF1243"/>
    <w:rsid w:val="00F15401"/>
    <w:rsid w:val="00F21110"/>
    <w:rsid w:val="00F26BC5"/>
    <w:rsid w:val="00F316C8"/>
    <w:rsid w:val="00F35EAF"/>
    <w:rsid w:val="00F632DE"/>
    <w:rsid w:val="00F735E4"/>
    <w:rsid w:val="00F77F26"/>
    <w:rsid w:val="00F932DA"/>
    <w:rsid w:val="00F94F99"/>
    <w:rsid w:val="00FB71A4"/>
    <w:rsid w:val="00FB7834"/>
    <w:rsid w:val="00FC395F"/>
    <w:rsid w:val="00FD4B6A"/>
    <w:rsid w:val="00FE1751"/>
    <w:rsid w:val="00FF03A8"/>
    <w:rsid w:val="00FF63EA"/>
    <w:rsid w:val="030AC786"/>
    <w:rsid w:val="0543A2E3"/>
    <w:rsid w:val="05AC0681"/>
    <w:rsid w:val="05B81F47"/>
    <w:rsid w:val="066AC3AE"/>
    <w:rsid w:val="0752CDF0"/>
    <w:rsid w:val="0780966D"/>
    <w:rsid w:val="0813E8DD"/>
    <w:rsid w:val="095131E9"/>
    <w:rsid w:val="0C77BB11"/>
    <w:rsid w:val="0CE87AA9"/>
    <w:rsid w:val="105F97AC"/>
    <w:rsid w:val="1111A521"/>
    <w:rsid w:val="17C2356B"/>
    <w:rsid w:val="1A7DAEE1"/>
    <w:rsid w:val="1C532D65"/>
    <w:rsid w:val="1E08FB75"/>
    <w:rsid w:val="2158D769"/>
    <w:rsid w:val="230BEA51"/>
    <w:rsid w:val="2372850B"/>
    <w:rsid w:val="26519215"/>
    <w:rsid w:val="268B7F30"/>
    <w:rsid w:val="275C6E29"/>
    <w:rsid w:val="28B23EDB"/>
    <w:rsid w:val="295316D7"/>
    <w:rsid w:val="29626284"/>
    <w:rsid w:val="298EDF0F"/>
    <w:rsid w:val="2BD19780"/>
    <w:rsid w:val="2BD932CE"/>
    <w:rsid w:val="2C7419F3"/>
    <w:rsid w:val="2C9B5301"/>
    <w:rsid w:val="2DB6CC0A"/>
    <w:rsid w:val="2DCAB2FD"/>
    <w:rsid w:val="2E2CB7CF"/>
    <w:rsid w:val="2ECCF1BC"/>
    <w:rsid w:val="2FAC21B6"/>
    <w:rsid w:val="2FEFB451"/>
    <w:rsid w:val="302A70ED"/>
    <w:rsid w:val="3176B7CD"/>
    <w:rsid w:val="31AE34C2"/>
    <w:rsid w:val="3315C6A5"/>
    <w:rsid w:val="351D7FF9"/>
    <w:rsid w:val="35A93E8F"/>
    <w:rsid w:val="35AF0F33"/>
    <w:rsid w:val="38092264"/>
    <w:rsid w:val="3AFD8293"/>
    <w:rsid w:val="3C14CD7A"/>
    <w:rsid w:val="40C7C9ED"/>
    <w:rsid w:val="41219A3F"/>
    <w:rsid w:val="42384082"/>
    <w:rsid w:val="457F15C5"/>
    <w:rsid w:val="45EF9B81"/>
    <w:rsid w:val="46E864A2"/>
    <w:rsid w:val="4D28C3DF"/>
    <w:rsid w:val="4E9EBAEB"/>
    <w:rsid w:val="51320605"/>
    <w:rsid w:val="51D2CE63"/>
    <w:rsid w:val="52BF3947"/>
    <w:rsid w:val="52F79721"/>
    <w:rsid w:val="549D11EC"/>
    <w:rsid w:val="5816FD6B"/>
    <w:rsid w:val="5A586FD4"/>
    <w:rsid w:val="5B4EE64E"/>
    <w:rsid w:val="5C45C328"/>
    <w:rsid w:val="5DDD6360"/>
    <w:rsid w:val="5E7AFD5B"/>
    <w:rsid w:val="619F63E6"/>
    <w:rsid w:val="61B8197E"/>
    <w:rsid w:val="61DE42AF"/>
    <w:rsid w:val="626A26D6"/>
    <w:rsid w:val="63C334E4"/>
    <w:rsid w:val="65767789"/>
    <w:rsid w:val="66C87830"/>
    <w:rsid w:val="68C282C8"/>
    <w:rsid w:val="69D8936D"/>
    <w:rsid w:val="6C5FFAAE"/>
    <w:rsid w:val="6DD2874F"/>
    <w:rsid w:val="70444116"/>
    <w:rsid w:val="746D644A"/>
    <w:rsid w:val="75EFACC1"/>
    <w:rsid w:val="75FA6558"/>
    <w:rsid w:val="7756898A"/>
    <w:rsid w:val="7C8C4B96"/>
    <w:rsid w:val="7DDE64EC"/>
    <w:rsid w:val="7EFD0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C365D2"/>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C365D2"/>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C365D2"/>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C365D2"/>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C365D2"/>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C365D2"/>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C365D2"/>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C365D2"/>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C365D2"/>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0812"/>
    <w:rPr>
      <w:color w:val="0563C1"/>
      <w:u w:val="single"/>
    </w:rPr>
  </w:style>
  <w:style w:type="character" w:styleId="UnresolvedMention">
    <w:name w:val="Unresolved Mention"/>
    <w:uiPriority w:val="99"/>
    <w:semiHidden/>
    <w:unhideWhenUsed/>
    <w:rsid w:val="005C0812"/>
    <w:rPr>
      <w:color w:val="605E5C"/>
      <w:shd w:val="clear" w:color="auto" w:fill="E1DFDD"/>
    </w:rPr>
  </w:style>
  <w:style w:type="character" w:styleId="FollowedHyperlink">
    <w:name w:val="FollowedHyperlink"/>
    <w:uiPriority w:val="99"/>
    <w:semiHidden/>
    <w:unhideWhenUsed/>
    <w:rsid w:val="009268A2"/>
    <w:rPr>
      <w:color w:val="954F72"/>
      <w:u w:val="single"/>
    </w:rPr>
  </w:style>
  <w:style w:type="character" w:styleId="CommentReference">
    <w:name w:val="annotation reference"/>
    <w:uiPriority w:val="99"/>
    <w:semiHidden/>
    <w:unhideWhenUsed/>
    <w:rsid w:val="009268A2"/>
    <w:rPr>
      <w:sz w:val="16"/>
      <w:szCs w:val="16"/>
    </w:rPr>
  </w:style>
  <w:style w:type="paragraph" w:styleId="CommentText">
    <w:name w:val="annotation text"/>
    <w:basedOn w:val="Normal"/>
    <w:link w:val="CommentTextChar"/>
    <w:uiPriority w:val="99"/>
    <w:unhideWhenUsed/>
    <w:rsid w:val="009268A2"/>
    <w:rPr>
      <w:sz w:val="20"/>
      <w:szCs w:val="20"/>
    </w:rPr>
  </w:style>
  <w:style w:type="character" w:customStyle="1" w:styleId="CommentTextChar">
    <w:name w:val="Comment Text Char"/>
    <w:link w:val="CommentText"/>
    <w:uiPriority w:val="99"/>
    <w:rsid w:val="009268A2"/>
    <w:rPr>
      <w:lang w:eastAsia="en-US"/>
    </w:rPr>
  </w:style>
  <w:style w:type="paragraph" w:styleId="CommentSubject">
    <w:name w:val="annotation subject"/>
    <w:basedOn w:val="CommentText"/>
    <w:next w:val="CommentText"/>
    <w:link w:val="CommentSubjectChar"/>
    <w:uiPriority w:val="99"/>
    <w:semiHidden/>
    <w:unhideWhenUsed/>
    <w:rsid w:val="009268A2"/>
    <w:rPr>
      <w:b/>
      <w:bCs/>
    </w:rPr>
  </w:style>
  <w:style w:type="character" w:customStyle="1" w:styleId="CommentSubjectChar">
    <w:name w:val="Comment Subject Char"/>
    <w:link w:val="CommentSubject"/>
    <w:uiPriority w:val="99"/>
    <w:semiHidden/>
    <w:rsid w:val="009268A2"/>
    <w:rPr>
      <w:b/>
      <w:bCs/>
      <w:lang w:eastAsia="en-US"/>
    </w:rPr>
  </w:style>
  <w:style w:type="character" w:customStyle="1" w:styleId="Heading1Char">
    <w:name w:val="Heading 1 Char"/>
    <w:link w:val="Heading1"/>
    <w:rsid w:val="00C365D2"/>
    <w:rPr>
      <w:rFonts w:ascii="Times New Roman" w:eastAsia="Times New Roman" w:hAnsi="Times New Roman"/>
      <w:kern w:val="28"/>
      <w:sz w:val="22"/>
      <w:szCs w:val="22"/>
      <w:lang w:val="en-US" w:eastAsia="en-US"/>
    </w:rPr>
  </w:style>
  <w:style w:type="character" w:customStyle="1" w:styleId="Heading2Char">
    <w:name w:val="Heading 2 Char"/>
    <w:link w:val="Heading2"/>
    <w:rsid w:val="00C365D2"/>
    <w:rPr>
      <w:rFonts w:ascii="Times New Roman" w:eastAsia="Times New Roman" w:hAnsi="Times New Roman"/>
      <w:sz w:val="22"/>
      <w:szCs w:val="22"/>
      <w:lang w:val="en-US" w:eastAsia="en-US"/>
    </w:rPr>
  </w:style>
  <w:style w:type="character" w:customStyle="1" w:styleId="Heading3Char">
    <w:name w:val="Heading 3 Char"/>
    <w:link w:val="Heading3"/>
    <w:rsid w:val="00C365D2"/>
    <w:rPr>
      <w:rFonts w:ascii="Times New Roman" w:eastAsia="Times New Roman" w:hAnsi="Times New Roman"/>
      <w:sz w:val="22"/>
      <w:szCs w:val="22"/>
      <w:lang w:val="en-US" w:eastAsia="en-US"/>
    </w:rPr>
  </w:style>
  <w:style w:type="character" w:customStyle="1" w:styleId="Heading4Char">
    <w:name w:val="Heading 4 Char"/>
    <w:link w:val="Heading4"/>
    <w:rsid w:val="00C365D2"/>
    <w:rPr>
      <w:rFonts w:ascii="Times New Roman" w:eastAsia="Times New Roman" w:hAnsi="Times New Roman"/>
      <w:sz w:val="22"/>
      <w:szCs w:val="22"/>
      <w:lang w:val="en-US" w:eastAsia="en-US"/>
    </w:rPr>
  </w:style>
  <w:style w:type="character" w:customStyle="1" w:styleId="Heading5Char">
    <w:name w:val="Heading 5 Char"/>
    <w:link w:val="Heading5"/>
    <w:rsid w:val="00C365D2"/>
    <w:rPr>
      <w:rFonts w:ascii="Times New Roman" w:eastAsia="Times New Roman" w:hAnsi="Times New Roman"/>
      <w:sz w:val="22"/>
      <w:szCs w:val="22"/>
      <w:lang w:val="en-US" w:eastAsia="en-US"/>
    </w:rPr>
  </w:style>
  <w:style w:type="character" w:customStyle="1" w:styleId="Heading6Char">
    <w:name w:val="Heading 6 Char"/>
    <w:link w:val="Heading6"/>
    <w:rsid w:val="00C365D2"/>
    <w:rPr>
      <w:rFonts w:ascii="Times New Roman" w:eastAsia="Times New Roman" w:hAnsi="Times New Roman"/>
      <w:sz w:val="22"/>
      <w:szCs w:val="22"/>
      <w:lang w:val="en-US" w:eastAsia="en-US"/>
    </w:rPr>
  </w:style>
  <w:style w:type="character" w:customStyle="1" w:styleId="Heading7Char">
    <w:name w:val="Heading 7 Char"/>
    <w:link w:val="Heading7"/>
    <w:rsid w:val="00C365D2"/>
    <w:rPr>
      <w:rFonts w:ascii="Times New Roman" w:eastAsia="Times New Roman" w:hAnsi="Times New Roman"/>
      <w:sz w:val="22"/>
      <w:szCs w:val="22"/>
      <w:lang w:val="en-US" w:eastAsia="en-US"/>
    </w:rPr>
  </w:style>
  <w:style w:type="character" w:customStyle="1" w:styleId="Heading8Char">
    <w:name w:val="Heading 8 Char"/>
    <w:link w:val="Heading8"/>
    <w:rsid w:val="00C365D2"/>
    <w:rPr>
      <w:rFonts w:ascii="Times New Roman" w:eastAsia="Times New Roman" w:hAnsi="Times New Roman"/>
      <w:sz w:val="22"/>
      <w:szCs w:val="22"/>
      <w:lang w:val="en-US" w:eastAsia="en-US"/>
    </w:rPr>
  </w:style>
  <w:style w:type="character" w:customStyle="1" w:styleId="Heading9Char">
    <w:name w:val="Heading 9 Char"/>
    <w:link w:val="Heading9"/>
    <w:rsid w:val="00C365D2"/>
    <w:rPr>
      <w:rFonts w:ascii="Times New Roman" w:eastAsia="Times New Roman" w:hAnsi="Times New Roman"/>
      <w:sz w:val="22"/>
      <w:szCs w:val="22"/>
      <w:lang w:val="en-US" w:eastAsia="en-US"/>
    </w:rPr>
  </w:style>
  <w:style w:type="paragraph" w:styleId="Revision">
    <w:name w:val="Revision"/>
    <w:hidden/>
    <w:uiPriority w:val="99"/>
    <w:semiHidden/>
    <w:rsid w:val="007B5EA9"/>
    <w:rPr>
      <w:sz w:val="22"/>
      <w:szCs w:val="22"/>
      <w:lang w:val="en-GB" w:eastAsia="en-US"/>
    </w:rPr>
  </w:style>
  <w:style w:type="paragraph" w:styleId="Header">
    <w:name w:val="header"/>
    <w:basedOn w:val="Normal"/>
    <w:link w:val="HeaderChar"/>
    <w:uiPriority w:val="99"/>
    <w:semiHidden/>
    <w:unhideWhenUsed/>
    <w:rsid w:val="004912BC"/>
    <w:pPr>
      <w:tabs>
        <w:tab w:val="center" w:pos="4513"/>
        <w:tab w:val="right" w:pos="9026"/>
      </w:tabs>
    </w:pPr>
  </w:style>
  <w:style w:type="character" w:customStyle="1" w:styleId="HeaderChar">
    <w:name w:val="Header Char"/>
    <w:link w:val="Header"/>
    <w:uiPriority w:val="99"/>
    <w:semiHidden/>
    <w:rsid w:val="004912BC"/>
    <w:rPr>
      <w:sz w:val="22"/>
      <w:szCs w:val="22"/>
      <w:lang w:eastAsia="en-US"/>
    </w:rPr>
  </w:style>
  <w:style w:type="paragraph" w:styleId="Footer">
    <w:name w:val="footer"/>
    <w:basedOn w:val="Normal"/>
    <w:link w:val="FooterChar"/>
    <w:uiPriority w:val="99"/>
    <w:semiHidden/>
    <w:unhideWhenUsed/>
    <w:rsid w:val="004912BC"/>
    <w:pPr>
      <w:tabs>
        <w:tab w:val="center" w:pos="4513"/>
        <w:tab w:val="right" w:pos="9026"/>
      </w:tabs>
    </w:pPr>
  </w:style>
  <w:style w:type="character" w:customStyle="1" w:styleId="FooterChar">
    <w:name w:val="Footer Char"/>
    <w:link w:val="Footer"/>
    <w:uiPriority w:val="99"/>
    <w:semiHidden/>
    <w:rsid w:val="004912BC"/>
    <w:rPr>
      <w:sz w:val="22"/>
      <w:szCs w:val="22"/>
      <w:lang w:eastAsia="en-US"/>
    </w:rPr>
  </w:style>
  <w:style w:type="paragraph" w:styleId="FootnoteText">
    <w:name w:val="footnote text"/>
    <w:basedOn w:val="Normal"/>
    <w:link w:val="FootnoteTextChar"/>
    <w:uiPriority w:val="99"/>
    <w:semiHidden/>
    <w:unhideWhenUsed/>
    <w:rsid w:val="00A152F4"/>
    <w:rPr>
      <w:sz w:val="20"/>
      <w:szCs w:val="20"/>
    </w:rPr>
  </w:style>
  <w:style w:type="character" w:customStyle="1" w:styleId="FootnoteTextChar">
    <w:name w:val="Footnote Text Char"/>
    <w:basedOn w:val="DefaultParagraphFont"/>
    <w:link w:val="FootnoteText"/>
    <w:uiPriority w:val="99"/>
    <w:semiHidden/>
    <w:rsid w:val="00A152F4"/>
    <w:rPr>
      <w:lang w:val="en-GB" w:eastAsia="en-US"/>
    </w:rPr>
  </w:style>
  <w:style w:type="character" w:styleId="FootnoteReference">
    <w:name w:val="footnote reference"/>
    <w:basedOn w:val="DefaultParagraphFont"/>
    <w:uiPriority w:val="99"/>
    <w:semiHidden/>
    <w:unhideWhenUsed/>
    <w:rsid w:val="00A15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4822">
      <w:bodyDiv w:val="1"/>
      <w:marLeft w:val="0"/>
      <w:marRight w:val="0"/>
      <w:marTop w:val="0"/>
      <w:marBottom w:val="0"/>
      <w:divBdr>
        <w:top w:val="none" w:sz="0" w:space="0" w:color="auto"/>
        <w:left w:val="none" w:sz="0" w:space="0" w:color="auto"/>
        <w:bottom w:val="none" w:sz="0" w:space="0" w:color="auto"/>
        <w:right w:val="none" w:sz="0" w:space="0" w:color="auto"/>
      </w:divBdr>
    </w:div>
    <w:div w:id="313725179">
      <w:bodyDiv w:val="1"/>
      <w:marLeft w:val="0"/>
      <w:marRight w:val="0"/>
      <w:marTop w:val="0"/>
      <w:marBottom w:val="0"/>
      <w:divBdr>
        <w:top w:val="none" w:sz="0" w:space="0" w:color="auto"/>
        <w:left w:val="none" w:sz="0" w:space="0" w:color="auto"/>
        <w:bottom w:val="none" w:sz="0" w:space="0" w:color="auto"/>
        <w:right w:val="none" w:sz="0" w:space="0" w:color="auto"/>
      </w:divBdr>
      <w:divsChild>
        <w:div w:id="730613645">
          <w:marLeft w:val="0"/>
          <w:marRight w:val="0"/>
          <w:marTop w:val="0"/>
          <w:marBottom w:val="0"/>
          <w:divBdr>
            <w:top w:val="none" w:sz="0" w:space="0" w:color="auto"/>
            <w:left w:val="none" w:sz="0" w:space="0" w:color="auto"/>
            <w:bottom w:val="none" w:sz="0" w:space="0" w:color="auto"/>
            <w:right w:val="none" w:sz="0" w:space="0" w:color="auto"/>
          </w:divBdr>
        </w:div>
      </w:divsChild>
    </w:div>
    <w:div w:id="564462022">
      <w:bodyDiv w:val="1"/>
      <w:marLeft w:val="0"/>
      <w:marRight w:val="0"/>
      <w:marTop w:val="0"/>
      <w:marBottom w:val="0"/>
      <w:divBdr>
        <w:top w:val="none" w:sz="0" w:space="0" w:color="auto"/>
        <w:left w:val="none" w:sz="0" w:space="0" w:color="auto"/>
        <w:bottom w:val="none" w:sz="0" w:space="0" w:color="auto"/>
        <w:right w:val="none" w:sz="0" w:space="0" w:color="auto"/>
      </w:divBdr>
      <w:divsChild>
        <w:div w:id="1132796541">
          <w:marLeft w:val="0"/>
          <w:marRight w:val="0"/>
          <w:marTop w:val="0"/>
          <w:marBottom w:val="0"/>
          <w:divBdr>
            <w:top w:val="none" w:sz="0" w:space="0" w:color="auto"/>
            <w:left w:val="none" w:sz="0" w:space="0" w:color="auto"/>
            <w:bottom w:val="none" w:sz="0" w:space="0" w:color="auto"/>
            <w:right w:val="none" w:sz="0" w:space="0" w:color="auto"/>
          </w:divBdr>
        </w:div>
        <w:div w:id="1344671492">
          <w:marLeft w:val="0"/>
          <w:marRight w:val="0"/>
          <w:marTop w:val="0"/>
          <w:marBottom w:val="0"/>
          <w:divBdr>
            <w:top w:val="none" w:sz="0" w:space="0" w:color="auto"/>
            <w:left w:val="none" w:sz="0" w:space="0" w:color="auto"/>
            <w:bottom w:val="none" w:sz="0" w:space="0" w:color="auto"/>
            <w:right w:val="none" w:sz="0" w:space="0" w:color="auto"/>
          </w:divBdr>
        </w:div>
      </w:divsChild>
    </w:div>
    <w:div w:id="740641272">
      <w:bodyDiv w:val="1"/>
      <w:marLeft w:val="0"/>
      <w:marRight w:val="0"/>
      <w:marTop w:val="0"/>
      <w:marBottom w:val="0"/>
      <w:divBdr>
        <w:top w:val="none" w:sz="0" w:space="0" w:color="auto"/>
        <w:left w:val="none" w:sz="0" w:space="0" w:color="auto"/>
        <w:bottom w:val="none" w:sz="0" w:space="0" w:color="auto"/>
        <w:right w:val="none" w:sz="0" w:space="0" w:color="auto"/>
      </w:divBdr>
      <w:divsChild>
        <w:div w:id="74711775">
          <w:marLeft w:val="0"/>
          <w:marRight w:val="0"/>
          <w:marTop w:val="0"/>
          <w:marBottom w:val="0"/>
          <w:divBdr>
            <w:top w:val="none" w:sz="0" w:space="0" w:color="auto"/>
            <w:left w:val="none" w:sz="0" w:space="0" w:color="auto"/>
            <w:bottom w:val="none" w:sz="0" w:space="0" w:color="auto"/>
            <w:right w:val="none" w:sz="0" w:space="0" w:color="auto"/>
          </w:divBdr>
        </w:div>
      </w:divsChild>
    </w:div>
    <w:div w:id="758716321">
      <w:bodyDiv w:val="1"/>
      <w:marLeft w:val="0"/>
      <w:marRight w:val="0"/>
      <w:marTop w:val="0"/>
      <w:marBottom w:val="0"/>
      <w:divBdr>
        <w:top w:val="none" w:sz="0" w:space="0" w:color="auto"/>
        <w:left w:val="none" w:sz="0" w:space="0" w:color="auto"/>
        <w:bottom w:val="none" w:sz="0" w:space="0" w:color="auto"/>
        <w:right w:val="none" w:sz="0" w:space="0" w:color="auto"/>
      </w:divBdr>
      <w:divsChild>
        <w:div w:id="1898738960">
          <w:marLeft w:val="0"/>
          <w:marRight w:val="0"/>
          <w:marTop w:val="0"/>
          <w:marBottom w:val="0"/>
          <w:divBdr>
            <w:top w:val="none" w:sz="0" w:space="0" w:color="auto"/>
            <w:left w:val="none" w:sz="0" w:space="0" w:color="auto"/>
            <w:bottom w:val="none" w:sz="0" w:space="0" w:color="auto"/>
            <w:right w:val="none" w:sz="0" w:space="0" w:color="auto"/>
          </w:divBdr>
        </w:div>
        <w:div w:id="210192880">
          <w:marLeft w:val="0"/>
          <w:marRight w:val="0"/>
          <w:marTop w:val="0"/>
          <w:marBottom w:val="0"/>
          <w:divBdr>
            <w:top w:val="none" w:sz="0" w:space="0" w:color="auto"/>
            <w:left w:val="none" w:sz="0" w:space="0" w:color="auto"/>
            <w:bottom w:val="none" w:sz="0" w:space="0" w:color="auto"/>
            <w:right w:val="none" w:sz="0" w:space="0" w:color="auto"/>
          </w:divBdr>
        </w:div>
      </w:divsChild>
    </w:div>
    <w:div w:id="83545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funding-tenders/opportunities/portal/screen/opportunities/topic-details/smp-cosme-2022-buysocialb2bmarket-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cial-economy-gateway.ec.europa.eu/index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52023DC0316" TargetMode="External"/><Relationship Id="rId5" Type="http://schemas.openxmlformats.org/officeDocument/2006/relationships/numbering" Target="numbering.xml"/><Relationship Id="rId15" Type="http://schemas.openxmlformats.org/officeDocument/2006/relationships/hyperlink" Target="https://www.esf.l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economy-gateway.ec.europa.eu/index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1DC0778" TargetMode="External"/><Relationship Id="rId13" Type="http://schemas.openxmlformats.org/officeDocument/2006/relationships/hyperlink" Target="https://www.esf.lt/en/" TargetMode="External"/><Relationship Id="rId3" Type="http://schemas.openxmlformats.org/officeDocument/2006/relationships/hyperlink" Target="https://eur-lex.europa.eu/legal-content/EN/TXT/?uri=oj:JOC_2017_428_R_0009" TargetMode="External"/><Relationship Id="rId7" Type="http://schemas.openxmlformats.org/officeDocument/2006/relationships/hyperlink" Target="https://eur-lex.europa.eu/legal-content/EN/TXT/?uri=oj:JOC_2012_008_R_0004_01" TargetMode="External"/><Relationship Id="rId12" Type="http://schemas.openxmlformats.org/officeDocument/2006/relationships/hyperlink" Target="https://ec.europa.eu/info/funding-tenders/opportunities/portal/screen/opportunities/topic-details/smp-cosme-2022-buysocialb2bmarket-01" TargetMode="External"/><Relationship Id="rId2" Type="http://schemas.openxmlformats.org/officeDocument/2006/relationships/hyperlink" Target="https://eur-lex.europa.eu/legal-content/EN/TXT/?uri=celex%3A32014R0651" TargetMode="External"/><Relationship Id="rId1" Type="http://schemas.openxmlformats.org/officeDocument/2006/relationships/hyperlink" Target="https://data.europa.eu/doi/10.2767/715592" TargetMode="External"/><Relationship Id="rId6" Type="http://schemas.openxmlformats.org/officeDocument/2006/relationships/hyperlink" Target="https://eur-lex.europa.eu/legal-content/EN/TXT/?uri=oj:JOC_2016_262_R_0001" TargetMode="External"/><Relationship Id="rId11" Type="http://schemas.openxmlformats.org/officeDocument/2006/relationships/hyperlink" Target="https://social-economy-gateway.ec.europa.eu/index_en" TargetMode="External"/><Relationship Id="rId5" Type="http://schemas.openxmlformats.org/officeDocument/2006/relationships/hyperlink" Target="https://competition-policy.ec.europa.eu/document/download/fa5e107c-ad5c-4ae8-a8ae-b0037c993b23_en?filename=20130429_SWD-2013-53_SGEI_public_procurement_application_guide_en.pdf" TargetMode="External"/><Relationship Id="rId10" Type="http://schemas.openxmlformats.org/officeDocument/2006/relationships/hyperlink" Target="https://eur-lex.europa.eu/legal-content/EN/TXT/?uri=CELEX%3A52023DC0316" TargetMode="External"/><Relationship Id="rId4" Type="http://schemas.openxmlformats.org/officeDocument/2006/relationships/hyperlink" Target="https://eur-lex.europa.eu/legal-content/EN/TXT/?uri=oj:JOC_2009_188_R_0006_01" TargetMode="External"/><Relationship Id="rId9" Type="http://schemas.openxmlformats.org/officeDocument/2006/relationships/hyperlink" Target="https://socialeconomy2024.eu/wp-content/uploads/2024/02/LiegeRoadmap-SocialEconomy-3-final_propre.pdf" TargetMode="External"/><Relationship Id="rId14" Type="http://schemas.openxmlformats.org/officeDocument/2006/relationships/hyperlink" Target="https://public-buyers-community.ec.europa.eu/resources/public-procurement-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BA4F677D22144BA93836EC243C46FF" ma:contentTypeVersion="4" ma:contentTypeDescription="Create a new document." ma:contentTypeScope="" ma:versionID="537464c5dafd4dcac85b16eee414aaa0">
  <xsd:schema xmlns:xsd="http://www.w3.org/2001/XMLSchema" xmlns:xs="http://www.w3.org/2001/XMLSchema" xmlns:p="http://schemas.microsoft.com/office/2006/metadata/properties" xmlns:ns2="17547e70-2358-4408-bab6-cece0639b5d2" targetNamespace="http://schemas.microsoft.com/office/2006/metadata/properties" ma:root="true" ma:fieldsID="9ecc5a2db388083d7430fb17aacc0acb" ns2:_="">
    <xsd:import namespace="17547e70-2358-4408-bab6-cece0639b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47e70-2358-4408-bab6-cece0639b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90D6-9427-4428-ABE3-0B8B3F282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4A72C-CD2B-4476-9A57-5FCAED2CB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47e70-2358-4408-bab6-cece0639b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F47CC-338E-4D22-B5A2-23A0C80AC1E0}">
  <ds:schemaRefs>
    <ds:schemaRef ds:uri="http://schemas.microsoft.com/sharepoint/v3/contenttype/forms"/>
  </ds:schemaRefs>
</ds:datastoreItem>
</file>

<file path=customXml/itemProps4.xml><?xml version="1.0" encoding="utf-8"?>
<ds:datastoreItem xmlns:ds="http://schemas.openxmlformats.org/officeDocument/2006/customXml" ds:itemID="{142BE5D6-42C9-47DB-9EF2-B35B1D68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1535</Words>
  <Characters>8708</Characters>
  <Application>Microsoft Office Word</Application>
  <DocSecurity>0</DocSecurity>
  <Lines>116</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3</cp:revision>
  <cp:lastPrinted>2025-03-07T11:48:00Z</cp:lastPrinted>
  <dcterms:created xsi:type="dcterms:W3CDTF">2025-09-15T14:20:00Z</dcterms:created>
  <dcterms:modified xsi:type="dcterms:W3CDTF">2025-09-15T14:23:00Z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0x0101007CBA4F677D22144BA93836EC243C46FF</vt:lpwstr>
  </property>
</Properties>
</file>