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923024" w14:paraId="7E6372DC" w14:textId="77777777" w:rsidTr="3B21C529">
        <w:trPr>
          <w:jc w:val="center"/>
        </w:trPr>
        <w:tc>
          <w:tcPr>
            <w:tcW w:w="9711" w:type="dxa"/>
          </w:tcPr>
          <w:p w14:paraId="3A4EDC3A" w14:textId="0D7EB3EF" w:rsidR="001C4138" w:rsidRPr="00923024" w:rsidRDefault="00CD6397" w:rsidP="00923024">
            <w:pPr>
              <w:spacing w:before="120" w:after="120"/>
              <w:rPr>
                <w:rFonts w:ascii="Times New Roman" w:hAnsi="Times New Roman"/>
                <w:b/>
                <w:bCs/>
                <w:sz w:val="24"/>
                <w:szCs w:val="24"/>
              </w:rPr>
            </w:pPr>
            <w:r w:rsidRPr="00923024">
              <w:rPr>
                <w:rFonts w:ascii="Times New Roman" w:hAnsi="Times New Roman"/>
                <w:b/>
                <w:sz w:val="24"/>
                <w:szCs w:val="24"/>
              </w:rPr>
              <w:t xml:space="preserve">Devising a European </w:t>
            </w:r>
            <w:r w:rsidR="00923024" w:rsidRPr="00923024">
              <w:rPr>
                <w:rFonts w:ascii="Times New Roman" w:hAnsi="Times New Roman"/>
                <w:b/>
                <w:sz w:val="24"/>
                <w:szCs w:val="24"/>
              </w:rPr>
              <w:t>Fl</w:t>
            </w:r>
            <w:r w:rsidRPr="00923024">
              <w:rPr>
                <w:rFonts w:ascii="Times New Roman" w:hAnsi="Times New Roman"/>
                <w:b/>
                <w:sz w:val="24"/>
                <w:szCs w:val="24"/>
              </w:rPr>
              <w:t>agship initiative for health</w:t>
            </w:r>
            <w:r w:rsidR="001C4138" w:rsidRPr="00923024">
              <w:rPr>
                <w:rFonts w:ascii="Times New Roman" w:hAnsi="Times New Roman"/>
                <w:b/>
                <w:sz w:val="24"/>
                <w:szCs w:val="24"/>
              </w:rPr>
              <w:br/>
            </w:r>
            <w:r w:rsidRPr="00923024">
              <w:rPr>
                <w:rFonts w:ascii="Times New Roman" w:hAnsi="Times New Roman"/>
                <w:b/>
                <w:sz w:val="24"/>
                <w:szCs w:val="24"/>
              </w:rPr>
              <w:t xml:space="preserve">Own-initiative opinion </w:t>
            </w:r>
            <w:r w:rsidR="001C4138" w:rsidRPr="00923024">
              <w:rPr>
                <w:rFonts w:ascii="Times New Roman" w:hAnsi="Times New Roman"/>
                <w:b/>
                <w:sz w:val="24"/>
                <w:szCs w:val="24"/>
              </w:rPr>
              <w:br/>
              <w:t>EESC-</w:t>
            </w:r>
            <w:r w:rsidRPr="00923024">
              <w:rPr>
                <w:rFonts w:ascii="Times New Roman" w:hAnsi="Times New Roman"/>
                <w:b/>
                <w:sz w:val="24"/>
                <w:szCs w:val="24"/>
              </w:rPr>
              <w:t xml:space="preserve">2024-02124 </w:t>
            </w:r>
            <w:r w:rsidR="001C4138" w:rsidRPr="00923024">
              <w:rPr>
                <w:rFonts w:ascii="Times New Roman" w:hAnsi="Times New Roman"/>
                <w:b/>
                <w:sz w:val="24"/>
                <w:szCs w:val="24"/>
              </w:rPr>
              <w:t xml:space="preserve">‒ </w:t>
            </w:r>
            <w:r w:rsidRPr="00923024">
              <w:rPr>
                <w:rFonts w:ascii="Times New Roman" w:hAnsi="Times New Roman"/>
                <w:b/>
                <w:sz w:val="24"/>
                <w:szCs w:val="24"/>
              </w:rPr>
              <w:t>SOC 801</w:t>
            </w:r>
            <w:r w:rsidR="001C4138" w:rsidRPr="00923024">
              <w:rPr>
                <w:rFonts w:ascii="Times New Roman" w:hAnsi="Times New Roman"/>
                <w:b/>
                <w:sz w:val="24"/>
                <w:szCs w:val="24"/>
              </w:rPr>
              <w:br/>
            </w:r>
            <w:r w:rsidRPr="00923024">
              <w:rPr>
                <w:rFonts w:ascii="Times New Roman" w:hAnsi="Times New Roman"/>
                <w:b/>
                <w:sz w:val="24"/>
                <w:szCs w:val="24"/>
              </w:rPr>
              <w:t>591</w:t>
            </w:r>
            <w:r w:rsidR="00923024" w:rsidRPr="00923024">
              <w:rPr>
                <w:rFonts w:ascii="Times New Roman" w:hAnsi="Times New Roman"/>
                <w:b/>
                <w:sz w:val="24"/>
                <w:szCs w:val="24"/>
                <w:vertAlign w:val="superscript"/>
              </w:rPr>
              <w:t>st</w:t>
            </w:r>
            <w:r w:rsidRPr="00923024">
              <w:rPr>
                <w:rFonts w:ascii="Times New Roman" w:hAnsi="Times New Roman"/>
                <w:b/>
                <w:sz w:val="24"/>
                <w:szCs w:val="24"/>
              </w:rPr>
              <w:t xml:space="preserve"> Plenary Session – October 2024</w:t>
            </w:r>
            <w:r w:rsidR="001C4138" w:rsidRPr="00923024">
              <w:rPr>
                <w:rFonts w:ascii="Times New Roman" w:hAnsi="Times New Roman"/>
                <w:b/>
                <w:sz w:val="24"/>
                <w:szCs w:val="24"/>
              </w:rPr>
              <w:br/>
              <w:t xml:space="preserve">Rapporteur: </w:t>
            </w:r>
            <w:r w:rsidRPr="00923024">
              <w:rPr>
                <w:rFonts w:ascii="Times New Roman" w:hAnsi="Times New Roman"/>
                <w:b/>
                <w:sz w:val="24"/>
                <w:szCs w:val="24"/>
              </w:rPr>
              <w:t xml:space="preserve">Alain COHEUR (BE – III) </w:t>
            </w:r>
            <w:r w:rsidR="001C4138" w:rsidRPr="00923024">
              <w:rPr>
                <w:rFonts w:ascii="Times New Roman" w:hAnsi="Times New Roman"/>
                <w:b/>
                <w:sz w:val="24"/>
                <w:szCs w:val="24"/>
              </w:rPr>
              <w:br/>
            </w:r>
            <w:r w:rsidRPr="00923024">
              <w:rPr>
                <w:rFonts w:ascii="Times New Roman" w:hAnsi="Times New Roman"/>
                <w:b/>
                <w:sz w:val="24"/>
                <w:szCs w:val="24"/>
              </w:rPr>
              <w:t xml:space="preserve">DG SANTE – Commissioner </w:t>
            </w:r>
            <w:r w:rsidR="00F3521F" w:rsidRPr="00923024">
              <w:rPr>
                <w:rFonts w:ascii="Times New Roman" w:hAnsi="Times New Roman"/>
                <w:b/>
                <w:sz w:val="24"/>
                <w:szCs w:val="24"/>
              </w:rPr>
              <w:t>VÁRHELYI</w:t>
            </w:r>
          </w:p>
        </w:tc>
      </w:tr>
      <w:tr w:rsidR="00734613" w:rsidRPr="00923024" w14:paraId="1937071F" w14:textId="77777777" w:rsidTr="3B21C529">
        <w:trPr>
          <w:jc w:val="center"/>
        </w:trPr>
        <w:tc>
          <w:tcPr>
            <w:tcW w:w="9711" w:type="dxa"/>
          </w:tcPr>
          <w:p w14:paraId="1E50B4DB" w14:textId="6D68812E" w:rsidR="00734613" w:rsidRPr="00923024" w:rsidRDefault="004F6117" w:rsidP="00923024">
            <w:pPr>
              <w:spacing w:before="120" w:after="120"/>
              <w:jc w:val="center"/>
              <w:rPr>
                <w:rFonts w:ascii="Times New Roman" w:hAnsi="Times New Roman"/>
                <w:b/>
                <w:sz w:val="24"/>
                <w:szCs w:val="24"/>
              </w:rPr>
            </w:pPr>
            <w:r w:rsidRPr="00923024">
              <w:rPr>
                <w:rFonts w:ascii="Times New Roman" w:hAnsi="Times New Roman"/>
                <w:b/>
                <w:sz w:val="24"/>
                <w:szCs w:val="24"/>
              </w:rPr>
              <w:t xml:space="preserve">European Commission position on points </w:t>
            </w:r>
            <w:r w:rsidRPr="00923024">
              <w:rPr>
                <w:rFonts w:ascii="Times New Roman" w:hAnsi="Times New Roman"/>
                <w:b/>
                <w:sz w:val="24"/>
                <w:szCs w:val="24"/>
              </w:rPr>
              <w:br/>
              <w:t>of the European Economic and Social Committee</w:t>
            </w:r>
            <w:r w:rsidR="000D4D71" w:rsidRPr="00923024">
              <w:rPr>
                <w:rFonts w:ascii="Times New Roman" w:hAnsi="Times New Roman"/>
                <w:b/>
                <w:sz w:val="24"/>
                <w:szCs w:val="24"/>
              </w:rPr>
              <w:t xml:space="preserve"> (EESC)</w:t>
            </w:r>
            <w:r w:rsidRPr="00923024">
              <w:rPr>
                <w:rFonts w:ascii="Times New Roman" w:hAnsi="Times New Roman"/>
                <w:b/>
                <w:sz w:val="24"/>
                <w:szCs w:val="24"/>
              </w:rPr>
              <w:t xml:space="preserve"> opinion</w:t>
            </w:r>
            <w:r w:rsidR="00E83C12" w:rsidRPr="00923024">
              <w:rPr>
                <w:rFonts w:ascii="Times New Roman" w:hAnsi="Times New Roman"/>
                <w:b/>
                <w:sz w:val="24"/>
                <w:szCs w:val="24"/>
              </w:rPr>
              <w:t xml:space="preserve"> considered as essential</w:t>
            </w:r>
          </w:p>
        </w:tc>
      </w:tr>
      <w:tr w:rsidR="00734613" w:rsidRPr="00923024" w14:paraId="673DDC1B" w14:textId="77777777" w:rsidTr="3B21C529">
        <w:trPr>
          <w:jc w:val="center"/>
        </w:trPr>
        <w:tc>
          <w:tcPr>
            <w:tcW w:w="9711" w:type="dxa"/>
          </w:tcPr>
          <w:p w14:paraId="7A9ED2F1" w14:textId="782F8675" w:rsidR="000424A3" w:rsidRPr="00923024" w:rsidRDefault="000D4D71" w:rsidP="00923024">
            <w:pPr>
              <w:pStyle w:val="Heading2"/>
              <w:numPr>
                <w:ilvl w:val="0"/>
                <w:numId w:val="0"/>
              </w:numPr>
              <w:spacing w:before="120" w:after="120" w:line="276" w:lineRule="auto"/>
              <w:rPr>
                <w:rFonts w:eastAsia="Calibri"/>
                <w:sz w:val="24"/>
                <w:szCs w:val="24"/>
                <w:lang w:val="en-GB"/>
              </w:rPr>
            </w:pPr>
            <w:r w:rsidRPr="00923024">
              <w:rPr>
                <w:b/>
                <w:bCs/>
                <w:sz w:val="24"/>
                <w:szCs w:val="24"/>
                <w:lang w:val="en-GB"/>
              </w:rPr>
              <w:t>On p</w:t>
            </w:r>
            <w:r w:rsidR="00184CBA" w:rsidRPr="00923024">
              <w:rPr>
                <w:b/>
                <w:bCs/>
                <w:sz w:val="24"/>
                <w:szCs w:val="24"/>
                <w:lang w:val="en-GB"/>
              </w:rPr>
              <w:t>oint</w:t>
            </w:r>
            <w:r w:rsidR="0054158A" w:rsidRPr="00923024">
              <w:rPr>
                <w:b/>
                <w:bCs/>
                <w:sz w:val="24"/>
                <w:szCs w:val="24"/>
                <w:lang w:val="en-GB"/>
              </w:rPr>
              <w:t>s</w:t>
            </w:r>
            <w:r w:rsidR="00184CBA" w:rsidRPr="00923024">
              <w:rPr>
                <w:b/>
                <w:bCs/>
                <w:sz w:val="24"/>
                <w:szCs w:val="24"/>
                <w:lang w:val="en-GB"/>
              </w:rPr>
              <w:t xml:space="preserve"> 1.1</w:t>
            </w:r>
            <w:r w:rsidR="00255842">
              <w:rPr>
                <w:b/>
                <w:bCs/>
                <w:sz w:val="24"/>
                <w:szCs w:val="24"/>
                <w:lang w:val="en-GB"/>
              </w:rPr>
              <w:t>.</w:t>
            </w:r>
            <w:r w:rsidR="005D1AB6" w:rsidRPr="00923024">
              <w:rPr>
                <w:b/>
                <w:bCs/>
                <w:sz w:val="24"/>
                <w:szCs w:val="24"/>
                <w:lang w:val="en-GB"/>
              </w:rPr>
              <w:t xml:space="preserve">, </w:t>
            </w:r>
            <w:r w:rsidR="005D1AB6" w:rsidRPr="00923024">
              <w:rPr>
                <w:b/>
                <w:bCs/>
                <w:sz w:val="24"/>
                <w:szCs w:val="24"/>
              </w:rPr>
              <w:t>1.2</w:t>
            </w:r>
            <w:r w:rsidR="00255842">
              <w:rPr>
                <w:b/>
                <w:bCs/>
                <w:sz w:val="24"/>
                <w:szCs w:val="24"/>
              </w:rPr>
              <w:t>.</w:t>
            </w:r>
            <w:r w:rsidR="005D1AB6" w:rsidRPr="00923024">
              <w:rPr>
                <w:b/>
                <w:bCs/>
                <w:sz w:val="24"/>
                <w:szCs w:val="24"/>
              </w:rPr>
              <w:t xml:space="preserve"> and 3.1</w:t>
            </w:r>
            <w:r w:rsidR="00255842">
              <w:rPr>
                <w:b/>
                <w:bCs/>
                <w:sz w:val="24"/>
                <w:szCs w:val="24"/>
              </w:rPr>
              <w:t>.</w:t>
            </w:r>
            <w:r w:rsidRPr="00923024">
              <w:rPr>
                <w:b/>
                <w:bCs/>
                <w:sz w:val="24"/>
                <w:szCs w:val="24"/>
              </w:rPr>
              <w:t xml:space="preserve"> of the </w:t>
            </w:r>
            <w:r w:rsidR="00255842" w:rsidRPr="00255842">
              <w:rPr>
                <w:b/>
                <w:bCs/>
                <w:sz w:val="24"/>
                <w:szCs w:val="24"/>
              </w:rPr>
              <w:t xml:space="preserve">European Economic and Social Committee </w:t>
            </w:r>
            <w:r w:rsidR="00255842">
              <w:rPr>
                <w:b/>
                <w:bCs/>
                <w:sz w:val="24"/>
                <w:szCs w:val="24"/>
              </w:rPr>
              <w:t>(</w:t>
            </w:r>
            <w:r w:rsidRPr="00923024">
              <w:rPr>
                <w:b/>
                <w:bCs/>
                <w:sz w:val="24"/>
                <w:szCs w:val="24"/>
              </w:rPr>
              <w:t>EESC</w:t>
            </w:r>
            <w:r w:rsidR="00255842">
              <w:rPr>
                <w:b/>
                <w:bCs/>
                <w:sz w:val="24"/>
                <w:szCs w:val="24"/>
              </w:rPr>
              <w:t>)</w:t>
            </w:r>
            <w:r w:rsidRPr="00923024">
              <w:rPr>
                <w:b/>
                <w:bCs/>
                <w:sz w:val="24"/>
                <w:szCs w:val="24"/>
              </w:rPr>
              <w:t xml:space="preserve"> opinion</w:t>
            </w:r>
            <w:r w:rsidR="005D1AB6" w:rsidRPr="00923024">
              <w:rPr>
                <w:b/>
                <w:bCs/>
                <w:sz w:val="24"/>
                <w:szCs w:val="24"/>
              </w:rPr>
              <w:t>:</w:t>
            </w:r>
            <w:r w:rsidR="00946777" w:rsidRPr="00923024">
              <w:rPr>
                <w:b/>
                <w:bCs/>
                <w:sz w:val="24"/>
                <w:szCs w:val="24"/>
              </w:rPr>
              <w:t xml:space="preserve"> </w:t>
            </w:r>
            <w:r w:rsidR="000424A3" w:rsidRPr="00923024">
              <w:rPr>
                <w:sz w:val="24"/>
                <w:szCs w:val="24"/>
                <w:lang w:val="en-GB"/>
              </w:rPr>
              <w:t xml:space="preserve">The </w:t>
            </w:r>
            <w:r w:rsidR="00255842">
              <w:rPr>
                <w:b/>
                <w:bCs/>
                <w:sz w:val="24"/>
                <w:szCs w:val="24"/>
                <w:lang w:val="en-GB"/>
              </w:rPr>
              <w:t>Committee</w:t>
            </w:r>
            <w:r w:rsidR="00255842" w:rsidRPr="00923024">
              <w:rPr>
                <w:sz w:val="24"/>
                <w:szCs w:val="24"/>
                <w:lang w:val="en-GB"/>
              </w:rPr>
              <w:t xml:space="preserve"> </w:t>
            </w:r>
            <w:r w:rsidR="004C4C7E" w:rsidRPr="00923024">
              <w:rPr>
                <w:sz w:val="24"/>
                <w:szCs w:val="24"/>
                <w:lang w:val="en-GB"/>
              </w:rPr>
              <w:t>calls on</w:t>
            </w:r>
            <w:r w:rsidR="000424A3" w:rsidRPr="00923024">
              <w:rPr>
                <w:sz w:val="24"/>
                <w:szCs w:val="24"/>
                <w:lang w:val="en-GB"/>
              </w:rPr>
              <w:t xml:space="preserve"> all European decision-makers and </w:t>
            </w:r>
            <w:r w:rsidR="000424A3" w:rsidRPr="00923024">
              <w:rPr>
                <w:rFonts w:eastAsia="Calibri"/>
                <w:sz w:val="24"/>
                <w:szCs w:val="24"/>
                <w:lang w:val="en-GB"/>
              </w:rPr>
              <w:t>representatives to work towards</w:t>
            </w:r>
            <w:r w:rsidR="00184CBA" w:rsidRPr="00923024">
              <w:rPr>
                <w:rFonts w:eastAsia="Calibri"/>
                <w:sz w:val="24"/>
                <w:szCs w:val="24"/>
                <w:lang w:val="en-GB"/>
              </w:rPr>
              <w:t xml:space="preserve"> </w:t>
            </w:r>
            <w:r w:rsidR="000424A3" w:rsidRPr="00923024">
              <w:rPr>
                <w:rFonts w:eastAsia="Calibri"/>
                <w:sz w:val="24"/>
                <w:szCs w:val="24"/>
                <w:lang w:val="en-GB"/>
              </w:rPr>
              <w:t>integrated health policies and reduced health inequalities.</w:t>
            </w:r>
            <w:r w:rsidR="005D1AB6" w:rsidRPr="00923024">
              <w:rPr>
                <w:sz w:val="24"/>
                <w:szCs w:val="24"/>
              </w:rPr>
              <w:t xml:space="preserve"> </w:t>
            </w:r>
            <w:r w:rsidR="00681D2E" w:rsidRPr="00923024">
              <w:rPr>
                <w:sz w:val="24"/>
                <w:szCs w:val="24"/>
              </w:rPr>
              <w:t xml:space="preserve">The </w:t>
            </w:r>
            <w:r w:rsidR="00255842">
              <w:rPr>
                <w:sz w:val="24"/>
                <w:szCs w:val="24"/>
              </w:rPr>
              <w:t>Committee</w:t>
            </w:r>
            <w:r w:rsidR="00255842" w:rsidRPr="00923024">
              <w:rPr>
                <w:sz w:val="24"/>
                <w:szCs w:val="24"/>
              </w:rPr>
              <w:t xml:space="preserve"> </w:t>
            </w:r>
            <w:r w:rsidR="00681D2E" w:rsidRPr="00923024">
              <w:rPr>
                <w:sz w:val="24"/>
                <w:szCs w:val="24"/>
              </w:rPr>
              <w:t>calls for the e</w:t>
            </w:r>
            <w:r w:rsidR="005D1AB6" w:rsidRPr="00923024">
              <w:rPr>
                <w:sz w:val="24"/>
                <w:szCs w:val="24"/>
              </w:rPr>
              <w:t>stablish</w:t>
            </w:r>
            <w:r w:rsidR="00681D2E" w:rsidRPr="00923024">
              <w:rPr>
                <w:sz w:val="24"/>
                <w:szCs w:val="24"/>
              </w:rPr>
              <w:t>ment of</w:t>
            </w:r>
            <w:r w:rsidR="005D1AB6" w:rsidRPr="00923024">
              <w:rPr>
                <w:sz w:val="24"/>
                <w:szCs w:val="24"/>
              </w:rPr>
              <w:t xml:space="preserve"> a European care and healthcare guarantee</w:t>
            </w:r>
            <w:r w:rsidR="00D75932" w:rsidRPr="00923024">
              <w:rPr>
                <w:sz w:val="24"/>
                <w:szCs w:val="24"/>
              </w:rPr>
              <w:t>, with the possibility of moving towards a binding legal text</w:t>
            </w:r>
            <w:r w:rsidR="001B67C2" w:rsidRPr="00923024">
              <w:rPr>
                <w:sz w:val="24"/>
                <w:szCs w:val="24"/>
              </w:rPr>
              <w:t>.</w:t>
            </w:r>
          </w:p>
          <w:p w14:paraId="61A61771" w14:textId="399A6F3F" w:rsidR="00184CBA" w:rsidRPr="00923024" w:rsidRDefault="00CB621F" w:rsidP="00923024">
            <w:pPr>
              <w:spacing w:before="120" w:after="120"/>
              <w:jc w:val="both"/>
              <w:rPr>
                <w:rFonts w:ascii="Times New Roman" w:hAnsi="Times New Roman"/>
                <w:sz w:val="24"/>
                <w:szCs w:val="24"/>
              </w:rPr>
            </w:pPr>
            <w:r w:rsidRPr="00923024">
              <w:rPr>
                <w:rFonts w:ascii="Times New Roman" w:hAnsi="Times New Roman"/>
                <w:sz w:val="24"/>
                <w:szCs w:val="24"/>
              </w:rPr>
              <w:t xml:space="preserve">The </w:t>
            </w:r>
            <w:r w:rsidRPr="00923024">
              <w:rPr>
                <w:rFonts w:ascii="Times New Roman" w:hAnsi="Times New Roman"/>
                <w:b/>
                <w:bCs/>
                <w:sz w:val="24"/>
                <w:szCs w:val="24"/>
              </w:rPr>
              <w:t>Commission</w:t>
            </w:r>
            <w:r w:rsidRPr="00923024">
              <w:rPr>
                <w:rFonts w:ascii="Times New Roman" w:hAnsi="Times New Roman"/>
                <w:sz w:val="24"/>
                <w:szCs w:val="24"/>
              </w:rPr>
              <w:t xml:space="preserve"> is committed to the </w:t>
            </w:r>
            <w:r w:rsidR="000D4D71" w:rsidRPr="00923024">
              <w:rPr>
                <w:rFonts w:ascii="Times New Roman" w:hAnsi="Times New Roman"/>
                <w:sz w:val="24"/>
                <w:szCs w:val="24"/>
              </w:rPr>
              <w:t>‘</w:t>
            </w:r>
            <w:r w:rsidRPr="00923024">
              <w:rPr>
                <w:rFonts w:ascii="Times New Roman" w:hAnsi="Times New Roman"/>
                <w:sz w:val="24"/>
                <w:szCs w:val="24"/>
              </w:rPr>
              <w:t>Health in All Policies</w:t>
            </w:r>
            <w:r w:rsidR="000D4D71" w:rsidRPr="00923024">
              <w:rPr>
                <w:rFonts w:ascii="Times New Roman" w:hAnsi="Times New Roman"/>
                <w:sz w:val="24"/>
                <w:szCs w:val="24"/>
              </w:rPr>
              <w:t>’</w:t>
            </w:r>
            <w:r w:rsidRPr="00923024">
              <w:rPr>
                <w:rFonts w:ascii="Times New Roman" w:hAnsi="Times New Roman"/>
                <w:sz w:val="24"/>
                <w:szCs w:val="24"/>
              </w:rPr>
              <w:t xml:space="preserve"> approach, seeking synergies and </w:t>
            </w:r>
            <w:r w:rsidR="00967F1B" w:rsidRPr="00923024">
              <w:rPr>
                <w:rFonts w:ascii="Times New Roman" w:hAnsi="Times New Roman"/>
                <w:sz w:val="24"/>
                <w:szCs w:val="24"/>
              </w:rPr>
              <w:t xml:space="preserve">promoting </w:t>
            </w:r>
            <w:r w:rsidRPr="00923024">
              <w:rPr>
                <w:rFonts w:ascii="Times New Roman" w:hAnsi="Times New Roman"/>
                <w:sz w:val="24"/>
                <w:szCs w:val="24"/>
              </w:rPr>
              <w:t xml:space="preserve">health </w:t>
            </w:r>
            <w:r w:rsidR="00D26BEA" w:rsidRPr="00923024">
              <w:rPr>
                <w:rFonts w:ascii="Times New Roman" w:hAnsi="Times New Roman"/>
                <w:sz w:val="24"/>
                <w:szCs w:val="24"/>
              </w:rPr>
              <w:t>across sectors and DGs,</w:t>
            </w:r>
            <w:r w:rsidRPr="00923024">
              <w:rPr>
                <w:rFonts w:ascii="Times New Roman" w:hAnsi="Times New Roman"/>
                <w:sz w:val="24"/>
                <w:szCs w:val="24"/>
              </w:rPr>
              <w:t xml:space="preserve"> </w:t>
            </w:r>
            <w:r w:rsidR="00D26BEA" w:rsidRPr="00923024">
              <w:rPr>
                <w:rFonts w:ascii="Times New Roman" w:hAnsi="Times New Roman"/>
                <w:sz w:val="24"/>
                <w:szCs w:val="24"/>
              </w:rPr>
              <w:t xml:space="preserve">with a view </w:t>
            </w:r>
            <w:r w:rsidRPr="00923024">
              <w:rPr>
                <w:rFonts w:ascii="Times New Roman" w:hAnsi="Times New Roman"/>
                <w:sz w:val="24"/>
                <w:szCs w:val="24"/>
              </w:rPr>
              <w:t>to improv</w:t>
            </w:r>
            <w:r w:rsidR="00D26BEA" w:rsidRPr="00923024">
              <w:rPr>
                <w:rFonts w:ascii="Times New Roman" w:hAnsi="Times New Roman"/>
                <w:sz w:val="24"/>
                <w:szCs w:val="24"/>
              </w:rPr>
              <w:t>ing</w:t>
            </w:r>
            <w:r w:rsidRPr="00923024">
              <w:rPr>
                <w:rFonts w:ascii="Times New Roman" w:hAnsi="Times New Roman"/>
                <w:sz w:val="24"/>
                <w:szCs w:val="24"/>
              </w:rPr>
              <w:t xml:space="preserve"> both population health and health equity.</w:t>
            </w:r>
            <w:r w:rsidR="00F729AC" w:rsidRPr="00923024">
              <w:rPr>
                <w:rFonts w:ascii="Times New Roman" w:hAnsi="Times New Roman"/>
                <w:sz w:val="24"/>
                <w:szCs w:val="24"/>
              </w:rPr>
              <w:t xml:space="preserve"> </w:t>
            </w:r>
            <w:r w:rsidR="00184CBA" w:rsidRPr="00923024">
              <w:rPr>
                <w:rFonts w:ascii="Times New Roman" w:hAnsi="Times New Roman"/>
                <w:sz w:val="24"/>
                <w:szCs w:val="24"/>
              </w:rPr>
              <w:t>The Commission is</w:t>
            </w:r>
            <w:r w:rsidR="0054158A" w:rsidRPr="00923024">
              <w:rPr>
                <w:rFonts w:ascii="Times New Roman" w:hAnsi="Times New Roman"/>
                <w:sz w:val="24"/>
                <w:szCs w:val="24"/>
              </w:rPr>
              <w:t xml:space="preserve"> also</w:t>
            </w:r>
            <w:r w:rsidR="00184CBA" w:rsidRPr="00923024">
              <w:rPr>
                <w:rFonts w:ascii="Times New Roman" w:hAnsi="Times New Roman"/>
                <w:sz w:val="24"/>
                <w:szCs w:val="24"/>
              </w:rPr>
              <w:t xml:space="preserve"> committed to promoting universal and equal access to healthcare, to ensur</w:t>
            </w:r>
            <w:r w:rsidR="00D26BEA" w:rsidRPr="00923024">
              <w:rPr>
                <w:rFonts w:ascii="Times New Roman" w:hAnsi="Times New Roman"/>
                <w:sz w:val="24"/>
                <w:szCs w:val="24"/>
              </w:rPr>
              <w:t>e</w:t>
            </w:r>
            <w:r w:rsidR="00184CBA" w:rsidRPr="00923024">
              <w:rPr>
                <w:rFonts w:ascii="Times New Roman" w:hAnsi="Times New Roman"/>
                <w:sz w:val="24"/>
                <w:szCs w:val="24"/>
              </w:rPr>
              <w:t xml:space="preserve"> that all individuals have </w:t>
            </w:r>
            <w:r w:rsidR="007A4851" w:rsidRPr="00923024">
              <w:rPr>
                <w:rFonts w:ascii="Times New Roman" w:hAnsi="Times New Roman"/>
                <w:sz w:val="24"/>
                <w:szCs w:val="24"/>
              </w:rPr>
              <w:t xml:space="preserve">equal </w:t>
            </w:r>
            <w:r w:rsidR="00184CBA" w:rsidRPr="00923024">
              <w:rPr>
                <w:rFonts w:ascii="Times New Roman" w:hAnsi="Times New Roman"/>
                <w:sz w:val="24"/>
                <w:szCs w:val="24"/>
              </w:rPr>
              <w:t>access to quality care</w:t>
            </w:r>
            <w:r w:rsidR="00BF063B" w:rsidRPr="00923024">
              <w:rPr>
                <w:rFonts w:ascii="Times New Roman" w:hAnsi="Times New Roman"/>
                <w:sz w:val="24"/>
                <w:szCs w:val="24"/>
              </w:rPr>
              <w:t xml:space="preserve"> (Art.10 of the T</w:t>
            </w:r>
            <w:r w:rsidR="00255842">
              <w:rPr>
                <w:rFonts w:ascii="Times New Roman" w:hAnsi="Times New Roman"/>
                <w:sz w:val="24"/>
                <w:szCs w:val="24"/>
              </w:rPr>
              <w:t xml:space="preserve">reaty on the </w:t>
            </w:r>
            <w:r w:rsidR="00BF063B" w:rsidRPr="00923024">
              <w:rPr>
                <w:rFonts w:ascii="Times New Roman" w:hAnsi="Times New Roman"/>
                <w:sz w:val="24"/>
                <w:szCs w:val="24"/>
              </w:rPr>
              <w:t>F</w:t>
            </w:r>
            <w:r w:rsidR="00255842">
              <w:rPr>
                <w:rFonts w:ascii="Times New Roman" w:hAnsi="Times New Roman"/>
                <w:sz w:val="24"/>
                <w:szCs w:val="24"/>
              </w:rPr>
              <w:t xml:space="preserve">unctioning of the </w:t>
            </w:r>
            <w:r w:rsidR="00BF063B" w:rsidRPr="00923024">
              <w:rPr>
                <w:rFonts w:ascii="Times New Roman" w:hAnsi="Times New Roman"/>
                <w:sz w:val="24"/>
                <w:szCs w:val="24"/>
              </w:rPr>
              <w:t xml:space="preserve">EU and Art. 21 and 35 of the EU Charter of </w:t>
            </w:r>
            <w:r w:rsidR="0054158A" w:rsidRPr="00923024">
              <w:rPr>
                <w:rFonts w:ascii="Times New Roman" w:hAnsi="Times New Roman"/>
                <w:sz w:val="24"/>
                <w:szCs w:val="24"/>
              </w:rPr>
              <w:t>F</w:t>
            </w:r>
            <w:r w:rsidR="00BF063B" w:rsidRPr="00923024">
              <w:rPr>
                <w:rFonts w:ascii="Times New Roman" w:hAnsi="Times New Roman"/>
                <w:sz w:val="24"/>
                <w:szCs w:val="24"/>
              </w:rPr>
              <w:t>undamental Rights)</w:t>
            </w:r>
            <w:r w:rsidR="00184CBA" w:rsidRPr="00923024">
              <w:rPr>
                <w:rFonts w:ascii="Times New Roman" w:hAnsi="Times New Roman"/>
                <w:sz w:val="24"/>
                <w:szCs w:val="24"/>
              </w:rPr>
              <w:t xml:space="preserve">. </w:t>
            </w:r>
            <w:r w:rsidR="003C1478" w:rsidRPr="00923024">
              <w:rPr>
                <w:rFonts w:ascii="Times New Roman" w:hAnsi="Times New Roman"/>
                <w:sz w:val="24"/>
                <w:szCs w:val="24"/>
              </w:rPr>
              <w:t xml:space="preserve">Principle 16 </w:t>
            </w:r>
            <w:r w:rsidR="00D26BEA" w:rsidRPr="00923024">
              <w:rPr>
                <w:rFonts w:ascii="Times New Roman" w:hAnsi="Times New Roman"/>
                <w:sz w:val="24"/>
                <w:szCs w:val="24"/>
              </w:rPr>
              <w:t xml:space="preserve">of the European Pillar on Social Rights </w:t>
            </w:r>
            <w:r w:rsidR="003C1478" w:rsidRPr="00923024">
              <w:rPr>
                <w:rFonts w:ascii="Times New Roman" w:hAnsi="Times New Roman"/>
                <w:sz w:val="24"/>
                <w:szCs w:val="24"/>
              </w:rPr>
              <w:t>states</w:t>
            </w:r>
            <w:r w:rsidR="00D26BEA" w:rsidRPr="00923024">
              <w:rPr>
                <w:rFonts w:ascii="Times New Roman" w:hAnsi="Times New Roman"/>
                <w:sz w:val="24"/>
                <w:szCs w:val="24"/>
              </w:rPr>
              <w:t xml:space="preserve"> that</w:t>
            </w:r>
            <w:r w:rsidR="003C1478" w:rsidRPr="00923024">
              <w:rPr>
                <w:rFonts w:ascii="Times New Roman" w:hAnsi="Times New Roman"/>
                <w:sz w:val="24"/>
                <w:szCs w:val="24"/>
              </w:rPr>
              <w:t xml:space="preserve"> everyone has the right to timely access to affordable, preventive and curative healthcare of good quality.</w:t>
            </w:r>
            <w:r w:rsidR="003C1478" w:rsidRPr="00923024">
              <w:rPr>
                <w:rStyle w:val="FootnoteReference"/>
                <w:rFonts w:ascii="Times New Roman" w:hAnsi="Times New Roman"/>
                <w:szCs w:val="24"/>
              </w:rPr>
              <w:footnoteReference w:id="2"/>
            </w:r>
            <w:r w:rsidR="003C1478" w:rsidRPr="00923024">
              <w:rPr>
                <w:rFonts w:ascii="Times New Roman" w:hAnsi="Times New Roman"/>
                <w:sz w:val="24"/>
                <w:szCs w:val="24"/>
              </w:rPr>
              <w:t xml:space="preserve"> </w:t>
            </w:r>
            <w:r w:rsidR="00184CBA" w:rsidRPr="00923024">
              <w:rPr>
                <w:rFonts w:ascii="Times New Roman" w:hAnsi="Times New Roman"/>
                <w:sz w:val="24"/>
                <w:szCs w:val="24"/>
              </w:rPr>
              <w:t xml:space="preserve">In line with this objective, the Commission has already launched several key </w:t>
            </w:r>
            <w:r w:rsidR="00967F1B" w:rsidRPr="00923024">
              <w:rPr>
                <w:rFonts w:ascii="Times New Roman" w:hAnsi="Times New Roman"/>
                <w:sz w:val="24"/>
                <w:szCs w:val="24"/>
              </w:rPr>
              <w:t xml:space="preserve">actions </w:t>
            </w:r>
            <w:r w:rsidR="00184CBA" w:rsidRPr="00923024">
              <w:rPr>
                <w:rFonts w:ascii="Times New Roman" w:hAnsi="Times New Roman"/>
                <w:sz w:val="24"/>
                <w:szCs w:val="24"/>
              </w:rPr>
              <w:t xml:space="preserve">through the </w:t>
            </w:r>
            <w:r w:rsidR="0082465A" w:rsidRPr="00923024">
              <w:rPr>
                <w:rFonts w:ascii="Times New Roman" w:hAnsi="Times New Roman"/>
                <w:sz w:val="24"/>
                <w:szCs w:val="24"/>
              </w:rPr>
              <w:t>3</w:t>
            </w:r>
            <w:r w:rsidR="0082465A" w:rsidRPr="00923024">
              <w:rPr>
                <w:rFonts w:ascii="Times New Roman" w:hAnsi="Times New Roman"/>
                <w:sz w:val="24"/>
                <w:szCs w:val="24"/>
                <w:vertAlign w:val="superscript"/>
              </w:rPr>
              <w:t>rd</w:t>
            </w:r>
            <w:r w:rsidR="0082465A" w:rsidRPr="00923024">
              <w:rPr>
                <w:rFonts w:ascii="Times New Roman" w:hAnsi="Times New Roman"/>
                <w:sz w:val="24"/>
                <w:szCs w:val="24"/>
              </w:rPr>
              <w:t xml:space="preserve"> Health Programme and the </w:t>
            </w:r>
            <w:r w:rsidR="0022549A" w:rsidRPr="00923024">
              <w:rPr>
                <w:rFonts w:ascii="Times New Roman" w:hAnsi="Times New Roman"/>
                <w:sz w:val="24"/>
                <w:szCs w:val="24"/>
              </w:rPr>
              <w:t>EU4Health programme</w:t>
            </w:r>
            <w:r w:rsidR="00184CBA" w:rsidRPr="00923024">
              <w:rPr>
                <w:rFonts w:ascii="Times New Roman" w:hAnsi="Times New Roman"/>
                <w:sz w:val="24"/>
                <w:szCs w:val="24"/>
              </w:rPr>
              <w:t>, including a project</w:t>
            </w:r>
            <w:r w:rsidR="00A7061A" w:rsidRPr="00923024">
              <w:rPr>
                <w:rStyle w:val="FootnoteReference"/>
                <w:rFonts w:ascii="Times New Roman" w:hAnsi="Times New Roman"/>
                <w:szCs w:val="24"/>
              </w:rPr>
              <w:footnoteReference w:id="3"/>
            </w:r>
            <w:r w:rsidR="00184CBA" w:rsidRPr="00923024">
              <w:rPr>
                <w:rFonts w:ascii="Times New Roman" w:hAnsi="Times New Roman"/>
                <w:sz w:val="24"/>
                <w:szCs w:val="24"/>
              </w:rPr>
              <w:t xml:space="preserve"> </w:t>
            </w:r>
            <w:r w:rsidR="001F55EF" w:rsidRPr="00923024">
              <w:rPr>
                <w:rFonts w:ascii="Times New Roman" w:hAnsi="Times New Roman"/>
                <w:sz w:val="24"/>
                <w:szCs w:val="24"/>
              </w:rPr>
              <w:t xml:space="preserve">in collaboration </w:t>
            </w:r>
            <w:r w:rsidR="00184CBA" w:rsidRPr="00923024">
              <w:rPr>
                <w:rFonts w:ascii="Times New Roman" w:hAnsi="Times New Roman"/>
                <w:sz w:val="24"/>
                <w:szCs w:val="24"/>
              </w:rPr>
              <w:t xml:space="preserve">with the World Health Organization (WHO) to develop recommendations on enhancing access to healthcare. Furthermore, the Commission is undertaking a study to establish guidelines on how to improve access to healthcare for individuals with disabilities. </w:t>
            </w:r>
            <w:r w:rsidR="00E161A3" w:rsidRPr="00923024">
              <w:rPr>
                <w:rFonts w:ascii="Times New Roman" w:hAnsi="Times New Roman"/>
                <w:sz w:val="24"/>
                <w:szCs w:val="24"/>
              </w:rPr>
              <w:t>The Joint Action on Health Equity in Europe</w:t>
            </w:r>
            <w:r w:rsidR="00E161A3" w:rsidRPr="00923024">
              <w:rPr>
                <w:rStyle w:val="FootnoteReference"/>
                <w:rFonts w:ascii="Times New Roman" w:hAnsi="Times New Roman"/>
                <w:szCs w:val="24"/>
              </w:rPr>
              <w:footnoteReference w:id="4"/>
            </w:r>
            <w:r w:rsidR="00E161A3" w:rsidRPr="00923024">
              <w:rPr>
                <w:rFonts w:ascii="Times New Roman" w:hAnsi="Times New Roman"/>
                <w:sz w:val="24"/>
                <w:szCs w:val="24"/>
              </w:rPr>
              <w:t xml:space="preserve"> (2018-2021) worked on 76 actions to reduce health inequalities, developed a methodology based on a Health in All Policies approach and provided recommendations and a consensus policy document </w:t>
            </w:r>
            <w:r w:rsidR="003B44FC" w:rsidRPr="00923024">
              <w:rPr>
                <w:rFonts w:ascii="Times New Roman" w:hAnsi="Times New Roman"/>
                <w:sz w:val="24"/>
                <w:szCs w:val="24"/>
              </w:rPr>
              <w:t>to</w:t>
            </w:r>
            <w:r w:rsidR="00E161A3" w:rsidRPr="00923024">
              <w:rPr>
                <w:rFonts w:ascii="Times New Roman" w:hAnsi="Times New Roman"/>
                <w:sz w:val="24"/>
                <w:szCs w:val="24"/>
              </w:rPr>
              <w:t xml:space="preserve"> achiev</w:t>
            </w:r>
            <w:r w:rsidR="003B44FC" w:rsidRPr="00923024">
              <w:rPr>
                <w:rFonts w:ascii="Times New Roman" w:hAnsi="Times New Roman"/>
                <w:sz w:val="24"/>
                <w:szCs w:val="24"/>
              </w:rPr>
              <w:t>e</w:t>
            </w:r>
            <w:r w:rsidR="00E161A3" w:rsidRPr="00923024">
              <w:rPr>
                <w:rFonts w:ascii="Times New Roman" w:hAnsi="Times New Roman"/>
                <w:sz w:val="24"/>
                <w:szCs w:val="24"/>
              </w:rPr>
              <w:t xml:space="preserve"> greater equity in health outcomes across all groups in society. </w:t>
            </w:r>
          </w:p>
          <w:p w14:paraId="7509D035" w14:textId="5891DDBE" w:rsidR="004340FE" w:rsidRPr="00923024" w:rsidRDefault="004340FE" w:rsidP="00923024">
            <w:pPr>
              <w:spacing w:before="120" w:after="120"/>
              <w:jc w:val="both"/>
              <w:rPr>
                <w:rFonts w:ascii="Times New Roman" w:hAnsi="Times New Roman"/>
                <w:sz w:val="24"/>
                <w:szCs w:val="24"/>
              </w:rPr>
            </w:pPr>
            <w:r w:rsidRPr="00923024">
              <w:rPr>
                <w:rFonts w:ascii="Times New Roman" w:hAnsi="Times New Roman"/>
                <w:sz w:val="24"/>
                <w:szCs w:val="24"/>
              </w:rPr>
              <w:t>When it comes to the call for establishing a European care and healthcare guarantee, the European Care Strategy and the accompanying Council Recommendations</w:t>
            </w:r>
            <w:r w:rsidR="00A7061A" w:rsidRPr="00923024">
              <w:rPr>
                <w:rStyle w:val="FootnoteReference"/>
                <w:rFonts w:ascii="Times New Roman" w:hAnsi="Times New Roman"/>
                <w:szCs w:val="24"/>
              </w:rPr>
              <w:footnoteReference w:id="5"/>
            </w:r>
            <w:r w:rsidRPr="00923024">
              <w:rPr>
                <w:rFonts w:ascii="Times New Roman" w:hAnsi="Times New Roman"/>
                <w:sz w:val="24"/>
                <w:szCs w:val="24"/>
              </w:rPr>
              <w:t xml:space="preserve"> provide an ambitious and comprehensive policy framework on care. They set the overall vision for the sector, backed up by EU-level action, funding and guidance for reforms and investments at the national level. Implementation will take time and reflect the various starting points of the EU Member States. Building on the evaluation of progress in implementation, as well as of further analytical work, the </w:t>
            </w:r>
            <w:r w:rsidRPr="00923024">
              <w:rPr>
                <w:rFonts w:ascii="Times New Roman" w:hAnsi="Times New Roman"/>
                <w:sz w:val="24"/>
                <w:szCs w:val="24"/>
              </w:rPr>
              <w:lastRenderedPageBreak/>
              <w:t xml:space="preserve">Commission will assess the modalities for further action in this area. </w:t>
            </w:r>
          </w:p>
          <w:p w14:paraId="0AC6B35B" w14:textId="6B4D6A2F" w:rsidR="3CE9AAE1" w:rsidRPr="00923024" w:rsidRDefault="361DCBA7" w:rsidP="00923024">
            <w:pPr>
              <w:pStyle w:val="Heading3"/>
              <w:numPr>
                <w:ilvl w:val="0"/>
                <w:numId w:val="0"/>
              </w:numPr>
              <w:spacing w:before="120" w:after="120" w:line="276" w:lineRule="auto"/>
              <w:rPr>
                <w:color w:val="000000"/>
                <w:sz w:val="24"/>
                <w:szCs w:val="24"/>
                <w:lang w:val="en-GB"/>
              </w:rPr>
            </w:pPr>
            <w:r w:rsidRPr="00923024">
              <w:rPr>
                <w:b/>
                <w:bCs/>
                <w:sz w:val="24"/>
                <w:szCs w:val="24"/>
                <w:lang w:val="en-GB"/>
              </w:rPr>
              <w:t>Point</w:t>
            </w:r>
            <w:r w:rsidR="0054158A" w:rsidRPr="00923024">
              <w:rPr>
                <w:b/>
                <w:bCs/>
                <w:sz w:val="24"/>
                <w:szCs w:val="24"/>
                <w:lang w:val="en-GB"/>
              </w:rPr>
              <w:t>s</w:t>
            </w:r>
            <w:r w:rsidRPr="00923024">
              <w:rPr>
                <w:b/>
                <w:bCs/>
                <w:sz w:val="24"/>
                <w:szCs w:val="24"/>
                <w:lang w:val="en-GB"/>
              </w:rPr>
              <w:t xml:space="preserve"> 1.2</w:t>
            </w:r>
            <w:r w:rsidR="00C80BBA">
              <w:rPr>
                <w:b/>
                <w:bCs/>
                <w:sz w:val="24"/>
                <w:szCs w:val="24"/>
                <w:lang w:val="en-GB"/>
              </w:rPr>
              <w:t>.</w:t>
            </w:r>
            <w:r w:rsidRPr="00923024">
              <w:rPr>
                <w:b/>
                <w:bCs/>
                <w:sz w:val="24"/>
                <w:szCs w:val="24"/>
                <w:lang w:val="en-GB"/>
              </w:rPr>
              <w:t xml:space="preserve"> and 4</w:t>
            </w:r>
            <w:r w:rsidR="79F1221C" w:rsidRPr="00923024">
              <w:rPr>
                <w:b/>
                <w:bCs/>
                <w:sz w:val="24"/>
                <w:szCs w:val="24"/>
                <w:lang w:val="en-GB"/>
              </w:rPr>
              <w:t>.2</w:t>
            </w:r>
            <w:r w:rsidR="00C80BBA">
              <w:rPr>
                <w:b/>
                <w:bCs/>
                <w:sz w:val="24"/>
                <w:szCs w:val="24"/>
                <w:lang w:val="en-GB"/>
              </w:rPr>
              <w:t>.</w:t>
            </w:r>
            <w:r w:rsidRPr="00923024">
              <w:rPr>
                <w:b/>
                <w:bCs/>
                <w:sz w:val="24"/>
                <w:szCs w:val="24"/>
                <w:lang w:val="en-GB"/>
              </w:rPr>
              <w:t>:</w:t>
            </w:r>
            <w:r w:rsidRPr="00923024">
              <w:rPr>
                <w:sz w:val="24"/>
                <w:szCs w:val="24"/>
                <w:lang w:val="en-GB"/>
              </w:rPr>
              <w:t xml:space="preserve"> </w:t>
            </w:r>
            <w:r w:rsidR="00FB159E" w:rsidRPr="00923024">
              <w:rPr>
                <w:sz w:val="24"/>
                <w:szCs w:val="24"/>
                <w:lang w:val="en-GB"/>
              </w:rPr>
              <w:t xml:space="preserve">The </w:t>
            </w:r>
            <w:r w:rsidR="00FB159E" w:rsidRPr="00923024">
              <w:rPr>
                <w:b/>
                <w:bCs/>
                <w:sz w:val="24"/>
                <w:szCs w:val="24"/>
                <w:lang w:val="en-GB"/>
              </w:rPr>
              <w:t>EESC</w:t>
            </w:r>
            <w:r w:rsidR="00FB159E" w:rsidRPr="00923024">
              <w:rPr>
                <w:sz w:val="24"/>
                <w:szCs w:val="24"/>
                <w:lang w:val="en-GB"/>
              </w:rPr>
              <w:t xml:space="preserve"> seeks </w:t>
            </w:r>
            <w:r w:rsidR="002874BD" w:rsidRPr="00923024">
              <w:rPr>
                <w:sz w:val="24"/>
                <w:szCs w:val="24"/>
                <w:lang w:val="en-GB"/>
              </w:rPr>
              <w:t xml:space="preserve">the implementation of the </w:t>
            </w:r>
            <w:r w:rsidR="4286DA8D" w:rsidRPr="00923024">
              <w:rPr>
                <w:sz w:val="24"/>
                <w:szCs w:val="24"/>
                <w:lang w:val="en-GB"/>
              </w:rPr>
              <w:t>integrated One Health approach, through ‘Health in All Policies’, interdisciplinary cooperation, coordinated monitoring, data sharing between sectors and enhanced</w:t>
            </w:r>
            <w:r w:rsidR="003B44FC" w:rsidRPr="00923024">
              <w:rPr>
                <w:sz w:val="24"/>
                <w:szCs w:val="24"/>
                <w:lang w:val="en-GB"/>
              </w:rPr>
              <w:t>.</w:t>
            </w:r>
            <w:r w:rsidR="4286DA8D" w:rsidRPr="00923024">
              <w:rPr>
                <w:sz w:val="24"/>
                <w:szCs w:val="24"/>
                <w:lang w:val="en-GB"/>
              </w:rPr>
              <w:t xml:space="preserve"> </w:t>
            </w:r>
          </w:p>
          <w:p w14:paraId="32785CC2" w14:textId="6D183F17" w:rsidR="00E24851" w:rsidRPr="00923024" w:rsidRDefault="2A256549" w:rsidP="00923024">
            <w:pPr>
              <w:spacing w:before="120" w:after="120"/>
              <w:jc w:val="both"/>
              <w:rPr>
                <w:rFonts w:ascii="Times New Roman" w:eastAsia="Times New Roman" w:hAnsi="Times New Roman"/>
                <w:sz w:val="24"/>
                <w:szCs w:val="24"/>
                <w:lang w:val="en-US"/>
              </w:rPr>
            </w:pPr>
            <w:r w:rsidRPr="00923024">
              <w:rPr>
                <w:rFonts w:ascii="Times New Roman" w:eastAsia="Times New Roman" w:hAnsi="Times New Roman"/>
                <w:sz w:val="24"/>
                <w:szCs w:val="24"/>
              </w:rPr>
              <w:t xml:space="preserve">The </w:t>
            </w:r>
            <w:r w:rsidRPr="00923024">
              <w:rPr>
                <w:rFonts w:ascii="Times New Roman" w:eastAsia="Times New Roman" w:hAnsi="Times New Roman"/>
                <w:b/>
                <w:bCs/>
                <w:sz w:val="24"/>
                <w:szCs w:val="24"/>
              </w:rPr>
              <w:t>Commission</w:t>
            </w:r>
            <w:r w:rsidRPr="00923024">
              <w:rPr>
                <w:rFonts w:ascii="Times New Roman" w:eastAsia="Times New Roman" w:hAnsi="Times New Roman"/>
                <w:sz w:val="24"/>
                <w:szCs w:val="24"/>
              </w:rPr>
              <w:t xml:space="preserve"> has been a longstanding advocate </w:t>
            </w:r>
            <w:r w:rsidR="0054158A" w:rsidRPr="00923024">
              <w:rPr>
                <w:rFonts w:ascii="Times New Roman" w:eastAsia="Times New Roman" w:hAnsi="Times New Roman"/>
                <w:sz w:val="24"/>
                <w:szCs w:val="24"/>
              </w:rPr>
              <w:t xml:space="preserve">of </w:t>
            </w:r>
            <w:r w:rsidRPr="00923024">
              <w:rPr>
                <w:rFonts w:ascii="Times New Roman" w:eastAsia="Times New Roman" w:hAnsi="Times New Roman"/>
                <w:sz w:val="24"/>
                <w:szCs w:val="24"/>
              </w:rPr>
              <w:t>the One Health approach, and it continues to work to</w:t>
            </w:r>
            <w:r w:rsidR="007E27FE" w:rsidRPr="00923024">
              <w:rPr>
                <w:rFonts w:ascii="Times New Roman" w:eastAsia="Times New Roman" w:hAnsi="Times New Roman"/>
                <w:sz w:val="24"/>
                <w:szCs w:val="24"/>
              </w:rPr>
              <w:t xml:space="preserve"> operationalise this approach</w:t>
            </w:r>
            <w:r w:rsidRPr="00923024">
              <w:rPr>
                <w:rFonts w:ascii="Times New Roman" w:eastAsia="Times New Roman" w:hAnsi="Times New Roman"/>
                <w:sz w:val="24"/>
                <w:szCs w:val="24"/>
              </w:rPr>
              <w:t>.</w:t>
            </w:r>
            <w:r w:rsidR="12B011E7" w:rsidRPr="00923024">
              <w:rPr>
                <w:rFonts w:ascii="Times New Roman" w:eastAsia="Times New Roman" w:hAnsi="Times New Roman"/>
                <w:sz w:val="24"/>
                <w:szCs w:val="24"/>
              </w:rPr>
              <w:t xml:space="preserve"> </w:t>
            </w:r>
            <w:r w:rsidR="00B65631" w:rsidRPr="00923024">
              <w:rPr>
                <w:rFonts w:ascii="Times New Roman" w:eastAsia="Times New Roman" w:hAnsi="Times New Roman"/>
                <w:sz w:val="24"/>
                <w:szCs w:val="24"/>
                <w:lang w:val="en-US"/>
              </w:rPr>
              <w:t xml:space="preserve">In </w:t>
            </w:r>
            <w:r w:rsidR="72330EC2" w:rsidRPr="00923024">
              <w:rPr>
                <w:rFonts w:ascii="Times New Roman" w:eastAsia="Times New Roman" w:hAnsi="Times New Roman"/>
                <w:sz w:val="24"/>
                <w:szCs w:val="24"/>
                <w:lang w:val="en-US"/>
              </w:rPr>
              <w:t xml:space="preserve">2023, </w:t>
            </w:r>
            <w:r w:rsidR="00967F1B" w:rsidRPr="00923024">
              <w:rPr>
                <w:rFonts w:ascii="Times New Roman" w:eastAsia="Times New Roman" w:hAnsi="Times New Roman"/>
                <w:sz w:val="24"/>
                <w:szCs w:val="24"/>
                <w:lang w:val="en-US"/>
              </w:rPr>
              <w:t>the Council Recommendation on stepping up EU actions to combat antimicrobial resistance in a One Health approach</w:t>
            </w:r>
            <w:r w:rsidR="0054158A" w:rsidRPr="00923024">
              <w:rPr>
                <w:rStyle w:val="FootnoteReference"/>
                <w:rFonts w:ascii="Times New Roman" w:eastAsia="Times New Roman" w:hAnsi="Times New Roman"/>
                <w:szCs w:val="24"/>
                <w:lang w:val="en-US"/>
              </w:rPr>
              <w:footnoteReference w:id="6"/>
            </w:r>
            <w:r w:rsidR="00967F1B" w:rsidRPr="00923024">
              <w:rPr>
                <w:rFonts w:ascii="Times New Roman" w:eastAsia="Times New Roman" w:hAnsi="Times New Roman"/>
                <w:sz w:val="24"/>
                <w:szCs w:val="24"/>
                <w:lang w:val="en-US"/>
              </w:rPr>
              <w:t xml:space="preserve"> was adopted and </w:t>
            </w:r>
            <w:r w:rsidR="003B44FC" w:rsidRPr="00923024">
              <w:rPr>
                <w:rFonts w:ascii="Times New Roman" w:eastAsia="Times New Roman" w:hAnsi="Times New Roman"/>
                <w:sz w:val="24"/>
                <w:szCs w:val="24"/>
                <w:lang w:val="en-US"/>
              </w:rPr>
              <w:t>a</w:t>
            </w:r>
            <w:r w:rsidR="72330EC2" w:rsidRPr="00923024">
              <w:rPr>
                <w:rFonts w:ascii="Times New Roman" w:eastAsia="Times New Roman" w:hAnsi="Times New Roman"/>
                <w:sz w:val="24"/>
                <w:szCs w:val="24"/>
                <w:lang w:val="en-US"/>
              </w:rPr>
              <w:t xml:space="preserve"> Cross-Agency One Health Task Force</w:t>
            </w:r>
            <w:r w:rsidR="003B44FC" w:rsidRPr="00923024">
              <w:rPr>
                <w:rFonts w:ascii="Times New Roman" w:eastAsia="Times New Roman" w:hAnsi="Times New Roman"/>
                <w:sz w:val="24"/>
                <w:szCs w:val="24"/>
                <w:lang w:val="en-US"/>
              </w:rPr>
              <w:t xml:space="preserve"> was established </w:t>
            </w:r>
            <w:r w:rsidR="72330EC2" w:rsidRPr="00923024">
              <w:rPr>
                <w:rFonts w:ascii="Times New Roman" w:eastAsia="Times New Roman" w:hAnsi="Times New Roman"/>
                <w:sz w:val="24"/>
                <w:szCs w:val="24"/>
                <w:lang w:val="en-US"/>
              </w:rPr>
              <w:t xml:space="preserve">to strengthen the scientific evidence, to mainstream the One Health approach in the scientific advice and risk assessment, and to strengthen educational and training </w:t>
            </w:r>
            <w:proofErr w:type="spellStart"/>
            <w:r w:rsidR="72330EC2" w:rsidRPr="00923024">
              <w:rPr>
                <w:rFonts w:ascii="Times New Roman" w:eastAsia="Times New Roman" w:hAnsi="Times New Roman"/>
                <w:sz w:val="24"/>
                <w:szCs w:val="24"/>
                <w:lang w:val="en-US"/>
              </w:rPr>
              <w:t>programmes</w:t>
            </w:r>
            <w:proofErr w:type="spellEnd"/>
            <w:r w:rsidR="72330EC2" w:rsidRPr="00923024">
              <w:rPr>
                <w:rFonts w:ascii="Times New Roman" w:eastAsia="Times New Roman" w:hAnsi="Times New Roman"/>
                <w:sz w:val="24"/>
                <w:szCs w:val="24"/>
                <w:lang w:val="en-US"/>
              </w:rPr>
              <w:t>.</w:t>
            </w:r>
          </w:p>
          <w:p w14:paraId="14368BE2" w14:textId="064F754E" w:rsidR="00E24851" w:rsidRPr="00923024" w:rsidRDefault="32EBD347" w:rsidP="00923024">
            <w:pPr>
              <w:spacing w:before="120" w:after="120"/>
              <w:jc w:val="both"/>
              <w:rPr>
                <w:rFonts w:ascii="Times New Roman" w:eastAsia="Times New Roman" w:hAnsi="Times New Roman"/>
                <w:sz w:val="24"/>
                <w:szCs w:val="24"/>
                <w:lang w:val="en-US"/>
              </w:rPr>
            </w:pPr>
            <w:r w:rsidRPr="00923024">
              <w:rPr>
                <w:rFonts w:ascii="Times New Roman" w:eastAsia="Times New Roman" w:hAnsi="Times New Roman"/>
                <w:sz w:val="24"/>
                <w:szCs w:val="24"/>
                <w:lang w:val="en-US"/>
              </w:rPr>
              <w:t>The Commission is implementing the One Health approach on zoonoses and antimicrobial resistance</w:t>
            </w:r>
            <w:r w:rsidR="007A4851" w:rsidRPr="00923024">
              <w:rPr>
                <w:rFonts w:ascii="Times New Roman" w:eastAsia="Times New Roman" w:hAnsi="Times New Roman"/>
                <w:sz w:val="24"/>
                <w:szCs w:val="24"/>
                <w:lang w:val="en-US"/>
              </w:rPr>
              <w:t xml:space="preserve"> (AMR)</w:t>
            </w:r>
            <w:r w:rsidRPr="00923024">
              <w:rPr>
                <w:rFonts w:ascii="Times New Roman" w:eastAsia="Times New Roman" w:hAnsi="Times New Roman"/>
                <w:sz w:val="24"/>
                <w:szCs w:val="24"/>
                <w:lang w:val="en-US"/>
              </w:rPr>
              <w:t xml:space="preserve">. As regards zoonoses, legislation on animal health, food hygiene and on serious cross border health threats is well established and the </w:t>
            </w:r>
            <w:r w:rsidR="0054158A" w:rsidRPr="00923024">
              <w:rPr>
                <w:rFonts w:ascii="Times New Roman" w:eastAsia="Times New Roman" w:hAnsi="Times New Roman"/>
                <w:sz w:val="24"/>
                <w:szCs w:val="24"/>
                <w:lang w:val="en-US"/>
              </w:rPr>
              <w:t xml:space="preserve">relevant </w:t>
            </w:r>
            <w:r w:rsidRPr="00923024">
              <w:rPr>
                <w:rFonts w:ascii="Times New Roman" w:eastAsia="Times New Roman" w:hAnsi="Times New Roman"/>
                <w:sz w:val="24"/>
                <w:szCs w:val="24"/>
                <w:lang w:val="en-US"/>
              </w:rPr>
              <w:t xml:space="preserve">alert systems are being interconnected. </w:t>
            </w:r>
            <w:r w:rsidR="003B44FC" w:rsidRPr="00923024">
              <w:rPr>
                <w:rFonts w:ascii="Times New Roman" w:eastAsia="Times New Roman" w:hAnsi="Times New Roman"/>
                <w:sz w:val="24"/>
                <w:szCs w:val="24"/>
                <w:lang w:val="en-US"/>
              </w:rPr>
              <w:t xml:space="preserve">The European Centre for Disease Prevention and Control and the European Food Safety Authority </w:t>
            </w:r>
            <w:r w:rsidRPr="00923024">
              <w:rPr>
                <w:rFonts w:ascii="Times New Roman" w:eastAsia="Times New Roman" w:hAnsi="Times New Roman"/>
                <w:sz w:val="24"/>
                <w:szCs w:val="24"/>
                <w:lang w:val="en-US"/>
              </w:rPr>
              <w:t xml:space="preserve">provide joint guidance and risk assessments to respond to zoonotic threats. The Commission </w:t>
            </w:r>
            <w:proofErr w:type="spellStart"/>
            <w:r w:rsidRPr="00923024">
              <w:rPr>
                <w:rFonts w:ascii="Times New Roman" w:eastAsia="Times New Roman" w:hAnsi="Times New Roman"/>
                <w:sz w:val="24"/>
                <w:szCs w:val="24"/>
                <w:lang w:val="en-US"/>
              </w:rPr>
              <w:t>organises</w:t>
            </w:r>
            <w:proofErr w:type="spellEnd"/>
            <w:r w:rsidRPr="00923024">
              <w:rPr>
                <w:rFonts w:ascii="Times New Roman" w:eastAsia="Times New Roman" w:hAnsi="Times New Roman"/>
                <w:sz w:val="24"/>
                <w:szCs w:val="24"/>
                <w:lang w:val="en-US"/>
              </w:rPr>
              <w:t xml:space="preserve"> joint meetings between Chief Veterinary and Chief Medical Officers</w:t>
            </w:r>
            <w:r w:rsidR="003B44FC" w:rsidRPr="00923024">
              <w:rPr>
                <w:rFonts w:ascii="Times New Roman" w:eastAsia="Times New Roman" w:hAnsi="Times New Roman"/>
                <w:sz w:val="24"/>
                <w:szCs w:val="24"/>
                <w:lang w:val="en-US"/>
              </w:rPr>
              <w:t xml:space="preserve">. </w:t>
            </w:r>
            <w:r w:rsidRPr="00923024">
              <w:rPr>
                <w:rFonts w:ascii="Times New Roman" w:eastAsia="Times New Roman" w:hAnsi="Times New Roman"/>
                <w:sz w:val="24"/>
                <w:szCs w:val="24"/>
                <w:lang w:val="en-US"/>
              </w:rPr>
              <w:t xml:space="preserve">Finally, integrated One Health surveillance </w:t>
            </w:r>
            <w:proofErr w:type="spellStart"/>
            <w:r w:rsidRPr="00923024">
              <w:rPr>
                <w:rFonts w:ascii="Times New Roman" w:eastAsia="Times New Roman" w:hAnsi="Times New Roman"/>
                <w:sz w:val="24"/>
                <w:szCs w:val="24"/>
                <w:lang w:val="en-US"/>
              </w:rPr>
              <w:t>programmes</w:t>
            </w:r>
            <w:proofErr w:type="spellEnd"/>
            <w:r w:rsidRPr="00923024">
              <w:rPr>
                <w:rFonts w:ascii="Times New Roman" w:eastAsia="Times New Roman" w:hAnsi="Times New Roman"/>
                <w:sz w:val="24"/>
                <w:szCs w:val="24"/>
                <w:lang w:val="en-US"/>
              </w:rPr>
              <w:t xml:space="preserve"> for major zoonotic diseases are financed through the EU4</w:t>
            </w:r>
            <w:r w:rsidR="00382B1A" w:rsidRPr="00923024">
              <w:rPr>
                <w:rFonts w:ascii="Times New Roman" w:eastAsia="Times New Roman" w:hAnsi="Times New Roman"/>
                <w:sz w:val="24"/>
                <w:szCs w:val="24"/>
                <w:lang w:val="en-US"/>
              </w:rPr>
              <w:t>H</w:t>
            </w:r>
            <w:r w:rsidRPr="00923024">
              <w:rPr>
                <w:rFonts w:ascii="Times New Roman" w:eastAsia="Times New Roman" w:hAnsi="Times New Roman"/>
                <w:sz w:val="24"/>
                <w:szCs w:val="24"/>
                <w:lang w:val="en-US"/>
              </w:rPr>
              <w:t xml:space="preserve">ealth </w:t>
            </w:r>
            <w:proofErr w:type="spellStart"/>
            <w:r w:rsidRPr="00923024">
              <w:rPr>
                <w:rFonts w:ascii="Times New Roman" w:eastAsia="Times New Roman" w:hAnsi="Times New Roman"/>
                <w:sz w:val="24"/>
                <w:szCs w:val="24"/>
                <w:lang w:val="en-US"/>
              </w:rPr>
              <w:t>programme</w:t>
            </w:r>
            <w:proofErr w:type="spellEnd"/>
            <w:r w:rsidRPr="00923024">
              <w:rPr>
                <w:rFonts w:ascii="Times New Roman" w:eastAsia="Times New Roman" w:hAnsi="Times New Roman"/>
                <w:sz w:val="24"/>
                <w:szCs w:val="24"/>
                <w:lang w:val="en-US"/>
              </w:rPr>
              <w:t xml:space="preserve"> and One Health fact finding visits are </w:t>
            </w:r>
            <w:proofErr w:type="spellStart"/>
            <w:r w:rsidRPr="00923024">
              <w:rPr>
                <w:rFonts w:ascii="Times New Roman" w:eastAsia="Times New Roman" w:hAnsi="Times New Roman"/>
                <w:sz w:val="24"/>
                <w:szCs w:val="24"/>
                <w:lang w:val="en-US"/>
              </w:rPr>
              <w:t>organised</w:t>
            </w:r>
            <w:proofErr w:type="spellEnd"/>
            <w:r w:rsidRPr="00923024">
              <w:rPr>
                <w:rFonts w:ascii="Times New Roman" w:eastAsia="Times New Roman" w:hAnsi="Times New Roman"/>
                <w:sz w:val="24"/>
                <w:szCs w:val="24"/>
                <w:lang w:val="en-US"/>
              </w:rPr>
              <w:t xml:space="preserve"> in Member States. </w:t>
            </w:r>
          </w:p>
          <w:p w14:paraId="5DE47A21" w14:textId="5129031B" w:rsidR="00E24851" w:rsidRPr="00923024" w:rsidRDefault="32EBD347" w:rsidP="00923024">
            <w:pPr>
              <w:spacing w:before="120" w:after="120"/>
              <w:jc w:val="both"/>
              <w:rPr>
                <w:rFonts w:ascii="Times New Roman" w:eastAsia="Times New Roman" w:hAnsi="Times New Roman"/>
                <w:sz w:val="24"/>
                <w:szCs w:val="24"/>
              </w:rPr>
            </w:pPr>
            <w:r w:rsidRPr="00923024">
              <w:rPr>
                <w:rFonts w:ascii="Times New Roman" w:eastAsia="Times New Roman" w:hAnsi="Times New Roman"/>
                <w:sz w:val="24"/>
                <w:szCs w:val="24"/>
                <w:lang w:val="en-US"/>
              </w:rPr>
              <w:t xml:space="preserve">The Commission </w:t>
            </w:r>
            <w:r w:rsidR="00A17A6F" w:rsidRPr="00923024">
              <w:rPr>
                <w:rFonts w:ascii="Times New Roman" w:eastAsia="Times New Roman" w:hAnsi="Times New Roman"/>
                <w:sz w:val="24"/>
                <w:szCs w:val="24"/>
                <w:lang w:val="en-US"/>
              </w:rPr>
              <w:t xml:space="preserve">also </w:t>
            </w:r>
            <w:r w:rsidRPr="00923024">
              <w:rPr>
                <w:rFonts w:ascii="Times New Roman" w:eastAsia="Times New Roman" w:hAnsi="Times New Roman"/>
                <w:sz w:val="24"/>
                <w:szCs w:val="24"/>
                <w:lang w:val="en-US"/>
              </w:rPr>
              <w:t xml:space="preserve">supports Member States financially in implementing measures on integrated surveillance, prevention and control and on communication, with </w:t>
            </w:r>
            <w:r w:rsidR="00967F1B" w:rsidRPr="00923024">
              <w:rPr>
                <w:rFonts w:ascii="Times New Roman" w:eastAsia="Times New Roman" w:hAnsi="Times New Roman"/>
                <w:sz w:val="24"/>
                <w:szCs w:val="24"/>
                <w:lang w:val="en-US"/>
              </w:rPr>
              <w:t>EUR</w:t>
            </w:r>
            <w:r w:rsidR="00382B1A" w:rsidRPr="00923024">
              <w:rPr>
                <w:rFonts w:ascii="Times New Roman" w:eastAsia="Times New Roman" w:hAnsi="Times New Roman"/>
                <w:sz w:val="24"/>
                <w:szCs w:val="24"/>
                <w:lang w:val="en-US"/>
              </w:rPr>
              <w:t xml:space="preserve"> </w:t>
            </w:r>
            <w:r w:rsidRPr="00923024">
              <w:rPr>
                <w:rFonts w:ascii="Times New Roman" w:eastAsia="Times New Roman" w:hAnsi="Times New Roman"/>
                <w:sz w:val="24"/>
                <w:szCs w:val="24"/>
                <w:lang w:val="en-US"/>
              </w:rPr>
              <w:t xml:space="preserve">50 million. </w:t>
            </w:r>
            <w:r w:rsidR="00967F1B" w:rsidRPr="00923024">
              <w:rPr>
                <w:rFonts w:ascii="Times New Roman" w:eastAsia="Times New Roman" w:hAnsi="Times New Roman"/>
                <w:sz w:val="24"/>
                <w:szCs w:val="24"/>
                <w:lang w:val="en-US"/>
              </w:rPr>
              <w:t xml:space="preserve">The </w:t>
            </w:r>
            <w:r w:rsidRPr="00923024">
              <w:rPr>
                <w:rFonts w:ascii="Times New Roman" w:eastAsia="Times New Roman" w:hAnsi="Times New Roman"/>
                <w:sz w:val="24"/>
                <w:szCs w:val="24"/>
                <w:lang w:val="en-US"/>
              </w:rPr>
              <w:t>One Health AMR network share</w:t>
            </w:r>
            <w:r w:rsidR="00967F1B" w:rsidRPr="00923024">
              <w:rPr>
                <w:rFonts w:ascii="Times New Roman" w:eastAsia="Times New Roman" w:hAnsi="Times New Roman"/>
                <w:sz w:val="24"/>
                <w:szCs w:val="24"/>
                <w:lang w:val="en-US"/>
              </w:rPr>
              <w:t>s</w:t>
            </w:r>
            <w:r w:rsidRPr="00923024">
              <w:rPr>
                <w:rFonts w:ascii="Times New Roman" w:eastAsia="Times New Roman" w:hAnsi="Times New Roman"/>
                <w:sz w:val="24"/>
                <w:szCs w:val="24"/>
                <w:lang w:val="en-US"/>
              </w:rPr>
              <w:t xml:space="preserve"> best practices on integrated work and collaboration between sectors.</w:t>
            </w:r>
          </w:p>
          <w:p w14:paraId="76AF81A0" w14:textId="0630AED8" w:rsidR="00E24851" w:rsidRPr="00923024" w:rsidRDefault="00CB621F" w:rsidP="00923024">
            <w:pPr>
              <w:spacing w:before="120" w:after="120"/>
              <w:jc w:val="both"/>
              <w:rPr>
                <w:rFonts w:ascii="Times New Roman" w:eastAsia="Times New Roman" w:hAnsi="Times New Roman"/>
                <w:sz w:val="24"/>
                <w:szCs w:val="24"/>
              </w:rPr>
            </w:pPr>
            <w:r w:rsidRPr="00923024">
              <w:rPr>
                <w:rFonts w:ascii="Times New Roman" w:eastAsia="Times New Roman" w:hAnsi="Times New Roman"/>
                <w:sz w:val="24"/>
                <w:szCs w:val="24"/>
              </w:rPr>
              <w:t xml:space="preserve">The EU Climate and Health Observatory is a cornerstone of the One Health approach, supporting the integration of human, animal, and environmental health to tackle the complex and interrelated impacts of climate change on health. By making available data, tools, and actionable insights, the Observatory helps policymakers and stakeholders to anticipate, prevent, and mitigate health risks. </w:t>
            </w:r>
          </w:p>
          <w:p w14:paraId="04132767" w14:textId="48A0A5F9" w:rsidR="00E24851" w:rsidRPr="00923024" w:rsidRDefault="003A696F" w:rsidP="00923024">
            <w:pPr>
              <w:pStyle w:val="Heading3"/>
              <w:numPr>
                <w:ilvl w:val="0"/>
                <w:numId w:val="0"/>
              </w:numPr>
              <w:spacing w:before="120" w:after="120" w:line="276" w:lineRule="auto"/>
              <w:rPr>
                <w:sz w:val="24"/>
                <w:szCs w:val="24"/>
                <w:lang w:val="en-GB"/>
              </w:rPr>
            </w:pPr>
            <w:r w:rsidRPr="00923024">
              <w:rPr>
                <w:b/>
                <w:bCs/>
                <w:sz w:val="24"/>
                <w:szCs w:val="24"/>
                <w:lang w:val="en-GB"/>
              </w:rPr>
              <w:t>Point 1.2</w:t>
            </w:r>
            <w:r w:rsidR="00C80BBA">
              <w:rPr>
                <w:b/>
                <w:bCs/>
                <w:sz w:val="24"/>
                <w:szCs w:val="24"/>
                <w:lang w:val="en-GB"/>
              </w:rPr>
              <w:t>.</w:t>
            </w:r>
            <w:r w:rsidRPr="00923024">
              <w:rPr>
                <w:b/>
                <w:bCs/>
                <w:sz w:val="24"/>
                <w:szCs w:val="24"/>
                <w:lang w:val="en-GB"/>
              </w:rPr>
              <w:t xml:space="preserve"> and 5</w:t>
            </w:r>
            <w:r w:rsidR="00C80BBA">
              <w:rPr>
                <w:b/>
                <w:bCs/>
                <w:sz w:val="24"/>
                <w:szCs w:val="24"/>
                <w:lang w:val="en-GB"/>
              </w:rPr>
              <w:t>.</w:t>
            </w:r>
            <w:r w:rsidRPr="00923024">
              <w:rPr>
                <w:b/>
                <w:bCs/>
                <w:sz w:val="24"/>
                <w:szCs w:val="24"/>
                <w:lang w:val="en-GB"/>
              </w:rPr>
              <w:t>:</w:t>
            </w:r>
            <w:r w:rsidRPr="00923024">
              <w:rPr>
                <w:sz w:val="24"/>
                <w:szCs w:val="24"/>
                <w:lang w:val="en-GB"/>
              </w:rPr>
              <w:t xml:space="preserve"> </w:t>
            </w:r>
            <w:r w:rsidR="003C0A0C" w:rsidRPr="00923024">
              <w:rPr>
                <w:sz w:val="24"/>
                <w:szCs w:val="24"/>
                <w:lang w:val="en-GB"/>
              </w:rPr>
              <w:t xml:space="preserve">The </w:t>
            </w:r>
            <w:r w:rsidR="00C80BBA">
              <w:rPr>
                <w:b/>
                <w:bCs/>
                <w:sz w:val="24"/>
                <w:szCs w:val="24"/>
                <w:lang w:val="en-GB"/>
              </w:rPr>
              <w:t>Committee</w:t>
            </w:r>
            <w:r w:rsidR="00C80BBA" w:rsidRPr="00923024">
              <w:rPr>
                <w:sz w:val="24"/>
                <w:szCs w:val="24"/>
                <w:lang w:val="en-GB"/>
              </w:rPr>
              <w:t xml:space="preserve"> </w:t>
            </w:r>
            <w:r w:rsidR="00C50183" w:rsidRPr="00923024">
              <w:rPr>
                <w:sz w:val="24"/>
                <w:szCs w:val="24"/>
                <w:lang w:val="en-GB"/>
              </w:rPr>
              <w:t>calls for h</w:t>
            </w:r>
            <w:r w:rsidR="00E24851" w:rsidRPr="00923024">
              <w:rPr>
                <w:sz w:val="24"/>
                <w:szCs w:val="24"/>
                <w:lang w:val="en-GB"/>
              </w:rPr>
              <w:t xml:space="preserve">arnessing the potential of digitalisation and artificial intelligence (AI) to modernise health systems, while also establishing guidelines on cybersecurity and inclusivity by improving digital literacy in health among health professionals and the </w:t>
            </w:r>
            <w:proofErr w:type="gramStart"/>
            <w:r w:rsidR="00E24851" w:rsidRPr="00923024">
              <w:rPr>
                <w:sz w:val="24"/>
                <w:szCs w:val="24"/>
                <w:lang w:val="en-GB"/>
              </w:rPr>
              <w:t>general public</w:t>
            </w:r>
            <w:proofErr w:type="gramEnd"/>
            <w:r w:rsidR="00E24851" w:rsidRPr="00923024">
              <w:rPr>
                <w:sz w:val="24"/>
                <w:szCs w:val="24"/>
                <w:lang w:val="en-GB"/>
              </w:rPr>
              <w:t>.</w:t>
            </w:r>
          </w:p>
          <w:p w14:paraId="1B9D8D3A" w14:textId="7F7CC877" w:rsidR="00255EFB" w:rsidRPr="00923024" w:rsidRDefault="00797146" w:rsidP="00923024">
            <w:pPr>
              <w:spacing w:before="120" w:after="120"/>
              <w:jc w:val="both"/>
              <w:rPr>
                <w:rFonts w:ascii="Times New Roman" w:eastAsia="Times New Roman" w:hAnsi="Times New Roman"/>
                <w:sz w:val="24"/>
                <w:szCs w:val="24"/>
                <w:lang w:eastAsia="en-IE"/>
              </w:rPr>
            </w:pPr>
            <w:r w:rsidRPr="00923024">
              <w:rPr>
                <w:rFonts w:ascii="Times New Roman" w:eastAsia="Times New Roman" w:hAnsi="Times New Roman"/>
                <w:sz w:val="24"/>
                <w:szCs w:val="24"/>
                <w:lang w:val="en-GB" w:eastAsia="en-IE"/>
              </w:rPr>
              <w:t xml:space="preserve">The </w:t>
            </w:r>
            <w:r w:rsidRPr="00923024">
              <w:rPr>
                <w:rFonts w:ascii="Times New Roman" w:eastAsia="Times New Roman" w:hAnsi="Times New Roman"/>
                <w:b/>
                <w:bCs/>
                <w:sz w:val="24"/>
                <w:szCs w:val="24"/>
                <w:lang w:val="en-GB" w:eastAsia="en-IE"/>
              </w:rPr>
              <w:t>Commission</w:t>
            </w:r>
            <w:r w:rsidRPr="00923024">
              <w:rPr>
                <w:rFonts w:ascii="Times New Roman" w:eastAsia="Times New Roman" w:hAnsi="Times New Roman"/>
                <w:sz w:val="24"/>
                <w:szCs w:val="24"/>
                <w:lang w:val="en-GB" w:eastAsia="en-IE"/>
              </w:rPr>
              <w:t xml:space="preserve"> is driving forward the development of the European Health Data Space</w:t>
            </w:r>
            <w:r w:rsidR="00F729AC" w:rsidRPr="00923024">
              <w:rPr>
                <w:rFonts w:ascii="Times New Roman" w:eastAsia="Times New Roman" w:hAnsi="Times New Roman"/>
                <w:sz w:val="24"/>
                <w:szCs w:val="24"/>
                <w:lang w:val="en-GB" w:eastAsia="en-IE"/>
              </w:rPr>
              <w:t xml:space="preserve"> (EHDS)</w:t>
            </w:r>
            <w:r w:rsidR="0054158A" w:rsidRPr="00923024">
              <w:rPr>
                <w:rStyle w:val="FootnoteReference"/>
                <w:rFonts w:ascii="Times New Roman" w:eastAsia="Times New Roman" w:hAnsi="Times New Roman"/>
                <w:szCs w:val="24"/>
                <w:lang w:val="en-GB" w:eastAsia="en-IE"/>
              </w:rPr>
              <w:footnoteReference w:id="7"/>
            </w:r>
            <w:r w:rsidRPr="00923024">
              <w:rPr>
                <w:rFonts w:ascii="Times New Roman" w:eastAsia="Times New Roman" w:hAnsi="Times New Roman"/>
                <w:sz w:val="24"/>
                <w:szCs w:val="24"/>
                <w:lang w:val="en-GB" w:eastAsia="en-IE"/>
              </w:rPr>
              <w:t>. This initiative is designed to facilitate the secure and seamless exchange of health data across borders, improving the quality and efficiency of healthcare services</w:t>
            </w:r>
            <w:r w:rsidR="001F55EF" w:rsidRPr="00923024">
              <w:rPr>
                <w:rFonts w:ascii="Times New Roman" w:eastAsia="Times New Roman" w:hAnsi="Times New Roman"/>
                <w:sz w:val="24"/>
                <w:szCs w:val="24"/>
                <w:lang w:val="en-GB" w:eastAsia="en-IE"/>
              </w:rPr>
              <w:t xml:space="preserve">, as well as the use of health data for research and </w:t>
            </w:r>
            <w:r w:rsidR="004A2DEF" w:rsidRPr="00923024">
              <w:rPr>
                <w:rFonts w:ascii="Times New Roman" w:eastAsia="Times New Roman" w:hAnsi="Times New Roman"/>
                <w:sz w:val="24"/>
                <w:szCs w:val="24"/>
                <w:lang w:val="en-GB" w:eastAsia="en-IE"/>
              </w:rPr>
              <w:t>policymaking</w:t>
            </w:r>
            <w:r w:rsidRPr="00923024">
              <w:rPr>
                <w:rFonts w:ascii="Times New Roman" w:eastAsia="Times New Roman" w:hAnsi="Times New Roman"/>
                <w:sz w:val="24"/>
                <w:szCs w:val="24"/>
                <w:lang w:val="en-GB" w:eastAsia="en-IE"/>
              </w:rPr>
              <w:t xml:space="preserve">. </w:t>
            </w:r>
            <w:r w:rsidR="002662B5" w:rsidRPr="00923024">
              <w:rPr>
                <w:rFonts w:ascii="Times New Roman" w:eastAsia="Times New Roman" w:hAnsi="Times New Roman"/>
                <w:sz w:val="24"/>
                <w:szCs w:val="24"/>
                <w:lang w:val="en-GB" w:eastAsia="en-IE"/>
              </w:rPr>
              <w:t xml:space="preserve">The Commission is also addressing training needs by </w:t>
            </w:r>
            <w:r w:rsidR="00CB3C6B" w:rsidRPr="00923024">
              <w:rPr>
                <w:rFonts w:ascii="Times New Roman" w:eastAsia="Times New Roman" w:hAnsi="Times New Roman"/>
                <w:sz w:val="24"/>
                <w:szCs w:val="24"/>
                <w:lang w:val="en-GB" w:eastAsia="en-IE"/>
              </w:rPr>
              <w:t xml:space="preserve">contributing </w:t>
            </w:r>
            <w:r w:rsidR="00F517FB" w:rsidRPr="00923024">
              <w:rPr>
                <w:rFonts w:ascii="Times New Roman" w:eastAsia="Times New Roman" w:hAnsi="Times New Roman"/>
                <w:sz w:val="24"/>
                <w:szCs w:val="24"/>
                <w:lang w:val="en-GB" w:eastAsia="en-IE"/>
              </w:rPr>
              <w:t xml:space="preserve">to the </w:t>
            </w:r>
            <w:r w:rsidR="002662B5" w:rsidRPr="00923024">
              <w:rPr>
                <w:rFonts w:ascii="Times New Roman" w:eastAsia="Times New Roman" w:hAnsi="Times New Roman"/>
                <w:sz w:val="24"/>
                <w:szCs w:val="24"/>
                <w:lang w:val="en-GB" w:eastAsia="en-IE"/>
              </w:rPr>
              <w:t>workforce training to bridge the digital skills gap in the healthcare sector. For instance, the '</w:t>
            </w:r>
            <w:proofErr w:type="spellStart"/>
            <w:r w:rsidR="002662B5" w:rsidRPr="00923024">
              <w:rPr>
                <w:rFonts w:ascii="Times New Roman" w:eastAsia="Times New Roman" w:hAnsi="Times New Roman"/>
                <w:sz w:val="24"/>
                <w:szCs w:val="24"/>
                <w:lang w:val="en-GB" w:eastAsia="en-IE"/>
              </w:rPr>
              <w:t>Bewell</w:t>
            </w:r>
            <w:proofErr w:type="spellEnd"/>
            <w:r w:rsidR="002662B5" w:rsidRPr="00923024">
              <w:rPr>
                <w:rFonts w:ascii="Times New Roman" w:eastAsia="Times New Roman" w:hAnsi="Times New Roman"/>
                <w:sz w:val="24"/>
                <w:szCs w:val="24"/>
                <w:lang w:val="en-GB" w:eastAsia="en-IE"/>
              </w:rPr>
              <w:t>'</w:t>
            </w:r>
            <w:r w:rsidR="000800E1" w:rsidRPr="00923024">
              <w:rPr>
                <w:rStyle w:val="FootnoteReference"/>
                <w:rFonts w:ascii="Times New Roman" w:eastAsia="Times New Roman" w:hAnsi="Times New Roman"/>
                <w:szCs w:val="24"/>
                <w:lang w:val="en-GB" w:eastAsia="en-IE"/>
              </w:rPr>
              <w:footnoteReference w:id="8"/>
            </w:r>
            <w:r w:rsidR="002662B5" w:rsidRPr="00923024">
              <w:rPr>
                <w:rFonts w:ascii="Times New Roman" w:eastAsia="Times New Roman" w:hAnsi="Times New Roman"/>
                <w:sz w:val="24"/>
                <w:szCs w:val="24"/>
                <w:lang w:val="en-GB" w:eastAsia="en-IE"/>
              </w:rPr>
              <w:t xml:space="preserve"> initiative is a large-scale health partnership developing a comprehensive </w:t>
            </w:r>
            <w:r w:rsidR="002662B5" w:rsidRPr="00923024">
              <w:rPr>
                <w:rFonts w:ascii="Times New Roman" w:eastAsia="Times New Roman" w:hAnsi="Times New Roman"/>
                <w:sz w:val="24"/>
                <w:szCs w:val="24"/>
                <w:lang w:val="en-GB" w:eastAsia="en-IE"/>
              </w:rPr>
              <w:lastRenderedPageBreak/>
              <w:t xml:space="preserve">skills strategy for health workers, focusing on both digital and green skills. </w:t>
            </w:r>
            <w:r w:rsidR="000800E1" w:rsidRPr="00923024">
              <w:rPr>
                <w:rFonts w:ascii="Times New Roman" w:eastAsia="Times New Roman" w:hAnsi="Times New Roman"/>
                <w:sz w:val="24"/>
                <w:szCs w:val="24"/>
                <w:lang w:val="en-GB" w:eastAsia="en-IE"/>
              </w:rPr>
              <w:t>T</w:t>
            </w:r>
            <w:r w:rsidR="002662B5" w:rsidRPr="00923024">
              <w:rPr>
                <w:rFonts w:ascii="Times New Roman" w:eastAsia="Times New Roman" w:hAnsi="Times New Roman"/>
                <w:sz w:val="24"/>
                <w:szCs w:val="24"/>
                <w:lang w:val="en-GB" w:eastAsia="en-IE"/>
              </w:rPr>
              <w:t>he EU4Health programme</w:t>
            </w:r>
            <w:r w:rsidR="000800E1" w:rsidRPr="00923024">
              <w:rPr>
                <w:rFonts w:ascii="Times New Roman" w:eastAsia="Times New Roman" w:hAnsi="Times New Roman"/>
                <w:sz w:val="24"/>
                <w:szCs w:val="24"/>
                <w:lang w:val="en-GB" w:eastAsia="en-IE"/>
              </w:rPr>
              <w:t xml:space="preserve"> also</w:t>
            </w:r>
            <w:r w:rsidR="002662B5" w:rsidRPr="00923024">
              <w:rPr>
                <w:rFonts w:ascii="Times New Roman" w:eastAsia="Times New Roman" w:hAnsi="Times New Roman"/>
                <w:sz w:val="24"/>
                <w:szCs w:val="24"/>
                <w:lang w:val="en-GB" w:eastAsia="en-IE"/>
              </w:rPr>
              <w:t xml:space="preserve"> supports 7 training projects for health professionals with a focus on digital competencies for a total of </w:t>
            </w:r>
            <w:r w:rsidR="00CB3C6B" w:rsidRPr="00923024">
              <w:rPr>
                <w:rFonts w:ascii="Times New Roman" w:eastAsia="Times New Roman" w:hAnsi="Times New Roman"/>
                <w:sz w:val="24"/>
                <w:szCs w:val="24"/>
                <w:lang w:val="en-GB" w:eastAsia="en-IE"/>
              </w:rPr>
              <w:t xml:space="preserve">EUR </w:t>
            </w:r>
            <w:r w:rsidR="002662B5" w:rsidRPr="00923024">
              <w:rPr>
                <w:rFonts w:ascii="Times New Roman" w:eastAsia="Times New Roman" w:hAnsi="Times New Roman"/>
                <w:sz w:val="24"/>
                <w:szCs w:val="24"/>
                <w:lang w:val="en-GB" w:eastAsia="en-IE"/>
              </w:rPr>
              <w:t>16 million.</w:t>
            </w:r>
            <w:r w:rsidR="00350AC8" w:rsidRPr="00923024">
              <w:rPr>
                <w:rFonts w:ascii="Times New Roman" w:eastAsia="Times New Roman" w:hAnsi="Times New Roman"/>
                <w:sz w:val="24"/>
                <w:szCs w:val="24"/>
                <w:lang w:eastAsia="en-IE"/>
              </w:rPr>
              <w:t xml:space="preserve"> </w:t>
            </w:r>
            <w:r w:rsidR="00D76B33" w:rsidRPr="00923024">
              <w:rPr>
                <w:rFonts w:ascii="Times New Roman" w:eastAsia="Times New Roman" w:hAnsi="Times New Roman"/>
                <w:sz w:val="24"/>
                <w:szCs w:val="24"/>
              </w:rPr>
              <w:t>The Digital Europe Programme currently supports the development of multiple international interdisciplinary Master programmes focussing on key digital areas such as artificial intelligence, cybersecurity, data, robotics, and the Internet of Things.</w:t>
            </w:r>
          </w:p>
          <w:p w14:paraId="3B3BB7A8" w14:textId="012084EB" w:rsidR="001170F5" w:rsidRPr="00923024" w:rsidRDefault="001170F5" w:rsidP="00923024">
            <w:pPr>
              <w:spacing w:before="120" w:after="120"/>
              <w:jc w:val="both"/>
              <w:rPr>
                <w:rFonts w:ascii="Times New Roman" w:eastAsia="Times New Roman" w:hAnsi="Times New Roman"/>
                <w:sz w:val="24"/>
                <w:szCs w:val="24"/>
                <w:lang w:eastAsia="en-IE"/>
              </w:rPr>
            </w:pPr>
            <w:r w:rsidRPr="00923024">
              <w:rPr>
                <w:rFonts w:ascii="Times New Roman" w:eastAsia="Times New Roman" w:hAnsi="Times New Roman"/>
                <w:sz w:val="24"/>
                <w:szCs w:val="24"/>
                <w:lang w:val="en-GB"/>
              </w:rPr>
              <w:t>Digital transformation in education and training is a horizontal priority in the current Erasmus+ programme</w:t>
            </w:r>
            <w:r w:rsidRPr="00923024">
              <w:rPr>
                <w:rStyle w:val="FootnoteReference"/>
                <w:rFonts w:ascii="Times New Roman" w:eastAsia="Times New Roman" w:hAnsi="Times New Roman"/>
                <w:szCs w:val="24"/>
                <w:lang w:val="en-GB"/>
              </w:rPr>
              <w:footnoteReference w:id="9"/>
            </w:r>
            <w:r w:rsidRPr="00923024">
              <w:rPr>
                <w:rFonts w:ascii="Times New Roman" w:eastAsia="Times New Roman" w:hAnsi="Times New Roman"/>
                <w:sz w:val="24"/>
                <w:szCs w:val="24"/>
                <w:lang w:val="en-GB"/>
              </w:rPr>
              <w:t>, supporting the development of digital skills and literacy through both decentralised and centralised actions. Furthermore,</w:t>
            </w:r>
            <w:r w:rsidRPr="00923024">
              <w:rPr>
                <w:rFonts w:ascii="Times New Roman" w:eastAsia="Times New Roman" w:hAnsi="Times New Roman"/>
                <w:sz w:val="24"/>
                <w:szCs w:val="24"/>
              </w:rPr>
              <w:t xml:space="preserve"> EIT Health</w:t>
            </w:r>
            <w:r w:rsidRPr="00923024">
              <w:rPr>
                <w:rStyle w:val="FootnoteReference"/>
                <w:rFonts w:ascii="Times New Roman" w:eastAsia="Times New Roman" w:hAnsi="Times New Roman"/>
                <w:szCs w:val="24"/>
              </w:rPr>
              <w:footnoteReference w:id="10"/>
            </w:r>
            <w:r w:rsidRPr="00923024">
              <w:rPr>
                <w:rFonts w:ascii="Times New Roman" w:eastAsia="Times New Roman" w:hAnsi="Times New Roman"/>
                <w:sz w:val="24"/>
                <w:szCs w:val="24"/>
              </w:rPr>
              <w:t>, supported by the European Institute of Innovation and Technology</w:t>
            </w:r>
            <w:r w:rsidRPr="00923024">
              <w:rPr>
                <w:rStyle w:val="FootnoteReference"/>
                <w:rFonts w:ascii="Times New Roman" w:eastAsia="Times New Roman" w:hAnsi="Times New Roman"/>
                <w:szCs w:val="24"/>
              </w:rPr>
              <w:footnoteReference w:id="11"/>
            </w:r>
            <w:r w:rsidRPr="00923024">
              <w:rPr>
                <w:rFonts w:ascii="Times New Roman" w:eastAsia="Times New Roman" w:hAnsi="Times New Roman"/>
                <w:sz w:val="24"/>
                <w:szCs w:val="24"/>
              </w:rPr>
              <w:t xml:space="preserve"> (EIT) through the Horizon Europe Programme, provides wide range of education and skills programmes, initiatives and tools that help address the skills shortages in the healthcare sector, i.e. in biomedical engineering, digital health and health data science innovation and related subjects raising the aptitude of healthcare professionals in working with health data. EIT Health’s </w:t>
            </w:r>
            <w:proofErr w:type="spellStart"/>
            <w:r w:rsidRPr="00923024">
              <w:rPr>
                <w:rFonts w:ascii="Times New Roman" w:eastAsia="Times New Roman" w:hAnsi="Times New Roman"/>
                <w:sz w:val="24"/>
                <w:szCs w:val="24"/>
              </w:rPr>
              <w:t>WorkInHealth</w:t>
            </w:r>
            <w:proofErr w:type="spellEnd"/>
            <w:r w:rsidRPr="00923024">
              <w:rPr>
                <w:rFonts w:ascii="Times New Roman" w:eastAsia="Times New Roman" w:hAnsi="Times New Roman"/>
                <w:sz w:val="24"/>
                <w:szCs w:val="24"/>
              </w:rPr>
              <w:t xml:space="preserve"> initiative</w:t>
            </w:r>
            <w:r w:rsidRPr="00923024">
              <w:rPr>
                <w:rStyle w:val="FootnoteReference"/>
                <w:rFonts w:ascii="Times New Roman" w:eastAsia="Times New Roman" w:hAnsi="Times New Roman"/>
                <w:szCs w:val="24"/>
              </w:rPr>
              <w:footnoteReference w:id="12"/>
            </w:r>
            <w:r w:rsidRPr="00923024">
              <w:rPr>
                <w:rFonts w:ascii="Times New Roman" w:eastAsia="Times New Roman" w:hAnsi="Times New Roman"/>
                <w:sz w:val="24"/>
                <w:szCs w:val="24"/>
              </w:rPr>
              <w:t xml:space="preserve"> or Skill Sync tool</w:t>
            </w:r>
            <w:r w:rsidRPr="00923024">
              <w:rPr>
                <w:rStyle w:val="FootnoteReference"/>
                <w:rFonts w:ascii="Times New Roman" w:eastAsia="Times New Roman" w:hAnsi="Times New Roman"/>
                <w:szCs w:val="24"/>
              </w:rPr>
              <w:footnoteReference w:id="13"/>
            </w:r>
            <w:r w:rsidRPr="00923024">
              <w:rPr>
                <w:rFonts w:ascii="Times New Roman" w:eastAsia="Times New Roman" w:hAnsi="Times New Roman"/>
                <w:sz w:val="24"/>
                <w:szCs w:val="24"/>
              </w:rPr>
              <w:t xml:space="preserve"> provide for talent skilling intelligence and create an ecosystem that addresses the growing skills and talent gap in the EU healthcare industry.</w:t>
            </w:r>
          </w:p>
          <w:p w14:paraId="7DB760AA" w14:textId="560C2D5A" w:rsidR="00C202F1" w:rsidRPr="00923024" w:rsidRDefault="00797146" w:rsidP="00923024">
            <w:pPr>
              <w:spacing w:before="120" w:after="120"/>
              <w:jc w:val="both"/>
              <w:rPr>
                <w:rFonts w:ascii="Times New Roman" w:eastAsia="Times New Roman" w:hAnsi="Times New Roman"/>
                <w:sz w:val="24"/>
                <w:szCs w:val="24"/>
              </w:rPr>
            </w:pPr>
            <w:r w:rsidRPr="00923024">
              <w:rPr>
                <w:rFonts w:ascii="Times New Roman" w:eastAsia="Times New Roman" w:hAnsi="Times New Roman"/>
                <w:sz w:val="24"/>
                <w:szCs w:val="24"/>
                <w:lang w:eastAsia="en-IE"/>
              </w:rPr>
              <w:t xml:space="preserve">Additionally, the Commission </w:t>
            </w:r>
            <w:r w:rsidR="004C7FD1" w:rsidRPr="00923024">
              <w:rPr>
                <w:rFonts w:ascii="Times New Roman" w:eastAsia="Times New Roman" w:hAnsi="Times New Roman"/>
                <w:sz w:val="24"/>
                <w:szCs w:val="24"/>
                <w:lang w:eastAsia="en-IE"/>
              </w:rPr>
              <w:t>intends to take</w:t>
            </w:r>
            <w:r w:rsidRPr="00923024">
              <w:rPr>
                <w:rFonts w:ascii="Times New Roman" w:eastAsia="Times New Roman" w:hAnsi="Times New Roman"/>
                <w:sz w:val="24"/>
                <w:szCs w:val="24"/>
                <w:lang w:eastAsia="en-IE"/>
              </w:rPr>
              <w:t xml:space="preserve"> concrete steps to strengthen cybersecurity in the healthcare sector</w:t>
            </w:r>
            <w:r w:rsidR="00A35C17" w:rsidRPr="00923024">
              <w:rPr>
                <w:rFonts w:ascii="Times New Roman" w:eastAsia="Times New Roman" w:hAnsi="Times New Roman"/>
                <w:sz w:val="24"/>
                <w:szCs w:val="24"/>
                <w:lang w:eastAsia="en-IE"/>
              </w:rPr>
              <w:t>.</w:t>
            </w:r>
            <w:r w:rsidRPr="00923024">
              <w:rPr>
                <w:rFonts w:ascii="Times New Roman" w:eastAsia="Times New Roman" w:hAnsi="Times New Roman"/>
                <w:sz w:val="24"/>
                <w:szCs w:val="24"/>
                <w:lang w:eastAsia="en-IE"/>
              </w:rPr>
              <w:t xml:space="preserve"> </w:t>
            </w:r>
            <w:r w:rsidR="007E62EA" w:rsidRPr="00923024">
              <w:rPr>
                <w:rFonts w:ascii="Times New Roman" w:eastAsia="Times New Roman" w:hAnsi="Times New Roman"/>
                <w:sz w:val="24"/>
                <w:szCs w:val="24"/>
                <w:lang w:eastAsia="en-IE"/>
              </w:rPr>
              <w:t>A</w:t>
            </w:r>
            <w:r w:rsidR="000800E1" w:rsidRPr="00923024">
              <w:rPr>
                <w:rFonts w:ascii="Times New Roman" w:eastAsia="Times New Roman" w:hAnsi="Times New Roman"/>
                <w:sz w:val="24"/>
                <w:szCs w:val="24"/>
                <w:lang w:eastAsia="en-IE"/>
              </w:rPr>
              <w:t xml:space="preserve"> European </w:t>
            </w:r>
            <w:r w:rsidR="00DF377B" w:rsidRPr="00923024">
              <w:rPr>
                <w:rFonts w:ascii="Times New Roman" w:eastAsia="Times New Roman" w:hAnsi="Times New Roman"/>
                <w:sz w:val="24"/>
                <w:szCs w:val="24"/>
                <w:lang w:eastAsia="en-IE"/>
              </w:rPr>
              <w:t>A</w:t>
            </w:r>
            <w:r w:rsidR="000800E1" w:rsidRPr="00923024">
              <w:rPr>
                <w:rFonts w:ascii="Times New Roman" w:eastAsia="Times New Roman" w:hAnsi="Times New Roman"/>
                <w:sz w:val="24"/>
                <w:szCs w:val="24"/>
                <w:lang w:eastAsia="en-IE"/>
              </w:rPr>
              <w:t xml:space="preserve">ction </w:t>
            </w:r>
            <w:r w:rsidR="00DF377B" w:rsidRPr="00923024">
              <w:rPr>
                <w:rFonts w:ascii="Times New Roman" w:eastAsia="Times New Roman" w:hAnsi="Times New Roman"/>
                <w:sz w:val="24"/>
                <w:szCs w:val="24"/>
                <w:lang w:eastAsia="en-IE"/>
              </w:rPr>
              <w:t>P</w:t>
            </w:r>
            <w:r w:rsidR="000800E1" w:rsidRPr="00923024">
              <w:rPr>
                <w:rFonts w:ascii="Times New Roman" w:eastAsia="Times New Roman" w:hAnsi="Times New Roman"/>
                <w:sz w:val="24"/>
                <w:szCs w:val="24"/>
                <w:lang w:eastAsia="en-IE"/>
              </w:rPr>
              <w:t xml:space="preserve">lan on the cybersecurity of hospitals and healthcare providers </w:t>
            </w:r>
            <w:r w:rsidR="00F53A2F" w:rsidRPr="00923024">
              <w:rPr>
                <w:rFonts w:ascii="Times New Roman" w:eastAsia="Times New Roman" w:hAnsi="Times New Roman"/>
                <w:sz w:val="24"/>
                <w:szCs w:val="24"/>
                <w:lang w:eastAsia="en-IE"/>
              </w:rPr>
              <w:t>was published on 15 January</w:t>
            </w:r>
            <w:r w:rsidR="000800E1" w:rsidRPr="00923024">
              <w:rPr>
                <w:rFonts w:ascii="Times New Roman" w:eastAsia="Times New Roman" w:hAnsi="Times New Roman"/>
                <w:sz w:val="24"/>
                <w:szCs w:val="24"/>
                <w:lang w:eastAsia="en-IE"/>
              </w:rPr>
              <w:t>.</w:t>
            </w:r>
            <w:r w:rsidR="00F53A2F" w:rsidRPr="00923024">
              <w:rPr>
                <w:rFonts w:ascii="Times New Roman" w:hAnsi="Times New Roman"/>
                <w:sz w:val="24"/>
                <w:szCs w:val="24"/>
              </w:rPr>
              <w:t xml:space="preserve"> </w:t>
            </w:r>
            <w:r w:rsidR="00F53A2F" w:rsidRPr="00923024">
              <w:rPr>
                <w:rFonts w:ascii="Times New Roman" w:eastAsia="Times New Roman" w:hAnsi="Times New Roman"/>
                <w:sz w:val="24"/>
                <w:szCs w:val="24"/>
                <w:lang w:eastAsia="en-IE"/>
              </w:rPr>
              <w:t>This initiative is an important step in shielding the healthcare sector from cyber threats, with measures focused on enhancing threat detection, preparedness, and response capabilities.</w:t>
            </w:r>
            <w:r w:rsidR="000800E1" w:rsidRPr="00923024">
              <w:rPr>
                <w:rFonts w:ascii="Times New Roman" w:eastAsia="Times New Roman" w:hAnsi="Times New Roman"/>
                <w:sz w:val="24"/>
                <w:szCs w:val="24"/>
                <w:lang w:eastAsia="en-IE"/>
              </w:rPr>
              <w:t xml:space="preserve"> </w:t>
            </w:r>
            <w:r w:rsidR="5BBF223A" w:rsidRPr="00923024">
              <w:rPr>
                <w:rFonts w:ascii="Times New Roman" w:eastAsia="Times New Roman" w:hAnsi="Times New Roman"/>
                <w:sz w:val="24"/>
                <w:szCs w:val="24"/>
              </w:rPr>
              <w:t xml:space="preserve">Besides the frameworks mentioned by the </w:t>
            </w:r>
            <w:r w:rsidR="00C80BBA">
              <w:rPr>
                <w:rFonts w:ascii="Times New Roman" w:eastAsia="Times New Roman" w:hAnsi="Times New Roman"/>
                <w:sz w:val="24"/>
                <w:szCs w:val="24"/>
              </w:rPr>
              <w:t>Committee</w:t>
            </w:r>
            <w:r w:rsidR="5BBF223A" w:rsidRPr="00923024">
              <w:rPr>
                <w:rFonts w:ascii="Times New Roman" w:eastAsia="Times New Roman" w:hAnsi="Times New Roman"/>
                <w:sz w:val="24"/>
                <w:szCs w:val="24"/>
              </w:rPr>
              <w:t>, the NIS2 Directive</w:t>
            </w:r>
            <w:r w:rsidR="004C7FD1" w:rsidRPr="00923024">
              <w:rPr>
                <w:rStyle w:val="FootnoteReference"/>
                <w:rFonts w:ascii="Times New Roman" w:eastAsia="Times New Roman" w:hAnsi="Times New Roman"/>
                <w:szCs w:val="24"/>
              </w:rPr>
              <w:footnoteReference w:id="14"/>
            </w:r>
            <w:r w:rsidR="5BBF223A" w:rsidRPr="00923024">
              <w:rPr>
                <w:rFonts w:ascii="Times New Roman" w:eastAsia="Times New Roman" w:hAnsi="Times New Roman"/>
                <w:sz w:val="24"/>
                <w:szCs w:val="24"/>
              </w:rPr>
              <w:t xml:space="preserve"> sets out cybersecurity requirements for essential and important entities in different critical sectors, including the health sector.</w:t>
            </w:r>
          </w:p>
          <w:p w14:paraId="53A5413F" w14:textId="09506D2B" w:rsidR="00C202F1" w:rsidRPr="00923024" w:rsidRDefault="00C202F1" w:rsidP="00923024">
            <w:pPr>
              <w:pStyle w:val="title-bold"/>
              <w:shd w:val="clear" w:color="auto" w:fill="FFFFFF"/>
              <w:spacing w:before="120" w:beforeAutospacing="0" w:after="120" w:afterAutospacing="0" w:line="276" w:lineRule="auto"/>
              <w:jc w:val="both"/>
              <w:rPr>
                <w:color w:val="333333"/>
              </w:rPr>
            </w:pPr>
            <w:r w:rsidRPr="00923024">
              <w:t xml:space="preserve">As regards AI, the Commission has </w:t>
            </w:r>
            <w:r w:rsidR="009D179B" w:rsidRPr="00923024">
              <w:t xml:space="preserve">proposed </w:t>
            </w:r>
            <w:r w:rsidRPr="00923024">
              <w:t>the AI Act</w:t>
            </w:r>
            <w:r w:rsidR="009D179B" w:rsidRPr="00923024">
              <w:t xml:space="preserve"> that was adopted by the co-legislators on 13 June 2024</w:t>
            </w:r>
            <w:r w:rsidRPr="00923024">
              <w:t>. The AI Act</w:t>
            </w:r>
            <w:r w:rsidRPr="00923024">
              <w:rPr>
                <w:lang w:val="en-GB"/>
              </w:rPr>
              <w:t xml:space="preserve"> is a world leading step of the EU to regulate AI, </w:t>
            </w:r>
            <w:r w:rsidR="001170F5" w:rsidRPr="00923024">
              <w:rPr>
                <w:lang w:val="en-GB"/>
              </w:rPr>
              <w:t xml:space="preserve">as well as to </w:t>
            </w:r>
            <w:r w:rsidRPr="00923024">
              <w:rPr>
                <w:lang w:val="en-GB"/>
              </w:rPr>
              <w:t xml:space="preserve">encourage innovation that will enhance trust and acceptability of AI especially in sensitive sectors like healthcare. The combination of the AI Act and </w:t>
            </w:r>
            <w:r w:rsidR="004C7FD1" w:rsidRPr="00923024">
              <w:rPr>
                <w:lang w:val="en-GB"/>
              </w:rPr>
              <w:t xml:space="preserve">the </w:t>
            </w:r>
            <w:r w:rsidRPr="00923024">
              <w:rPr>
                <w:lang w:val="en-GB"/>
              </w:rPr>
              <w:t xml:space="preserve">EHDS </w:t>
            </w:r>
            <w:r w:rsidR="004C7FD1" w:rsidRPr="00923024">
              <w:rPr>
                <w:lang w:val="en-GB"/>
              </w:rPr>
              <w:t xml:space="preserve">Regulation, once adopted and in force, </w:t>
            </w:r>
            <w:r w:rsidRPr="00923024">
              <w:rPr>
                <w:lang w:val="en-GB"/>
              </w:rPr>
              <w:t xml:space="preserve">would </w:t>
            </w:r>
            <w:r w:rsidR="007E62EA" w:rsidRPr="00923024">
              <w:rPr>
                <w:lang w:val="en-GB"/>
              </w:rPr>
              <w:t xml:space="preserve">facilitate </w:t>
            </w:r>
            <w:r w:rsidRPr="00923024">
              <w:rPr>
                <w:lang w:val="en-GB"/>
              </w:rPr>
              <w:t>innovation on AI in healthcare. Building on these foundations, the Commission also explores AI deployment in clinical practice</w:t>
            </w:r>
            <w:r w:rsidR="008972DB" w:rsidRPr="00923024">
              <w:rPr>
                <w:lang w:val="en-GB"/>
              </w:rPr>
              <w:t>.</w:t>
            </w:r>
            <w:r w:rsidRPr="00923024">
              <w:rPr>
                <w:lang w:val="en-GB"/>
              </w:rPr>
              <w:t xml:space="preserve"> Among these initiatives, the Commission launched a call on advancing AI in healthcare under EU4Health, conducts a study on AI in clinical practice and another study to further explore </w:t>
            </w:r>
            <w:r w:rsidRPr="00923024">
              <w:rPr>
                <w:lang w:val="en-US"/>
              </w:rPr>
              <w:t xml:space="preserve">the economic impact of applying AI in healthcare. Additionally, it collaborates with international </w:t>
            </w:r>
            <w:proofErr w:type="spellStart"/>
            <w:r w:rsidRPr="00923024">
              <w:rPr>
                <w:lang w:val="en-US"/>
              </w:rPr>
              <w:t>organi</w:t>
            </w:r>
            <w:r w:rsidR="004C7FD1" w:rsidRPr="00923024">
              <w:rPr>
                <w:lang w:val="en-US"/>
              </w:rPr>
              <w:t>s</w:t>
            </w:r>
            <w:r w:rsidRPr="00923024">
              <w:rPr>
                <w:lang w:val="en-US"/>
              </w:rPr>
              <w:t>ation</w:t>
            </w:r>
            <w:r w:rsidR="004C7FD1" w:rsidRPr="00923024">
              <w:rPr>
                <w:lang w:val="en-US"/>
              </w:rPr>
              <w:t>s</w:t>
            </w:r>
            <w:proofErr w:type="spellEnd"/>
            <w:r w:rsidR="004C7FD1" w:rsidRPr="00923024">
              <w:rPr>
                <w:lang w:val="en-US"/>
              </w:rPr>
              <w:t xml:space="preserve"> such as</w:t>
            </w:r>
            <w:r w:rsidRPr="00923024">
              <w:rPr>
                <w:lang w:val="en-US"/>
              </w:rPr>
              <w:t xml:space="preserve"> WHO E</w:t>
            </w:r>
            <w:r w:rsidR="00385182" w:rsidRPr="00923024">
              <w:rPr>
                <w:lang w:val="en-US"/>
              </w:rPr>
              <w:t>urope</w:t>
            </w:r>
            <w:r w:rsidRPr="00923024">
              <w:rPr>
                <w:lang w:val="en-US"/>
              </w:rPr>
              <w:t xml:space="preserve"> and </w:t>
            </w:r>
            <w:r w:rsidR="004C7FD1" w:rsidRPr="00923024">
              <w:rPr>
                <w:lang w:val="en-US"/>
              </w:rPr>
              <w:t xml:space="preserve">the </w:t>
            </w:r>
            <w:proofErr w:type="spellStart"/>
            <w:r w:rsidR="00AC7EF7" w:rsidRPr="00AC7EF7">
              <w:rPr>
                <w:lang w:val="en-US"/>
              </w:rPr>
              <w:t>Organisation</w:t>
            </w:r>
            <w:proofErr w:type="spellEnd"/>
            <w:r w:rsidR="00AC7EF7" w:rsidRPr="00AC7EF7">
              <w:rPr>
                <w:lang w:val="en-US"/>
              </w:rPr>
              <w:t xml:space="preserve"> for Economic Co-operation and Development </w:t>
            </w:r>
            <w:r w:rsidR="00AC7EF7">
              <w:rPr>
                <w:lang w:val="en-US"/>
              </w:rPr>
              <w:t>(</w:t>
            </w:r>
            <w:r w:rsidRPr="00923024">
              <w:rPr>
                <w:lang w:val="en-US"/>
              </w:rPr>
              <w:t>OECD</w:t>
            </w:r>
            <w:r w:rsidR="00AC7EF7">
              <w:rPr>
                <w:lang w:val="en-US"/>
              </w:rPr>
              <w:t>)</w:t>
            </w:r>
            <w:r w:rsidRPr="00923024">
              <w:rPr>
                <w:lang w:val="en-US"/>
              </w:rPr>
              <w:t xml:space="preserve"> looking at AI in healthcare as well as</w:t>
            </w:r>
            <w:r w:rsidR="004C7FD1" w:rsidRPr="00923024">
              <w:rPr>
                <w:lang w:val="en-US"/>
              </w:rPr>
              <w:t xml:space="preserve"> the</w:t>
            </w:r>
            <w:r w:rsidRPr="00923024">
              <w:rPr>
                <w:lang w:val="en-US"/>
              </w:rPr>
              <w:t xml:space="preserve"> scale up of AI in healthcare. </w:t>
            </w:r>
          </w:p>
          <w:p w14:paraId="5029ABC2" w14:textId="30081E5D" w:rsidR="00B4708E" w:rsidRPr="00923024" w:rsidRDefault="000800E1" w:rsidP="00923024">
            <w:pPr>
              <w:spacing w:before="120" w:after="120"/>
              <w:jc w:val="both"/>
              <w:rPr>
                <w:rFonts w:ascii="Times New Roman" w:hAnsi="Times New Roman"/>
                <w:sz w:val="24"/>
                <w:szCs w:val="24"/>
              </w:rPr>
            </w:pPr>
            <w:r w:rsidRPr="00923024">
              <w:rPr>
                <w:rFonts w:ascii="Times New Roman" w:eastAsia="Times New Roman" w:hAnsi="Times New Roman"/>
                <w:b/>
                <w:bCs/>
                <w:sz w:val="24"/>
                <w:szCs w:val="24"/>
                <w:lang w:eastAsia="en-IE"/>
              </w:rPr>
              <w:t>Point 1.2</w:t>
            </w:r>
            <w:r w:rsidR="00CC5FCC" w:rsidRPr="00923024">
              <w:rPr>
                <w:rFonts w:ascii="Times New Roman" w:eastAsia="Times New Roman" w:hAnsi="Times New Roman"/>
                <w:b/>
                <w:bCs/>
                <w:sz w:val="24"/>
                <w:szCs w:val="24"/>
                <w:lang w:eastAsia="en-IE"/>
              </w:rPr>
              <w:t xml:space="preserve">: </w:t>
            </w:r>
            <w:r w:rsidR="00CC5FCC" w:rsidRPr="00923024">
              <w:rPr>
                <w:rFonts w:ascii="Times New Roman" w:eastAsia="Times New Roman" w:hAnsi="Times New Roman"/>
                <w:sz w:val="24"/>
                <w:szCs w:val="24"/>
                <w:lang w:eastAsia="en-IE"/>
              </w:rPr>
              <w:t>The</w:t>
            </w:r>
            <w:r w:rsidR="00CC5FCC" w:rsidRPr="00923024">
              <w:rPr>
                <w:rFonts w:ascii="Times New Roman" w:eastAsia="Times New Roman" w:hAnsi="Times New Roman"/>
                <w:b/>
                <w:bCs/>
                <w:sz w:val="24"/>
                <w:szCs w:val="24"/>
                <w:lang w:eastAsia="en-IE"/>
              </w:rPr>
              <w:t xml:space="preserve"> EESC </w:t>
            </w:r>
            <w:r w:rsidR="00CC5FCC" w:rsidRPr="00923024">
              <w:rPr>
                <w:rFonts w:ascii="Times New Roman" w:eastAsia="Times New Roman" w:hAnsi="Times New Roman"/>
                <w:sz w:val="24"/>
                <w:szCs w:val="24"/>
                <w:lang w:eastAsia="en-IE"/>
              </w:rPr>
              <w:t>calls for the</w:t>
            </w:r>
            <w:r w:rsidR="00CC5FCC" w:rsidRPr="00923024">
              <w:rPr>
                <w:rFonts w:ascii="Times New Roman" w:hAnsi="Times New Roman"/>
                <w:sz w:val="24"/>
                <w:szCs w:val="24"/>
              </w:rPr>
              <w:t xml:space="preserve"> u</w:t>
            </w:r>
            <w:r w:rsidR="00E24851" w:rsidRPr="00923024">
              <w:rPr>
                <w:rFonts w:ascii="Times New Roman" w:hAnsi="Times New Roman"/>
                <w:sz w:val="24"/>
                <w:szCs w:val="24"/>
              </w:rPr>
              <w:t xml:space="preserve">pholding </w:t>
            </w:r>
            <w:r w:rsidR="00CC5FCC" w:rsidRPr="00923024">
              <w:rPr>
                <w:rFonts w:ascii="Times New Roman" w:hAnsi="Times New Roman"/>
                <w:sz w:val="24"/>
                <w:szCs w:val="24"/>
              </w:rPr>
              <w:t xml:space="preserve">of </w:t>
            </w:r>
            <w:r w:rsidR="004C7FD1" w:rsidRPr="00923024">
              <w:rPr>
                <w:rFonts w:ascii="Times New Roman" w:hAnsi="Times New Roman"/>
                <w:sz w:val="24"/>
                <w:szCs w:val="24"/>
              </w:rPr>
              <w:t xml:space="preserve">EU </w:t>
            </w:r>
            <w:r w:rsidR="00E24851" w:rsidRPr="00923024">
              <w:rPr>
                <w:rFonts w:ascii="Times New Roman" w:hAnsi="Times New Roman"/>
                <w:sz w:val="24"/>
                <w:szCs w:val="24"/>
              </w:rPr>
              <w:t>financial instruments to support national health initiatives and funding.</w:t>
            </w:r>
            <w:r w:rsidR="00B4708E" w:rsidRPr="00923024">
              <w:rPr>
                <w:rFonts w:ascii="Times New Roman" w:hAnsi="Times New Roman"/>
                <w:sz w:val="24"/>
                <w:szCs w:val="24"/>
              </w:rPr>
              <w:t xml:space="preserve"> </w:t>
            </w:r>
            <w:r w:rsidR="00B4708E" w:rsidRPr="00923024">
              <w:rPr>
                <w:rFonts w:ascii="Times New Roman" w:eastAsia="Times New Roman" w:hAnsi="Times New Roman"/>
                <w:sz w:val="24"/>
                <w:szCs w:val="24"/>
                <w:lang w:eastAsia="en-IE"/>
              </w:rPr>
              <w:t xml:space="preserve">The </w:t>
            </w:r>
            <w:r w:rsidR="00B4708E" w:rsidRPr="00923024">
              <w:rPr>
                <w:rFonts w:ascii="Times New Roman" w:eastAsia="Times New Roman" w:hAnsi="Times New Roman"/>
                <w:b/>
                <w:bCs/>
                <w:sz w:val="24"/>
                <w:szCs w:val="24"/>
                <w:lang w:eastAsia="en-IE"/>
              </w:rPr>
              <w:t>EESC</w:t>
            </w:r>
            <w:r w:rsidR="00B4708E" w:rsidRPr="00923024">
              <w:rPr>
                <w:rFonts w:ascii="Times New Roman" w:eastAsia="Times New Roman" w:hAnsi="Times New Roman"/>
                <w:sz w:val="24"/>
                <w:szCs w:val="24"/>
                <w:lang w:eastAsia="en-IE"/>
              </w:rPr>
              <w:t xml:space="preserve"> calls to</w:t>
            </w:r>
            <w:r w:rsidR="00B4708E" w:rsidRPr="00923024">
              <w:rPr>
                <w:rFonts w:ascii="Times New Roman" w:hAnsi="Times New Roman"/>
                <w:sz w:val="24"/>
                <w:szCs w:val="24"/>
                <w:lang w:val="en-GB"/>
              </w:rPr>
              <w:t xml:space="preserve"> prioritise social and health investments</w:t>
            </w:r>
            <w:r w:rsidR="004C4C7E" w:rsidRPr="00923024">
              <w:rPr>
                <w:rFonts w:ascii="Times New Roman" w:hAnsi="Times New Roman"/>
                <w:sz w:val="24"/>
                <w:szCs w:val="24"/>
                <w:lang w:val="en-GB"/>
              </w:rPr>
              <w:t>,</w:t>
            </w:r>
            <w:r w:rsidR="00B4708E" w:rsidRPr="00923024">
              <w:rPr>
                <w:rFonts w:ascii="Times New Roman" w:hAnsi="Times New Roman"/>
                <w:sz w:val="24"/>
                <w:szCs w:val="24"/>
                <w:lang w:val="en-GB"/>
              </w:rPr>
              <w:t xml:space="preserve"> </w:t>
            </w:r>
            <w:r w:rsidR="004C4C7E" w:rsidRPr="00923024">
              <w:rPr>
                <w:rFonts w:ascii="Times New Roman" w:hAnsi="Times New Roman"/>
                <w:sz w:val="24"/>
                <w:szCs w:val="24"/>
                <w:lang w:val="en-GB"/>
              </w:rPr>
              <w:lastRenderedPageBreak/>
              <w:t>p</w:t>
            </w:r>
            <w:r w:rsidR="00B4708E" w:rsidRPr="00923024">
              <w:rPr>
                <w:rFonts w:ascii="Times New Roman" w:hAnsi="Times New Roman"/>
                <w:sz w:val="24"/>
                <w:szCs w:val="24"/>
                <w:lang w:val="en-GB"/>
              </w:rPr>
              <w:t>romoting an integrated scoreboard of socio-economic, health and environmental reforms</w:t>
            </w:r>
            <w:r w:rsidR="008972DB" w:rsidRPr="00923024">
              <w:rPr>
                <w:rFonts w:ascii="Times New Roman" w:hAnsi="Times New Roman"/>
                <w:sz w:val="24"/>
                <w:szCs w:val="24"/>
                <w:lang w:val="en-GB"/>
              </w:rPr>
              <w:t>.</w:t>
            </w:r>
          </w:p>
          <w:p w14:paraId="199FA91C" w14:textId="24B20A19" w:rsidR="00CA6E4B" w:rsidRPr="00923024" w:rsidRDefault="00CA6E4B" w:rsidP="00923024">
            <w:pPr>
              <w:spacing w:before="120" w:after="120"/>
              <w:jc w:val="both"/>
              <w:rPr>
                <w:rFonts w:ascii="Times New Roman" w:hAnsi="Times New Roman"/>
                <w:sz w:val="24"/>
                <w:szCs w:val="24"/>
              </w:rPr>
            </w:pPr>
            <w:r w:rsidRPr="00923024">
              <w:rPr>
                <w:rFonts w:ascii="Times New Roman" w:hAnsi="Times New Roman"/>
                <w:sz w:val="24"/>
                <w:szCs w:val="24"/>
              </w:rPr>
              <w:t xml:space="preserve">The </w:t>
            </w:r>
            <w:r w:rsidRPr="00923024">
              <w:rPr>
                <w:rFonts w:ascii="Times New Roman" w:hAnsi="Times New Roman"/>
                <w:b/>
                <w:bCs/>
                <w:sz w:val="24"/>
                <w:szCs w:val="24"/>
              </w:rPr>
              <w:t>Commission</w:t>
            </w:r>
            <w:r w:rsidRPr="00923024">
              <w:rPr>
                <w:rFonts w:ascii="Times New Roman" w:hAnsi="Times New Roman"/>
                <w:sz w:val="24"/>
                <w:szCs w:val="24"/>
              </w:rPr>
              <w:t xml:space="preserve"> has </w:t>
            </w:r>
            <w:r w:rsidR="00B4708E" w:rsidRPr="00923024">
              <w:rPr>
                <w:rFonts w:ascii="Times New Roman" w:hAnsi="Times New Roman"/>
                <w:sz w:val="24"/>
                <w:szCs w:val="24"/>
              </w:rPr>
              <w:t xml:space="preserve">several policy and </w:t>
            </w:r>
            <w:r w:rsidRPr="00923024">
              <w:rPr>
                <w:rFonts w:ascii="Times New Roman" w:hAnsi="Times New Roman"/>
                <w:sz w:val="24"/>
                <w:szCs w:val="24"/>
              </w:rPr>
              <w:t xml:space="preserve">financial instruments to support investments and reforms in health. </w:t>
            </w:r>
            <w:r w:rsidR="00D75D93" w:rsidRPr="00923024">
              <w:rPr>
                <w:rFonts w:ascii="Times New Roman" w:hAnsi="Times New Roman"/>
                <w:sz w:val="24"/>
                <w:szCs w:val="24"/>
              </w:rPr>
              <w:t>The Recovery and Resilience Facility is</w:t>
            </w:r>
            <w:r w:rsidR="005A29B7" w:rsidRPr="00923024">
              <w:rPr>
                <w:rFonts w:ascii="Times New Roman" w:hAnsi="Times New Roman"/>
                <w:sz w:val="24"/>
                <w:szCs w:val="24"/>
              </w:rPr>
              <w:t xml:space="preserve"> </w:t>
            </w:r>
            <w:r w:rsidR="00D75D93" w:rsidRPr="00923024">
              <w:rPr>
                <w:rFonts w:ascii="Times New Roman" w:hAnsi="Times New Roman"/>
                <w:sz w:val="24"/>
                <w:szCs w:val="24"/>
              </w:rPr>
              <w:t>the EU’s recovery plan out of the COVID-19 crisis for building back better with a focus on the digital and green transition</w:t>
            </w:r>
            <w:r w:rsidR="00AF6C6B" w:rsidRPr="00923024">
              <w:rPr>
                <w:rFonts w:ascii="Times New Roman" w:hAnsi="Times New Roman"/>
                <w:sz w:val="24"/>
                <w:szCs w:val="24"/>
              </w:rPr>
              <w:t xml:space="preserve">, and </w:t>
            </w:r>
            <w:r w:rsidR="00B4708E" w:rsidRPr="00923024">
              <w:rPr>
                <w:rFonts w:ascii="Times New Roman" w:hAnsi="Times New Roman"/>
                <w:sz w:val="24"/>
                <w:szCs w:val="24"/>
              </w:rPr>
              <w:t xml:space="preserve">on </w:t>
            </w:r>
            <w:r w:rsidR="00AF6C6B" w:rsidRPr="00923024">
              <w:rPr>
                <w:rFonts w:ascii="Times New Roman" w:hAnsi="Times New Roman"/>
                <w:sz w:val="24"/>
                <w:szCs w:val="24"/>
              </w:rPr>
              <w:t>improving h</w:t>
            </w:r>
            <w:r w:rsidR="00D75D93" w:rsidRPr="00923024">
              <w:rPr>
                <w:rFonts w:ascii="Times New Roman" w:hAnsi="Times New Roman"/>
                <w:sz w:val="24"/>
                <w:szCs w:val="24"/>
              </w:rPr>
              <w:t>ealth system</w:t>
            </w:r>
            <w:r w:rsidR="00AF6C6B" w:rsidRPr="00923024">
              <w:rPr>
                <w:rFonts w:ascii="Times New Roman" w:hAnsi="Times New Roman"/>
                <w:sz w:val="24"/>
                <w:szCs w:val="24"/>
              </w:rPr>
              <w:t>s’</w:t>
            </w:r>
            <w:r w:rsidR="00D75D93" w:rsidRPr="00923024">
              <w:rPr>
                <w:rFonts w:ascii="Times New Roman" w:hAnsi="Times New Roman"/>
                <w:sz w:val="24"/>
                <w:szCs w:val="24"/>
              </w:rPr>
              <w:t xml:space="preserve"> resilience. The total estimated expenditure of health-related measures across the 27 recovery and resilience plans amount to EUR 4</w:t>
            </w:r>
            <w:r w:rsidR="00D45BB6" w:rsidRPr="00923024">
              <w:rPr>
                <w:rFonts w:ascii="Times New Roman" w:hAnsi="Times New Roman"/>
                <w:sz w:val="24"/>
                <w:szCs w:val="24"/>
              </w:rPr>
              <w:t>2.4</w:t>
            </w:r>
            <w:r w:rsidR="00D75D93" w:rsidRPr="00923024">
              <w:rPr>
                <w:rFonts w:ascii="Times New Roman" w:hAnsi="Times New Roman"/>
                <w:sz w:val="24"/>
                <w:szCs w:val="24"/>
              </w:rPr>
              <w:t xml:space="preserve"> billion. Cohesion Policy Funds, including the European Regional Development Fund and the European Social Fund Plus (ESF+) </w:t>
            </w:r>
            <w:r w:rsidR="00AF6C6B" w:rsidRPr="00923024">
              <w:rPr>
                <w:rFonts w:ascii="Times New Roman" w:hAnsi="Times New Roman"/>
                <w:sz w:val="24"/>
                <w:szCs w:val="24"/>
              </w:rPr>
              <w:t>also</w:t>
            </w:r>
            <w:r w:rsidR="00D75D93" w:rsidRPr="00923024">
              <w:rPr>
                <w:rFonts w:ascii="Times New Roman" w:hAnsi="Times New Roman"/>
                <w:sz w:val="24"/>
                <w:szCs w:val="24"/>
              </w:rPr>
              <w:t xml:space="preserve"> provide grants to Member States and their regions to improve their health systems’ resilience, accessibility and effectiveness. </w:t>
            </w:r>
            <w:r w:rsidR="009C4EED" w:rsidRPr="00923024">
              <w:rPr>
                <w:rFonts w:ascii="Times New Roman" w:hAnsi="Times New Roman"/>
                <w:sz w:val="24"/>
                <w:szCs w:val="24"/>
              </w:rPr>
              <w:t>In addition</w:t>
            </w:r>
            <w:r w:rsidR="00350AC8" w:rsidRPr="00923024">
              <w:rPr>
                <w:rFonts w:ascii="Times New Roman" w:hAnsi="Times New Roman"/>
                <w:sz w:val="24"/>
                <w:szCs w:val="24"/>
              </w:rPr>
              <w:t>,</w:t>
            </w:r>
            <w:r w:rsidRPr="00923024">
              <w:rPr>
                <w:rFonts w:ascii="Times New Roman" w:hAnsi="Times New Roman"/>
                <w:sz w:val="24"/>
                <w:szCs w:val="24"/>
              </w:rPr>
              <w:t xml:space="preserve"> </w:t>
            </w:r>
            <w:r w:rsidR="009C4EED" w:rsidRPr="00923024">
              <w:rPr>
                <w:rFonts w:ascii="Times New Roman" w:hAnsi="Times New Roman"/>
                <w:sz w:val="24"/>
                <w:szCs w:val="24"/>
              </w:rPr>
              <w:t xml:space="preserve">country-specific recommendations under </w:t>
            </w:r>
            <w:r w:rsidRPr="00923024">
              <w:rPr>
                <w:rFonts w:ascii="Times New Roman" w:hAnsi="Times New Roman"/>
                <w:sz w:val="24"/>
                <w:szCs w:val="24"/>
              </w:rPr>
              <w:t xml:space="preserve">the European </w:t>
            </w:r>
            <w:r w:rsidR="009C4EED" w:rsidRPr="00923024">
              <w:rPr>
                <w:rFonts w:ascii="Times New Roman" w:hAnsi="Times New Roman"/>
                <w:sz w:val="24"/>
                <w:szCs w:val="24"/>
              </w:rPr>
              <w:t>S</w:t>
            </w:r>
            <w:r w:rsidRPr="00923024">
              <w:rPr>
                <w:rFonts w:ascii="Times New Roman" w:hAnsi="Times New Roman"/>
                <w:sz w:val="24"/>
                <w:szCs w:val="24"/>
              </w:rPr>
              <w:t>emester</w:t>
            </w:r>
            <w:r w:rsidR="00AA56D3" w:rsidRPr="00923024">
              <w:rPr>
                <w:rFonts w:ascii="Times New Roman" w:hAnsi="Times New Roman"/>
                <w:color w:val="000000"/>
                <w:sz w:val="24"/>
                <w:szCs w:val="24"/>
                <w:shd w:val="clear" w:color="auto" w:fill="FFFFFF"/>
              </w:rPr>
              <w:t xml:space="preserve"> </w:t>
            </w:r>
            <w:r w:rsidR="009C4EED" w:rsidRPr="00923024">
              <w:rPr>
                <w:rFonts w:ascii="Times New Roman" w:hAnsi="Times New Roman"/>
                <w:color w:val="000000"/>
                <w:sz w:val="24"/>
                <w:szCs w:val="24"/>
                <w:shd w:val="clear" w:color="auto" w:fill="FFFFFF"/>
              </w:rPr>
              <w:t xml:space="preserve">provide policy guidance to Member States to </w:t>
            </w:r>
            <w:r w:rsidR="00AA56D3" w:rsidRPr="00923024">
              <w:rPr>
                <w:rFonts w:ascii="Times New Roman" w:hAnsi="Times New Roman"/>
                <w:sz w:val="24"/>
                <w:szCs w:val="24"/>
              </w:rPr>
              <w:t>address</w:t>
            </w:r>
            <w:r w:rsidR="009C4EED" w:rsidRPr="00923024">
              <w:rPr>
                <w:rFonts w:ascii="Times New Roman" w:hAnsi="Times New Roman"/>
                <w:sz w:val="24"/>
                <w:szCs w:val="24"/>
              </w:rPr>
              <w:t>, via reforms and investments,</w:t>
            </w:r>
            <w:r w:rsidR="00AA56D3" w:rsidRPr="00923024">
              <w:rPr>
                <w:rFonts w:ascii="Times New Roman" w:hAnsi="Times New Roman"/>
                <w:sz w:val="24"/>
                <w:szCs w:val="24"/>
              </w:rPr>
              <w:t xml:space="preserve"> some of the most important economic and social policy challenges, including </w:t>
            </w:r>
            <w:r w:rsidR="009C4EED" w:rsidRPr="00923024">
              <w:rPr>
                <w:rFonts w:ascii="Times New Roman" w:hAnsi="Times New Roman"/>
                <w:sz w:val="24"/>
                <w:szCs w:val="24"/>
              </w:rPr>
              <w:t xml:space="preserve">in </w:t>
            </w:r>
            <w:r w:rsidR="00AA56D3" w:rsidRPr="00923024">
              <w:rPr>
                <w:rFonts w:ascii="Times New Roman" w:hAnsi="Times New Roman"/>
                <w:sz w:val="24"/>
                <w:szCs w:val="24"/>
              </w:rPr>
              <w:t xml:space="preserve">their health systems. </w:t>
            </w:r>
            <w:r w:rsidR="00B4708E" w:rsidRPr="00923024">
              <w:rPr>
                <w:rFonts w:ascii="Times New Roman" w:hAnsi="Times New Roman"/>
                <w:color w:val="000000"/>
                <w:sz w:val="24"/>
                <w:szCs w:val="24"/>
                <w:shd w:val="clear" w:color="auto" w:fill="FFFFFF"/>
              </w:rPr>
              <w:t>The Technical Support Instrument provides technical assistance to Member States to design and implement reforms, including in their health systems.</w:t>
            </w:r>
          </w:p>
          <w:p w14:paraId="76084351" w14:textId="2438A4F4" w:rsidR="00024A87" w:rsidRPr="00923024" w:rsidRDefault="00987E06" w:rsidP="00923024">
            <w:pPr>
              <w:pStyle w:val="ListParagraph"/>
              <w:spacing w:before="120" w:after="120"/>
              <w:ind w:left="0"/>
              <w:jc w:val="both"/>
              <w:rPr>
                <w:rFonts w:ascii="Times New Roman" w:hAnsi="Times New Roman"/>
                <w:sz w:val="24"/>
                <w:szCs w:val="24"/>
                <w:lang w:val="en-GB"/>
              </w:rPr>
            </w:pPr>
            <w:r w:rsidRPr="00923024">
              <w:rPr>
                <w:rFonts w:ascii="Times New Roman" w:hAnsi="Times New Roman"/>
                <w:b/>
                <w:bCs/>
                <w:sz w:val="24"/>
                <w:szCs w:val="24"/>
                <w:lang w:val="en-GB"/>
              </w:rPr>
              <w:t>Point</w:t>
            </w:r>
            <w:r w:rsidR="004C7FD1" w:rsidRPr="00923024">
              <w:rPr>
                <w:rFonts w:ascii="Times New Roman" w:hAnsi="Times New Roman"/>
                <w:b/>
                <w:bCs/>
                <w:sz w:val="24"/>
                <w:szCs w:val="24"/>
                <w:lang w:val="en-GB"/>
              </w:rPr>
              <w:t>s</w:t>
            </w:r>
            <w:r w:rsidRPr="00923024">
              <w:rPr>
                <w:rFonts w:ascii="Times New Roman" w:hAnsi="Times New Roman"/>
                <w:b/>
                <w:bCs/>
                <w:sz w:val="24"/>
                <w:szCs w:val="24"/>
                <w:lang w:val="en-GB"/>
              </w:rPr>
              <w:t xml:space="preserve"> 1.2</w:t>
            </w:r>
            <w:r w:rsidR="00AC7EF7">
              <w:rPr>
                <w:rFonts w:ascii="Times New Roman" w:hAnsi="Times New Roman"/>
                <w:b/>
                <w:bCs/>
                <w:sz w:val="24"/>
                <w:szCs w:val="24"/>
                <w:lang w:val="en-GB"/>
              </w:rPr>
              <w:t>.</w:t>
            </w:r>
            <w:r w:rsidR="004A3227" w:rsidRPr="00923024">
              <w:rPr>
                <w:rFonts w:ascii="Times New Roman" w:hAnsi="Times New Roman"/>
                <w:b/>
                <w:bCs/>
                <w:sz w:val="24"/>
                <w:szCs w:val="24"/>
              </w:rPr>
              <w:t>, 6.2</w:t>
            </w:r>
            <w:r w:rsidR="00AC7EF7">
              <w:rPr>
                <w:rFonts w:ascii="Times New Roman" w:hAnsi="Times New Roman"/>
                <w:b/>
                <w:bCs/>
                <w:sz w:val="24"/>
                <w:szCs w:val="24"/>
              </w:rPr>
              <w:t>.</w:t>
            </w:r>
            <w:r w:rsidR="004A3227" w:rsidRPr="00923024">
              <w:rPr>
                <w:rFonts w:ascii="Times New Roman" w:hAnsi="Times New Roman"/>
                <w:b/>
                <w:bCs/>
                <w:sz w:val="24"/>
                <w:szCs w:val="24"/>
              </w:rPr>
              <w:t xml:space="preserve"> and 7.4</w:t>
            </w:r>
            <w:r w:rsidR="00AC7EF7">
              <w:rPr>
                <w:rFonts w:ascii="Times New Roman" w:hAnsi="Times New Roman"/>
                <w:b/>
                <w:bCs/>
                <w:sz w:val="24"/>
                <w:szCs w:val="24"/>
              </w:rPr>
              <w:t>.</w:t>
            </w:r>
            <w:r w:rsidRPr="00923024">
              <w:rPr>
                <w:rFonts w:ascii="Times New Roman" w:hAnsi="Times New Roman"/>
                <w:sz w:val="24"/>
                <w:szCs w:val="24"/>
                <w:lang w:val="en-GB"/>
              </w:rPr>
              <w:t xml:space="preserve">: </w:t>
            </w:r>
            <w:r w:rsidR="006A44EF" w:rsidRPr="00923024">
              <w:rPr>
                <w:rFonts w:ascii="Times New Roman" w:eastAsia="Times New Roman" w:hAnsi="Times New Roman"/>
                <w:sz w:val="24"/>
                <w:szCs w:val="24"/>
                <w:lang w:eastAsia="en-IE"/>
              </w:rPr>
              <w:t xml:space="preserve">The </w:t>
            </w:r>
            <w:r w:rsidR="00AC7EF7">
              <w:rPr>
                <w:rFonts w:ascii="Times New Roman" w:eastAsia="Times New Roman" w:hAnsi="Times New Roman"/>
                <w:b/>
                <w:bCs/>
                <w:sz w:val="24"/>
                <w:szCs w:val="24"/>
                <w:lang w:eastAsia="en-IE"/>
              </w:rPr>
              <w:t>Committee</w:t>
            </w:r>
            <w:r w:rsidR="00AC7EF7" w:rsidRPr="00923024">
              <w:rPr>
                <w:rFonts w:ascii="Times New Roman" w:eastAsia="Times New Roman" w:hAnsi="Times New Roman"/>
                <w:sz w:val="24"/>
                <w:szCs w:val="24"/>
                <w:lang w:eastAsia="en-IE"/>
              </w:rPr>
              <w:t xml:space="preserve"> </w:t>
            </w:r>
            <w:r w:rsidR="006A44EF" w:rsidRPr="00923024">
              <w:rPr>
                <w:rFonts w:ascii="Times New Roman" w:eastAsia="Times New Roman" w:hAnsi="Times New Roman"/>
                <w:sz w:val="24"/>
                <w:szCs w:val="24"/>
                <w:lang w:eastAsia="en-IE"/>
              </w:rPr>
              <w:t>calls to</w:t>
            </w:r>
            <w:r w:rsidR="006A44EF" w:rsidRPr="00923024">
              <w:rPr>
                <w:rFonts w:ascii="Times New Roman" w:hAnsi="Times New Roman"/>
                <w:sz w:val="24"/>
                <w:szCs w:val="24"/>
                <w:lang w:val="en-GB"/>
              </w:rPr>
              <w:t xml:space="preserve"> d</w:t>
            </w:r>
            <w:r w:rsidR="00E24851" w:rsidRPr="00923024">
              <w:rPr>
                <w:rFonts w:ascii="Times New Roman" w:hAnsi="Times New Roman"/>
                <w:sz w:val="24"/>
                <w:szCs w:val="24"/>
                <w:lang w:val="en-GB"/>
              </w:rPr>
              <w:t>evelop a targeted investment plan to strengthen capacity and promote care professions and healthcare workers.</w:t>
            </w:r>
            <w:r w:rsidR="004A3227" w:rsidRPr="00923024">
              <w:rPr>
                <w:rFonts w:ascii="Times New Roman" w:hAnsi="Times New Roman"/>
                <w:sz w:val="24"/>
                <w:szCs w:val="24"/>
              </w:rPr>
              <w:t xml:space="preserve"> The </w:t>
            </w:r>
            <w:r w:rsidR="00AC7EF7">
              <w:rPr>
                <w:rFonts w:ascii="Times New Roman" w:hAnsi="Times New Roman"/>
                <w:sz w:val="24"/>
                <w:szCs w:val="24"/>
              </w:rPr>
              <w:t>Committee</w:t>
            </w:r>
            <w:r w:rsidR="00AC7EF7" w:rsidRPr="00923024">
              <w:rPr>
                <w:rFonts w:ascii="Times New Roman" w:hAnsi="Times New Roman"/>
                <w:sz w:val="24"/>
                <w:szCs w:val="24"/>
              </w:rPr>
              <w:t xml:space="preserve"> </w:t>
            </w:r>
            <w:r w:rsidR="004A3227" w:rsidRPr="00923024">
              <w:rPr>
                <w:rFonts w:ascii="Times New Roman" w:hAnsi="Times New Roman"/>
                <w:sz w:val="24"/>
                <w:szCs w:val="24"/>
              </w:rPr>
              <w:t>calls for collaboration between the EU and WHO Europe to retain, attract and support care workers and to establish incentive schemes to encourage health professionals to take up employment in underserved areas.</w:t>
            </w:r>
          </w:p>
          <w:p w14:paraId="058F7724" w14:textId="34740923" w:rsidR="00A35C17" w:rsidRPr="00923024" w:rsidRDefault="0006170B" w:rsidP="00923024">
            <w:pPr>
              <w:spacing w:before="120" w:after="120"/>
              <w:jc w:val="both"/>
              <w:rPr>
                <w:rFonts w:ascii="Times New Roman" w:hAnsi="Times New Roman"/>
                <w:sz w:val="24"/>
                <w:szCs w:val="24"/>
              </w:rPr>
            </w:pPr>
            <w:r w:rsidRPr="00923024">
              <w:rPr>
                <w:rFonts w:ascii="Times New Roman" w:hAnsi="Times New Roman"/>
                <w:sz w:val="24"/>
                <w:szCs w:val="24"/>
              </w:rPr>
              <w:t xml:space="preserve">The </w:t>
            </w:r>
            <w:r w:rsidRPr="00923024">
              <w:rPr>
                <w:rFonts w:ascii="Times New Roman" w:hAnsi="Times New Roman"/>
                <w:b/>
                <w:bCs/>
                <w:sz w:val="24"/>
                <w:szCs w:val="24"/>
              </w:rPr>
              <w:t>Commission</w:t>
            </w:r>
            <w:r w:rsidRPr="00923024">
              <w:rPr>
                <w:rFonts w:ascii="Times New Roman" w:hAnsi="Times New Roman"/>
                <w:sz w:val="24"/>
                <w:szCs w:val="24"/>
              </w:rPr>
              <w:t xml:space="preserve"> is helping Member States to address </w:t>
            </w:r>
            <w:r w:rsidR="00A17A6F" w:rsidRPr="00923024">
              <w:rPr>
                <w:rFonts w:ascii="Times New Roman" w:hAnsi="Times New Roman"/>
                <w:sz w:val="24"/>
                <w:szCs w:val="24"/>
              </w:rPr>
              <w:t>health workforce challenges</w:t>
            </w:r>
            <w:r w:rsidRPr="00923024">
              <w:rPr>
                <w:rFonts w:ascii="Times New Roman" w:hAnsi="Times New Roman"/>
                <w:sz w:val="24"/>
                <w:szCs w:val="24"/>
              </w:rPr>
              <w:t xml:space="preserve">. </w:t>
            </w:r>
            <w:r w:rsidR="00D16334" w:rsidRPr="00923024">
              <w:rPr>
                <w:rFonts w:ascii="Times New Roman" w:hAnsi="Times New Roman"/>
                <w:sz w:val="24"/>
                <w:szCs w:val="24"/>
              </w:rPr>
              <w:t>The Commission acts on cross-cutting issues</w:t>
            </w:r>
            <w:r w:rsidR="000D4D71" w:rsidRPr="00923024">
              <w:rPr>
                <w:rFonts w:ascii="Times New Roman" w:hAnsi="Times New Roman"/>
                <w:sz w:val="24"/>
                <w:szCs w:val="24"/>
              </w:rPr>
              <w:t>,</w:t>
            </w:r>
            <w:r w:rsidR="00D16334" w:rsidRPr="00923024">
              <w:rPr>
                <w:rFonts w:ascii="Times New Roman" w:hAnsi="Times New Roman"/>
                <w:sz w:val="24"/>
                <w:szCs w:val="24"/>
              </w:rPr>
              <w:t xml:space="preserve"> such as planning and forecasting tools, skills training, sharing best practices, as well as more dedicated country-specific support via the Cohesion Policy funds, Technical Support instrument, and Recovery and Resilience Facility.</w:t>
            </w:r>
            <w:r w:rsidR="004340FE" w:rsidRPr="00923024">
              <w:rPr>
                <w:rFonts w:ascii="Times New Roman" w:hAnsi="Times New Roman"/>
                <w:sz w:val="24"/>
                <w:szCs w:val="24"/>
              </w:rPr>
              <w:t xml:space="preserve"> Different actions under the European Care Strategy support planning training and management of the care professions and h</w:t>
            </w:r>
            <w:proofErr w:type="spellStart"/>
            <w:r w:rsidR="004340FE" w:rsidRPr="00923024">
              <w:rPr>
                <w:rFonts w:ascii="Times New Roman" w:hAnsi="Times New Roman"/>
                <w:sz w:val="24"/>
                <w:szCs w:val="24"/>
                <w:lang w:val="en-GB"/>
              </w:rPr>
              <w:t>ealthcare</w:t>
            </w:r>
            <w:proofErr w:type="spellEnd"/>
            <w:r w:rsidR="004340FE" w:rsidRPr="00923024">
              <w:rPr>
                <w:rFonts w:ascii="Times New Roman" w:hAnsi="Times New Roman"/>
                <w:sz w:val="24"/>
                <w:szCs w:val="24"/>
                <w:lang w:val="en-GB"/>
              </w:rPr>
              <w:t xml:space="preserve"> workers.</w:t>
            </w:r>
            <w:r w:rsidR="00D16334" w:rsidRPr="00923024">
              <w:rPr>
                <w:rFonts w:ascii="Times New Roman" w:hAnsi="Times New Roman"/>
                <w:sz w:val="24"/>
                <w:szCs w:val="24"/>
              </w:rPr>
              <w:t xml:space="preserve"> Member States use EU funds, such as the European Social Fund Plus, to put in place incentives to attract health professionals to underserved areas</w:t>
            </w:r>
            <w:r w:rsidR="008972DB" w:rsidRPr="00923024">
              <w:rPr>
                <w:rFonts w:ascii="Times New Roman" w:hAnsi="Times New Roman"/>
                <w:sz w:val="24"/>
                <w:szCs w:val="24"/>
              </w:rPr>
              <w:t xml:space="preserve">. </w:t>
            </w:r>
            <w:r w:rsidR="00D16334" w:rsidRPr="00923024">
              <w:rPr>
                <w:rFonts w:ascii="Times New Roman" w:hAnsi="Times New Roman"/>
                <w:sz w:val="24"/>
                <w:szCs w:val="24"/>
              </w:rPr>
              <w:t xml:space="preserve">The Commission also works through the European Semester to provide policy advice and promote health systems reforms, including in relation to health workforce. </w:t>
            </w:r>
            <w:r w:rsidRPr="00923024">
              <w:rPr>
                <w:rFonts w:ascii="Times New Roman" w:hAnsi="Times New Roman"/>
                <w:sz w:val="24"/>
                <w:szCs w:val="24"/>
              </w:rPr>
              <w:t xml:space="preserve">The </w:t>
            </w:r>
            <w:r w:rsidR="00D16334" w:rsidRPr="00923024">
              <w:rPr>
                <w:rFonts w:ascii="Times New Roman" w:hAnsi="Times New Roman"/>
                <w:sz w:val="24"/>
                <w:szCs w:val="24"/>
              </w:rPr>
              <w:t xml:space="preserve">ongoing </w:t>
            </w:r>
            <w:r w:rsidRPr="00923024">
              <w:rPr>
                <w:rFonts w:ascii="Times New Roman" w:hAnsi="Times New Roman"/>
                <w:sz w:val="24"/>
                <w:szCs w:val="24"/>
              </w:rPr>
              <w:t xml:space="preserve">EU4Health-funded Joint Action HEROES supports Member States in putting to use better health workforce planning. </w:t>
            </w:r>
            <w:r w:rsidR="005360A7" w:rsidRPr="00923024">
              <w:rPr>
                <w:rFonts w:ascii="Times New Roman" w:hAnsi="Times New Roman"/>
                <w:sz w:val="24"/>
                <w:szCs w:val="24"/>
              </w:rPr>
              <w:t xml:space="preserve">Several </w:t>
            </w:r>
            <w:r w:rsidRPr="00923024">
              <w:rPr>
                <w:rFonts w:ascii="Times New Roman" w:hAnsi="Times New Roman"/>
                <w:sz w:val="24"/>
                <w:szCs w:val="24"/>
              </w:rPr>
              <w:t>actions on skills focus on building a Skills strategy for health workers</w:t>
            </w:r>
            <w:r w:rsidR="005360A7" w:rsidRPr="00923024">
              <w:rPr>
                <w:rFonts w:ascii="Times New Roman" w:hAnsi="Times New Roman"/>
                <w:sz w:val="24"/>
                <w:szCs w:val="24"/>
              </w:rPr>
              <w:t>, and on t</w:t>
            </w:r>
            <w:r w:rsidRPr="00923024">
              <w:rPr>
                <w:rFonts w:ascii="Times New Roman" w:hAnsi="Times New Roman"/>
                <w:sz w:val="24"/>
                <w:szCs w:val="24"/>
              </w:rPr>
              <w:t xml:space="preserve">raining opportunities for health professionals to reskill and upgrade their skills. Additionally, a dedicated action with WHO </w:t>
            </w:r>
            <w:r w:rsidR="00D17E36" w:rsidRPr="00923024">
              <w:rPr>
                <w:rFonts w:ascii="Times New Roman" w:hAnsi="Times New Roman"/>
                <w:sz w:val="24"/>
                <w:szCs w:val="24"/>
              </w:rPr>
              <w:t xml:space="preserve">Europe </w:t>
            </w:r>
            <w:r w:rsidRPr="00923024">
              <w:rPr>
                <w:rFonts w:ascii="Times New Roman" w:hAnsi="Times New Roman"/>
                <w:sz w:val="24"/>
                <w:szCs w:val="24"/>
              </w:rPr>
              <w:t xml:space="preserve">focuses on addressing shortages in nursing </w:t>
            </w:r>
            <w:r w:rsidR="004A3227" w:rsidRPr="00923024">
              <w:rPr>
                <w:rFonts w:ascii="Times New Roman" w:hAnsi="Times New Roman"/>
                <w:sz w:val="24"/>
                <w:szCs w:val="24"/>
              </w:rPr>
              <w:t>by improving recruitment and retention.</w:t>
            </w:r>
            <w:r w:rsidRPr="00923024">
              <w:rPr>
                <w:rFonts w:ascii="Times New Roman" w:hAnsi="Times New Roman"/>
                <w:sz w:val="24"/>
                <w:szCs w:val="24"/>
              </w:rPr>
              <w:t xml:space="preserve"> </w:t>
            </w:r>
            <w:r w:rsidR="005360A7" w:rsidRPr="00923024">
              <w:rPr>
                <w:rFonts w:ascii="Times New Roman" w:hAnsi="Times New Roman"/>
                <w:sz w:val="24"/>
                <w:szCs w:val="24"/>
              </w:rPr>
              <w:t xml:space="preserve">Several </w:t>
            </w:r>
            <w:r w:rsidRPr="00923024">
              <w:rPr>
                <w:rFonts w:ascii="Times New Roman" w:hAnsi="Times New Roman"/>
                <w:sz w:val="24"/>
                <w:szCs w:val="24"/>
              </w:rPr>
              <w:t>projects focused on shortages in underserved areas (medical deserts), task-shifting and retention</w:t>
            </w:r>
            <w:r w:rsidR="008972DB" w:rsidRPr="00923024">
              <w:rPr>
                <w:rFonts w:ascii="Times New Roman" w:hAnsi="Times New Roman"/>
                <w:sz w:val="24"/>
                <w:szCs w:val="24"/>
              </w:rPr>
              <w:t>, such as</w:t>
            </w:r>
            <w:r w:rsidR="004A3227" w:rsidRPr="00923024">
              <w:rPr>
                <w:rFonts w:ascii="Times New Roman" w:eastAsia="Times New Roman" w:hAnsi="Times New Roman"/>
                <w:sz w:val="24"/>
                <w:szCs w:val="24"/>
                <w:lang w:eastAsia="en-IE"/>
              </w:rPr>
              <w:t xml:space="preserve"> AHEAD</w:t>
            </w:r>
            <w:r w:rsidR="004A3227" w:rsidRPr="00923024">
              <w:rPr>
                <w:rStyle w:val="FootnoteReference"/>
                <w:rFonts w:ascii="Times New Roman" w:eastAsia="Times New Roman" w:hAnsi="Times New Roman"/>
                <w:szCs w:val="24"/>
                <w:lang w:eastAsia="en-IE"/>
              </w:rPr>
              <w:footnoteReference w:id="15"/>
            </w:r>
            <w:r w:rsidR="004A3227" w:rsidRPr="00923024">
              <w:rPr>
                <w:rFonts w:ascii="Times New Roman" w:eastAsia="Times New Roman" w:hAnsi="Times New Roman"/>
                <w:sz w:val="24"/>
                <w:szCs w:val="24"/>
                <w:lang w:eastAsia="en-IE"/>
              </w:rPr>
              <w:t>, ROUTE</w:t>
            </w:r>
            <w:r w:rsidR="004A3227" w:rsidRPr="00923024">
              <w:rPr>
                <w:rStyle w:val="FootnoteReference"/>
                <w:rFonts w:ascii="Times New Roman" w:eastAsia="Times New Roman" w:hAnsi="Times New Roman"/>
                <w:szCs w:val="24"/>
                <w:lang w:eastAsia="en-IE"/>
              </w:rPr>
              <w:footnoteReference w:id="16"/>
            </w:r>
            <w:r w:rsidR="004A3227" w:rsidRPr="00923024">
              <w:rPr>
                <w:rFonts w:ascii="Times New Roman" w:eastAsia="Times New Roman" w:hAnsi="Times New Roman"/>
                <w:sz w:val="24"/>
                <w:szCs w:val="24"/>
                <w:lang w:eastAsia="en-IE"/>
              </w:rPr>
              <w:t xml:space="preserve"> and OASES</w:t>
            </w:r>
            <w:r w:rsidR="004A3227" w:rsidRPr="00923024">
              <w:rPr>
                <w:rStyle w:val="FootnoteReference"/>
                <w:rFonts w:ascii="Times New Roman" w:eastAsia="Times New Roman" w:hAnsi="Times New Roman"/>
                <w:szCs w:val="24"/>
                <w:lang w:eastAsia="en-IE"/>
              </w:rPr>
              <w:footnoteReference w:id="17"/>
            </w:r>
            <w:r w:rsidR="004A3227" w:rsidRPr="00923024">
              <w:rPr>
                <w:rFonts w:ascii="Times New Roman" w:eastAsia="Times New Roman" w:hAnsi="Times New Roman"/>
                <w:sz w:val="24"/>
                <w:szCs w:val="24"/>
                <w:lang w:eastAsia="en-IE"/>
              </w:rPr>
              <w:t xml:space="preserve">. </w:t>
            </w:r>
            <w:r w:rsidRPr="00923024">
              <w:rPr>
                <w:rFonts w:ascii="Times New Roman" w:hAnsi="Times New Roman"/>
                <w:sz w:val="24"/>
                <w:szCs w:val="24"/>
              </w:rPr>
              <w:t>They provide guidelines and good practices, which can feed into policy solutions at national level. </w:t>
            </w:r>
          </w:p>
          <w:p w14:paraId="139C57D0" w14:textId="266DBBBD" w:rsidR="004A3227" w:rsidRPr="00923024" w:rsidRDefault="005360A7" w:rsidP="00923024">
            <w:pPr>
              <w:spacing w:before="120" w:after="120"/>
              <w:jc w:val="both"/>
              <w:rPr>
                <w:rFonts w:ascii="Times New Roman" w:hAnsi="Times New Roman"/>
                <w:sz w:val="24"/>
                <w:szCs w:val="24"/>
              </w:rPr>
            </w:pPr>
            <w:r w:rsidRPr="00923024">
              <w:rPr>
                <w:rFonts w:ascii="Times New Roman" w:hAnsi="Times New Roman"/>
                <w:sz w:val="24"/>
                <w:szCs w:val="24"/>
              </w:rPr>
              <w:t>The Commission</w:t>
            </w:r>
            <w:r w:rsidR="00574099" w:rsidRPr="00923024">
              <w:rPr>
                <w:rFonts w:ascii="Times New Roman" w:hAnsi="Times New Roman"/>
                <w:sz w:val="24"/>
                <w:szCs w:val="24"/>
              </w:rPr>
              <w:t>’s expert group on</w:t>
            </w:r>
            <w:r w:rsidR="00382B1A" w:rsidRPr="00923024">
              <w:rPr>
                <w:rFonts w:ascii="Times New Roman" w:hAnsi="Times New Roman"/>
                <w:sz w:val="24"/>
                <w:szCs w:val="24"/>
              </w:rPr>
              <w:t xml:space="preserve"> </w:t>
            </w:r>
            <w:r w:rsidR="0006170B" w:rsidRPr="00923024">
              <w:rPr>
                <w:rFonts w:ascii="Times New Roman" w:hAnsi="Times New Roman"/>
                <w:sz w:val="24"/>
                <w:szCs w:val="24"/>
              </w:rPr>
              <w:t xml:space="preserve">Health Systems Performance Assessment </w:t>
            </w:r>
            <w:r w:rsidR="00574099" w:rsidRPr="00923024">
              <w:rPr>
                <w:rFonts w:ascii="Times New Roman" w:hAnsi="Times New Roman"/>
                <w:sz w:val="24"/>
                <w:szCs w:val="24"/>
              </w:rPr>
              <w:t xml:space="preserve">is also addressing health workforce planning and </w:t>
            </w:r>
            <w:r w:rsidR="0006170B" w:rsidRPr="00923024">
              <w:rPr>
                <w:rFonts w:ascii="Times New Roman" w:hAnsi="Times New Roman"/>
                <w:sz w:val="24"/>
                <w:szCs w:val="24"/>
              </w:rPr>
              <w:t xml:space="preserve">minimum staffing levels </w:t>
            </w:r>
            <w:r w:rsidR="00574099" w:rsidRPr="00923024">
              <w:rPr>
                <w:rFonts w:ascii="Times New Roman" w:hAnsi="Times New Roman"/>
                <w:sz w:val="24"/>
                <w:szCs w:val="24"/>
              </w:rPr>
              <w:t>approaches.</w:t>
            </w:r>
            <w:r w:rsidR="00382B1A" w:rsidRPr="00923024">
              <w:rPr>
                <w:rFonts w:ascii="Times New Roman" w:hAnsi="Times New Roman"/>
                <w:sz w:val="24"/>
                <w:szCs w:val="24"/>
              </w:rPr>
              <w:t xml:space="preserve"> </w:t>
            </w:r>
            <w:r w:rsidR="00574099" w:rsidRPr="00923024">
              <w:rPr>
                <w:rFonts w:ascii="Times New Roman" w:hAnsi="Times New Roman"/>
                <w:sz w:val="24"/>
                <w:szCs w:val="24"/>
              </w:rPr>
              <w:t>T</w:t>
            </w:r>
            <w:r w:rsidR="00987E06" w:rsidRPr="00923024">
              <w:rPr>
                <w:rFonts w:ascii="Times New Roman" w:hAnsi="Times New Roman"/>
                <w:sz w:val="24"/>
                <w:szCs w:val="24"/>
              </w:rPr>
              <w:t>he Commission</w:t>
            </w:r>
            <w:r w:rsidR="0006170B" w:rsidRPr="00923024">
              <w:rPr>
                <w:rFonts w:ascii="Times New Roman" w:hAnsi="Times New Roman"/>
                <w:sz w:val="24"/>
                <w:szCs w:val="24"/>
              </w:rPr>
              <w:t xml:space="preserve"> </w:t>
            </w:r>
            <w:r w:rsidR="004C7FD1" w:rsidRPr="00923024">
              <w:rPr>
                <w:rFonts w:ascii="Times New Roman" w:hAnsi="Times New Roman"/>
                <w:sz w:val="24"/>
                <w:szCs w:val="24"/>
              </w:rPr>
              <w:t xml:space="preserve">furthermore </w:t>
            </w:r>
            <w:r w:rsidR="0006170B" w:rsidRPr="00923024">
              <w:rPr>
                <w:rFonts w:ascii="Times New Roman" w:hAnsi="Times New Roman"/>
                <w:sz w:val="24"/>
                <w:szCs w:val="24"/>
              </w:rPr>
              <w:t>launched</w:t>
            </w:r>
            <w:r w:rsidR="000D4D71" w:rsidRPr="00923024">
              <w:rPr>
                <w:rFonts w:ascii="Times New Roman" w:hAnsi="Times New Roman"/>
                <w:sz w:val="24"/>
                <w:szCs w:val="24"/>
              </w:rPr>
              <w:t>,</w:t>
            </w:r>
            <w:r w:rsidR="0006170B" w:rsidRPr="00923024">
              <w:rPr>
                <w:rFonts w:ascii="Times New Roman" w:hAnsi="Times New Roman"/>
                <w:sz w:val="24"/>
                <w:szCs w:val="24"/>
              </w:rPr>
              <w:t xml:space="preserve"> in collaboration with WHO Europe</w:t>
            </w:r>
            <w:r w:rsidR="000D4D71" w:rsidRPr="00923024">
              <w:rPr>
                <w:rFonts w:ascii="Times New Roman" w:hAnsi="Times New Roman"/>
                <w:sz w:val="24"/>
                <w:szCs w:val="24"/>
              </w:rPr>
              <w:t>,</w:t>
            </w:r>
            <w:r w:rsidR="0006170B" w:rsidRPr="00923024">
              <w:rPr>
                <w:rFonts w:ascii="Times New Roman" w:hAnsi="Times New Roman"/>
                <w:sz w:val="24"/>
                <w:szCs w:val="24"/>
              </w:rPr>
              <w:t xml:space="preserve"> a survey to identify the main factors influencing mental health and wellbeing </w:t>
            </w:r>
            <w:r w:rsidR="00D16334" w:rsidRPr="00923024">
              <w:rPr>
                <w:rFonts w:ascii="Times New Roman" w:hAnsi="Times New Roman"/>
                <w:sz w:val="24"/>
                <w:szCs w:val="24"/>
              </w:rPr>
              <w:t xml:space="preserve">of health professionals </w:t>
            </w:r>
            <w:r w:rsidR="0006170B" w:rsidRPr="00923024">
              <w:rPr>
                <w:rFonts w:ascii="Times New Roman" w:hAnsi="Times New Roman"/>
                <w:sz w:val="24"/>
                <w:szCs w:val="24"/>
              </w:rPr>
              <w:t>in the</w:t>
            </w:r>
            <w:r w:rsidR="00D16334" w:rsidRPr="00923024">
              <w:rPr>
                <w:rFonts w:ascii="Times New Roman" w:hAnsi="Times New Roman"/>
                <w:sz w:val="24"/>
                <w:szCs w:val="24"/>
              </w:rPr>
              <w:t>ir</w:t>
            </w:r>
            <w:r w:rsidR="0006170B" w:rsidRPr="00923024">
              <w:rPr>
                <w:rFonts w:ascii="Times New Roman" w:hAnsi="Times New Roman"/>
                <w:sz w:val="24"/>
                <w:szCs w:val="24"/>
              </w:rPr>
              <w:t xml:space="preserve"> workplace. </w:t>
            </w:r>
            <w:r w:rsidR="00D16334" w:rsidRPr="00923024">
              <w:rPr>
                <w:rFonts w:ascii="Times New Roman" w:hAnsi="Times New Roman"/>
                <w:sz w:val="24"/>
                <w:szCs w:val="24"/>
              </w:rPr>
              <w:t>T</w:t>
            </w:r>
            <w:r w:rsidR="004A3227" w:rsidRPr="00923024">
              <w:rPr>
                <w:rFonts w:ascii="Times New Roman" w:hAnsi="Times New Roman"/>
                <w:sz w:val="24"/>
                <w:szCs w:val="24"/>
              </w:rPr>
              <w:t xml:space="preserve">he new edition of the </w:t>
            </w:r>
            <w:r w:rsidR="004A3227" w:rsidRPr="00923024">
              <w:rPr>
                <w:rFonts w:ascii="Times New Roman" w:hAnsi="Times New Roman"/>
                <w:sz w:val="24"/>
                <w:szCs w:val="24"/>
              </w:rPr>
              <w:lastRenderedPageBreak/>
              <w:t xml:space="preserve">flagship publication </w:t>
            </w:r>
            <w:r w:rsidR="004A3227" w:rsidRPr="00923024">
              <w:rPr>
                <w:rFonts w:ascii="Times New Roman" w:hAnsi="Times New Roman"/>
                <w:i/>
                <w:iCs/>
                <w:sz w:val="24"/>
                <w:szCs w:val="24"/>
              </w:rPr>
              <w:t xml:space="preserve">Health </w:t>
            </w:r>
            <w:proofErr w:type="gramStart"/>
            <w:r w:rsidR="004A3227" w:rsidRPr="00923024">
              <w:rPr>
                <w:rFonts w:ascii="Times New Roman" w:hAnsi="Times New Roman"/>
                <w:i/>
                <w:iCs/>
                <w:sz w:val="24"/>
                <w:szCs w:val="24"/>
              </w:rPr>
              <w:t>at a Glance</w:t>
            </w:r>
            <w:proofErr w:type="gramEnd"/>
            <w:r w:rsidR="004A3227" w:rsidRPr="00923024">
              <w:rPr>
                <w:rFonts w:ascii="Times New Roman" w:hAnsi="Times New Roman"/>
                <w:i/>
                <w:iCs/>
                <w:sz w:val="24"/>
                <w:szCs w:val="24"/>
              </w:rPr>
              <w:t xml:space="preserve">: Europe </w:t>
            </w:r>
            <w:r w:rsidR="00D16334" w:rsidRPr="00923024">
              <w:rPr>
                <w:rFonts w:ascii="Times New Roman" w:hAnsi="Times New Roman"/>
                <w:i/>
                <w:iCs/>
                <w:sz w:val="24"/>
                <w:szCs w:val="24"/>
              </w:rPr>
              <w:t>2024</w:t>
            </w:r>
            <w:r w:rsidR="00382B1A" w:rsidRPr="00923024">
              <w:rPr>
                <w:rFonts w:ascii="Times New Roman" w:hAnsi="Times New Roman"/>
                <w:i/>
                <w:iCs/>
                <w:sz w:val="24"/>
                <w:szCs w:val="24"/>
              </w:rPr>
              <w:t xml:space="preserve"> </w:t>
            </w:r>
            <w:r w:rsidR="00382B1A" w:rsidRPr="00923024">
              <w:rPr>
                <w:rFonts w:ascii="Times New Roman" w:hAnsi="Times New Roman"/>
                <w:sz w:val="24"/>
                <w:szCs w:val="24"/>
              </w:rPr>
              <w:t xml:space="preserve">by the Commission and the OECD </w:t>
            </w:r>
            <w:r w:rsidR="004A3227" w:rsidRPr="00923024">
              <w:rPr>
                <w:rFonts w:ascii="Times New Roman" w:hAnsi="Times New Roman"/>
                <w:sz w:val="24"/>
                <w:szCs w:val="24"/>
              </w:rPr>
              <w:t>has a dedicated thematic section focussing on addressing health workforce shortages.</w:t>
            </w:r>
          </w:p>
          <w:p w14:paraId="0A7F1D42" w14:textId="2C1CEBC0" w:rsidR="00A35C17" w:rsidRPr="00923024" w:rsidRDefault="004340FE" w:rsidP="00923024">
            <w:pPr>
              <w:pStyle w:val="Heading3"/>
              <w:numPr>
                <w:ilvl w:val="0"/>
                <w:numId w:val="0"/>
              </w:numPr>
              <w:spacing w:before="120" w:after="120" w:line="276" w:lineRule="auto"/>
              <w:rPr>
                <w:rFonts w:eastAsia="Calibri"/>
                <w:sz w:val="24"/>
                <w:szCs w:val="24"/>
                <w:lang w:val="en-GB"/>
              </w:rPr>
            </w:pPr>
            <w:r w:rsidRPr="00923024">
              <w:rPr>
                <w:rFonts w:eastAsia="Calibri"/>
                <w:sz w:val="24"/>
                <w:szCs w:val="24"/>
                <w:lang w:val="en-GB"/>
              </w:rPr>
              <w:t xml:space="preserve">The Commission is also monitoring the implementation of the workforce-related provisions of the Council Recommendation on access to affordable high-quality long-term care. One of the key initiatives under the European Care Strategy related to long-term care workforce is the Skills Partnership for Long-Term Care with the objective is to train at least 3.8 million </w:t>
            </w:r>
            <w:r w:rsidR="00A35C17" w:rsidRPr="00923024">
              <w:rPr>
                <w:rFonts w:eastAsia="Calibri"/>
                <w:sz w:val="24"/>
                <w:szCs w:val="24"/>
                <w:lang w:val="en-GB"/>
              </w:rPr>
              <w:t>l</w:t>
            </w:r>
            <w:r w:rsidR="00382B1A" w:rsidRPr="00923024">
              <w:rPr>
                <w:rFonts w:eastAsia="Calibri"/>
                <w:sz w:val="24"/>
                <w:szCs w:val="24"/>
                <w:lang w:val="en-GB"/>
              </w:rPr>
              <w:t xml:space="preserve">ong-term care </w:t>
            </w:r>
            <w:r w:rsidRPr="00923024">
              <w:rPr>
                <w:rFonts w:eastAsia="Calibri"/>
                <w:sz w:val="24"/>
                <w:szCs w:val="24"/>
                <w:lang w:val="en-GB"/>
              </w:rPr>
              <w:t xml:space="preserve">workers annually by 2030, supported by a project funded under the Erasmus+ programme, Care4Skills. Yet another relevant deliverable is </w:t>
            </w:r>
            <w:r w:rsidR="00AC7EF7" w:rsidRPr="00AC7EF7">
              <w:rPr>
                <w:rFonts w:eastAsia="Calibri"/>
                <w:sz w:val="24"/>
                <w:szCs w:val="24"/>
                <w:lang w:val="en-GB"/>
              </w:rPr>
              <w:t xml:space="preserve">European Centre for the Development of </w:t>
            </w:r>
            <w:r w:rsidR="00AC7EF7">
              <w:rPr>
                <w:rFonts w:eastAsia="Calibri"/>
                <w:sz w:val="24"/>
                <w:szCs w:val="24"/>
                <w:lang w:val="en-GB"/>
              </w:rPr>
              <w:t>Vocational</w:t>
            </w:r>
            <w:r w:rsidR="00AC7EF7" w:rsidRPr="00AC7EF7">
              <w:rPr>
                <w:rFonts w:eastAsia="Calibri"/>
                <w:sz w:val="24"/>
                <w:szCs w:val="24"/>
                <w:lang w:val="en-GB"/>
              </w:rPr>
              <w:t xml:space="preserve"> Training</w:t>
            </w:r>
            <w:r w:rsidR="00AC7EF7">
              <w:rPr>
                <w:rFonts w:eastAsia="Calibri"/>
                <w:sz w:val="24"/>
                <w:szCs w:val="24"/>
                <w:lang w:val="en-GB"/>
              </w:rPr>
              <w:t>’s</w:t>
            </w:r>
            <w:r w:rsidR="00AC7EF7" w:rsidRPr="00AC7EF7">
              <w:rPr>
                <w:rFonts w:eastAsia="Calibri"/>
                <w:sz w:val="24"/>
                <w:szCs w:val="24"/>
                <w:lang w:val="en-GB"/>
              </w:rPr>
              <w:t xml:space="preserve"> </w:t>
            </w:r>
            <w:r w:rsidR="00AC7EF7">
              <w:rPr>
                <w:rFonts w:eastAsia="Calibri"/>
                <w:sz w:val="24"/>
                <w:szCs w:val="24"/>
                <w:lang w:val="en-GB"/>
              </w:rPr>
              <w:t>(</w:t>
            </w:r>
            <w:r w:rsidRPr="00923024">
              <w:rPr>
                <w:rFonts w:eastAsia="Calibri"/>
                <w:sz w:val="24"/>
                <w:szCs w:val="24"/>
                <w:lang w:val="en-GB"/>
              </w:rPr>
              <w:t>CEDEFOP</w:t>
            </w:r>
            <w:r w:rsidR="00AC7EF7">
              <w:rPr>
                <w:rFonts w:eastAsia="Calibri"/>
                <w:sz w:val="24"/>
                <w:szCs w:val="24"/>
                <w:lang w:val="en-GB"/>
              </w:rPr>
              <w:t>)</w:t>
            </w:r>
            <w:r w:rsidRPr="00923024">
              <w:rPr>
                <w:rFonts w:eastAsia="Calibri"/>
                <w:sz w:val="24"/>
                <w:szCs w:val="24"/>
                <w:lang w:val="en-GB"/>
              </w:rPr>
              <w:t xml:space="preserve"> 2023 report titled ‘Handling the Change with Care – Skills for the EU Care Sector’, which analyses future skill trends. Further, the EU-level Sectoral Social Dialogue Committee for Social Services established in 2023 focuses inter alia on addressing the multiple challenges for retaining and attracting workers to the sector. The Commission is advancing the evidence in this area, through a series of forthcoming reports aiming to address knowledge gaps with regards to the long-term care workforce, to shed light on social and labour rights for domestic workers, to review the application of EU labour law in the long-term care sector. </w:t>
            </w:r>
            <w:r w:rsidR="004C7FD1" w:rsidRPr="00923024">
              <w:rPr>
                <w:rFonts w:eastAsia="Calibri"/>
                <w:sz w:val="24"/>
                <w:szCs w:val="24"/>
                <w:lang w:val="en-GB"/>
              </w:rPr>
              <w:t>The European Agency for Safety and Health at Work (</w:t>
            </w:r>
            <w:r w:rsidRPr="00923024">
              <w:rPr>
                <w:rFonts w:eastAsia="Calibri"/>
                <w:sz w:val="24"/>
                <w:szCs w:val="24"/>
                <w:lang w:val="en-GB"/>
              </w:rPr>
              <w:t>EU -OSHA</w:t>
            </w:r>
            <w:r w:rsidR="004C7FD1" w:rsidRPr="00923024">
              <w:rPr>
                <w:rFonts w:eastAsia="Calibri"/>
                <w:sz w:val="24"/>
                <w:szCs w:val="24"/>
                <w:lang w:val="en-GB"/>
              </w:rPr>
              <w:t>)</w:t>
            </w:r>
            <w:r w:rsidRPr="00923024">
              <w:rPr>
                <w:rFonts w:eastAsia="Calibri"/>
                <w:sz w:val="24"/>
                <w:szCs w:val="24"/>
                <w:lang w:val="en-GB"/>
              </w:rPr>
              <w:t xml:space="preserve"> also recently published </w:t>
            </w:r>
            <w:r w:rsidR="00A35C17" w:rsidRPr="00923024">
              <w:rPr>
                <w:rFonts w:eastAsia="Calibri"/>
                <w:sz w:val="24"/>
                <w:szCs w:val="24"/>
              </w:rPr>
              <w:t>a first deliverable</w:t>
            </w:r>
            <w:r w:rsidR="00A35C17" w:rsidRPr="00923024">
              <w:rPr>
                <w:rStyle w:val="FootnoteReference"/>
                <w:rFonts w:eastAsia="Calibri"/>
                <w:szCs w:val="24"/>
                <w:lang w:val="en-GB"/>
              </w:rPr>
              <w:footnoteReference w:id="18"/>
            </w:r>
            <w:r w:rsidRPr="00923024">
              <w:rPr>
                <w:rFonts w:eastAsia="Calibri"/>
                <w:sz w:val="24"/>
                <w:szCs w:val="24"/>
                <w:lang w:val="en-GB"/>
              </w:rPr>
              <w:t xml:space="preserve"> under a long-term research project on occupational safety and health aspects in the health and social care sector.</w:t>
            </w:r>
          </w:p>
          <w:p w14:paraId="018C8071" w14:textId="747AC1C8" w:rsidR="007A4851" w:rsidRPr="00923024" w:rsidRDefault="007A4851" w:rsidP="00923024">
            <w:pPr>
              <w:pStyle w:val="ListParagraph"/>
              <w:spacing w:before="120" w:after="120"/>
              <w:ind w:left="0"/>
              <w:jc w:val="both"/>
              <w:rPr>
                <w:rFonts w:ascii="Times New Roman" w:hAnsi="Times New Roman"/>
                <w:sz w:val="24"/>
                <w:szCs w:val="24"/>
              </w:rPr>
            </w:pPr>
            <w:r w:rsidRPr="00923024">
              <w:rPr>
                <w:rFonts w:ascii="Times New Roman" w:hAnsi="Times New Roman"/>
                <w:b/>
                <w:bCs/>
                <w:sz w:val="24"/>
                <w:szCs w:val="24"/>
              </w:rPr>
              <w:t>Point 2.2</w:t>
            </w:r>
            <w:r w:rsidR="00AC7EF7">
              <w:rPr>
                <w:rFonts w:ascii="Times New Roman" w:hAnsi="Times New Roman"/>
                <w:b/>
                <w:bCs/>
                <w:sz w:val="24"/>
                <w:szCs w:val="24"/>
              </w:rPr>
              <w:t>.</w:t>
            </w:r>
            <w:r w:rsidRPr="00923024">
              <w:rPr>
                <w:rFonts w:ascii="Times New Roman" w:hAnsi="Times New Roman"/>
                <w:b/>
                <w:bCs/>
                <w:sz w:val="24"/>
                <w:szCs w:val="24"/>
              </w:rPr>
              <w:t xml:space="preserve"> and 8.2</w:t>
            </w:r>
            <w:r w:rsidR="00AC7EF7">
              <w:rPr>
                <w:rFonts w:ascii="Times New Roman" w:hAnsi="Times New Roman"/>
                <w:b/>
                <w:bCs/>
                <w:sz w:val="24"/>
                <w:szCs w:val="24"/>
              </w:rPr>
              <w:t>.</w:t>
            </w:r>
            <w:r w:rsidRPr="00923024">
              <w:rPr>
                <w:rFonts w:ascii="Times New Roman" w:hAnsi="Times New Roman"/>
                <w:sz w:val="24"/>
                <w:szCs w:val="24"/>
              </w:rPr>
              <w:t xml:space="preserve">: The </w:t>
            </w:r>
            <w:r w:rsidR="00AC7EF7">
              <w:rPr>
                <w:rFonts w:ascii="Times New Roman" w:hAnsi="Times New Roman"/>
                <w:b/>
                <w:bCs/>
                <w:sz w:val="24"/>
                <w:szCs w:val="24"/>
              </w:rPr>
              <w:t>Committee</w:t>
            </w:r>
            <w:r w:rsidR="00AC7EF7" w:rsidRPr="00923024">
              <w:rPr>
                <w:rFonts w:ascii="Times New Roman" w:hAnsi="Times New Roman"/>
                <w:sz w:val="24"/>
                <w:szCs w:val="24"/>
              </w:rPr>
              <w:t xml:space="preserve"> </w:t>
            </w:r>
            <w:r w:rsidRPr="00923024">
              <w:rPr>
                <w:rFonts w:ascii="Times New Roman" w:hAnsi="Times New Roman"/>
                <w:sz w:val="24"/>
                <w:szCs w:val="24"/>
              </w:rPr>
              <w:t xml:space="preserve">advocates </w:t>
            </w:r>
            <w:r w:rsidR="000D4D71" w:rsidRPr="00923024">
              <w:rPr>
                <w:rFonts w:ascii="Times New Roman" w:hAnsi="Times New Roman"/>
                <w:sz w:val="24"/>
                <w:szCs w:val="24"/>
              </w:rPr>
              <w:t xml:space="preserve">that </w:t>
            </w:r>
            <w:r w:rsidRPr="00923024">
              <w:rPr>
                <w:rFonts w:ascii="Times New Roman" w:hAnsi="Times New Roman"/>
                <w:sz w:val="24"/>
                <w:szCs w:val="24"/>
              </w:rPr>
              <w:t xml:space="preserve">the main goal of the European Health </w:t>
            </w:r>
            <w:r w:rsidR="0054171B" w:rsidRPr="00923024">
              <w:rPr>
                <w:rFonts w:ascii="Times New Roman" w:hAnsi="Times New Roman"/>
                <w:sz w:val="24"/>
                <w:szCs w:val="24"/>
              </w:rPr>
              <w:t xml:space="preserve">Union </w:t>
            </w:r>
            <w:r w:rsidR="00BE74E1" w:rsidRPr="00923024">
              <w:rPr>
                <w:rFonts w:ascii="Times New Roman" w:hAnsi="Times New Roman"/>
                <w:sz w:val="24"/>
                <w:szCs w:val="24"/>
              </w:rPr>
              <w:t xml:space="preserve">(EHU) </w:t>
            </w:r>
            <w:r w:rsidR="00A35C17" w:rsidRPr="00923024">
              <w:rPr>
                <w:rFonts w:ascii="Times New Roman" w:hAnsi="Times New Roman"/>
                <w:sz w:val="24"/>
                <w:szCs w:val="24"/>
              </w:rPr>
              <w:t xml:space="preserve">is </w:t>
            </w:r>
            <w:r w:rsidRPr="00923024">
              <w:rPr>
                <w:rFonts w:ascii="Times New Roman" w:hAnsi="Times New Roman"/>
                <w:sz w:val="24"/>
                <w:szCs w:val="24"/>
              </w:rPr>
              <w:t>to go beyond combating pandemics and to strengthen its legal bases to work towards reducing health disparities within the EU.</w:t>
            </w:r>
          </w:p>
          <w:p w14:paraId="06281BDD" w14:textId="7D28FB32" w:rsidR="007A4851" w:rsidRPr="00923024" w:rsidRDefault="00BE74E1" w:rsidP="00923024">
            <w:pPr>
              <w:pStyle w:val="ListParagraph"/>
              <w:spacing w:before="120" w:after="120"/>
              <w:ind w:left="0"/>
              <w:jc w:val="both"/>
              <w:rPr>
                <w:rFonts w:ascii="Times New Roman" w:hAnsi="Times New Roman"/>
                <w:sz w:val="24"/>
                <w:szCs w:val="24"/>
              </w:rPr>
            </w:pPr>
            <w:r w:rsidRPr="00923024">
              <w:rPr>
                <w:rFonts w:ascii="Times New Roman" w:hAnsi="Times New Roman"/>
                <w:sz w:val="24"/>
                <w:szCs w:val="24"/>
              </w:rPr>
              <w:t xml:space="preserve">Completing the European Health Union remains an important goal </w:t>
            </w:r>
            <w:r w:rsidR="0077452E" w:rsidRPr="00923024">
              <w:rPr>
                <w:rFonts w:ascii="Times New Roman" w:hAnsi="Times New Roman"/>
                <w:sz w:val="24"/>
                <w:szCs w:val="24"/>
              </w:rPr>
              <w:t xml:space="preserve">for </w:t>
            </w:r>
            <w:r w:rsidRPr="00923024">
              <w:rPr>
                <w:rFonts w:ascii="Times New Roman" w:hAnsi="Times New Roman"/>
                <w:sz w:val="24"/>
                <w:szCs w:val="24"/>
              </w:rPr>
              <w:t xml:space="preserve">the </w:t>
            </w:r>
            <w:r w:rsidRPr="00923024">
              <w:rPr>
                <w:rFonts w:ascii="Times New Roman" w:hAnsi="Times New Roman"/>
                <w:b/>
                <w:bCs/>
                <w:sz w:val="24"/>
                <w:szCs w:val="24"/>
              </w:rPr>
              <w:t>Commission</w:t>
            </w:r>
            <w:r w:rsidRPr="00923024">
              <w:rPr>
                <w:rFonts w:ascii="Times New Roman" w:hAnsi="Times New Roman"/>
                <w:sz w:val="24"/>
                <w:szCs w:val="24"/>
              </w:rPr>
              <w:t xml:space="preserve">. While </w:t>
            </w:r>
            <w:r w:rsidR="00E204EF" w:rsidRPr="00923024">
              <w:rPr>
                <w:rFonts w:ascii="Times New Roman" w:hAnsi="Times New Roman"/>
                <w:sz w:val="24"/>
                <w:szCs w:val="24"/>
              </w:rPr>
              <w:t xml:space="preserve">combating pandemics </w:t>
            </w:r>
            <w:r w:rsidRPr="00923024">
              <w:rPr>
                <w:rFonts w:ascii="Times New Roman" w:hAnsi="Times New Roman"/>
                <w:sz w:val="24"/>
                <w:szCs w:val="24"/>
              </w:rPr>
              <w:t>w</w:t>
            </w:r>
            <w:r w:rsidR="00E204EF" w:rsidRPr="00923024">
              <w:rPr>
                <w:rFonts w:ascii="Times New Roman" w:hAnsi="Times New Roman"/>
                <w:sz w:val="24"/>
                <w:szCs w:val="24"/>
              </w:rPr>
              <w:t xml:space="preserve">ould remain an essential </w:t>
            </w:r>
            <w:r w:rsidR="00A3037A" w:rsidRPr="00923024">
              <w:rPr>
                <w:rFonts w:ascii="Times New Roman" w:hAnsi="Times New Roman"/>
                <w:sz w:val="24"/>
                <w:szCs w:val="24"/>
              </w:rPr>
              <w:t xml:space="preserve">element </w:t>
            </w:r>
            <w:r w:rsidR="00E204EF" w:rsidRPr="00923024">
              <w:rPr>
                <w:rFonts w:ascii="Times New Roman" w:hAnsi="Times New Roman"/>
                <w:sz w:val="24"/>
                <w:szCs w:val="24"/>
              </w:rPr>
              <w:t>of the E</w:t>
            </w:r>
            <w:r w:rsidRPr="00923024">
              <w:rPr>
                <w:rFonts w:ascii="Times New Roman" w:hAnsi="Times New Roman"/>
                <w:sz w:val="24"/>
                <w:szCs w:val="24"/>
              </w:rPr>
              <w:t>HU</w:t>
            </w:r>
            <w:r w:rsidR="00E204EF" w:rsidRPr="00923024">
              <w:rPr>
                <w:rFonts w:ascii="Times New Roman" w:hAnsi="Times New Roman"/>
                <w:sz w:val="24"/>
                <w:szCs w:val="24"/>
              </w:rPr>
              <w:t>, the C</w:t>
            </w:r>
            <w:r w:rsidR="007A4851" w:rsidRPr="00923024">
              <w:rPr>
                <w:rFonts w:ascii="Times New Roman" w:hAnsi="Times New Roman"/>
                <w:sz w:val="24"/>
                <w:szCs w:val="24"/>
              </w:rPr>
              <w:t>ommunication on the European Health Union</w:t>
            </w:r>
            <w:r w:rsidR="007A4851" w:rsidRPr="00923024">
              <w:rPr>
                <w:rStyle w:val="FootnoteReference"/>
                <w:rFonts w:ascii="Times New Roman" w:hAnsi="Times New Roman"/>
                <w:szCs w:val="24"/>
              </w:rPr>
              <w:footnoteReference w:id="19"/>
            </w:r>
            <w:r w:rsidR="007A4851" w:rsidRPr="00923024">
              <w:rPr>
                <w:rFonts w:ascii="Times New Roman" w:hAnsi="Times New Roman"/>
                <w:sz w:val="24"/>
                <w:szCs w:val="24"/>
              </w:rPr>
              <w:t xml:space="preserve"> </w:t>
            </w:r>
            <w:r w:rsidR="00DC2768" w:rsidRPr="00923024">
              <w:rPr>
                <w:rFonts w:ascii="Times New Roman" w:hAnsi="Times New Roman"/>
                <w:sz w:val="24"/>
                <w:szCs w:val="24"/>
              </w:rPr>
              <w:t xml:space="preserve">sets out the Commission’s </w:t>
            </w:r>
            <w:r w:rsidRPr="00923024">
              <w:rPr>
                <w:rFonts w:ascii="Times New Roman" w:hAnsi="Times New Roman"/>
                <w:sz w:val="24"/>
                <w:szCs w:val="24"/>
              </w:rPr>
              <w:t xml:space="preserve">work </w:t>
            </w:r>
            <w:r w:rsidR="00DC2768" w:rsidRPr="00923024">
              <w:rPr>
                <w:rFonts w:ascii="Times New Roman" w:hAnsi="Times New Roman"/>
                <w:sz w:val="24"/>
                <w:szCs w:val="24"/>
              </w:rPr>
              <w:t>to</w:t>
            </w:r>
            <w:r w:rsidRPr="00923024">
              <w:rPr>
                <w:rFonts w:ascii="Times New Roman" w:hAnsi="Times New Roman"/>
                <w:sz w:val="24"/>
                <w:szCs w:val="24"/>
              </w:rPr>
              <w:t>wards</w:t>
            </w:r>
            <w:r w:rsidR="007A4851" w:rsidRPr="00923024">
              <w:rPr>
                <w:rFonts w:ascii="Times New Roman" w:hAnsi="Times New Roman"/>
                <w:sz w:val="24"/>
                <w:szCs w:val="24"/>
              </w:rPr>
              <w:t xml:space="preserve"> strengthen</w:t>
            </w:r>
            <w:r w:rsidRPr="00923024">
              <w:rPr>
                <w:rFonts w:ascii="Times New Roman" w:hAnsi="Times New Roman"/>
                <w:sz w:val="24"/>
                <w:szCs w:val="24"/>
              </w:rPr>
              <w:t>ing</w:t>
            </w:r>
            <w:r w:rsidR="007A4851" w:rsidRPr="00923024">
              <w:rPr>
                <w:rFonts w:ascii="Times New Roman" w:hAnsi="Times New Roman"/>
                <w:sz w:val="24"/>
                <w:szCs w:val="24"/>
              </w:rPr>
              <w:t xml:space="preserve"> </w:t>
            </w:r>
            <w:r w:rsidR="0054171B" w:rsidRPr="00923024">
              <w:rPr>
                <w:rFonts w:ascii="Times New Roman" w:hAnsi="Times New Roman"/>
                <w:sz w:val="24"/>
                <w:szCs w:val="24"/>
              </w:rPr>
              <w:t xml:space="preserve">not only </w:t>
            </w:r>
            <w:r w:rsidR="007A4851" w:rsidRPr="00923024">
              <w:rPr>
                <w:rFonts w:ascii="Times New Roman" w:hAnsi="Times New Roman"/>
                <w:sz w:val="24"/>
                <w:szCs w:val="24"/>
              </w:rPr>
              <w:t xml:space="preserve">health security, </w:t>
            </w:r>
            <w:r w:rsidR="0054171B" w:rsidRPr="00923024">
              <w:rPr>
                <w:rFonts w:ascii="Times New Roman" w:hAnsi="Times New Roman"/>
                <w:sz w:val="24"/>
                <w:szCs w:val="24"/>
              </w:rPr>
              <w:t xml:space="preserve">but also </w:t>
            </w:r>
            <w:r w:rsidR="007A4851" w:rsidRPr="00923024">
              <w:rPr>
                <w:rFonts w:ascii="Times New Roman" w:hAnsi="Times New Roman"/>
                <w:sz w:val="24"/>
                <w:szCs w:val="24"/>
              </w:rPr>
              <w:t>promot</w:t>
            </w:r>
            <w:r w:rsidRPr="00923024">
              <w:rPr>
                <w:rFonts w:ascii="Times New Roman" w:hAnsi="Times New Roman"/>
                <w:sz w:val="24"/>
                <w:szCs w:val="24"/>
              </w:rPr>
              <w:t>ing</w:t>
            </w:r>
            <w:r w:rsidR="007A4851" w:rsidRPr="00923024">
              <w:rPr>
                <w:rFonts w:ascii="Times New Roman" w:hAnsi="Times New Roman"/>
                <w:sz w:val="24"/>
                <w:szCs w:val="24"/>
              </w:rPr>
              <w:t xml:space="preserve"> health equity and enhanc</w:t>
            </w:r>
            <w:r w:rsidRPr="00923024">
              <w:rPr>
                <w:rFonts w:ascii="Times New Roman" w:hAnsi="Times New Roman"/>
                <w:sz w:val="24"/>
                <w:szCs w:val="24"/>
              </w:rPr>
              <w:t>ing</w:t>
            </w:r>
            <w:r w:rsidR="007A4851" w:rsidRPr="00923024">
              <w:rPr>
                <w:rFonts w:ascii="Times New Roman" w:hAnsi="Times New Roman"/>
                <w:sz w:val="24"/>
                <w:szCs w:val="24"/>
              </w:rPr>
              <w:t xml:space="preserve"> the effectiveness of EU health systems. Th</w:t>
            </w:r>
            <w:r w:rsidR="00574099" w:rsidRPr="00923024">
              <w:rPr>
                <w:rFonts w:ascii="Times New Roman" w:hAnsi="Times New Roman"/>
                <w:sz w:val="24"/>
                <w:szCs w:val="24"/>
              </w:rPr>
              <w:t xml:space="preserve">is is </w:t>
            </w:r>
            <w:r w:rsidR="00DC2768" w:rsidRPr="00923024">
              <w:rPr>
                <w:rFonts w:ascii="Times New Roman" w:hAnsi="Times New Roman"/>
                <w:sz w:val="24"/>
                <w:szCs w:val="24"/>
              </w:rPr>
              <w:t xml:space="preserve">being </w:t>
            </w:r>
            <w:r w:rsidR="00574099" w:rsidRPr="00923024">
              <w:rPr>
                <w:rFonts w:ascii="Times New Roman" w:hAnsi="Times New Roman"/>
                <w:sz w:val="24"/>
                <w:szCs w:val="24"/>
              </w:rPr>
              <w:t xml:space="preserve">achieved through, for </w:t>
            </w:r>
            <w:proofErr w:type="gramStart"/>
            <w:r w:rsidR="00574099" w:rsidRPr="00923024">
              <w:rPr>
                <w:rFonts w:ascii="Times New Roman" w:hAnsi="Times New Roman"/>
                <w:sz w:val="24"/>
                <w:szCs w:val="24"/>
              </w:rPr>
              <w:t>example;</w:t>
            </w:r>
            <w:proofErr w:type="gramEnd"/>
            <w:r w:rsidR="00574099" w:rsidRPr="00923024">
              <w:rPr>
                <w:rFonts w:ascii="Times New Roman" w:hAnsi="Times New Roman"/>
                <w:sz w:val="24"/>
                <w:szCs w:val="24"/>
              </w:rPr>
              <w:t xml:space="preserve"> </w:t>
            </w:r>
            <w:r w:rsidR="007A4851" w:rsidRPr="00923024">
              <w:rPr>
                <w:rFonts w:ascii="Times New Roman" w:hAnsi="Times New Roman"/>
                <w:sz w:val="24"/>
                <w:szCs w:val="24"/>
              </w:rPr>
              <w:t xml:space="preserve">Europe’s Beating Cancer Plan, the Communication on a Comprehensive Approach to Mental Health, </w:t>
            </w:r>
            <w:r w:rsidR="00CF4403" w:rsidRPr="00923024">
              <w:rPr>
                <w:rFonts w:ascii="Times New Roman" w:hAnsi="Times New Roman"/>
                <w:sz w:val="24"/>
                <w:szCs w:val="24"/>
              </w:rPr>
              <w:t xml:space="preserve">the </w:t>
            </w:r>
            <w:r w:rsidR="007A4851" w:rsidRPr="00923024">
              <w:rPr>
                <w:rFonts w:ascii="Times New Roman" w:hAnsi="Times New Roman"/>
                <w:sz w:val="24"/>
                <w:szCs w:val="24"/>
              </w:rPr>
              <w:t xml:space="preserve">Healthier </w:t>
            </w:r>
            <w:r w:rsidR="00DC2768" w:rsidRPr="00923024">
              <w:rPr>
                <w:rFonts w:ascii="Times New Roman" w:hAnsi="Times New Roman"/>
                <w:sz w:val="24"/>
                <w:szCs w:val="24"/>
              </w:rPr>
              <w:t>T</w:t>
            </w:r>
            <w:r w:rsidR="007A4851" w:rsidRPr="00923024">
              <w:rPr>
                <w:rFonts w:ascii="Times New Roman" w:hAnsi="Times New Roman"/>
                <w:sz w:val="24"/>
                <w:szCs w:val="24"/>
              </w:rPr>
              <w:t>ogether – EU non-communicable diseases (NCD) initiative, the EU Pharmaceutical Strategy, and the European Health Data Space</w:t>
            </w:r>
            <w:r w:rsidR="004C7FD1" w:rsidRPr="00923024">
              <w:rPr>
                <w:rFonts w:ascii="Times New Roman" w:hAnsi="Times New Roman"/>
                <w:sz w:val="24"/>
                <w:szCs w:val="24"/>
              </w:rPr>
              <w:t xml:space="preserve"> Regulation</w:t>
            </w:r>
            <w:r w:rsidR="007A4851" w:rsidRPr="00923024">
              <w:rPr>
                <w:rFonts w:ascii="Times New Roman" w:hAnsi="Times New Roman"/>
                <w:sz w:val="24"/>
                <w:szCs w:val="24"/>
              </w:rPr>
              <w:t>. </w:t>
            </w:r>
            <w:r w:rsidRPr="00923024">
              <w:rPr>
                <w:rFonts w:ascii="Times New Roman" w:hAnsi="Times New Roman"/>
                <w:sz w:val="24"/>
                <w:szCs w:val="24"/>
              </w:rPr>
              <w:t xml:space="preserve"> </w:t>
            </w:r>
          </w:p>
          <w:p w14:paraId="3A9F9240" w14:textId="3FA70D05" w:rsidR="007A4851" w:rsidRPr="00923024" w:rsidRDefault="007A4851" w:rsidP="00923024">
            <w:pPr>
              <w:pStyle w:val="ListParagraph"/>
              <w:spacing w:before="120" w:after="120"/>
              <w:ind w:left="0"/>
              <w:jc w:val="both"/>
              <w:rPr>
                <w:rFonts w:ascii="Times New Roman" w:hAnsi="Times New Roman"/>
                <w:b/>
                <w:bCs/>
                <w:sz w:val="24"/>
                <w:szCs w:val="24"/>
                <w:lang w:val="en-GB"/>
              </w:rPr>
            </w:pPr>
            <w:r w:rsidRPr="00923024">
              <w:rPr>
                <w:rFonts w:ascii="Times New Roman" w:hAnsi="Times New Roman"/>
                <w:b/>
                <w:bCs/>
                <w:sz w:val="24"/>
                <w:szCs w:val="24"/>
                <w:lang w:val="en-GB"/>
              </w:rPr>
              <w:t>Point 6.5</w:t>
            </w:r>
            <w:r w:rsidR="00AC7EF7">
              <w:rPr>
                <w:rFonts w:ascii="Times New Roman" w:hAnsi="Times New Roman"/>
                <w:b/>
                <w:bCs/>
                <w:sz w:val="24"/>
                <w:szCs w:val="24"/>
                <w:lang w:val="en-GB"/>
              </w:rPr>
              <w:t>.</w:t>
            </w:r>
            <w:r w:rsidRPr="00923024">
              <w:rPr>
                <w:rFonts w:ascii="Times New Roman" w:hAnsi="Times New Roman"/>
                <w:b/>
                <w:bCs/>
                <w:sz w:val="24"/>
                <w:szCs w:val="24"/>
                <w:lang w:val="en-GB"/>
              </w:rPr>
              <w:t xml:space="preserve">: </w:t>
            </w:r>
            <w:r w:rsidRPr="00923024">
              <w:rPr>
                <w:rFonts w:ascii="Times New Roman" w:hAnsi="Times New Roman"/>
                <w:sz w:val="24"/>
                <w:szCs w:val="24"/>
                <w:lang w:val="en-GB"/>
              </w:rPr>
              <w:t xml:space="preserve">The </w:t>
            </w:r>
            <w:r w:rsidRPr="00923024">
              <w:rPr>
                <w:rFonts w:ascii="Times New Roman" w:hAnsi="Times New Roman"/>
                <w:b/>
                <w:bCs/>
                <w:sz w:val="24"/>
                <w:szCs w:val="24"/>
                <w:lang w:val="en-GB"/>
              </w:rPr>
              <w:t>EESC</w:t>
            </w:r>
            <w:r w:rsidRPr="00923024">
              <w:rPr>
                <w:rFonts w:ascii="Times New Roman" w:hAnsi="Times New Roman"/>
                <w:sz w:val="24"/>
                <w:szCs w:val="24"/>
                <w:lang w:val="en-GB"/>
              </w:rPr>
              <w:t xml:space="preserve"> urges the EU and the Member States to revise the fiscal rules.</w:t>
            </w:r>
          </w:p>
          <w:p w14:paraId="38F897BB" w14:textId="48F332EE" w:rsidR="007A4851" w:rsidRPr="00923024" w:rsidRDefault="007A4851" w:rsidP="00923024">
            <w:pPr>
              <w:spacing w:before="120" w:after="120"/>
              <w:jc w:val="both"/>
              <w:rPr>
                <w:rFonts w:ascii="Times New Roman" w:hAnsi="Times New Roman"/>
                <w:sz w:val="24"/>
                <w:szCs w:val="24"/>
              </w:rPr>
            </w:pPr>
            <w:r w:rsidRPr="00923024">
              <w:rPr>
                <w:rFonts w:ascii="Times New Roman" w:hAnsi="Times New Roman"/>
                <w:kern w:val="2"/>
                <w:sz w:val="24"/>
                <w:szCs w:val="24"/>
              </w:rPr>
              <w:t xml:space="preserve">The new EU fiscal rules, also known as the new </w:t>
            </w:r>
            <w:r w:rsidR="009D3343" w:rsidRPr="00923024">
              <w:rPr>
                <w:rFonts w:ascii="Times New Roman" w:hAnsi="Times New Roman"/>
                <w:kern w:val="2"/>
                <w:sz w:val="24"/>
                <w:szCs w:val="24"/>
              </w:rPr>
              <w:t>E</w:t>
            </w:r>
            <w:r w:rsidRPr="00923024">
              <w:rPr>
                <w:rFonts w:ascii="Times New Roman" w:hAnsi="Times New Roman"/>
                <w:kern w:val="2"/>
                <w:sz w:val="24"/>
                <w:szCs w:val="24"/>
              </w:rPr>
              <w:t xml:space="preserve">conomic </w:t>
            </w:r>
            <w:r w:rsidR="00382B1A" w:rsidRPr="00923024">
              <w:rPr>
                <w:rFonts w:ascii="Times New Roman" w:hAnsi="Times New Roman"/>
                <w:kern w:val="2"/>
                <w:sz w:val="24"/>
                <w:szCs w:val="24"/>
              </w:rPr>
              <w:t>G</w:t>
            </w:r>
            <w:r w:rsidRPr="00923024">
              <w:rPr>
                <w:rFonts w:ascii="Times New Roman" w:hAnsi="Times New Roman"/>
                <w:kern w:val="2"/>
                <w:sz w:val="24"/>
                <w:szCs w:val="24"/>
              </w:rPr>
              <w:t xml:space="preserve">overnance </w:t>
            </w:r>
            <w:proofErr w:type="gramStart"/>
            <w:r w:rsidR="00382B1A" w:rsidRPr="00923024">
              <w:rPr>
                <w:rFonts w:ascii="Times New Roman" w:hAnsi="Times New Roman"/>
                <w:kern w:val="2"/>
                <w:sz w:val="24"/>
                <w:szCs w:val="24"/>
              </w:rPr>
              <w:t>F</w:t>
            </w:r>
            <w:r w:rsidRPr="00923024">
              <w:rPr>
                <w:rFonts w:ascii="Times New Roman" w:hAnsi="Times New Roman"/>
                <w:kern w:val="2"/>
                <w:sz w:val="24"/>
                <w:szCs w:val="24"/>
              </w:rPr>
              <w:t>ramework</w:t>
            </w:r>
            <w:proofErr w:type="gramEnd"/>
            <w:r w:rsidRPr="00923024">
              <w:rPr>
                <w:rFonts w:ascii="Times New Roman" w:hAnsi="Times New Roman"/>
                <w:kern w:val="2"/>
                <w:sz w:val="24"/>
                <w:szCs w:val="24"/>
              </w:rPr>
              <w:t xml:space="preserve"> entered into force on the 30 April 2024. The main objectives of the new framework are to ensure Member States' debt sustainability and promote sustainable and inclusive growth in all Member States through growth-enhancing reforms and priority investments. The reformed economic governance framework gives to Member States greater space for investment with more gradual fiscal adjustment paths when matched by credible reform and investment commitments. The new framework recognises that reforms and investments are needed to address common challenges, </w:t>
            </w:r>
            <w:r w:rsidRPr="00923024">
              <w:rPr>
                <w:rFonts w:ascii="Times New Roman" w:hAnsi="Times New Roman"/>
                <w:kern w:val="2"/>
                <w:sz w:val="24"/>
                <w:szCs w:val="24"/>
              </w:rPr>
              <w:lastRenderedPageBreak/>
              <w:t xml:space="preserve">including in the field of health. In this vein, through the European Semester and the assessment of the National Medium-term Fiscal Plans, the impact of health care and public health measures can be </w:t>
            </w:r>
            <w:proofErr w:type="gramStart"/>
            <w:r w:rsidRPr="00923024">
              <w:rPr>
                <w:rFonts w:ascii="Times New Roman" w:hAnsi="Times New Roman"/>
                <w:kern w:val="2"/>
                <w:sz w:val="24"/>
                <w:szCs w:val="24"/>
              </w:rPr>
              <w:t>taken into account</w:t>
            </w:r>
            <w:proofErr w:type="gramEnd"/>
            <w:r w:rsidRPr="00923024">
              <w:rPr>
                <w:rFonts w:ascii="Times New Roman" w:hAnsi="Times New Roman"/>
                <w:kern w:val="2"/>
                <w:sz w:val="24"/>
                <w:szCs w:val="24"/>
              </w:rPr>
              <w:t xml:space="preserve"> too.</w:t>
            </w:r>
          </w:p>
          <w:p w14:paraId="6D62400C" w14:textId="6A341BCF" w:rsidR="007A4851" w:rsidRPr="00923024" w:rsidRDefault="007A4851" w:rsidP="00923024">
            <w:pPr>
              <w:pStyle w:val="ListParagraph"/>
              <w:spacing w:before="120" w:after="120"/>
              <w:ind w:left="0"/>
              <w:jc w:val="both"/>
              <w:rPr>
                <w:rFonts w:ascii="Times New Roman" w:hAnsi="Times New Roman"/>
                <w:sz w:val="24"/>
                <w:szCs w:val="24"/>
              </w:rPr>
            </w:pPr>
            <w:r w:rsidRPr="00923024">
              <w:rPr>
                <w:rFonts w:ascii="Times New Roman" w:hAnsi="Times New Roman"/>
                <w:b/>
                <w:bCs/>
                <w:sz w:val="24"/>
                <w:szCs w:val="24"/>
              </w:rPr>
              <w:t>Point 7.5</w:t>
            </w:r>
            <w:r w:rsidR="00811191">
              <w:rPr>
                <w:rFonts w:ascii="Times New Roman" w:hAnsi="Times New Roman"/>
                <w:b/>
                <w:bCs/>
                <w:sz w:val="24"/>
                <w:szCs w:val="24"/>
              </w:rPr>
              <w:t>.</w:t>
            </w:r>
            <w:r w:rsidRPr="00923024">
              <w:rPr>
                <w:rFonts w:ascii="Times New Roman" w:hAnsi="Times New Roman"/>
                <w:b/>
                <w:bCs/>
                <w:sz w:val="24"/>
                <w:szCs w:val="24"/>
              </w:rPr>
              <w:t>:</w:t>
            </w:r>
            <w:r w:rsidRPr="00923024">
              <w:rPr>
                <w:rFonts w:ascii="Times New Roman" w:hAnsi="Times New Roman"/>
                <w:sz w:val="24"/>
                <w:szCs w:val="24"/>
              </w:rPr>
              <w:t xml:space="preserve"> The </w:t>
            </w:r>
            <w:r w:rsidR="00811191">
              <w:rPr>
                <w:rFonts w:ascii="Times New Roman" w:hAnsi="Times New Roman"/>
                <w:b/>
                <w:bCs/>
                <w:sz w:val="24"/>
                <w:szCs w:val="24"/>
              </w:rPr>
              <w:t>Committee</w:t>
            </w:r>
            <w:r w:rsidR="00811191" w:rsidRPr="00923024">
              <w:rPr>
                <w:rFonts w:ascii="Times New Roman" w:hAnsi="Times New Roman"/>
                <w:sz w:val="24"/>
                <w:szCs w:val="24"/>
              </w:rPr>
              <w:t xml:space="preserve"> </w:t>
            </w:r>
            <w:r w:rsidRPr="00923024">
              <w:rPr>
                <w:rFonts w:ascii="Times New Roman" w:hAnsi="Times New Roman"/>
                <w:sz w:val="24"/>
                <w:szCs w:val="24"/>
              </w:rPr>
              <w:t>notes</w:t>
            </w:r>
            <w:r w:rsidRPr="00923024">
              <w:rPr>
                <w:rFonts w:ascii="Times New Roman" w:hAnsi="Times New Roman"/>
                <w:color w:val="000000"/>
                <w:kern w:val="0"/>
                <w:sz w:val="24"/>
                <w:szCs w:val="24"/>
                <w:bdr w:val="none" w:sz="0" w:space="0" w:color="auto" w:frame="1"/>
                <w:lang w:val="en-GB"/>
              </w:rPr>
              <w:t xml:space="preserve"> </w:t>
            </w:r>
            <w:r w:rsidR="004C7FD1" w:rsidRPr="00923024">
              <w:rPr>
                <w:rFonts w:ascii="Times New Roman" w:hAnsi="Times New Roman"/>
                <w:color w:val="000000"/>
                <w:kern w:val="0"/>
                <w:sz w:val="24"/>
                <w:szCs w:val="24"/>
                <w:bdr w:val="none" w:sz="0" w:space="0" w:color="auto" w:frame="1"/>
                <w:lang w:val="en-GB"/>
              </w:rPr>
              <w:t xml:space="preserve">that </w:t>
            </w:r>
            <w:r w:rsidRPr="00923024">
              <w:rPr>
                <w:rFonts w:ascii="Times New Roman" w:hAnsi="Times New Roman"/>
                <w:color w:val="000000"/>
                <w:kern w:val="0"/>
                <w:sz w:val="24"/>
                <w:szCs w:val="24"/>
                <w:bdr w:val="none" w:sz="0" w:space="0" w:color="auto" w:frame="1"/>
                <w:lang w:val="en-GB"/>
              </w:rPr>
              <w:t>the</w:t>
            </w:r>
            <w:r w:rsidRPr="00923024">
              <w:rPr>
                <w:rFonts w:ascii="Times New Roman" w:hAnsi="Times New Roman"/>
                <w:sz w:val="24"/>
                <w:szCs w:val="24"/>
                <w:lang w:val="en-GB"/>
              </w:rPr>
              <w:t xml:space="preserve"> EU must promote in conjunction with the Member States</w:t>
            </w:r>
            <w:r w:rsidRPr="00923024">
              <w:rPr>
                <w:rFonts w:ascii="Times New Roman" w:hAnsi="Times New Roman"/>
                <w:sz w:val="24"/>
                <w:szCs w:val="24"/>
              </w:rPr>
              <w:t xml:space="preserve"> health and safety at work.</w:t>
            </w:r>
          </w:p>
          <w:p w14:paraId="6D3FECCA" w14:textId="77777777" w:rsidR="007A4851" w:rsidRPr="00923024" w:rsidRDefault="007A4851" w:rsidP="00923024">
            <w:pPr>
              <w:pStyle w:val="ListParagraph"/>
              <w:spacing w:before="120" w:after="120"/>
              <w:ind w:left="0"/>
              <w:jc w:val="both"/>
              <w:rPr>
                <w:rFonts w:ascii="Times New Roman" w:hAnsi="Times New Roman"/>
                <w:sz w:val="24"/>
                <w:szCs w:val="24"/>
              </w:rPr>
            </w:pPr>
            <w:r w:rsidRPr="00923024">
              <w:rPr>
                <w:rFonts w:ascii="Times New Roman" w:hAnsi="Times New Roman"/>
                <w:sz w:val="24"/>
                <w:szCs w:val="24"/>
              </w:rPr>
              <w:t xml:space="preserve">The </w:t>
            </w:r>
            <w:r w:rsidRPr="00923024">
              <w:rPr>
                <w:rFonts w:ascii="Times New Roman" w:hAnsi="Times New Roman"/>
                <w:b/>
                <w:bCs/>
                <w:sz w:val="24"/>
                <w:szCs w:val="24"/>
              </w:rPr>
              <w:t>Commission</w:t>
            </w:r>
            <w:r w:rsidRPr="00923024">
              <w:rPr>
                <w:rFonts w:ascii="Times New Roman" w:hAnsi="Times New Roman"/>
                <w:sz w:val="24"/>
                <w:szCs w:val="24"/>
              </w:rPr>
              <w:t xml:space="preserve"> welcomes the references to health and safety at work and, as regards the need to regularly update the directive on the protection of workers from the risks related to exposure to carcinogens or mutagens at work, recalls that such update has been done over the last years and will continue to be done whenever is necessary.</w:t>
            </w:r>
          </w:p>
          <w:p w14:paraId="72A189B6" w14:textId="02A1E5BE" w:rsidR="00E24851" w:rsidRPr="00923024" w:rsidRDefault="0033095D" w:rsidP="00923024">
            <w:pPr>
              <w:pStyle w:val="ListParagraph"/>
              <w:spacing w:before="120" w:after="120"/>
              <w:ind w:left="0"/>
              <w:jc w:val="both"/>
              <w:rPr>
                <w:rFonts w:ascii="Times New Roman" w:hAnsi="Times New Roman"/>
                <w:sz w:val="24"/>
                <w:szCs w:val="24"/>
              </w:rPr>
            </w:pPr>
            <w:r w:rsidRPr="00923024">
              <w:rPr>
                <w:rFonts w:ascii="Times New Roman" w:hAnsi="Times New Roman"/>
                <w:b/>
                <w:bCs/>
                <w:sz w:val="24"/>
                <w:szCs w:val="24"/>
              </w:rPr>
              <w:t>Point 7.6</w:t>
            </w:r>
            <w:r w:rsidR="00811191">
              <w:rPr>
                <w:rFonts w:ascii="Times New Roman" w:hAnsi="Times New Roman"/>
                <w:b/>
                <w:bCs/>
                <w:sz w:val="24"/>
                <w:szCs w:val="24"/>
              </w:rPr>
              <w:t>.</w:t>
            </w:r>
            <w:r w:rsidRPr="00923024">
              <w:rPr>
                <w:rFonts w:ascii="Times New Roman" w:hAnsi="Times New Roman"/>
                <w:b/>
                <w:bCs/>
                <w:sz w:val="24"/>
                <w:szCs w:val="24"/>
              </w:rPr>
              <w:t>:</w:t>
            </w:r>
            <w:r w:rsidRPr="00923024">
              <w:rPr>
                <w:rFonts w:ascii="Times New Roman" w:hAnsi="Times New Roman"/>
                <w:sz w:val="24"/>
                <w:szCs w:val="24"/>
              </w:rPr>
              <w:t xml:space="preserve"> </w:t>
            </w:r>
            <w:r w:rsidR="00C46A24" w:rsidRPr="00923024">
              <w:rPr>
                <w:rFonts w:ascii="Times New Roman" w:hAnsi="Times New Roman"/>
                <w:sz w:val="24"/>
                <w:szCs w:val="24"/>
              </w:rPr>
              <w:t xml:space="preserve">The </w:t>
            </w:r>
            <w:r w:rsidR="00811191">
              <w:rPr>
                <w:rFonts w:ascii="Times New Roman" w:hAnsi="Times New Roman"/>
                <w:b/>
                <w:bCs/>
                <w:sz w:val="24"/>
                <w:szCs w:val="24"/>
              </w:rPr>
              <w:t>Committee</w:t>
            </w:r>
            <w:r w:rsidR="00811191" w:rsidRPr="00923024">
              <w:rPr>
                <w:rFonts w:ascii="Times New Roman" w:hAnsi="Times New Roman"/>
                <w:sz w:val="24"/>
                <w:szCs w:val="24"/>
              </w:rPr>
              <w:t xml:space="preserve"> </w:t>
            </w:r>
            <w:r w:rsidR="00F57D34" w:rsidRPr="00923024">
              <w:rPr>
                <w:rFonts w:ascii="Times New Roman" w:hAnsi="Times New Roman"/>
                <w:sz w:val="24"/>
                <w:szCs w:val="24"/>
              </w:rPr>
              <w:t>asks to i</w:t>
            </w:r>
            <w:r w:rsidR="00E24851" w:rsidRPr="00923024">
              <w:rPr>
                <w:rFonts w:ascii="Times New Roman" w:hAnsi="Times New Roman"/>
                <w:sz w:val="24"/>
                <w:szCs w:val="24"/>
              </w:rPr>
              <w:t>mprove the prevention of non-communicable diseases (NCDs)</w:t>
            </w:r>
            <w:r w:rsidR="00F57D34" w:rsidRPr="00923024">
              <w:rPr>
                <w:rFonts w:ascii="Times New Roman" w:hAnsi="Times New Roman"/>
                <w:sz w:val="24"/>
                <w:szCs w:val="24"/>
              </w:rPr>
              <w:t>.</w:t>
            </w:r>
          </w:p>
          <w:p w14:paraId="30D14481" w14:textId="17F74B5F" w:rsidR="00A64245" w:rsidRPr="00923024" w:rsidRDefault="0033095D" w:rsidP="00923024">
            <w:pPr>
              <w:pStyle w:val="ListParagraph"/>
              <w:spacing w:before="120" w:after="120"/>
              <w:ind w:left="0"/>
              <w:jc w:val="both"/>
              <w:rPr>
                <w:rFonts w:ascii="Times New Roman" w:hAnsi="Times New Roman"/>
                <w:b/>
                <w:bCs/>
                <w:sz w:val="24"/>
                <w:szCs w:val="24"/>
              </w:rPr>
            </w:pPr>
            <w:r w:rsidRPr="00923024">
              <w:rPr>
                <w:rFonts w:ascii="Times New Roman" w:hAnsi="Times New Roman"/>
                <w:sz w:val="24"/>
                <w:szCs w:val="24"/>
              </w:rPr>
              <w:t xml:space="preserve">The </w:t>
            </w:r>
            <w:r w:rsidR="00B75AF5" w:rsidRPr="00923024">
              <w:rPr>
                <w:rFonts w:ascii="Times New Roman" w:hAnsi="Times New Roman"/>
                <w:b/>
                <w:bCs/>
                <w:sz w:val="24"/>
                <w:szCs w:val="24"/>
              </w:rPr>
              <w:t>C</w:t>
            </w:r>
            <w:r w:rsidRPr="00923024">
              <w:rPr>
                <w:rFonts w:ascii="Times New Roman" w:hAnsi="Times New Roman"/>
                <w:b/>
                <w:bCs/>
                <w:sz w:val="24"/>
                <w:szCs w:val="24"/>
              </w:rPr>
              <w:t>ommission</w:t>
            </w:r>
            <w:r w:rsidRPr="00923024">
              <w:rPr>
                <w:rFonts w:ascii="Times New Roman" w:hAnsi="Times New Roman"/>
                <w:sz w:val="24"/>
                <w:szCs w:val="24"/>
              </w:rPr>
              <w:t xml:space="preserve"> </w:t>
            </w:r>
            <w:r w:rsidR="0B3AE309" w:rsidRPr="00923024">
              <w:rPr>
                <w:rFonts w:ascii="Times New Roman" w:eastAsia="Times New Roman" w:hAnsi="Times New Roman"/>
                <w:sz w:val="24"/>
                <w:szCs w:val="24"/>
                <w:lang w:val="en-GB"/>
              </w:rPr>
              <w:t xml:space="preserve">has provided considerable support of around EUR 264 million through the </w:t>
            </w:r>
            <w:r w:rsidR="0B3AE309" w:rsidRPr="00923024">
              <w:rPr>
                <w:rFonts w:ascii="Times New Roman" w:eastAsia="Times New Roman" w:hAnsi="Times New Roman"/>
                <w:sz w:val="24"/>
                <w:szCs w:val="24"/>
              </w:rPr>
              <w:t xml:space="preserve">EU4Health programme </w:t>
            </w:r>
            <w:r w:rsidR="0B3AE309" w:rsidRPr="00923024">
              <w:rPr>
                <w:rFonts w:ascii="Times New Roman" w:eastAsia="Times New Roman" w:hAnsi="Times New Roman"/>
                <w:sz w:val="24"/>
                <w:szCs w:val="24"/>
                <w:lang w:val="en-GB"/>
              </w:rPr>
              <w:t>to the implementation of actions under the 5 strands of the ‘Healthier Together’ initiative and the prevention of NCDs. Several Joint Actions have been launched to address risk factors and promote the transfer of good practices</w:t>
            </w:r>
            <w:r w:rsidR="00E24851" w:rsidRPr="00923024">
              <w:rPr>
                <w:rFonts w:ascii="Times New Roman" w:hAnsi="Times New Roman"/>
                <w:sz w:val="24"/>
                <w:szCs w:val="24"/>
              </w:rPr>
              <w:t xml:space="preserve">. </w:t>
            </w:r>
            <w:r w:rsidR="00425309" w:rsidRPr="00923024">
              <w:rPr>
                <w:rFonts w:ascii="Times New Roman" w:hAnsi="Times New Roman"/>
                <w:sz w:val="24"/>
                <w:szCs w:val="24"/>
              </w:rPr>
              <w:t>Some of them (e.g. Joint Actions JACARDI</w:t>
            </w:r>
            <w:r w:rsidR="00425309" w:rsidRPr="00923024">
              <w:rPr>
                <w:rStyle w:val="FootnoteReference"/>
                <w:rFonts w:ascii="Times New Roman" w:hAnsi="Times New Roman"/>
                <w:szCs w:val="24"/>
              </w:rPr>
              <w:footnoteReference w:id="20"/>
            </w:r>
            <w:r w:rsidR="00425309" w:rsidRPr="00923024">
              <w:rPr>
                <w:rFonts w:ascii="Times New Roman" w:hAnsi="Times New Roman"/>
                <w:sz w:val="24"/>
                <w:szCs w:val="24"/>
              </w:rPr>
              <w:t xml:space="preserve"> and </w:t>
            </w:r>
            <w:proofErr w:type="spellStart"/>
            <w:r w:rsidR="00425309" w:rsidRPr="00923024">
              <w:rPr>
                <w:rFonts w:ascii="Times New Roman" w:hAnsi="Times New Roman"/>
                <w:sz w:val="24"/>
                <w:szCs w:val="24"/>
              </w:rPr>
              <w:t>PreventNCD</w:t>
            </w:r>
            <w:proofErr w:type="spellEnd"/>
            <w:r w:rsidR="00425309" w:rsidRPr="00923024">
              <w:rPr>
                <w:rStyle w:val="FootnoteReference"/>
                <w:rFonts w:ascii="Times New Roman" w:hAnsi="Times New Roman"/>
                <w:szCs w:val="24"/>
              </w:rPr>
              <w:footnoteReference w:id="21"/>
            </w:r>
            <w:r w:rsidR="00425309" w:rsidRPr="00923024">
              <w:rPr>
                <w:rFonts w:ascii="Times New Roman" w:hAnsi="Times New Roman"/>
                <w:sz w:val="24"/>
                <w:szCs w:val="24"/>
              </w:rPr>
              <w:t xml:space="preserve">) integrate in their work equity, diversity and inclusivity perspectives. The European Code against Cancer plays a crucial role in raising awareness on cancer prevention. It encourages individuals to adopt healthier behaviours. </w:t>
            </w:r>
            <w:r w:rsidR="00CF4403" w:rsidRPr="00923024">
              <w:rPr>
                <w:rFonts w:ascii="Times New Roman" w:eastAsia="Times New Roman" w:hAnsi="Times New Roman"/>
                <w:sz w:val="24"/>
                <w:szCs w:val="24"/>
                <w:lang w:val="en-GB"/>
              </w:rPr>
              <w:t>Funding</w:t>
            </w:r>
            <w:r w:rsidR="3E13523B" w:rsidRPr="00923024">
              <w:rPr>
                <w:rFonts w:ascii="Times New Roman" w:eastAsia="Times New Roman" w:hAnsi="Times New Roman"/>
                <w:sz w:val="24"/>
                <w:szCs w:val="24"/>
                <w:lang w:val="en-GB"/>
              </w:rPr>
              <w:t xml:space="preserve"> of EUR 76 million has been made available to Member States to work together on addressing health determinants in the Joint Action </w:t>
            </w:r>
            <w:proofErr w:type="spellStart"/>
            <w:r w:rsidR="3E13523B" w:rsidRPr="00923024">
              <w:rPr>
                <w:rFonts w:ascii="Times New Roman" w:eastAsia="Times New Roman" w:hAnsi="Times New Roman"/>
                <w:sz w:val="24"/>
                <w:szCs w:val="24"/>
                <w:lang w:val="en-GB"/>
              </w:rPr>
              <w:t>PreventNCD</w:t>
            </w:r>
            <w:proofErr w:type="spellEnd"/>
            <w:r w:rsidR="3E13523B" w:rsidRPr="00923024">
              <w:rPr>
                <w:rFonts w:ascii="Times New Roman" w:eastAsia="Times New Roman" w:hAnsi="Times New Roman"/>
                <w:sz w:val="24"/>
                <w:szCs w:val="24"/>
                <w:lang w:val="en-GB"/>
              </w:rPr>
              <w:t xml:space="preserve">. </w:t>
            </w:r>
            <w:r w:rsidR="00AE1181" w:rsidRPr="00923024">
              <w:rPr>
                <w:rFonts w:ascii="Times New Roman" w:eastAsia="Times New Roman" w:hAnsi="Times New Roman"/>
                <w:sz w:val="24"/>
                <w:szCs w:val="24"/>
                <w:lang w:val="en-GB"/>
              </w:rPr>
              <w:t xml:space="preserve">The </w:t>
            </w:r>
            <w:r w:rsidR="3E13523B" w:rsidRPr="00923024">
              <w:rPr>
                <w:rFonts w:ascii="Times New Roman" w:eastAsia="Times New Roman" w:hAnsi="Times New Roman"/>
                <w:sz w:val="24"/>
                <w:szCs w:val="24"/>
                <w:lang w:val="en-GB"/>
              </w:rPr>
              <w:t xml:space="preserve">Commission will continue to support Member States in taking a prevention-oriented, </w:t>
            </w:r>
            <w:proofErr w:type="spellStart"/>
            <w:r w:rsidR="3E13523B" w:rsidRPr="00923024">
              <w:rPr>
                <w:rFonts w:ascii="Times New Roman" w:eastAsia="Times New Roman" w:hAnsi="Times New Roman"/>
                <w:sz w:val="24"/>
                <w:szCs w:val="24"/>
                <w:lang w:val="en-GB"/>
              </w:rPr>
              <w:t>lifecourse</w:t>
            </w:r>
            <w:proofErr w:type="spellEnd"/>
            <w:r w:rsidR="3E13523B" w:rsidRPr="00923024">
              <w:rPr>
                <w:rFonts w:ascii="Times New Roman" w:eastAsia="Times New Roman" w:hAnsi="Times New Roman"/>
                <w:sz w:val="24"/>
                <w:szCs w:val="24"/>
                <w:lang w:val="en-GB"/>
              </w:rPr>
              <w:t xml:space="preserve"> approach </w:t>
            </w:r>
            <w:r w:rsidR="004C7FD1" w:rsidRPr="00923024">
              <w:rPr>
                <w:rFonts w:ascii="Times New Roman" w:eastAsia="Times New Roman" w:hAnsi="Times New Roman"/>
                <w:sz w:val="24"/>
                <w:szCs w:val="24"/>
                <w:lang w:val="en-GB"/>
              </w:rPr>
              <w:t>to non</w:t>
            </w:r>
            <w:r w:rsidR="3E13523B" w:rsidRPr="00923024">
              <w:rPr>
                <w:rFonts w:ascii="Times New Roman" w:eastAsia="Times New Roman" w:hAnsi="Times New Roman"/>
                <w:sz w:val="24"/>
                <w:szCs w:val="24"/>
                <w:lang w:val="en-GB"/>
              </w:rPr>
              <w:t xml:space="preserve">-communicable diseases. </w:t>
            </w:r>
            <w:r w:rsidR="00AE1181" w:rsidRPr="00923024">
              <w:rPr>
                <w:rFonts w:ascii="Times New Roman" w:eastAsia="Times New Roman" w:hAnsi="Times New Roman"/>
                <w:sz w:val="24"/>
                <w:szCs w:val="24"/>
                <w:lang w:val="en-GB"/>
              </w:rPr>
              <w:t xml:space="preserve">Building upon the success of the Europe's Beating Cancer Plan, the Commission will propose an ambitious Plan for European Cardiovascular Health. </w:t>
            </w:r>
            <w:r w:rsidR="3E13523B" w:rsidRPr="00923024">
              <w:rPr>
                <w:rFonts w:ascii="Times New Roman" w:hAnsi="Times New Roman"/>
                <w:sz w:val="24"/>
                <w:szCs w:val="24"/>
                <w:lang w:val="en-GB"/>
              </w:rPr>
              <w:t xml:space="preserve">The Commission exchanges views with the Expert Group on Public Health on how to effectively support the Member States in developing and implementing </w:t>
            </w:r>
            <w:r w:rsidR="00A228CA" w:rsidRPr="00923024">
              <w:rPr>
                <w:rFonts w:ascii="Times New Roman" w:hAnsi="Times New Roman"/>
                <w:sz w:val="24"/>
                <w:szCs w:val="24"/>
                <w:lang w:val="en-GB"/>
              </w:rPr>
              <w:t>evidence-based</w:t>
            </w:r>
            <w:r w:rsidR="3E13523B" w:rsidRPr="00923024">
              <w:rPr>
                <w:rFonts w:ascii="Times New Roman" w:hAnsi="Times New Roman"/>
                <w:sz w:val="24"/>
                <w:szCs w:val="24"/>
                <w:lang w:val="en-GB"/>
              </w:rPr>
              <w:t xml:space="preserve"> interventions and innovative approaches to improve public health.</w:t>
            </w:r>
            <w:r w:rsidR="001170F5" w:rsidRPr="00923024">
              <w:rPr>
                <w:rFonts w:ascii="Times New Roman" w:hAnsi="Times New Roman"/>
                <w:sz w:val="24"/>
                <w:szCs w:val="24"/>
                <w:lang w:val="en-GB"/>
              </w:rPr>
              <w:t xml:space="preserve"> </w:t>
            </w:r>
            <w:r w:rsidR="001170F5" w:rsidRPr="00923024">
              <w:rPr>
                <w:rFonts w:ascii="Times New Roman" w:eastAsia="Times New Roman" w:hAnsi="Times New Roman"/>
                <w:sz w:val="24"/>
                <w:szCs w:val="24"/>
              </w:rPr>
              <w:t>In the 2019 Scoping review ‘What is the evidence on the role of the arts in improving health and well-being?’, the WHO also emphasised the growing body of research on the effect of the arts on prevention of ill health, promotion of good health, management and treatment of disease. The Commission Communication ‘Towards a comprehensive approach to mental health’ recognises the beneficial effect of cultural participation in general, as well as targeted interventions, on mental health; the current EU Workplan for culture 2023-2026</w:t>
            </w:r>
            <w:r w:rsidR="001170F5" w:rsidRPr="00923024">
              <w:rPr>
                <w:rStyle w:val="FootnoteReference"/>
                <w:rFonts w:ascii="Times New Roman" w:eastAsia="Times New Roman" w:hAnsi="Times New Roman"/>
                <w:szCs w:val="24"/>
              </w:rPr>
              <w:footnoteReference w:id="22"/>
            </w:r>
            <w:r w:rsidR="001170F5" w:rsidRPr="00923024">
              <w:rPr>
                <w:rFonts w:ascii="Times New Roman" w:eastAsia="Times New Roman" w:hAnsi="Times New Roman"/>
                <w:sz w:val="24"/>
                <w:szCs w:val="24"/>
              </w:rPr>
              <w:t xml:space="preserve"> includes an Open Method of Coordination expert group of the Member States on culture and health, including  participants from both ministries, who are working on a report to be published in the second part of this year.      </w:t>
            </w:r>
          </w:p>
        </w:tc>
      </w:tr>
    </w:tbl>
    <w:p w14:paraId="6AF07B14" w14:textId="26AEAB66" w:rsidR="004F6117" w:rsidRPr="00923024" w:rsidRDefault="004F6117" w:rsidP="00923024">
      <w:pPr>
        <w:spacing w:before="120" w:after="120"/>
        <w:jc w:val="both"/>
        <w:rPr>
          <w:rFonts w:ascii="Times New Roman" w:hAnsi="Times New Roman"/>
          <w:b/>
          <w:strike/>
          <w:sz w:val="24"/>
          <w:szCs w:val="24"/>
          <w:u w:val="single"/>
        </w:rPr>
      </w:pPr>
    </w:p>
    <w:sectPr w:rsidR="004F6117" w:rsidRPr="009230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FAFCC" w14:textId="77777777" w:rsidR="00C8547F" w:rsidRDefault="00C8547F" w:rsidP="00FF63EA">
      <w:pPr>
        <w:spacing w:after="0" w:line="240" w:lineRule="auto"/>
      </w:pPr>
      <w:r>
        <w:separator/>
      </w:r>
    </w:p>
  </w:endnote>
  <w:endnote w:type="continuationSeparator" w:id="0">
    <w:p w14:paraId="2044BBE4" w14:textId="77777777" w:rsidR="00C8547F" w:rsidRDefault="00C8547F" w:rsidP="00FF63EA">
      <w:pPr>
        <w:spacing w:after="0" w:line="240" w:lineRule="auto"/>
      </w:pPr>
      <w:r>
        <w:continuationSeparator/>
      </w:r>
    </w:p>
  </w:endnote>
  <w:endnote w:type="continuationNotice" w:id="1">
    <w:p w14:paraId="0B777FB9" w14:textId="77777777" w:rsidR="00C8547F" w:rsidRDefault="00C85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6860" w14:textId="77777777" w:rsidR="00C8547F" w:rsidRDefault="00C8547F" w:rsidP="00FF63EA">
      <w:pPr>
        <w:spacing w:after="0" w:line="240" w:lineRule="auto"/>
      </w:pPr>
      <w:r>
        <w:separator/>
      </w:r>
    </w:p>
  </w:footnote>
  <w:footnote w:type="continuationSeparator" w:id="0">
    <w:p w14:paraId="664C4A94" w14:textId="77777777" w:rsidR="00C8547F" w:rsidRDefault="00C8547F" w:rsidP="00FF63EA">
      <w:pPr>
        <w:spacing w:after="0" w:line="240" w:lineRule="auto"/>
      </w:pPr>
      <w:r>
        <w:continuationSeparator/>
      </w:r>
    </w:p>
  </w:footnote>
  <w:footnote w:type="continuationNotice" w:id="1">
    <w:p w14:paraId="051C293A" w14:textId="77777777" w:rsidR="00C8547F" w:rsidRDefault="00C8547F">
      <w:pPr>
        <w:spacing w:after="0" w:line="240" w:lineRule="auto"/>
      </w:pPr>
    </w:p>
  </w:footnote>
  <w:footnote w:id="2">
    <w:p w14:paraId="2E5444CF" w14:textId="0EEE9BB6" w:rsidR="003C1478" w:rsidRPr="003D57E3" w:rsidRDefault="003C1478" w:rsidP="003D57E3">
      <w:pPr>
        <w:pStyle w:val="FootnoteText"/>
        <w:spacing w:after="0"/>
        <w:jc w:val="both"/>
        <w:rPr>
          <w:rFonts w:ascii="Times New Roman" w:hAnsi="Times New Roman"/>
        </w:rPr>
      </w:pPr>
      <w:r w:rsidRPr="003D57E3">
        <w:rPr>
          <w:rStyle w:val="FootnoteReference"/>
          <w:rFonts w:ascii="Times New Roman" w:hAnsi="Times New Roman"/>
          <w:sz w:val="20"/>
        </w:rPr>
        <w:footnoteRef/>
      </w:r>
      <w:r w:rsidRPr="003D57E3">
        <w:rPr>
          <w:rFonts w:ascii="Times New Roman" w:hAnsi="Times New Roman"/>
        </w:rPr>
        <w:t xml:space="preserve"> </w:t>
      </w:r>
      <w:r w:rsidR="00255842">
        <w:rPr>
          <w:rFonts w:ascii="Times New Roman" w:hAnsi="Times New Roman"/>
        </w:rPr>
        <w:tab/>
      </w:r>
      <w:r w:rsidRPr="003D57E3">
        <w:rPr>
          <w:rFonts w:ascii="Times New Roman" w:hAnsi="Times New Roman"/>
        </w:rPr>
        <w:t xml:space="preserve">The European Pillar of Social Rights Action Plan </w:t>
      </w:r>
      <w:hyperlink r:id="rId1" w:history="1">
        <w:proofErr w:type="gramStart"/>
        <w:r w:rsidRPr="003D57E3">
          <w:rPr>
            <w:rStyle w:val="Hyperlink"/>
            <w:rFonts w:ascii="Times New Roman" w:hAnsi="Times New Roman"/>
          </w:rPr>
          <w:t>COM(</w:t>
        </w:r>
        <w:proofErr w:type="gramEnd"/>
        <w:r w:rsidRPr="003D57E3">
          <w:rPr>
            <w:rStyle w:val="Hyperlink"/>
            <w:rFonts w:ascii="Times New Roman" w:hAnsi="Times New Roman"/>
          </w:rPr>
          <w:t>2021). 102 final</w:t>
        </w:r>
      </w:hyperlink>
      <w:r w:rsidR="00C729CF" w:rsidRPr="003D57E3">
        <w:rPr>
          <w:rFonts w:ascii="Times New Roman" w:hAnsi="Times New Roman"/>
        </w:rPr>
        <w:t xml:space="preserve">. </w:t>
      </w:r>
    </w:p>
  </w:footnote>
  <w:footnote w:id="3">
    <w:p w14:paraId="6DA913B7" w14:textId="32ECFEE6" w:rsidR="00A7061A" w:rsidRPr="003D57E3" w:rsidRDefault="00A7061A" w:rsidP="003D57E3">
      <w:pPr>
        <w:pStyle w:val="FootnoteText"/>
        <w:spacing w:after="0"/>
        <w:jc w:val="both"/>
        <w:rPr>
          <w:rFonts w:ascii="Times New Roman" w:hAnsi="Times New Roman"/>
        </w:rPr>
      </w:pPr>
      <w:r w:rsidRPr="003D57E3">
        <w:rPr>
          <w:rStyle w:val="FootnoteReference"/>
          <w:rFonts w:ascii="Times New Roman" w:hAnsi="Times New Roman"/>
          <w:sz w:val="20"/>
        </w:rPr>
        <w:footnoteRef/>
      </w:r>
      <w:r w:rsidRPr="003D57E3">
        <w:rPr>
          <w:rFonts w:ascii="Times New Roman" w:hAnsi="Times New Roman"/>
        </w:rPr>
        <w:t xml:space="preserve"> </w:t>
      </w:r>
      <w:r w:rsidR="00255842">
        <w:rPr>
          <w:rFonts w:ascii="Times New Roman" w:hAnsi="Times New Roman"/>
        </w:rPr>
        <w:tab/>
      </w:r>
      <w:hyperlink r:id="rId2" w:history="1">
        <w:r w:rsidR="00255842" w:rsidRPr="003D57E3">
          <w:rPr>
            <w:rStyle w:val="Hyperlink"/>
            <w:rFonts w:ascii="Times New Roman" w:hAnsi="Times New Roman"/>
          </w:rPr>
          <w:t>https://www.who.int/europe/publications/i/item/WHO-EURO-2023-8969-48741-72485</w:t>
        </w:r>
      </w:hyperlink>
      <w:r w:rsidRPr="003D57E3">
        <w:rPr>
          <w:rFonts w:ascii="Times New Roman" w:hAnsi="Times New Roman"/>
        </w:rPr>
        <w:t xml:space="preserve"> </w:t>
      </w:r>
    </w:p>
  </w:footnote>
  <w:footnote w:id="4">
    <w:p w14:paraId="5E0A152E" w14:textId="656A5D0A" w:rsidR="00E161A3" w:rsidRPr="003D57E3" w:rsidRDefault="00E161A3" w:rsidP="003D57E3">
      <w:pPr>
        <w:pStyle w:val="FootnoteText"/>
        <w:spacing w:after="0"/>
        <w:jc w:val="both"/>
        <w:rPr>
          <w:rFonts w:ascii="Times New Roman" w:hAnsi="Times New Roman"/>
        </w:rPr>
      </w:pPr>
      <w:r w:rsidRPr="003D57E3">
        <w:rPr>
          <w:rStyle w:val="FootnoteReference"/>
          <w:rFonts w:ascii="Times New Roman" w:hAnsi="Times New Roman"/>
          <w:sz w:val="20"/>
        </w:rPr>
        <w:footnoteRef/>
      </w:r>
      <w:r w:rsidRPr="003D57E3">
        <w:rPr>
          <w:rFonts w:ascii="Times New Roman" w:hAnsi="Times New Roman"/>
        </w:rPr>
        <w:t xml:space="preserve"> </w:t>
      </w:r>
      <w:r w:rsidR="00255842">
        <w:rPr>
          <w:rFonts w:ascii="Times New Roman" w:hAnsi="Times New Roman"/>
        </w:rPr>
        <w:tab/>
      </w:r>
      <w:hyperlink r:id="rId3" w:history="1">
        <w:r w:rsidR="00255842" w:rsidRPr="003D57E3">
          <w:rPr>
            <w:rStyle w:val="Hyperlink"/>
            <w:rFonts w:ascii="Times New Roman" w:hAnsi="Times New Roman"/>
          </w:rPr>
          <w:t>https://pmc.ncbi.nlm.nih.gov/articles/PMC10173226/pdf/13690_2023_Article_1086.pdf</w:t>
        </w:r>
      </w:hyperlink>
    </w:p>
  </w:footnote>
  <w:footnote w:id="5">
    <w:p w14:paraId="6EF4A839" w14:textId="3C802D90" w:rsidR="00A7061A" w:rsidRPr="00A7061A" w:rsidRDefault="00A7061A" w:rsidP="003D57E3">
      <w:pPr>
        <w:pStyle w:val="FootnoteText"/>
        <w:spacing w:after="0"/>
        <w:jc w:val="both"/>
      </w:pPr>
      <w:r w:rsidRPr="003D57E3">
        <w:rPr>
          <w:rStyle w:val="FootnoteReference"/>
          <w:rFonts w:ascii="Times New Roman" w:hAnsi="Times New Roman"/>
          <w:sz w:val="20"/>
        </w:rPr>
        <w:footnoteRef/>
      </w:r>
      <w:r w:rsidRPr="003D57E3">
        <w:rPr>
          <w:rFonts w:ascii="Times New Roman" w:hAnsi="Times New Roman"/>
        </w:rPr>
        <w:t xml:space="preserve"> </w:t>
      </w:r>
      <w:r w:rsidR="00255842">
        <w:rPr>
          <w:rFonts w:ascii="Times New Roman" w:hAnsi="Times New Roman"/>
        </w:rPr>
        <w:tab/>
      </w:r>
      <w:r w:rsidRPr="003D57E3">
        <w:rPr>
          <w:rFonts w:ascii="Times New Roman" w:hAnsi="Times New Roman"/>
        </w:rPr>
        <w:t xml:space="preserve">Council Recommendation on early childhood education and care </w:t>
      </w:r>
      <w:r w:rsidR="0054158A" w:rsidRPr="003D57E3">
        <w:rPr>
          <w:rFonts w:ascii="Times New Roman" w:hAnsi="Times New Roman"/>
        </w:rPr>
        <w:t>(OJ C 189, 5.6.2019, p. 4)</w:t>
      </w:r>
      <w:r w:rsidR="00CF3E5C" w:rsidRPr="003D57E3">
        <w:rPr>
          <w:rFonts w:ascii="Times New Roman" w:hAnsi="Times New Roman"/>
        </w:rPr>
        <w:t xml:space="preserve">; </w:t>
      </w:r>
      <w:r w:rsidRPr="003D57E3">
        <w:rPr>
          <w:rFonts w:ascii="Times New Roman" w:hAnsi="Times New Roman"/>
        </w:rPr>
        <w:t xml:space="preserve">Council Recommendation on affordable high-quality long-term care </w:t>
      </w:r>
      <w:r w:rsidR="0054158A" w:rsidRPr="003D57E3">
        <w:rPr>
          <w:rFonts w:ascii="Times New Roman" w:hAnsi="Times New Roman"/>
        </w:rPr>
        <w:t>(OJ C 476, 15/12/2022, p. 1).</w:t>
      </w:r>
    </w:p>
  </w:footnote>
  <w:footnote w:id="6">
    <w:p w14:paraId="4B45F3EB" w14:textId="7C415117" w:rsidR="0054158A" w:rsidRPr="003D57E3" w:rsidRDefault="0054158A" w:rsidP="003D57E3">
      <w:pPr>
        <w:spacing w:after="0" w:line="240" w:lineRule="auto"/>
        <w:jc w:val="both"/>
        <w:rPr>
          <w:rFonts w:ascii="Times New Roman" w:hAnsi="Times New Roman"/>
          <w:sz w:val="20"/>
          <w:szCs w:val="20"/>
        </w:rPr>
      </w:pPr>
      <w:r w:rsidRPr="003D57E3">
        <w:rPr>
          <w:rStyle w:val="FootnoteReference"/>
          <w:rFonts w:ascii="Times New Roman" w:hAnsi="Times New Roman"/>
        </w:rPr>
        <w:footnoteRef/>
      </w:r>
      <w:r w:rsidRPr="003D57E3">
        <w:rPr>
          <w:rFonts w:ascii="Times New Roman" w:hAnsi="Times New Roman"/>
        </w:rPr>
        <w:t xml:space="preserve"> </w:t>
      </w:r>
      <w:r w:rsidR="00C80BBA">
        <w:rPr>
          <w:rFonts w:ascii="Times New Roman" w:hAnsi="Times New Roman"/>
        </w:rPr>
        <w:tab/>
      </w:r>
      <w:r w:rsidRPr="003D57E3">
        <w:rPr>
          <w:rFonts w:ascii="Times New Roman" w:hAnsi="Times New Roman"/>
          <w:sz w:val="20"/>
          <w:szCs w:val="20"/>
        </w:rPr>
        <w:t>OJ C 220, 22.6.2023, pp. 1–20.</w:t>
      </w:r>
    </w:p>
  </w:footnote>
  <w:footnote w:id="7">
    <w:p w14:paraId="71237723" w14:textId="7A1F0464" w:rsidR="0054158A" w:rsidRPr="0054158A" w:rsidRDefault="0054158A" w:rsidP="003D57E3">
      <w:pPr>
        <w:pStyle w:val="FootnoteText"/>
        <w:spacing w:after="0" w:line="240" w:lineRule="auto"/>
        <w:jc w:val="both"/>
      </w:pPr>
      <w:r w:rsidRPr="003D57E3">
        <w:rPr>
          <w:rStyle w:val="FootnoteReference"/>
          <w:rFonts w:ascii="Times New Roman" w:hAnsi="Times New Roman"/>
        </w:rPr>
        <w:footnoteRef/>
      </w:r>
      <w:r w:rsidRPr="003D57E3">
        <w:rPr>
          <w:rFonts w:ascii="Times New Roman" w:hAnsi="Times New Roman"/>
        </w:rPr>
        <w:t xml:space="preserve"> </w:t>
      </w:r>
      <w:r w:rsidR="00C80BBA">
        <w:rPr>
          <w:rFonts w:ascii="Times New Roman" w:hAnsi="Times New Roman"/>
        </w:rPr>
        <w:tab/>
      </w:r>
      <w:r w:rsidRPr="003D57E3">
        <w:rPr>
          <w:rFonts w:ascii="Times New Roman" w:hAnsi="Times New Roman"/>
        </w:rPr>
        <w:t xml:space="preserve">Proposal for a Regulation on the European Health Data Space </w:t>
      </w:r>
      <w:proofErr w:type="gramStart"/>
      <w:r w:rsidRPr="003D57E3">
        <w:rPr>
          <w:rFonts w:ascii="Times New Roman" w:hAnsi="Times New Roman"/>
        </w:rPr>
        <w:t>COM(</w:t>
      </w:r>
      <w:proofErr w:type="gramEnd"/>
      <w:r w:rsidRPr="003D57E3">
        <w:rPr>
          <w:rFonts w:ascii="Times New Roman" w:hAnsi="Times New Roman"/>
        </w:rPr>
        <w:t>2022) 197 final. The co-legislators reached a political agreement</w:t>
      </w:r>
      <w:r w:rsidR="004C7FD1" w:rsidRPr="003D57E3">
        <w:rPr>
          <w:rFonts w:ascii="Times New Roman" w:hAnsi="Times New Roman"/>
        </w:rPr>
        <w:t xml:space="preserve"> in 2024.</w:t>
      </w:r>
    </w:p>
  </w:footnote>
  <w:footnote w:id="8">
    <w:p w14:paraId="1749B443" w14:textId="2290800A" w:rsidR="000800E1" w:rsidRPr="003D57E3" w:rsidRDefault="000800E1" w:rsidP="003D57E3">
      <w:pPr>
        <w:pStyle w:val="FootnoteText"/>
        <w:spacing w:after="0" w:line="240" w:lineRule="auto"/>
        <w:jc w:val="both"/>
        <w:rPr>
          <w:rFonts w:ascii="Times New Roman" w:hAnsi="Times New Roman"/>
        </w:rPr>
      </w:pPr>
      <w:r w:rsidRPr="003D57E3">
        <w:rPr>
          <w:rStyle w:val="FootnoteReference"/>
          <w:rFonts w:ascii="Times New Roman" w:hAnsi="Times New Roman"/>
          <w:sz w:val="20"/>
        </w:rPr>
        <w:footnoteRef/>
      </w:r>
      <w:r w:rsidRPr="003D57E3">
        <w:rPr>
          <w:rFonts w:ascii="Times New Roman" w:hAnsi="Times New Roman"/>
        </w:rPr>
        <w:t xml:space="preserve"> https://bewell-project.eu/</w:t>
      </w:r>
    </w:p>
  </w:footnote>
  <w:footnote w:id="9">
    <w:p w14:paraId="5797E118" w14:textId="36642077" w:rsidR="001170F5" w:rsidRPr="00AC7EF7" w:rsidRDefault="001170F5" w:rsidP="003D57E3">
      <w:pPr>
        <w:pStyle w:val="FootnoteText"/>
        <w:spacing w:after="0" w:line="240" w:lineRule="auto"/>
        <w:jc w:val="both"/>
        <w:rPr>
          <w:rFonts w:ascii="Times New Roman" w:hAnsi="Times New Roman"/>
        </w:rPr>
      </w:pPr>
      <w:r w:rsidRPr="00AC7EF7">
        <w:rPr>
          <w:rStyle w:val="FootnoteReference"/>
          <w:rFonts w:ascii="Times New Roman" w:hAnsi="Times New Roman"/>
          <w:sz w:val="20"/>
        </w:rPr>
        <w:footnoteRef/>
      </w:r>
      <w:r w:rsidRPr="00AC7EF7">
        <w:rPr>
          <w:rFonts w:ascii="Times New Roman" w:hAnsi="Times New Roman"/>
        </w:rPr>
        <w:t xml:space="preserve"> </w:t>
      </w:r>
      <w:r w:rsidR="00AC7EF7">
        <w:rPr>
          <w:rFonts w:ascii="Times New Roman" w:hAnsi="Times New Roman"/>
        </w:rPr>
        <w:tab/>
      </w:r>
      <w:hyperlink r:id="rId4" w:history="1">
        <w:r w:rsidR="00AC7EF7" w:rsidRPr="00AC7EF7">
          <w:rPr>
            <w:rStyle w:val="Hyperlink"/>
            <w:rFonts w:ascii="Times New Roman" w:hAnsi="Times New Roman"/>
          </w:rPr>
          <w:t>https://erasmus-plus.ec.europa.eu/</w:t>
        </w:r>
      </w:hyperlink>
    </w:p>
  </w:footnote>
  <w:footnote w:id="10">
    <w:p w14:paraId="78A3389F" w14:textId="5170FB97" w:rsidR="001170F5" w:rsidRPr="00AC7EF7" w:rsidRDefault="001170F5" w:rsidP="003D57E3">
      <w:pPr>
        <w:pStyle w:val="FootnoteText"/>
        <w:spacing w:after="0" w:line="240" w:lineRule="auto"/>
        <w:jc w:val="both"/>
        <w:rPr>
          <w:rFonts w:ascii="Times New Roman" w:hAnsi="Times New Roman"/>
        </w:rPr>
      </w:pPr>
      <w:r w:rsidRPr="00AC7EF7">
        <w:rPr>
          <w:rStyle w:val="FootnoteReference"/>
          <w:rFonts w:ascii="Times New Roman" w:hAnsi="Times New Roman"/>
          <w:sz w:val="20"/>
        </w:rPr>
        <w:footnoteRef/>
      </w:r>
      <w:r w:rsidRPr="00AC7EF7">
        <w:rPr>
          <w:rFonts w:ascii="Times New Roman" w:hAnsi="Times New Roman"/>
        </w:rPr>
        <w:t xml:space="preserve"> </w:t>
      </w:r>
      <w:r w:rsidR="00AC7EF7">
        <w:rPr>
          <w:rFonts w:ascii="Times New Roman" w:hAnsi="Times New Roman"/>
        </w:rPr>
        <w:tab/>
      </w:r>
      <w:hyperlink r:id="rId5" w:history="1">
        <w:r w:rsidR="00AC7EF7" w:rsidRPr="00AC7EF7">
          <w:rPr>
            <w:rStyle w:val="Hyperlink"/>
            <w:rFonts w:ascii="Times New Roman" w:hAnsi="Times New Roman"/>
          </w:rPr>
          <w:t>https://eithealth.eu/</w:t>
        </w:r>
      </w:hyperlink>
    </w:p>
  </w:footnote>
  <w:footnote w:id="11">
    <w:p w14:paraId="28C02E70" w14:textId="7CE34EB2" w:rsidR="001170F5" w:rsidRPr="00AC7EF7" w:rsidRDefault="001170F5" w:rsidP="003D57E3">
      <w:pPr>
        <w:pStyle w:val="FootnoteText"/>
        <w:spacing w:after="0" w:line="240" w:lineRule="auto"/>
        <w:jc w:val="both"/>
        <w:rPr>
          <w:rFonts w:ascii="Times New Roman" w:hAnsi="Times New Roman"/>
        </w:rPr>
      </w:pPr>
      <w:r w:rsidRPr="00AC7EF7">
        <w:rPr>
          <w:rStyle w:val="FootnoteReference"/>
          <w:rFonts w:ascii="Times New Roman" w:hAnsi="Times New Roman"/>
          <w:sz w:val="20"/>
        </w:rPr>
        <w:footnoteRef/>
      </w:r>
      <w:r w:rsidRPr="00AC7EF7">
        <w:rPr>
          <w:rFonts w:ascii="Times New Roman" w:hAnsi="Times New Roman"/>
        </w:rPr>
        <w:t xml:space="preserve"> </w:t>
      </w:r>
      <w:r w:rsidR="00AC7EF7">
        <w:rPr>
          <w:rFonts w:ascii="Times New Roman" w:hAnsi="Times New Roman"/>
        </w:rPr>
        <w:tab/>
      </w:r>
      <w:hyperlink r:id="rId6" w:history="1">
        <w:r w:rsidR="00AC7EF7" w:rsidRPr="00AC7EF7">
          <w:rPr>
            <w:rStyle w:val="Hyperlink"/>
            <w:rFonts w:ascii="Times New Roman" w:hAnsi="Times New Roman"/>
          </w:rPr>
          <w:t>https://eit.europa.eu/</w:t>
        </w:r>
      </w:hyperlink>
      <w:r w:rsidRPr="00AC7EF7">
        <w:rPr>
          <w:rFonts w:ascii="Times New Roman" w:hAnsi="Times New Roman"/>
        </w:rPr>
        <w:t xml:space="preserve"> </w:t>
      </w:r>
    </w:p>
  </w:footnote>
  <w:footnote w:id="12">
    <w:p w14:paraId="6FC25022" w14:textId="33598534" w:rsidR="001170F5" w:rsidRPr="00AC7EF7" w:rsidRDefault="001170F5" w:rsidP="003D57E3">
      <w:pPr>
        <w:pStyle w:val="FootnoteText"/>
        <w:spacing w:after="0" w:line="240" w:lineRule="auto"/>
        <w:jc w:val="both"/>
        <w:rPr>
          <w:rFonts w:ascii="Times New Roman" w:hAnsi="Times New Roman"/>
        </w:rPr>
      </w:pPr>
      <w:r w:rsidRPr="00AC7EF7">
        <w:rPr>
          <w:rStyle w:val="FootnoteReference"/>
          <w:rFonts w:ascii="Times New Roman" w:hAnsi="Times New Roman"/>
          <w:sz w:val="20"/>
        </w:rPr>
        <w:footnoteRef/>
      </w:r>
      <w:r w:rsidRPr="00AC7EF7">
        <w:rPr>
          <w:rFonts w:ascii="Times New Roman" w:hAnsi="Times New Roman"/>
        </w:rPr>
        <w:t xml:space="preserve"> </w:t>
      </w:r>
      <w:r w:rsidR="00AC7EF7">
        <w:rPr>
          <w:rFonts w:ascii="Times New Roman" w:hAnsi="Times New Roman"/>
        </w:rPr>
        <w:tab/>
      </w:r>
      <w:hyperlink r:id="rId7" w:history="1">
        <w:r w:rsidR="00AC7EF7" w:rsidRPr="00AC7EF7">
          <w:rPr>
            <w:rStyle w:val="Hyperlink"/>
            <w:rFonts w:ascii="Times New Roman" w:hAnsi="Times New Roman"/>
          </w:rPr>
          <w:t>https://eithealth.eu/what-we-do/workinhealth-foundation/</w:t>
        </w:r>
      </w:hyperlink>
    </w:p>
  </w:footnote>
  <w:footnote w:id="13">
    <w:p w14:paraId="0C891334" w14:textId="46A1BA8E" w:rsidR="001170F5" w:rsidRPr="00AC7EF7" w:rsidRDefault="001170F5" w:rsidP="003D57E3">
      <w:pPr>
        <w:pStyle w:val="FootnoteText"/>
        <w:spacing w:after="0" w:line="240" w:lineRule="auto"/>
        <w:jc w:val="both"/>
        <w:rPr>
          <w:rFonts w:ascii="Times New Roman" w:hAnsi="Times New Roman"/>
        </w:rPr>
      </w:pPr>
      <w:r w:rsidRPr="00AC7EF7">
        <w:rPr>
          <w:rStyle w:val="FootnoteReference"/>
          <w:rFonts w:ascii="Times New Roman" w:hAnsi="Times New Roman"/>
          <w:sz w:val="20"/>
        </w:rPr>
        <w:footnoteRef/>
      </w:r>
      <w:r w:rsidRPr="00AC7EF7">
        <w:rPr>
          <w:rFonts w:ascii="Times New Roman" w:hAnsi="Times New Roman"/>
        </w:rPr>
        <w:t xml:space="preserve"> </w:t>
      </w:r>
      <w:r w:rsidR="00AC7EF7">
        <w:rPr>
          <w:rFonts w:ascii="Times New Roman" w:hAnsi="Times New Roman"/>
        </w:rPr>
        <w:tab/>
      </w:r>
      <w:hyperlink r:id="rId8" w:history="1">
        <w:r w:rsidR="00AC7EF7" w:rsidRPr="00AC7EF7">
          <w:rPr>
            <w:rStyle w:val="Hyperlink"/>
            <w:rFonts w:ascii="Times New Roman" w:hAnsi="Times New Roman"/>
          </w:rPr>
          <w:t>https://ai.eitcommunity.eu/services/skill-sync</w:t>
        </w:r>
      </w:hyperlink>
    </w:p>
  </w:footnote>
  <w:footnote w:id="14">
    <w:p w14:paraId="08EAA3E1" w14:textId="3CBCD922" w:rsidR="004C7FD1" w:rsidRPr="00F97A82" w:rsidRDefault="004C7FD1" w:rsidP="003D57E3">
      <w:pPr>
        <w:pStyle w:val="FootnoteText"/>
        <w:spacing w:line="240" w:lineRule="auto"/>
        <w:jc w:val="both"/>
        <w:rPr>
          <w:lang w:val="nl-NL"/>
        </w:rPr>
      </w:pPr>
      <w:r w:rsidRPr="003D57E3">
        <w:rPr>
          <w:rStyle w:val="FootnoteReference"/>
          <w:rFonts w:ascii="Times New Roman" w:hAnsi="Times New Roman"/>
          <w:sz w:val="20"/>
        </w:rPr>
        <w:footnoteRef/>
      </w:r>
      <w:r w:rsidRPr="003D57E3">
        <w:rPr>
          <w:rFonts w:ascii="Times New Roman" w:hAnsi="Times New Roman"/>
          <w:lang w:val="nl-NL"/>
        </w:rPr>
        <w:t xml:space="preserve"> </w:t>
      </w:r>
      <w:r w:rsidR="00AC7EF7">
        <w:rPr>
          <w:rFonts w:ascii="Times New Roman" w:hAnsi="Times New Roman"/>
          <w:lang w:val="nl-NL"/>
        </w:rPr>
        <w:tab/>
      </w:r>
      <w:r w:rsidRPr="003D57E3">
        <w:rPr>
          <w:rFonts w:ascii="Times New Roman" w:hAnsi="Times New Roman"/>
          <w:lang w:val="nl-NL"/>
        </w:rPr>
        <w:t xml:space="preserve">OJ L 333, </w:t>
      </w:r>
      <w:proofErr w:type="gramStart"/>
      <w:r w:rsidRPr="003D57E3">
        <w:rPr>
          <w:rFonts w:ascii="Times New Roman" w:hAnsi="Times New Roman"/>
          <w:lang w:val="nl-NL"/>
        </w:rPr>
        <w:t>27.12.2022,pp.</w:t>
      </w:r>
      <w:proofErr w:type="gramEnd"/>
      <w:r w:rsidRPr="003D57E3">
        <w:rPr>
          <w:rFonts w:ascii="Times New Roman" w:hAnsi="Times New Roman"/>
          <w:lang w:val="nl-NL"/>
        </w:rPr>
        <w:t>80-152.</w:t>
      </w:r>
    </w:p>
  </w:footnote>
  <w:footnote w:id="15">
    <w:p w14:paraId="2074B8DF" w14:textId="2D97B4BC" w:rsidR="004A3227" w:rsidRPr="003D57E3" w:rsidRDefault="004A3227" w:rsidP="003D57E3">
      <w:pPr>
        <w:pStyle w:val="FootnoteText"/>
        <w:spacing w:after="0" w:line="240" w:lineRule="auto"/>
        <w:jc w:val="both"/>
        <w:rPr>
          <w:rFonts w:ascii="Times New Roman" w:hAnsi="Times New Roman"/>
          <w:lang w:val="nl-NL"/>
        </w:rPr>
      </w:pPr>
      <w:r w:rsidRPr="003D57E3">
        <w:rPr>
          <w:rStyle w:val="FootnoteReference"/>
          <w:rFonts w:ascii="Times New Roman" w:hAnsi="Times New Roman"/>
          <w:sz w:val="20"/>
        </w:rPr>
        <w:footnoteRef/>
      </w:r>
      <w:r w:rsidRPr="003D57E3">
        <w:rPr>
          <w:rFonts w:ascii="Times New Roman" w:hAnsi="Times New Roman"/>
          <w:lang w:val="nl-NL"/>
        </w:rPr>
        <w:t xml:space="preserve"> </w:t>
      </w:r>
      <w:r w:rsidR="00AC7EF7">
        <w:rPr>
          <w:rFonts w:ascii="Times New Roman" w:hAnsi="Times New Roman"/>
          <w:lang w:val="nl-NL"/>
        </w:rPr>
        <w:tab/>
      </w:r>
      <w:proofErr w:type="gramStart"/>
      <w:r w:rsidRPr="003D57E3">
        <w:rPr>
          <w:rFonts w:ascii="Times New Roman" w:hAnsi="Times New Roman"/>
          <w:lang w:val="nl-NL"/>
        </w:rPr>
        <w:t>https://ahead.health/</w:t>
      </w:r>
      <w:proofErr w:type="gramEnd"/>
      <w:r w:rsidRPr="003D57E3">
        <w:rPr>
          <w:rFonts w:ascii="Times New Roman" w:hAnsi="Times New Roman"/>
          <w:lang w:val="nl-NL"/>
        </w:rPr>
        <w:t xml:space="preserve"> </w:t>
      </w:r>
    </w:p>
  </w:footnote>
  <w:footnote w:id="16">
    <w:p w14:paraId="38E506AC" w14:textId="59E0C73F" w:rsidR="004A3227" w:rsidRPr="003D57E3" w:rsidRDefault="004A3227" w:rsidP="003D57E3">
      <w:pPr>
        <w:pStyle w:val="FootnoteText"/>
        <w:spacing w:after="0" w:line="240" w:lineRule="auto"/>
        <w:jc w:val="both"/>
        <w:rPr>
          <w:rFonts w:ascii="Times New Roman" w:hAnsi="Times New Roman"/>
          <w:lang w:val="nl-NL"/>
        </w:rPr>
      </w:pPr>
      <w:r w:rsidRPr="003D57E3">
        <w:rPr>
          <w:rStyle w:val="FootnoteReference"/>
          <w:rFonts w:ascii="Times New Roman" w:hAnsi="Times New Roman"/>
          <w:sz w:val="20"/>
        </w:rPr>
        <w:footnoteRef/>
      </w:r>
      <w:r w:rsidRPr="003D57E3">
        <w:rPr>
          <w:rFonts w:ascii="Times New Roman" w:hAnsi="Times New Roman"/>
          <w:lang w:val="nl-NL"/>
        </w:rPr>
        <w:t xml:space="preserve"> </w:t>
      </w:r>
      <w:r w:rsidR="00AC7EF7">
        <w:rPr>
          <w:rFonts w:ascii="Times New Roman" w:hAnsi="Times New Roman"/>
          <w:lang w:val="nl-NL"/>
        </w:rPr>
        <w:tab/>
      </w:r>
      <w:proofErr w:type="gramStart"/>
      <w:r w:rsidRPr="003D57E3">
        <w:rPr>
          <w:rFonts w:ascii="Times New Roman" w:hAnsi="Times New Roman"/>
          <w:lang w:val="nl-NL"/>
        </w:rPr>
        <w:t>https://route-hwf.eu/</w:t>
      </w:r>
      <w:proofErr w:type="gramEnd"/>
      <w:r w:rsidRPr="003D57E3">
        <w:rPr>
          <w:rFonts w:ascii="Times New Roman" w:hAnsi="Times New Roman"/>
          <w:lang w:val="nl-NL"/>
        </w:rPr>
        <w:t xml:space="preserve"> </w:t>
      </w:r>
    </w:p>
  </w:footnote>
  <w:footnote w:id="17">
    <w:p w14:paraId="453DCF26" w14:textId="10E9F31C" w:rsidR="004A3227" w:rsidRPr="00F97A82" w:rsidRDefault="004A3227" w:rsidP="003D57E3">
      <w:pPr>
        <w:pStyle w:val="FootnoteText"/>
        <w:spacing w:after="0" w:line="240" w:lineRule="auto"/>
        <w:jc w:val="both"/>
        <w:rPr>
          <w:lang w:val="nl-NL"/>
        </w:rPr>
      </w:pPr>
      <w:r w:rsidRPr="003D57E3">
        <w:rPr>
          <w:rStyle w:val="FootnoteReference"/>
          <w:rFonts w:ascii="Times New Roman" w:hAnsi="Times New Roman"/>
          <w:sz w:val="20"/>
        </w:rPr>
        <w:footnoteRef/>
      </w:r>
      <w:r w:rsidRPr="003D57E3">
        <w:rPr>
          <w:rFonts w:ascii="Times New Roman" w:hAnsi="Times New Roman"/>
          <w:lang w:val="nl-NL"/>
        </w:rPr>
        <w:t xml:space="preserve"> </w:t>
      </w:r>
      <w:r w:rsidR="00AC7EF7">
        <w:rPr>
          <w:rFonts w:ascii="Times New Roman" w:hAnsi="Times New Roman"/>
          <w:lang w:val="nl-NL"/>
        </w:rPr>
        <w:tab/>
      </w:r>
      <w:proofErr w:type="gramStart"/>
      <w:r w:rsidRPr="003D57E3">
        <w:rPr>
          <w:rFonts w:ascii="Times New Roman" w:hAnsi="Times New Roman"/>
          <w:lang w:val="nl-NL"/>
        </w:rPr>
        <w:t>https://oasesproject.eu/</w:t>
      </w:r>
      <w:proofErr w:type="gramEnd"/>
    </w:p>
  </w:footnote>
  <w:footnote w:id="18">
    <w:p w14:paraId="63CB2E5D" w14:textId="0513287A" w:rsidR="00A35C17" w:rsidRPr="003D57E3" w:rsidRDefault="00A35C17" w:rsidP="003D57E3">
      <w:pPr>
        <w:pStyle w:val="FootnoteText"/>
        <w:spacing w:after="0" w:line="240" w:lineRule="auto"/>
        <w:jc w:val="both"/>
        <w:rPr>
          <w:rFonts w:ascii="Times New Roman" w:hAnsi="Times New Roman"/>
        </w:rPr>
      </w:pPr>
      <w:r w:rsidRPr="003D57E3">
        <w:rPr>
          <w:rStyle w:val="FootnoteReference"/>
          <w:rFonts w:ascii="Times New Roman" w:hAnsi="Times New Roman"/>
          <w:sz w:val="20"/>
        </w:rPr>
        <w:footnoteRef/>
      </w:r>
      <w:r w:rsidRPr="003D57E3">
        <w:rPr>
          <w:rFonts w:ascii="Times New Roman" w:hAnsi="Times New Roman"/>
        </w:rPr>
        <w:t xml:space="preserve"> </w:t>
      </w:r>
      <w:r w:rsidR="00AC7EF7">
        <w:rPr>
          <w:rFonts w:ascii="Times New Roman" w:hAnsi="Times New Roman"/>
        </w:rPr>
        <w:tab/>
      </w:r>
      <w:hyperlink r:id="rId9" w:anchor=":~:text=Almost%20half%20of%20the%2021.5,state%20of%20the%20HesCare%20sector." w:history="1">
        <w:r w:rsidRPr="003D57E3">
          <w:rPr>
            <w:rStyle w:val="Hyperlink"/>
            <w:rFonts w:ascii="Times New Roman" w:hAnsi="Times New Roman"/>
          </w:rPr>
          <w:t>Health and social care workers suffer widespread occupational safety and health issues | Safety and health at work EU-OSHA</w:t>
        </w:r>
      </w:hyperlink>
    </w:p>
  </w:footnote>
  <w:footnote w:id="19">
    <w:p w14:paraId="5C138F19" w14:textId="038ADD5A" w:rsidR="007A4851" w:rsidRPr="0077452E" w:rsidRDefault="007A4851" w:rsidP="003D57E3">
      <w:pPr>
        <w:pStyle w:val="FootnoteText"/>
        <w:spacing w:after="0" w:line="240" w:lineRule="auto"/>
        <w:jc w:val="both"/>
      </w:pPr>
      <w:r w:rsidRPr="003D57E3">
        <w:rPr>
          <w:rStyle w:val="FootnoteReference"/>
          <w:rFonts w:ascii="Times New Roman" w:hAnsi="Times New Roman"/>
          <w:sz w:val="20"/>
        </w:rPr>
        <w:footnoteRef/>
      </w:r>
      <w:r w:rsidRPr="003D57E3">
        <w:rPr>
          <w:rFonts w:ascii="Times New Roman" w:hAnsi="Times New Roman"/>
        </w:rPr>
        <w:t xml:space="preserve"> </w:t>
      </w:r>
      <w:r w:rsidR="00AC7EF7">
        <w:rPr>
          <w:rFonts w:ascii="Times New Roman" w:hAnsi="Times New Roman"/>
        </w:rPr>
        <w:tab/>
      </w:r>
      <w:hyperlink r:id="rId10" w:history="1">
        <w:r w:rsidR="00AC7EF7" w:rsidRPr="003D57E3">
          <w:rPr>
            <w:rStyle w:val="Hyperlink"/>
            <w:rFonts w:ascii="Times New Roman" w:hAnsi="Times New Roman"/>
          </w:rPr>
          <w:t>https://health.ec.europa.eu/document/download/6e26bad9-5722-4c95-8bc5-4c21d8e370dd_en?filename=policy_com-2024-206_en.pdf</w:t>
        </w:r>
      </w:hyperlink>
      <w:r w:rsidR="00A35C17" w:rsidRPr="0077452E">
        <w:rPr>
          <w:rStyle w:val="Hyperlink"/>
        </w:rPr>
        <w:t xml:space="preserve"> </w:t>
      </w:r>
    </w:p>
  </w:footnote>
  <w:footnote w:id="20">
    <w:p w14:paraId="3974AC27" w14:textId="7A0841E0" w:rsidR="00425309" w:rsidRPr="003D57E3" w:rsidRDefault="00425309" w:rsidP="003D57E3">
      <w:pPr>
        <w:pStyle w:val="FootnoteText"/>
        <w:spacing w:after="0" w:line="240" w:lineRule="auto"/>
        <w:jc w:val="both"/>
        <w:rPr>
          <w:rFonts w:ascii="Times New Roman" w:hAnsi="Times New Roman"/>
        </w:rPr>
      </w:pPr>
      <w:r w:rsidRPr="003D57E3">
        <w:rPr>
          <w:rStyle w:val="FootnoteReference"/>
          <w:rFonts w:ascii="Times New Roman" w:hAnsi="Times New Roman"/>
          <w:sz w:val="20"/>
        </w:rPr>
        <w:footnoteRef/>
      </w:r>
      <w:r w:rsidRPr="003D57E3">
        <w:rPr>
          <w:rFonts w:ascii="Times New Roman" w:hAnsi="Times New Roman"/>
        </w:rPr>
        <w:t xml:space="preserve"> </w:t>
      </w:r>
      <w:r w:rsidR="00811191">
        <w:rPr>
          <w:rFonts w:ascii="Times New Roman" w:hAnsi="Times New Roman"/>
        </w:rPr>
        <w:tab/>
      </w:r>
      <w:r w:rsidRPr="003D57E3">
        <w:rPr>
          <w:rFonts w:ascii="Times New Roman" w:hAnsi="Times New Roman"/>
        </w:rPr>
        <w:t xml:space="preserve">Joint Action on cardiovascular diseases and diabetes, </w:t>
      </w:r>
      <w:hyperlink r:id="rId11" w:history="1">
        <w:r w:rsidRPr="003D57E3">
          <w:rPr>
            <w:rStyle w:val="Hyperlink"/>
            <w:rFonts w:ascii="Times New Roman" w:hAnsi="Times New Roman"/>
          </w:rPr>
          <w:t>https://jacardi.eu/</w:t>
        </w:r>
      </w:hyperlink>
      <w:r w:rsidRPr="003D57E3">
        <w:rPr>
          <w:rFonts w:ascii="Times New Roman" w:hAnsi="Times New Roman"/>
        </w:rPr>
        <w:t xml:space="preserve"> </w:t>
      </w:r>
    </w:p>
  </w:footnote>
  <w:footnote w:id="21">
    <w:p w14:paraId="4BFD2B4F" w14:textId="4C4890A0" w:rsidR="00425309" w:rsidRPr="003D57E3" w:rsidRDefault="00425309" w:rsidP="003D57E3">
      <w:pPr>
        <w:pStyle w:val="FootnoteText"/>
        <w:spacing w:after="0" w:line="240" w:lineRule="auto"/>
        <w:jc w:val="both"/>
        <w:rPr>
          <w:rFonts w:ascii="Times New Roman" w:hAnsi="Times New Roman"/>
          <w:lang w:val="fr-FR"/>
        </w:rPr>
      </w:pPr>
      <w:r w:rsidRPr="003D57E3">
        <w:rPr>
          <w:rStyle w:val="FootnoteReference"/>
          <w:rFonts w:ascii="Times New Roman" w:hAnsi="Times New Roman"/>
          <w:sz w:val="20"/>
        </w:rPr>
        <w:footnoteRef/>
      </w:r>
      <w:r w:rsidRPr="003D57E3">
        <w:rPr>
          <w:rFonts w:ascii="Times New Roman" w:hAnsi="Times New Roman"/>
          <w:lang w:val="fr-FR"/>
        </w:rPr>
        <w:t xml:space="preserve"> </w:t>
      </w:r>
      <w:r w:rsidR="00811191">
        <w:rPr>
          <w:rFonts w:ascii="Times New Roman" w:hAnsi="Times New Roman"/>
          <w:lang w:val="fr-FR"/>
        </w:rPr>
        <w:tab/>
      </w:r>
      <w:r w:rsidRPr="003D57E3">
        <w:rPr>
          <w:rFonts w:ascii="Times New Roman" w:hAnsi="Times New Roman"/>
          <w:lang w:val="fr-FR"/>
        </w:rPr>
        <w:t xml:space="preserve">Joint Action </w:t>
      </w:r>
      <w:proofErr w:type="spellStart"/>
      <w:r w:rsidRPr="003D57E3">
        <w:rPr>
          <w:rFonts w:ascii="Times New Roman" w:hAnsi="Times New Roman"/>
          <w:lang w:val="fr-FR"/>
        </w:rPr>
        <w:t>Prevent</w:t>
      </w:r>
      <w:proofErr w:type="spellEnd"/>
      <w:r w:rsidRPr="003D57E3">
        <w:rPr>
          <w:rFonts w:ascii="Times New Roman" w:hAnsi="Times New Roman"/>
          <w:lang w:val="fr-FR"/>
        </w:rPr>
        <w:t xml:space="preserve"> Non-</w:t>
      </w:r>
      <w:proofErr w:type="spellStart"/>
      <w:r w:rsidRPr="003D57E3">
        <w:rPr>
          <w:rFonts w:ascii="Times New Roman" w:hAnsi="Times New Roman"/>
          <w:lang w:val="fr-FR"/>
        </w:rPr>
        <w:t>Comminicable</w:t>
      </w:r>
      <w:proofErr w:type="spellEnd"/>
      <w:r w:rsidRPr="003D57E3">
        <w:rPr>
          <w:rFonts w:ascii="Times New Roman" w:hAnsi="Times New Roman"/>
          <w:lang w:val="fr-FR"/>
        </w:rPr>
        <w:t xml:space="preserve"> </w:t>
      </w:r>
      <w:proofErr w:type="spellStart"/>
      <w:r w:rsidRPr="003D57E3">
        <w:rPr>
          <w:rFonts w:ascii="Times New Roman" w:hAnsi="Times New Roman"/>
          <w:lang w:val="fr-FR"/>
        </w:rPr>
        <w:t>Diseases</w:t>
      </w:r>
      <w:proofErr w:type="spellEnd"/>
      <w:r w:rsidRPr="003D57E3">
        <w:rPr>
          <w:rFonts w:ascii="Times New Roman" w:hAnsi="Times New Roman"/>
          <w:lang w:val="fr-FR"/>
        </w:rPr>
        <w:t>, https://www.preventncd.eu/</w:t>
      </w:r>
    </w:p>
  </w:footnote>
  <w:footnote w:id="22">
    <w:p w14:paraId="17F0C16C" w14:textId="3FA518BD" w:rsidR="001170F5" w:rsidRPr="003D57E3" w:rsidRDefault="001170F5" w:rsidP="003D57E3">
      <w:pPr>
        <w:pStyle w:val="FootnoteText"/>
        <w:spacing w:after="0" w:line="240" w:lineRule="auto"/>
        <w:jc w:val="both"/>
        <w:rPr>
          <w:lang w:val="fr-FR"/>
        </w:rPr>
      </w:pPr>
      <w:r w:rsidRPr="003D57E3">
        <w:rPr>
          <w:rStyle w:val="FootnoteReference"/>
          <w:rFonts w:ascii="Times New Roman" w:hAnsi="Times New Roman"/>
          <w:sz w:val="20"/>
        </w:rPr>
        <w:footnoteRef/>
      </w:r>
      <w:r w:rsidRPr="003D57E3">
        <w:rPr>
          <w:rFonts w:ascii="Times New Roman" w:hAnsi="Times New Roman"/>
          <w:lang w:val="fr-FR"/>
        </w:rPr>
        <w:t xml:space="preserve"> </w:t>
      </w:r>
      <w:r w:rsidR="00811191">
        <w:rPr>
          <w:rFonts w:ascii="Times New Roman" w:hAnsi="Times New Roman"/>
          <w:lang w:val="fr-FR"/>
        </w:rPr>
        <w:tab/>
      </w:r>
      <w:r w:rsidR="00055D3C">
        <w:fldChar w:fldCharType="begin"/>
      </w:r>
      <w:r w:rsidR="00055D3C" w:rsidRPr="00055D3C">
        <w:rPr>
          <w:lang w:val="fr-FR"/>
        </w:rPr>
        <w:instrText>HYPERLINK "https://eur-lex.europa.eu/legal-content/EN/TXT/?uri=oj:JOC_2022_466_R_0001"</w:instrText>
      </w:r>
      <w:r w:rsidR="00055D3C">
        <w:fldChar w:fldCharType="separate"/>
      </w:r>
      <w:r w:rsidR="00811191" w:rsidRPr="003D57E3">
        <w:rPr>
          <w:rStyle w:val="Hyperlink"/>
          <w:rFonts w:ascii="Times New Roman" w:hAnsi="Times New Roman"/>
          <w:lang w:val="fr-FR"/>
        </w:rPr>
        <w:t>https://eur-lex.europa.eu/legal-content/EN/TXT/?uri=oj:JOC_2022_466_R_0001</w:t>
      </w:r>
      <w:r w:rsidR="00055D3C">
        <w:rPr>
          <w:rStyle w:val="Hyperlink"/>
          <w:rFonts w:ascii="Times New Roman" w:hAnsi="Times New Roman"/>
          <w:lang w:val="fr-FR"/>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F5A899E"/>
    <w:lvl w:ilvl="0">
      <w:start w:val="1"/>
      <w:numFmt w:val="decimal"/>
      <w:pStyle w:val="Heading1"/>
      <w:lvlText w:val="%1."/>
      <w:legacy w:legacy="1" w:legacySpace="0" w:legacyIndent="0"/>
      <w:lvlJc w:val="left"/>
      <w:rPr>
        <w:b w:val="0"/>
        <w:sz w:val="22"/>
        <w:szCs w:val="22"/>
      </w:rPr>
    </w:lvl>
    <w:lvl w:ilvl="1">
      <w:start w:val="1"/>
      <w:numFmt w:val="bullet"/>
      <w:pStyle w:val="Heading2"/>
      <w:lvlText w:val=""/>
      <w:legacy w:legacy="1" w:legacySpace="144" w:legacyIndent="0"/>
      <w:lvlJc w:val="left"/>
      <w:pPr>
        <w:ind w:left="927" w:hanging="360"/>
      </w:pPr>
      <w:rPr>
        <w:rFonts w:ascii="Symbol" w:hAnsi="Symbol" w:hint="default"/>
        <w:i w:val="0"/>
        <w:i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46EC05"/>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EB808C"/>
    <w:multiLevelType w:val="hybridMultilevel"/>
    <w:tmpl w:val="FFFFFFFF"/>
    <w:lvl w:ilvl="0" w:tplc="B5DC5FAE">
      <w:start w:val="1"/>
      <w:numFmt w:val="bullet"/>
      <w:lvlText w:val=""/>
      <w:lvlJc w:val="left"/>
      <w:pPr>
        <w:ind w:left="927" w:hanging="360"/>
      </w:pPr>
      <w:rPr>
        <w:rFonts w:ascii="Symbol" w:hAnsi="Symbol" w:hint="default"/>
      </w:rPr>
    </w:lvl>
    <w:lvl w:ilvl="1" w:tplc="11A0896C">
      <w:start w:val="1"/>
      <w:numFmt w:val="bullet"/>
      <w:lvlText w:val="o"/>
      <w:lvlJc w:val="left"/>
      <w:pPr>
        <w:ind w:left="1440" w:hanging="360"/>
      </w:pPr>
      <w:rPr>
        <w:rFonts w:ascii="Courier New" w:hAnsi="Courier New" w:hint="default"/>
      </w:rPr>
    </w:lvl>
    <w:lvl w:ilvl="2" w:tplc="7DD0100C">
      <w:start w:val="1"/>
      <w:numFmt w:val="bullet"/>
      <w:lvlText w:val=""/>
      <w:lvlJc w:val="left"/>
      <w:pPr>
        <w:ind w:left="2160" w:hanging="360"/>
      </w:pPr>
      <w:rPr>
        <w:rFonts w:ascii="Wingdings" w:hAnsi="Wingdings" w:hint="default"/>
      </w:rPr>
    </w:lvl>
    <w:lvl w:ilvl="3" w:tplc="22662F7A">
      <w:start w:val="1"/>
      <w:numFmt w:val="bullet"/>
      <w:lvlText w:val=""/>
      <w:lvlJc w:val="left"/>
      <w:pPr>
        <w:ind w:left="2880" w:hanging="360"/>
      </w:pPr>
      <w:rPr>
        <w:rFonts w:ascii="Symbol" w:hAnsi="Symbol" w:hint="default"/>
      </w:rPr>
    </w:lvl>
    <w:lvl w:ilvl="4" w:tplc="A76EBAB0">
      <w:start w:val="1"/>
      <w:numFmt w:val="bullet"/>
      <w:lvlText w:val="o"/>
      <w:lvlJc w:val="left"/>
      <w:pPr>
        <w:ind w:left="3600" w:hanging="360"/>
      </w:pPr>
      <w:rPr>
        <w:rFonts w:ascii="Courier New" w:hAnsi="Courier New" w:hint="default"/>
      </w:rPr>
    </w:lvl>
    <w:lvl w:ilvl="5" w:tplc="7E90C726">
      <w:start w:val="1"/>
      <w:numFmt w:val="bullet"/>
      <w:lvlText w:val=""/>
      <w:lvlJc w:val="left"/>
      <w:pPr>
        <w:ind w:left="4320" w:hanging="360"/>
      </w:pPr>
      <w:rPr>
        <w:rFonts w:ascii="Wingdings" w:hAnsi="Wingdings" w:hint="default"/>
      </w:rPr>
    </w:lvl>
    <w:lvl w:ilvl="6" w:tplc="A4B40510">
      <w:start w:val="1"/>
      <w:numFmt w:val="bullet"/>
      <w:lvlText w:val=""/>
      <w:lvlJc w:val="left"/>
      <w:pPr>
        <w:ind w:left="5040" w:hanging="360"/>
      </w:pPr>
      <w:rPr>
        <w:rFonts w:ascii="Symbol" w:hAnsi="Symbol" w:hint="default"/>
      </w:rPr>
    </w:lvl>
    <w:lvl w:ilvl="7" w:tplc="9656F954">
      <w:start w:val="1"/>
      <w:numFmt w:val="bullet"/>
      <w:lvlText w:val="o"/>
      <w:lvlJc w:val="left"/>
      <w:pPr>
        <w:ind w:left="5760" w:hanging="360"/>
      </w:pPr>
      <w:rPr>
        <w:rFonts w:ascii="Courier New" w:hAnsi="Courier New" w:hint="default"/>
      </w:rPr>
    </w:lvl>
    <w:lvl w:ilvl="8" w:tplc="9C40BAFC">
      <w:start w:val="1"/>
      <w:numFmt w:val="bullet"/>
      <w:lvlText w:val=""/>
      <w:lvlJc w:val="left"/>
      <w:pPr>
        <w:ind w:left="6480" w:hanging="360"/>
      </w:pPr>
      <w:rPr>
        <w:rFonts w:ascii="Wingdings" w:hAnsi="Wingdings" w:hint="default"/>
      </w:rPr>
    </w:lvl>
  </w:abstractNum>
  <w:abstractNum w:abstractNumId="3" w15:restartNumberingAfterBreak="0">
    <w:nsid w:val="022E4FEE"/>
    <w:multiLevelType w:val="hybridMultilevel"/>
    <w:tmpl w:val="E1A893DE"/>
    <w:lvl w:ilvl="0" w:tplc="FFFFFFFF">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847C66"/>
    <w:multiLevelType w:val="multilevel"/>
    <w:tmpl w:val="51AED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B3B7A"/>
    <w:multiLevelType w:val="multilevel"/>
    <w:tmpl w:val="04C8EE32"/>
    <w:lvl w:ilvl="0">
      <w:start w:val="1"/>
      <w:numFmt w:val="decimal"/>
      <w:lvlText w:val="%1."/>
      <w:legacy w:legacy="1" w:legacySpace="0" w:legacyIndent="0"/>
      <w:lvlJc w:val="left"/>
      <w:rPr>
        <w:b w:val="0"/>
      </w:rPr>
    </w:lvl>
    <w:lvl w:ilvl="1">
      <w:start w:val="1"/>
      <w:numFmt w:val="decimal"/>
      <w:lvlText w:val="%1.%2"/>
      <w:legacy w:legacy="1" w:legacySpace="144" w:legacyIndent="0"/>
      <w:lvlJc w:val="left"/>
    </w:lvl>
    <w:lvl w:ilvl="2">
      <w:start w:val="1"/>
      <w:numFmt w:val="bullet"/>
      <w:lvlText w:val=""/>
      <w:lvlJc w:val="left"/>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 w15:restartNumberingAfterBreak="0">
    <w:nsid w:val="2AD96340"/>
    <w:multiLevelType w:val="hybridMultilevel"/>
    <w:tmpl w:val="FFFFFFFF"/>
    <w:lvl w:ilvl="0" w:tplc="AE4E7528">
      <w:start w:val="1"/>
      <w:numFmt w:val="bullet"/>
      <w:lvlText w:val=""/>
      <w:lvlJc w:val="left"/>
      <w:pPr>
        <w:ind w:left="720" w:hanging="360"/>
      </w:pPr>
      <w:rPr>
        <w:rFonts w:ascii="Symbol" w:hAnsi="Symbol" w:hint="default"/>
      </w:rPr>
    </w:lvl>
    <w:lvl w:ilvl="1" w:tplc="DD20C34A">
      <w:start w:val="1"/>
      <w:numFmt w:val="bullet"/>
      <w:lvlText w:val="o"/>
      <w:lvlJc w:val="left"/>
      <w:pPr>
        <w:ind w:left="1440" w:hanging="360"/>
      </w:pPr>
      <w:rPr>
        <w:rFonts w:ascii="Courier New" w:hAnsi="Courier New" w:hint="default"/>
      </w:rPr>
    </w:lvl>
    <w:lvl w:ilvl="2" w:tplc="66AE81BC">
      <w:start w:val="1"/>
      <w:numFmt w:val="bullet"/>
      <w:lvlText w:val=""/>
      <w:lvlJc w:val="left"/>
      <w:pPr>
        <w:ind w:left="2160" w:hanging="360"/>
      </w:pPr>
      <w:rPr>
        <w:rFonts w:ascii="Wingdings" w:hAnsi="Wingdings" w:hint="default"/>
      </w:rPr>
    </w:lvl>
    <w:lvl w:ilvl="3" w:tplc="A5ECE6CA">
      <w:start w:val="1"/>
      <w:numFmt w:val="bullet"/>
      <w:lvlText w:val=""/>
      <w:lvlJc w:val="left"/>
      <w:pPr>
        <w:ind w:left="2880" w:hanging="360"/>
      </w:pPr>
      <w:rPr>
        <w:rFonts w:ascii="Symbol" w:hAnsi="Symbol" w:hint="default"/>
      </w:rPr>
    </w:lvl>
    <w:lvl w:ilvl="4" w:tplc="76A2818E">
      <w:start w:val="1"/>
      <w:numFmt w:val="bullet"/>
      <w:lvlText w:val="o"/>
      <w:lvlJc w:val="left"/>
      <w:pPr>
        <w:ind w:left="3600" w:hanging="360"/>
      </w:pPr>
      <w:rPr>
        <w:rFonts w:ascii="Courier New" w:hAnsi="Courier New" w:hint="default"/>
      </w:rPr>
    </w:lvl>
    <w:lvl w:ilvl="5" w:tplc="9CFACA5C">
      <w:start w:val="1"/>
      <w:numFmt w:val="bullet"/>
      <w:lvlText w:val=""/>
      <w:lvlJc w:val="left"/>
      <w:pPr>
        <w:ind w:left="4320" w:hanging="360"/>
      </w:pPr>
      <w:rPr>
        <w:rFonts w:ascii="Wingdings" w:hAnsi="Wingdings" w:hint="default"/>
      </w:rPr>
    </w:lvl>
    <w:lvl w:ilvl="6" w:tplc="B71C553C">
      <w:start w:val="1"/>
      <w:numFmt w:val="bullet"/>
      <w:lvlText w:val=""/>
      <w:lvlJc w:val="left"/>
      <w:pPr>
        <w:ind w:left="5040" w:hanging="360"/>
      </w:pPr>
      <w:rPr>
        <w:rFonts w:ascii="Symbol" w:hAnsi="Symbol" w:hint="default"/>
      </w:rPr>
    </w:lvl>
    <w:lvl w:ilvl="7" w:tplc="466CF268">
      <w:start w:val="1"/>
      <w:numFmt w:val="bullet"/>
      <w:lvlText w:val="o"/>
      <w:lvlJc w:val="left"/>
      <w:pPr>
        <w:ind w:left="5760" w:hanging="360"/>
      </w:pPr>
      <w:rPr>
        <w:rFonts w:ascii="Courier New" w:hAnsi="Courier New" w:hint="default"/>
      </w:rPr>
    </w:lvl>
    <w:lvl w:ilvl="8" w:tplc="2578CE5C">
      <w:start w:val="1"/>
      <w:numFmt w:val="bullet"/>
      <w:lvlText w:val=""/>
      <w:lvlJc w:val="left"/>
      <w:pPr>
        <w:ind w:left="6480" w:hanging="360"/>
      </w:pPr>
      <w:rPr>
        <w:rFonts w:ascii="Wingdings" w:hAnsi="Wingdings" w:hint="default"/>
      </w:rPr>
    </w:lvl>
  </w:abstractNum>
  <w:abstractNum w:abstractNumId="7" w15:restartNumberingAfterBreak="0">
    <w:nsid w:val="3E810E3A"/>
    <w:multiLevelType w:val="hybridMultilevel"/>
    <w:tmpl w:val="41CE0C66"/>
    <w:lvl w:ilvl="0" w:tplc="2C84483E">
      <w:start w:val="7"/>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1810F1B"/>
    <w:multiLevelType w:val="hybridMultilevel"/>
    <w:tmpl w:val="FFFFFFFF"/>
    <w:lvl w:ilvl="0" w:tplc="030066CA">
      <w:start w:val="1"/>
      <w:numFmt w:val="bullet"/>
      <w:lvlText w:val="-"/>
      <w:lvlJc w:val="left"/>
      <w:pPr>
        <w:ind w:left="720" w:hanging="360"/>
      </w:pPr>
      <w:rPr>
        <w:rFonts w:ascii="Aptos" w:hAnsi="Aptos" w:hint="default"/>
      </w:rPr>
    </w:lvl>
    <w:lvl w:ilvl="1" w:tplc="B8228F3A">
      <w:start w:val="1"/>
      <w:numFmt w:val="bullet"/>
      <w:lvlText w:val="o"/>
      <w:lvlJc w:val="left"/>
      <w:pPr>
        <w:ind w:left="1440" w:hanging="360"/>
      </w:pPr>
      <w:rPr>
        <w:rFonts w:ascii="Courier New" w:hAnsi="Courier New" w:hint="default"/>
      </w:rPr>
    </w:lvl>
    <w:lvl w:ilvl="2" w:tplc="4440C1D8">
      <w:start w:val="1"/>
      <w:numFmt w:val="bullet"/>
      <w:lvlText w:val=""/>
      <w:lvlJc w:val="left"/>
      <w:pPr>
        <w:ind w:left="2160" w:hanging="360"/>
      </w:pPr>
      <w:rPr>
        <w:rFonts w:ascii="Wingdings" w:hAnsi="Wingdings" w:hint="default"/>
      </w:rPr>
    </w:lvl>
    <w:lvl w:ilvl="3" w:tplc="FC2E0DDA">
      <w:start w:val="1"/>
      <w:numFmt w:val="bullet"/>
      <w:lvlText w:val=""/>
      <w:lvlJc w:val="left"/>
      <w:pPr>
        <w:ind w:left="2880" w:hanging="360"/>
      </w:pPr>
      <w:rPr>
        <w:rFonts w:ascii="Symbol" w:hAnsi="Symbol" w:hint="default"/>
      </w:rPr>
    </w:lvl>
    <w:lvl w:ilvl="4" w:tplc="A6EC4F4C">
      <w:start w:val="1"/>
      <w:numFmt w:val="bullet"/>
      <w:lvlText w:val="o"/>
      <w:lvlJc w:val="left"/>
      <w:pPr>
        <w:ind w:left="3600" w:hanging="360"/>
      </w:pPr>
      <w:rPr>
        <w:rFonts w:ascii="Courier New" w:hAnsi="Courier New" w:hint="default"/>
      </w:rPr>
    </w:lvl>
    <w:lvl w:ilvl="5" w:tplc="81CCE832">
      <w:start w:val="1"/>
      <w:numFmt w:val="bullet"/>
      <w:lvlText w:val=""/>
      <w:lvlJc w:val="left"/>
      <w:pPr>
        <w:ind w:left="4320" w:hanging="360"/>
      </w:pPr>
      <w:rPr>
        <w:rFonts w:ascii="Wingdings" w:hAnsi="Wingdings" w:hint="default"/>
      </w:rPr>
    </w:lvl>
    <w:lvl w:ilvl="6" w:tplc="6CDEDEB6">
      <w:start w:val="1"/>
      <w:numFmt w:val="bullet"/>
      <w:lvlText w:val=""/>
      <w:lvlJc w:val="left"/>
      <w:pPr>
        <w:ind w:left="5040" w:hanging="360"/>
      </w:pPr>
      <w:rPr>
        <w:rFonts w:ascii="Symbol" w:hAnsi="Symbol" w:hint="default"/>
      </w:rPr>
    </w:lvl>
    <w:lvl w:ilvl="7" w:tplc="7DCA24B0">
      <w:start w:val="1"/>
      <w:numFmt w:val="bullet"/>
      <w:lvlText w:val="o"/>
      <w:lvlJc w:val="left"/>
      <w:pPr>
        <w:ind w:left="5760" w:hanging="360"/>
      </w:pPr>
      <w:rPr>
        <w:rFonts w:ascii="Courier New" w:hAnsi="Courier New" w:hint="default"/>
      </w:rPr>
    </w:lvl>
    <w:lvl w:ilvl="8" w:tplc="B5BA52FA">
      <w:start w:val="1"/>
      <w:numFmt w:val="bullet"/>
      <w:lvlText w:val=""/>
      <w:lvlJc w:val="left"/>
      <w:pPr>
        <w:ind w:left="6480" w:hanging="360"/>
      </w:pPr>
      <w:rPr>
        <w:rFonts w:ascii="Wingdings" w:hAnsi="Wingdings" w:hint="default"/>
      </w:rPr>
    </w:lvl>
  </w:abstractNum>
  <w:abstractNum w:abstractNumId="9" w15:restartNumberingAfterBreak="0">
    <w:nsid w:val="4A7ED503"/>
    <w:multiLevelType w:val="hybridMultilevel"/>
    <w:tmpl w:val="FFFFFFFF"/>
    <w:lvl w:ilvl="0" w:tplc="22E4DC30">
      <w:start w:val="1"/>
      <w:numFmt w:val="bullet"/>
      <w:lvlText w:val="-"/>
      <w:lvlJc w:val="left"/>
      <w:pPr>
        <w:ind w:left="927" w:hanging="360"/>
      </w:pPr>
      <w:rPr>
        <w:rFonts w:ascii="Aptos" w:hAnsi="Aptos" w:hint="default"/>
      </w:rPr>
    </w:lvl>
    <w:lvl w:ilvl="1" w:tplc="AF000220">
      <w:start w:val="1"/>
      <w:numFmt w:val="bullet"/>
      <w:lvlText w:val="o"/>
      <w:lvlJc w:val="left"/>
      <w:pPr>
        <w:ind w:left="1647" w:hanging="360"/>
      </w:pPr>
      <w:rPr>
        <w:rFonts w:ascii="Courier New" w:hAnsi="Courier New" w:hint="default"/>
      </w:rPr>
    </w:lvl>
    <w:lvl w:ilvl="2" w:tplc="E062A578">
      <w:start w:val="1"/>
      <w:numFmt w:val="bullet"/>
      <w:lvlText w:val=""/>
      <w:lvlJc w:val="left"/>
      <w:pPr>
        <w:ind w:left="2367" w:hanging="360"/>
      </w:pPr>
      <w:rPr>
        <w:rFonts w:ascii="Wingdings" w:hAnsi="Wingdings" w:hint="default"/>
      </w:rPr>
    </w:lvl>
    <w:lvl w:ilvl="3" w:tplc="7FCAC9B4">
      <w:start w:val="1"/>
      <w:numFmt w:val="bullet"/>
      <w:lvlText w:val=""/>
      <w:lvlJc w:val="left"/>
      <w:pPr>
        <w:ind w:left="3087" w:hanging="360"/>
      </w:pPr>
      <w:rPr>
        <w:rFonts w:ascii="Symbol" w:hAnsi="Symbol" w:hint="default"/>
      </w:rPr>
    </w:lvl>
    <w:lvl w:ilvl="4" w:tplc="8F0A1B68">
      <w:start w:val="1"/>
      <w:numFmt w:val="bullet"/>
      <w:lvlText w:val="o"/>
      <w:lvlJc w:val="left"/>
      <w:pPr>
        <w:ind w:left="3807" w:hanging="360"/>
      </w:pPr>
      <w:rPr>
        <w:rFonts w:ascii="Courier New" w:hAnsi="Courier New" w:hint="default"/>
      </w:rPr>
    </w:lvl>
    <w:lvl w:ilvl="5" w:tplc="E766E574">
      <w:start w:val="1"/>
      <w:numFmt w:val="bullet"/>
      <w:lvlText w:val=""/>
      <w:lvlJc w:val="left"/>
      <w:pPr>
        <w:ind w:left="4527" w:hanging="360"/>
      </w:pPr>
      <w:rPr>
        <w:rFonts w:ascii="Wingdings" w:hAnsi="Wingdings" w:hint="default"/>
      </w:rPr>
    </w:lvl>
    <w:lvl w:ilvl="6" w:tplc="37CACA5E">
      <w:start w:val="1"/>
      <w:numFmt w:val="bullet"/>
      <w:lvlText w:val=""/>
      <w:lvlJc w:val="left"/>
      <w:pPr>
        <w:ind w:left="5247" w:hanging="360"/>
      </w:pPr>
      <w:rPr>
        <w:rFonts w:ascii="Symbol" w:hAnsi="Symbol" w:hint="default"/>
      </w:rPr>
    </w:lvl>
    <w:lvl w:ilvl="7" w:tplc="19120CD8">
      <w:start w:val="1"/>
      <w:numFmt w:val="bullet"/>
      <w:lvlText w:val="o"/>
      <w:lvlJc w:val="left"/>
      <w:pPr>
        <w:ind w:left="5967" w:hanging="360"/>
      </w:pPr>
      <w:rPr>
        <w:rFonts w:ascii="Courier New" w:hAnsi="Courier New" w:hint="default"/>
      </w:rPr>
    </w:lvl>
    <w:lvl w:ilvl="8" w:tplc="0C54719C">
      <w:start w:val="1"/>
      <w:numFmt w:val="bullet"/>
      <w:lvlText w:val=""/>
      <w:lvlJc w:val="left"/>
      <w:pPr>
        <w:ind w:left="6687" w:hanging="360"/>
      </w:pPr>
      <w:rPr>
        <w:rFonts w:ascii="Wingdings" w:hAnsi="Wingdings" w:hint="default"/>
      </w:rPr>
    </w:lvl>
  </w:abstractNum>
  <w:abstractNum w:abstractNumId="10" w15:restartNumberingAfterBreak="0">
    <w:nsid w:val="55BB37F6"/>
    <w:multiLevelType w:val="hybridMultilevel"/>
    <w:tmpl w:val="5E18474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5A6642ED"/>
    <w:multiLevelType w:val="hybridMultilevel"/>
    <w:tmpl w:val="864C8406"/>
    <w:lvl w:ilvl="0" w:tplc="1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120C61E"/>
    <w:multiLevelType w:val="hybridMultilevel"/>
    <w:tmpl w:val="1ADA9714"/>
    <w:lvl w:ilvl="0" w:tplc="87F2C358">
      <w:start w:val="1"/>
      <w:numFmt w:val="bullet"/>
      <w:lvlText w:val="-"/>
      <w:lvlJc w:val="left"/>
      <w:pPr>
        <w:ind w:left="720" w:hanging="360"/>
      </w:pPr>
      <w:rPr>
        <w:rFonts w:ascii="Symbol" w:hAnsi="Symbol" w:hint="default"/>
      </w:rPr>
    </w:lvl>
    <w:lvl w:ilvl="1" w:tplc="804C8B9E">
      <w:start w:val="1"/>
      <w:numFmt w:val="bullet"/>
      <w:lvlText w:val="o"/>
      <w:lvlJc w:val="left"/>
      <w:pPr>
        <w:ind w:left="1440" w:hanging="360"/>
      </w:pPr>
      <w:rPr>
        <w:rFonts w:ascii="Courier New" w:hAnsi="Courier New" w:hint="default"/>
      </w:rPr>
    </w:lvl>
    <w:lvl w:ilvl="2" w:tplc="CAE2DFE8">
      <w:start w:val="1"/>
      <w:numFmt w:val="bullet"/>
      <w:lvlText w:val=""/>
      <w:lvlJc w:val="left"/>
      <w:pPr>
        <w:ind w:left="2160" w:hanging="360"/>
      </w:pPr>
      <w:rPr>
        <w:rFonts w:ascii="Wingdings" w:hAnsi="Wingdings" w:hint="default"/>
      </w:rPr>
    </w:lvl>
    <w:lvl w:ilvl="3" w:tplc="6D805D6C">
      <w:start w:val="1"/>
      <w:numFmt w:val="bullet"/>
      <w:lvlText w:val=""/>
      <w:lvlJc w:val="left"/>
      <w:pPr>
        <w:ind w:left="2880" w:hanging="360"/>
      </w:pPr>
      <w:rPr>
        <w:rFonts w:ascii="Symbol" w:hAnsi="Symbol" w:hint="default"/>
      </w:rPr>
    </w:lvl>
    <w:lvl w:ilvl="4" w:tplc="63F29D12">
      <w:start w:val="1"/>
      <w:numFmt w:val="bullet"/>
      <w:lvlText w:val="o"/>
      <w:lvlJc w:val="left"/>
      <w:pPr>
        <w:ind w:left="3600" w:hanging="360"/>
      </w:pPr>
      <w:rPr>
        <w:rFonts w:ascii="Courier New" w:hAnsi="Courier New" w:hint="default"/>
      </w:rPr>
    </w:lvl>
    <w:lvl w:ilvl="5" w:tplc="3BD234E8">
      <w:start w:val="1"/>
      <w:numFmt w:val="bullet"/>
      <w:lvlText w:val=""/>
      <w:lvlJc w:val="left"/>
      <w:pPr>
        <w:ind w:left="4320" w:hanging="360"/>
      </w:pPr>
      <w:rPr>
        <w:rFonts w:ascii="Wingdings" w:hAnsi="Wingdings" w:hint="default"/>
      </w:rPr>
    </w:lvl>
    <w:lvl w:ilvl="6" w:tplc="0EF88B36">
      <w:start w:val="1"/>
      <w:numFmt w:val="bullet"/>
      <w:lvlText w:val=""/>
      <w:lvlJc w:val="left"/>
      <w:pPr>
        <w:ind w:left="5040" w:hanging="360"/>
      </w:pPr>
      <w:rPr>
        <w:rFonts w:ascii="Symbol" w:hAnsi="Symbol" w:hint="default"/>
      </w:rPr>
    </w:lvl>
    <w:lvl w:ilvl="7" w:tplc="0A1C0E72">
      <w:start w:val="1"/>
      <w:numFmt w:val="bullet"/>
      <w:lvlText w:val="o"/>
      <w:lvlJc w:val="left"/>
      <w:pPr>
        <w:ind w:left="5760" w:hanging="360"/>
      </w:pPr>
      <w:rPr>
        <w:rFonts w:ascii="Courier New" w:hAnsi="Courier New" w:hint="default"/>
      </w:rPr>
    </w:lvl>
    <w:lvl w:ilvl="8" w:tplc="AFF87308">
      <w:start w:val="1"/>
      <w:numFmt w:val="bullet"/>
      <w:lvlText w:val=""/>
      <w:lvlJc w:val="left"/>
      <w:pPr>
        <w:ind w:left="6480" w:hanging="360"/>
      </w:pPr>
      <w:rPr>
        <w:rFonts w:ascii="Wingdings" w:hAnsi="Wingdings" w:hint="default"/>
      </w:rPr>
    </w:lvl>
  </w:abstractNum>
  <w:abstractNum w:abstractNumId="13" w15:restartNumberingAfterBreak="0">
    <w:nsid w:val="758543A3"/>
    <w:multiLevelType w:val="hybridMultilevel"/>
    <w:tmpl w:val="0344B7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88404321">
    <w:abstractNumId w:val="12"/>
  </w:num>
  <w:num w:numId="2" w16cid:durableId="1073039737">
    <w:abstractNumId w:val="6"/>
  </w:num>
  <w:num w:numId="3" w16cid:durableId="1704478173">
    <w:abstractNumId w:val="8"/>
  </w:num>
  <w:num w:numId="4" w16cid:durableId="2031374257">
    <w:abstractNumId w:val="9"/>
  </w:num>
  <w:num w:numId="5" w16cid:durableId="352994696">
    <w:abstractNumId w:val="2"/>
  </w:num>
  <w:num w:numId="6" w16cid:durableId="197402341">
    <w:abstractNumId w:val="1"/>
  </w:num>
  <w:num w:numId="7" w16cid:durableId="162017688">
    <w:abstractNumId w:val="0"/>
  </w:num>
  <w:num w:numId="8" w16cid:durableId="562638077">
    <w:abstractNumId w:val="5"/>
  </w:num>
  <w:num w:numId="9" w16cid:durableId="504440259">
    <w:abstractNumId w:val="11"/>
  </w:num>
  <w:num w:numId="10" w16cid:durableId="489173885">
    <w:abstractNumId w:val="3"/>
  </w:num>
  <w:num w:numId="11" w16cid:durableId="1893540659">
    <w:abstractNumId w:val="7"/>
  </w:num>
  <w:num w:numId="12" w16cid:durableId="1254360528">
    <w:abstractNumId w:val="4"/>
  </w:num>
  <w:num w:numId="13" w16cid:durableId="1667904554">
    <w:abstractNumId w:val="10"/>
  </w:num>
  <w:num w:numId="14" w16cid:durableId="702011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NORMAL"/>
  </w:docVars>
  <w:rsids>
    <w:rsidRoot w:val="00077C4F"/>
    <w:rsid w:val="0000070D"/>
    <w:rsid w:val="00004E83"/>
    <w:rsid w:val="00010A9A"/>
    <w:rsid w:val="00011628"/>
    <w:rsid w:val="00012A37"/>
    <w:rsid w:val="0001593D"/>
    <w:rsid w:val="00024A87"/>
    <w:rsid w:val="000331C5"/>
    <w:rsid w:val="000424A3"/>
    <w:rsid w:val="00046B15"/>
    <w:rsid w:val="00050DC7"/>
    <w:rsid w:val="00055D3C"/>
    <w:rsid w:val="0006170B"/>
    <w:rsid w:val="00065330"/>
    <w:rsid w:val="000700EC"/>
    <w:rsid w:val="00072441"/>
    <w:rsid w:val="0007381D"/>
    <w:rsid w:val="00076109"/>
    <w:rsid w:val="00077C4F"/>
    <w:rsid w:val="000800E1"/>
    <w:rsid w:val="000C2081"/>
    <w:rsid w:val="000C3FE9"/>
    <w:rsid w:val="000D4D71"/>
    <w:rsid w:val="000E394C"/>
    <w:rsid w:val="000F5FD8"/>
    <w:rsid w:val="00104F74"/>
    <w:rsid w:val="00111D1A"/>
    <w:rsid w:val="001167C0"/>
    <w:rsid w:val="001170F5"/>
    <w:rsid w:val="00124717"/>
    <w:rsid w:val="00135C2A"/>
    <w:rsid w:val="001455CD"/>
    <w:rsid w:val="001721E0"/>
    <w:rsid w:val="001731B3"/>
    <w:rsid w:val="00181B6C"/>
    <w:rsid w:val="00184CBA"/>
    <w:rsid w:val="00186126"/>
    <w:rsid w:val="00186ED2"/>
    <w:rsid w:val="00196922"/>
    <w:rsid w:val="001A376F"/>
    <w:rsid w:val="001B0E0B"/>
    <w:rsid w:val="001B67C2"/>
    <w:rsid w:val="001B7C75"/>
    <w:rsid w:val="001C4138"/>
    <w:rsid w:val="001C70A6"/>
    <w:rsid w:val="001D1660"/>
    <w:rsid w:val="001E1DE0"/>
    <w:rsid w:val="001F21CB"/>
    <w:rsid w:val="001F2EC6"/>
    <w:rsid w:val="001F3FE9"/>
    <w:rsid w:val="001F526A"/>
    <w:rsid w:val="001F55EF"/>
    <w:rsid w:val="001F65D0"/>
    <w:rsid w:val="001F7576"/>
    <w:rsid w:val="00201557"/>
    <w:rsid w:val="002104AE"/>
    <w:rsid w:val="002126D5"/>
    <w:rsid w:val="00217E59"/>
    <w:rsid w:val="0022549A"/>
    <w:rsid w:val="002539D0"/>
    <w:rsid w:val="00255842"/>
    <w:rsid w:val="00255EFB"/>
    <w:rsid w:val="002662B5"/>
    <w:rsid w:val="0027157A"/>
    <w:rsid w:val="00272E0C"/>
    <w:rsid w:val="002730A1"/>
    <w:rsid w:val="002774CC"/>
    <w:rsid w:val="0028137A"/>
    <w:rsid w:val="002874BD"/>
    <w:rsid w:val="00287F23"/>
    <w:rsid w:val="00292020"/>
    <w:rsid w:val="002D4CE9"/>
    <w:rsid w:val="002F03FA"/>
    <w:rsid w:val="002F4214"/>
    <w:rsid w:val="002F7543"/>
    <w:rsid w:val="002F7FCC"/>
    <w:rsid w:val="003004D2"/>
    <w:rsid w:val="00301309"/>
    <w:rsid w:val="00315C1F"/>
    <w:rsid w:val="003211E0"/>
    <w:rsid w:val="0033095D"/>
    <w:rsid w:val="003349A3"/>
    <w:rsid w:val="00335BA1"/>
    <w:rsid w:val="00350AC8"/>
    <w:rsid w:val="00362173"/>
    <w:rsid w:val="00363CD7"/>
    <w:rsid w:val="00376393"/>
    <w:rsid w:val="00377967"/>
    <w:rsid w:val="00382B1A"/>
    <w:rsid w:val="00385182"/>
    <w:rsid w:val="00386143"/>
    <w:rsid w:val="003A175A"/>
    <w:rsid w:val="003A696F"/>
    <w:rsid w:val="003B035B"/>
    <w:rsid w:val="003B44FC"/>
    <w:rsid w:val="003B58DC"/>
    <w:rsid w:val="003B62B7"/>
    <w:rsid w:val="003C0A0C"/>
    <w:rsid w:val="003C1478"/>
    <w:rsid w:val="003C3717"/>
    <w:rsid w:val="003C39D5"/>
    <w:rsid w:val="003D57E3"/>
    <w:rsid w:val="003E4C93"/>
    <w:rsid w:val="003E7060"/>
    <w:rsid w:val="003F686E"/>
    <w:rsid w:val="004028E1"/>
    <w:rsid w:val="004109D6"/>
    <w:rsid w:val="00417C84"/>
    <w:rsid w:val="0042112E"/>
    <w:rsid w:val="00425309"/>
    <w:rsid w:val="004340FE"/>
    <w:rsid w:val="00442552"/>
    <w:rsid w:val="0045021E"/>
    <w:rsid w:val="004513C4"/>
    <w:rsid w:val="00455A1C"/>
    <w:rsid w:val="00456AF3"/>
    <w:rsid w:val="00461D0B"/>
    <w:rsid w:val="004675B5"/>
    <w:rsid w:val="00470736"/>
    <w:rsid w:val="004770D6"/>
    <w:rsid w:val="00482558"/>
    <w:rsid w:val="00490853"/>
    <w:rsid w:val="0049246C"/>
    <w:rsid w:val="004A2DEF"/>
    <w:rsid w:val="004A3227"/>
    <w:rsid w:val="004C17BD"/>
    <w:rsid w:val="004C4C7E"/>
    <w:rsid w:val="004C7FD1"/>
    <w:rsid w:val="004D1364"/>
    <w:rsid w:val="004D269C"/>
    <w:rsid w:val="004D5476"/>
    <w:rsid w:val="004F2913"/>
    <w:rsid w:val="004F6117"/>
    <w:rsid w:val="004F63F1"/>
    <w:rsid w:val="004F651E"/>
    <w:rsid w:val="004F6B1F"/>
    <w:rsid w:val="00504960"/>
    <w:rsid w:val="0052596B"/>
    <w:rsid w:val="005301B9"/>
    <w:rsid w:val="005360A7"/>
    <w:rsid w:val="00536F3E"/>
    <w:rsid w:val="0054158A"/>
    <w:rsid w:val="0054171B"/>
    <w:rsid w:val="00554D8D"/>
    <w:rsid w:val="00573835"/>
    <w:rsid w:val="00574099"/>
    <w:rsid w:val="00581306"/>
    <w:rsid w:val="0058700E"/>
    <w:rsid w:val="005A29B7"/>
    <w:rsid w:val="005C2A6F"/>
    <w:rsid w:val="005C3105"/>
    <w:rsid w:val="005D1AB6"/>
    <w:rsid w:val="005D405E"/>
    <w:rsid w:val="005E1B96"/>
    <w:rsid w:val="005E72EF"/>
    <w:rsid w:val="005F3710"/>
    <w:rsid w:val="005F72F9"/>
    <w:rsid w:val="00605BFE"/>
    <w:rsid w:val="00617EB2"/>
    <w:rsid w:val="00627C5A"/>
    <w:rsid w:val="0065611B"/>
    <w:rsid w:val="00670D17"/>
    <w:rsid w:val="0067641F"/>
    <w:rsid w:val="00681D2E"/>
    <w:rsid w:val="00692C2F"/>
    <w:rsid w:val="0069323D"/>
    <w:rsid w:val="00695797"/>
    <w:rsid w:val="00696A5E"/>
    <w:rsid w:val="006A44EF"/>
    <w:rsid w:val="006B3B69"/>
    <w:rsid w:val="006D7D40"/>
    <w:rsid w:val="006F5E71"/>
    <w:rsid w:val="00701366"/>
    <w:rsid w:val="007046FA"/>
    <w:rsid w:val="00707874"/>
    <w:rsid w:val="00711FC2"/>
    <w:rsid w:val="007129FF"/>
    <w:rsid w:val="0071475B"/>
    <w:rsid w:val="00723F62"/>
    <w:rsid w:val="00734613"/>
    <w:rsid w:val="00751910"/>
    <w:rsid w:val="00751E60"/>
    <w:rsid w:val="00751F12"/>
    <w:rsid w:val="007547B5"/>
    <w:rsid w:val="00755295"/>
    <w:rsid w:val="00760107"/>
    <w:rsid w:val="0077452E"/>
    <w:rsid w:val="00775E11"/>
    <w:rsid w:val="00784EB7"/>
    <w:rsid w:val="00795A9E"/>
    <w:rsid w:val="00797146"/>
    <w:rsid w:val="007A13DF"/>
    <w:rsid w:val="007A4851"/>
    <w:rsid w:val="007A606D"/>
    <w:rsid w:val="007B3379"/>
    <w:rsid w:val="007C2214"/>
    <w:rsid w:val="007C2D49"/>
    <w:rsid w:val="007D5944"/>
    <w:rsid w:val="007E1DC6"/>
    <w:rsid w:val="007E27FE"/>
    <w:rsid w:val="007E569E"/>
    <w:rsid w:val="007E62EA"/>
    <w:rsid w:val="008078EE"/>
    <w:rsid w:val="00807B48"/>
    <w:rsid w:val="00811191"/>
    <w:rsid w:val="008135CA"/>
    <w:rsid w:val="0081584F"/>
    <w:rsid w:val="00817AD6"/>
    <w:rsid w:val="0082465A"/>
    <w:rsid w:val="00850320"/>
    <w:rsid w:val="008555FA"/>
    <w:rsid w:val="008703BF"/>
    <w:rsid w:val="00874815"/>
    <w:rsid w:val="008925CE"/>
    <w:rsid w:val="008972DB"/>
    <w:rsid w:val="008C2F27"/>
    <w:rsid w:val="008C4D41"/>
    <w:rsid w:val="008D0094"/>
    <w:rsid w:val="00902A62"/>
    <w:rsid w:val="00905BD8"/>
    <w:rsid w:val="00914DA5"/>
    <w:rsid w:val="009165D4"/>
    <w:rsid w:val="00920398"/>
    <w:rsid w:val="00923024"/>
    <w:rsid w:val="0093296F"/>
    <w:rsid w:val="0093616C"/>
    <w:rsid w:val="0093744F"/>
    <w:rsid w:val="00946777"/>
    <w:rsid w:val="00956922"/>
    <w:rsid w:val="00956E2A"/>
    <w:rsid w:val="009646D0"/>
    <w:rsid w:val="00967F1B"/>
    <w:rsid w:val="00975655"/>
    <w:rsid w:val="00981F45"/>
    <w:rsid w:val="00987E06"/>
    <w:rsid w:val="00994D12"/>
    <w:rsid w:val="009B128B"/>
    <w:rsid w:val="009B48D6"/>
    <w:rsid w:val="009B78C6"/>
    <w:rsid w:val="009B7DC1"/>
    <w:rsid w:val="009C4734"/>
    <w:rsid w:val="009C4EED"/>
    <w:rsid w:val="009D179B"/>
    <w:rsid w:val="009D3343"/>
    <w:rsid w:val="00A16F07"/>
    <w:rsid w:val="00A17A6F"/>
    <w:rsid w:val="00A228CA"/>
    <w:rsid w:val="00A249BA"/>
    <w:rsid w:val="00A2781A"/>
    <w:rsid w:val="00A3037A"/>
    <w:rsid w:val="00A350E7"/>
    <w:rsid w:val="00A35C17"/>
    <w:rsid w:val="00A62C7B"/>
    <w:rsid w:val="00A64245"/>
    <w:rsid w:val="00A7061A"/>
    <w:rsid w:val="00A7709A"/>
    <w:rsid w:val="00A90F8C"/>
    <w:rsid w:val="00A94A61"/>
    <w:rsid w:val="00AA56D3"/>
    <w:rsid w:val="00AC2878"/>
    <w:rsid w:val="00AC3C7C"/>
    <w:rsid w:val="00AC7EF7"/>
    <w:rsid w:val="00AE1181"/>
    <w:rsid w:val="00AE1842"/>
    <w:rsid w:val="00AE3C7C"/>
    <w:rsid w:val="00AF5F3C"/>
    <w:rsid w:val="00AF6C6B"/>
    <w:rsid w:val="00B071A5"/>
    <w:rsid w:val="00B25B19"/>
    <w:rsid w:val="00B31306"/>
    <w:rsid w:val="00B42814"/>
    <w:rsid w:val="00B4708E"/>
    <w:rsid w:val="00B52A9F"/>
    <w:rsid w:val="00B65631"/>
    <w:rsid w:val="00B754A7"/>
    <w:rsid w:val="00B75AF5"/>
    <w:rsid w:val="00B77505"/>
    <w:rsid w:val="00B83936"/>
    <w:rsid w:val="00BD134F"/>
    <w:rsid w:val="00BD6EB7"/>
    <w:rsid w:val="00BD7E9A"/>
    <w:rsid w:val="00BE19DA"/>
    <w:rsid w:val="00BE74E1"/>
    <w:rsid w:val="00BF063B"/>
    <w:rsid w:val="00C07611"/>
    <w:rsid w:val="00C157DC"/>
    <w:rsid w:val="00C202F1"/>
    <w:rsid w:val="00C2358E"/>
    <w:rsid w:val="00C2656B"/>
    <w:rsid w:val="00C3543A"/>
    <w:rsid w:val="00C46A24"/>
    <w:rsid w:val="00C50183"/>
    <w:rsid w:val="00C54D27"/>
    <w:rsid w:val="00C57085"/>
    <w:rsid w:val="00C650D8"/>
    <w:rsid w:val="00C729CF"/>
    <w:rsid w:val="00C76EEB"/>
    <w:rsid w:val="00C80BBA"/>
    <w:rsid w:val="00C8547F"/>
    <w:rsid w:val="00C9570C"/>
    <w:rsid w:val="00CA6E4B"/>
    <w:rsid w:val="00CB3C6B"/>
    <w:rsid w:val="00CB621F"/>
    <w:rsid w:val="00CB6403"/>
    <w:rsid w:val="00CC5FCC"/>
    <w:rsid w:val="00CD6397"/>
    <w:rsid w:val="00CE045C"/>
    <w:rsid w:val="00CE301E"/>
    <w:rsid w:val="00CF3E5C"/>
    <w:rsid w:val="00CF4403"/>
    <w:rsid w:val="00D0000E"/>
    <w:rsid w:val="00D01F5A"/>
    <w:rsid w:val="00D14117"/>
    <w:rsid w:val="00D16334"/>
    <w:rsid w:val="00D1716E"/>
    <w:rsid w:val="00D17E36"/>
    <w:rsid w:val="00D26BEA"/>
    <w:rsid w:val="00D45BB6"/>
    <w:rsid w:val="00D46005"/>
    <w:rsid w:val="00D4716C"/>
    <w:rsid w:val="00D5092E"/>
    <w:rsid w:val="00D5726B"/>
    <w:rsid w:val="00D646AD"/>
    <w:rsid w:val="00D64E05"/>
    <w:rsid w:val="00D7040A"/>
    <w:rsid w:val="00D75932"/>
    <w:rsid w:val="00D75D93"/>
    <w:rsid w:val="00D76B33"/>
    <w:rsid w:val="00D76B49"/>
    <w:rsid w:val="00D92FD3"/>
    <w:rsid w:val="00D95263"/>
    <w:rsid w:val="00DA2D89"/>
    <w:rsid w:val="00DA3B6E"/>
    <w:rsid w:val="00DB2FD2"/>
    <w:rsid w:val="00DB74A2"/>
    <w:rsid w:val="00DB7581"/>
    <w:rsid w:val="00DC2768"/>
    <w:rsid w:val="00DC52E3"/>
    <w:rsid w:val="00DC70C1"/>
    <w:rsid w:val="00DD761F"/>
    <w:rsid w:val="00DE5937"/>
    <w:rsid w:val="00DF0317"/>
    <w:rsid w:val="00DF377B"/>
    <w:rsid w:val="00E161A3"/>
    <w:rsid w:val="00E204EF"/>
    <w:rsid w:val="00E24851"/>
    <w:rsid w:val="00E250F9"/>
    <w:rsid w:val="00E30B02"/>
    <w:rsid w:val="00E37745"/>
    <w:rsid w:val="00E47ED8"/>
    <w:rsid w:val="00E635D0"/>
    <w:rsid w:val="00E70B77"/>
    <w:rsid w:val="00E83C12"/>
    <w:rsid w:val="00E86FDF"/>
    <w:rsid w:val="00E904C8"/>
    <w:rsid w:val="00EA1BBF"/>
    <w:rsid w:val="00EB29A9"/>
    <w:rsid w:val="00EB312D"/>
    <w:rsid w:val="00EB46F6"/>
    <w:rsid w:val="00EB77D2"/>
    <w:rsid w:val="00EC08C5"/>
    <w:rsid w:val="00EE36F7"/>
    <w:rsid w:val="00EF2143"/>
    <w:rsid w:val="00F14D3A"/>
    <w:rsid w:val="00F30A25"/>
    <w:rsid w:val="00F316C8"/>
    <w:rsid w:val="00F3521F"/>
    <w:rsid w:val="00F46DAE"/>
    <w:rsid w:val="00F517FB"/>
    <w:rsid w:val="00F53A2F"/>
    <w:rsid w:val="00F57D34"/>
    <w:rsid w:val="00F632DE"/>
    <w:rsid w:val="00F66670"/>
    <w:rsid w:val="00F729AC"/>
    <w:rsid w:val="00F735E4"/>
    <w:rsid w:val="00F750BF"/>
    <w:rsid w:val="00F8256E"/>
    <w:rsid w:val="00F95242"/>
    <w:rsid w:val="00F97A82"/>
    <w:rsid w:val="00FB159E"/>
    <w:rsid w:val="00FB7834"/>
    <w:rsid w:val="00FC4375"/>
    <w:rsid w:val="00FD4B6A"/>
    <w:rsid w:val="00FF03A8"/>
    <w:rsid w:val="00FF63EA"/>
    <w:rsid w:val="05B210B6"/>
    <w:rsid w:val="05B9BF6D"/>
    <w:rsid w:val="0650A179"/>
    <w:rsid w:val="070EBBED"/>
    <w:rsid w:val="07386610"/>
    <w:rsid w:val="07C97788"/>
    <w:rsid w:val="0830013E"/>
    <w:rsid w:val="0881F483"/>
    <w:rsid w:val="09D2EA6F"/>
    <w:rsid w:val="0B3AE309"/>
    <w:rsid w:val="0B806AF6"/>
    <w:rsid w:val="0C132D7F"/>
    <w:rsid w:val="0E18DB58"/>
    <w:rsid w:val="0FCDBDF7"/>
    <w:rsid w:val="1097F61D"/>
    <w:rsid w:val="11CFC830"/>
    <w:rsid w:val="11E24FE6"/>
    <w:rsid w:val="12B011E7"/>
    <w:rsid w:val="14DEFCC4"/>
    <w:rsid w:val="151E3881"/>
    <w:rsid w:val="18A3AE6F"/>
    <w:rsid w:val="1B06ACF5"/>
    <w:rsid w:val="1D135BC1"/>
    <w:rsid w:val="1D81D05C"/>
    <w:rsid w:val="223A6049"/>
    <w:rsid w:val="245B378F"/>
    <w:rsid w:val="2546E59A"/>
    <w:rsid w:val="25F07E21"/>
    <w:rsid w:val="2640B2D8"/>
    <w:rsid w:val="265E8E48"/>
    <w:rsid w:val="2725DA33"/>
    <w:rsid w:val="27708C23"/>
    <w:rsid w:val="282C5FBD"/>
    <w:rsid w:val="2895F7D8"/>
    <w:rsid w:val="2A256549"/>
    <w:rsid w:val="2B1AD38E"/>
    <w:rsid w:val="2D762357"/>
    <w:rsid w:val="2E09C2CC"/>
    <w:rsid w:val="2F5534F6"/>
    <w:rsid w:val="31C19E59"/>
    <w:rsid w:val="31DDC79D"/>
    <w:rsid w:val="32C45B70"/>
    <w:rsid w:val="32EBD347"/>
    <w:rsid w:val="342884EE"/>
    <w:rsid w:val="3467F033"/>
    <w:rsid w:val="358261E3"/>
    <w:rsid w:val="361DCBA7"/>
    <w:rsid w:val="36CEBBCA"/>
    <w:rsid w:val="39C80F72"/>
    <w:rsid w:val="3B21C529"/>
    <w:rsid w:val="3B42DC77"/>
    <w:rsid w:val="3B491BC1"/>
    <w:rsid w:val="3B56E739"/>
    <w:rsid w:val="3CE9AAE1"/>
    <w:rsid w:val="3E13523B"/>
    <w:rsid w:val="3E429DAE"/>
    <w:rsid w:val="3FD3ED24"/>
    <w:rsid w:val="40919E9F"/>
    <w:rsid w:val="40AB7E16"/>
    <w:rsid w:val="41431916"/>
    <w:rsid w:val="425539DB"/>
    <w:rsid w:val="4286DA8D"/>
    <w:rsid w:val="42D6EB8B"/>
    <w:rsid w:val="431365E6"/>
    <w:rsid w:val="444C041F"/>
    <w:rsid w:val="4662577D"/>
    <w:rsid w:val="47250AA4"/>
    <w:rsid w:val="47C2D429"/>
    <w:rsid w:val="49A22D34"/>
    <w:rsid w:val="4A357BFF"/>
    <w:rsid w:val="4A84A4D2"/>
    <w:rsid w:val="4B7B53E6"/>
    <w:rsid w:val="4C17AB38"/>
    <w:rsid w:val="4D09EA06"/>
    <w:rsid w:val="5390624F"/>
    <w:rsid w:val="5911D555"/>
    <w:rsid w:val="5A5DFD32"/>
    <w:rsid w:val="5A761A15"/>
    <w:rsid w:val="5B3F7F2A"/>
    <w:rsid w:val="5BBF223A"/>
    <w:rsid w:val="5D922E2E"/>
    <w:rsid w:val="5F1BA709"/>
    <w:rsid w:val="602C4ACA"/>
    <w:rsid w:val="609EE9C2"/>
    <w:rsid w:val="61401E81"/>
    <w:rsid w:val="62518F61"/>
    <w:rsid w:val="69EED4A3"/>
    <w:rsid w:val="6A51E1D0"/>
    <w:rsid w:val="6B8E9EA3"/>
    <w:rsid w:val="6B92079A"/>
    <w:rsid w:val="6B97770D"/>
    <w:rsid w:val="6C4D4306"/>
    <w:rsid w:val="6C5AFAFD"/>
    <w:rsid w:val="6E3F0C20"/>
    <w:rsid w:val="707BD214"/>
    <w:rsid w:val="71D1A1F7"/>
    <w:rsid w:val="72330EC2"/>
    <w:rsid w:val="7273D4C2"/>
    <w:rsid w:val="72CD490F"/>
    <w:rsid w:val="7344E691"/>
    <w:rsid w:val="742A8E1C"/>
    <w:rsid w:val="746E7146"/>
    <w:rsid w:val="7619BAD3"/>
    <w:rsid w:val="76D73BD8"/>
    <w:rsid w:val="76FBF30F"/>
    <w:rsid w:val="771B80EE"/>
    <w:rsid w:val="784E8AAF"/>
    <w:rsid w:val="79F1221C"/>
    <w:rsid w:val="7A3C6055"/>
    <w:rsid w:val="7B5625F2"/>
    <w:rsid w:val="7BEE772C"/>
    <w:rsid w:val="7C19507B"/>
    <w:rsid w:val="7C27EA0D"/>
    <w:rsid w:val="7DC479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51900EE8-82B8-4CEF-A34D-420636CE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0424A3"/>
    <w:pPr>
      <w:numPr>
        <w:numId w:val="7"/>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0424A3"/>
    <w:pPr>
      <w:numPr>
        <w:ilvl w:val="1"/>
        <w:numId w:val="7"/>
      </w:numPr>
      <w:spacing w:after="0" w:line="288" w:lineRule="auto"/>
      <w:ind w:left="567" w:hanging="567"/>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0424A3"/>
    <w:pPr>
      <w:numPr>
        <w:ilvl w:val="2"/>
        <w:numId w:val="7"/>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0424A3"/>
    <w:pPr>
      <w:numPr>
        <w:ilvl w:val="3"/>
        <w:numId w:val="7"/>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0424A3"/>
    <w:pPr>
      <w:numPr>
        <w:ilvl w:val="4"/>
        <w:numId w:val="7"/>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0424A3"/>
    <w:pPr>
      <w:numPr>
        <w:ilvl w:val="5"/>
        <w:numId w:val="7"/>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0424A3"/>
    <w:pPr>
      <w:numPr>
        <w:ilvl w:val="6"/>
        <w:numId w:val="7"/>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0424A3"/>
    <w:pPr>
      <w:numPr>
        <w:ilvl w:val="7"/>
        <w:numId w:val="7"/>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0424A3"/>
    <w:pPr>
      <w:numPr>
        <w:ilvl w:val="8"/>
        <w:numId w:val="7"/>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EB46F6"/>
    <w:rPr>
      <w:sz w:val="20"/>
      <w:szCs w:val="20"/>
    </w:rPr>
  </w:style>
  <w:style w:type="character" w:customStyle="1" w:styleId="FootnoteTextChar">
    <w:name w:val="Footnote Text Char"/>
    <w:link w:val="FootnoteText"/>
    <w:rsid w:val="00EB46F6"/>
    <w:rPr>
      <w:lang w:eastAsia="en-US"/>
    </w:rPr>
  </w:style>
  <w:style w:type="character" w:styleId="FootnoteReference">
    <w:name w:val="footnote reference"/>
    <w:aliases w:val="Footnote symbol"/>
    <w:unhideWhenUsed/>
    <w:qFormat/>
    <w:rsid w:val="00EB46F6"/>
    <w:rPr>
      <w:sz w:val="24"/>
      <w:vertAlign w:val="superscript"/>
    </w:rPr>
  </w:style>
  <w:style w:type="character" w:styleId="Hyperlink">
    <w:name w:val="Hyperlink"/>
    <w:uiPriority w:val="99"/>
    <w:rsid w:val="00EB46F6"/>
    <w:rPr>
      <w:color w:val="0000FF"/>
      <w:u w:val="single"/>
    </w:rPr>
  </w:style>
  <w:style w:type="character" w:customStyle="1" w:styleId="Heading1Char">
    <w:name w:val="Heading 1 Char"/>
    <w:link w:val="Heading1"/>
    <w:rsid w:val="000424A3"/>
    <w:rPr>
      <w:rFonts w:ascii="Times New Roman" w:eastAsia="Times New Roman" w:hAnsi="Times New Roman"/>
      <w:kern w:val="28"/>
      <w:sz w:val="22"/>
      <w:szCs w:val="22"/>
      <w:lang w:val="en-US" w:eastAsia="en-US"/>
    </w:rPr>
  </w:style>
  <w:style w:type="character" w:customStyle="1" w:styleId="Heading2Char">
    <w:name w:val="Heading 2 Char"/>
    <w:link w:val="Heading2"/>
    <w:rsid w:val="000424A3"/>
    <w:rPr>
      <w:rFonts w:ascii="Times New Roman" w:eastAsia="Times New Roman" w:hAnsi="Times New Roman"/>
      <w:sz w:val="22"/>
      <w:szCs w:val="22"/>
      <w:lang w:val="en-US" w:eastAsia="en-US"/>
    </w:rPr>
  </w:style>
  <w:style w:type="character" w:customStyle="1" w:styleId="Heading3Char">
    <w:name w:val="Heading 3 Char"/>
    <w:link w:val="Heading3"/>
    <w:rsid w:val="000424A3"/>
    <w:rPr>
      <w:rFonts w:ascii="Times New Roman" w:eastAsia="Times New Roman" w:hAnsi="Times New Roman"/>
      <w:sz w:val="22"/>
      <w:szCs w:val="22"/>
      <w:lang w:val="en-US" w:eastAsia="en-US"/>
    </w:rPr>
  </w:style>
  <w:style w:type="character" w:customStyle="1" w:styleId="Heading4Char">
    <w:name w:val="Heading 4 Char"/>
    <w:link w:val="Heading4"/>
    <w:rsid w:val="000424A3"/>
    <w:rPr>
      <w:rFonts w:ascii="Times New Roman" w:eastAsia="Times New Roman" w:hAnsi="Times New Roman"/>
      <w:sz w:val="22"/>
      <w:szCs w:val="22"/>
      <w:lang w:val="en-US" w:eastAsia="en-US"/>
    </w:rPr>
  </w:style>
  <w:style w:type="character" w:customStyle="1" w:styleId="Heading5Char">
    <w:name w:val="Heading 5 Char"/>
    <w:link w:val="Heading5"/>
    <w:rsid w:val="000424A3"/>
    <w:rPr>
      <w:rFonts w:ascii="Times New Roman" w:eastAsia="Times New Roman" w:hAnsi="Times New Roman"/>
      <w:sz w:val="22"/>
      <w:szCs w:val="22"/>
      <w:lang w:val="en-US" w:eastAsia="en-US"/>
    </w:rPr>
  </w:style>
  <w:style w:type="character" w:customStyle="1" w:styleId="Heading6Char">
    <w:name w:val="Heading 6 Char"/>
    <w:link w:val="Heading6"/>
    <w:rsid w:val="000424A3"/>
    <w:rPr>
      <w:rFonts w:ascii="Times New Roman" w:eastAsia="Times New Roman" w:hAnsi="Times New Roman"/>
      <w:sz w:val="22"/>
      <w:szCs w:val="22"/>
      <w:lang w:val="en-US" w:eastAsia="en-US"/>
    </w:rPr>
  </w:style>
  <w:style w:type="character" w:customStyle="1" w:styleId="Heading7Char">
    <w:name w:val="Heading 7 Char"/>
    <w:link w:val="Heading7"/>
    <w:rsid w:val="000424A3"/>
    <w:rPr>
      <w:rFonts w:ascii="Times New Roman" w:eastAsia="Times New Roman" w:hAnsi="Times New Roman"/>
      <w:sz w:val="22"/>
      <w:szCs w:val="22"/>
      <w:lang w:val="en-US" w:eastAsia="en-US"/>
    </w:rPr>
  </w:style>
  <w:style w:type="character" w:customStyle="1" w:styleId="Heading8Char">
    <w:name w:val="Heading 8 Char"/>
    <w:link w:val="Heading8"/>
    <w:rsid w:val="000424A3"/>
    <w:rPr>
      <w:rFonts w:ascii="Times New Roman" w:eastAsia="Times New Roman" w:hAnsi="Times New Roman"/>
      <w:sz w:val="22"/>
      <w:szCs w:val="22"/>
      <w:lang w:val="en-US" w:eastAsia="en-US"/>
    </w:rPr>
  </w:style>
  <w:style w:type="character" w:customStyle="1" w:styleId="Heading9Char">
    <w:name w:val="Heading 9 Char"/>
    <w:link w:val="Heading9"/>
    <w:rsid w:val="000424A3"/>
    <w:rPr>
      <w:rFonts w:ascii="Times New Roman" w:eastAsia="Times New Roman" w:hAnsi="Times New Roman"/>
      <w:sz w:val="22"/>
      <w:szCs w:val="22"/>
      <w:lang w:val="en-US" w:eastAsia="en-US"/>
    </w:rPr>
  </w:style>
  <w:style w:type="character" w:styleId="CommentReference">
    <w:name w:val="annotation reference"/>
    <w:uiPriority w:val="99"/>
    <w:semiHidden/>
    <w:unhideWhenUsed/>
    <w:rsid w:val="000424A3"/>
    <w:rPr>
      <w:sz w:val="16"/>
      <w:szCs w:val="16"/>
    </w:rPr>
  </w:style>
  <w:style w:type="paragraph" w:styleId="CommentText">
    <w:name w:val="annotation text"/>
    <w:basedOn w:val="Normal"/>
    <w:link w:val="CommentTextChar"/>
    <w:uiPriority w:val="99"/>
    <w:unhideWhenUsed/>
    <w:rsid w:val="000424A3"/>
    <w:rPr>
      <w:sz w:val="20"/>
      <w:szCs w:val="20"/>
    </w:rPr>
  </w:style>
  <w:style w:type="character" w:customStyle="1" w:styleId="CommentTextChar">
    <w:name w:val="Comment Text Char"/>
    <w:link w:val="CommentText"/>
    <w:uiPriority w:val="99"/>
    <w:rsid w:val="000424A3"/>
    <w:rPr>
      <w:lang w:eastAsia="en-US"/>
    </w:rPr>
  </w:style>
  <w:style w:type="paragraph" w:styleId="CommentSubject">
    <w:name w:val="annotation subject"/>
    <w:basedOn w:val="CommentText"/>
    <w:next w:val="CommentText"/>
    <w:link w:val="CommentSubjectChar"/>
    <w:uiPriority w:val="99"/>
    <w:semiHidden/>
    <w:unhideWhenUsed/>
    <w:rsid w:val="000424A3"/>
    <w:rPr>
      <w:b/>
      <w:bCs/>
    </w:rPr>
  </w:style>
  <w:style w:type="character" w:customStyle="1" w:styleId="CommentSubjectChar">
    <w:name w:val="Comment Subject Char"/>
    <w:link w:val="CommentSubject"/>
    <w:uiPriority w:val="99"/>
    <w:semiHidden/>
    <w:rsid w:val="000424A3"/>
    <w:rPr>
      <w:b/>
      <w:bCs/>
      <w:lang w:eastAsia="en-US"/>
    </w:rPr>
  </w:style>
  <w:style w:type="paragraph" w:styleId="ListParagraph">
    <w:name w:val="List Paragraph"/>
    <w:basedOn w:val="Normal"/>
    <w:uiPriority w:val="34"/>
    <w:qFormat/>
    <w:rsid w:val="00E24851"/>
    <w:pPr>
      <w:ind w:left="720"/>
      <w:contextualSpacing/>
    </w:pPr>
    <w:rPr>
      <w:kern w:val="2"/>
    </w:rPr>
  </w:style>
  <w:style w:type="paragraph" w:styleId="NormalWeb">
    <w:name w:val="Normal (Web)"/>
    <w:basedOn w:val="Normal"/>
    <w:uiPriority w:val="99"/>
    <w:semiHidden/>
    <w:unhideWhenUsed/>
    <w:rsid w:val="00184CBA"/>
    <w:pPr>
      <w:spacing w:before="100" w:beforeAutospacing="1" w:after="100" w:afterAutospacing="1" w:line="240" w:lineRule="auto"/>
    </w:pPr>
    <w:rPr>
      <w:rFonts w:ascii="Times New Roman" w:eastAsia="Times New Roman" w:hAnsi="Times New Roman"/>
      <w:sz w:val="24"/>
      <w:szCs w:val="24"/>
      <w:lang w:eastAsia="en-IE"/>
    </w:rPr>
  </w:style>
  <w:style w:type="character" w:styleId="UnresolvedMention">
    <w:name w:val="Unresolved Mention"/>
    <w:uiPriority w:val="99"/>
    <w:semiHidden/>
    <w:unhideWhenUsed/>
    <w:rsid w:val="004028E1"/>
    <w:rPr>
      <w:color w:val="605E5C"/>
      <w:shd w:val="clear" w:color="auto" w:fill="E1DFDD"/>
    </w:rPr>
  </w:style>
  <w:style w:type="paragraph" w:styleId="Revision">
    <w:name w:val="Revision"/>
    <w:hidden/>
    <w:uiPriority w:val="99"/>
    <w:semiHidden/>
    <w:rsid w:val="001F55EF"/>
    <w:rPr>
      <w:sz w:val="22"/>
      <w:szCs w:val="22"/>
      <w:lang w:eastAsia="en-US"/>
    </w:rPr>
  </w:style>
  <w:style w:type="paragraph" w:styleId="Header">
    <w:name w:val="header"/>
    <w:basedOn w:val="Normal"/>
    <w:link w:val="HeaderChar"/>
    <w:uiPriority w:val="99"/>
    <w:semiHidden/>
    <w:unhideWhenUsed/>
    <w:rsid w:val="008C2F27"/>
    <w:pPr>
      <w:tabs>
        <w:tab w:val="center" w:pos="4680"/>
        <w:tab w:val="right" w:pos="9360"/>
      </w:tabs>
    </w:pPr>
  </w:style>
  <w:style w:type="character" w:customStyle="1" w:styleId="HeaderChar">
    <w:name w:val="Header Char"/>
    <w:link w:val="Header"/>
    <w:uiPriority w:val="99"/>
    <w:semiHidden/>
    <w:rsid w:val="008C2F27"/>
    <w:rPr>
      <w:sz w:val="22"/>
      <w:szCs w:val="22"/>
      <w:lang w:eastAsia="en-US"/>
    </w:rPr>
  </w:style>
  <w:style w:type="paragraph" w:styleId="Footer">
    <w:name w:val="footer"/>
    <w:basedOn w:val="Normal"/>
    <w:link w:val="FooterChar"/>
    <w:uiPriority w:val="99"/>
    <w:semiHidden/>
    <w:unhideWhenUsed/>
    <w:rsid w:val="008C2F27"/>
    <w:pPr>
      <w:tabs>
        <w:tab w:val="center" w:pos="4680"/>
        <w:tab w:val="right" w:pos="9360"/>
      </w:tabs>
    </w:pPr>
  </w:style>
  <w:style w:type="character" w:customStyle="1" w:styleId="FooterChar">
    <w:name w:val="Footer Char"/>
    <w:link w:val="Footer"/>
    <w:uiPriority w:val="99"/>
    <w:semiHidden/>
    <w:rsid w:val="008C2F27"/>
    <w:rPr>
      <w:sz w:val="22"/>
      <w:szCs w:val="22"/>
      <w:lang w:eastAsia="en-US"/>
    </w:rPr>
  </w:style>
  <w:style w:type="table" w:styleId="TableGrid">
    <w:name w:val="Table Grid"/>
    <w:basedOn w:val="TableNormal"/>
    <w:uiPriority w:val="59"/>
    <w:rsid w:val="005E7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77505"/>
  </w:style>
  <w:style w:type="character" w:styleId="FollowedHyperlink">
    <w:name w:val="FollowedHyperlink"/>
    <w:uiPriority w:val="99"/>
    <w:semiHidden/>
    <w:unhideWhenUsed/>
    <w:rsid w:val="00010A9A"/>
    <w:rPr>
      <w:color w:val="954F72"/>
      <w:u w:val="single"/>
    </w:rPr>
  </w:style>
  <w:style w:type="paragraph" w:customStyle="1" w:styleId="title-bold">
    <w:name w:val="title-bold"/>
    <w:basedOn w:val="Normal"/>
    <w:rsid w:val="009D179B"/>
    <w:pPr>
      <w:spacing w:before="100" w:beforeAutospacing="1" w:after="100" w:afterAutospacing="1" w:line="240" w:lineRule="auto"/>
    </w:pPr>
    <w:rPr>
      <w:rFonts w:ascii="Times New Roman" w:eastAsia="Times New Roman" w:hAnsi="Times New Roman"/>
      <w:sz w:val="24"/>
      <w:szCs w:val="24"/>
      <w:lang w:eastAsia="en-IE"/>
    </w:rPr>
  </w:style>
  <w:style w:type="character" w:styleId="Emphasis">
    <w:name w:val="Emphasis"/>
    <w:uiPriority w:val="20"/>
    <w:qFormat/>
    <w:rsid w:val="009D17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383">
      <w:bodyDiv w:val="1"/>
      <w:marLeft w:val="0"/>
      <w:marRight w:val="0"/>
      <w:marTop w:val="0"/>
      <w:marBottom w:val="0"/>
      <w:divBdr>
        <w:top w:val="none" w:sz="0" w:space="0" w:color="auto"/>
        <w:left w:val="none" w:sz="0" w:space="0" w:color="auto"/>
        <w:bottom w:val="none" w:sz="0" w:space="0" w:color="auto"/>
        <w:right w:val="none" w:sz="0" w:space="0" w:color="auto"/>
      </w:divBdr>
    </w:div>
    <w:div w:id="65227261">
      <w:bodyDiv w:val="1"/>
      <w:marLeft w:val="0"/>
      <w:marRight w:val="0"/>
      <w:marTop w:val="0"/>
      <w:marBottom w:val="0"/>
      <w:divBdr>
        <w:top w:val="none" w:sz="0" w:space="0" w:color="auto"/>
        <w:left w:val="none" w:sz="0" w:space="0" w:color="auto"/>
        <w:bottom w:val="none" w:sz="0" w:space="0" w:color="auto"/>
        <w:right w:val="none" w:sz="0" w:space="0" w:color="auto"/>
      </w:divBdr>
    </w:div>
    <w:div w:id="109588241">
      <w:bodyDiv w:val="1"/>
      <w:marLeft w:val="0"/>
      <w:marRight w:val="0"/>
      <w:marTop w:val="0"/>
      <w:marBottom w:val="0"/>
      <w:divBdr>
        <w:top w:val="none" w:sz="0" w:space="0" w:color="auto"/>
        <w:left w:val="none" w:sz="0" w:space="0" w:color="auto"/>
        <w:bottom w:val="none" w:sz="0" w:space="0" w:color="auto"/>
        <w:right w:val="none" w:sz="0" w:space="0" w:color="auto"/>
      </w:divBdr>
      <w:divsChild>
        <w:div w:id="158665772">
          <w:marLeft w:val="0"/>
          <w:marRight w:val="0"/>
          <w:marTop w:val="0"/>
          <w:marBottom w:val="0"/>
          <w:divBdr>
            <w:top w:val="none" w:sz="0" w:space="0" w:color="auto"/>
            <w:left w:val="none" w:sz="0" w:space="0" w:color="auto"/>
            <w:bottom w:val="none" w:sz="0" w:space="0" w:color="auto"/>
            <w:right w:val="none" w:sz="0" w:space="0" w:color="auto"/>
          </w:divBdr>
          <w:divsChild>
            <w:div w:id="299262776">
              <w:marLeft w:val="0"/>
              <w:marRight w:val="0"/>
              <w:marTop w:val="0"/>
              <w:marBottom w:val="0"/>
              <w:divBdr>
                <w:top w:val="none" w:sz="0" w:space="0" w:color="auto"/>
                <w:left w:val="none" w:sz="0" w:space="0" w:color="auto"/>
                <w:bottom w:val="none" w:sz="0" w:space="0" w:color="auto"/>
                <w:right w:val="none" w:sz="0" w:space="0" w:color="auto"/>
              </w:divBdr>
              <w:divsChild>
                <w:div w:id="1457676802">
                  <w:marLeft w:val="0"/>
                  <w:marRight w:val="0"/>
                  <w:marTop w:val="0"/>
                  <w:marBottom w:val="0"/>
                  <w:divBdr>
                    <w:top w:val="none" w:sz="0" w:space="0" w:color="auto"/>
                    <w:left w:val="none" w:sz="0" w:space="0" w:color="auto"/>
                    <w:bottom w:val="none" w:sz="0" w:space="0" w:color="auto"/>
                    <w:right w:val="none" w:sz="0" w:space="0" w:color="auto"/>
                  </w:divBdr>
                  <w:divsChild>
                    <w:div w:id="667169194">
                      <w:marLeft w:val="0"/>
                      <w:marRight w:val="0"/>
                      <w:marTop w:val="0"/>
                      <w:marBottom w:val="0"/>
                      <w:divBdr>
                        <w:top w:val="none" w:sz="0" w:space="0" w:color="auto"/>
                        <w:left w:val="none" w:sz="0" w:space="0" w:color="auto"/>
                        <w:bottom w:val="none" w:sz="0" w:space="0" w:color="auto"/>
                        <w:right w:val="none" w:sz="0" w:space="0" w:color="auto"/>
                      </w:divBdr>
                      <w:divsChild>
                        <w:div w:id="1433670822">
                          <w:marLeft w:val="0"/>
                          <w:marRight w:val="0"/>
                          <w:marTop w:val="0"/>
                          <w:marBottom w:val="0"/>
                          <w:divBdr>
                            <w:top w:val="none" w:sz="0" w:space="0" w:color="auto"/>
                            <w:left w:val="none" w:sz="0" w:space="0" w:color="auto"/>
                            <w:bottom w:val="none" w:sz="0" w:space="0" w:color="auto"/>
                            <w:right w:val="none" w:sz="0" w:space="0" w:color="auto"/>
                          </w:divBdr>
                          <w:divsChild>
                            <w:div w:id="4916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395547">
      <w:bodyDiv w:val="1"/>
      <w:marLeft w:val="0"/>
      <w:marRight w:val="0"/>
      <w:marTop w:val="0"/>
      <w:marBottom w:val="0"/>
      <w:divBdr>
        <w:top w:val="none" w:sz="0" w:space="0" w:color="auto"/>
        <w:left w:val="none" w:sz="0" w:space="0" w:color="auto"/>
        <w:bottom w:val="none" w:sz="0" w:space="0" w:color="auto"/>
        <w:right w:val="none" w:sz="0" w:space="0" w:color="auto"/>
      </w:divBdr>
    </w:div>
    <w:div w:id="548228071">
      <w:bodyDiv w:val="1"/>
      <w:marLeft w:val="0"/>
      <w:marRight w:val="0"/>
      <w:marTop w:val="0"/>
      <w:marBottom w:val="0"/>
      <w:divBdr>
        <w:top w:val="none" w:sz="0" w:space="0" w:color="auto"/>
        <w:left w:val="none" w:sz="0" w:space="0" w:color="auto"/>
        <w:bottom w:val="none" w:sz="0" w:space="0" w:color="auto"/>
        <w:right w:val="none" w:sz="0" w:space="0" w:color="auto"/>
      </w:divBdr>
    </w:div>
    <w:div w:id="595988608">
      <w:bodyDiv w:val="1"/>
      <w:marLeft w:val="0"/>
      <w:marRight w:val="0"/>
      <w:marTop w:val="0"/>
      <w:marBottom w:val="0"/>
      <w:divBdr>
        <w:top w:val="none" w:sz="0" w:space="0" w:color="auto"/>
        <w:left w:val="none" w:sz="0" w:space="0" w:color="auto"/>
        <w:bottom w:val="none" w:sz="0" w:space="0" w:color="auto"/>
        <w:right w:val="none" w:sz="0" w:space="0" w:color="auto"/>
      </w:divBdr>
    </w:div>
    <w:div w:id="824586585">
      <w:bodyDiv w:val="1"/>
      <w:marLeft w:val="0"/>
      <w:marRight w:val="0"/>
      <w:marTop w:val="0"/>
      <w:marBottom w:val="0"/>
      <w:divBdr>
        <w:top w:val="none" w:sz="0" w:space="0" w:color="auto"/>
        <w:left w:val="none" w:sz="0" w:space="0" w:color="auto"/>
        <w:bottom w:val="none" w:sz="0" w:space="0" w:color="auto"/>
        <w:right w:val="none" w:sz="0" w:space="0" w:color="auto"/>
      </w:divBdr>
    </w:div>
    <w:div w:id="922376599">
      <w:bodyDiv w:val="1"/>
      <w:marLeft w:val="0"/>
      <w:marRight w:val="0"/>
      <w:marTop w:val="0"/>
      <w:marBottom w:val="0"/>
      <w:divBdr>
        <w:top w:val="none" w:sz="0" w:space="0" w:color="auto"/>
        <w:left w:val="none" w:sz="0" w:space="0" w:color="auto"/>
        <w:bottom w:val="none" w:sz="0" w:space="0" w:color="auto"/>
        <w:right w:val="none" w:sz="0" w:space="0" w:color="auto"/>
      </w:divBdr>
    </w:div>
    <w:div w:id="1040134973">
      <w:bodyDiv w:val="1"/>
      <w:marLeft w:val="0"/>
      <w:marRight w:val="0"/>
      <w:marTop w:val="0"/>
      <w:marBottom w:val="0"/>
      <w:divBdr>
        <w:top w:val="none" w:sz="0" w:space="0" w:color="auto"/>
        <w:left w:val="none" w:sz="0" w:space="0" w:color="auto"/>
        <w:bottom w:val="none" w:sz="0" w:space="0" w:color="auto"/>
        <w:right w:val="none" w:sz="0" w:space="0" w:color="auto"/>
      </w:divBdr>
    </w:div>
    <w:div w:id="1124732522">
      <w:bodyDiv w:val="1"/>
      <w:marLeft w:val="0"/>
      <w:marRight w:val="0"/>
      <w:marTop w:val="0"/>
      <w:marBottom w:val="0"/>
      <w:divBdr>
        <w:top w:val="none" w:sz="0" w:space="0" w:color="auto"/>
        <w:left w:val="none" w:sz="0" w:space="0" w:color="auto"/>
        <w:bottom w:val="none" w:sz="0" w:space="0" w:color="auto"/>
        <w:right w:val="none" w:sz="0" w:space="0" w:color="auto"/>
      </w:divBdr>
    </w:div>
    <w:div w:id="1253049076">
      <w:bodyDiv w:val="1"/>
      <w:marLeft w:val="0"/>
      <w:marRight w:val="0"/>
      <w:marTop w:val="0"/>
      <w:marBottom w:val="0"/>
      <w:divBdr>
        <w:top w:val="none" w:sz="0" w:space="0" w:color="auto"/>
        <w:left w:val="none" w:sz="0" w:space="0" w:color="auto"/>
        <w:bottom w:val="none" w:sz="0" w:space="0" w:color="auto"/>
        <w:right w:val="none" w:sz="0" w:space="0" w:color="auto"/>
      </w:divBdr>
    </w:div>
    <w:div w:id="1268392527">
      <w:bodyDiv w:val="1"/>
      <w:marLeft w:val="0"/>
      <w:marRight w:val="0"/>
      <w:marTop w:val="0"/>
      <w:marBottom w:val="0"/>
      <w:divBdr>
        <w:top w:val="none" w:sz="0" w:space="0" w:color="auto"/>
        <w:left w:val="none" w:sz="0" w:space="0" w:color="auto"/>
        <w:bottom w:val="none" w:sz="0" w:space="0" w:color="auto"/>
        <w:right w:val="none" w:sz="0" w:space="0" w:color="auto"/>
      </w:divBdr>
    </w:div>
    <w:div w:id="1378044430">
      <w:bodyDiv w:val="1"/>
      <w:marLeft w:val="0"/>
      <w:marRight w:val="0"/>
      <w:marTop w:val="0"/>
      <w:marBottom w:val="0"/>
      <w:divBdr>
        <w:top w:val="none" w:sz="0" w:space="0" w:color="auto"/>
        <w:left w:val="none" w:sz="0" w:space="0" w:color="auto"/>
        <w:bottom w:val="none" w:sz="0" w:space="0" w:color="auto"/>
        <w:right w:val="none" w:sz="0" w:space="0" w:color="auto"/>
      </w:divBdr>
    </w:div>
    <w:div w:id="1449545495">
      <w:bodyDiv w:val="1"/>
      <w:marLeft w:val="0"/>
      <w:marRight w:val="0"/>
      <w:marTop w:val="0"/>
      <w:marBottom w:val="0"/>
      <w:divBdr>
        <w:top w:val="none" w:sz="0" w:space="0" w:color="auto"/>
        <w:left w:val="none" w:sz="0" w:space="0" w:color="auto"/>
        <w:bottom w:val="none" w:sz="0" w:space="0" w:color="auto"/>
        <w:right w:val="none" w:sz="0" w:space="0" w:color="auto"/>
      </w:divBdr>
    </w:div>
    <w:div w:id="1490288922">
      <w:bodyDiv w:val="1"/>
      <w:marLeft w:val="0"/>
      <w:marRight w:val="0"/>
      <w:marTop w:val="0"/>
      <w:marBottom w:val="0"/>
      <w:divBdr>
        <w:top w:val="none" w:sz="0" w:space="0" w:color="auto"/>
        <w:left w:val="none" w:sz="0" w:space="0" w:color="auto"/>
        <w:bottom w:val="none" w:sz="0" w:space="0" w:color="auto"/>
        <w:right w:val="none" w:sz="0" w:space="0" w:color="auto"/>
      </w:divBdr>
    </w:div>
    <w:div w:id="1629506901">
      <w:bodyDiv w:val="1"/>
      <w:marLeft w:val="0"/>
      <w:marRight w:val="0"/>
      <w:marTop w:val="0"/>
      <w:marBottom w:val="0"/>
      <w:divBdr>
        <w:top w:val="none" w:sz="0" w:space="0" w:color="auto"/>
        <w:left w:val="none" w:sz="0" w:space="0" w:color="auto"/>
        <w:bottom w:val="none" w:sz="0" w:space="0" w:color="auto"/>
        <w:right w:val="none" w:sz="0" w:space="0" w:color="auto"/>
      </w:divBdr>
      <w:divsChild>
        <w:div w:id="386607933">
          <w:marLeft w:val="0"/>
          <w:marRight w:val="0"/>
          <w:marTop w:val="0"/>
          <w:marBottom w:val="0"/>
          <w:divBdr>
            <w:top w:val="none" w:sz="0" w:space="0" w:color="auto"/>
            <w:left w:val="none" w:sz="0" w:space="0" w:color="auto"/>
            <w:bottom w:val="none" w:sz="0" w:space="0" w:color="auto"/>
            <w:right w:val="none" w:sz="0" w:space="0" w:color="auto"/>
          </w:divBdr>
          <w:divsChild>
            <w:div w:id="667364072">
              <w:marLeft w:val="0"/>
              <w:marRight w:val="0"/>
              <w:marTop w:val="0"/>
              <w:marBottom w:val="0"/>
              <w:divBdr>
                <w:top w:val="none" w:sz="0" w:space="0" w:color="auto"/>
                <w:left w:val="none" w:sz="0" w:space="0" w:color="auto"/>
                <w:bottom w:val="none" w:sz="0" w:space="0" w:color="auto"/>
                <w:right w:val="none" w:sz="0" w:space="0" w:color="auto"/>
              </w:divBdr>
              <w:divsChild>
                <w:div w:id="505099482">
                  <w:marLeft w:val="0"/>
                  <w:marRight w:val="0"/>
                  <w:marTop w:val="0"/>
                  <w:marBottom w:val="0"/>
                  <w:divBdr>
                    <w:top w:val="none" w:sz="0" w:space="0" w:color="auto"/>
                    <w:left w:val="none" w:sz="0" w:space="0" w:color="auto"/>
                    <w:bottom w:val="none" w:sz="0" w:space="0" w:color="auto"/>
                    <w:right w:val="none" w:sz="0" w:space="0" w:color="auto"/>
                  </w:divBdr>
                  <w:divsChild>
                    <w:div w:id="1748574915">
                      <w:marLeft w:val="0"/>
                      <w:marRight w:val="0"/>
                      <w:marTop w:val="0"/>
                      <w:marBottom w:val="0"/>
                      <w:divBdr>
                        <w:top w:val="none" w:sz="0" w:space="0" w:color="auto"/>
                        <w:left w:val="none" w:sz="0" w:space="0" w:color="auto"/>
                        <w:bottom w:val="none" w:sz="0" w:space="0" w:color="auto"/>
                        <w:right w:val="none" w:sz="0" w:space="0" w:color="auto"/>
                      </w:divBdr>
                      <w:divsChild>
                        <w:div w:id="962619449">
                          <w:marLeft w:val="0"/>
                          <w:marRight w:val="0"/>
                          <w:marTop w:val="0"/>
                          <w:marBottom w:val="0"/>
                          <w:divBdr>
                            <w:top w:val="none" w:sz="0" w:space="0" w:color="auto"/>
                            <w:left w:val="none" w:sz="0" w:space="0" w:color="auto"/>
                            <w:bottom w:val="none" w:sz="0" w:space="0" w:color="auto"/>
                            <w:right w:val="none" w:sz="0" w:space="0" w:color="auto"/>
                          </w:divBdr>
                          <w:divsChild>
                            <w:div w:id="10018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847233">
      <w:bodyDiv w:val="1"/>
      <w:marLeft w:val="0"/>
      <w:marRight w:val="0"/>
      <w:marTop w:val="0"/>
      <w:marBottom w:val="0"/>
      <w:divBdr>
        <w:top w:val="none" w:sz="0" w:space="0" w:color="auto"/>
        <w:left w:val="none" w:sz="0" w:space="0" w:color="auto"/>
        <w:bottom w:val="none" w:sz="0" w:space="0" w:color="auto"/>
        <w:right w:val="none" w:sz="0" w:space="0" w:color="auto"/>
      </w:divBdr>
    </w:div>
    <w:div w:id="20992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i.eitcommunity.eu/services/skill-sync" TargetMode="External"/><Relationship Id="rId3" Type="http://schemas.openxmlformats.org/officeDocument/2006/relationships/hyperlink" Target="https://pmc.ncbi.nlm.nih.gov/articles/PMC10173226/pdf/13690_2023_Article_1086.pdf" TargetMode="External"/><Relationship Id="rId7" Type="http://schemas.openxmlformats.org/officeDocument/2006/relationships/hyperlink" Target="https://eithealth.eu/what-we-do/workinhealth-foundation/" TargetMode="External"/><Relationship Id="rId2" Type="http://schemas.openxmlformats.org/officeDocument/2006/relationships/hyperlink" Target="https://www.who.int/europe/publications/i/item/WHO-EURO-2023-8969-48741-72485" TargetMode="External"/><Relationship Id="rId1" Type="http://schemas.openxmlformats.org/officeDocument/2006/relationships/hyperlink" Target="https://eur-lex.europa.eu/legal-content/EN/TXT/?uri=COM:2021:102:FIN" TargetMode="External"/><Relationship Id="rId6" Type="http://schemas.openxmlformats.org/officeDocument/2006/relationships/hyperlink" Target="https://eit.europa.eu/" TargetMode="External"/><Relationship Id="rId11" Type="http://schemas.openxmlformats.org/officeDocument/2006/relationships/hyperlink" Target="https://jacardi.eu/" TargetMode="External"/><Relationship Id="rId5" Type="http://schemas.openxmlformats.org/officeDocument/2006/relationships/hyperlink" Target="https://eithealth.eu/" TargetMode="External"/><Relationship Id="rId10" Type="http://schemas.openxmlformats.org/officeDocument/2006/relationships/hyperlink" Target="https://health.ec.europa.eu/document/download/6e26bad9-5722-4c95-8bc5-4c21d8e370dd_en?filename=policy_com-2024-206_en.pdf" TargetMode="External"/><Relationship Id="rId4" Type="http://schemas.openxmlformats.org/officeDocument/2006/relationships/hyperlink" Target="https://erasmus-plus.ec.europa.eu/" TargetMode="External"/><Relationship Id="rId9" Type="http://schemas.openxmlformats.org/officeDocument/2006/relationships/hyperlink" Target="https://osha.europa.eu/en/highlights/health-and-social-care-workers-suffer-widespread-occupational-safety-and-health-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C342B-034E-42DA-B159-1867644E9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2720</Words>
  <Characters>15668</Characters>
  <Application>Microsoft Office Word</Application>
  <DocSecurity>0</DocSecurity>
  <Lines>214</Lines>
  <Paragraphs>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SAWASCIUK Dariusz (SG)</cp:lastModifiedBy>
  <cp:revision>2</cp:revision>
  <cp:lastPrinted>2013-02-28T21:02:00Z</cp:lastPrinted>
  <dcterms:created xsi:type="dcterms:W3CDTF">2025-08-19T15:19:00Z</dcterms:created>
  <dcterms:modified xsi:type="dcterms:W3CDTF">2025-08-19T15:19:00Z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