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641BDF" w:rsidRDefault="00B12B02" w14:paraId="4982DD4D" w14:textId="0F001902">
      <w:pPr>
        <w:suppressAutoHyphens/>
        <w:jc w:val="center"/>
      </w:pPr>
      <w:r w:rsidRPr="000317D4">
        <w:rPr>
          <w:noProof/>
          <w:lang w:eastAsia="en-GB"/>
        </w:rPr>
        <w:drawing>
          <wp:inline distT="0" distB="0" distL="0" distR="0" wp14:anchorId="11CC1894" wp14:editId="5DD797BE">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rPr>
        <mc:AlternateContent>
          <mc:Choice Requires="wps">
            <w:drawing>
              <wp:anchor distT="0" distB="0" distL="114300" distR="114300" simplePos="0" relativeHeight="251618816" behindDoc="1" locked="0" layoutInCell="0" allowOverlap="1" wp14:editId="3E77A4F5"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004D7AC0" w:rsidP="00D94D34" w:rsidRDefault="004D7AC0" w14:paraId="4982DD4E" w14:textId="77777777"/>
    <w:p w:rsidR="004D7AC0" w:rsidP="00D94D34" w:rsidRDefault="004D7AC0" w14:paraId="4982DD4F" w14:textId="124A76DC">
      <w:pPr>
        <w:jc w:val="right"/>
      </w:pPr>
      <w:r>
        <w:t>Bruselj, 8. avgust 2025</w:t>
      </w:r>
    </w:p>
    <w:p w:rsidR="004D7AC0" w:rsidP="00D94D34" w:rsidRDefault="004D7AC0" w14:paraId="4982DD50" w14:textId="77777777"/>
    <w:p w:rsidR="004D7AC0" w:rsidP="00D94D34" w:rsidRDefault="004D7AC0" w14:paraId="4982DD51" w14:textId="77777777"/>
    <w:p w:rsidR="004D7AC0" w:rsidP="00D94D34"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Pr="000130CB" w:rsidR="003066BE" w:rsidP="00D94D34" w:rsidRDefault="00A47988" w14:paraId="4982DD53" w14:textId="4DBE8593">
            <w:pPr>
              <w:snapToGrid w:val="0"/>
              <w:jc w:val="center"/>
              <w:rPr>
                <w:b/>
                <w:sz w:val="32"/>
                <w:szCs w:val="32"/>
              </w:rPr>
            </w:pPr>
            <w:r>
              <w:rPr>
                <w:b/>
                <w:sz w:val="32"/>
              </w:rPr>
              <w:t>598. PLENARNO ZASEDANJE</w:t>
            </w:r>
          </w:p>
          <w:p w:rsidRPr="00B53074" w:rsidR="003066BE" w:rsidP="00D94D34" w:rsidRDefault="003066BE" w14:paraId="4982DD54" w14:textId="77777777">
            <w:pPr>
              <w:snapToGrid w:val="0"/>
              <w:jc w:val="center"/>
              <w:rPr>
                <w:bCs/>
              </w:rPr>
            </w:pPr>
          </w:p>
          <w:p w:rsidRPr="000130CB" w:rsidR="003066BE" w:rsidP="00D94D34" w:rsidRDefault="00A37508" w14:paraId="4982DD55" w14:textId="21174653">
            <w:pPr>
              <w:snapToGrid w:val="0"/>
              <w:jc w:val="center"/>
              <w:rPr>
                <w:b/>
                <w:sz w:val="32"/>
                <w:szCs w:val="32"/>
              </w:rPr>
            </w:pPr>
            <w:r>
              <w:rPr>
                <w:b/>
                <w:sz w:val="32"/>
              </w:rPr>
              <w:t>16. in 17. julij 2025</w:t>
            </w:r>
          </w:p>
          <w:p w:rsidRPr="00B53074" w:rsidR="003066BE" w:rsidP="00D94D34" w:rsidRDefault="003066BE" w14:paraId="4982DD56" w14:textId="77777777">
            <w:pPr>
              <w:snapToGrid w:val="0"/>
              <w:jc w:val="center"/>
              <w:rPr>
                <w:bCs/>
              </w:rPr>
            </w:pPr>
          </w:p>
          <w:p w:rsidRPr="000130CB" w:rsidR="004D7AC0" w:rsidP="00D94D34" w:rsidRDefault="00754027" w14:paraId="4982DD57" w14:textId="5A35E792">
            <w:pPr>
              <w:snapToGrid w:val="0"/>
              <w:jc w:val="center"/>
              <w:rPr>
                <w:rFonts w:eastAsia="MS Mincho"/>
                <w:b/>
                <w:sz w:val="32"/>
                <w:szCs w:val="32"/>
              </w:rPr>
            </w:pPr>
            <w:r>
              <w:rPr>
                <w:b/>
                <w:sz w:val="32"/>
              </w:rPr>
              <w:t>POVZETEK SPREJETIH MNENJ, RESOLUCIJ IN INFORMATIVNIH POROČIL / POROČIL O OCENI</w:t>
            </w:r>
          </w:p>
          <w:p w:rsidRPr="000130CB" w:rsidR="004D7AC0" w:rsidP="00D94D3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B53074" w:rsidP="00D94D34" w:rsidRDefault="004D7AC0" w14:paraId="5D81138A" w14:textId="77777777">
            <w:pPr>
              <w:snapToGrid w:val="0"/>
              <w:jc w:val="center"/>
            </w:pPr>
            <w:r>
              <w:t>Dokument je v vseh uradnih jezikih Evropske unije na voljo na spletni strani EESO:</w:t>
            </w:r>
          </w:p>
          <w:p w:rsidR="00B53074" w:rsidP="00D94D34" w:rsidRDefault="00B53074" w14:paraId="56836D31" w14:textId="77777777">
            <w:pPr>
              <w:snapToGrid w:val="0"/>
              <w:jc w:val="center"/>
            </w:pPr>
          </w:p>
          <w:p w:rsidRPr="0081153B" w:rsidR="004D7AC0" w:rsidP="00D94D34" w:rsidRDefault="00662932" w14:paraId="4982DD5A" w14:textId="3A47F1C8">
            <w:pPr>
              <w:snapToGrid w:val="0"/>
              <w:jc w:val="center"/>
            </w:pPr>
            <w:hyperlink w:history="1" r:id="rId12">
              <w:r w:rsidR="004D7AC0">
                <w:rPr>
                  <w:rStyle w:val="Hyperlink"/>
                </w:rPr>
                <w:t>https://www.eesc.europa.eu/sl/our-work/opinions-information-reports/plenary-session-summaries</w:t>
              </w:r>
            </w:hyperlink>
          </w:p>
          <w:p w:rsidRPr="0081153B" w:rsidR="004D7AC0" w:rsidP="00D94D34" w:rsidRDefault="004D7AC0" w14:paraId="4982DD5B" w14:textId="77777777">
            <w:pPr>
              <w:snapToGrid w:val="0"/>
              <w:jc w:val="center"/>
            </w:pPr>
          </w:p>
          <w:p w:rsidRPr="0081153B" w:rsidR="004D7AC0" w:rsidP="00D94D34" w:rsidRDefault="004D7AC0" w14:paraId="4982DD5C" w14:textId="77777777">
            <w:pPr>
              <w:snapToGrid w:val="0"/>
              <w:jc w:val="center"/>
              <w:rPr>
                <w:rFonts w:eastAsia="SimSun"/>
              </w:rPr>
            </w:pPr>
          </w:p>
          <w:p w:rsidR="00B53074" w:rsidP="00D94D34" w:rsidRDefault="004D7AC0" w14:paraId="04295277" w14:textId="77777777">
            <w:pPr>
              <w:snapToGrid w:val="0"/>
              <w:jc w:val="center"/>
            </w:pPr>
            <w:r>
              <w:t>Navedena mnenja so na spletu dostopna prek iskalnika Odbora:</w:t>
            </w:r>
          </w:p>
          <w:p w:rsidR="00B53074" w:rsidP="00D94D34" w:rsidRDefault="00B53074" w14:paraId="73B5210A" w14:textId="77777777">
            <w:pPr>
              <w:snapToGrid w:val="0"/>
              <w:jc w:val="center"/>
            </w:pPr>
          </w:p>
          <w:p w:rsidRPr="00044561" w:rsidR="004D7AC0" w:rsidP="00D94D34" w:rsidRDefault="00662932" w14:paraId="4982DD5D" w14:textId="484C2A93">
            <w:pPr>
              <w:snapToGrid w:val="0"/>
              <w:jc w:val="center"/>
            </w:pPr>
            <w:hyperlink w:history="1" r:id="rId13">
              <w:r w:rsidR="004D7AC0">
                <w:rPr>
                  <w:rStyle w:val="Hyperlink"/>
                </w:rPr>
                <w:t>https://dmsearch.eesc.europa.eu/search/opinion</w:t>
              </w:r>
            </w:hyperlink>
          </w:p>
          <w:p w:rsidRPr="00044561" w:rsidR="004D7AC0" w:rsidP="00D94D34" w:rsidRDefault="004D7AC0" w14:paraId="4982DD5E" w14:textId="77777777">
            <w:pPr>
              <w:snapToGrid w:val="0"/>
              <w:jc w:val="center"/>
            </w:pPr>
          </w:p>
        </w:tc>
      </w:tr>
    </w:tbl>
    <w:p w:rsidR="004D7AC0" w:rsidP="00D94D34" w:rsidRDefault="004D7AC0" w14:paraId="4982DD60" w14:textId="77777777"/>
    <w:p w:rsidR="004D7AC0" w:rsidP="00D94D34" w:rsidRDefault="004D7AC0" w14:paraId="4982DD61" w14:textId="77777777"/>
    <w:p w:rsidR="004D7AC0" w:rsidP="00D94D34" w:rsidRDefault="004D7AC0" w14:paraId="4982DD62" w14:textId="77777777">
      <w:pPr>
        <w:sectPr w:rsidR="004D7AC0" w:rsidSect="00086E35">
          <w:footerReference w:type="default" r:id="rId14"/>
          <w:pgSz w:w="11907" w:h="16839"/>
          <w:pgMar w:top="1417" w:right="1417" w:bottom="1417" w:left="1417" w:header="709" w:footer="709" w:gutter="0"/>
          <w:pgNumType w:start="1"/>
          <w:cols w:space="708"/>
          <w:docGrid w:linePitch="360"/>
        </w:sectPr>
      </w:pPr>
    </w:p>
    <w:p w:rsidRPr="00A81AFE" w:rsidR="004D7AC0" w:rsidP="00D94D34" w:rsidRDefault="004D7AC0" w14:paraId="4982DD63" w14:textId="77777777">
      <w:pPr>
        <w:rPr>
          <w:b/>
        </w:rPr>
      </w:pPr>
      <w:r>
        <w:rPr>
          <w:b/>
        </w:rPr>
        <w:lastRenderedPageBreak/>
        <w:t>Vsebina</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41BDF" w:rsidRDefault="004D7AC0" w14:paraId="4982DD64" w14:textId="77777777">
          <w:pPr>
            <w:pStyle w:val="TOCHeading"/>
            <w:keepNext w:val="0"/>
            <w:keepLines w:val="0"/>
            <w:suppressAutoHyphens/>
            <w:spacing w:before="0" w:line="288" w:lineRule="auto"/>
            <w:rPr>
              <w:rFonts w:ascii="Times New Roman" w:hAnsi="Times New Roman" w:cs="Times New Roman"/>
              <w:color w:val="auto"/>
              <w:sz w:val="22"/>
              <w:szCs w:val="22"/>
            </w:rPr>
          </w:pPr>
        </w:p>
        <w:p w:rsidR="00CB5FF2" w:rsidP="00B12B02" w:rsidRDefault="004D7AC0" w14:paraId="43A3637F" w14:textId="01745416">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4326339">
            <w:r w:rsidRPr="00BA1E10" w:rsidR="00CB5FF2">
              <w:rPr>
                <w:rStyle w:val="Hyperlink"/>
                <w:bCs/>
                <w:noProof/>
              </w:rPr>
              <w:t>1.</w:t>
            </w:r>
            <w:r w:rsidR="00CB5FF2">
              <w:rPr>
                <w:rFonts w:asciiTheme="minorHAnsi" w:hAnsiTheme="minorHAnsi" w:eastAsiaTheme="minorEastAsia" w:cstheme="minorBidi"/>
                <w:noProof/>
                <w:lang w:val="en-US"/>
              </w:rPr>
              <w:tab/>
            </w:r>
            <w:r w:rsidRPr="00BA1E10" w:rsidR="00CB5FF2">
              <w:rPr>
                <w:rStyle w:val="Hyperlink"/>
                <w:b/>
                <w:noProof/>
              </w:rPr>
              <w:t>EKONOMSKA IN MONETARNA UNIJA TER EKONOMSKA IN SOCIALNA KOHEZIJA</w:t>
            </w:r>
            <w:r w:rsidR="00CB5FF2">
              <w:rPr>
                <w:noProof/>
                <w:webHidden/>
              </w:rPr>
              <w:tab/>
            </w:r>
            <w:r w:rsidR="00CB5FF2">
              <w:rPr>
                <w:noProof/>
                <w:webHidden/>
              </w:rPr>
              <w:fldChar w:fldCharType="begin"/>
            </w:r>
            <w:r w:rsidR="00CB5FF2">
              <w:rPr>
                <w:noProof/>
                <w:webHidden/>
              </w:rPr>
              <w:instrText xml:space="preserve"> PAGEREF _Toc204326339 \h </w:instrText>
            </w:r>
            <w:r w:rsidR="00CB5FF2">
              <w:rPr>
                <w:noProof/>
                <w:webHidden/>
              </w:rPr>
            </w:r>
            <w:r w:rsidR="00CB5FF2">
              <w:rPr>
                <w:noProof/>
                <w:webHidden/>
              </w:rPr>
              <w:fldChar w:fldCharType="separate"/>
            </w:r>
            <w:r w:rsidR="00CB5FF2">
              <w:rPr>
                <w:noProof/>
                <w:webHidden/>
              </w:rPr>
              <w:t>3</w:t>
            </w:r>
            <w:r w:rsidR="00CB5FF2">
              <w:rPr>
                <w:noProof/>
                <w:webHidden/>
              </w:rPr>
              <w:fldChar w:fldCharType="end"/>
            </w:r>
          </w:hyperlink>
        </w:p>
        <w:p w:rsidR="00CB5FF2" w:rsidP="00B12B02" w:rsidRDefault="00662932" w14:paraId="6E2CE1BD" w14:textId="45511EAA">
          <w:pPr>
            <w:pStyle w:val="TOC1"/>
            <w:rPr>
              <w:rFonts w:asciiTheme="minorHAnsi" w:hAnsiTheme="minorHAnsi" w:eastAsiaTheme="minorEastAsia" w:cstheme="minorBidi"/>
              <w:noProof/>
              <w:lang w:val="en-US"/>
            </w:rPr>
          </w:pPr>
          <w:hyperlink w:history="1" w:anchor="_Toc204326340">
            <w:r w:rsidRPr="00BA1E10" w:rsidR="00CB5FF2">
              <w:rPr>
                <w:rStyle w:val="Hyperlink"/>
                <w:bCs/>
                <w:noProof/>
              </w:rPr>
              <w:t>2.</w:t>
            </w:r>
            <w:r w:rsidR="00CB5FF2">
              <w:rPr>
                <w:rFonts w:asciiTheme="minorHAnsi" w:hAnsiTheme="minorHAnsi" w:eastAsiaTheme="minorEastAsia" w:cstheme="minorBidi"/>
                <w:noProof/>
                <w:lang w:val="en-US"/>
              </w:rPr>
              <w:tab/>
            </w:r>
            <w:r w:rsidRPr="00BA1E10" w:rsidR="00CB5FF2">
              <w:rPr>
                <w:rStyle w:val="Hyperlink"/>
                <w:b/>
                <w:noProof/>
              </w:rPr>
              <w:t>ZAPOSLOVANJE, SOCIALNE ZADEVE IN DRŽAVLJANSTVO</w:t>
            </w:r>
            <w:r w:rsidR="00CB5FF2">
              <w:rPr>
                <w:noProof/>
                <w:webHidden/>
              </w:rPr>
              <w:tab/>
            </w:r>
            <w:r w:rsidR="00CB5FF2">
              <w:rPr>
                <w:noProof/>
                <w:webHidden/>
              </w:rPr>
              <w:fldChar w:fldCharType="begin"/>
            </w:r>
            <w:r w:rsidR="00CB5FF2">
              <w:rPr>
                <w:noProof/>
                <w:webHidden/>
              </w:rPr>
              <w:instrText xml:space="preserve"> PAGEREF _Toc204326340 \h </w:instrText>
            </w:r>
            <w:r w:rsidR="00CB5FF2">
              <w:rPr>
                <w:noProof/>
                <w:webHidden/>
              </w:rPr>
            </w:r>
            <w:r w:rsidR="00CB5FF2">
              <w:rPr>
                <w:noProof/>
                <w:webHidden/>
              </w:rPr>
              <w:fldChar w:fldCharType="separate"/>
            </w:r>
            <w:r w:rsidR="00CB5FF2">
              <w:rPr>
                <w:noProof/>
                <w:webHidden/>
              </w:rPr>
              <w:t>11</w:t>
            </w:r>
            <w:r w:rsidR="00CB5FF2">
              <w:rPr>
                <w:noProof/>
                <w:webHidden/>
              </w:rPr>
              <w:fldChar w:fldCharType="end"/>
            </w:r>
          </w:hyperlink>
        </w:p>
        <w:p w:rsidR="00CB5FF2" w:rsidP="00B12B02" w:rsidRDefault="00662932" w14:paraId="4ADD115C" w14:textId="6FF5255D">
          <w:pPr>
            <w:pStyle w:val="TOC1"/>
            <w:rPr>
              <w:rFonts w:asciiTheme="minorHAnsi" w:hAnsiTheme="minorHAnsi" w:eastAsiaTheme="minorEastAsia" w:cstheme="minorBidi"/>
              <w:noProof/>
              <w:lang w:val="en-US"/>
            </w:rPr>
          </w:pPr>
          <w:hyperlink w:history="1" w:anchor="_Toc204326341">
            <w:r w:rsidRPr="00BA1E10" w:rsidR="00CB5FF2">
              <w:rPr>
                <w:rStyle w:val="Hyperlink"/>
                <w:bCs/>
                <w:noProof/>
              </w:rPr>
              <w:t>3.</w:t>
            </w:r>
            <w:r w:rsidR="00CB5FF2">
              <w:rPr>
                <w:rFonts w:asciiTheme="minorHAnsi" w:hAnsiTheme="minorHAnsi" w:eastAsiaTheme="minorEastAsia" w:cstheme="minorBidi"/>
                <w:noProof/>
                <w:lang w:val="en-US"/>
              </w:rPr>
              <w:tab/>
            </w:r>
            <w:r w:rsidRPr="00B12B02" w:rsidR="00B12B02">
              <w:rPr>
                <w:rStyle w:val="Hyperlink"/>
                <w:b/>
                <w:noProof/>
              </w:rPr>
              <w:t>PROMET, ENERGIJA, INFRASTRUKTURA IN INFORMACIJSKA DRUŽBA</w:t>
            </w:r>
            <w:r w:rsidR="00CB5FF2">
              <w:rPr>
                <w:noProof/>
                <w:webHidden/>
              </w:rPr>
              <w:tab/>
            </w:r>
            <w:r w:rsidR="00CB5FF2">
              <w:rPr>
                <w:noProof/>
                <w:webHidden/>
              </w:rPr>
              <w:fldChar w:fldCharType="begin"/>
            </w:r>
            <w:r w:rsidR="00CB5FF2">
              <w:rPr>
                <w:noProof/>
                <w:webHidden/>
              </w:rPr>
              <w:instrText xml:space="preserve"> PAGEREF _Toc204326341 \h </w:instrText>
            </w:r>
            <w:r w:rsidR="00CB5FF2">
              <w:rPr>
                <w:noProof/>
                <w:webHidden/>
              </w:rPr>
            </w:r>
            <w:r w:rsidR="00CB5FF2">
              <w:rPr>
                <w:noProof/>
                <w:webHidden/>
              </w:rPr>
              <w:fldChar w:fldCharType="separate"/>
            </w:r>
            <w:r w:rsidR="00CB5FF2">
              <w:rPr>
                <w:noProof/>
                <w:webHidden/>
              </w:rPr>
              <w:t>16</w:t>
            </w:r>
            <w:r w:rsidR="00CB5FF2">
              <w:rPr>
                <w:noProof/>
                <w:webHidden/>
              </w:rPr>
              <w:fldChar w:fldCharType="end"/>
            </w:r>
          </w:hyperlink>
        </w:p>
        <w:p w:rsidR="00CB5FF2" w:rsidP="00B12B02" w:rsidRDefault="00662932" w14:paraId="1DEFE073" w14:textId="0EAA43CB">
          <w:pPr>
            <w:pStyle w:val="TOC1"/>
            <w:rPr>
              <w:rFonts w:asciiTheme="minorHAnsi" w:hAnsiTheme="minorHAnsi" w:eastAsiaTheme="minorEastAsia" w:cstheme="minorBidi"/>
              <w:noProof/>
              <w:lang w:val="en-US"/>
            </w:rPr>
          </w:pPr>
          <w:hyperlink w:history="1" w:anchor="_Toc204326342">
            <w:r w:rsidRPr="00BA1E10" w:rsidR="00CB5FF2">
              <w:rPr>
                <w:rStyle w:val="Hyperlink"/>
                <w:bCs/>
                <w:noProof/>
              </w:rPr>
              <w:t>4.</w:t>
            </w:r>
            <w:r w:rsidR="00CB5FF2">
              <w:rPr>
                <w:rFonts w:asciiTheme="minorHAnsi" w:hAnsiTheme="minorHAnsi" w:eastAsiaTheme="minorEastAsia" w:cstheme="minorBidi"/>
                <w:noProof/>
                <w:lang w:val="en-US"/>
              </w:rPr>
              <w:tab/>
            </w:r>
            <w:r w:rsidRPr="00BA1E10" w:rsidR="00CB5FF2">
              <w:rPr>
                <w:rStyle w:val="Hyperlink"/>
                <w:b/>
                <w:noProof/>
              </w:rPr>
              <w:t>ENOTNI TRG, PROIZVODNJA IN POTROŠNJA</w:t>
            </w:r>
            <w:r w:rsidR="00CB5FF2">
              <w:rPr>
                <w:noProof/>
                <w:webHidden/>
              </w:rPr>
              <w:tab/>
            </w:r>
            <w:r w:rsidR="00CB5FF2">
              <w:rPr>
                <w:noProof/>
                <w:webHidden/>
              </w:rPr>
              <w:fldChar w:fldCharType="begin"/>
            </w:r>
            <w:r w:rsidR="00CB5FF2">
              <w:rPr>
                <w:noProof/>
                <w:webHidden/>
              </w:rPr>
              <w:instrText xml:space="preserve"> PAGEREF _Toc204326342 \h </w:instrText>
            </w:r>
            <w:r w:rsidR="00CB5FF2">
              <w:rPr>
                <w:noProof/>
                <w:webHidden/>
              </w:rPr>
            </w:r>
            <w:r w:rsidR="00CB5FF2">
              <w:rPr>
                <w:noProof/>
                <w:webHidden/>
              </w:rPr>
              <w:fldChar w:fldCharType="separate"/>
            </w:r>
            <w:r w:rsidR="00CB5FF2">
              <w:rPr>
                <w:noProof/>
                <w:webHidden/>
              </w:rPr>
              <w:t>17</w:t>
            </w:r>
            <w:r w:rsidR="00CB5FF2">
              <w:rPr>
                <w:noProof/>
                <w:webHidden/>
              </w:rPr>
              <w:fldChar w:fldCharType="end"/>
            </w:r>
          </w:hyperlink>
        </w:p>
        <w:p w:rsidR="00CB5FF2" w:rsidP="00B12B02" w:rsidRDefault="00662932" w14:paraId="16825015" w14:textId="02EBAB1E">
          <w:pPr>
            <w:pStyle w:val="TOC1"/>
            <w:rPr>
              <w:rFonts w:asciiTheme="minorHAnsi" w:hAnsiTheme="minorHAnsi" w:eastAsiaTheme="minorEastAsia" w:cstheme="minorBidi"/>
              <w:noProof/>
              <w:lang w:val="en-US"/>
            </w:rPr>
          </w:pPr>
          <w:hyperlink w:history="1" w:anchor="_Toc204326343">
            <w:r w:rsidRPr="00BA1E10" w:rsidR="00CB5FF2">
              <w:rPr>
                <w:rStyle w:val="Hyperlink"/>
                <w:bCs/>
                <w:noProof/>
              </w:rPr>
              <w:t>5.</w:t>
            </w:r>
            <w:r w:rsidR="00CB5FF2">
              <w:rPr>
                <w:rFonts w:asciiTheme="minorHAnsi" w:hAnsiTheme="minorHAnsi" w:eastAsiaTheme="minorEastAsia" w:cstheme="minorBidi"/>
                <w:noProof/>
                <w:lang w:val="en-US"/>
              </w:rPr>
              <w:tab/>
            </w:r>
            <w:r w:rsidRPr="00BA1E10" w:rsidR="00CB5FF2">
              <w:rPr>
                <w:rStyle w:val="Hyperlink"/>
                <w:b/>
                <w:noProof/>
              </w:rPr>
              <w:t>KMETIJSTVO, RAZVOJ PODEŽELJA IN OKOLJE</w:t>
            </w:r>
            <w:r w:rsidR="00CB5FF2">
              <w:rPr>
                <w:noProof/>
                <w:webHidden/>
              </w:rPr>
              <w:tab/>
            </w:r>
            <w:r w:rsidR="00CB5FF2">
              <w:rPr>
                <w:noProof/>
                <w:webHidden/>
              </w:rPr>
              <w:fldChar w:fldCharType="begin"/>
            </w:r>
            <w:r w:rsidR="00CB5FF2">
              <w:rPr>
                <w:noProof/>
                <w:webHidden/>
              </w:rPr>
              <w:instrText xml:space="preserve"> PAGEREF _Toc204326343 \h </w:instrText>
            </w:r>
            <w:r w:rsidR="00CB5FF2">
              <w:rPr>
                <w:noProof/>
                <w:webHidden/>
              </w:rPr>
            </w:r>
            <w:r w:rsidR="00CB5FF2">
              <w:rPr>
                <w:noProof/>
                <w:webHidden/>
              </w:rPr>
              <w:fldChar w:fldCharType="separate"/>
            </w:r>
            <w:r w:rsidR="00CB5FF2">
              <w:rPr>
                <w:noProof/>
                <w:webHidden/>
              </w:rPr>
              <w:t>20</w:t>
            </w:r>
            <w:r w:rsidR="00CB5FF2">
              <w:rPr>
                <w:noProof/>
                <w:webHidden/>
              </w:rPr>
              <w:fldChar w:fldCharType="end"/>
            </w:r>
          </w:hyperlink>
        </w:p>
        <w:p w:rsidR="00CB5FF2" w:rsidP="00B12B02" w:rsidRDefault="00662932" w14:paraId="2046E0DD" w14:textId="615629E5">
          <w:pPr>
            <w:pStyle w:val="TOC1"/>
            <w:rPr>
              <w:rFonts w:asciiTheme="minorHAnsi" w:hAnsiTheme="minorHAnsi" w:eastAsiaTheme="minorEastAsia" w:cstheme="minorBidi"/>
              <w:noProof/>
              <w:lang w:val="en-US"/>
            </w:rPr>
          </w:pPr>
          <w:hyperlink w:history="1" w:anchor="_Toc204326344">
            <w:r w:rsidRPr="00BA1E10" w:rsidR="00CB5FF2">
              <w:rPr>
                <w:rStyle w:val="Hyperlink"/>
                <w:bCs/>
                <w:noProof/>
              </w:rPr>
              <w:t>6.</w:t>
            </w:r>
            <w:r w:rsidR="00CB5FF2">
              <w:rPr>
                <w:rFonts w:asciiTheme="minorHAnsi" w:hAnsiTheme="minorHAnsi" w:eastAsiaTheme="minorEastAsia" w:cstheme="minorBidi"/>
                <w:noProof/>
                <w:lang w:val="en-US"/>
              </w:rPr>
              <w:tab/>
            </w:r>
            <w:r w:rsidRPr="00BA1E10" w:rsidR="00CB5FF2">
              <w:rPr>
                <w:rStyle w:val="Hyperlink"/>
                <w:b/>
                <w:noProof/>
              </w:rPr>
              <w:t>ZUNANJI ODNOSI</w:t>
            </w:r>
            <w:r w:rsidR="00CB5FF2">
              <w:rPr>
                <w:noProof/>
                <w:webHidden/>
              </w:rPr>
              <w:tab/>
            </w:r>
            <w:r w:rsidR="00CB5FF2">
              <w:rPr>
                <w:noProof/>
                <w:webHidden/>
              </w:rPr>
              <w:fldChar w:fldCharType="begin"/>
            </w:r>
            <w:r w:rsidR="00CB5FF2">
              <w:rPr>
                <w:noProof/>
                <w:webHidden/>
              </w:rPr>
              <w:instrText xml:space="preserve"> PAGEREF _Toc204326344 \h </w:instrText>
            </w:r>
            <w:r w:rsidR="00CB5FF2">
              <w:rPr>
                <w:noProof/>
                <w:webHidden/>
              </w:rPr>
            </w:r>
            <w:r w:rsidR="00CB5FF2">
              <w:rPr>
                <w:noProof/>
                <w:webHidden/>
              </w:rPr>
              <w:fldChar w:fldCharType="separate"/>
            </w:r>
            <w:r w:rsidR="00CB5FF2">
              <w:rPr>
                <w:noProof/>
                <w:webHidden/>
              </w:rPr>
              <w:t>25</w:t>
            </w:r>
            <w:r w:rsidR="00CB5FF2">
              <w:rPr>
                <w:noProof/>
                <w:webHidden/>
              </w:rPr>
              <w:fldChar w:fldCharType="end"/>
            </w:r>
          </w:hyperlink>
        </w:p>
        <w:p w:rsidR="00CB5FF2" w:rsidP="00B12B02" w:rsidRDefault="00662932" w14:paraId="5A2D50B4" w14:textId="55CF967C">
          <w:pPr>
            <w:pStyle w:val="TOC1"/>
            <w:rPr>
              <w:rFonts w:asciiTheme="minorHAnsi" w:hAnsiTheme="minorHAnsi" w:eastAsiaTheme="minorEastAsia" w:cstheme="minorBidi"/>
              <w:noProof/>
              <w:lang w:val="en-US"/>
            </w:rPr>
          </w:pPr>
          <w:hyperlink w:history="1" w:anchor="_Toc204326345">
            <w:r w:rsidRPr="00BA1E10" w:rsidR="00CB5FF2">
              <w:rPr>
                <w:rStyle w:val="Hyperlink"/>
                <w:bCs/>
                <w:noProof/>
              </w:rPr>
              <w:t>7.</w:t>
            </w:r>
            <w:r w:rsidR="00CB5FF2">
              <w:rPr>
                <w:rFonts w:asciiTheme="minorHAnsi" w:hAnsiTheme="minorHAnsi" w:eastAsiaTheme="minorEastAsia" w:cstheme="minorBidi"/>
                <w:noProof/>
                <w:lang w:val="en-US"/>
              </w:rPr>
              <w:tab/>
            </w:r>
            <w:r w:rsidRPr="00BA1E10" w:rsidR="00CB5FF2">
              <w:rPr>
                <w:rStyle w:val="Hyperlink"/>
                <w:b/>
                <w:noProof/>
              </w:rPr>
              <w:t>POSVETOVALNA KOMISIJA ZA SPREMEMBE V INDUSTRIJI</w:t>
            </w:r>
            <w:r w:rsidR="00CB5FF2">
              <w:rPr>
                <w:noProof/>
                <w:webHidden/>
              </w:rPr>
              <w:tab/>
            </w:r>
            <w:r w:rsidR="00CB5FF2">
              <w:rPr>
                <w:noProof/>
                <w:webHidden/>
              </w:rPr>
              <w:fldChar w:fldCharType="begin"/>
            </w:r>
            <w:r w:rsidR="00CB5FF2">
              <w:rPr>
                <w:noProof/>
                <w:webHidden/>
              </w:rPr>
              <w:instrText xml:space="preserve"> PAGEREF _Toc204326345 \h </w:instrText>
            </w:r>
            <w:r w:rsidR="00CB5FF2">
              <w:rPr>
                <w:noProof/>
                <w:webHidden/>
              </w:rPr>
            </w:r>
            <w:r w:rsidR="00CB5FF2">
              <w:rPr>
                <w:noProof/>
                <w:webHidden/>
              </w:rPr>
              <w:fldChar w:fldCharType="separate"/>
            </w:r>
            <w:r w:rsidR="00CB5FF2">
              <w:rPr>
                <w:noProof/>
                <w:webHidden/>
              </w:rPr>
              <w:t>29</w:t>
            </w:r>
            <w:r w:rsidR="00CB5FF2">
              <w:rPr>
                <w:noProof/>
                <w:webHidden/>
              </w:rPr>
              <w:fldChar w:fldCharType="end"/>
            </w:r>
          </w:hyperlink>
        </w:p>
        <w:p w:rsidR="004D7AC0" w:rsidP="00D94D34" w:rsidRDefault="004D7AC0" w14:paraId="4982DD6A" w14:textId="177E021A">
          <w:r>
            <w:rPr>
              <w:b/>
            </w:rPr>
            <w:fldChar w:fldCharType="end"/>
          </w:r>
        </w:p>
      </w:sdtContent>
    </w:sdt>
    <w:p w:rsidR="004D7AC0" w:rsidP="00D94D34" w:rsidRDefault="004D7AC0" w14:paraId="4982DD6C" w14:textId="77777777">
      <w:pPr>
        <w:jc w:val="left"/>
      </w:pPr>
      <w:r>
        <w:br w:type="page"/>
      </w:r>
    </w:p>
    <w:p w:rsidR="004D7AC0" w:rsidP="00D94D34" w:rsidRDefault="004D7AC0" w14:paraId="4982DD6D" w14:textId="77777777">
      <w:pPr>
        <w:pStyle w:val="Heading1"/>
        <w:rPr>
          <w:b/>
        </w:rPr>
      </w:pPr>
      <w:bookmarkStart w:name="_Toc204326339" w:id="0"/>
      <w:r>
        <w:rPr>
          <w:b/>
        </w:rPr>
        <w:lastRenderedPageBreak/>
        <w:t>EKONOMSKA IN MONETARNA UNIJA TER EKONOMSKA IN SOCIALNA KOHEZIJA</w:t>
      </w:r>
      <w:bookmarkEnd w:id="0"/>
    </w:p>
    <w:p w:rsidR="004D7AC0" w:rsidP="00D94D34" w:rsidRDefault="004D7AC0" w14:paraId="4982DD6E" w14:textId="77777777"/>
    <w:p w:rsidRPr="00816C30" w:rsidR="00B12B02" w:rsidP="00641BDF" w:rsidRDefault="00662932" w14:paraId="2E10A3C6" w14:textId="77777777">
      <w:pPr>
        <w:numPr>
          <w:ilvl w:val="0"/>
          <w:numId w:val="29"/>
        </w:numPr>
        <w:suppressAutoHyphens/>
        <w:overflowPunct w:val="0"/>
        <w:autoSpaceDE w:val="0"/>
        <w:autoSpaceDN w:val="0"/>
        <w:adjustRightInd w:val="0"/>
        <w:spacing w:line="240" w:lineRule="auto"/>
        <w:ind w:left="927"/>
        <w:textAlignment w:val="baseline"/>
        <w:rPr>
          <w:rStyle w:val="Hyperlink"/>
          <w:b/>
          <w:sz w:val="28"/>
          <w:szCs w:val="28"/>
        </w:rPr>
      </w:pPr>
      <w:hyperlink w:history="1" r:id="rId15">
        <w:r w:rsidRPr="00816C30" w:rsidR="00B12B02">
          <w:rPr>
            <w:rStyle w:val="Hyperlink"/>
            <w:b/>
            <w:i/>
            <w:sz w:val="28"/>
            <w:szCs w:val="28"/>
          </w:rPr>
          <w:t>Sporočilo o uniji prihrankov in naložb</w:t>
        </w:r>
      </w:hyperlink>
    </w:p>
    <w:p w:rsidRPr="00FB1DC2" w:rsidR="00B12B02" w:rsidP="00B12B02" w:rsidRDefault="00B12B02" w14:paraId="4F67BFC4" w14:textId="77777777">
      <w:pPr>
        <w:suppressAutoHyphens/>
        <w:spacing w:line="276" w:lineRule="auto"/>
        <w:rPr>
          <w:bCs/>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804"/>
      </w:tblGrid>
      <w:tr w:rsidRPr="00FB1DC2" w:rsidR="00B12B02" w:rsidTr="00BB7F23" w14:paraId="44F95B8F" w14:textId="77777777">
        <w:tc>
          <w:tcPr>
            <w:tcW w:w="2518" w:type="dxa"/>
          </w:tcPr>
          <w:p w:rsidRPr="00FB1DC2" w:rsidR="00B12B02" w:rsidP="00BB7F23" w:rsidRDefault="00B12B02" w14:paraId="5A349E10" w14:textId="77777777">
            <w:pPr>
              <w:suppressAutoHyphens/>
              <w:spacing w:line="276" w:lineRule="auto"/>
              <w:ind w:left="176" w:hanging="284"/>
              <w:rPr>
                <w:b/>
              </w:rPr>
            </w:pPr>
            <w:r w:rsidRPr="00FB1DC2">
              <w:rPr>
                <w:b/>
              </w:rPr>
              <w:t>Poročevalec</w:t>
            </w:r>
          </w:p>
        </w:tc>
        <w:tc>
          <w:tcPr>
            <w:tcW w:w="6804" w:type="dxa"/>
          </w:tcPr>
          <w:p w:rsidRPr="00FB1DC2" w:rsidR="00B12B02" w:rsidP="00BB7F23" w:rsidRDefault="00B12B02" w14:paraId="2FA0C02D" w14:textId="77777777">
            <w:pPr>
              <w:tabs>
                <w:tab w:val="center" w:pos="284"/>
              </w:tabs>
              <w:suppressAutoHyphens/>
              <w:spacing w:line="276" w:lineRule="auto"/>
            </w:pPr>
            <w:r w:rsidRPr="00FB1DC2">
              <w:t>Petru Sorin DANDEA (skupina delojemalcev – RO)</w:t>
            </w:r>
          </w:p>
        </w:tc>
      </w:tr>
      <w:tr w:rsidRPr="00FB1DC2" w:rsidR="00B12B02" w:rsidTr="00BB7F23" w14:paraId="31E6D7A4" w14:textId="77777777">
        <w:tc>
          <w:tcPr>
            <w:tcW w:w="9322" w:type="dxa"/>
            <w:gridSpan w:val="2"/>
          </w:tcPr>
          <w:p w:rsidRPr="00FB1DC2" w:rsidR="00B12B02" w:rsidP="00BB7F23" w:rsidRDefault="00B12B02" w14:paraId="2D3A554B" w14:textId="77777777">
            <w:pPr>
              <w:tabs>
                <w:tab w:val="center" w:pos="284"/>
              </w:tabs>
              <w:suppressAutoHyphens/>
              <w:spacing w:line="276" w:lineRule="auto"/>
              <w:ind w:left="266" w:hanging="266"/>
              <w:rPr>
                <w:sz w:val="16"/>
                <w:szCs w:val="16"/>
              </w:rPr>
            </w:pPr>
          </w:p>
        </w:tc>
      </w:tr>
      <w:tr w:rsidRPr="00FB1DC2" w:rsidR="00B12B02" w:rsidTr="00BB7F23" w14:paraId="33696BE2" w14:textId="77777777">
        <w:tc>
          <w:tcPr>
            <w:tcW w:w="2518" w:type="dxa"/>
          </w:tcPr>
          <w:p w:rsidRPr="00FB1DC2" w:rsidR="00B12B02" w:rsidP="00BB7F23" w:rsidRDefault="00B12B02" w14:paraId="7FEB8DA9" w14:textId="77777777">
            <w:pPr>
              <w:tabs>
                <w:tab w:val="center" w:pos="284"/>
              </w:tabs>
              <w:suppressAutoHyphens/>
              <w:spacing w:line="276" w:lineRule="auto"/>
              <w:ind w:left="266" w:hanging="374"/>
              <w:rPr>
                <w:b/>
              </w:rPr>
            </w:pPr>
            <w:r w:rsidRPr="00FB1DC2">
              <w:rPr>
                <w:b/>
              </w:rPr>
              <w:t>Referenčna dokumenta</w:t>
            </w:r>
          </w:p>
        </w:tc>
        <w:tc>
          <w:tcPr>
            <w:tcW w:w="6804" w:type="dxa"/>
          </w:tcPr>
          <w:p w:rsidRPr="00FB1DC2" w:rsidR="00B12B02" w:rsidP="00BB7F23" w:rsidRDefault="00B12B02" w14:paraId="0AA6797E" w14:textId="77777777">
            <w:pPr>
              <w:tabs>
                <w:tab w:val="center" w:pos="284"/>
              </w:tabs>
              <w:suppressAutoHyphens/>
              <w:spacing w:line="276" w:lineRule="auto"/>
            </w:pPr>
            <w:r w:rsidRPr="00FB1DC2">
              <w:t>COM(2025) 124 final</w:t>
            </w:r>
          </w:p>
          <w:p w:rsidRPr="00FB1DC2" w:rsidR="00B12B02" w:rsidP="00BB7F23" w:rsidRDefault="00B12B02" w14:paraId="2F8F9C3C" w14:textId="63828D3B">
            <w:pPr>
              <w:tabs>
                <w:tab w:val="center" w:pos="284"/>
              </w:tabs>
              <w:suppressAutoHyphens/>
              <w:spacing w:line="276" w:lineRule="auto"/>
              <w:rPr>
                <w:highlight w:val="yellow"/>
              </w:rPr>
            </w:pPr>
            <w:r w:rsidRPr="00FB1DC2">
              <w:t>EESC-2025-01045-00-00-AC</w:t>
            </w:r>
          </w:p>
        </w:tc>
      </w:tr>
    </w:tbl>
    <w:p w:rsidRPr="00FB1DC2" w:rsidR="00B12B02" w:rsidP="00B12B02" w:rsidRDefault="00B12B02" w14:paraId="6E5C9EE1" w14:textId="77777777">
      <w:pPr>
        <w:tabs>
          <w:tab w:val="center" w:pos="284"/>
        </w:tabs>
        <w:suppressAutoHyphens/>
        <w:spacing w:line="240" w:lineRule="auto"/>
        <w:ind w:left="266" w:hanging="266"/>
        <w:rPr>
          <w:bCs/>
          <w:lang w:val="pt-PT"/>
        </w:rPr>
      </w:pPr>
    </w:p>
    <w:p w:rsidRPr="00FB1DC2" w:rsidR="00B12B02" w:rsidP="00B12B02" w:rsidRDefault="00B12B02" w14:paraId="72481F83" w14:textId="77777777">
      <w:pPr>
        <w:tabs>
          <w:tab w:val="center" w:pos="284"/>
        </w:tabs>
        <w:suppressAutoHyphens/>
        <w:spacing w:line="276" w:lineRule="auto"/>
        <w:ind w:left="266" w:hanging="266"/>
        <w:rPr>
          <w:b/>
        </w:rPr>
      </w:pPr>
      <w:r w:rsidRPr="00FB1DC2">
        <w:rPr>
          <w:b/>
        </w:rPr>
        <w:t>Glavne točke</w:t>
      </w:r>
    </w:p>
    <w:p w:rsidRPr="00FB1DC2" w:rsidR="00B12B02" w:rsidP="00B12B02" w:rsidRDefault="00B12B02" w14:paraId="53EDD582" w14:textId="77777777">
      <w:pPr>
        <w:tabs>
          <w:tab w:val="center" w:pos="284"/>
        </w:tabs>
        <w:suppressAutoHyphens/>
        <w:spacing w:line="240" w:lineRule="auto"/>
        <w:ind w:left="266" w:hanging="266"/>
        <w:rPr>
          <w:bCs/>
        </w:rPr>
      </w:pPr>
    </w:p>
    <w:p w:rsidR="00B12B02" w:rsidP="00B12B02" w:rsidRDefault="00B12B02" w14:paraId="6624ABE0" w14:textId="7A4870B1">
      <w:pPr>
        <w:suppressAutoHyphens/>
        <w:spacing w:line="276" w:lineRule="auto"/>
        <w:ind w:left="425" w:hanging="425"/>
      </w:pPr>
      <w:r w:rsidRPr="00FB1DC2">
        <w:t>EESO</w:t>
      </w:r>
    </w:p>
    <w:p w:rsidRPr="00FB1DC2" w:rsidR="00B12B02" w:rsidP="00632498" w:rsidRDefault="00B12B02" w14:paraId="27E28D70" w14:textId="77777777">
      <w:pPr>
        <w:numPr>
          <w:ilvl w:val="0"/>
          <w:numId w:val="3"/>
        </w:numPr>
        <w:suppressAutoHyphens/>
        <w:overflowPunct w:val="0"/>
        <w:autoSpaceDE w:val="0"/>
        <w:autoSpaceDN w:val="0"/>
        <w:adjustRightInd w:val="0"/>
        <w:spacing w:line="276" w:lineRule="auto"/>
        <w:ind w:left="426" w:hanging="426"/>
        <w:textAlignment w:val="baseline"/>
      </w:pPr>
      <w:r w:rsidRPr="00FB1DC2">
        <w:t>pozdravlja sporočilo Komisije o uniji prihrankov in naložb;</w:t>
      </w:r>
    </w:p>
    <w:p w:rsidRPr="00FB1DC2" w:rsidR="00B12B02" w:rsidP="00632498" w:rsidRDefault="00B12B02" w14:paraId="3958CC18" w14:textId="77777777">
      <w:pPr>
        <w:numPr>
          <w:ilvl w:val="0"/>
          <w:numId w:val="3"/>
        </w:numPr>
        <w:suppressAutoHyphens/>
        <w:overflowPunct w:val="0"/>
        <w:autoSpaceDE w:val="0"/>
        <w:autoSpaceDN w:val="0"/>
        <w:adjustRightInd w:val="0"/>
        <w:spacing w:line="276" w:lineRule="auto"/>
        <w:ind w:left="426" w:hanging="426"/>
        <w:textAlignment w:val="baseline"/>
      </w:pPr>
      <w:r w:rsidRPr="00FB1DC2">
        <w:t>meni, da je uspeh unije prihrankov in naložb odvisen od določitve jasnih ciljev doseganja resnične in oprijemljive koristi za državljane in podjetja v EU, financiranja realnega gospodarstva, spodbujanja pravičnega prehoda, omogočanja pravične porazdelitve stroškov, dobičkov in tveganj ter ohranjanja stabilnost finančnega trga;</w:t>
      </w:r>
    </w:p>
    <w:p w:rsidRPr="00FB1DC2" w:rsidR="00B12B02" w:rsidP="00632498" w:rsidRDefault="00B12B02" w14:paraId="1E9A765C" w14:textId="77777777">
      <w:pPr>
        <w:numPr>
          <w:ilvl w:val="0"/>
          <w:numId w:val="3"/>
        </w:numPr>
        <w:suppressAutoHyphens/>
        <w:overflowPunct w:val="0"/>
        <w:autoSpaceDE w:val="0"/>
        <w:autoSpaceDN w:val="0"/>
        <w:adjustRightInd w:val="0"/>
        <w:spacing w:line="276" w:lineRule="auto"/>
        <w:ind w:left="426" w:hanging="426"/>
        <w:textAlignment w:val="baseline"/>
      </w:pPr>
      <w:r w:rsidRPr="00FB1DC2">
        <w:t xml:space="preserve">ugotavlja, da je razdrobljenost ena ključnih ovir za učinkovit pretok kapitala. V zvezi s tem pozdravlja poudarek na povečanju interoperabilnosti, medsebojne povezanosti in učinkovitosti trgovalne in </w:t>
      </w:r>
      <w:proofErr w:type="spellStart"/>
      <w:r w:rsidRPr="00FB1DC2">
        <w:t>potrgovalne</w:t>
      </w:r>
      <w:proofErr w:type="spellEnd"/>
      <w:r w:rsidRPr="00FB1DC2">
        <w:t xml:space="preserve"> infrastrukture EU ter ugotavlja, da povezani trgi zahtevajo tudi povezan nadzor;</w:t>
      </w:r>
    </w:p>
    <w:p w:rsidRPr="00FB1DC2" w:rsidR="00B12B02" w:rsidP="00632498" w:rsidRDefault="00B12B02" w14:paraId="26BB5F65" w14:textId="77777777">
      <w:pPr>
        <w:numPr>
          <w:ilvl w:val="0"/>
          <w:numId w:val="3"/>
        </w:numPr>
        <w:suppressAutoHyphens/>
        <w:overflowPunct w:val="0"/>
        <w:autoSpaceDE w:val="0"/>
        <w:autoSpaceDN w:val="0"/>
        <w:adjustRightInd w:val="0"/>
        <w:spacing w:line="276" w:lineRule="auto"/>
        <w:ind w:left="426" w:hanging="426"/>
        <w:textAlignment w:val="baseline"/>
      </w:pPr>
      <w:r w:rsidRPr="00FB1DC2">
        <w:t>priporoča, da so upravljavci večje čezmejne finančne infrastrukture pod neposrednim nadzorom Evropskega organa za vrednostne papirje in trge (ESMA), in predlaga, da se ustrezno okrepijo pristojnosti in zmogljivosti organa ESMA ter njegovi viri;</w:t>
      </w:r>
    </w:p>
    <w:p w:rsidRPr="00FB1DC2" w:rsidR="00B12B02" w:rsidP="00632498" w:rsidRDefault="00B12B02" w14:paraId="7D477377" w14:textId="77777777">
      <w:pPr>
        <w:numPr>
          <w:ilvl w:val="0"/>
          <w:numId w:val="3"/>
        </w:numPr>
        <w:suppressAutoHyphens/>
        <w:overflowPunct w:val="0"/>
        <w:autoSpaceDE w:val="0"/>
        <w:autoSpaceDN w:val="0"/>
        <w:adjustRightInd w:val="0"/>
        <w:spacing w:line="276" w:lineRule="auto"/>
        <w:ind w:left="426" w:hanging="426"/>
        <w:textAlignment w:val="baseline"/>
      </w:pPr>
      <w:r w:rsidRPr="00FB1DC2">
        <w:t>predlaga, da se prizadevanja osredotočijo na lastniško financiranje, s čimer bi mala in srednja podjetja spodbudili k diverzifikaciji njihovih virov financiranja in nazadnje omogočili prevzemanja tveganj in inovacij, da bi lahko vlagatelji sodelovali pri ustvarjanju vrednosti. Poleg tega bi bilo treba trge lastniških instrumentov okrepiti z nadaljnjo uskladitvijo ustreznih predpisov o podjetjih, insolventnosti in davkih;</w:t>
      </w:r>
    </w:p>
    <w:p w:rsidRPr="00FB1DC2" w:rsidR="00B12B02" w:rsidP="00632498" w:rsidRDefault="00B12B02" w14:paraId="39258AE6" w14:textId="77777777">
      <w:pPr>
        <w:numPr>
          <w:ilvl w:val="0"/>
          <w:numId w:val="3"/>
        </w:numPr>
        <w:suppressAutoHyphens/>
        <w:overflowPunct w:val="0"/>
        <w:autoSpaceDE w:val="0"/>
        <w:autoSpaceDN w:val="0"/>
        <w:adjustRightInd w:val="0"/>
        <w:spacing w:line="276" w:lineRule="auto"/>
        <w:ind w:left="426" w:hanging="426"/>
        <w:textAlignment w:val="baseline"/>
      </w:pPr>
      <w:r w:rsidRPr="00FB1DC2">
        <w:t>poudarja, da je treba s ponudbo prepričljivih spodbud za podjetnike in zaposlene, da ostanejo in delajo v Evropi, obrniti trend „bega možganov“ visoko usposobljenih, inovativnih raziskovalcev in podjetnikov;</w:t>
      </w:r>
    </w:p>
    <w:p w:rsidRPr="00FB1DC2" w:rsidR="00B12B02" w:rsidP="00632498" w:rsidRDefault="00B12B02" w14:paraId="704E7E55" w14:textId="77777777">
      <w:pPr>
        <w:numPr>
          <w:ilvl w:val="0"/>
          <w:numId w:val="3"/>
        </w:numPr>
        <w:suppressAutoHyphens/>
        <w:overflowPunct w:val="0"/>
        <w:autoSpaceDE w:val="0"/>
        <w:autoSpaceDN w:val="0"/>
        <w:adjustRightInd w:val="0"/>
        <w:spacing w:line="276" w:lineRule="auto"/>
        <w:ind w:left="426" w:hanging="426"/>
        <w:textAlignment w:val="baseline"/>
      </w:pPr>
      <w:r w:rsidRPr="00FB1DC2">
        <w:t>meni, da je treba varčevalce EU spodbujati, da bi postali mali vlagatelji. Vlagatelji bi morali imeti dostop do najširšega možnega nabora varnih, stroškovno učinkovitih, preglednih in donosnih naložbenih možnosti. Pogoj za to je odprt, živahen in konkurenčen trg za čezmejne naložbene storitve, vključno s cenovno dostopnim in visokokakovostnim investicijskim svetovanjem;</w:t>
      </w:r>
    </w:p>
    <w:p w:rsidRPr="00FB1DC2" w:rsidR="00B12B02" w:rsidP="00632498" w:rsidRDefault="00B12B02" w14:paraId="0E51687C" w14:textId="77777777">
      <w:pPr>
        <w:numPr>
          <w:ilvl w:val="0"/>
          <w:numId w:val="3"/>
        </w:numPr>
        <w:suppressAutoHyphens/>
        <w:overflowPunct w:val="0"/>
        <w:autoSpaceDE w:val="0"/>
        <w:autoSpaceDN w:val="0"/>
        <w:adjustRightInd w:val="0"/>
        <w:spacing w:line="276" w:lineRule="auto"/>
        <w:ind w:left="426" w:hanging="426"/>
        <w:textAlignment w:val="baseline"/>
      </w:pPr>
      <w:r w:rsidRPr="00FB1DC2">
        <w:t>poziva Komisijo, naj opredeli in objavi preglednico ključnih kazalnikov uspešnosti za spremljanje napredka pri izvajanju unije prihrankov in naložb.</w:t>
      </w:r>
    </w:p>
    <w:p w:rsidRPr="00FB1DC2" w:rsidR="00B12B02" w:rsidP="00B12B02" w:rsidRDefault="00B12B02" w14:paraId="64221C36" w14:textId="77777777">
      <w:pPr>
        <w:spacing w:line="240" w:lineRule="auto"/>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229"/>
      </w:tblGrid>
      <w:tr w:rsidRPr="00FB1DC2" w:rsidR="00B12B02" w:rsidTr="00BB7F23" w14:paraId="50B31DD9" w14:textId="77777777">
        <w:tc>
          <w:tcPr>
            <w:tcW w:w="2093" w:type="dxa"/>
          </w:tcPr>
          <w:p w:rsidRPr="00FB1DC2" w:rsidR="00B12B02" w:rsidP="00B12B02" w:rsidRDefault="00B12B02" w14:paraId="0BA1222E" w14:textId="77777777">
            <w:pPr>
              <w:suppressAutoHyphens/>
              <w:rPr>
                <w:b/>
                <w:bCs/>
                <w:i/>
              </w:rPr>
            </w:pPr>
            <w:r w:rsidRPr="00FB1DC2">
              <w:rPr>
                <w:b/>
                <w:bCs/>
                <w:i/>
              </w:rPr>
              <w:t>Kontaktna oseba</w:t>
            </w:r>
          </w:p>
        </w:tc>
        <w:tc>
          <w:tcPr>
            <w:tcW w:w="7229" w:type="dxa"/>
          </w:tcPr>
          <w:p w:rsidRPr="00FB1DC2" w:rsidR="00B12B02" w:rsidP="00B12B02" w:rsidRDefault="00B12B02" w14:paraId="3FA8FB07" w14:textId="44961D58">
            <w:pPr>
              <w:suppressAutoHyphens/>
              <w:rPr>
                <w:bCs/>
                <w:i/>
                <w:iCs/>
              </w:rPr>
            </w:pPr>
            <w:r w:rsidRPr="00FB1DC2">
              <w:rPr>
                <w:i/>
              </w:rPr>
              <w:t xml:space="preserve">Sergio </w:t>
            </w:r>
            <w:r w:rsidRPr="00FB1DC2" w:rsidR="00641BDF">
              <w:rPr>
                <w:i/>
              </w:rPr>
              <w:t>LORENCIO MATALLANA</w:t>
            </w:r>
          </w:p>
        </w:tc>
      </w:tr>
      <w:tr w:rsidRPr="00FB1DC2" w:rsidR="00B12B02" w:rsidTr="00BB7F23" w14:paraId="7ED69D6D" w14:textId="77777777">
        <w:tc>
          <w:tcPr>
            <w:tcW w:w="2093" w:type="dxa"/>
          </w:tcPr>
          <w:p w:rsidRPr="00CD1B7F" w:rsidR="00B12B02" w:rsidP="00B12B02" w:rsidRDefault="00B12B02" w14:paraId="028CF3AA" w14:textId="77777777">
            <w:pPr>
              <w:suppressAutoHyphens/>
              <w:rPr>
                <w:i/>
              </w:rPr>
            </w:pPr>
            <w:r w:rsidRPr="00CD1B7F">
              <w:rPr>
                <w:i/>
              </w:rPr>
              <w:t>Telefon</w:t>
            </w:r>
          </w:p>
        </w:tc>
        <w:tc>
          <w:tcPr>
            <w:tcW w:w="7229" w:type="dxa"/>
          </w:tcPr>
          <w:p w:rsidRPr="00FB1DC2" w:rsidR="00B12B02" w:rsidP="00B12B02" w:rsidRDefault="00B12B02" w14:paraId="746C6E76" w14:textId="77777777">
            <w:pPr>
              <w:suppressAutoHyphens/>
              <w:rPr>
                <w:i/>
                <w:iCs/>
              </w:rPr>
            </w:pPr>
            <w:r w:rsidRPr="00FB1DC2">
              <w:rPr>
                <w:i/>
              </w:rPr>
              <w:t>+32 2</w:t>
            </w:r>
            <w:r w:rsidRPr="00FB1DC2">
              <w:t xml:space="preserve"> </w:t>
            </w:r>
            <w:r w:rsidRPr="00FB1DC2">
              <w:rPr>
                <w:i/>
              </w:rPr>
              <w:t>5469240</w:t>
            </w:r>
          </w:p>
        </w:tc>
      </w:tr>
      <w:tr w:rsidRPr="00FB1DC2" w:rsidR="00B12B02" w:rsidTr="00BB7F23" w14:paraId="55366C93" w14:textId="77777777">
        <w:tc>
          <w:tcPr>
            <w:tcW w:w="2093" w:type="dxa"/>
          </w:tcPr>
          <w:p w:rsidRPr="00CD1B7F" w:rsidR="00B12B02" w:rsidP="00B12B02" w:rsidRDefault="00B12B02" w14:paraId="0A625969" w14:textId="77777777">
            <w:pPr>
              <w:suppressAutoHyphens/>
              <w:rPr>
                <w:i/>
              </w:rPr>
            </w:pPr>
            <w:r w:rsidRPr="00CD1B7F">
              <w:rPr>
                <w:i/>
              </w:rPr>
              <w:t>E-naslov</w:t>
            </w:r>
          </w:p>
        </w:tc>
        <w:tc>
          <w:tcPr>
            <w:tcW w:w="7229" w:type="dxa"/>
          </w:tcPr>
          <w:p w:rsidRPr="00FB1DC2" w:rsidR="00B12B02" w:rsidP="00B12B02" w:rsidRDefault="00662932" w14:paraId="7A0CB987" w14:textId="77777777">
            <w:pPr>
              <w:suppressAutoHyphens/>
              <w:rPr>
                <w:i/>
                <w:iCs/>
              </w:rPr>
            </w:pPr>
            <w:hyperlink w:history="1" r:id="rId16">
              <w:r w:rsidRPr="00FB1DC2" w:rsidR="00B12B02">
                <w:rPr>
                  <w:rStyle w:val="Hyperlink"/>
                  <w:i/>
                </w:rPr>
                <w:t>Sergio.LorencioMatallana@eesc.europa.eu</w:t>
              </w:r>
            </w:hyperlink>
          </w:p>
        </w:tc>
      </w:tr>
    </w:tbl>
    <w:p w:rsidR="004F5FB2" w:rsidP="00D94D34" w:rsidRDefault="004F5FB2" w14:paraId="1D555F93" w14:textId="77777777">
      <w:pPr>
        <w:jc w:val="left"/>
      </w:pPr>
      <w:r>
        <w:br w:type="page"/>
      </w:r>
    </w:p>
    <w:p w:rsidRPr="00281901" w:rsidR="00977F90" w:rsidP="00632498" w:rsidRDefault="00662932" w14:paraId="460CBD00" w14:textId="77777777">
      <w:pPr>
        <w:widowControl w:val="0"/>
        <w:numPr>
          <w:ilvl w:val="0"/>
          <w:numId w:val="28"/>
        </w:numPr>
        <w:overflowPunct w:val="0"/>
        <w:autoSpaceDE w:val="0"/>
        <w:autoSpaceDN w:val="0"/>
        <w:adjustRightInd w:val="0"/>
        <w:spacing w:line="264" w:lineRule="auto"/>
        <w:textAlignment w:val="baseline"/>
        <w:rPr>
          <w:b/>
          <w:i/>
          <w:iCs/>
          <w:sz w:val="28"/>
          <w:szCs w:val="28"/>
        </w:rPr>
      </w:pPr>
      <w:hyperlink w:history="1" r:id="rId17">
        <w:r w:rsidRPr="00281901" w:rsidR="00977F90">
          <w:rPr>
            <w:rStyle w:val="Hyperlink"/>
            <w:b/>
            <w:i/>
            <w:sz w:val="28"/>
          </w:rPr>
          <w:t>Gospodarski učinek izvajanja sistema EU za trgovanje z emisijami (ETS)</w:t>
        </w:r>
      </w:hyperlink>
    </w:p>
    <w:p w:rsidRPr="00CF02B6" w:rsidR="00977F90" w:rsidP="00977F90" w:rsidRDefault="00977F90" w14:paraId="71BB786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4"/>
      </w:tblGrid>
      <w:tr w:rsidRPr="00A6689B" w:rsidR="00977F90" w:rsidTr="00641BDF" w14:paraId="2DD7157D" w14:textId="77777777">
        <w:tc>
          <w:tcPr>
            <w:tcW w:w="2268" w:type="dxa"/>
          </w:tcPr>
          <w:p w:rsidRPr="00A6689B" w:rsidR="00977F90" w:rsidP="00BB7F23" w:rsidRDefault="00977F90" w14:paraId="4007B5C1" w14:textId="77777777">
            <w:pPr>
              <w:tabs>
                <w:tab w:val="center" w:pos="284"/>
              </w:tabs>
              <w:spacing w:line="264" w:lineRule="auto"/>
              <w:ind w:left="266" w:hanging="266"/>
              <w:rPr>
                <w:b/>
              </w:rPr>
            </w:pPr>
            <w:r>
              <w:rPr>
                <w:b/>
              </w:rPr>
              <w:t>Poročevalec</w:t>
            </w:r>
          </w:p>
        </w:tc>
        <w:tc>
          <w:tcPr>
            <w:tcW w:w="6804" w:type="dxa"/>
          </w:tcPr>
          <w:p w:rsidRPr="00A37E38" w:rsidR="00977F90" w:rsidP="00BB7F23" w:rsidRDefault="00977F90" w14:paraId="02D483F6" w14:textId="77777777">
            <w:pPr>
              <w:tabs>
                <w:tab w:val="center" w:pos="284"/>
              </w:tabs>
              <w:spacing w:line="264" w:lineRule="auto"/>
              <w:ind w:left="266" w:hanging="266"/>
              <w:rPr>
                <w:bCs/>
              </w:rPr>
            </w:pPr>
            <w:r>
              <w:t>Krister ANDERSSON (skupina delodajalcev – SE)</w:t>
            </w:r>
          </w:p>
        </w:tc>
      </w:tr>
      <w:tr w:rsidRPr="00977F90" w:rsidR="00977F90" w:rsidTr="00641BDF" w14:paraId="14F20D43" w14:textId="77777777">
        <w:tc>
          <w:tcPr>
            <w:tcW w:w="9072" w:type="dxa"/>
            <w:gridSpan w:val="2"/>
          </w:tcPr>
          <w:p w:rsidRPr="00281901" w:rsidR="00977F90" w:rsidP="00977F90" w:rsidRDefault="00977F90" w14:paraId="2F601AD4" w14:textId="77777777">
            <w:pPr>
              <w:tabs>
                <w:tab w:val="center" w:pos="284"/>
              </w:tabs>
              <w:spacing w:line="240" w:lineRule="auto"/>
              <w:ind w:left="266" w:hanging="266"/>
              <w:rPr>
                <w:sz w:val="16"/>
                <w:szCs w:val="16"/>
                <w:lang w:val="sv-SE"/>
              </w:rPr>
            </w:pPr>
          </w:p>
        </w:tc>
      </w:tr>
      <w:tr w:rsidRPr="00A6689B" w:rsidR="00977F90" w:rsidTr="00641BDF" w14:paraId="66449E25" w14:textId="77777777">
        <w:tc>
          <w:tcPr>
            <w:tcW w:w="2268" w:type="dxa"/>
          </w:tcPr>
          <w:p w:rsidRPr="00A6689B" w:rsidR="00977F90" w:rsidP="00BB7F23" w:rsidRDefault="00977F90" w14:paraId="24F37971" w14:textId="77777777">
            <w:pPr>
              <w:tabs>
                <w:tab w:val="center" w:pos="284"/>
              </w:tabs>
              <w:spacing w:line="264" w:lineRule="auto"/>
              <w:ind w:left="266" w:hanging="266"/>
              <w:rPr>
                <w:b/>
              </w:rPr>
            </w:pPr>
            <w:r>
              <w:rPr>
                <w:b/>
              </w:rPr>
              <w:t>Referenčni dokument</w:t>
            </w:r>
          </w:p>
        </w:tc>
        <w:tc>
          <w:tcPr>
            <w:tcW w:w="6804" w:type="dxa"/>
          </w:tcPr>
          <w:p w:rsidR="00977F90" w:rsidP="00BB7F23" w:rsidRDefault="00977F90" w14:paraId="3C60A2F2" w14:textId="77777777">
            <w:pPr>
              <w:tabs>
                <w:tab w:val="center" w:pos="284"/>
              </w:tabs>
              <w:spacing w:line="264" w:lineRule="auto"/>
              <w:ind w:left="266" w:hanging="266"/>
            </w:pPr>
            <w:r>
              <w:t>mnenje na lastno pobudo</w:t>
            </w:r>
          </w:p>
          <w:p w:rsidRPr="00C232CB" w:rsidR="00977F90" w:rsidP="00BB7F23" w:rsidRDefault="00977F90" w14:paraId="2B869D13" w14:textId="51FCD3E1">
            <w:pPr>
              <w:tabs>
                <w:tab w:val="center" w:pos="284"/>
              </w:tabs>
              <w:spacing w:line="264" w:lineRule="auto"/>
              <w:ind w:left="266" w:hanging="266"/>
            </w:pPr>
            <w:r>
              <w:t>EESC-2025-01434-00-00-AC</w:t>
            </w:r>
          </w:p>
        </w:tc>
      </w:tr>
    </w:tbl>
    <w:p w:rsidRPr="00641BDF" w:rsidR="00977F90" w:rsidP="00977F90" w:rsidRDefault="00977F90" w14:paraId="7173CCC7" w14:textId="77777777">
      <w:pPr>
        <w:tabs>
          <w:tab w:val="center" w:pos="284"/>
        </w:tabs>
        <w:suppressAutoHyphens/>
        <w:spacing w:line="264" w:lineRule="auto"/>
        <w:ind w:left="266" w:hanging="266"/>
        <w:rPr>
          <w:bCs/>
        </w:rPr>
      </w:pPr>
    </w:p>
    <w:p w:rsidR="00977F90" w:rsidP="00977F90" w:rsidRDefault="00977F90" w14:paraId="0283D83F" w14:textId="77777777">
      <w:pPr>
        <w:tabs>
          <w:tab w:val="center" w:pos="284"/>
        </w:tabs>
        <w:suppressAutoHyphens/>
        <w:spacing w:line="264" w:lineRule="auto"/>
        <w:ind w:left="266" w:hanging="266"/>
        <w:rPr>
          <w:b/>
        </w:rPr>
      </w:pPr>
      <w:r>
        <w:rPr>
          <w:b/>
        </w:rPr>
        <w:t>Glavne točke</w:t>
      </w:r>
    </w:p>
    <w:p w:rsidRPr="00641BDF" w:rsidR="00977F90" w:rsidP="00977F90" w:rsidRDefault="00977F90" w14:paraId="170B965F" w14:textId="77777777">
      <w:pPr>
        <w:tabs>
          <w:tab w:val="center" w:pos="284"/>
        </w:tabs>
        <w:suppressAutoHyphens/>
        <w:spacing w:line="264" w:lineRule="auto"/>
        <w:ind w:left="266" w:hanging="266"/>
        <w:rPr>
          <w:bCs/>
        </w:rPr>
      </w:pPr>
    </w:p>
    <w:p w:rsidRPr="00CD1B7F" w:rsidR="00977F90" w:rsidP="00CD1B7F" w:rsidRDefault="00977F90" w14:paraId="04C4FAA6" w14:textId="3C714350">
      <w:pPr>
        <w:spacing w:line="264" w:lineRule="auto"/>
        <w:rPr>
          <w:bCs/>
          <w:iCs/>
        </w:rPr>
      </w:pPr>
      <w:r>
        <w:t>EESO</w:t>
      </w:r>
    </w:p>
    <w:p w:rsidRPr="00E74DCA" w:rsidR="00977F90" w:rsidP="00632498" w:rsidRDefault="00977F90" w14:paraId="13D0597F" w14:textId="77777777">
      <w:pPr>
        <w:pStyle w:val="Heading2"/>
        <w:numPr>
          <w:ilvl w:val="0"/>
          <w:numId w:val="4"/>
        </w:numPr>
        <w:spacing w:line="264" w:lineRule="auto"/>
        <w:ind w:left="426" w:hanging="426"/>
      </w:pPr>
      <w:r>
        <w:t xml:space="preserve">se strinja s splošnimi cilji sistema EU za trgovanje z emisijami s pokrovom (sistem trgovanja z emisijami – ETS) pri doseganju zelenega in nizkoogljičnega gospodarstva; </w:t>
      </w:r>
    </w:p>
    <w:p w:rsidRPr="00E74DCA" w:rsidR="00977F90" w:rsidP="00632498" w:rsidRDefault="00977F90" w14:paraId="3B06108A" w14:textId="77777777">
      <w:pPr>
        <w:pStyle w:val="Heading2"/>
        <w:numPr>
          <w:ilvl w:val="0"/>
          <w:numId w:val="4"/>
        </w:numPr>
        <w:spacing w:line="264" w:lineRule="auto"/>
        <w:ind w:left="426" w:hanging="426"/>
      </w:pPr>
      <w:r>
        <w:t>ugotavlja, da bi bilo treba pri zasnovi in izvajanju sistema upoštevati posledice za delovna mesta v Evropi in njegov družbeni vpliv. Potrebna sta temeljita analiza in ocena vpliva na sektorje, vrednostne verige, regije in države na podlagi skupno dogovorjene celovite metodologije;</w:t>
      </w:r>
    </w:p>
    <w:p w:rsidRPr="00E74DCA" w:rsidR="00977F90" w:rsidP="00632498" w:rsidRDefault="00977F90" w14:paraId="72B548D5" w14:textId="77777777">
      <w:pPr>
        <w:pStyle w:val="Heading2"/>
        <w:numPr>
          <w:ilvl w:val="0"/>
          <w:numId w:val="4"/>
        </w:numPr>
        <w:spacing w:line="264" w:lineRule="auto"/>
        <w:ind w:left="426" w:hanging="426"/>
      </w:pPr>
      <w:r>
        <w:t>poudarja, da je treba najti ustrezno ravnovesje med doseganjem splošnih okoljskih ciljev in preprečevanjem gospodarskih izkrivljanj oziroma ogrožanjem konkurenčnosti evropskega gospodarstva. Ob tem je treba znatno izboljšati ekonomske analize Komisije;</w:t>
      </w:r>
    </w:p>
    <w:p w:rsidRPr="00E74DCA" w:rsidR="00977F90" w:rsidP="00632498" w:rsidRDefault="00977F90" w14:paraId="2FB81741" w14:textId="77777777">
      <w:pPr>
        <w:pStyle w:val="Heading2"/>
        <w:numPr>
          <w:ilvl w:val="0"/>
          <w:numId w:val="4"/>
        </w:numPr>
        <w:spacing w:line="264" w:lineRule="auto"/>
        <w:ind w:left="426" w:hanging="426"/>
      </w:pPr>
      <w:r>
        <w:t>poudarja, da ima mehanizem ETS več nevarnih posledic v zvezi s stroški zagotavljanja skladnosti in potencialnimi izkrivljajočimi učinki ter povzročanjem upravnega bremena;</w:t>
      </w:r>
    </w:p>
    <w:p w:rsidRPr="00E74DCA" w:rsidR="00977F90" w:rsidP="00632498" w:rsidRDefault="00977F90" w14:paraId="4460E677" w14:textId="77777777">
      <w:pPr>
        <w:pStyle w:val="Heading2"/>
        <w:numPr>
          <w:ilvl w:val="0"/>
          <w:numId w:val="4"/>
        </w:numPr>
        <w:spacing w:line="264" w:lineRule="auto"/>
        <w:ind w:left="426" w:hanging="426"/>
      </w:pPr>
      <w:r>
        <w:t>meni, da bi moral biti vsak ukrep, namenjen spodbujanju razogljičenja v sektorju ladijskega prometa, v idealnem primeru globalnega značaja, ne pa regionalni ali enostranski, da bi preprečili selitev virov CO2. V zvezi s tem odločno podpira delo, ki ga opravlja Mednarodna pomorska organizacija (IMO), zlasti njen okvir za neto ničelne emisije, ki bi lahko tudi preprečil podvajanje predpisov ali plačevanja;</w:t>
      </w:r>
    </w:p>
    <w:p w:rsidRPr="00E74DCA" w:rsidR="00977F90" w:rsidP="00632498" w:rsidRDefault="00977F90" w14:paraId="54763281" w14:textId="77777777">
      <w:pPr>
        <w:pStyle w:val="Heading2"/>
        <w:numPr>
          <w:ilvl w:val="0"/>
          <w:numId w:val="4"/>
        </w:numPr>
        <w:spacing w:line="264" w:lineRule="auto"/>
        <w:ind w:left="426" w:hanging="426"/>
      </w:pPr>
      <w:r>
        <w:t xml:space="preserve">podpira nedavno predlagano poenostavitev mehanizma za ogljično prilagoditev na mejah (CBAM), saj jo razume kot korak naprej pri uravnoteževanju potrebe po varstvu okolja na eni strani ter potrebe po zmanjšanju upravnega bremena za gospodarstvo in njegova podjetja, zlasti mala in srednja podjetja, na drugi; </w:t>
      </w:r>
    </w:p>
    <w:p w:rsidRPr="00E74DCA" w:rsidR="00977F90" w:rsidP="00632498" w:rsidRDefault="00977F90" w14:paraId="557C5F72" w14:textId="77777777">
      <w:pPr>
        <w:pStyle w:val="Heading2"/>
        <w:numPr>
          <w:ilvl w:val="0"/>
          <w:numId w:val="4"/>
        </w:numPr>
        <w:spacing w:line="264" w:lineRule="auto"/>
        <w:ind w:left="426" w:hanging="426"/>
      </w:pPr>
      <w:r>
        <w:t>opozarja, da bi lahko sistem ETS nespodbudno vplival na vlaganje v pristanišča EU, kar bi povzročilo konkurenčno neravnovesje med sredozemskimi pristanišči v državah članicah EU in bližnjimi konkurenčnimi pristanišči v tretjih državah, zlasti v Severni Afriki;</w:t>
      </w:r>
    </w:p>
    <w:p w:rsidRPr="00245DA8" w:rsidR="00977F90" w:rsidP="00632498" w:rsidRDefault="00977F90" w14:paraId="1F66776D" w14:textId="77777777">
      <w:pPr>
        <w:pStyle w:val="Heading2"/>
        <w:numPr>
          <w:ilvl w:val="0"/>
          <w:numId w:val="4"/>
        </w:numPr>
        <w:spacing w:line="264" w:lineRule="auto"/>
        <w:ind w:left="426" w:hanging="426"/>
        <w:rPr>
          <w:bCs/>
          <w:iCs/>
        </w:rPr>
      </w:pPr>
      <w:r>
        <w:t>ugotavlja, da bi lahko gospodarstva otoških držav, kot so Malta, Ciper in Irska, ter držav članic, ki so močno osredotočene na ladijski promet in pomorske dejavnosti, občutila pritisk zaradi uporabe mehanizma ETS.</w:t>
      </w:r>
    </w:p>
    <w:p w:rsidRPr="00A94A27" w:rsidR="00977F90" w:rsidP="00977F90" w:rsidRDefault="00977F90" w14:paraId="3900505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A6689B" w:rsidR="00977F90" w:rsidTr="00BB7F23" w14:paraId="44E9C93A" w14:textId="77777777">
        <w:tc>
          <w:tcPr>
            <w:tcW w:w="1985" w:type="dxa"/>
          </w:tcPr>
          <w:p w:rsidRPr="00A6689B" w:rsidR="00977F90" w:rsidP="00BB7F23" w:rsidRDefault="00977F90" w14:paraId="5C17C95D" w14:textId="77777777">
            <w:pPr>
              <w:spacing w:line="264" w:lineRule="auto"/>
              <w:rPr>
                <w:i/>
              </w:rPr>
            </w:pPr>
            <w:r>
              <w:rPr>
                <w:b/>
                <w:i/>
              </w:rPr>
              <w:t>Kontaktna oseba</w:t>
            </w:r>
          </w:p>
        </w:tc>
        <w:tc>
          <w:tcPr>
            <w:tcW w:w="5103" w:type="dxa"/>
          </w:tcPr>
          <w:p w:rsidRPr="00165B52" w:rsidR="00977F90" w:rsidP="00BB7F23" w:rsidRDefault="00281901" w14:paraId="1794DCDD" w14:textId="239885B7">
            <w:pPr>
              <w:spacing w:line="264" w:lineRule="auto"/>
              <w:rPr>
                <w:i/>
              </w:rPr>
            </w:pPr>
            <w:r>
              <w:rPr>
                <w:i/>
              </w:rPr>
              <w:t xml:space="preserve">Jüri </w:t>
            </w:r>
            <w:r w:rsidR="00641BDF">
              <w:rPr>
                <w:i/>
              </w:rPr>
              <w:t>SOOSAAR</w:t>
            </w:r>
          </w:p>
        </w:tc>
      </w:tr>
      <w:tr w:rsidRPr="00A6689B" w:rsidR="00977F90" w:rsidTr="00BB7F23" w14:paraId="4F53376E" w14:textId="77777777">
        <w:tc>
          <w:tcPr>
            <w:tcW w:w="1985" w:type="dxa"/>
          </w:tcPr>
          <w:p w:rsidRPr="00A6689B" w:rsidR="00977F90" w:rsidP="00BB7F23" w:rsidRDefault="00977F90" w14:paraId="57D97FB9" w14:textId="77777777">
            <w:pPr>
              <w:spacing w:line="264" w:lineRule="auto"/>
              <w:rPr>
                <w:i/>
              </w:rPr>
            </w:pPr>
            <w:r>
              <w:rPr>
                <w:i/>
              </w:rPr>
              <w:t>Telefon</w:t>
            </w:r>
          </w:p>
        </w:tc>
        <w:tc>
          <w:tcPr>
            <w:tcW w:w="5103" w:type="dxa"/>
          </w:tcPr>
          <w:p w:rsidRPr="00A6689B" w:rsidR="00977F90" w:rsidP="00BB7F23" w:rsidRDefault="00977F90" w14:paraId="4E05CB40" w14:textId="77777777">
            <w:pPr>
              <w:spacing w:line="264" w:lineRule="auto"/>
              <w:rPr>
                <w:i/>
              </w:rPr>
            </w:pPr>
            <w:r>
              <w:rPr>
                <w:i/>
              </w:rPr>
              <w:t>+32 25469628</w:t>
            </w:r>
          </w:p>
        </w:tc>
      </w:tr>
      <w:tr w:rsidRPr="00A6689B" w:rsidR="00977F90" w:rsidTr="00BB7F23" w14:paraId="5A8AD7EB" w14:textId="77777777">
        <w:tc>
          <w:tcPr>
            <w:tcW w:w="1985" w:type="dxa"/>
          </w:tcPr>
          <w:p w:rsidRPr="00A6689B" w:rsidR="00977F90" w:rsidP="00BB7F23" w:rsidRDefault="00977F90" w14:paraId="4682675A" w14:textId="77777777">
            <w:pPr>
              <w:spacing w:line="264" w:lineRule="auto"/>
              <w:rPr>
                <w:i/>
              </w:rPr>
            </w:pPr>
            <w:r>
              <w:rPr>
                <w:i/>
              </w:rPr>
              <w:t>E-naslov</w:t>
            </w:r>
          </w:p>
        </w:tc>
        <w:tc>
          <w:tcPr>
            <w:tcW w:w="5103" w:type="dxa"/>
          </w:tcPr>
          <w:p w:rsidRPr="00C84B39" w:rsidR="00977F90" w:rsidP="00BB7F23" w:rsidRDefault="00662932" w14:paraId="13C3D338" w14:textId="7DB41CF8">
            <w:pPr>
              <w:spacing w:line="264" w:lineRule="auto"/>
              <w:rPr>
                <w:i/>
                <w:iCs/>
              </w:rPr>
            </w:pPr>
            <w:hyperlink w:history="1" r:id="rId18">
              <w:r w:rsidR="00977F90">
                <w:rPr>
                  <w:rStyle w:val="Hyperlink"/>
                  <w:i/>
                </w:rPr>
                <w:t>Juri.Soosaar@eesc.europa.eu</w:t>
              </w:r>
            </w:hyperlink>
          </w:p>
        </w:tc>
      </w:tr>
    </w:tbl>
    <w:p w:rsidR="00196E1D" w:rsidP="00977F90" w:rsidRDefault="00196E1D" w14:paraId="47088ED8" w14:textId="77777777">
      <w:r>
        <w:br w:type="page"/>
      </w:r>
    </w:p>
    <w:p w:rsidRPr="00281901" w:rsidR="00544BAB" w:rsidP="00632498" w:rsidRDefault="00662932" w14:paraId="623979E6" w14:textId="77777777">
      <w:pPr>
        <w:numPr>
          <w:ilvl w:val="0"/>
          <w:numId w:val="27"/>
        </w:numPr>
        <w:suppressAutoHyphens/>
        <w:overflowPunct w:val="0"/>
        <w:autoSpaceDE w:val="0"/>
        <w:autoSpaceDN w:val="0"/>
        <w:adjustRightInd w:val="0"/>
        <w:textAlignment w:val="baseline"/>
        <w:rPr>
          <w:rStyle w:val="Hyperlink"/>
          <w:b/>
          <w:i/>
          <w:iCs/>
          <w:sz w:val="28"/>
          <w:szCs w:val="28"/>
        </w:rPr>
      </w:pPr>
      <w:hyperlink w:history="1" r:id="rId19">
        <w:r w:rsidRPr="00281901" w:rsidR="00544BAB">
          <w:rPr>
            <w:rStyle w:val="Hyperlink"/>
            <w:b/>
            <w:i/>
            <w:sz w:val="28"/>
          </w:rPr>
          <w:t>Vloga sindikatov pri izboljšanju produktivnosti</w:t>
        </w:r>
      </w:hyperlink>
    </w:p>
    <w:p w:rsidRPr="001C1819" w:rsidR="00544BAB" w:rsidP="00544BAB" w:rsidRDefault="00544BAB" w14:paraId="52064AF7"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3"/>
      </w:tblGrid>
      <w:tr w:rsidRPr="00A6689B" w:rsidR="00544BAB" w:rsidTr="00BB7F23" w14:paraId="61B99FF1" w14:textId="77777777">
        <w:tc>
          <w:tcPr>
            <w:tcW w:w="2410" w:type="dxa"/>
          </w:tcPr>
          <w:p w:rsidRPr="00A6689B" w:rsidR="00544BAB" w:rsidP="00544BAB" w:rsidRDefault="00544BAB" w14:paraId="5676BA79" w14:textId="77777777">
            <w:pPr>
              <w:tabs>
                <w:tab w:val="center" w:pos="284"/>
              </w:tabs>
              <w:suppressAutoHyphens/>
              <w:ind w:left="266" w:hanging="266"/>
              <w:rPr>
                <w:b/>
              </w:rPr>
            </w:pPr>
            <w:r>
              <w:rPr>
                <w:b/>
              </w:rPr>
              <w:t>Poročevalec</w:t>
            </w:r>
          </w:p>
        </w:tc>
        <w:tc>
          <w:tcPr>
            <w:tcW w:w="6663" w:type="dxa"/>
          </w:tcPr>
          <w:p w:rsidRPr="00A37E38" w:rsidR="00544BAB" w:rsidP="00544BAB" w:rsidRDefault="00544BAB" w14:paraId="23DC9E82" w14:textId="77777777">
            <w:pPr>
              <w:tabs>
                <w:tab w:val="center" w:pos="284"/>
              </w:tabs>
              <w:suppressAutoHyphens/>
              <w:ind w:left="266" w:hanging="266"/>
              <w:rPr>
                <w:bCs/>
              </w:rPr>
            </w:pPr>
            <w:r>
              <w:t>Philip VON BROCKDORFF (skupina delojemalcev – MT)</w:t>
            </w:r>
          </w:p>
        </w:tc>
      </w:tr>
      <w:tr w:rsidRPr="00544BAB" w:rsidR="00544BAB" w:rsidTr="00BB7F23" w14:paraId="4F9D9939" w14:textId="77777777">
        <w:tc>
          <w:tcPr>
            <w:tcW w:w="2410" w:type="dxa"/>
          </w:tcPr>
          <w:p w:rsidRPr="00544BAB" w:rsidR="00544BAB" w:rsidP="00544BAB" w:rsidRDefault="00544BAB" w14:paraId="479CA1C8" w14:textId="77777777">
            <w:pPr>
              <w:tabs>
                <w:tab w:val="center" w:pos="284"/>
              </w:tabs>
              <w:suppressAutoHyphens/>
              <w:spacing w:line="240" w:lineRule="auto"/>
              <w:ind w:left="266" w:hanging="266"/>
              <w:rPr>
                <w:b/>
                <w:sz w:val="16"/>
                <w:szCs w:val="16"/>
              </w:rPr>
            </w:pPr>
          </w:p>
        </w:tc>
        <w:tc>
          <w:tcPr>
            <w:tcW w:w="6663" w:type="dxa"/>
          </w:tcPr>
          <w:p w:rsidRPr="00544BAB" w:rsidR="00544BAB" w:rsidP="00544BAB" w:rsidRDefault="00544BAB" w14:paraId="5EF7484D" w14:textId="77777777">
            <w:pPr>
              <w:tabs>
                <w:tab w:val="center" w:pos="284"/>
              </w:tabs>
              <w:suppressAutoHyphens/>
              <w:spacing w:line="240" w:lineRule="auto"/>
              <w:ind w:left="266" w:hanging="266"/>
              <w:rPr>
                <w:sz w:val="16"/>
                <w:szCs w:val="16"/>
              </w:rPr>
            </w:pPr>
          </w:p>
        </w:tc>
      </w:tr>
      <w:tr w:rsidRPr="00A6689B" w:rsidR="00544BAB" w:rsidTr="00BB7F23" w14:paraId="46695300" w14:textId="77777777">
        <w:tc>
          <w:tcPr>
            <w:tcW w:w="2410" w:type="dxa"/>
          </w:tcPr>
          <w:p w:rsidRPr="00A6689B" w:rsidR="00544BAB" w:rsidP="00544BAB" w:rsidRDefault="00544BAB" w14:paraId="2939BBAA" w14:textId="77777777">
            <w:pPr>
              <w:tabs>
                <w:tab w:val="center" w:pos="284"/>
              </w:tabs>
              <w:suppressAutoHyphens/>
              <w:ind w:left="266" w:hanging="266"/>
              <w:rPr>
                <w:b/>
              </w:rPr>
            </w:pPr>
            <w:r>
              <w:rPr>
                <w:b/>
              </w:rPr>
              <w:t>Referenčni dokument</w:t>
            </w:r>
          </w:p>
        </w:tc>
        <w:tc>
          <w:tcPr>
            <w:tcW w:w="6663" w:type="dxa"/>
          </w:tcPr>
          <w:p w:rsidR="00544BAB" w:rsidP="00544BAB" w:rsidRDefault="00544BAB" w14:paraId="26E13DCE" w14:textId="77777777">
            <w:pPr>
              <w:tabs>
                <w:tab w:val="center" w:pos="284"/>
              </w:tabs>
              <w:suppressAutoHyphens/>
              <w:ind w:left="266" w:hanging="266"/>
            </w:pPr>
            <w:r>
              <w:t>mnenje na lastno pobudo</w:t>
            </w:r>
          </w:p>
          <w:p w:rsidRPr="00C232CB" w:rsidR="00544BAB" w:rsidP="00544BAB" w:rsidRDefault="00544BAB" w14:paraId="2A0CC188" w14:textId="0C4AEDBA">
            <w:pPr>
              <w:tabs>
                <w:tab w:val="center" w:pos="284"/>
              </w:tabs>
              <w:suppressAutoHyphens/>
              <w:ind w:left="266" w:hanging="266"/>
            </w:pPr>
            <w:r>
              <w:t>EESC-2025-00863-00-00-AC</w:t>
            </w:r>
          </w:p>
        </w:tc>
      </w:tr>
    </w:tbl>
    <w:p w:rsidRPr="009667A6" w:rsidR="00544BAB" w:rsidP="00544BAB" w:rsidRDefault="00544BAB" w14:paraId="51A2039C" w14:textId="77777777">
      <w:pPr>
        <w:tabs>
          <w:tab w:val="center" w:pos="284"/>
        </w:tabs>
        <w:suppressAutoHyphens/>
        <w:ind w:left="266" w:hanging="266"/>
        <w:rPr>
          <w:bCs/>
        </w:rPr>
      </w:pPr>
    </w:p>
    <w:p w:rsidR="00544BAB" w:rsidP="00544BAB" w:rsidRDefault="00544BAB" w14:paraId="4F7164FE" w14:textId="77777777">
      <w:pPr>
        <w:tabs>
          <w:tab w:val="center" w:pos="284"/>
        </w:tabs>
        <w:suppressAutoHyphens/>
        <w:ind w:left="266" w:hanging="266"/>
        <w:rPr>
          <w:b/>
        </w:rPr>
      </w:pPr>
      <w:r>
        <w:rPr>
          <w:b/>
        </w:rPr>
        <w:t>Glavne točke</w:t>
      </w:r>
    </w:p>
    <w:p w:rsidR="00544BAB" w:rsidP="00544BAB" w:rsidRDefault="00544BAB" w14:paraId="4C3C3EA3" w14:textId="77777777"/>
    <w:p w:rsidRPr="00CD1B7F" w:rsidR="00544BAB" w:rsidP="00544BAB" w:rsidRDefault="00544BAB" w14:paraId="178C9FE1" w14:textId="6030188C">
      <w:pPr>
        <w:suppressAutoHyphens/>
      </w:pPr>
      <w:r>
        <w:t>EESO</w:t>
      </w:r>
    </w:p>
    <w:p w:rsidRPr="00544BAB" w:rsidR="00544BAB" w:rsidP="00632498" w:rsidRDefault="00544BAB" w14:paraId="08DE4B97" w14:textId="77777777">
      <w:pPr>
        <w:numPr>
          <w:ilvl w:val="0"/>
          <w:numId w:val="5"/>
        </w:numPr>
        <w:suppressAutoHyphens/>
        <w:ind w:left="426" w:hanging="426"/>
        <w:rPr>
          <w:bCs/>
          <w:iCs/>
        </w:rPr>
      </w:pPr>
      <w:r>
        <w:t>odločno priporoča produktivne naložbe v kapital, tehnologijo in človeški kapital, kar bi pripomoglo k izboljšanju produktivnosti dela. Priznava, da so podjetja v EU večinoma MSP z omejeno sindikalno zastopanostjo. Zavzema se za vladno podporo, kot sta strateška svetovalna podpora in podpora za krepitev zmogljivosti za povečanje produktivnosti MSP;</w:t>
      </w:r>
    </w:p>
    <w:p w:rsidRPr="00544BAB" w:rsidR="00544BAB" w:rsidP="00632498" w:rsidRDefault="00544BAB" w14:paraId="530692F5" w14:textId="77777777">
      <w:pPr>
        <w:numPr>
          <w:ilvl w:val="0"/>
          <w:numId w:val="5"/>
        </w:numPr>
        <w:suppressAutoHyphens/>
        <w:ind w:left="426" w:hanging="426"/>
        <w:rPr>
          <w:szCs w:val="20"/>
        </w:rPr>
      </w:pPr>
      <w:r>
        <w:t>meni, da bi lahko kolektivna pogajanja in socialni dialog razširili na oblikovanje novih delovnih modelov, ki spodbujajo inovacije, kot so strukture sodelovanja v ekipah, prožni delovni čas in pobude za deljeno vodstvo;</w:t>
      </w:r>
    </w:p>
    <w:p w:rsidRPr="00544BAB" w:rsidR="00544BAB" w:rsidP="00632498" w:rsidRDefault="00544BAB" w14:paraId="3E409633" w14:textId="77777777">
      <w:pPr>
        <w:numPr>
          <w:ilvl w:val="0"/>
          <w:numId w:val="5"/>
        </w:numPr>
        <w:suppressAutoHyphens/>
        <w:ind w:left="426" w:hanging="426"/>
        <w:rPr>
          <w:szCs w:val="20"/>
        </w:rPr>
      </w:pPr>
      <w:r>
        <w:t>meni, da bi sindikati lahko sodelovali pri določanju sektorskih referenčnih vrednosti in kazalnikov uspešnosti. Njihov prispevek bi zagotavljal, da parametri odražajo kakovostno delo, inovacije in trajnostne poslovne prakse, ne pa kratkoročnega zmanjševanja stroškov;</w:t>
      </w:r>
    </w:p>
    <w:p w:rsidRPr="00544BAB" w:rsidR="00544BAB" w:rsidP="00632498" w:rsidRDefault="00544BAB" w14:paraId="4ECEEA29" w14:textId="77777777">
      <w:pPr>
        <w:numPr>
          <w:ilvl w:val="0"/>
          <w:numId w:val="5"/>
        </w:numPr>
        <w:suppressAutoHyphens/>
        <w:ind w:left="426" w:hanging="426"/>
        <w:rPr>
          <w:szCs w:val="20"/>
        </w:rPr>
      </w:pPr>
      <w:r>
        <w:t>zavzema se za močnejši glas delavcev na delovnem mestu, kar naj temelji na izmenjavi informacij in učinkovitem posvetovanju z delavci v skladu z nacionalno zakonodajo in praksami, ne da bi to vplivalo na zmožnost podjetij, da sprejemajo odločitve. Čeprav je soupravljanje ali sodelovanje predstavnikov zaposlenih v strukturah upravljanja podjetij v nekaterih državah EU uspešno in bi bilo lahko zgled drugim, bi bilo treba ohraniti odgovorno upravljanje podjetij, tudi za mala in srednja podjetja;</w:t>
      </w:r>
    </w:p>
    <w:p w:rsidRPr="00544BAB" w:rsidR="00544BAB" w:rsidP="00632498" w:rsidRDefault="00544BAB" w14:paraId="72F9F33E" w14:textId="77777777">
      <w:pPr>
        <w:numPr>
          <w:ilvl w:val="0"/>
          <w:numId w:val="5"/>
        </w:numPr>
        <w:suppressAutoHyphens/>
        <w:ind w:left="426" w:hanging="426"/>
        <w:rPr>
          <w:szCs w:val="20"/>
        </w:rPr>
      </w:pPr>
      <w:r>
        <w:t>poudarja vlogo svetov delavcev, ki lahko pripomorejo k večjemu zadovoljstvu na delovnem mestu, višjim plačam in večji stabilnosti zaposlitve v primerjavi s podjetji brez svetov delavcev;</w:t>
      </w:r>
    </w:p>
    <w:p w:rsidRPr="00544BAB" w:rsidR="00544BAB" w:rsidP="00632498" w:rsidRDefault="00544BAB" w14:paraId="79F5953F" w14:textId="77777777">
      <w:pPr>
        <w:numPr>
          <w:ilvl w:val="0"/>
          <w:numId w:val="5"/>
        </w:numPr>
        <w:suppressAutoHyphens/>
        <w:ind w:left="426" w:hanging="426"/>
        <w:rPr>
          <w:szCs w:val="20"/>
        </w:rPr>
      </w:pPr>
      <w:r>
        <w:t>poudarja, da bi lahko sindikati imeli tudi vlogo pri zmanjšanju visokih stopenj izostajanja z dela, ki predstavljajo znatne stroške za podjetja in javne finance;</w:t>
      </w:r>
    </w:p>
    <w:p w:rsidRPr="00544BAB" w:rsidR="00544BAB" w:rsidP="00632498" w:rsidRDefault="00544BAB" w14:paraId="5D6B7850" w14:textId="77777777">
      <w:pPr>
        <w:numPr>
          <w:ilvl w:val="0"/>
          <w:numId w:val="5"/>
        </w:numPr>
        <w:suppressAutoHyphens/>
        <w:ind w:left="426" w:hanging="426"/>
        <w:rPr>
          <w:szCs w:val="20"/>
        </w:rPr>
      </w:pPr>
      <w:r>
        <w:t>meni, da lahko kolektivna pogajanja prispevajo k produktivnosti s spodbujanjem pozitivnega in podpornega delovnega okolja, priznavanjem vrednosti zaposlenih ter spodbujanjem sodelovanja in inovacij, vključno z uporabo digitalnih metod, osredotočenih na delavce;</w:t>
      </w:r>
    </w:p>
    <w:p w:rsidRPr="00544BAB" w:rsidR="00544BAB" w:rsidP="00632498" w:rsidRDefault="00544BAB" w14:paraId="7EF37A96" w14:textId="77777777">
      <w:pPr>
        <w:numPr>
          <w:ilvl w:val="0"/>
          <w:numId w:val="5"/>
        </w:numPr>
        <w:suppressAutoHyphens/>
        <w:ind w:left="426" w:hanging="426"/>
        <w:rPr>
          <w:szCs w:val="20"/>
        </w:rPr>
      </w:pPr>
      <w:r>
        <w:t>priporoča tudi tesnejše sodelovanje med sindikati in podjetji pri sooblikovanju in izvajanju programov stalnega usposabljanja in izpopolnjevanja, še posebej v sektorjih, v katerih poteka tehnološka preobrazba;</w:t>
      </w:r>
    </w:p>
    <w:p w:rsidRPr="00544BAB" w:rsidR="00544BAB" w:rsidP="00632498" w:rsidRDefault="00544BAB" w14:paraId="5DB2D16A" w14:textId="77777777">
      <w:pPr>
        <w:numPr>
          <w:ilvl w:val="0"/>
          <w:numId w:val="5"/>
        </w:numPr>
        <w:suppressAutoHyphens/>
        <w:ind w:left="426" w:hanging="426"/>
        <w:rPr>
          <w:szCs w:val="20"/>
        </w:rPr>
      </w:pPr>
      <w:r>
        <w:t>meni, da bi lahko sindikati imeli podporno vlogo tudi v programih, ki spodbujajo prostovoljno mobilnost brezposelnih delavcev v regije s pomanjkanjem delovne sile, med drugim s sporazumi o mobilnosti, stanovanjsko podporo in priznavanjem kvalifikacij, ob hkratnem zagotavljanju poštenih delovnih pogojev;</w:t>
      </w:r>
    </w:p>
    <w:p w:rsidRPr="00544BAB" w:rsidR="00544BAB" w:rsidP="00632498" w:rsidRDefault="00544BAB" w14:paraId="3018B257" w14:textId="77777777">
      <w:pPr>
        <w:numPr>
          <w:ilvl w:val="0"/>
          <w:numId w:val="5"/>
        </w:numPr>
        <w:suppressAutoHyphens/>
        <w:ind w:left="426" w:hanging="426"/>
        <w:rPr>
          <w:szCs w:val="20"/>
        </w:rPr>
      </w:pPr>
      <w:r>
        <w:t>ponovno poudarja, da lahko socialni dialog in kolektivna pogajanja v skladu z nacionalnimi pravili in praksami pripomorejo k povečanju produktivnosti in zvišanju plač zaradi udeleženosti in angažiranosti sindikatov;</w:t>
      </w:r>
    </w:p>
    <w:p w:rsidRPr="00544BAB" w:rsidR="00544BAB" w:rsidP="00632498" w:rsidRDefault="00544BAB" w14:paraId="3E7E7D7C" w14:textId="77777777">
      <w:pPr>
        <w:numPr>
          <w:ilvl w:val="0"/>
          <w:numId w:val="5"/>
        </w:numPr>
        <w:suppressAutoHyphens/>
        <w:ind w:left="426" w:hanging="426"/>
        <w:rPr>
          <w:bCs/>
          <w:iCs/>
        </w:rPr>
      </w:pPr>
      <w:r>
        <w:t>poudarja tudi, da je cilj direktive o ustreznih minimalnih plačah izboljšati življenjske razmere in delovne pogoje v Uniji ter spodbujati kolektivna pogajanja pri določanju plač.</w:t>
      </w:r>
    </w:p>
    <w:p w:rsidRPr="003F312A" w:rsidR="00544BAB" w:rsidP="00544BAB" w:rsidRDefault="00544BAB" w14:paraId="15A0DBA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88"/>
      </w:tblGrid>
      <w:tr w:rsidRPr="00A6689B" w:rsidR="00544BAB" w:rsidTr="00BB7F23" w14:paraId="23FB752D" w14:textId="77777777">
        <w:tc>
          <w:tcPr>
            <w:tcW w:w="1985" w:type="dxa"/>
          </w:tcPr>
          <w:p w:rsidRPr="00A6689B" w:rsidR="00544BAB" w:rsidP="00544BAB" w:rsidRDefault="00544BAB" w14:paraId="5716AAAB" w14:textId="77777777">
            <w:pPr>
              <w:suppressAutoHyphens/>
              <w:rPr>
                <w:i/>
              </w:rPr>
            </w:pPr>
            <w:r>
              <w:rPr>
                <w:b/>
                <w:i/>
              </w:rPr>
              <w:t>Kontaktna oseba</w:t>
            </w:r>
          </w:p>
        </w:tc>
        <w:tc>
          <w:tcPr>
            <w:tcW w:w="7088" w:type="dxa"/>
          </w:tcPr>
          <w:p w:rsidRPr="00165B52" w:rsidR="00544BAB" w:rsidP="00544BAB" w:rsidRDefault="00544BAB" w14:paraId="1B9E53A4" w14:textId="37C89C3A">
            <w:pPr>
              <w:suppressAutoHyphens/>
              <w:rPr>
                <w:i/>
              </w:rPr>
            </w:pPr>
            <w:r>
              <w:rPr>
                <w:i/>
              </w:rPr>
              <w:t xml:space="preserve">Georgios </w:t>
            </w:r>
            <w:r w:rsidR="00641BDF">
              <w:rPr>
                <w:i/>
              </w:rPr>
              <w:t>MELEAS</w:t>
            </w:r>
          </w:p>
        </w:tc>
      </w:tr>
      <w:tr w:rsidRPr="00A6689B" w:rsidR="00544BAB" w:rsidTr="00BB7F23" w14:paraId="0EED1524" w14:textId="77777777">
        <w:tc>
          <w:tcPr>
            <w:tcW w:w="1985" w:type="dxa"/>
          </w:tcPr>
          <w:p w:rsidRPr="00A6689B" w:rsidR="00544BAB" w:rsidP="00544BAB" w:rsidRDefault="00544BAB" w14:paraId="00CAF47A" w14:textId="77777777">
            <w:pPr>
              <w:suppressAutoHyphens/>
              <w:rPr>
                <w:i/>
              </w:rPr>
            </w:pPr>
            <w:r>
              <w:rPr>
                <w:i/>
              </w:rPr>
              <w:t>Telefon</w:t>
            </w:r>
          </w:p>
        </w:tc>
        <w:tc>
          <w:tcPr>
            <w:tcW w:w="7088" w:type="dxa"/>
          </w:tcPr>
          <w:p w:rsidRPr="00A6689B" w:rsidR="00544BAB" w:rsidP="00544BAB" w:rsidRDefault="00544BAB" w14:paraId="0511977C" w14:textId="77777777">
            <w:pPr>
              <w:suppressAutoHyphens/>
              <w:rPr>
                <w:i/>
              </w:rPr>
            </w:pPr>
            <w:r>
              <w:rPr>
                <w:i/>
              </w:rPr>
              <w:t>+32 2</w:t>
            </w:r>
            <w:r>
              <w:t xml:space="preserve"> </w:t>
            </w:r>
            <w:r>
              <w:rPr>
                <w:i/>
              </w:rPr>
              <w:t>5469795</w:t>
            </w:r>
          </w:p>
        </w:tc>
      </w:tr>
      <w:tr w:rsidRPr="00A6689B" w:rsidR="00544BAB" w:rsidTr="00BB7F23" w14:paraId="1319BBE6" w14:textId="77777777">
        <w:tc>
          <w:tcPr>
            <w:tcW w:w="1985" w:type="dxa"/>
          </w:tcPr>
          <w:p w:rsidRPr="00A6689B" w:rsidR="00544BAB" w:rsidP="00544BAB" w:rsidRDefault="00544BAB" w14:paraId="3850C1AE" w14:textId="77777777">
            <w:pPr>
              <w:suppressAutoHyphens/>
              <w:rPr>
                <w:i/>
              </w:rPr>
            </w:pPr>
            <w:r>
              <w:rPr>
                <w:i/>
              </w:rPr>
              <w:t>E-naslov</w:t>
            </w:r>
          </w:p>
        </w:tc>
        <w:tc>
          <w:tcPr>
            <w:tcW w:w="7088" w:type="dxa"/>
          </w:tcPr>
          <w:p w:rsidRPr="002A2D29" w:rsidR="00544BAB" w:rsidP="00544BAB" w:rsidRDefault="00662932" w14:paraId="0D23023E" w14:textId="77777777">
            <w:pPr>
              <w:suppressAutoHyphens/>
              <w:rPr>
                <w:i/>
                <w:iCs/>
              </w:rPr>
            </w:pPr>
            <w:hyperlink w:history="1" r:id="rId20">
              <w:r w:rsidR="00544BAB">
                <w:rPr>
                  <w:rStyle w:val="Hyperlink"/>
                  <w:i/>
                </w:rPr>
                <w:t>Georgios.Meleas@eesc.europa.eu</w:t>
              </w:r>
            </w:hyperlink>
          </w:p>
        </w:tc>
      </w:tr>
    </w:tbl>
    <w:p w:rsidR="00CB5FF2" w:rsidRDefault="00CB5FF2" w14:paraId="373723B4" w14:textId="64C5F709">
      <w:pPr>
        <w:spacing w:after="160" w:line="259" w:lineRule="auto"/>
        <w:jc w:val="left"/>
      </w:pPr>
      <w:r>
        <w:br w:type="page"/>
      </w:r>
    </w:p>
    <w:p w:rsidRPr="00E81F61" w:rsidR="00544BAB" w:rsidP="00632498" w:rsidRDefault="00662932" w14:paraId="6540B0EA" w14:textId="77777777">
      <w:pPr>
        <w:numPr>
          <w:ilvl w:val="0"/>
          <w:numId w:val="2"/>
        </w:numPr>
        <w:suppressAutoHyphens/>
        <w:overflowPunct w:val="0"/>
        <w:autoSpaceDE w:val="0"/>
        <w:autoSpaceDN w:val="0"/>
        <w:adjustRightInd w:val="0"/>
        <w:ind w:hanging="567"/>
        <w:textAlignment w:val="baseline"/>
        <w:rPr>
          <w:b/>
          <w:i/>
          <w:iCs/>
          <w:sz w:val="28"/>
          <w:szCs w:val="28"/>
        </w:rPr>
      </w:pPr>
      <w:hyperlink w:history="1" r:id="rId21">
        <w:r w:rsidRPr="00E81F61" w:rsidR="00544BAB">
          <w:rPr>
            <w:rStyle w:val="Hyperlink"/>
            <w:b/>
            <w:i/>
            <w:sz w:val="28"/>
          </w:rPr>
          <w:t>Priporočila organizirane civilne družbe za reševanje krize življenjskih stroškov</w:t>
        </w:r>
      </w:hyperlink>
    </w:p>
    <w:p w:rsidRPr="00E81F61" w:rsidR="00544BAB" w:rsidP="00544BAB" w:rsidRDefault="00544BAB" w14:paraId="7DCFEB41" w14:textId="77777777"/>
    <w:tbl>
      <w:tblPr>
        <w:tblStyle w:val="TableGrid"/>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554"/>
      </w:tblGrid>
      <w:tr w:rsidRPr="00E81F61" w:rsidR="00544BAB" w:rsidTr="00BB7F23" w14:paraId="6F9C2952" w14:textId="77777777">
        <w:tc>
          <w:tcPr>
            <w:tcW w:w="2518" w:type="dxa"/>
          </w:tcPr>
          <w:p w:rsidRPr="00E81F61" w:rsidR="00544BAB" w:rsidP="00BB7F23" w:rsidRDefault="00544BAB" w14:paraId="2C812330" w14:textId="77777777">
            <w:pPr>
              <w:tabs>
                <w:tab w:val="center" w:pos="284"/>
              </w:tabs>
              <w:suppressAutoHyphens/>
              <w:ind w:left="266" w:hanging="266"/>
              <w:rPr>
                <w:b/>
              </w:rPr>
            </w:pPr>
            <w:r w:rsidRPr="00E81F61">
              <w:rPr>
                <w:b/>
              </w:rPr>
              <w:t>Poročevalci</w:t>
            </w:r>
          </w:p>
          <w:p w:rsidRPr="00E81F61" w:rsidR="00544BAB" w:rsidP="00BB7F23" w:rsidRDefault="00544BAB" w14:paraId="712FA49A" w14:textId="77777777">
            <w:pPr>
              <w:tabs>
                <w:tab w:val="center" w:pos="284"/>
              </w:tabs>
              <w:suppressAutoHyphens/>
              <w:ind w:left="266" w:hanging="266"/>
              <w:rPr>
                <w:b/>
              </w:rPr>
            </w:pPr>
          </w:p>
        </w:tc>
        <w:tc>
          <w:tcPr>
            <w:tcW w:w="6554" w:type="dxa"/>
          </w:tcPr>
          <w:p w:rsidRPr="00E81F61" w:rsidR="00544BAB" w:rsidP="00BB7F23" w:rsidRDefault="00544BAB" w14:paraId="4BCAA2AD" w14:textId="77777777">
            <w:pPr>
              <w:tabs>
                <w:tab w:val="center" w:pos="284"/>
              </w:tabs>
              <w:suppressAutoHyphens/>
              <w:ind w:left="266" w:hanging="266"/>
              <w:rPr>
                <w:bCs/>
              </w:rPr>
            </w:pPr>
            <w:r w:rsidRPr="00E81F61">
              <w:t>Krister ANDERSSON (skupina delodajalcev – SE)</w:t>
            </w:r>
          </w:p>
          <w:p w:rsidRPr="00E81F61" w:rsidR="00544BAB" w:rsidP="00BB7F23" w:rsidRDefault="00544BAB" w14:paraId="37CFB511" w14:textId="77777777">
            <w:pPr>
              <w:tabs>
                <w:tab w:val="center" w:pos="284"/>
              </w:tabs>
              <w:suppressAutoHyphens/>
              <w:ind w:left="266" w:hanging="266"/>
              <w:rPr>
                <w:bCs/>
              </w:rPr>
            </w:pPr>
            <w:r w:rsidRPr="00E81F61">
              <w:t>Krzysztof BALON (skupina organizacij civilne družbe – PL)</w:t>
            </w:r>
          </w:p>
          <w:p w:rsidRPr="00E81F61" w:rsidR="00544BAB" w:rsidP="00BB7F23" w:rsidRDefault="00544BAB" w14:paraId="36622E6F" w14:textId="77777777">
            <w:pPr>
              <w:tabs>
                <w:tab w:val="center" w:pos="284"/>
              </w:tabs>
              <w:suppressAutoHyphens/>
              <w:ind w:left="266" w:hanging="266"/>
              <w:rPr>
                <w:bCs/>
              </w:rPr>
            </w:pPr>
            <w:r w:rsidRPr="00E81F61">
              <w:t>Thomas KATTNIG (skupina delojemalcev – AT)</w:t>
            </w:r>
          </w:p>
        </w:tc>
      </w:tr>
      <w:tr w:rsidRPr="00E81F61" w:rsidR="00544BAB" w:rsidTr="00BB7F23" w14:paraId="336222C1" w14:textId="77777777">
        <w:tc>
          <w:tcPr>
            <w:tcW w:w="9072" w:type="dxa"/>
            <w:gridSpan w:val="2"/>
          </w:tcPr>
          <w:p w:rsidRPr="00E81F61" w:rsidR="00544BAB" w:rsidP="00BB7F23" w:rsidRDefault="00544BAB" w14:paraId="54EA1630" w14:textId="77777777">
            <w:pPr>
              <w:tabs>
                <w:tab w:val="center" w:pos="284"/>
              </w:tabs>
              <w:suppressAutoHyphens/>
              <w:spacing w:line="240" w:lineRule="auto"/>
              <w:ind w:left="266" w:hanging="266"/>
              <w:rPr>
                <w:sz w:val="16"/>
                <w:szCs w:val="16"/>
              </w:rPr>
            </w:pPr>
          </w:p>
        </w:tc>
      </w:tr>
      <w:tr w:rsidRPr="00E81F61" w:rsidR="00544BAB" w:rsidTr="00BB7F23" w14:paraId="47177C1F" w14:textId="77777777">
        <w:tc>
          <w:tcPr>
            <w:tcW w:w="2518" w:type="dxa"/>
          </w:tcPr>
          <w:p w:rsidRPr="00E81F61" w:rsidR="00544BAB" w:rsidP="00BB7F23" w:rsidRDefault="00544BAB" w14:paraId="56DC0E7E" w14:textId="77777777">
            <w:pPr>
              <w:tabs>
                <w:tab w:val="center" w:pos="284"/>
              </w:tabs>
              <w:suppressAutoHyphens/>
              <w:ind w:left="266" w:hanging="266"/>
              <w:rPr>
                <w:b/>
              </w:rPr>
            </w:pPr>
            <w:r w:rsidRPr="00E81F61">
              <w:rPr>
                <w:b/>
              </w:rPr>
              <w:t>Referenčni dokument</w:t>
            </w:r>
          </w:p>
        </w:tc>
        <w:tc>
          <w:tcPr>
            <w:tcW w:w="6554" w:type="dxa"/>
          </w:tcPr>
          <w:p w:rsidRPr="00E81F61" w:rsidR="00544BAB" w:rsidP="00BB7F23" w:rsidRDefault="00544BAB" w14:paraId="5324E372" w14:textId="77777777">
            <w:pPr>
              <w:tabs>
                <w:tab w:val="center" w:pos="284"/>
              </w:tabs>
              <w:suppressAutoHyphens/>
              <w:ind w:left="266" w:hanging="266"/>
            </w:pPr>
            <w:r w:rsidRPr="00E81F61">
              <w:t>mnenje na lastno pobudo</w:t>
            </w:r>
          </w:p>
          <w:p w:rsidRPr="00E81F61" w:rsidR="00544BAB" w:rsidP="00BB7F23" w:rsidRDefault="00544BAB" w14:paraId="493666ED" w14:textId="1BE12CD1">
            <w:pPr>
              <w:tabs>
                <w:tab w:val="center" w:pos="284"/>
              </w:tabs>
              <w:suppressAutoHyphens/>
              <w:ind w:left="266" w:hanging="266"/>
            </w:pPr>
            <w:r w:rsidRPr="00E81F61">
              <w:t>EESC-2025-00091-00-00-AC</w:t>
            </w:r>
          </w:p>
        </w:tc>
      </w:tr>
    </w:tbl>
    <w:p w:rsidRPr="00E81F61" w:rsidR="00544BAB" w:rsidP="00544BAB" w:rsidRDefault="00544BAB" w14:paraId="6B018BEC" w14:textId="77777777">
      <w:pPr>
        <w:tabs>
          <w:tab w:val="center" w:pos="284"/>
        </w:tabs>
        <w:suppressAutoHyphens/>
        <w:ind w:left="266" w:hanging="266"/>
        <w:rPr>
          <w:bCs/>
        </w:rPr>
      </w:pPr>
    </w:p>
    <w:p w:rsidRPr="00E81F61" w:rsidR="00544BAB" w:rsidP="00544BAB" w:rsidRDefault="00544BAB" w14:paraId="3561D4B2" w14:textId="77777777">
      <w:pPr>
        <w:tabs>
          <w:tab w:val="center" w:pos="284"/>
        </w:tabs>
        <w:suppressAutoHyphens/>
        <w:ind w:left="266" w:hanging="266"/>
        <w:rPr>
          <w:b/>
        </w:rPr>
      </w:pPr>
      <w:r w:rsidRPr="00E81F61">
        <w:rPr>
          <w:b/>
        </w:rPr>
        <w:t>Glavne točke</w:t>
      </w:r>
    </w:p>
    <w:p w:rsidRPr="00E81F61" w:rsidR="00544BAB" w:rsidP="00544BAB" w:rsidRDefault="00544BAB" w14:paraId="0529832A" w14:textId="77777777">
      <w:pPr>
        <w:tabs>
          <w:tab w:val="center" w:pos="284"/>
        </w:tabs>
        <w:suppressAutoHyphens/>
        <w:ind w:left="266" w:hanging="266"/>
        <w:rPr>
          <w:bCs/>
        </w:rPr>
      </w:pPr>
    </w:p>
    <w:p w:rsidRPr="00CD1B7F" w:rsidR="00544BAB" w:rsidP="00544BAB" w:rsidRDefault="00544BAB" w14:paraId="32FDFFE0" w14:textId="302A8D73">
      <w:pPr>
        <w:suppressAutoHyphens/>
      </w:pPr>
      <w:r w:rsidRPr="00E81F61">
        <w:t>EESO</w:t>
      </w:r>
    </w:p>
    <w:p w:rsidRPr="00E81F61" w:rsidR="00544BAB" w:rsidP="00632498" w:rsidRDefault="00544BAB" w14:paraId="554E043F"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meni, da je ključnega pomena, da je EU dobro pripravljena na </w:t>
      </w:r>
      <w:r w:rsidRPr="00E81F61">
        <w:rPr>
          <w:b/>
        </w:rPr>
        <w:t>pravočasno preprečevanje in odpravljanje morebitnih novih razmer, ki bi negativno vplivale na življenjske stroške</w:t>
      </w:r>
      <w:r w:rsidRPr="00E81F61">
        <w:t>, pri čemer je glavni cilj preprečevanje kriz. Pomembno je tudi izboljšanje odpornosti proti tveganjem in v skrajnem primeru ublažitev dejanskih posledic;</w:t>
      </w:r>
    </w:p>
    <w:p w:rsidRPr="00E81F61" w:rsidR="00544BAB" w:rsidP="00632498" w:rsidRDefault="00544BAB" w14:paraId="2D05D6DB"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poudarja, da so za zajezitev življenjskih stroškov nujne vsem cenovno dostopne kakovostne </w:t>
      </w:r>
      <w:r w:rsidRPr="00E81F61">
        <w:rPr>
          <w:b/>
        </w:rPr>
        <w:t>storitve splošnega pomena</w:t>
      </w:r>
      <w:r w:rsidRPr="00E81F61">
        <w:t>, poziva k sodelovanju in smiselni porazdelitvi nalog med javnim, nepridobitnim in zasebnim sektorjem ter poudarja vlogo ustreznih naložb in financiranja ter razvoja inovativnih pristopov;</w:t>
      </w:r>
    </w:p>
    <w:p w:rsidRPr="00E81F61" w:rsidR="00544BAB" w:rsidP="00632498" w:rsidRDefault="00544BAB" w14:paraId="54104D99"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se zavzema za temeljito reformo zasnove </w:t>
      </w:r>
      <w:r w:rsidRPr="00E81F61">
        <w:rPr>
          <w:b/>
        </w:rPr>
        <w:t>energetskega trga</w:t>
      </w:r>
      <w:r w:rsidRPr="00E81F61">
        <w:t>, s katero bi dosegli nižje in stabilne cene energije ter poziva k dobro zasnovanim reformam na področju obdavčitve energije in postopnemu opuščanju subvencij za fosilna goriva, ki temelji na razsežnosti povzročene škode, da se zmanjšajo stroški za gospodinjstva in podjetja, kar bo prispevalo k podpiranju najranljivejših in spodbujanju naložb v razogljičene energetske sisteme ter raziskave in inovacije;</w:t>
      </w:r>
    </w:p>
    <w:p w:rsidRPr="00E81F61" w:rsidR="00544BAB" w:rsidP="00632498" w:rsidRDefault="00544BAB" w14:paraId="107DCFB6"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poziva k sodobni, v inovacije usmerjeni in celoviti </w:t>
      </w:r>
      <w:r w:rsidRPr="00E81F61">
        <w:rPr>
          <w:b/>
        </w:rPr>
        <w:t>industrijski politiki</w:t>
      </w:r>
      <w:r w:rsidRPr="00E81F61">
        <w:t>, ki bo olajšala ponovno industrializacijo Evrope. Bistvenega pomena sta tudi dostop do energije in surovin po konkurenčnih cenah ter do financiranja, tudi za MSP in subjekte socialnega gospodarstva;</w:t>
      </w:r>
    </w:p>
    <w:p w:rsidRPr="00E81F61" w:rsidR="00544BAB" w:rsidP="00632498" w:rsidRDefault="00544BAB" w14:paraId="45962686"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poudarja, da je treba </w:t>
      </w:r>
      <w:r w:rsidRPr="00E81F61">
        <w:rPr>
          <w:b/>
        </w:rPr>
        <w:t>poenostaviti predpise</w:t>
      </w:r>
      <w:r w:rsidRPr="00E81F61">
        <w:t>, pospešiti postopke za izdajo dovoljenj in zmanjšati neproduktivna upravna bremena, da bi znižali stroške ter spodbudili inovacije, naložbe in trgovino, ne da bi pri tem znižali socialne in okoljske standarde;</w:t>
      </w:r>
    </w:p>
    <w:p w:rsidRPr="00E81F61" w:rsidR="00544BAB" w:rsidP="00632498" w:rsidRDefault="00544BAB" w14:paraId="2C50BF5E"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poziva k odpravi </w:t>
      </w:r>
      <w:r w:rsidRPr="00E81F61">
        <w:rPr>
          <w:b/>
        </w:rPr>
        <w:t>nefunkcionalnosti trga</w:t>
      </w:r>
      <w:r w:rsidRPr="00E81F61">
        <w:t xml:space="preserve"> z učinkovitim izvrševanjem veljavnih pravil enotnega trga in konkurence ter z odpravo preostalih ovir za vse štiri svoboščine ter peto svoboščino inovacij in izobraževanja;</w:t>
      </w:r>
    </w:p>
    <w:p w:rsidRPr="00E81F61" w:rsidR="00544BAB" w:rsidP="00632498" w:rsidRDefault="00544BAB" w14:paraId="30CA4713"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poziva k dejavni krepitvi </w:t>
      </w:r>
      <w:r w:rsidRPr="00E81F61">
        <w:rPr>
          <w:b/>
        </w:rPr>
        <w:t>trgovinskih sporazumov in gospodarskih partnerstev</w:t>
      </w:r>
      <w:r w:rsidRPr="00E81F61">
        <w:t xml:space="preserve">, ob ustreznem upoštevanju socialnih in okoljskih standardov, da bi dosegli nove trge in </w:t>
      </w:r>
      <w:proofErr w:type="spellStart"/>
      <w:r w:rsidRPr="00E81F61">
        <w:t>diverzificirali</w:t>
      </w:r>
      <w:proofErr w:type="spellEnd"/>
      <w:r w:rsidRPr="00E81F61">
        <w:t xml:space="preserve"> dobavne verige, s čimer bi zmanjšali ranljivost v primeru protekcionističnih trgovinskih ukrepov in njihovih učinkov na cene;</w:t>
      </w:r>
    </w:p>
    <w:p w:rsidRPr="00E81F61" w:rsidR="00544BAB" w:rsidP="00632498" w:rsidRDefault="00544BAB" w14:paraId="5B157A25" w14:textId="77777777">
      <w:pPr>
        <w:numPr>
          <w:ilvl w:val="0"/>
          <w:numId w:val="6"/>
        </w:numPr>
        <w:suppressAutoHyphens/>
        <w:overflowPunct w:val="0"/>
        <w:autoSpaceDE w:val="0"/>
        <w:autoSpaceDN w:val="0"/>
        <w:adjustRightInd w:val="0"/>
        <w:ind w:left="357" w:hanging="357"/>
        <w:textAlignment w:val="baseline"/>
        <w:rPr>
          <w:bCs/>
          <w:iCs/>
        </w:rPr>
      </w:pPr>
      <w:r w:rsidRPr="00E81F61">
        <w:t>meni, da je treba poskrbeti za to, da so politike in ukrepi, ki vplivajo na življenjske stroške, pravični in učinkoviti, ne glede na to, ali se nanašajo na zeleni in digitalni prehod, vrednostne verige, socialno varnost, obdavčitev ali katero koli drugo pomembno temo;</w:t>
      </w:r>
    </w:p>
    <w:p w:rsidRPr="00E81F61" w:rsidR="00544BAB" w:rsidP="00632498" w:rsidRDefault="00544BAB" w14:paraId="61FBB9E7"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poziva države članice, naj na podlagi ustreznega spremljanja in ocen učinka sprejmejo </w:t>
      </w:r>
      <w:r w:rsidRPr="00E81F61">
        <w:rPr>
          <w:b/>
        </w:rPr>
        <w:t>posebne podporne ukrepe</w:t>
      </w:r>
      <w:r w:rsidRPr="00E81F61">
        <w:t xml:space="preserve"> za zaščito najbolj prikrajšanih. Pri oblikovanju politik za obravnavanje </w:t>
      </w:r>
      <w:r w:rsidRPr="00E81F61">
        <w:lastRenderedPageBreak/>
        <w:t>življenjskih stroškov je treba ustrezno pozornost nameniti tudi dolgoročnim učinkom na prihodnje generacije;</w:t>
      </w:r>
    </w:p>
    <w:p w:rsidRPr="00E81F61" w:rsidR="00544BAB" w:rsidP="00632498" w:rsidRDefault="00544BAB" w14:paraId="1117B24E"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poziva, naj se posebna prizadevanja usmerijo v zagotavljanje </w:t>
      </w:r>
      <w:r w:rsidRPr="00E81F61">
        <w:rPr>
          <w:b/>
        </w:rPr>
        <w:t>primernih in cenovno dostopnih stanovanj</w:t>
      </w:r>
      <w:r w:rsidRPr="00E81F61">
        <w:t xml:space="preserve"> za različne potrebe, tudi za mlade. Za pospešitev gradnje in obnove so potrebne inovacije in ustrezno načrtovanje rabe zemljišč. Spodbujati bi bilo treba gradnjo socialnih stanovanj, da bi bila stanovanja dostopna in cenovno ugodna za vse;</w:t>
      </w:r>
    </w:p>
    <w:p w:rsidRPr="00E81F61" w:rsidR="00544BAB" w:rsidP="00632498" w:rsidRDefault="00544BAB" w14:paraId="55201694"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poudarja, da je spodbujanje ustvarjanja kakovostnih delovnih mest ter polne, </w:t>
      </w:r>
      <w:r w:rsidRPr="00E81F61">
        <w:rPr>
          <w:b/>
        </w:rPr>
        <w:t>dostojne in vključujoče zaposlenosti</w:t>
      </w:r>
      <w:r w:rsidRPr="00E81F61">
        <w:t>, temeljno za zagotavljanje gospodarske in socialne odpornosti na zvišanje cen. Za to je potrebno ugodno okolje, ki spodbuja podjetništvo in podjetja, vključno s podporo razvoju socialnega gospodarstva, ki je ključno za ustvarjanje delovnih mest za tiste, ki nimajo dostopa do primarnega trga dela;</w:t>
      </w:r>
    </w:p>
    <w:p w:rsidRPr="00E81F61" w:rsidR="00544BAB" w:rsidP="00632498" w:rsidRDefault="00544BAB" w14:paraId="4B0F071A"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poudarja bistveno vlogo </w:t>
      </w:r>
      <w:r w:rsidRPr="00E81F61">
        <w:rPr>
          <w:b/>
        </w:rPr>
        <w:t>izobraževanja ter razvoja znanj in spretnosti</w:t>
      </w:r>
      <w:r w:rsidRPr="00E81F61">
        <w:t xml:space="preserve">, ki posameznikom pomagajo do kakovostnih delovnih mest in boljšega dohodka. Dobro delujoč </w:t>
      </w:r>
      <w:r w:rsidRPr="00E81F61">
        <w:rPr>
          <w:b/>
        </w:rPr>
        <w:t>socialni dialog</w:t>
      </w:r>
      <w:r w:rsidRPr="00E81F61">
        <w:t xml:space="preserve"> in dobro razvita kolektivna pogajanja v skladu z nacionalnimi praksami in avtonomijo socialnih partnerjev so ključna sredstva za reševanje z delom povezanih vprašanj kupne moči, kar prispeva k socialni koheziji in dostojnemu življenju za vse. Po drugi strani je potreben civilni dialog, da se stališča državljanov vključijo v razvoj politik, ki vplivajo na njihove življenjske razmere;</w:t>
      </w:r>
    </w:p>
    <w:p w:rsidRPr="00E81F61" w:rsidR="00544BAB" w:rsidP="00632498" w:rsidRDefault="00544BAB" w14:paraId="1A905A66" w14:textId="77777777">
      <w:pPr>
        <w:numPr>
          <w:ilvl w:val="0"/>
          <w:numId w:val="6"/>
        </w:numPr>
        <w:suppressAutoHyphens/>
        <w:overflowPunct w:val="0"/>
        <w:autoSpaceDE w:val="0"/>
        <w:autoSpaceDN w:val="0"/>
        <w:adjustRightInd w:val="0"/>
        <w:ind w:left="357" w:hanging="357"/>
        <w:textAlignment w:val="baseline"/>
        <w:rPr>
          <w:bCs/>
          <w:iCs/>
        </w:rPr>
      </w:pPr>
      <w:r w:rsidRPr="00E81F61">
        <w:t xml:space="preserve">poudarja, da so za obravnavanje življenjskih stroškov potrebne </w:t>
      </w:r>
      <w:r w:rsidRPr="00E81F61">
        <w:rPr>
          <w:b/>
        </w:rPr>
        <w:t>javne in zasebne naložbe</w:t>
      </w:r>
      <w:r w:rsidRPr="00E81F61">
        <w:t xml:space="preserve"> v inovacije in infrastrukturo, ki zajemajo stanovanja, energetske, digitalne in prometne sisteme, izobraževanje, zdravstveno varstvo in socialne storitve ter varnostne in obrambne zmogljivosti. Za to sta potrebni večja produktivnost in močna gospodarska rast, hkrati pa je treba poskrbeti za vzdržne in pregledne javne finance.</w:t>
      </w:r>
    </w:p>
    <w:p w:rsidRPr="00E81F61" w:rsidR="00544BAB" w:rsidP="00544BAB" w:rsidRDefault="00544BAB" w14:paraId="2EE8A863" w14:textId="77777777">
      <w:pPr>
        <w:suppressAutoHyphens/>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088"/>
      </w:tblGrid>
      <w:tr w:rsidRPr="00E81F61" w:rsidR="00544BAB" w:rsidTr="00BB7F23" w14:paraId="34B933A1" w14:textId="77777777">
        <w:tc>
          <w:tcPr>
            <w:tcW w:w="1951" w:type="dxa"/>
          </w:tcPr>
          <w:p w:rsidRPr="00E81F61" w:rsidR="00544BAB" w:rsidP="00BB7F23" w:rsidRDefault="00544BAB" w14:paraId="2E90B3AF" w14:textId="77777777">
            <w:pPr>
              <w:suppressAutoHyphens/>
              <w:rPr>
                <w:i/>
              </w:rPr>
            </w:pPr>
            <w:r w:rsidRPr="00E81F61">
              <w:rPr>
                <w:b/>
                <w:i/>
              </w:rPr>
              <w:t>Kontaktna oseba</w:t>
            </w:r>
          </w:p>
        </w:tc>
        <w:tc>
          <w:tcPr>
            <w:tcW w:w="7088" w:type="dxa"/>
          </w:tcPr>
          <w:p w:rsidRPr="00E81F61" w:rsidR="00544BAB" w:rsidP="00BB7F23" w:rsidRDefault="00544BAB" w14:paraId="004A12A0" w14:textId="1D55F351">
            <w:pPr>
              <w:suppressAutoHyphens/>
              <w:rPr>
                <w:i/>
              </w:rPr>
            </w:pPr>
            <w:proofErr w:type="spellStart"/>
            <w:r w:rsidRPr="00E81F61">
              <w:rPr>
                <w:i/>
              </w:rPr>
              <w:t>Krisztina</w:t>
            </w:r>
            <w:proofErr w:type="spellEnd"/>
            <w:r w:rsidRPr="00E81F61">
              <w:rPr>
                <w:i/>
              </w:rPr>
              <w:t xml:space="preserve"> </w:t>
            </w:r>
            <w:r w:rsidRPr="00E81F61" w:rsidR="00641BDF">
              <w:rPr>
                <w:i/>
              </w:rPr>
              <w:t>PERLAKY</w:t>
            </w:r>
            <w:r w:rsidRPr="00E81F61" w:rsidR="00281901">
              <w:rPr>
                <w:i/>
              </w:rPr>
              <w:t>-</w:t>
            </w:r>
            <w:r w:rsidRPr="00E81F61" w:rsidR="00641BDF">
              <w:rPr>
                <w:i/>
              </w:rPr>
              <w:t>TÓTH</w:t>
            </w:r>
          </w:p>
        </w:tc>
      </w:tr>
      <w:tr w:rsidRPr="00E81F61" w:rsidR="00544BAB" w:rsidTr="00BB7F23" w14:paraId="7084EE07" w14:textId="77777777">
        <w:tc>
          <w:tcPr>
            <w:tcW w:w="1951" w:type="dxa"/>
          </w:tcPr>
          <w:p w:rsidRPr="00E81F61" w:rsidR="00544BAB" w:rsidP="00BB7F23" w:rsidRDefault="00544BAB" w14:paraId="3FFE8779" w14:textId="77777777">
            <w:pPr>
              <w:suppressAutoHyphens/>
              <w:rPr>
                <w:i/>
              </w:rPr>
            </w:pPr>
            <w:r w:rsidRPr="00E81F61">
              <w:rPr>
                <w:i/>
              </w:rPr>
              <w:t>Telefon</w:t>
            </w:r>
          </w:p>
        </w:tc>
        <w:tc>
          <w:tcPr>
            <w:tcW w:w="7088" w:type="dxa"/>
          </w:tcPr>
          <w:p w:rsidRPr="00E81F61" w:rsidR="00544BAB" w:rsidP="00BB7F23" w:rsidRDefault="00544BAB" w14:paraId="22A008F9" w14:textId="77777777">
            <w:pPr>
              <w:suppressAutoHyphens/>
              <w:rPr>
                <w:i/>
              </w:rPr>
            </w:pPr>
            <w:r w:rsidRPr="00E81F61">
              <w:rPr>
                <w:i/>
              </w:rPr>
              <w:t>+32 2</w:t>
            </w:r>
            <w:r w:rsidRPr="00E81F61">
              <w:t xml:space="preserve"> </w:t>
            </w:r>
            <w:r w:rsidRPr="00E81F61">
              <w:rPr>
                <w:i/>
              </w:rPr>
              <w:t>5469740</w:t>
            </w:r>
          </w:p>
        </w:tc>
      </w:tr>
      <w:tr w:rsidRPr="00E81F61" w:rsidR="00544BAB" w:rsidTr="00BB7F23" w14:paraId="677414AF" w14:textId="77777777">
        <w:tc>
          <w:tcPr>
            <w:tcW w:w="1951" w:type="dxa"/>
          </w:tcPr>
          <w:p w:rsidRPr="00E81F61" w:rsidR="00544BAB" w:rsidP="00BB7F23" w:rsidRDefault="00544BAB" w14:paraId="36AC7DE0" w14:textId="77777777">
            <w:pPr>
              <w:suppressAutoHyphens/>
              <w:rPr>
                <w:i/>
              </w:rPr>
            </w:pPr>
            <w:r w:rsidRPr="00E81F61">
              <w:rPr>
                <w:i/>
              </w:rPr>
              <w:t>E-naslov</w:t>
            </w:r>
          </w:p>
        </w:tc>
        <w:tc>
          <w:tcPr>
            <w:tcW w:w="7088" w:type="dxa"/>
          </w:tcPr>
          <w:p w:rsidRPr="00E81F61" w:rsidR="00544BAB" w:rsidP="00BB7F23" w:rsidRDefault="00662932" w14:paraId="1265D39E" w14:textId="77777777">
            <w:pPr>
              <w:suppressAutoHyphens/>
              <w:rPr>
                <w:i/>
              </w:rPr>
            </w:pPr>
            <w:hyperlink w:history="1" r:id="rId22">
              <w:r w:rsidRPr="00E81F61" w:rsidR="00544BAB">
                <w:rPr>
                  <w:rStyle w:val="Hyperlink"/>
                  <w:i/>
                </w:rPr>
                <w:t>Krisztina.PerlakyToth@eesc.europa.eu</w:t>
              </w:r>
            </w:hyperlink>
          </w:p>
        </w:tc>
      </w:tr>
    </w:tbl>
    <w:p w:rsidR="00BA5294" w:rsidP="00D94D34" w:rsidRDefault="00BA5294" w14:paraId="65423CA6" w14:textId="6A45DAF5">
      <w:pPr>
        <w:jc w:val="left"/>
      </w:pPr>
      <w:r>
        <w:br w:type="page"/>
      </w:r>
    </w:p>
    <w:p w:rsidRPr="00281901" w:rsidR="00544BAB" w:rsidP="00632498" w:rsidRDefault="00662932" w14:paraId="061FB9F9" w14:textId="77777777">
      <w:pPr>
        <w:numPr>
          <w:ilvl w:val="0"/>
          <w:numId w:val="27"/>
        </w:numPr>
        <w:overflowPunct w:val="0"/>
        <w:autoSpaceDE w:val="0"/>
        <w:autoSpaceDN w:val="0"/>
        <w:adjustRightInd w:val="0"/>
        <w:textAlignment w:val="baseline"/>
        <w:rPr>
          <w:sz w:val="28"/>
        </w:rPr>
      </w:pPr>
      <w:hyperlink w:history="1" r:id="rId23">
        <w:r w:rsidRPr="00281901" w:rsidR="00544BAB">
          <w:rPr>
            <w:rStyle w:val="Hyperlink"/>
            <w:b/>
            <w:i/>
            <w:sz w:val="28"/>
          </w:rPr>
          <w:t>Cenovno dostopna stanovanja: kohezijska politika, agenda za mesta in civilna družba</w:t>
        </w:r>
      </w:hyperlink>
    </w:p>
    <w:p w:rsidRPr="009741EB" w:rsidR="00544BAB" w:rsidP="00544BAB" w:rsidRDefault="00544BAB" w14:paraId="0A2E2E5F"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9741EB" w:rsidR="00544BAB" w:rsidTr="00544BAB" w14:paraId="7583E3AD" w14:textId="77777777">
        <w:tc>
          <w:tcPr>
            <w:tcW w:w="1250" w:type="pct"/>
          </w:tcPr>
          <w:p w:rsidRPr="009741EB" w:rsidR="00544BAB" w:rsidP="00BB7F23" w:rsidRDefault="00544BAB" w14:paraId="28B5ACBC" w14:textId="77777777">
            <w:pPr>
              <w:rPr>
                <w:b/>
              </w:rPr>
            </w:pPr>
            <w:r w:rsidRPr="009741EB">
              <w:rPr>
                <w:b/>
              </w:rPr>
              <w:t>Poročeval</w:t>
            </w:r>
            <w:r>
              <w:rPr>
                <w:b/>
              </w:rPr>
              <w:t>ka</w:t>
            </w:r>
          </w:p>
        </w:tc>
        <w:tc>
          <w:tcPr>
            <w:tcW w:w="3750" w:type="pct"/>
          </w:tcPr>
          <w:p w:rsidRPr="009741EB" w:rsidR="00544BAB" w:rsidP="00BB7F23" w:rsidRDefault="00544BAB" w14:paraId="5CB060F1" w14:textId="77777777">
            <w:r w:rsidRPr="00D61B17">
              <w:t>Elena-Alexandra CALISTRU (skupina organizacij civilne družbe – RO)</w:t>
            </w:r>
          </w:p>
        </w:tc>
      </w:tr>
      <w:tr w:rsidRPr="009741EB" w:rsidR="00544BAB" w:rsidTr="00544BAB" w14:paraId="765BB18C" w14:textId="77777777">
        <w:tc>
          <w:tcPr>
            <w:tcW w:w="1250" w:type="pct"/>
          </w:tcPr>
          <w:p w:rsidRPr="009741EB" w:rsidR="00544BAB" w:rsidP="00BB7F23" w:rsidRDefault="00544BAB" w14:paraId="5FC253CA" w14:textId="77777777">
            <w:pPr>
              <w:rPr>
                <w:b/>
              </w:rPr>
            </w:pPr>
            <w:r w:rsidRPr="009741EB">
              <w:rPr>
                <w:b/>
              </w:rPr>
              <w:t>Soporočeval</w:t>
            </w:r>
            <w:r>
              <w:rPr>
                <w:b/>
              </w:rPr>
              <w:t>ka</w:t>
            </w:r>
          </w:p>
        </w:tc>
        <w:tc>
          <w:tcPr>
            <w:tcW w:w="3750" w:type="pct"/>
          </w:tcPr>
          <w:p w:rsidRPr="009741EB" w:rsidR="00544BAB" w:rsidP="00BB7F23" w:rsidRDefault="00544BAB" w14:paraId="3D15549C" w14:textId="77777777">
            <w:r>
              <w:t xml:space="preserve">María del Carmen BARRERA CHAMORRO </w:t>
            </w:r>
            <w:r w:rsidRPr="00D61B17">
              <w:t>(skupina delojemalcev – ES)</w:t>
            </w:r>
          </w:p>
        </w:tc>
      </w:tr>
      <w:tr w:rsidRPr="009741EB" w:rsidR="00544BAB" w:rsidTr="00BB7F23" w14:paraId="2CAB49B9" w14:textId="77777777">
        <w:tc>
          <w:tcPr>
            <w:tcW w:w="5000" w:type="pct"/>
            <w:gridSpan w:val="2"/>
          </w:tcPr>
          <w:p w:rsidRPr="009741EB" w:rsidR="00544BAB" w:rsidP="00BB7F23" w:rsidRDefault="00544BAB" w14:paraId="36B72FA3" w14:textId="77777777">
            <w:pPr>
              <w:rPr>
                <w:sz w:val="16"/>
              </w:rPr>
            </w:pPr>
          </w:p>
        </w:tc>
      </w:tr>
      <w:tr w:rsidRPr="009741EB" w:rsidR="00544BAB" w:rsidTr="00544BAB" w14:paraId="266EA1AC" w14:textId="77777777">
        <w:trPr>
          <w:trHeight w:val="361"/>
        </w:trPr>
        <w:tc>
          <w:tcPr>
            <w:tcW w:w="1250" w:type="pct"/>
          </w:tcPr>
          <w:p w:rsidRPr="009741EB" w:rsidR="00544BAB" w:rsidP="00BB7F23" w:rsidRDefault="00544BAB" w14:paraId="4237F8F3" w14:textId="77777777">
            <w:pPr>
              <w:rPr>
                <w:b/>
              </w:rPr>
            </w:pPr>
            <w:r w:rsidRPr="009741EB">
              <w:rPr>
                <w:b/>
              </w:rPr>
              <w:t>Referenčni dokument</w:t>
            </w:r>
          </w:p>
        </w:tc>
        <w:tc>
          <w:tcPr>
            <w:tcW w:w="3750" w:type="pct"/>
          </w:tcPr>
          <w:p w:rsidR="00544BAB" w:rsidP="00BB7F23" w:rsidRDefault="00544BAB" w14:paraId="256546CB" w14:textId="77777777">
            <w:r w:rsidRPr="00D61B17">
              <w:t>mnenje na lastno pobudo</w:t>
            </w:r>
          </w:p>
          <w:p w:rsidRPr="009741EB" w:rsidR="00544BAB" w:rsidP="00BB7F23" w:rsidRDefault="00544BAB" w14:paraId="78566BB3" w14:textId="5EC96E4D">
            <w:r w:rsidRPr="00D61B17">
              <w:t>EESC-2025-00688-00-00-AC</w:t>
            </w:r>
          </w:p>
        </w:tc>
      </w:tr>
    </w:tbl>
    <w:p w:rsidRPr="009741EB" w:rsidR="00544BAB" w:rsidP="00544BAB" w:rsidRDefault="00544BAB" w14:paraId="450E0177" w14:textId="77777777"/>
    <w:p w:rsidRPr="009741EB" w:rsidR="00544BAB" w:rsidP="00544BAB" w:rsidRDefault="00544BAB" w14:paraId="455B09D2" w14:textId="77777777">
      <w:r w:rsidRPr="009741EB">
        <w:rPr>
          <w:b/>
        </w:rPr>
        <w:t>Glavne točke</w:t>
      </w:r>
    </w:p>
    <w:p w:rsidRPr="009741EB" w:rsidR="00544BAB" w:rsidP="00544BAB" w:rsidRDefault="00544BAB" w14:paraId="5094A417" w14:textId="77777777"/>
    <w:p w:rsidRPr="00CD1B7F" w:rsidR="00544BAB" w:rsidP="00544BAB" w:rsidRDefault="00544BAB" w14:paraId="3A4721DF" w14:textId="6B813F67">
      <w:pPr>
        <w:rPr>
          <w:bCs/>
          <w:iCs/>
        </w:rPr>
      </w:pPr>
      <w:r w:rsidRPr="009741EB">
        <w:rPr>
          <w:bCs/>
          <w:iCs/>
        </w:rPr>
        <w:t>EESO</w:t>
      </w:r>
    </w:p>
    <w:p w:rsidRPr="00D61B17" w:rsidR="00544BAB" w:rsidP="00632498" w:rsidRDefault="00544BAB" w14:paraId="55EB2A79" w14:textId="77777777">
      <w:pPr>
        <w:widowControl w:val="0"/>
        <w:numPr>
          <w:ilvl w:val="0"/>
          <w:numId w:val="7"/>
        </w:numPr>
        <w:overflowPunct w:val="0"/>
        <w:autoSpaceDE w:val="0"/>
        <w:autoSpaceDN w:val="0"/>
        <w:adjustRightInd w:val="0"/>
        <w:ind w:left="426" w:hanging="426"/>
        <w:textAlignment w:val="baseline"/>
      </w:pPr>
      <w:r w:rsidRPr="00D61B17">
        <w:t>meni, da kriza cenovne dostopnosti stanovanj ni le socialni izziv, temveč tudi velika gospodarska grožnja konkurenčnosti EU, saj se podjetja soočajo s plačnimi pritiski, ki zmanjšujejo njihovo mednarodno konkurenčnost in so v nasprotju s ciljem kohezijske politike, tj. ustvarjanjem konkurenčnih regionalnih gospodarstev;</w:t>
      </w:r>
    </w:p>
    <w:p w:rsidRPr="00D61B17" w:rsidR="00544BAB" w:rsidP="00632498" w:rsidRDefault="00544BAB" w14:paraId="39C94238" w14:textId="77777777">
      <w:pPr>
        <w:widowControl w:val="0"/>
        <w:numPr>
          <w:ilvl w:val="0"/>
          <w:numId w:val="7"/>
        </w:numPr>
        <w:overflowPunct w:val="0"/>
        <w:autoSpaceDE w:val="0"/>
        <w:autoSpaceDN w:val="0"/>
        <w:adjustRightInd w:val="0"/>
        <w:ind w:left="426" w:hanging="426"/>
        <w:textAlignment w:val="baseline"/>
      </w:pPr>
      <w:r w:rsidRPr="00D61B17">
        <w:t>poudarja, da so za reševanje stanovanjske krize poleg dodatnih sredstev potrebni tudi pametnejši pristopi k financiranju. Glede na letni naložbeni primanjkljaj v višini 270 milijard EUR, ki ga je ugotovila Evropska investicijska banka (EIB), je prenos sredstev v okviru sedanjih dodelitev kohezijske politike očitno nezadosten. V zvezi s tem meni, da bi morala kohezijska politika delovati kot glavni okvir za usklajevanje dopolnilnih instrumentov ter mobilizacijo javnega in zasebnega kapitala;</w:t>
      </w:r>
    </w:p>
    <w:p w:rsidRPr="00D61B17" w:rsidR="00544BAB" w:rsidP="00632498" w:rsidRDefault="00544BAB" w14:paraId="78FE2526" w14:textId="77777777">
      <w:pPr>
        <w:widowControl w:val="0"/>
        <w:numPr>
          <w:ilvl w:val="0"/>
          <w:numId w:val="7"/>
        </w:numPr>
        <w:overflowPunct w:val="0"/>
        <w:autoSpaceDE w:val="0"/>
        <w:autoSpaceDN w:val="0"/>
        <w:adjustRightInd w:val="0"/>
        <w:ind w:left="426" w:hanging="426"/>
        <w:textAlignment w:val="baseline"/>
      </w:pPr>
      <w:r w:rsidRPr="00D61B17">
        <w:t>pozdravlja, da je Komisija ustanovila prvo projektno skupino za stanovanja in imenovala komisarja za stanovanja, da se pripravi evropski načrt za cenovno dostopna stanovanja. Ta delovna skupina pa bi morala zajemati tudi predstavnike držav članic, lokalnih oblasti, socialnih partnerjev;</w:t>
      </w:r>
    </w:p>
    <w:p w:rsidRPr="00D61B17" w:rsidR="00544BAB" w:rsidP="00632498" w:rsidRDefault="00544BAB" w14:paraId="48E41598" w14:textId="77777777">
      <w:pPr>
        <w:widowControl w:val="0"/>
        <w:numPr>
          <w:ilvl w:val="0"/>
          <w:numId w:val="7"/>
        </w:numPr>
        <w:overflowPunct w:val="0"/>
        <w:autoSpaceDE w:val="0"/>
        <w:autoSpaceDN w:val="0"/>
        <w:adjustRightInd w:val="0"/>
        <w:ind w:left="426" w:hanging="426"/>
        <w:textAlignment w:val="baseline"/>
      </w:pPr>
      <w:r w:rsidRPr="00D61B17">
        <w:t>podpira sprejetje celovitega okvira EU, v katerem bodo opredeljena cenovno dostopna stanovanja v celotnem procesu (socialna stanovanja, cenovno dostopna najemnina, cenovno dostopno lastništvo), da se zagotovi pravna varnost za naložbe;</w:t>
      </w:r>
    </w:p>
    <w:p w:rsidRPr="00D61B17" w:rsidR="00544BAB" w:rsidP="00632498" w:rsidRDefault="00544BAB" w14:paraId="711D4C8C" w14:textId="77777777">
      <w:pPr>
        <w:widowControl w:val="0"/>
        <w:numPr>
          <w:ilvl w:val="0"/>
          <w:numId w:val="7"/>
        </w:numPr>
        <w:overflowPunct w:val="0"/>
        <w:autoSpaceDE w:val="0"/>
        <w:autoSpaceDN w:val="0"/>
        <w:adjustRightInd w:val="0"/>
        <w:ind w:left="426" w:hanging="426"/>
        <w:textAlignment w:val="baseline"/>
      </w:pPr>
      <w:r w:rsidRPr="00D61B17">
        <w:t>meni, da bi morale biti naložbe v cenovno dostopna in trajnostna stanovanja strateška prednostna naloga kohezijskega sklada EU po letu 2027, pri čemer bi morala biti poleg socialnih stanovanj vključena tudi cenovno dostopna stanovanja ter ukrepi prenove;</w:t>
      </w:r>
    </w:p>
    <w:p w:rsidRPr="00D61B17" w:rsidR="00544BAB" w:rsidP="00632498" w:rsidRDefault="00544BAB" w14:paraId="0C0E7905" w14:textId="77777777">
      <w:pPr>
        <w:widowControl w:val="0"/>
        <w:numPr>
          <w:ilvl w:val="0"/>
          <w:numId w:val="7"/>
        </w:numPr>
        <w:overflowPunct w:val="0"/>
        <w:autoSpaceDE w:val="0"/>
        <w:autoSpaceDN w:val="0"/>
        <w:adjustRightInd w:val="0"/>
        <w:ind w:left="426" w:hanging="426"/>
        <w:textAlignment w:val="baseline"/>
      </w:pPr>
      <w:r w:rsidRPr="00D61B17">
        <w:t>se zaveda pomena zakonodajnega okvira EU za odgovor na izzive, ki jih prinaša stanovanjska kriza. To pomeni, da je treba odpraviti regulativne pomanjkljivosti EU, na katere je v svojih sodbah opozorilo Sodišče Evropske unije in ki so države članice omejevale pri financiranju pobud za socialna in cenovno dostopna stanovanja;</w:t>
      </w:r>
    </w:p>
    <w:p w:rsidRPr="00D61B17" w:rsidR="00544BAB" w:rsidP="002410D7" w:rsidRDefault="00544BAB" w14:paraId="2245667F" w14:textId="77777777">
      <w:pPr>
        <w:numPr>
          <w:ilvl w:val="0"/>
          <w:numId w:val="7"/>
        </w:numPr>
        <w:suppressAutoHyphens/>
        <w:overflowPunct w:val="0"/>
        <w:autoSpaceDE w:val="0"/>
        <w:autoSpaceDN w:val="0"/>
        <w:adjustRightInd w:val="0"/>
        <w:ind w:left="425" w:hanging="425"/>
        <w:textAlignment w:val="baseline"/>
      </w:pPr>
      <w:r w:rsidRPr="00D61B17">
        <w:t>pozdravlja platformo EU za cenovno dostopna stanovanja, ki vključuje EIB, da bi spodbudili zasebne naložbe na lokalni in regionalni ravni ter svetovalne storitve, ki zajemajo vse faze od projektiranja naprej;</w:t>
      </w:r>
    </w:p>
    <w:p w:rsidRPr="00D61B17" w:rsidR="00544BAB" w:rsidP="00632498" w:rsidRDefault="00544BAB" w14:paraId="5B79DA05" w14:textId="77777777">
      <w:pPr>
        <w:widowControl w:val="0"/>
        <w:numPr>
          <w:ilvl w:val="0"/>
          <w:numId w:val="7"/>
        </w:numPr>
        <w:overflowPunct w:val="0"/>
        <w:autoSpaceDE w:val="0"/>
        <w:autoSpaceDN w:val="0"/>
        <w:adjustRightInd w:val="0"/>
        <w:ind w:left="426" w:hanging="426"/>
        <w:textAlignment w:val="baseline"/>
      </w:pPr>
      <w:r w:rsidRPr="00D61B17">
        <w:t>podpira predlog iz prvega poročila Odbora EP za regionalni razvoj (REGI), da se posojila, jamstva in lastna sredstva za cenovno dostopna stanovanja ne bi smela šteti kot dolg držav v okviru Pakta za stabilnost in rast ter evropskega semestra;</w:t>
      </w:r>
    </w:p>
    <w:p w:rsidRPr="00D61B17" w:rsidR="00544BAB" w:rsidP="00632498" w:rsidRDefault="00544BAB" w14:paraId="6CADE162" w14:textId="77777777">
      <w:pPr>
        <w:widowControl w:val="0"/>
        <w:numPr>
          <w:ilvl w:val="0"/>
          <w:numId w:val="7"/>
        </w:numPr>
        <w:overflowPunct w:val="0"/>
        <w:autoSpaceDE w:val="0"/>
        <w:autoSpaceDN w:val="0"/>
        <w:adjustRightInd w:val="0"/>
        <w:ind w:left="426" w:hanging="426"/>
        <w:textAlignment w:val="baseline"/>
      </w:pPr>
      <w:r w:rsidRPr="00D61B17">
        <w:t>meni, da pravila o državni pomoči in opredelitve storitev splošnega gospodarskega pomena omejujejo javne naložbe v cenovno dostopna stanovanja, ki presegajo ozko opredelitev socialnih stanovanj;</w:t>
      </w:r>
    </w:p>
    <w:p w:rsidRPr="00D61B17" w:rsidR="00544BAB" w:rsidP="00632498" w:rsidRDefault="00544BAB" w14:paraId="65AC5832" w14:textId="77777777">
      <w:pPr>
        <w:widowControl w:val="0"/>
        <w:numPr>
          <w:ilvl w:val="0"/>
          <w:numId w:val="7"/>
        </w:numPr>
        <w:overflowPunct w:val="0"/>
        <w:autoSpaceDE w:val="0"/>
        <w:autoSpaceDN w:val="0"/>
        <w:adjustRightInd w:val="0"/>
        <w:ind w:left="426" w:hanging="426"/>
        <w:textAlignment w:val="baseline"/>
      </w:pPr>
      <w:r w:rsidRPr="00D61B17">
        <w:t xml:space="preserve">meni, da se lahko s finančnimi instrumenti, ki reciklirajo donose za ponovne naložbe, oblikujejo </w:t>
      </w:r>
      <w:r w:rsidRPr="00D61B17">
        <w:lastRenderedPageBreak/>
        <w:t>trajnostni mehanizmi financiranja stanovanj, ki presegajo programske cikle;</w:t>
      </w:r>
    </w:p>
    <w:p w:rsidRPr="00D61B17" w:rsidR="00544BAB" w:rsidP="00632498" w:rsidRDefault="00544BAB" w14:paraId="1FC07013" w14:textId="77777777">
      <w:pPr>
        <w:widowControl w:val="0"/>
        <w:numPr>
          <w:ilvl w:val="0"/>
          <w:numId w:val="7"/>
        </w:numPr>
        <w:overflowPunct w:val="0"/>
        <w:autoSpaceDE w:val="0"/>
        <w:autoSpaceDN w:val="0"/>
        <w:adjustRightInd w:val="0"/>
        <w:ind w:left="426" w:hanging="426"/>
        <w:textAlignment w:val="baseline"/>
      </w:pPr>
      <w:r w:rsidRPr="00D61B17">
        <w:t>pričakuje, da bodo v naslednjem večletnem finančnem okviru stanovanja izrecno priznana kot dejavnik gospodarske konkurenčnosti in vključena v področje uporabe Evropskega sklada za konkurenčnost;</w:t>
      </w:r>
    </w:p>
    <w:p w:rsidRPr="00D61B17" w:rsidR="00544BAB" w:rsidP="00632498" w:rsidRDefault="00544BAB" w14:paraId="349850AF" w14:textId="77777777">
      <w:pPr>
        <w:widowControl w:val="0"/>
        <w:numPr>
          <w:ilvl w:val="0"/>
          <w:numId w:val="7"/>
        </w:numPr>
        <w:overflowPunct w:val="0"/>
        <w:autoSpaceDE w:val="0"/>
        <w:autoSpaceDN w:val="0"/>
        <w:adjustRightInd w:val="0"/>
        <w:ind w:left="426" w:hanging="426"/>
        <w:textAlignment w:val="baseline"/>
      </w:pPr>
      <w:r w:rsidRPr="00D61B17">
        <w:t>meni, da bi bilo treba v okviru nacionalnih politik in politik EU, namenjenih spodbujanju gospodarske rasti s turizmom in gradnjo nepremičnin, upoštevati njun morebitni vpliv na lokalne stanovanjske trge;</w:t>
      </w:r>
    </w:p>
    <w:p w:rsidRPr="00D61B17" w:rsidR="00544BAB" w:rsidP="00632498" w:rsidRDefault="00544BAB" w14:paraId="525C23DD" w14:textId="77777777">
      <w:pPr>
        <w:widowControl w:val="0"/>
        <w:numPr>
          <w:ilvl w:val="0"/>
          <w:numId w:val="7"/>
        </w:numPr>
        <w:overflowPunct w:val="0"/>
        <w:autoSpaceDE w:val="0"/>
        <w:autoSpaceDN w:val="0"/>
        <w:adjustRightInd w:val="0"/>
        <w:ind w:left="426" w:hanging="426"/>
        <w:textAlignment w:val="baseline"/>
      </w:pPr>
      <w:r w:rsidRPr="00D61B17">
        <w:t>meni, da mora Evropska komisija upoštevati izkušnje in najboljše prakse nacionalnih, regionalnih in lokalnih oblasti, ki so zavezane gradnji cenovno dostopnih socialnih stanovanj po vsej EU;</w:t>
      </w:r>
    </w:p>
    <w:p w:rsidR="00544BAB" w:rsidP="00632498" w:rsidRDefault="00544BAB" w14:paraId="33D8AA68" w14:textId="77777777">
      <w:pPr>
        <w:widowControl w:val="0"/>
        <w:numPr>
          <w:ilvl w:val="0"/>
          <w:numId w:val="7"/>
        </w:numPr>
        <w:overflowPunct w:val="0"/>
        <w:autoSpaceDE w:val="0"/>
        <w:autoSpaceDN w:val="0"/>
        <w:adjustRightInd w:val="0"/>
        <w:ind w:left="426" w:hanging="426"/>
        <w:textAlignment w:val="baseline"/>
      </w:pPr>
      <w:r w:rsidRPr="00D61B17">
        <w:t>poudarja, da je treba cenovno dostopna stanovanja obravnavati kot temelj evropskega socialnega modela.</w:t>
      </w:r>
    </w:p>
    <w:p w:rsidR="00544BAB" w:rsidP="00544BAB" w:rsidRDefault="00544BAB" w14:paraId="1A0E1872"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00544BAB" w:rsidTr="00BB7F23" w14:paraId="751C2793" w14:textId="77777777">
        <w:tc>
          <w:tcPr>
            <w:tcW w:w="974" w:type="pct"/>
          </w:tcPr>
          <w:p w:rsidR="00544BAB" w:rsidP="00BB7F23" w:rsidRDefault="00544BAB" w14:paraId="29CC9DE4" w14:textId="77777777">
            <w:r w:rsidRPr="009741EB">
              <w:rPr>
                <w:b/>
                <w:i/>
              </w:rPr>
              <w:t>Kontaktna oseba</w:t>
            </w:r>
          </w:p>
        </w:tc>
        <w:tc>
          <w:tcPr>
            <w:tcW w:w="4026" w:type="pct"/>
          </w:tcPr>
          <w:p w:rsidRPr="00A26D29" w:rsidR="00544BAB" w:rsidP="00BB7F23" w:rsidRDefault="00544BAB" w14:paraId="29D1EA74" w14:textId="6D7CF158">
            <w:pPr>
              <w:rPr>
                <w:i/>
              </w:rPr>
            </w:pPr>
            <w:r w:rsidRPr="00D61B17">
              <w:rPr>
                <w:i/>
              </w:rPr>
              <w:t xml:space="preserve">Georgios </w:t>
            </w:r>
            <w:r w:rsidRPr="00D61B17" w:rsidR="00641BDF">
              <w:rPr>
                <w:i/>
              </w:rPr>
              <w:t>MELEAS</w:t>
            </w:r>
          </w:p>
        </w:tc>
      </w:tr>
      <w:tr w:rsidR="00544BAB" w:rsidTr="00BB7F23" w14:paraId="2FE8BCBF" w14:textId="77777777">
        <w:tc>
          <w:tcPr>
            <w:tcW w:w="974" w:type="pct"/>
          </w:tcPr>
          <w:p w:rsidR="00544BAB" w:rsidP="00BB7F23" w:rsidRDefault="00544BAB" w14:paraId="54271E86" w14:textId="77777777">
            <w:r w:rsidRPr="009741EB">
              <w:rPr>
                <w:i/>
              </w:rPr>
              <w:t>Tel</w:t>
            </w:r>
            <w:r>
              <w:rPr>
                <w:i/>
              </w:rPr>
              <w:t>efon</w:t>
            </w:r>
          </w:p>
        </w:tc>
        <w:tc>
          <w:tcPr>
            <w:tcW w:w="4026" w:type="pct"/>
          </w:tcPr>
          <w:p w:rsidR="00544BAB" w:rsidP="00BB7F23" w:rsidRDefault="00544BAB" w14:paraId="7BCAD8B6" w14:textId="77777777">
            <w:r>
              <w:rPr>
                <w:i/>
              </w:rPr>
              <w:t>+</w:t>
            </w:r>
            <w:r w:rsidRPr="009741EB">
              <w:rPr>
                <w:i/>
              </w:rPr>
              <w:t>32 2 </w:t>
            </w:r>
            <w:r w:rsidRPr="00D61B17">
              <w:rPr>
                <w:i/>
              </w:rPr>
              <w:t>546</w:t>
            </w:r>
            <w:r>
              <w:rPr>
                <w:i/>
              </w:rPr>
              <w:t> </w:t>
            </w:r>
            <w:r w:rsidRPr="00D61B17">
              <w:rPr>
                <w:i/>
              </w:rPr>
              <w:t>9795</w:t>
            </w:r>
          </w:p>
        </w:tc>
      </w:tr>
      <w:tr w:rsidR="00544BAB" w:rsidTr="00BB7F23" w14:paraId="674942B9" w14:textId="77777777">
        <w:tc>
          <w:tcPr>
            <w:tcW w:w="974" w:type="pct"/>
          </w:tcPr>
          <w:p w:rsidR="00544BAB" w:rsidP="00BB7F23" w:rsidRDefault="00544BAB" w14:paraId="0E9DC454" w14:textId="77777777">
            <w:r w:rsidRPr="009741EB">
              <w:rPr>
                <w:i/>
              </w:rPr>
              <w:t>E-naslov</w:t>
            </w:r>
          </w:p>
        </w:tc>
        <w:tc>
          <w:tcPr>
            <w:tcW w:w="4026" w:type="pct"/>
          </w:tcPr>
          <w:p w:rsidRPr="00A26D29" w:rsidR="00544BAB" w:rsidP="00BB7F23" w:rsidRDefault="00662932" w14:paraId="5581954B" w14:textId="77777777">
            <w:pPr>
              <w:rPr>
                <w:i/>
              </w:rPr>
            </w:pPr>
            <w:hyperlink w:history="1" r:id="rId24">
              <w:r w:rsidRPr="00602BB5" w:rsidR="00544BAB">
                <w:rPr>
                  <w:rStyle w:val="Hyperlink"/>
                  <w:i/>
                </w:rPr>
                <w:t>Georgios.Meleas@eesc.europa.eu</w:t>
              </w:r>
            </w:hyperlink>
          </w:p>
        </w:tc>
      </w:tr>
    </w:tbl>
    <w:p w:rsidR="00CB5FF2" w:rsidRDefault="00CB5FF2" w14:paraId="0C7BDEF0" w14:textId="52BAAAC1">
      <w:pPr>
        <w:spacing w:after="160" w:line="259" w:lineRule="auto"/>
        <w:jc w:val="left"/>
      </w:pPr>
      <w:r>
        <w:br w:type="page"/>
      </w:r>
    </w:p>
    <w:p w:rsidRPr="00281901" w:rsidR="00544BAB" w:rsidP="00632498" w:rsidRDefault="00662932" w14:paraId="24D4766A" w14:textId="77777777">
      <w:pPr>
        <w:numPr>
          <w:ilvl w:val="0"/>
          <w:numId w:val="27"/>
        </w:numPr>
        <w:overflowPunct w:val="0"/>
        <w:autoSpaceDE w:val="0"/>
        <w:autoSpaceDN w:val="0"/>
        <w:adjustRightInd w:val="0"/>
        <w:textAlignment w:val="baseline"/>
        <w:rPr>
          <w:sz w:val="28"/>
        </w:rPr>
      </w:pPr>
      <w:hyperlink w:history="1" r:id="rId25">
        <w:r w:rsidRPr="00281901" w:rsidR="00544BAB">
          <w:rPr>
            <w:rStyle w:val="Hyperlink"/>
            <w:b/>
            <w:i/>
            <w:sz w:val="28"/>
          </w:rPr>
          <w:t>Finančna pismenost in izobraževanje Evropejcev</w:t>
        </w:r>
      </w:hyperlink>
    </w:p>
    <w:p w:rsidRPr="009741EB" w:rsidR="00544BAB" w:rsidP="00544BAB" w:rsidRDefault="00544BAB" w14:paraId="05CF8479"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9741EB" w:rsidR="00544BAB" w:rsidTr="00544BAB" w14:paraId="44204C21" w14:textId="77777777">
        <w:tc>
          <w:tcPr>
            <w:tcW w:w="1250" w:type="pct"/>
          </w:tcPr>
          <w:p w:rsidRPr="009741EB" w:rsidR="00544BAB" w:rsidP="00544BAB" w:rsidRDefault="00544BAB" w14:paraId="0519BFC5" w14:textId="77777777">
            <w:pPr>
              <w:rPr>
                <w:b/>
              </w:rPr>
            </w:pPr>
            <w:r w:rsidRPr="009741EB">
              <w:rPr>
                <w:b/>
              </w:rPr>
              <w:t>Poročevalec</w:t>
            </w:r>
          </w:p>
        </w:tc>
        <w:tc>
          <w:tcPr>
            <w:tcW w:w="3750" w:type="pct"/>
          </w:tcPr>
          <w:p w:rsidRPr="009741EB" w:rsidR="00544BAB" w:rsidP="00544BAB" w:rsidRDefault="00544BAB" w14:paraId="47DEA9AE" w14:textId="77777777">
            <w:r w:rsidRPr="001A7E4D">
              <w:t>Giuseppe GUERINI (skupina organizacij civilne družbe – IT)</w:t>
            </w:r>
          </w:p>
        </w:tc>
      </w:tr>
      <w:tr w:rsidRPr="009741EB" w:rsidR="00544BAB" w:rsidTr="00BB7F23" w14:paraId="20C0E4B8" w14:textId="77777777">
        <w:tc>
          <w:tcPr>
            <w:tcW w:w="5000" w:type="pct"/>
            <w:gridSpan w:val="2"/>
          </w:tcPr>
          <w:p w:rsidRPr="009741EB" w:rsidR="00544BAB" w:rsidP="00544BAB" w:rsidRDefault="00544BAB" w14:paraId="2615789D" w14:textId="77777777">
            <w:pPr>
              <w:spacing w:line="240" w:lineRule="auto"/>
              <w:rPr>
                <w:sz w:val="16"/>
              </w:rPr>
            </w:pPr>
          </w:p>
        </w:tc>
      </w:tr>
      <w:tr w:rsidRPr="009741EB" w:rsidR="00544BAB" w:rsidTr="00544BAB" w14:paraId="65D0D16E" w14:textId="77777777">
        <w:trPr>
          <w:trHeight w:val="506"/>
        </w:trPr>
        <w:tc>
          <w:tcPr>
            <w:tcW w:w="1250" w:type="pct"/>
          </w:tcPr>
          <w:p w:rsidRPr="009741EB" w:rsidR="00544BAB" w:rsidP="00544BAB" w:rsidRDefault="00544BAB" w14:paraId="23133DD6" w14:textId="77777777">
            <w:pPr>
              <w:rPr>
                <w:b/>
              </w:rPr>
            </w:pPr>
            <w:r w:rsidRPr="009741EB">
              <w:rPr>
                <w:b/>
              </w:rPr>
              <w:t>Referenčni dokument</w:t>
            </w:r>
          </w:p>
        </w:tc>
        <w:tc>
          <w:tcPr>
            <w:tcW w:w="3750" w:type="pct"/>
          </w:tcPr>
          <w:p w:rsidRPr="009741EB" w:rsidR="00544BAB" w:rsidP="00544BAB" w:rsidRDefault="00544BAB" w14:paraId="113A6DCD" w14:textId="77777777">
            <w:r w:rsidRPr="001A7E4D">
              <w:t>raziskovalno mnenje na zaprosilo Evropske komisije</w:t>
            </w:r>
          </w:p>
          <w:p w:rsidRPr="009741EB" w:rsidR="00544BAB" w:rsidP="00544BAB" w:rsidRDefault="00544BAB" w14:paraId="34381029" w14:textId="099319A2">
            <w:r w:rsidRPr="001A7E4D">
              <w:t>EESC-2025-01265-00-00-AC</w:t>
            </w:r>
          </w:p>
        </w:tc>
      </w:tr>
    </w:tbl>
    <w:p w:rsidRPr="009741EB" w:rsidR="00544BAB" w:rsidP="00544BAB" w:rsidRDefault="00544BAB" w14:paraId="07190378" w14:textId="77777777"/>
    <w:p w:rsidRPr="009741EB" w:rsidR="00544BAB" w:rsidP="00544BAB" w:rsidRDefault="00544BAB" w14:paraId="65A6D1AE" w14:textId="77777777">
      <w:r w:rsidRPr="009741EB">
        <w:rPr>
          <w:b/>
        </w:rPr>
        <w:t>Glavne točke</w:t>
      </w:r>
    </w:p>
    <w:p w:rsidRPr="009741EB" w:rsidR="00544BAB" w:rsidP="00544BAB" w:rsidRDefault="00544BAB" w14:paraId="4BC6FE2A" w14:textId="77777777"/>
    <w:p w:rsidRPr="00CD1B7F" w:rsidR="00544BAB" w:rsidP="00544BAB" w:rsidRDefault="00544BAB" w14:paraId="3537B962" w14:textId="586A4F53">
      <w:pPr>
        <w:rPr>
          <w:bCs/>
          <w:iCs/>
        </w:rPr>
      </w:pPr>
      <w:r w:rsidRPr="009741EB">
        <w:rPr>
          <w:bCs/>
          <w:iCs/>
        </w:rPr>
        <w:t>EESO</w:t>
      </w:r>
    </w:p>
    <w:p w:rsidRPr="001A7E4D" w:rsidR="00544BAB" w:rsidP="00632498" w:rsidRDefault="00544BAB" w14:paraId="35CFA797" w14:textId="77777777">
      <w:pPr>
        <w:widowControl w:val="0"/>
        <w:numPr>
          <w:ilvl w:val="0"/>
          <w:numId w:val="30"/>
        </w:numPr>
        <w:overflowPunct w:val="0"/>
        <w:autoSpaceDE w:val="0"/>
        <w:autoSpaceDN w:val="0"/>
        <w:adjustRightInd w:val="0"/>
        <w:textAlignment w:val="baseline"/>
      </w:pPr>
      <w:r w:rsidRPr="001A7E4D">
        <w:t>priporoča dejavno spodbujanje finančne pismenosti kot predpogoja za finančno stabilnost in neodvisnost državljanov EU, zmanjšanje neenakosti, krepitev socialnih pravic in kot dodatno orodje za učinkovito načrtovanje socialne varnosti in pokojnine, dostop do zdravstvenega zavarovanja in kritja za dolgotrajno oskrbo;</w:t>
      </w:r>
    </w:p>
    <w:p w:rsidRPr="001A7E4D" w:rsidR="00544BAB" w:rsidP="00632498" w:rsidRDefault="00544BAB" w14:paraId="7A5D0E2A" w14:textId="77777777">
      <w:pPr>
        <w:widowControl w:val="0"/>
        <w:numPr>
          <w:ilvl w:val="0"/>
          <w:numId w:val="30"/>
        </w:numPr>
        <w:overflowPunct w:val="0"/>
        <w:autoSpaceDE w:val="0"/>
        <w:autoSpaceDN w:val="0"/>
        <w:adjustRightInd w:val="0"/>
        <w:textAlignment w:val="baseline"/>
      </w:pPr>
      <w:r w:rsidRPr="001A7E4D">
        <w:t>meni, da je treba s ciljno usmerjenimi in prilagojenimi pobudami obravnavati znatne razlike v ravni finančne pismenosti med državami članicami in med različnimi skupinami prebivalstva;</w:t>
      </w:r>
    </w:p>
    <w:p w:rsidRPr="001A7E4D" w:rsidR="00544BAB" w:rsidP="00632498" w:rsidRDefault="00544BAB" w14:paraId="5EF557F1" w14:textId="77777777">
      <w:pPr>
        <w:widowControl w:val="0"/>
        <w:numPr>
          <w:ilvl w:val="0"/>
          <w:numId w:val="30"/>
        </w:numPr>
        <w:overflowPunct w:val="0"/>
        <w:autoSpaceDE w:val="0"/>
        <w:autoSpaceDN w:val="0"/>
        <w:adjustRightInd w:val="0"/>
        <w:textAlignment w:val="baseline"/>
      </w:pPr>
      <w:r w:rsidRPr="001A7E4D">
        <w:t>opozarja na pomen razumevanja zadolženosti, delovanja finančnih trgov, davčnih posledic naložb in zavarovanja kot orodja za obvladovanje tveganj. Ti vidiki so ključni za obvladovanje tveganj, izkoriščanje finančnih priložnosti in načrtovanje upokojitve;</w:t>
      </w:r>
    </w:p>
    <w:p w:rsidRPr="001A7E4D" w:rsidR="00544BAB" w:rsidP="00632498" w:rsidRDefault="00544BAB" w14:paraId="053BADF8" w14:textId="77777777">
      <w:pPr>
        <w:widowControl w:val="0"/>
        <w:numPr>
          <w:ilvl w:val="0"/>
          <w:numId w:val="30"/>
        </w:numPr>
        <w:overflowPunct w:val="0"/>
        <w:autoSpaceDE w:val="0"/>
        <w:autoSpaceDN w:val="0"/>
        <w:adjustRightInd w:val="0"/>
        <w:textAlignment w:val="baseline"/>
      </w:pPr>
      <w:r w:rsidRPr="001A7E4D">
        <w:t>poudarja, da je treba pri državljanih vseh starosti okrepiti razumevanje treh ključnih konceptov, in sicer (i)</w:t>
      </w:r>
      <w:r>
        <w:t> r</w:t>
      </w:r>
      <w:r w:rsidRPr="001A7E4D">
        <w:t>azpršenosti, (ii)</w:t>
      </w:r>
      <w:r>
        <w:t> </w:t>
      </w:r>
      <w:r w:rsidRPr="001A7E4D">
        <w:t xml:space="preserve">vloge korelacije in </w:t>
      </w:r>
      <w:proofErr w:type="spellStart"/>
      <w:r w:rsidRPr="001A7E4D">
        <w:t>dekorelacije</w:t>
      </w:r>
      <w:proofErr w:type="spellEnd"/>
      <w:r w:rsidRPr="001A7E4D">
        <w:t xml:space="preserve"> med sredstvi ter (iii)</w:t>
      </w:r>
      <w:r>
        <w:t> </w:t>
      </w:r>
      <w:r w:rsidRPr="001A7E4D">
        <w:t>pomena časa, potrpežljivosti in dolgoročne vizije;</w:t>
      </w:r>
    </w:p>
    <w:p w:rsidRPr="001A7E4D" w:rsidR="00544BAB" w:rsidP="00632498" w:rsidRDefault="00544BAB" w14:paraId="5D8DA868" w14:textId="77777777">
      <w:pPr>
        <w:widowControl w:val="0"/>
        <w:numPr>
          <w:ilvl w:val="0"/>
          <w:numId w:val="30"/>
        </w:numPr>
        <w:overflowPunct w:val="0"/>
        <w:autoSpaceDE w:val="0"/>
        <w:autoSpaceDN w:val="0"/>
        <w:adjustRightInd w:val="0"/>
        <w:textAlignment w:val="baseline"/>
      </w:pPr>
      <w:r w:rsidRPr="001A7E4D">
        <w:t>spodbuja ustrezne institucije, naj sprejmejo pomembne pobude na področju finančne pismenosti že od prvih šolskih let evropskih državljanov, tudi z vključitvijo tega predmeta v šolske učne načrte;</w:t>
      </w:r>
    </w:p>
    <w:p w:rsidRPr="001A7E4D" w:rsidR="00544BAB" w:rsidP="00632498" w:rsidRDefault="00544BAB" w14:paraId="1E828928" w14:textId="77777777">
      <w:pPr>
        <w:widowControl w:val="0"/>
        <w:numPr>
          <w:ilvl w:val="0"/>
          <w:numId w:val="30"/>
        </w:numPr>
        <w:overflowPunct w:val="0"/>
        <w:autoSpaceDE w:val="0"/>
        <w:autoSpaceDN w:val="0"/>
        <w:adjustRightInd w:val="0"/>
        <w:textAlignment w:val="baseline"/>
      </w:pPr>
      <w:r w:rsidRPr="001A7E4D">
        <w:t>priporoča dejavno vlogo civilne družbe in nepridobitnih deležnikov v izobraževalnih programih, da bi podprli finančno pismenost in podjetniške spretnosti ljudi, ki se lotevajo novih podjetniških dejavnosti. Posebno pozornost bi bilo treba nameniti novim podjetnikom iz prikrajšanih okolij;</w:t>
      </w:r>
    </w:p>
    <w:p w:rsidRPr="001A7E4D" w:rsidR="00544BAB" w:rsidP="00632498" w:rsidRDefault="00544BAB" w14:paraId="10D4822D" w14:textId="77777777">
      <w:pPr>
        <w:widowControl w:val="0"/>
        <w:numPr>
          <w:ilvl w:val="0"/>
          <w:numId w:val="30"/>
        </w:numPr>
        <w:overflowPunct w:val="0"/>
        <w:autoSpaceDE w:val="0"/>
        <w:autoSpaceDN w:val="0"/>
        <w:adjustRightInd w:val="0"/>
        <w:textAlignment w:val="baseline"/>
      </w:pPr>
      <w:r w:rsidRPr="001A7E4D">
        <w:t>meni, da bi bila uvedba „evropskega dneva finančnega izobraževanja“ koristna za spodbujanje pobud za ozaveščanje;</w:t>
      </w:r>
    </w:p>
    <w:p w:rsidRPr="001A7E4D" w:rsidR="00544BAB" w:rsidP="00632498" w:rsidRDefault="00544BAB" w14:paraId="4392A621" w14:textId="77777777">
      <w:pPr>
        <w:widowControl w:val="0"/>
        <w:numPr>
          <w:ilvl w:val="0"/>
          <w:numId w:val="30"/>
        </w:numPr>
        <w:overflowPunct w:val="0"/>
        <w:autoSpaceDE w:val="0"/>
        <w:autoSpaceDN w:val="0"/>
        <w:adjustRightInd w:val="0"/>
        <w:textAlignment w:val="baseline"/>
      </w:pPr>
      <w:r w:rsidRPr="001A7E4D">
        <w:t>poudarja pomen razvoja regulativnega okvira, ki bi bil dovolj prožen, da bi sledili spreminjajočim se trendom na finančnih trgih, ter zagotovili, da bodo regulativni odzivi pravočasni in ustrezni glede na dejanski razvoj, kot v primeru družbenih omrežij in t.</w:t>
      </w:r>
      <w:r>
        <w:t> </w:t>
      </w:r>
      <w:r w:rsidRPr="001A7E4D">
        <w:t>i.</w:t>
      </w:r>
      <w:r>
        <w:t> </w:t>
      </w:r>
      <w:r w:rsidRPr="001A7E4D">
        <w:t>finančnih vplivnežev;</w:t>
      </w:r>
    </w:p>
    <w:p w:rsidR="00544BAB" w:rsidP="00632498" w:rsidRDefault="00544BAB" w14:paraId="6BFC1927" w14:textId="77777777">
      <w:pPr>
        <w:widowControl w:val="0"/>
        <w:numPr>
          <w:ilvl w:val="0"/>
          <w:numId w:val="30"/>
        </w:numPr>
        <w:overflowPunct w:val="0"/>
        <w:autoSpaceDE w:val="0"/>
        <w:autoSpaceDN w:val="0"/>
        <w:adjustRightInd w:val="0"/>
        <w:textAlignment w:val="baseline"/>
      </w:pPr>
      <w:r w:rsidRPr="001A7E4D">
        <w:t>svari pred vse večjo nevarnostjo finančnih prevar in spletnih goljufij. Ti pojavi kažejo, da je poleg finančnega znanja in usposobljenosti pomembna tudi vedenjska ozaveščenost. Zato so nujni in potrebni usklajeni ukrepi na evropski ravni, dopolnjeni z nacionalnimi ukrepi.</w:t>
      </w:r>
    </w:p>
    <w:p w:rsidR="00544BAB" w:rsidP="00544BAB" w:rsidRDefault="00544BAB" w14:paraId="415DCCDA"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00544BAB" w:rsidTr="00BB7F23" w14:paraId="6EA88858" w14:textId="77777777">
        <w:tc>
          <w:tcPr>
            <w:tcW w:w="974" w:type="pct"/>
          </w:tcPr>
          <w:p w:rsidR="00544BAB" w:rsidP="00544BAB" w:rsidRDefault="00544BAB" w14:paraId="46889F63" w14:textId="77777777">
            <w:r w:rsidRPr="009741EB">
              <w:rPr>
                <w:b/>
                <w:i/>
              </w:rPr>
              <w:t>Kontaktna oseba</w:t>
            </w:r>
          </w:p>
        </w:tc>
        <w:tc>
          <w:tcPr>
            <w:tcW w:w="4026" w:type="pct"/>
          </w:tcPr>
          <w:p w:rsidRPr="00A26D29" w:rsidR="00544BAB" w:rsidP="00544BAB" w:rsidRDefault="00544BAB" w14:paraId="02576ACA" w14:textId="1FAB3462">
            <w:pPr>
              <w:rPr>
                <w:i/>
              </w:rPr>
            </w:pPr>
            <w:r w:rsidRPr="001A7E4D">
              <w:rPr>
                <w:i/>
              </w:rPr>
              <w:t xml:space="preserve">Sergio </w:t>
            </w:r>
            <w:r w:rsidRPr="001A7E4D" w:rsidR="00641BDF">
              <w:rPr>
                <w:i/>
              </w:rPr>
              <w:t>LORENCIO MATALLANA</w:t>
            </w:r>
          </w:p>
        </w:tc>
      </w:tr>
      <w:tr w:rsidR="00544BAB" w:rsidTr="00BB7F23" w14:paraId="07E53E91" w14:textId="77777777">
        <w:tc>
          <w:tcPr>
            <w:tcW w:w="974" w:type="pct"/>
          </w:tcPr>
          <w:p w:rsidR="00544BAB" w:rsidP="00544BAB" w:rsidRDefault="00544BAB" w14:paraId="52838451" w14:textId="77777777">
            <w:r w:rsidRPr="009741EB">
              <w:rPr>
                <w:i/>
              </w:rPr>
              <w:t>Tel</w:t>
            </w:r>
            <w:r>
              <w:rPr>
                <w:i/>
              </w:rPr>
              <w:t>efon</w:t>
            </w:r>
          </w:p>
        </w:tc>
        <w:tc>
          <w:tcPr>
            <w:tcW w:w="4026" w:type="pct"/>
          </w:tcPr>
          <w:p w:rsidR="00544BAB" w:rsidP="00544BAB" w:rsidRDefault="00544BAB" w14:paraId="1A77FB02" w14:textId="77777777">
            <w:r>
              <w:rPr>
                <w:i/>
              </w:rPr>
              <w:t>+</w:t>
            </w:r>
            <w:r w:rsidRPr="009741EB">
              <w:rPr>
                <w:i/>
              </w:rPr>
              <w:t>32 2 </w:t>
            </w:r>
            <w:r w:rsidRPr="001A7E4D">
              <w:rPr>
                <w:i/>
              </w:rPr>
              <w:t>546</w:t>
            </w:r>
            <w:r>
              <w:rPr>
                <w:i/>
              </w:rPr>
              <w:t> </w:t>
            </w:r>
            <w:r w:rsidRPr="001A7E4D">
              <w:rPr>
                <w:i/>
              </w:rPr>
              <w:t>9240</w:t>
            </w:r>
          </w:p>
        </w:tc>
      </w:tr>
      <w:tr w:rsidR="00544BAB" w:rsidTr="00BB7F23" w14:paraId="06800130" w14:textId="77777777">
        <w:tc>
          <w:tcPr>
            <w:tcW w:w="974" w:type="pct"/>
          </w:tcPr>
          <w:p w:rsidR="00544BAB" w:rsidP="00544BAB" w:rsidRDefault="00544BAB" w14:paraId="009DF50E" w14:textId="77777777">
            <w:r w:rsidRPr="009741EB">
              <w:rPr>
                <w:i/>
              </w:rPr>
              <w:t>E-naslov</w:t>
            </w:r>
          </w:p>
        </w:tc>
        <w:tc>
          <w:tcPr>
            <w:tcW w:w="4026" w:type="pct"/>
          </w:tcPr>
          <w:p w:rsidRPr="00A26D29" w:rsidR="00544BAB" w:rsidP="00544BAB" w:rsidRDefault="00662932" w14:paraId="46CECC4A" w14:textId="77777777">
            <w:pPr>
              <w:rPr>
                <w:i/>
              </w:rPr>
            </w:pPr>
            <w:hyperlink w:history="1" r:id="rId26">
              <w:r w:rsidRPr="004563DA" w:rsidR="00544BAB">
                <w:rPr>
                  <w:rStyle w:val="Hyperlink"/>
                  <w:i/>
                </w:rPr>
                <w:t>Sergio.LorencioMatallana@eesc.europa.eu</w:t>
              </w:r>
            </w:hyperlink>
          </w:p>
        </w:tc>
      </w:tr>
    </w:tbl>
    <w:p w:rsidR="004D7AC0" w:rsidP="00D94D34" w:rsidRDefault="004D7AC0" w14:paraId="4982DD98" w14:textId="0D6B5ABD">
      <w:pPr>
        <w:jc w:val="left"/>
      </w:pPr>
      <w:r>
        <w:br w:type="page"/>
      </w:r>
    </w:p>
    <w:p w:rsidR="004D7AC0" w:rsidP="00D94D34" w:rsidRDefault="004D7AC0" w14:paraId="4982DD99" w14:textId="77777777">
      <w:pPr>
        <w:pStyle w:val="Heading1"/>
        <w:rPr>
          <w:b/>
        </w:rPr>
      </w:pPr>
      <w:bookmarkStart w:name="_Toc75527081" w:id="1"/>
      <w:bookmarkStart w:name="_Toc204326340" w:id="2"/>
      <w:r>
        <w:rPr>
          <w:b/>
        </w:rPr>
        <w:lastRenderedPageBreak/>
        <w:t>ZAPOSLOVANJE, SOCIALNE ZADEVE IN DRŽAVLJANSTVO</w:t>
      </w:r>
      <w:bookmarkEnd w:id="1"/>
      <w:bookmarkEnd w:id="2"/>
    </w:p>
    <w:p w:rsidR="004D7AC0" w:rsidP="00D94D34" w:rsidRDefault="004D7AC0" w14:paraId="4982DDC2" w14:textId="77777777"/>
    <w:p w:rsidRPr="00281901" w:rsidR="00544BAB" w:rsidP="00641BDF" w:rsidRDefault="00662932" w14:paraId="68D5364C" w14:textId="77777777">
      <w:pPr>
        <w:numPr>
          <w:ilvl w:val="0"/>
          <w:numId w:val="27"/>
        </w:numPr>
        <w:suppressAutoHyphens/>
        <w:overflowPunct w:val="0"/>
        <w:autoSpaceDE w:val="0"/>
        <w:autoSpaceDN w:val="0"/>
        <w:adjustRightInd w:val="0"/>
        <w:ind w:left="927"/>
        <w:textAlignment w:val="baseline"/>
        <w:rPr>
          <w:sz w:val="24"/>
          <w:szCs w:val="24"/>
        </w:rPr>
      </w:pPr>
      <w:hyperlink w:history="1" r:id="rId27">
        <w:r w:rsidRPr="00281901" w:rsidR="00544BAB">
          <w:rPr>
            <w:rStyle w:val="Hyperlink"/>
            <w:b/>
            <w:i/>
            <w:sz w:val="28"/>
          </w:rPr>
          <w:t>Boj proti neenakostim pri dostopu prebivalstva do zdravstvenega varstva</w:t>
        </w:r>
      </w:hyperlink>
    </w:p>
    <w:p w:rsidRPr="008519CA" w:rsidR="00544BAB" w:rsidP="00544BAB" w:rsidRDefault="00544BAB" w14:paraId="5690E51D"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99"/>
        <w:gridCol w:w="6574"/>
      </w:tblGrid>
      <w:tr w:rsidRPr="008519CA" w:rsidR="00544BAB" w:rsidTr="00544BAB" w14:paraId="1FB0C701" w14:textId="77777777">
        <w:tc>
          <w:tcPr>
            <w:tcW w:w="2499" w:type="dxa"/>
          </w:tcPr>
          <w:p w:rsidRPr="008519CA" w:rsidR="00544BAB" w:rsidP="00BB7F23" w:rsidRDefault="00544BAB" w14:paraId="0FB26BC5" w14:textId="77777777">
            <w:pPr>
              <w:tabs>
                <w:tab w:val="center" w:pos="284"/>
              </w:tabs>
              <w:suppressAutoHyphens/>
              <w:ind w:left="266" w:hanging="266"/>
              <w:rPr>
                <w:b/>
              </w:rPr>
            </w:pPr>
            <w:r w:rsidRPr="008519CA">
              <w:rPr>
                <w:b/>
              </w:rPr>
              <w:t>Poročevalec</w:t>
            </w:r>
          </w:p>
        </w:tc>
        <w:tc>
          <w:tcPr>
            <w:tcW w:w="6574" w:type="dxa"/>
          </w:tcPr>
          <w:p w:rsidRPr="008519CA" w:rsidR="00544BAB" w:rsidP="00BB7F23" w:rsidRDefault="00544BAB" w14:paraId="4ADD1D10" w14:textId="77777777">
            <w:pPr>
              <w:tabs>
                <w:tab w:val="center" w:pos="284"/>
              </w:tabs>
              <w:suppressAutoHyphens/>
              <w:ind w:left="266" w:right="-529" w:hanging="266"/>
            </w:pPr>
            <w:r w:rsidRPr="008519CA">
              <w:t xml:space="preserve">Pietro </w:t>
            </w:r>
            <w:proofErr w:type="spellStart"/>
            <w:r w:rsidRPr="008519CA">
              <w:t>Vittorio</w:t>
            </w:r>
            <w:proofErr w:type="spellEnd"/>
            <w:r w:rsidRPr="008519CA">
              <w:t xml:space="preserve"> BARBIERI (skupina organizacij civilne družbe – IT)</w:t>
            </w:r>
          </w:p>
        </w:tc>
      </w:tr>
      <w:tr w:rsidRPr="008519CA" w:rsidR="00544BAB" w:rsidTr="00544BAB" w14:paraId="7E79BA66" w14:textId="77777777">
        <w:tc>
          <w:tcPr>
            <w:tcW w:w="2499" w:type="dxa"/>
          </w:tcPr>
          <w:p w:rsidRPr="008519CA" w:rsidR="00544BAB" w:rsidP="00BB7F23" w:rsidRDefault="00544BAB" w14:paraId="5BCF432F" w14:textId="77777777">
            <w:pPr>
              <w:tabs>
                <w:tab w:val="center" w:pos="284"/>
              </w:tabs>
              <w:suppressAutoHyphens/>
              <w:spacing w:line="240" w:lineRule="auto"/>
              <w:ind w:left="266" w:hanging="266"/>
              <w:rPr>
                <w:b/>
                <w:sz w:val="16"/>
                <w:szCs w:val="16"/>
              </w:rPr>
            </w:pPr>
          </w:p>
        </w:tc>
        <w:tc>
          <w:tcPr>
            <w:tcW w:w="6574" w:type="dxa"/>
          </w:tcPr>
          <w:p w:rsidRPr="008519CA" w:rsidR="00544BAB" w:rsidP="00BB7F23" w:rsidRDefault="00544BAB" w14:paraId="39514967" w14:textId="77777777">
            <w:pPr>
              <w:tabs>
                <w:tab w:val="center" w:pos="284"/>
              </w:tabs>
              <w:suppressAutoHyphens/>
              <w:spacing w:line="240" w:lineRule="auto"/>
              <w:ind w:left="266" w:hanging="266"/>
              <w:rPr>
                <w:sz w:val="16"/>
                <w:szCs w:val="16"/>
              </w:rPr>
            </w:pPr>
          </w:p>
        </w:tc>
      </w:tr>
      <w:tr w:rsidRPr="008519CA" w:rsidR="00544BAB" w:rsidTr="00544BAB" w14:paraId="261BAD07" w14:textId="77777777">
        <w:trPr>
          <w:trHeight w:val="607"/>
        </w:trPr>
        <w:tc>
          <w:tcPr>
            <w:tcW w:w="2499" w:type="dxa"/>
          </w:tcPr>
          <w:p w:rsidRPr="008519CA" w:rsidR="00544BAB" w:rsidP="00BB7F23" w:rsidRDefault="00544BAB" w14:paraId="1EF0CDEC" w14:textId="77777777">
            <w:pPr>
              <w:tabs>
                <w:tab w:val="center" w:pos="284"/>
              </w:tabs>
              <w:suppressAutoHyphens/>
              <w:ind w:left="266" w:hanging="266"/>
              <w:rPr>
                <w:b/>
              </w:rPr>
            </w:pPr>
            <w:r w:rsidRPr="008519CA">
              <w:rPr>
                <w:b/>
              </w:rPr>
              <w:t>Referenčni dokument</w:t>
            </w:r>
          </w:p>
        </w:tc>
        <w:tc>
          <w:tcPr>
            <w:tcW w:w="6574" w:type="dxa"/>
          </w:tcPr>
          <w:p w:rsidRPr="008519CA" w:rsidR="00544BAB" w:rsidP="00BB7F23" w:rsidRDefault="00544BAB" w14:paraId="7BACA127" w14:textId="77777777">
            <w:pPr>
              <w:tabs>
                <w:tab w:val="center" w:pos="284"/>
              </w:tabs>
              <w:suppressAutoHyphens/>
              <w:ind w:left="266" w:hanging="266"/>
            </w:pPr>
            <w:r w:rsidRPr="008519CA">
              <w:t>mnenje na lastno pobudo</w:t>
            </w:r>
          </w:p>
          <w:p w:rsidRPr="008519CA" w:rsidR="00544BAB" w:rsidP="00BB7F23" w:rsidRDefault="00544BAB" w14:paraId="17189BBF" w14:textId="28AF4E8E">
            <w:pPr>
              <w:tabs>
                <w:tab w:val="center" w:pos="284"/>
              </w:tabs>
              <w:suppressAutoHyphens/>
              <w:ind w:left="266" w:hanging="266"/>
            </w:pPr>
            <w:r w:rsidRPr="008519CA">
              <w:t>EESC-2025-00854-00-00-AC</w:t>
            </w:r>
          </w:p>
        </w:tc>
      </w:tr>
    </w:tbl>
    <w:p w:rsidRPr="008519CA" w:rsidR="00544BAB" w:rsidP="00544BAB" w:rsidRDefault="00544BAB" w14:paraId="18C0B92E" w14:textId="77777777">
      <w:pPr>
        <w:tabs>
          <w:tab w:val="center" w:pos="284"/>
        </w:tabs>
        <w:suppressAutoHyphens/>
        <w:ind w:left="266" w:hanging="266"/>
      </w:pPr>
    </w:p>
    <w:p w:rsidRPr="008519CA" w:rsidR="00544BAB" w:rsidP="00544BAB" w:rsidRDefault="00544BAB" w14:paraId="348CEB89" w14:textId="77777777">
      <w:pPr>
        <w:tabs>
          <w:tab w:val="center" w:pos="284"/>
        </w:tabs>
        <w:suppressAutoHyphens/>
        <w:ind w:left="266" w:hanging="266"/>
        <w:rPr>
          <w:b/>
        </w:rPr>
      </w:pPr>
      <w:r w:rsidRPr="008519CA">
        <w:rPr>
          <w:b/>
        </w:rPr>
        <w:t>Glavne točke</w:t>
      </w:r>
    </w:p>
    <w:p w:rsidRPr="008519CA" w:rsidR="00544BAB" w:rsidP="00544BAB" w:rsidRDefault="00544BAB" w14:paraId="1D34A7BC" w14:textId="77777777">
      <w:pPr>
        <w:tabs>
          <w:tab w:val="center" w:pos="284"/>
        </w:tabs>
        <w:suppressAutoHyphens/>
        <w:ind w:left="266" w:hanging="266"/>
        <w:rPr>
          <w:bCs/>
        </w:rPr>
      </w:pPr>
    </w:p>
    <w:p w:rsidRPr="008519CA" w:rsidR="00281901" w:rsidP="00544BAB" w:rsidRDefault="00544BAB" w14:paraId="063D7AF1" w14:textId="0171F534">
      <w:pPr>
        <w:suppressAutoHyphens/>
      </w:pPr>
      <w:r w:rsidRPr="008519CA">
        <w:t>EESO</w:t>
      </w:r>
    </w:p>
    <w:p w:rsidRPr="008519CA" w:rsidR="00544BAB" w:rsidP="00632498" w:rsidRDefault="00544BAB" w14:paraId="73859FA8"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svari pred vse večjimi neenakostmi pri dostopu do zdravstvenega varstva v EU, ki jih je še poglobila kriza zaradi visokih življenjskih stroškov, vplivajo pa na najranljivejše prebivalce;</w:t>
      </w:r>
    </w:p>
    <w:p w:rsidRPr="008519CA" w:rsidR="00544BAB" w:rsidP="00632498" w:rsidRDefault="00544BAB" w14:paraId="684ADB54"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se zavzema za podporo posameznikom z nizkimi dohodki z zmanjšanjem ali nadomestilom stroškov zdravstvenega varstva in dolgotrajne oskrbe;</w:t>
      </w:r>
    </w:p>
    <w:p w:rsidRPr="008519CA" w:rsidR="00544BAB" w:rsidP="00632498" w:rsidRDefault="00544BAB" w14:paraId="1ACD038E"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poudarja, da je pravica do zdravljenja temeljna pravica, in poziva k polnemu izvajanju načel 16 in 18 evropskega stebra socialnih pravic;</w:t>
      </w:r>
    </w:p>
    <w:p w:rsidRPr="008519CA" w:rsidR="00544BAB" w:rsidP="00632498" w:rsidRDefault="00544BAB" w14:paraId="460E107D"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podpira sedanje pobude EU, kot sta program EU za zdravje in strategija za zdravila, vendar se zavzema za boljše spremljanje in enotno uporabo v državah članicah;</w:t>
      </w:r>
    </w:p>
    <w:p w:rsidRPr="008519CA" w:rsidR="00544BAB" w:rsidP="00632498" w:rsidRDefault="00544BAB" w14:paraId="249B6434"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poziva k jasnejšemu in učinkovitejšemu okviru za čezmejno zdravstveno varstvo;</w:t>
      </w:r>
    </w:p>
    <w:p w:rsidRPr="008519CA" w:rsidR="00544BAB" w:rsidP="00632498" w:rsidRDefault="00544BAB" w14:paraId="785FDBBB"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se zavzema za izmenjavo dobrih praks v zvezi z vključujočimi politikami zdravstvenega in socialnega varstva, tudi za možnost razvoja skupne nomenklature;</w:t>
      </w:r>
    </w:p>
    <w:p w:rsidRPr="008519CA" w:rsidR="00544BAB" w:rsidP="00632498" w:rsidRDefault="00544BAB" w14:paraId="107D81A8"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znova predlaga uvedbo evropskega jamstva za oskrbo, s katerim bi zagotovili trajni dostop do cenovno ugodne in kakovostne oskrbe ter obravnavali pomanjkanje osebja in delovne pogoje;</w:t>
      </w:r>
    </w:p>
    <w:p w:rsidRPr="008519CA" w:rsidR="00544BAB" w:rsidP="00632498" w:rsidRDefault="00544BAB" w14:paraId="39E3D316"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priporoča spremljanje izvajanja načel evropskega stebra socialnih pravic in zagotovitev, da države članice prevzamejo svoje odgovornosti;</w:t>
      </w:r>
    </w:p>
    <w:p w:rsidRPr="008519CA" w:rsidR="00544BAB" w:rsidP="00632498" w:rsidRDefault="00544BAB" w14:paraId="7425D0A6"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priporoča povečanje naložb v javne sisteme zdravstvenega varstva ter usmerjanje sredstev EU v zmanjšanje ekonomskih ovir;</w:t>
      </w:r>
    </w:p>
    <w:p w:rsidRPr="008519CA" w:rsidR="00544BAB" w:rsidP="00632498" w:rsidRDefault="00544BAB" w14:paraId="69C27274"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priporoča izvajanje raziskav glede teritorialnih razlik v zdravstvenih politikah;</w:t>
      </w:r>
    </w:p>
    <w:p w:rsidRPr="008519CA" w:rsidR="00544BAB" w:rsidP="00632498" w:rsidRDefault="00544BAB" w14:paraId="63ADB99C"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 xml:space="preserve">priporoča razvoj smernic na ravni EU za odpravo finančnih, organizacijskih in </w:t>
      </w:r>
      <w:proofErr w:type="spellStart"/>
      <w:r w:rsidRPr="008519CA">
        <w:t>diskriminatornih</w:t>
      </w:r>
      <w:proofErr w:type="spellEnd"/>
      <w:r w:rsidRPr="008519CA">
        <w:t xml:space="preserve"> ovir;</w:t>
      </w:r>
    </w:p>
    <w:p w:rsidRPr="008519CA" w:rsidR="00544BAB" w:rsidP="00632498" w:rsidRDefault="00544BAB" w14:paraId="1AB67DFA" w14:textId="77777777">
      <w:pPr>
        <w:numPr>
          <w:ilvl w:val="0"/>
          <w:numId w:val="8"/>
        </w:numPr>
        <w:tabs>
          <w:tab w:val="clear" w:pos="720"/>
        </w:tabs>
        <w:suppressAutoHyphens/>
        <w:overflowPunct w:val="0"/>
        <w:autoSpaceDE w:val="0"/>
        <w:autoSpaceDN w:val="0"/>
        <w:adjustRightInd w:val="0"/>
        <w:ind w:left="426" w:hanging="426"/>
        <w:textAlignment w:val="baseline"/>
      </w:pPr>
      <w:r w:rsidRPr="008519CA">
        <w:t>priporoča spodbujanje socialne ekonomije in socialnih inovacij za izboljšanje dostopa do zdravstvenega varstva.</w:t>
      </w:r>
    </w:p>
    <w:p w:rsidRPr="008519CA" w:rsidR="00544BAB" w:rsidP="00544BAB" w:rsidRDefault="00544BAB" w14:paraId="660B8D4D"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520"/>
      </w:tblGrid>
      <w:tr w:rsidRPr="008519CA" w:rsidR="00544BAB" w:rsidTr="00BB7F23" w14:paraId="4F456BDD" w14:textId="77777777">
        <w:tc>
          <w:tcPr>
            <w:tcW w:w="2093" w:type="dxa"/>
          </w:tcPr>
          <w:p w:rsidRPr="008519CA" w:rsidR="00544BAB" w:rsidP="00BB7F23" w:rsidRDefault="00544BAB" w14:paraId="6438A6A0" w14:textId="77777777">
            <w:pPr>
              <w:suppressAutoHyphens/>
              <w:rPr>
                <w:i/>
              </w:rPr>
            </w:pPr>
            <w:r w:rsidRPr="008519CA">
              <w:rPr>
                <w:b/>
                <w:i/>
              </w:rPr>
              <w:t>Kontaktna oseba</w:t>
            </w:r>
          </w:p>
        </w:tc>
        <w:tc>
          <w:tcPr>
            <w:tcW w:w="6520" w:type="dxa"/>
          </w:tcPr>
          <w:p w:rsidRPr="008519CA" w:rsidR="00544BAB" w:rsidP="00BB7F23" w:rsidRDefault="00544BAB" w14:paraId="6C5D384A" w14:textId="183BE5A0">
            <w:pPr>
              <w:suppressAutoHyphens/>
              <w:rPr>
                <w:i/>
              </w:rPr>
            </w:pPr>
            <w:r w:rsidRPr="008519CA">
              <w:rPr>
                <w:i/>
              </w:rPr>
              <w:t xml:space="preserve">Valeria </w:t>
            </w:r>
            <w:r w:rsidRPr="008519CA" w:rsidR="00641BDF">
              <w:rPr>
                <w:i/>
              </w:rPr>
              <w:t>ATZORI</w:t>
            </w:r>
          </w:p>
        </w:tc>
      </w:tr>
      <w:tr w:rsidRPr="008519CA" w:rsidR="00544BAB" w:rsidTr="00BB7F23" w14:paraId="2AA21E50" w14:textId="77777777">
        <w:tc>
          <w:tcPr>
            <w:tcW w:w="2093" w:type="dxa"/>
          </w:tcPr>
          <w:p w:rsidRPr="008519CA" w:rsidR="00544BAB" w:rsidP="00BB7F23" w:rsidRDefault="00544BAB" w14:paraId="3547D63A" w14:textId="77777777">
            <w:pPr>
              <w:suppressAutoHyphens/>
              <w:rPr>
                <w:i/>
              </w:rPr>
            </w:pPr>
            <w:r w:rsidRPr="008519CA">
              <w:rPr>
                <w:i/>
              </w:rPr>
              <w:t>Telefon</w:t>
            </w:r>
          </w:p>
        </w:tc>
        <w:tc>
          <w:tcPr>
            <w:tcW w:w="6520" w:type="dxa"/>
          </w:tcPr>
          <w:p w:rsidRPr="008519CA" w:rsidR="00544BAB" w:rsidP="00BB7F23" w:rsidRDefault="00544BAB" w14:paraId="1FF239DA" w14:textId="77777777">
            <w:pPr>
              <w:suppressAutoHyphens/>
              <w:rPr>
                <w:i/>
              </w:rPr>
            </w:pPr>
            <w:r w:rsidRPr="008519CA">
              <w:rPr>
                <w:i/>
              </w:rPr>
              <w:t>+ 32 25468774</w:t>
            </w:r>
          </w:p>
        </w:tc>
      </w:tr>
      <w:tr w:rsidRPr="008519CA" w:rsidR="00544BAB" w:rsidTr="00BB7F23" w14:paraId="65CE7AC0" w14:textId="77777777">
        <w:tc>
          <w:tcPr>
            <w:tcW w:w="2093" w:type="dxa"/>
          </w:tcPr>
          <w:p w:rsidRPr="008519CA" w:rsidR="00544BAB" w:rsidP="00BB7F23" w:rsidRDefault="00544BAB" w14:paraId="2871ACCB" w14:textId="77777777">
            <w:pPr>
              <w:suppressAutoHyphens/>
              <w:rPr>
                <w:i/>
              </w:rPr>
            </w:pPr>
            <w:r w:rsidRPr="008519CA">
              <w:rPr>
                <w:i/>
              </w:rPr>
              <w:t>E-naslov</w:t>
            </w:r>
          </w:p>
        </w:tc>
        <w:tc>
          <w:tcPr>
            <w:tcW w:w="6520" w:type="dxa"/>
          </w:tcPr>
          <w:p w:rsidRPr="008519CA" w:rsidR="00544BAB" w:rsidP="00BB7F23" w:rsidRDefault="00662932" w14:paraId="2BFEB765" w14:textId="77777777">
            <w:pPr>
              <w:suppressAutoHyphens/>
              <w:rPr>
                <w:i/>
                <w:iCs/>
              </w:rPr>
            </w:pPr>
            <w:hyperlink w:history="1" r:id="rId28">
              <w:r w:rsidRPr="008519CA" w:rsidR="00544BAB">
                <w:rPr>
                  <w:rStyle w:val="Hyperlink"/>
                  <w:i/>
                </w:rPr>
                <w:t>Valeria.Atzori@eesc.europa.eu</w:t>
              </w:r>
            </w:hyperlink>
          </w:p>
        </w:tc>
      </w:tr>
    </w:tbl>
    <w:p w:rsidR="00987844" w:rsidP="00D94D34" w:rsidRDefault="00987844" w14:paraId="3CDB2334" w14:textId="77777777">
      <w:pPr>
        <w:jc w:val="left"/>
      </w:pPr>
      <w:r>
        <w:br w:type="page"/>
      </w:r>
    </w:p>
    <w:p w:rsidRPr="00281901" w:rsidR="007E4689" w:rsidP="00632498" w:rsidRDefault="00662932" w14:paraId="64461E22" w14:textId="77777777">
      <w:pPr>
        <w:widowControl w:val="0"/>
        <w:numPr>
          <w:ilvl w:val="0"/>
          <w:numId w:val="27"/>
        </w:numPr>
        <w:overflowPunct w:val="0"/>
        <w:autoSpaceDE w:val="0"/>
        <w:autoSpaceDN w:val="0"/>
        <w:adjustRightInd w:val="0"/>
        <w:textAlignment w:val="baseline"/>
        <w:rPr>
          <w:sz w:val="24"/>
          <w:szCs w:val="24"/>
        </w:rPr>
      </w:pPr>
      <w:hyperlink w:history="1" r:id="rId29">
        <w:r w:rsidRPr="00281901" w:rsidR="007E4689">
          <w:rPr>
            <w:rStyle w:val="Hyperlink"/>
            <w:b/>
            <w:i/>
            <w:sz w:val="28"/>
          </w:rPr>
          <w:t>Dobra praksa za civilni dialog EU v luči participativnih procesov</w:t>
        </w:r>
      </w:hyperlink>
    </w:p>
    <w:p w:rsidRPr="00B4456F" w:rsidR="007E4689" w:rsidP="007E4689" w:rsidRDefault="007E4689" w14:paraId="70FEE620"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2"/>
      </w:tblGrid>
      <w:tr w:rsidRPr="00B4456F" w:rsidR="007E4689" w:rsidTr="00BB7F23" w14:paraId="05E3025A" w14:textId="77777777">
        <w:tc>
          <w:tcPr>
            <w:tcW w:w="2410" w:type="dxa"/>
          </w:tcPr>
          <w:p w:rsidRPr="00B4456F" w:rsidR="007E4689" w:rsidP="00BB7F23" w:rsidRDefault="007E4689" w14:paraId="7DCF496A" w14:textId="77777777">
            <w:pPr>
              <w:tabs>
                <w:tab w:val="center" w:pos="284"/>
              </w:tabs>
              <w:ind w:left="266" w:hanging="266"/>
              <w:rPr>
                <w:b/>
              </w:rPr>
            </w:pPr>
            <w:r>
              <w:rPr>
                <w:b/>
              </w:rPr>
              <w:t>Poročevalec</w:t>
            </w:r>
          </w:p>
        </w:tc>
        <w:tc>
          <w:tcPr>
            <w:tcW w:w="6662" w:type="dxa"/>
          </w:tcPr>
          <w:p w:rsidRPr="00B4456F" w:rsidR="007E4689" w:rsidP="00BB7F23" w:rsidRDefault="007E4689" w14:paraId="14406803" w14:textId="77777777">
            <w:pPr>
              <w:tabs>
                <w:tab w:val="center" w:pos="284"/>
              </w:tabs>
              <w:ind w:left="266" w:hanging="266"/>
            </w:pPr>
            <w:r>
              <w:t>Arnaud SCHWARTZ (skupina organizacij civilne družbe – FR)</w:t>
            </w:r>
          </w:p>
        </w:tc>
      </w:tr>
      <w:tr w:rsidRPr="007E4689" w:rsidR="007E4689" w:rsidTr="00BB7F23" w14:paraId="0AEF1CDC" w14:textId="77777777">
        <w:tc>
          <w:tcPr>
            <w:tcW w:w="9072" w:type="dxa"/>
            <w:gridSpan w:val="2"/>
          </w:tcPr>
          <w:p w:rsidRPr="007E4689" w:rsidR="007E4689" w:rsidP="007E4689" w:rsidRDefault="007E4689" w14:paraId="70DDE034" w14:textId="77777777">
            <w:pPr>
              <w:tabs>
                <w:tab w:val="center" w:pos="284"/>
              </w:tabs>
              <w:spacing w:line="240" w:lineRule="auto"/>
              <w:ind w:left="266" w:hanging="266"/>
              <w:rPr>
                <w:sz w:val="16"/>
                <w:szCs w:val="16"/>
              </w:rPr>
            </w:pPr>
          </w:p>
        </w:tc>
      </w:tr>
      <w:tr w:rsidRPr="00B4456F" w:rsidR="007E4689" w:rsidTr="004D0C45" w14:paraId="06EEB670" w14:textId="77777777">
        <w:trPr>
          <w:trHeight w:val="607"/>
        </w:trPr>
        <w:tc>
          <w:tcPr>
            <w:tcW w:w="2410" w:type="dxa"/>
          </w:tcPr>
          <w:p w:rsidRPr="00B4456F" w:rsidR="007E4689" w:rsidP="00BB7F23" w:rsidRDefault="007E4689" w14:paraId="1232E20A" w14:textId="77777777">
            <w:pPr>
              <w:tabs>
                <w:tab w:val="center" w:pos="284"/>
              </w:tabs>
              <w:ind w:left="266" w:hanging="266"/>
              <w:rPr>
                <w:b/>
              </w:rPr>
            </w:pPr>
            <w:r>
              <w:rPr>
                <w:b/>
              </w:rPr>
              <w:t>Referenčni dokument</w:t>
            </w:r>
          </w:p>
        </w:tc>
        <w:tc>
          <w:tcPr>
            <w:tcW w:w="6662" w:type="dxa"/>
          </w:tcPr>
          <w:p w:rsidRPr="00B4456F" w:rsidR="007E4689" w:rsidP="00BB7F23" w:rsidRDefault="007E4689" w14:paraId="2B5A7FC0" w14:textId="77777777">
            <w:pPr>
              <w:tabs>
                <w:tab w:val="center" w:pos="284"/>
              </w:tabs>
              <w:ind w:left="266" w:hanging="266"/>
            </w:pPr>
            <w:r>
              <w:t>mnenje na lastno pobudo</w:t>
            </w:r>
          </w:p>
          <w:p w:rsidRPr="00B4456F" w:rsidR="007E4689" w:rsidP="00BB7F23" w:rsidRDefault="007E4689" w14:paraId="4516635D" w14:textId="49E39FE6">
            <w:pPr>
              <w:tabs>
                <w:tab w:val="center" w:pos="284"/>
              </w:tabs>
              <w:ind w:left="266" w:hanging="266"/>
            </w:pPr>
            <w:r>
              <w:t>EESC-2024-04410-00-00-AC</w:t>
            </w:r>
          </w:p>
        </w:tc>
      </w:tr>
    </w:tbl>
    <w:p w:rsidRPr="00B4456F" w:rsidR="007E4689" w:rsidP="007E4689" w:rsidRDefault="007E4689" w14:paraId="374D8724" w14:textId="77777777">
      <w:pPr>
        <w:tabs>
          <w:tab w:val="center" w:pos="284"/>
        </w:tabs>
        <w:suppressAutoHyphens/>
      </w:pPr>
    </w:p>
    <w:p w:rsidRPr="00B4456F" w:rsidR="007E4689" w:rsidP="007E4689" w:rsidRDefault="007E4689" w14:paraId="34463DDB" w14:textId="77777777">
      <w:pPr>
        <w:tabs>
          <w:tab w:val="center" w:pos="284"/>
        </w:tabs>
        <w:suppressAutoHyphens/>
        <w:rPr>
          <w:b/>
        </w:rPr>
      </w:pPr>
      <w:r>
        <w:rPr>
          <w:b/>
        </w:rPr>
        <w:t>Glavne točke</w:t>
      </w:r>
    </w:p>
    <w:p w:rsidRPr="00B4456F" w:rsidR="007E4689" w:rsidP="007E4689" w:rsidRDefault="007E4689" w14:paraId="05BFD9DF" w14:textId="77777777"/>
    <w:p w:rsidRPr="00CD1B7F" w:rsidR="007E4689" w:rsidP="00CD1B7F" w:rsidRDefault="007E4689" w14:paraId="616FD0FA" w14:textId="0BD87B66">
      <w:pPr>
        <w:suppressAutoHyphens/>
      </w:pPr>
      <w:r>
        <w:t>EESO</w:t>
      </w:r>
    </w:p>
    <w:p w:rsidRPr="000F024C" w:rsidR="007E4689" w:rsidP="00632498" w:rsidRDefault="007E4689" w14:paraId="19B0F066" w14:textId="77777777">
      <w:pPr>
        <w:numPr>
          <w:ilvl w:val="0"/>
          <w:numId w:val="9"/>
        </w:numPr>
        <w:overflowPunct w:val="0"/>
        <w:autoSpaceDE w:val="0"/>
        <w:autoSpaceDN w:val="0"/>
        <w:adjustRightInd w:val="0"/>
        <w:ind w:left="426" w:hanging="426"/>
        <w:textAlignment w:val="baseline"/>
        <w:outlineLvl w:val="1"/>
      </w:pPr>
      <w:r>
        <w:t>opozarja na ključno vlogo civilne družbe pri spodbujanju udejstvovanja državljanov, civilnega dialoga in demokracije ter poudarja, da bi bilo treba v celoti priznati in spoštovati posebno vlogo organizacij socialnih partnerjev v strukturah in procesih socialnega dialoga, pa tudi dejstvo, da je civilni dialog, ki poteka o večjem naboru tem in vključuje širši krog deležnikov, ločen proces;</w:t>
      </w:r>
    </w:p>
    <w:p w:rsidRPr="000F024C" w:rsidR="007E4689" w:rsidP="00632498" w:rsidRDefault="007E4689" w14:paraId="340329E9" w14:textId="77777777">
      <w:pPr>
        <w:numPr>
          <w:ilvl w:val="0"/>
          <w:numId w:val="9"/>
        </w:numPr>
        <w:overflowPunct w:val="0"/>
        <w:autoSpaceDE w:val="0"/>
        <w:autoSpaceDN w:val="0"/>
        <w:adjustRightInd w:val="0"/>
        <w:ind w:left="426" w:hanging="426"/>
        <w:textAlignment w:val="baseline"/>
        <w:outlineLvl w:val="1"/>
      </w:pPr>
      <w:r>
        <w:t>v času, ki je poleg digitalnih izzivov zaznamovan tudi s številnimi krizami, poziva institucije EU in države članice, naj upoštevajo njegova priporočila glede socialnega in civilnega dialoga ter posameznike na splošno vključujejo v demokracijo;</w:t>
      </w:r>
    </w:p>
    <w:p w:rsidRPr="00A42FDC" w:rsidR="007E4689" w:rsidP="00632498" w:rsidRDefault="007E4689" w14:paraId="786B939A" w14:textId="77777777">
      <w:pPr>
        <w:numPr>
          <w:ilvl w:val="0"/>
          <w:numId w:val="9"/>
        </w:numPr>
        <w:overflowPunct w:val="0"/>
        <w:autoSpaceDE w:val="0"/>
        <w:autoSpaceDN w:val="0"/>
        <w:adjustRightInd w:val="0"/>
        <w:ind w:left="426" w:hanging="426"/>
        <w:textAlignment w:val="baseline"/>
        <w:outlineLvl w:val="1"/>
      </w:pPr>
      <w:r>
        <w:t>namerava kot posvetovalni organ EU v skladu s Pogodbama, ki ga sestavljajo predstavniki organizacij delodajalcev, delojemalcev in civilne družbe, tesno sodelovati z Evropsko komisijo pri oblikovanju, vodenju in vsakodnevnem delovanju platforme civilne družbe;</w:t>
      </w:r>
    </w:p>
    <w:p w:rsidRPr="00255319" w:rsidR="007E4689" w:rsidP="00632498" w:rsidRDefault="007E4689" w14:paraId="520A717B" w14:textId="77777777">
      <w:pPr>
        <w:numPr>
          <w:ilvl w:val="0"/>
          <w:numId w:val="9"/>
        </w:numPr>
        <w:overflowPunct w:val="0"/>
        <w:autoSpaceDE w:val="0"/>
        <w:autoSpaceDN w:val="0"/>
        <w:adjustRightInd w:val="0"/>
        <w:ind w:left="426" w:hanging="426"/>
        <w:textAlignment w:val="baseline"/>
        <w:outlineLvl w:val="1"/>
      </w:pPr>
      <w:r>
        <w:t>predlaga, da bi deloval tudi kot središče za udeležbo javnosti in organizirane civilne družbe ter skrbnik, s čimer bi okrepil učinek posvetovanj, ki jih organizirajo Evropska komisija in druge institucije, in pri pripravi mnenj sistematično zbiral povratne informacije o najpomembnejših prednostnih nalogah in politikah na evropskem političnem dnevnem redu od svojih članov in evropske organizirane civilne družbe na splošno;</w:t>
      </w:r>
    </w:p>
    <w:p w:rsidR="007E4689" w:rsidP="00632498" w:rsidRDefault="007E4689" w14:paraId="75B0634E" w14:textId="77777777">
      <w:pPr>
        <w:numPr>
          <w:ilvl w:val="0"/>
          <w:numId w:val="9"/>
        </w:numPr>
        <w:overflowPunct w:val="0"/>
        <w:autoSpaceDE w:val="0"/>
        <w:autoSpaceDN w:val="0"/>
        <w:adjustRightInd w:val="0"/>
        <w:ind w:left="426" w:hanging="426"/>
        <w:textAlignment w:val="baseline"/>
        <w:outlineLvl w:val="1"/>
      </w:pPr>
      <w:r>
        <w:t>poudarja, da so njegovi predlogi utemeljeni s Pogodbama in končnim poročilom Konference o prihodnosti Evrope z dne 9. maja 2022, v katerem je izrecno navedeno, naj se okrepi institucionalna vloga EESO in naj se ga opolnomoči kot posrednika za dejavnosti participativne demokracije, kot je strukturiran dialog s civilno družbo.</w:t>
      </w:r>
    </w:p>
    <w:p w:rsidRPr="00B4456F" w:rsidR="007E4689" w:rsidP="007E4689" w:rsidRDefault="007E4689" w14:paraId="0ADEAF8F" w14:textId="77777777"/>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B4456F" w:rsidR="007E4689" w:rsidTr="00BB7F23" w14:paraId="4B9AAAC6" w14:textId="77777777">
        <w:tc>
          <w:tcPr>
            <w:tcW w:w="1985" w:type="dxa"/>
          </w:tcPr>
          <w:p w:rsidRPr="00B4456F" w:rsidR="007E4689" w:rsidP="00BB7F23" w:rsidRDefault="007E4689" w14:paraId="1C01BD1F" w14:textId="77777777">
            <w:pPr>
              <w:rPr>
                <w:i/>
              </w:rPr>
            </w:pPr>
            <w:r>
              <w:rPr>
                <w:b/>
                <w:i/>
              </w:rPr>
              <w:t>Kontaktna oseba</w:t>
            </w:r>
          </w:p>
        </w:tc>
        <w:tc>
          <w:tcPr>
            <w:tcW w:w="5103" w:type="dxa"/>
          </w:tcPr>
          <w:p w:rsidRPr="00B4456F" w:rsidR="007E4689" w:rsidP="00BB7F23" w:rsidRDefault="007E4689" w14:paraId="09C0FC45" w14:textId="027ED428">
            <w:pPr>
              <w:rPr>
                <w:i/>
              </w:rPr>
            </w:pPr>
            <w:proofErr w:type="spellStart"/>
            <w:r>
              <w:rPr>
                <w:i/>
              </w:rPr>
              <w:t>June</w:t>
            </w:r>
            <w:proofErr w:type="spellEnd"/>
            <w:r>
              <w:rPr>
                <w:i/>
              </w:rPr>
              <w:t xml:space="preserve"> </w:t>
            </w:r>
            <w:r w:rsidR="00641BDF">
              <w:rPr>
                <w:i/>
              </w:rPr>
              <w:t>BEDATON</w:t>
            </w:r>
          </w:p>
        </w:tc>
      </w:tr>
      <w:tr w:rsidRPr="00B4456F" w:rsidR="007E4689" w:rsidTr="00BB7F23" w14:paraId="28DC5B10" w14:textId="77777777">
        <w:tc>
          <w:tcPr>
            <w:tcW w:w="1985" w:type="dxa"/>
          </w:tcPr>
          <w:p w:rsidRPr="00B4456F" w:rsidR="007E4689" w:rsidP="00BB7F23" w:rsidRDefault="007E4689" w14:paraId="07964141" w14:textId="77777777">
            <w:pPr>
              <w:rPr>
                <w:i/>
              </w:rPr>
            </w:pPr>
            <w:r>
              <w:rPr>
                <w:i/>
              </w:rPr>
              <w:t>Telefon</w:t>
            </w:r>
          </w:p>
        </w:tc>
        <w:tc>
          <w:tcPr>
            <w:tcW w:w="5103" w:type="dxa"/>
          </w:tcPr>
          <w:p w:rsidRPr="00B4456F" w:rsidR="007E4689" w:rsidP="00BB7F23" w:rsidRDefault="007E4689" w14:paraId="2A520D7E" w14:textId="77777777">
            <w:pPr>
              <w:rPr>
                <w:i/>
              </w:rPr>
            </w:pPr>
            <w:r>
              <w:rPr>
                <w:i/>
              </w:rPr>
              <w:t>+32 25468134</w:t>
            </w:r>
          </w:p>
        </w:tc>
      </w:tr>
      <w:tr w:rsidRPr="00B4456F" w:rsidR="007E4689" w:rsidTr="00BB7F23" w14:paraId="72565585" w14:textId="77777777">
        <w:tc>
          <w:tcPr>
            <w:tcW w:w="1985" w:type="dxa"/>
          </w:tcPr>
          <w:p w:rsidRPr="00B4456F" w:rsidR="007E4689" w:rsidP="00BB7F23" w:rsidRDefault="007E4689" w14:paraId="289E48CF" w14:textId="77777777">
            <w:pPr>
              <w:rPr>
                <w:i/>
              </w:rPr>
            </w:pPr>
            <w:r>
              <w:rPr>
                <w:i/>
              </w:rPr>
              <w:t>E-naslov</w:t>
            </w:r>
          </w:p>
        </w:tc>
        <w:tc>
          <w:tcPr>
            <w:tcW w:w="5103" w:type="dxa"/>
          </w:tcPr>
          <w:p w:rsidRPr="00BA7ABB" w:rsidR="007E4689" w:rsidP="00BB7F23" w:rsidRDefault="00662932" w14:paraId="5B5BF86D" w14:textId="575C129C">
            <w:pPr>
              <w:rPr>
                <w:i/>
                <w:iCs/>
              </w:rPr>
            </w:pPr>
            <w:hyperlink w:history="1" r:id="rId30">
              <w:r w:rsidR="007E4689">
                <w:rPr>
                  <w:rStyle w:val="Hyperlink"/>
                  <w:i/>
                </w:rPr>
                <w:t>June.Bedaton@eesc.europa.eu</w:t>
              </w:r>
            </w:hyperlink>
          </w:p>
        </w:tc>
      </w:tr>
    </w:tbl>
    <w:p w:rsidR="003E3542" w:rsidP="00D94D34" w:rsidRDefault="003E3542" w14:paraId="669E2350" w14:textId="77777777">
      <w:pPr>
        <w:jc w:val="left"/>
      </w:pPr>
      <w:r>
        <w:br w:type="page"/>
      </w:r>
    </w:p>
    <w:p w:rsidRPr="00816C30" w:rsidR="006D3831" w:rsidP="00632498" w:rsidRDefault="00662932" w14:paraId="3351585E" w14:textId="11F40A87">
      <w:pPr>
        <w:numPr>
          <w:ilvl w:val="0"/>
          <w:numId w:val="27"/>
        </w:numPr>
        <w:overflowPunct w:val="0"/>
        <w:autoSpaceDE w:val="0"/>
        <w:autoSpaceDN w:val="0"/>
        <w:adjustRightInd w:val="0"/>
        <w:textAlignment w:val="baseline"/>
        <w:rPr>
          <w:sz w:val="28"/>
          <w:szCs w:val="28"/>
        </w:rPr>
      </w:pPr>
      <w:hyperlink w:history="1" r:id="rId31">
        <w:r w:rsidRPr="00816C30" w:rsidR="006D3831">
          <w:rPr>
            <w:rStyle w:val="Hyperlink"/>
            <w:b/>
            <w:i/>
            <w:sz w:val="28"/>
            <w:szCs w:val="28"/>
          </w:rPr>
          <w:t>Strategija EU za boj proti revščini</w:t>
        </w:r>
      </w:hyperlink>
    </w:p>
    <w:p w:rsidRPr="009741EB" w:rsidR="006D3831" w:rsidP="006D3831" w:rsidRDefault="006D3831" w14:paraId="52B7CCF0"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9741EB" w:rsidR="006D3831" w:rsidTr="006D3831" w14:paraId="0BEC5259" w14:textId="77777777">
        <w:tc>
          <w:tcPr>
            <w:tcW w:w="1250" w:type="pct"/>
          </w:tcPr>
          <w:p w:rsidRPr="009741EB" w:rsidR="006D3831" w:rsidP="00BB7F23" w:rsidRDefault="006D3831" w14:paraId="703DF544" w14:textId="77777777">
            <w:pPr>
              <w:rPr>
                <w:b/>
              </w:rPr>
            </w:pPr>
            <w:r w:rsidRPr="009741EB">
              <w:rPr>
                <w:b/>
              </w:rPr>
              <w:t>Poročevalec</w:t>
            </w:r>
          </w:p>
        </w:tc>
        <w:tc>
          <w:tcPr>
            <w:tcW w:w="3750" w:type="pct"/>
          </w:tcPr>
          <w:p w:rsidRPr="009741EB" w:rsidR="006D3831" w:rsidP="00BB7F23" w:rsidRDefault="006D3831" w14:paraId="13F728FE" w14:textId="77777777">
            <w:r>
              <w:t xml:space="preserve">Krzysztof </w:t>
            </w:r>
            <w:proofErr w:type="spellStart"/>
            <w:r>
              <w:t>Stanisław</w:t>
            </w:r>
            <w:proofErr w:type="spellEnd"/>
            <w:r>
              <w:t xml:space="preserve"> BALON </w:t>
            </w:r>
            <w:r w:rsidRPr="004F2F2B">
              <w:t>(skupina organizacij civilne družbe – PL)</w:t>
            </w:r>
          </w:p>
        </w:tc>
      </w:tr>
      <w:tr w:rsidRPr="009741EB" w:rsidR="006D3831" w:rsidTr="006D3831" w14:paraId="3E744832" w14:textId="77777777">
        <w:tc>
          <w:tcPr>
            <w:tcW w:w="1250" w:type="pct"/>
          </w:tcPr>
          <w:p w:rsidRPr="009741EB" w:rsidR="006D3831" w:rsidP="00BB7F23" w:rsidRDefault="006D3831" w14:paraId="041FCB0C" w14:textId="77777777">
            <w:pPr>
              <w:rPr>
                <w:b/>
              </w:rPr>
            </w:pPr>
            <w:r w:rsidRPr="009741EB">
              <w:rPr>
                <w:b/>
              </w:rPr>
              <w:t>Soporočeval</w:t>
            </w:r>
            <w:r>
              <w:rPr>
                <w:b/>
              </w:rPr>
              <w:t>ka</w:t>
            </w:r>
          </w:p>
        </w:tc>
        <w:tc>
          <w:tcPr>
            <w:tcW w:w="3750" w:type="pct"/>
          </w:tcPr>
          <w:p w:rsidRPr="009741EB" w:rsidR="006D3831" w:rsidP="00BB7F23" w:rsidRDefault="006D3831" w14:paraId="52BD2D00" w14:textId="77777777">
            <w:r w:rsidRPr="004F2F2B">
              <w:t>Sophia REISECKER (skupina delojemalcev – AT)</w:t>
            </w:r>
          </w:p>
        </w:tc>
      </w:tr>
      <w:tr w:rsidRPr="009741EB" w:rsidR="006D3831" w:rsidTr="00BB7F23" w14:paraId="0E661586" w14:textId="77777777">
        <w:tc>
          <w:tcPr>
            <w:tcW w:w="5000" w:type="pct"/>
            <w:gridSpan w:val="2"/>
          </w:tcPr>
          <w:p w:rsidRPr="009741EB" w:rsidR="006D3831" w:rsidP="00BB7F23" w:rsidRDefault="006D3831" w14:paraId="0E026EEC" w14:textId="77777777">
            <w:pPr>
              <w:rPr>
                <w:sz w:val="16"/>
              </w:rPr>
            </w:pPr>
          </w:p>
        </w:tc>
      </w:tr>
      <w:tr w:rsidRPr="009741EB" w:rsidR="006D3831" w:rsidTr="006D3831" w14:paraId="433F6662" w14:textId="77777777">
        <w:trPr>
          <w:trHeight w:val="607"/>
        </w:trPr>
        <w:tc>
          <w:tcPr>
            <w:tcW w:w="1250" w:type="pct"/>
          </w:tcPr>
          <w:p w:rsidRPr="009741EB" w:rsidR="006D3831" w:rsidP="00BB7F23" w:rsidRDefault="006D3831" w14:paraId="7D547B96" w14:textId="77777777">
            <w:pPr>
              <w:rPr>
                <w:b/>
              </w:rPr>
            </w:pPr>
            <w:r w:rsidRPr="009741EB">
              <w:rPr>
                <w:b/>
              </w:rPr>
              <w:t>Referenčni dokument</w:t>
            </w:r>
          </w:p>
        </w:tc>
        <w:tc>
          <w:tcPr>
            <w:tcW w:w="3750" w:type="pct"/>
          </w:tcPr>
          <w:p w:rsidRPr="009741EB" w:rsidR="006D3831" w:rsidP="00BB7F23" w:rsidRDefault="006D3831" w14:paraId="56714CC1" w14:textId="77777777">
            <w:r w:rsidRPr="004F2F2B">
              <w:t>raziskovalno mnenje na zaprosilo Evropske komisije</w:t>
            </w:r>
          </w:p>
          <w:p w:rsidRPr="009741EB" w:rsidR="006D3831" w:rsidP="00BB7F23" w:rsidRDefault="006D3831" w14:paraId="2D161564" w14:textId="539A78F4">
            <w:r w:rsidRPr="004F2F2B">
              <w:t>EESC-2025-00984-00-00-AC</w:t>
            </w:r>
          </w:p>
        </w:tc>
      </w:tr>
    </w:tbl>
    <w:p w:rsidRPr="009741EB" w:rsidR="006D3831" w:rsidP="006D3831" w:rsidRDefault="006D3831" w14:paraId="463D5305" w14:textId="77777777"/>
    <w:p w:rsidRPr="009741EB" w:rsidR="006D3831" w:rsidP="006D3831" w:rsidRDefault="006D3831" w14:paraId="39A6BAA9" w14:textId="77777777">
      <w:r w:rsidRPr="009741EB">
        <w:rPr>
          <w:b/>
        </w:rPr>
        <w:t>Glavne točke</w:t>
      </w:r>
    </w:p>
    <w:p w:rsidRPr="009741EB" w:rsidR="006D3831" w:rsidP="006D3831" w:rsidRDefault="006D3831" w14:paraId="4C53C90C" w14:textId="77777777"/>
    <w:p w:rsidRPr="00CD1B7F" w:rsidR="006D3831" w:rsidP="006D3831" w:rsidRDefault="006D3831" w14:paraId="5F912EA9" w14:textId="0B02B1AE">
      <w:pPr>
        <w:rPr>
          <w:bCs/>
          <w:iCs/>
        </w:rPr>
      </w:pPr>
      <w:r w:rsidRPr="009741EB">
        <w:rPr>
          <w:bCs/>
          <w:iCs/>
        </w:rPr>
        <w:t>EESO</w:t>
      </w:r>
    </w:p>
    <w:p w:rsidR="006D3831" w:rsidP="00632498" w:rsidRDefault="006D3831" w14:paraId="5FB7E255" w14:textId="77777777">
      <w:pPr>
        <w:widowControl w:val="0"/>
        <w:numPr>
          <w:ilvl w:val="0"/>
          <w:numId w:val="31"/>
        </w:numPr>
        <w:overflowPunct w:val="0"/>
        <w:autoSpaceDE w:val="0"/>
        <w:autoSpaceDN w:val="0"/>
        <w:adjustRightInd w:val="0"/>
        <w:textAlignment w:val="baseline"/>
      </w:pPr>
      <w:r w:rsidRPr="004F2F2B">
        <w:t xml:space="preserve">meni, da bi morala biti strategija EU za boj proti revščini presečno naravnana, upoštevati vidik spola ter temeljiti na </w:t>
      </w:r>
      <w:proofErr w:type="spellStart"/>
      <w:r w:rsidRPr="004F2F2B">
        <w:t>večrazsežnostni</w:t>
      </w:r>
      <w:proofErr w:type="spellEnd"/>
      <w:r w:rsidRPr="004F2F2B">
        <w:t xml:space="preserve"> opredelitvi revščine, ki bi poleg materialne prikrajšanosti zajela tudi socialno, psihološko in politično razsežnost ter razsežnost spola;</w:t>
      </w:r>
    </w:p>
    <w:p w:rsidR="006D3831" w:rsidP="00632498" w:rsidRDefault="006D3831" w14:paraId="4A704C4C" w14:textId="77777777">
      <w:pPr>
        <w:widowControl w:val="0"/>
        <w:numPr>
          <w:ilvl w:val="0"/>
          <w:numId w:val="31"/>
        </w:numPr>
        <w:overflowPunct w:val="0"/>
        <w:autoSpaceDE w:val="0"/>
        <w:autoSpaceDN w:val="0"/>
        <w:adjustRightInd w:val="0"/>
        <w:textAlignment w:val="baseline"/>
      </w:pPr>
      <w:r w:rsidRPr="004F2F2B">
        <w:t>priporoča, da zastavi strategija ambiciozne, a merljive cilje ter si prizadeva za izkoreninjenje skrajne revščine s pristopom, ki temelji na pravicah in revščino obravnava kot kršitev temeljnih pravic in sistemsko nepravičnost;</w:t>
      </w:r>
    </w:p>
    <w:p w:rsidR="006D3831" w:rsidP="00632498" w:rsidRDefault="006D3831" w14:paraId="17D7DE42" w14:textId="77777777">
      <w:pPr>
        <w:widowControl w:val="0"/>
        <w:numPr>
          <w:ilvl w:val="0"/>
          <w:numId w:val="31"/>
        </w:numPr>
        <w:overflowPunct w:val="0"/>
        <w:autoSpaceDE w:val="0"/>
        <w:autoSpaceDN w:val="0"/>
        <w:adjustRightInd w:val="0"/>
        <w:textAlignment w:val="baseline"/>
      </w:pPr>
      <w:r w:rsidRPr="004F2F2B">
        <w:t>predlaga naslednje ključne elemente strategije:</w:t>
      </w:r>
    </w:p>
    <w:p w:rsidRPr="004F2F2B" w:rsidR="006D3831" w:rsidP="00641BDF" w:rsidRDefault="006D3831" w14:paraId="069BF741" w14:textId="77777777">
      <w:pPr>
        <w:widowControl w:val="0"/>
        <w:numPr>
          <w:ilvl w:val="0"/>
          <w:numId w:val="32"/>
        </w:numPr>
        <w:overflowPunct w:val="0"/>
        <w:autoSpaceDE w:val="0"/>
        <w:autoSpaceDN w:val="0"/>
        <w:adjustRightInd w:val="0"/>
        <w:ind w:left="1004"/>
        <w:textAlignment w:val="baseline"/>
      </w:pPr>
      <w:r w:rsidRPr="004F2F2B">
        <w:t>zavezujoči standardi glede ustreznega dohodka in socialne zaščite v vseh državah članicah;</w:t>
      </w:r>
    </w:p>
    <w:p w:rsidRPr="004F2F2B" w:rsidR="006D3831" w:rsidP="00641BDF" w:rsidRDefault="006D3831" w14:paraId="28693A41" w14:textId="77777777">
      <w:pPr>
        <w:widowControl w:val="0"/>
        <w:numPr>
          <w:ilvl w:val="0"/>
          <w:numId w:val="32"/>
        </w:numPr>
        <w:overflowPunct w:val="0"/>
        <w:autoSpaceDE w:val="0"/>
        <w:autoSpaceDN w:val="0"/>
        <w:adjustRightInd w:val="0"/>
        <w:ind w:left="1004"/>
        <w:textAlignment w:val="baseline"/>
      </w:pPr>
      <w:r w:rsidRPr="004F2F2B">
        <w:t>ukrepi za boj proti revščini zaposlenih, tudi z aktivnimi politikami trga dela in kakovostnimi delovnimi mesti ter s pravilnim izvajanjem direktive o ustreznih minimalnih plačah;</w:t>
      </w:r>
    </w:p>
    <w:p w:rsidRPr="004F2F2B" w:rsidR="006D3831" w:rsidP="00641BDF" w:rsidRDefault="006D3831" w14:paraId="67EC8795" w14:textId="77777777">
      <w:pPr>
        <w:widowControl w:val="0"/>
        <w:numPr>
          <w:ilvl w:val="0"/>
          <w:numId w:val="32"/>
        </w:numPr>
        <w:overflowPunct w:val="0"/>
        <w:autoSpaceDE w:val="0"/>
        <w:autoSpaceDN w:val="0"/>
        <w:adjustRightInd w:val="0"/>
        <w:ind w:left="1004"/>
        <w:textAlignment w:val="baseline"/>
      </w:pPr>
      <w:r w:rsidRPr="004F2F2B">
        <w:t>splošen dostop do cenovno ugodnih in kakovostnih socialnih in osnovnih storitev;</w:t>
      </w:r>
    </w:p>
    <w:p w:rsidRPr="004F2F2B" w:rsidR="006D3831" w:rsidP="00641BDF" w:rsidRDefault="006D3831" w14:paraId="781A5344" w14:textId="77777777">
      <w:pPr>
        <w:widowControl w:val="0"/>
        <w:numPr>
          <w:ilvl w:val="0"/>
          <w:numId w:val="32"/>
        </w:numPr>
        <w:overflowPunct w:val="0"/>
        <w:autoSpaceDE w:val="0"/>
        <w:autoSpaceDN w:val="0"/>
        <w:adjustRightInd w:val="0"/>
        <w:ind w:left="1004"/>
        <w:textAlignment w:val="baseline"/>
      </w:pPr>
      <w:r w:rsidRPr="004F2F2B">
        <w:t>zanesljivo upravljanje, financiranje in sodelovanje;</w:t>
      </w:r>
    </w:p>
    <w:p w:rsidR="006D3831" w:rsidP="00641BDF" w:rsidRDefault="006D3831" w14:paraId="24F94660" w14:textId="77777777">
      <w:pPr>
        <w:widowControl w:val="0"/>
        <w:numPr>
          <w:ilvl w:val="0"/>
          <w:numId w:val="32"/>
        </w:numPr>
        <w:overflowPunct w:val="0"/>
        <w:autoSpaceDE w:val="0"/>
        <w:autoSpaceDN w:val="0"/>
        <w:adjustRightInd w:val="0"/>
        <w:ind w:left="1004"/>
        <w:textAlignment w:val="baseline"/>
      </w:pPr>
      <w:r w:rsidRPr="004F2F2B">
        <w:t>priznanje vloge socialnih partnerjev in organizacij civilne družbe v boju proti revščini.</w:t>
      </w:r>
    </w:p>
    <w:p w:rsidR="006D3831" w:rsidP="006D3831" w:rsidRDefault="006D3831" w14:paraId="0A0D8F4B"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006D3831" w:rsidTr="00BB7F23" w14:paraId="478ADEF6" w14:textId="77777777">
        <w:tc>
          <w:tcPr>
            <w:tcW w:w="974" w:type="pct"/>
          </w:tcPr>
          <w:p w:rsidR="006D3831" w:rsidP="00BB7F23" w:rsidRDefault="006D3831" w14:paraId="453EEF7C" w14:textId="77777777">
            <w:r w:rsidRPr="009741EB">
              <w:rPr>
                <w:b/>
                <w:i/>
              </w:rPr>
              <w:t>Kontaktna oseba</w:t>
            </w:r>
          </w:p>
        </w:tc>
        <w:tc>
          <w:tcPr>
            <w:tcW w:w="4026" w:type="pct"/>
          </w:tcPr>
          <w:p w:rsidRPr="00A26D29" w:rsidR="006D3831" w:rsidP="00BB7F23" w:rsidRDefault="006D3831" w14:paraId="1A764D94" w14:textId="7BCF3739">
            <w:pPr>
              <w:rPr>
                <w:i/>
              </w:rPr>
            </w:pPr>
            <w:r w:rsidRPr="004F2F2B">
              <w:rPr>
                <w:i/>
              </w:rPr>
              <w:t xml:space="preserve">Valeria </w:t>
            </w:r>
            <w:r w:rsidRPr="004F2F2B" w:rsidR="00641BDF">
              <w:rPr>
                <w:i/>
              </w:rPr>
              <w:t>ATZORI</w:t>
            </w:r>
          </w:p>
        </w:tc>
      </w:tr>
      <w:tr w:rsidR="006D3831" w:rsidTr="00BB7F23" w14:paraId="4F45AB96" w14:textId="77777777">
        <w:tc>
          <w:tcPr>
            <w:tcW w:w="974" w:type="pct"/>
          </w:tcPr>
          <w:p w:rsidR="006D3831" w:rsidP="00BB7F23" w:rsidRDefault="006D3831" w14:paraId="3598660C" w14:textId="77777777">
            <w:r w:rsidRPr="009741EB">
              <w:rPr>
                <w:i/>
              </w:rPr>
              <w:t>Tel</w:t>
            </w:r>
            <w:r>
              <w:rPr>
                <w:i/>
              </w:rPr>
              <w:t>efon</w:t>
            </w:r>
          </w:p>
        </w:tc>
        <w:tc>
          <w:tcPr>
            <w:tcW w:w="4026" w:type="pct"/>
          </w:tcPr>
          <w:p w:rsidR="006D3831" w:rsidP="00BB7F23" w:rsidRDefault="006D3831" w14:paraId="328FBCAB" w14:textId="77777777">
            <w:r>
              <w:rPr>
                <w:i/>
              </w:rPr>
              <w:t>+</w:t>
            </w:r>
            <w:r w:rsidRPr="009741EB">
              <w:rPr>
                <w:i/>
              </w:rPr>
              <w:t>32 2 </w:t>
            </w:r>
            <w:r w:rsidRPr="004F2F2B">
              <w:rPr>
                <w:i/>
              </w:rPr>
              <w:t>546</w:t>
            </w:r>
            <w:r>
              <w:rPr>
                <w:i/>
              </w:rPr>
              <w:t> </w:t>
            </w:r>
            <w:r w:rsidRPr="004F2F2B">
              <w:rPr>
                <w:i/>
              </w:rPr>
              <w:t>8774</w:t>
            </w:r>
          </w:p>
        </w:tc>
      </w:tr>
      <w:tr w:rsidR="006D3831" w:rsidTr="00BB7F23" w14:paraId="0E060209" w14:textId="77777777">
        <w:tc>
          <w:tcPr>
            <w:tcW w:w="974" w:type="pct"/>
          </w:tcPr>
          <w:p w:rsidR="006D3831" w:rsidP="00BB7F23" w:rsidRDefault="006D3831" w14:paraId="3ED46D90" w14:textId="77777777">
            <w:r w:rsidRPr="009741EB">
              <w:rPr>
                <w:i/>
              </w:rPr>
              <w:t>E-naslov</w:t>
            </w:r>
          </w:p>
        </w:tc>
        <w:tc>
          <w:tcPr>
            <w:tcW w:w="4026" w:type="pct"/>
          </w:tcPr>
          <w:p w:rsidRPr="00A26D29" w:rsidR="006D3831" w:rsidP="00BB7F23" w:rsidRDefault="00662932" w14:paraId="767BFF81" w14:textId="77777777">
            <w:pPr>
              <w:rPr>
                <w:i/>
              </w:rPr>
            </w:pPr>
            <w:hyperlink w:history="1" r:id="rId32">
              <w:r w:rsidRPr="00D02BE1" w:rsidR="006D3831">
                <w:rPr>
                  <w:rStyle w:val="Hyperlink"/>
                  <w:i/>
                </w:rPr>
                <w:t>Valeria.Atzori@eesc.europa.eu</w:t>
              </w:r>
            </w:hyperlink>
          </w:p>
        </w:tc>
      </w:tr>
    </w:tbl>
    <w:p w:rsidR="00121F5D" w:rsidP="00D94D34" w:rsidRDefault="00121F5D" w14:paraId="4982DDC3" w14:textId="7FD22CE2">
      <w:pPr>
        <w:jc w:val="left"/>
      </w:pPr>
      <w:r>
        <w:br w:type="page"/>
      </w:r>
    </w:p>
    <w:p w:rsidRPr="00816C30" w:rsidR="006D3831" w:rsidP="00632498" w:rsidRDefault="00662932" w14:paraId="7E405FAD" w14:textId="77777777">
      <w:pPr>
        <w:numPr>
          <w:ilvl w:val="0"/>
          <w:numId w:val="27"/>
        </w:numPr>
        <w:suppressAutoHyphens/>
        <w:overflowPunct w:val="0"/>
        <w:autoSpaceDE w:val="0"/>
        <w:autoSpaceDN w:val="0"/>
        <w:adjustRightInd w:val="0"/>
        <w:textAlignment w:val="baseline"/>
        <w:rPr>
          <w:sz w:val="28"/>
          <w:szCs w:val="28"/>
        </w:rPr>
      </w:pPr>
      <w:hyperlink w:history="1" r:id="rId33">
        <w:r w:rsidRPr="00816C30" w:rsidR="006D3831">
          <w:rPr>
            <w:rStyle w:val="Hyperlink"/>
            <w:b/>
            <w:i/>
            <w:sz w:val="28"/>
            <w:szCs w:val="28"/>
          </w:rPr>
          <w:t>Strategija EU za podporo, zaščito in opolnomočenje civilne družbe</w:t>
        </w:r>
      </w:hyperlink>
    </w:p>
    <w:p w:rsidRPr="002534CE" w:rsidR="006D3831" w:rsidP="006D3831" w:rsidRDefault="006D3831" w14:paraId="06A35E98" w14:textId="77777777">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9"/>
        <w:gridCol w:w="6714"/>
      </w:tblGrid>
      <w:tr w:rsidRPr="002534CE" w:rsidR="006D3831" w:rsidTr="00BB7F23" w14:paraId="26F90694" w14:textId="77777777">
        <w:tc>
          <w:tcPr>
            <w:tcW w:w="2376" w:type="dxa"/>
          </w:tcPr>
          <w:p w:rsidRPr="002534CE" w:rsidR="006D3831" w:rsidP="00BB7F23" w:rsidRDefault="006D3831" w14:paraId="4470B2AD" w14:textId="77777777">
            <w:pPr>
              <w:tabs>
                <w:tab w:val="center" w:pos="284"/>
              </w:tabs>
              <w:suppressAutoHyphens/>
              <w:ind w:left="266" w:hanging="266"/>
              <w:rPr>
                <w:b/>
              </w:rPr>
            </w:pPr>
            <w:r w:rsidRPr="002534CE">
              <w:rPr>
                <w:b/>
              </w:rPr>
              <w:t>Poročevalci</w:t>
            </w:r>
          </w:p>
        </w:tc>
        <w:tc>
          <w:tcPr>
            <w:tcW w:w="6804" w:type="dxa"/>
          </w:tcPr>
          <w:p w:rsidRPr="002534CE" w:rsidR="006D3831" w:rsidP="00BB7F23" w:rsidRDefault="006D3831" w14:paraId="32837F4D" w14:textId="77777777">
            <w:pPr>
              <w:tabs>
                <w:tab w:val="center" w:pos="284"/>
              </w:tabs>
              <w:suppressAutoHyphens/>
              <w:ind w:left="266" w:hanging="266"/>
            </w:pPr>
            <w:r w:rsidRPr="002534CE">
              <w:t xml:space="preserve">Pietro </w:t>
            </w:r>
            <w:proofErr w:type="spellStart"/>
            <w:r w:rsidRPr="002534CE">
              <w:t>Vittorio</w:t>
            </w:r>
            <w:proofErr w:type="spellEnd"/>
            <w:r w:rsidRPr="002534CE">
              <w:t xml:space="preserve"> BARBIERI (skupina organizacij civilne družbe – IT)</w:t>
            </w:r>
          </w:p>
          <w:p w:rsidRPr="002534CE" w:rsidR="006D3831" w:rsidP="00BB7F23" w:rsidRDefault="006D3831" w14:paraId="79B76863" w14:textId="77777777">
            <w:pPr>
              <w:tabs>
                <w:tab w:val="center" w:pos="284"/>
              </w:tabs>
              <w:suppressAutoHyphens/>
              <w:ind w:left="266" w:hanging="266"/>
            </w:pPr>
            <w:r w:rsidRPr="002534CE">
              <w:t>Peter SCHMIDT (skupina delojemalcev – DE)</w:t>
            </w:r>
          </w:p>
          <w:p w:rsidRPr="002534CE" w:rsidR="006D3831" w:rsidP="00BB7F23" w:rsidRDefault="006D3831" w14:paraId="0C2C9FBE" w14:textId="77777777">
            <w:pPr>
              <w:tabs>
                <w:tab w:val="center" w:pos="284"/>
              </w:tabs>
              <w:suppressAutoHyphens/>
              <w:ind w:left="266" w:hanging="266"/>
            </w:pPr>
            <w:r w:rsidRPr="002534CE">
              <w:t>Christa SCHWENG (skupina delodajalcev – AT)</w:t>
            </w:r>
          </w:p>
        </w:tc>
      </w:tr>
      <w:tr w:rsidRPr="002534CE" w:rsidR="006D3831" w:rsidTr="00BB7F23" w14:paraId="15517EB3" w14:textId="77777777">
        <w:tc>
          <w:tcPr>
            <w:tcW w:w="9180" w:type="dxa"/>
            <w:gridSpan w:val="2"/>
          </w:tcPr>
          <w:p w:rsidRPr="002534CE" w:rsidR="006D3831" w:rsidP="00BB7F23" w:rsidRDefault="006D3831" w14:paraId="3A7E2B57" w14:textId="77777777">
            <w:pPr>
              <w:tabs>
                <w:tab w:val="center" w:pos="284"/>
              </w:tabs>
              <w:suppressAutoHyphens/>
              <w:spacing w:line="240" w:lineRule="auto"/>
              <w:ind w:left="266" w:hanging="266"/>
              <w:rPr>
                <w:sz w:val="16"/>
                <w:szCs w:val="16"/>
              </w:rPr>
            </w:pPr>
          </w:p>
        </w:tc>
      </w:tr>
      <w:tr w:rsidRPr="002534CE" w:rsidR="006D3831" w:rsidTr="00BB7F23" w14:paraId="25BC2DC4" w14:textId="77777777">
        <w:tc>
          <w:tcPr>
            <w:tcW w:w="2376" w:type="dxa"/>
          </w:tcPr>
          <w:p w:rsidRPr="002534CE" w:rsidR="006D3831" w:rsidP="00BB7F23" w:rsidRDefault="006D3831" w14:paraId="7276678D" w14:textId="77777777">
            <w:pPr>
              <w:tabs>
                <w:tab w:val="center" w:pos="284"/>
              </w:tabs>
              <w:suppressAutoHyphens/>
              <w:ind w:left="266" w:hanging="266"/>
              <w:rPr>
                <w:b/>
              </w:rPr>
            </w:pPr>
            <w:r w:rsidRPr="002534CE">
              <w:rPr>
                <w:b/>
              </w:rPr>
              <w:t>Referenčni dokument</w:t>
            </w:r>
          </w:p>
        </w:tc>
        <w:tc>
          <w:tcPr>
            <w:tcW w:w="6804" w:type="dxa"/>
          </w:tcPr>
          <w:p w:rsidRPr="009741EB" w:rsidR="006D3831" w:rsidP="006D3831" w:rsidRDefault="006D3831" w14:paraId="550DC036" w14:textId="77777777">
            <w:r w:rsidRPr="004F2F2B">
              <w:t>raziskovalno mnenje na zaprosilo Evropske komisije</w:t>
            </w:r>
          </w:p>
          <w:p w:rsidRPr="002534CE" w:rsidR="006D3831" w:rsidP="00BB7F23" w:rsidRDefault="006D3831" w14:paraId="436F73D9" w14:textId="3367DEE7">
            <w:pPr>
              <w:tabs>
                <w:tab w:val="center" w:pos="284"/>
              </w:tabs>
              <w:suppressAutoHyphens/>
              <w:ind w:left="266" w:hanging="266"/>
            </w:pPr>
            <w:r w:rsidRPr="002534CE">
              <w:t>EESC-2025-02123-00-00-AC</w:t>
            </w:r>
          </w:p>
        </w:tc>
      </w:tr>
    </w:tbl>
    <w:p w:rsidRPr="002534CE" w:rsidR="006D3831" w:rsidP="006D3831" w:rsidRDefault="006D3831" w14:paraId="3F347B30" w14:textId="77777777">
      <w:pPr>
        <w:tabs>
          <w:tab w:val="center" w:pos="284"/>
        </w:tabs>
        <w:suppressAutoHyphens/>
        <w:spacing w:line="240" w:lineRule="auto"/>
        <w:ind w:left="266" w:hanging="266"/>
      </w:pPr>
    </w:p>
    <w:p w:rsidRPr="002534CE" w:rsidR="006D3831" w:rsidP="006D3831" w:rsidRDefault="006D3831" w14:paraId="5B66C91C" w14:textId="77777777">
      <w:pPr>
        <w:tabs>
          <w:tab w:val="center" w:pos="284"/>
        </w:tabs>
        <w:suppressAutoHyphens/>
        <w:ind w:left="266" w:hanging="266"/>
        <w:rPr>
          <w:b/>
        </w:rPr>
      </w:pPr>
      <w:r w:rsidRPr="002534CE">
        <w:rPr>
          <w:b/>
        </w:rPr>
        <w:t>Glavne točke</w:t>
      </w:r>
    </w:p>
    <w:p w:rsidRPr="002534CE" w:rsidR="006D3831" w:rsidP="006D3831" w:rsidRDefault="006D3831" w14:paraId="113E2DDD" w14:textId="77777777">
      <w:pPr>
        <w:spacing w:line="240" w:lineRule="auto"/>
      </w:pPr>
    </w:p>
    <w:p w:rsidRPr="002534CE" w:rsidR="006D3831" w:rsidP="006D3831" w:rsidRDefault="006D3831" w14:paraId="19721FF9" w14:textId="77777777">
      <w:pPr>
        <w:suppressAutoHyphens/>
        <w:rPr>
          <w:bCs/>
          <w:iCs/>
        </w:rPr>
      </w:pPr>
      <w:r w:rsidRPr="002534CE">
        <w:t>EESO</w:t>
      </w:r>
    </w:p>
    <w:p w:rsidRPr="002534CE" w:rsidR="006D3831" w:rsidP="00632498" w:rsidRDefault="006D3831" w14:paraId="4A415F22" w14:textId="77777777">
      <w:pPr>
        <w:numPr>
          <w:ilvl w:val="0"/>
          <w:numId w:val="10"/>
        </w:numPr>
        <w:suppressAutoHyphens/>
        <w:overflowPunct w:val="0"/>
        <w:autoSpaceDE w:val="0"/>
        <w:autoSpaceDN w:val="0"/>
        <w:adjustRightInd w:val="0"/>
        <w:ind w:left="426" w:hanging="426"/>
        <w:textAlignment w:val="baseline"/>
      </w:pPr>
      <w:r w:rsidRPr="002534CE">
        <w:t xml:space="preserve">poudarja pomen civilne družbe za demokratične družbe ter pomen </w:t>
      </w:r>
      <w:r w:rsidRPr="002534CE">
        <w:rPr>
          <w:b/>
        </w:rPr>
        <w:t>njene vloge v civilnem dialogu</w:t>
      </w:r>
      <w:r w:rsidRPr="002534CE">
        <w:t xml:space="preserve"> in državljanski udeležbi na evropski ravni;</w:t>
      </w:r>
    </w:p>
    <w:p w:rsidRPr="002534CE" w:rsidR="006D3831" w:rsidP="00632498" w:rsidRDefault="006D3831" w14:paraId="48EB86B9" w14:textId="77777777">
      <w:pPr>
        <w:numPr>
          <w:ilvl w:val="0"/>
          <w:numId w:val="10"/>
        </w:numPr>
        <w:suppressAutoHyphens/>
        <w:overflowPunct w:val="0"/>
        <w:autoSpaceDE w:val="0"/>
        <w:autoSpaceDN w:val="0"/>
        <w:adjustRightInd w:val="0"/>
        <w:ind w:left="426" w:hanging="426"/>
        <w:textAlignment w:val="baseline"/>
      </w:pPr>
      <w:r w:rsidRPr="002534CE">
        <w:t xml:space="preserve">poudarja, da bi morali strategijo in platformo za civilni dialog spremljati boljše medinstitucionalno sodelovanje in </w:t>
      </w:r>
      <w:r w:rsidRPr="002534CE">
        <w:rPr>
          <w:b/>
        </w:rPr>
        <w:t>dialog v zvezi s priporočili EESO</w:t>
      </w:r>
      <w:r w:rsidRPr="002534CE">
        <w:t>;</w:t>
      </w:r>
    </w:p>
    <w:p w:rsidRPr="002534CE" w:rsidR="006D3831" w:rsidP="00632498" w:rsidRDefault="006D3831" w14:paraId="0E9C4C37" w14:textId="77777777">
      <w:pPr>
        <w:numPr>
          <w:ilvl w:val="0"/>
          <w:numId w:val="10"/>
        </w:numPr>
        <w:suppressAutoHyphens/>
        <w:overflowPunct w:val="0"/>
        <w:autoSpaceDE w:val="0"/>
        <w:autoSpaceDN w:val="0"/>
        <w:adjustRightInd w:val="0"/>
        <w:ind w:left="426" w:hanging="426"/>
        <w:textAlignment w:val="baseline"/>
      </w:pPr>
      <w:r w:rsidRPr="002534CE">
        <w:t>poziva k sprejetju medinstitucionalnega sporazuma o civilnem dialogu, ki bi ga organiziral EESO in bi omogočal dosledno izvajanje civilnega dialoga v institucijah EU;</w:t>
      </w:r>
    </w:p>
    <w:p w:rsidRPr="002534CE" w:rsidR="006D3831" w:rsidP="00632498" w:rsidRDefault="006D3831" w14:paraId="1D2487C4" w14:textId="77777777">
      <w:pPr>
        <w:numPr>
          <w:ilvl w:val="0"/>
          <w:numId w:val="10"/>
        </w:numPr>
        <w:suppressAutoHyphens/>
        <w:overflowPunct w:val="0"/>
        <w:autoSpaceDE w:val="0"/>
        <w:autoSpaceDN w:val="0"/>
        <w:adjustRightInd w:val="0"/>
        <w:ind w:left="426" w:hanging="426"/>
        <w:textAlignment w:val="baseline"/>
      </w:pPr>
      <w:r w:rsidRPr="002534CE">
        <w:t xml:space="preserve">predlaga, da bi v partnerstvu z Evropsko komisijo začeli </w:t>
      </w:r>
      <w:r w:rsidRPr="002534CE">
        <w:rPr>
          <w:b/>
        </w:rPr>
        <w:t>pilotni projekt platforme civilne družbe</w:t>
      </w:r>
      <w:r w:rsidRPr="002534CE">
        <w:t xml:space="preserve"> že v zgodnji fazi političnega postopka in da bi se najprej osredotočili na demokracijo, temeljne pravice in pravno državo. Platforma bi:</w:t>
      </w:r>
    </w:p>
    <w:p w:rsidRPr="002534CE" w:rsidR="006D3831" w:rsidP="00632498" w:rsidRDefault="006D3831" w14:paraId="1D791D02" w14:textId="77777777">
      <w:pPr>
        <w:numPr>
          <w:ilvl w:val="0"/>
          <w:numId w:val="10"/>
        </w:numPr>
        <w:suppressAutoHyphens/>
        <w:overflowPunct w:val="0"/>
        <w:autoSpaceDE w:val="0"/>
        <w:autoSpaceDN w:val="0"/>
        <w:adjustRightInd w:val="0"/>
        <w:ind w:left="851" w:hanging="425"/>
        <w:textAlignment w:val="baseline"/>
      </w:pPr>
      <w:r w:rsidRPr="002534CE">
        <w:t>usmerjala dialoge o demokraciji, temeljnih pravicah in pravni državi ter nato prispevala h ključnim političnim procesom, na primer k letnemu delovnemu programu Komisije;</w:t>
      </w:r>
    </w:p>
    <w:p w:rsidRPr="002534CE" w:rsidR="006D3831" w:rsidP="00632498" w:rsidRDefault="006D3831" w14:paraId="4A5A8F0C" w14:textId="77777777">
      <w:pPr>
        <w:numPr>
          <w:ilvl w:val="0"/>
          <w:numId w:val="10"/>
        </w:numPr>
        <w:suppressAutoHyphens/>
        <w:overflowPunct w:val="0"/>
        <w:autoSpaceDE w:val="0"/>
        <w:autoSpaceDN w:val="0"/>
        <w:adjustRightInd w:val="0"/>
        <w:ind w:left="851" w:hanging="425"/>
        <w:textAlignment w:val="baseline"/>
      </w:pPr>
      <w:r w:rsidRPr="002534CE">
        <w:t>organizirala letno konferenco o civilnem dialogu, na kateri bi vsi deležniki predstavili in izpopolnili osnutke priporočil;</w:t>
      </w:r>
    </w:p>
    <w:p w:rsidRPr="002534CE" w:rsidR="006D3831" w:rsidP="00632498" w:rsidRDefault="006D3831" w14:paraId="0F2E977A" w14:textId="77777777">
      <w:pPr>
        <w:numPr>
          <w:ilvl w:val="0"/>
          <w:numId w:val="10"/>
        </w:numPr>
        <w:suppressAutoHyphens/>
        <w:overflowPunct w:val="0"/>
        <w:autoSpaceDE w:val="0"/>
        <w:autoSpaceDN w:val="0"/>
        <w:adjustRightInd w:val="0"/>
        <w:ind w:left="851" w:hanging="425"/>
        <w:textAlignment w:val="baseline"/>
      </w:pPr>
      <w:r w:rsidRPr="002534CE">
        <w:t>spremljala civilni dialog z letnimi pregledi stanja, ki bi prispevali k dvoletnim poročilom o civilnem dialogu;</w:t>
      </w:r>
    </w:p>
    <w:p w:rsidRPr="002534CE" w:rsidR="006D3831" w:rsidP="00632498" w:rsidRDefault="006D3831" w14:paraId="0975EE2D" w14:textId="77777777">
      <w:pPr>
        <w:numPr>
          <w:ilvl w:val="0"/>
          <w:numId w:val="10"/>
        </w:numPr>
        <w:suppressAutoHyphens/>
        <w:overflowPunct w:val="0"/>
        <w:autoSpaceDE w:val="0"/>
        <w:autoSpaceDN w:val="0"/>
        <w:adjustRightInd w:val="0"/>
        <w:ind w:left="426" w:hanging="426"/>
        <w:textAlignment w:val="baseline"/>
      </w:pPr>
      <w:r w:rsidRPr="002534CE">
        <w:t>poziva k</w:t>
      </w:r>
      <w:r w:rsidRPr="002534CE">
        <w:rPr>
          <w:b/>
        </w:rPr>
        <w:t xml:space="preserve"> ustreznim določbam za krepitev evropskega civilnega dialoga</w:t>
      </w:r>
      <w:r w:rsidRPr="002534CE">
        <w:t xml:space="preserve"> na vseh ravneh in zlasti k zagotovitvi finančnih sredstev za vzpostavitev platforme civilne družbe. S predlaganim pilotnim projektom bi lahko Komisija predlagano pobudo za široko posvetovanje preskusila z le malo dodatnimi sredstvi, saj večina orodij že deluje.</w:t>
      </w:r>
    </w:p>
    <w:p w:rsidRPr="002534CE" w:rsidR="006D3831" w:rsidP="006D3831" w:rsidRDefault="006D3831" w14:paraId="0C3EF96F" w14:textId="77777777">
      <w:pPr>
        <w:spacing w:line="240" w:lineRule="auto"/>
      </w:pPr>
    </w:p>
    <w:tbl>
      <w:tblPr>
        <w:tblStyle w:val="TableGrid"/>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229"/>
      </w:tblGrid>
      <w:tr w:rsidRPr="002534CE" w:rsidR="006D3831" w:rsidTr="00BB7F23" w14:paraId="367B3A5F" w14:textId="77777777">
        <w:tc>
          <w:tcPr>
            <w:tcW w:w="2235" w:type="dxa"/>
          </w:tcPr>
          <w:p w:rsidRPr="002534CE" w:rsidR="006D3831" w:rsidP="00BB7F23" w:rsidRDefault="006D3831" w14:paraId="66F3DCEE" w14:textId="77777777">
            <w:pPr>
              <w:suppressAutoHyphens/>
              <w:rPr>
                <w:i/>
              </w:rPr>
            </w:pPr>
            <w:r w:rsidRPr="002534CE">
              <w:rPr>
                <w:b/>
                <w:i/>
              </w:rPr>
              <w:t>Kontaktna oseba</w:t>
            </w:r>
          </w:p>
        </w:tc>
        <w:tc>
          <w:tcPr>
            <w:tcW w:w="7229" w:type="dxa"/>
          </w:tcPr>
          <w:p w:rsidRPr="002534CE" w:rsidR="006D3831" w:rsidP="00BB7F23" w:rsidRDefault="006D3831" w14:paraId="346F8CD9" w14:textId="60785A0C">
            <w:pPr>
              <w:suppressAutoHyphens/>
              <w:rPr>
                <w:i/>
              </w:rPr>
            </w:pPr>
            <w:proofErr w:type="spellStart"/>
            <w:r w:rsidRPr="002534CE">
              <w:rPr>
                <w:i/>
              </w:rPr>
              <w:t>June</w:t>
            </w:r>
            <w:proofErr w:type="spellEnd"/>
            <w:r w:rsidRPr="002534CE">
              <w:rPr>
                <w:i/>
              </w:rPr>
              <w:t xml:space="preserve"> </w:t>
            </w:r>
            <w:r w:rsidRPr="002534CE" w:rsidR="00641BDF">
              <w:rPr>
                <w:i/>
              </w:rPr>
              <w:t>BEDATON</w:t>
            </w:r>
          </w:p>
        </w:tc>
      </w:tr>
      <w:tr w:rsidRPr="002534CE" w:rsidR="006D3831" w:rsidTr="00BB7F23" w14:paraId="0AFE8027" w14:textId="77777777">
        <w:tc>
          <w:tcPr>
            <w:tcW w:w="2235" w:type="dxa"/>
          </w:tcPr>
          <w:p w:rsidRPr="002534CE" w:rsidR="006D3831" w:rsidP="00BB7F23" w:rsidRDefault="006D3831" w14:paraId="307B2AAD" w14:textId="77777777">
            <w:pPr>
              <w:suppressAutoHyphens/>
              <w:rPr>
                <w:i/>
              </w:rPr>
            </w:pPr>
            <w:r w:rsidRPr="002534CE">
              <w:rPr>
                <w:i/>
              </w:rPr>
              <w:t>Telefon</w:t>
            </w:r>
          </w:p>
        </w:tc>
        <w:tc>
          <w:tcPr>
            <w:tcW w:w="7229" w:type="dxa"/>
          </w:tcPr>
          <w:p w:rsidRPr="002534CE" w:rsidR="006D3831" w:rsidP="00BB7F23" w:rsidRDefault="006D3831" w14:paraId="0020F25D" w14:textId="77777777">
            <w:pPr>
              <w:suppressAutoHyphens/>
              <w:rPr>
                <w:i/>
              </w:rPr>
            </w:pPr>
            <w:r w:rsidRPr="002534CE">
              <w:rPr>
                <w:i/>
              </w:rPr>
              <w:t>+32 25468134</w:t>
            </w:r>
          </w:p>
        </w:tc>
      </w:tr>
      <w:tr w:rsidRPr="002534CE" w:rsidR="006D3831" w:rsidTr="00BB7F23" w14:paraId="3EB80D95" w14:textId="77777777">
        <w:tc>
          <w:tcPr>
            <w:tcW w:w="2235" w:type="dxa"/>
          </w:tcPr>
          <w:p w:rsidRPr="002534CE" w:rsidR="006D3831" w:rsidP="00BB7F23" w:rsidRDefault="006D3831" w14:paraId="60870BA5" w14:textId="77777777">
            <w:pPr>
              <w:suppressAutoHyphens/>
              <w:rPr>
                <w:i/>
              </w:rPr>
            </w:pPr>
            <w:r w:rsidRPr="002534CE">
              <w:rPr>
                <w:i/>
              </w:rPr>
              <w:t>E-naslov:</w:t>
            </w:r>
          </w:p>
        </w:tc>
        <w:tc>
          <w:tcPr>
            <w:tcW w:w="7229" w:type="dxa"/>
          </w:tcPr>
          <w:p w:rsidRPr="002534CE" w:rsidR="006D3831" w:rsidP="00BB7F23" w:rsidRDefault="00662932" w14:paraId="37D698FE" w14:textId="77777777">
            <w:pPr>
              <w:suppressAutoHyphens/>
              <w:rPr>
                <w:i/>
                <w:iCs/>
              </w:rPr>
            </w:pPr>
            <w:hyperlink w:history="1" r:id="rId34">
              <w:r w:rsidRPr="002534CE" w:rsidR="006D3831">
                <w:rPr>
                  <w:rStyle w:val="Hyperlink"/>
                  <w:i/>
                </w:rPr>
                <w:t>June.Bedaton@eesc.europa.eu</w:t>
              </w:r>
            </w:hyperlink>
          </w:p>
        </w:tc>
      </w:tr>
    </w:tbl>
    <w:p w:rsidR="00511220" w:rsidP="00D94D34" w:rsidRDefault="00511220" w14:paraId="4982DDC4" w14:textId="33F4AA23">
      <w:pPr>
        <w:jc w:val="left"/>
      </w:pPr>
      <w:r>
        <w:br w:type="page"/>
      </w:r>
    </w:p>
    <w:p w:rsidRPr="00816C30" w:rsidR="00A5560D" w:rsidP="00632498" w:rsidRDefault="00662932" w14:paraId="553D458F" w14:textId="77777777">
      <w:pPr>
        <w:numPr>
          <w:ilvl w:val="0"/>
          <w:numId w:val="27"/>
        </w:numPr>
        <w:overflowPunct w:val="0"/>
        <w:autoSpaceDE w:val="0"/>
        <w:autoSpaceDN w:val="0"/>
        <w:adjustRightInd w:val="0"/>
        <w:spacing w:line="240" w:lineRule="auto"/>
        <w:textAlignment w:val="baseline"/>
        <w:rPr>
          <w:sz w:val="28"/>
          <w:szCs w:val="28"/>
        </w:rPr>
      </w:pPr>
      <w:hyperlink w:history="1" r:id="rId35">
        <w:r w:rsidRPr="00816C30" w:rsidR="00A5560D">
          <w:rPr>
            <w:rStyle w:val="Hyperlink"/>
            <w:b/>
            <w:i/>
            <w:sz w:val="28"/>
            <w:szCs w:val="28"/>
          </w:rPr>
          <w:t>Unija spretnosti</w:t>
        </w:r>
      </w:hyperlink>
    </w:p>
    <w:p w:rsidRPr="00A5560D" w:rsidR="00A5560D" w:rsidP="00A5560D" w:rsidRDefault="00A5560D" w14:paraId="2AA25ABD"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A5560D" w:rsidR="00A5560D" w:rsidTr="00A5560D" w14:paraId="0C8B4BA9" w14:textId="77777777">
        <w:tc>
          <w:tcPr>
            <w:tcW w:w="1250" w:type="pct"/>
          </w:tcPr>
          <w:p w:rsidRPr="00A5560D" w:rsidR="00A5560D" w:rsidP="00A5560D" w:rsidRDefault="00A5560D" w14:paraId="317FCBB2" w14:textId="77777777">
            <w:pPr>
              <w:rPr>
                <w:b/>
              </w:rPr>
            </w:pPr>
            <w:r w:rsidRPr="00A5560D">
              <w:rPr>
                <w:b/>
              </w:rPr>
              <w:t>Poročevalke</w:t>
            </w:r>
          </w:p>
        </w:tc>
        <w:tc>
          <w:tcPr>
            <w:tcW w:w="3750" w:type="pct"/>
          </w:tcPr>
          <w:p w:rsidRPr="00A5560D" w:rsidR="00A5560D" w:rsidP="00A5560D" w:rsidRDefault="00A5560D" w14:paraId="0EB626A3" w14:textId="77777777">
            <w:r w:rsidRPr="00A5560D">
              <w:t>Tatjana BABRAUSKIENĖ (skupina delojemalcev – LT)</w:t>
            </w:r>
          </w:p>
          <w:p w:rsidRPr="00A5560D" w:rsidR="00A5560D" w:rsidP="00A5560D" w:rsidRDefault="00A5560D" w14:paraId="7CF4ECD0" w14:textId="77777777">
            <w:r w:rsidRPr="00A5560D">
              <w:t>Mariya MINCHEVA (skupina delodajalcev – BG)</w:t>
            </w:r>
          </w:p>
          <w:p w:rsidRPr="00A5560D" w:rsidR="00A5560D" w:rsidP="00A5560D" w:rsidRDefault="00A5560D" w14:paraId="5B2DF134" w14:textId="77777777">
            <w:r w:rsidRPr="00A5560D">
              <w:t>Justyna Kalina OCHĘDZAN (skupina organizacij civilne družbe – PL)</w:t>
            </w:r>
          </w:p>
        </w:tc>
      </w:tr>
      <w:tr w:rsidRPr="00A5560D" w:rsidR="00A5560D" w:rsidTr="00BB7F23" w14:paraId="3F85C5DE" w14:textId="77777777">
        <w:tc>
          <w:tcPr>
            <w:tcW w:w="5000" w:type="pct"/>
            <w:gridSpan w:val="2"/>
          </w:tcPr>
          <w:p w:rsidRPr="00A5560D" w:rsidR="00A5560D" w:rsidP="00A5560D" w:rsidRDefault="00A5560D" w14:paraId="56E237DC" w14:textId="77777777">
            <w:pPr>
              <w:spacing w:line="240" w:lineRule="auto"/>
              <w:rPr>
                <w:sz w:val="16"/>
                <w:szCs w:val="16"/>
              </w:rPr>
            </w:pPr>
          </w:p>
        </w:tc>
      </w:tr>
      <w:tr w:rsidRPr="00A5560D" w:rsidR="00A5560D" w:rsidTr="00A5560D" w14:paraId="550EC0C1" w14:textId="77777777">
        <w:trPr>
          <w:trHeight w:val="506"/>
        </w:trPr>
        <w:tc>
          <w:tcPr>
            <w:tcW w:w="1250" w:type="pct"/>
          </w:tcPr>
          <w:p w:rsidRPr="00A5560D" w:rsidR="00A5560D" w:rsidP="00A5560D" w:rsidRDefault="00A5560D" w14:paraId="0A04B26A" w14:textId="77777777">
            <w:pPr>
              <w:rPr>
                <w:b/>
              </w:rPr>
            </w:pPr>
            <w:r w:rsidRPr="00A5560D">
              <w:rPr>
                <w:b/>
              </w:rPr>
              <w:t>Referenčni dokument</w:t>
            </w:r>
          </w:p>
        </w:tc>
        <w:tc>
          <w:tcPr>
            <w:tcW w:w="3750" w:type="pct"/>
          </w:tcPr>
          <w:p w:rsidRPr="00A5560D" w:rsidR="00A5560D" w:rsidP="00A5560D" w:rsidRDefault="00A5560D" w14:paraId="4274CA20" w14:textId="33C6DB5A">
            <w:pPr>
              <w:tabs>
                <w:tab w:val="center" w:pos="284"/>
              </w:tabs>
              <w:overflowPunct w:val="0"/>
              <w:autoSpaceDE w:val="0"/>
              <w:autoSpaceDN w:val="0"/>
              <w:adjustRightInd w:val="0"/>
              <w:ind w:left="567" w:hanging="567"/>
              <w:rPr>
                <w:lang w:val="pt-PT"/>
              </w:rPr>
            </w:pPr>
            <w:proofErr w:type="gramStart"/>
            <w:r w:rsidRPr="00A5560D">
              <w:rPr>
                <w:lang w:val="pt-PT"/>
              </w:rPr>
              <w:t>COM(</w:t>
            </w:r>
            <w:proofErr w:type="gramEnd"/>
            <w:r w:rsidRPr="00A5560D">
              <w:rPr>
                <w:lang w:val="pt-PT"/>
              </w:rPr>
              <w:t>2025) 88 final</w:t>
            </w:r>
          </w:p>
          <w:p w:rsidRPr="00A5560D" w:rsidR="00A5560D" w:rsidP="00A5560D" w:rsidRDefault="00A5560D" w14:paraId="157B0452" w14:textId="77777777">
            <w:pPr>
              <w:tabs>
                <w:tab w:val="center" w:pos="284"/>
              </w:tabs>
              <w:overflowPunct w:val="0"/>
              <w:autoSpaceDE w:val="0"/>
              <w:autoSpaceDN w:val="0"/>
              <w:adjustRightInd w:val="0"/>
              <w:ind w:left="567" w:hanging="567"/>
              <w:rPr>
                <w:lang w:val="pt-PT"/>
              </w:rPr>
            </w:pPr>
            <w:proofErr w:type="gramStart"/>
            <w:r w:rsidRPr="00A5560D">
              <w:rPr>
                <w:lang w:val="pt-PT"/>
              </w:rPr>
              <w:t>COM(</w:t>
            </w:r>
            <w:proofErr w:type="gramEnd"/>
            <w:r w:rsidRPr="00A5560D">
              <w:rPr>
                <w:lang w:val="pt-PT"/>
              </w:rPr>
              <w:t>2025) 89 final</w:t>
            </w:r>
          </w:p>
          <w:p w:rsidRPr="00A5560D" w:rsidR="00A5560D" w:rsidP="00A5560D" w:rsidRDefault="00A5560D" w14:paraId="4A548A0A" w14:textId="2B6184F9">
            <w:proofErr w:type="gramStart"/>
            <w:r w:rsidRPr="00A5560D">
              <w:rPr>
                <w:lang w:val="pt-PT"/>
              </w:rPr>
              <w:t>COM(</w:t>
            </w:r>
            <w:proofErr w:type="gramEnd"/>
            <w:r w:rsidRPr="00A5560D">
              <w:rPr>
                <w:lang w:val="pt-PT"/>
              </w:rPr>
              <w:t>2025) 90 final</w:t>
            </w:r>
          </w:p>
          <w:p w:rsidRPr="00A5560D" w:rsidR="00A5560D" w:rsidP="00A5560D" w:rsidRDefault="00A5560D" w14:paraId="713D3B09" w14:textId="71F11F8E">
            <w:r w:rsidRPr="00A5560D">
              <w:t>EESC-2025-01308-00-00-AC</w:t>
            </w:r>
          </w:p>
        </w:tc>
      </w:tr>
    </w:tbl>
    <w:p w:rsidRPr="00A5560D" w:rsidR="00A5560D" w:rsidP="00A5560D" w:rsidRDefault="00A5560D" w14:paraId="7CF80179" w14:textId="77777777"/>
    <w:p w:rsidRPr="00A5560D" w:rsidR="00A5560D" w:rsidP="00A5560D" w:rsidRDefault="00A5560D" w14:paraId="515D7DA9" w14:textId="77777777">
      <w:r w:rsidRPr="00A5560D">
        <w:rPr>
          <w:b/>
        </w:rPr>
        <w:t>Glavne točke</w:t>
      </w:r>
    </w:p>
    <w:p w:rsidRPr="00A5560D" w:rsidR="00A5560D" w:rsidP="00A5560D" w:rsidRDefault="00A5560D" w14:paraId="0AAA9C3B" w14:textId="77777777"/>
    <w:p w:rsidRPr="00A5560D" w:rsidR="00A5560D" w:rsidP="00A5560D" w:rsidRDefault="00A5560D" w14:paraId="4E38431F" w14:textId="442DD251">
      <w:pPr>
        <w:rPr>
          <w:bCs/>
          <w:iCs/>
        </w:rPr>
      </w:pPr>
      <w:r w:rsidRPr="00A5560D">
        <w:rPr>
          <w:bCs/>
          <w:iCs/>
        </w:rPr>
        <w:t>EESO</w:t>
      </w:r>
    </w:p>
    <w:p w:rsidRPr="00A5560D" w:rsidR="00A5560D" w:rsidP="00632498" w:rsidRDefault="00A5560D" w14:paraId="7C2E1AFD" w14:textId="77777777">
      <w:pPr>
        <w:widowControl w:val="0"/>
        <w:numPr>
          <w:ilvl w:val="0"/>
          <w:numId w:val="11"/>
        </w:numPr>
        <w:overflowPunct w:val="0"/>
        <w:autoSpaceDE w:val="0"/>
        <w:autoSpaceDN w:val="0"/>
        <w:adjustRightInd w:val="0"/>
        <w:spacing w:line="276" w:lineRule="auto"/>
        <w:ind w:left="425" w:hanging="425"/>
        <w:textAlignment w:val="baseline"/>
      </w:pPr>
      <w:r w:rsidRPr="00A5560D">
        <w:t>poudarja, da imata visokokakovostno in vključujoče izobraževanje ter usposobljena delovna sila strateški pomen za konkurenčnost, socialno kohezijo in trajnostni razvoj Evrope. Za reševanje sedanjih izzivov, kot so trdovratne vrzeli v spretnostih ter neskladje med ponudbo spretnosti in povpraševanjem po njih, pomanjkanje delovne sile ter privabljanje učiteljev in mentorjev, so potrebne drzne sistemske reforme in naložbe v vključujoče in visokokakovostne sisteme izobraževanja in usposabljanja;</w:t>
      </w:r>
    </w:p>
    <w:p w:rsidRPr="00A5560D" w:rsidR="00A5560D" w:rsidP="00632498" w:rsidRDefault="00A5560D" w14:paraId="0FCE6735" w14:textId="77777777">
      <w:pPr>
        <w:widowControl w:val="0"/>
        <w:numPr>
          <w:ilvl w:val="0"/>
          <w:numId w:val="11"/>
        </w:numPr>
        <w:overflowPunct w:val="0"/>
        <w:autoSpaceDE w:val="0"/>
        <w:autoSpaceDN w:val="0"/>
        <w:adjustRightInd w:val="0"/>
        <w:spacing w:line="276" w:lineRule="auto"/>
        <w:ind w:left="425" w:hanging="425"/>
        <w:textAlignment w:val="baseline"/>
      </w:pPr>
      <w:r w:rsidRPr="00A5560D">
        <w:t>opozarja, da je uspeh unije spretnosti odvisen od učinkovitega in sodelovalnega upravljanja, ustreznega financiranja in vključujoče zastopanosti socialnih partnerjev, nacionalnih organov in drugih deležnikov, vključno z organizacijami civilne družbe, učitelji in učenci;</w:t>
      </w:r>
    </w:p>
    <w:p w:rsidRPr="00A5560D" w:rsidR="00A5560D" w:rsidP="00632498" w:rsidRDefault="00A5560D" w14:paraId="7C5A0323" w14:textId="77777777">
      <w:pPr>
        <w:widowControl w:val="0"/>
        <w:numPr>
          <w:ilvl w:val="0"/>
          <w:numId w:val="11"/>
        </w:numPr>
        <w:overflowPunct w:val="0"/>
        <w:autoSpaceDE w:val="0"/>
        <w:autoSpaceDN w:val="0"/>
        <w:adjustRightInd w:val="0"/>
        <w:spacing w:line="276" w:lineRule="auto"/>
        <w:ind w:left="425" w:hanging="425"/>
        <w:textAlignment w:val="baseline"/>
        <w:rPr>
          <w:spacing w:val="-4"/>
        </w:rPr>
      </w:pPr>
      <w:r w:rsidRPr="00A5560D">
        <w:rPr>
          <w:spacing w:val="-4"/>
        </w:rPr>
        <w:t>meni, da vrzeli na socialnem področju ter glede produktivnosti in inovativnosti v Evropi zahtevajo večjo ambicioznost pri razvoju vrhunskih talentov na področju naravoslovja, tehnologije, inženirstva in matematike (STEM) ter umetne inteligence (UI). Pomembno je spodbujati vključevalnost in odpravljati spolne stereotipe pri dostopu do poklicev, izobraževanja in usposabljanja;</w:t>
      </w:r>
    </w:p>
    <w:p w:rsidRPr="00A5560D" w:rsidR="00A5560D" w:rsidP="00632498" w:rsidRDefault="00A5560D" w14:paraId="24376056" w14:textId="77777777">
      <w:pPr>
        <w:widowControl w:val="0"/>
        <w:numPr>
          <w:ilvl w:val="0"/>
          <w:numId w:val="11"/>
        </w:numPr>
        <w:overflowPunct w:val="0"/>
        <w:autoSpaceDE w:val="0"/>
        <w:autoSpaceDN w:val="0"/>
        <w:adjustRightInd w:val="0"/>
        <w:spacing w:line="276" w:lineRule="auto"/>
        <w:ind w:left="425" w:hanging="425"/>
        <w:textAlignment w:val="baseline"/>
      </w:pPr>
      <w:r w:rsidRPr="00A5560D">
        <w:t>poziva Komisijo in države članice, naj povečajo javne naložbe in izboljšajo uporabo sredstev EU za okrepitev izobraževalnih sistemov na vseh ravneh;</w:t>
      </w:r>
    </w:p>
    <w:p w:rsidRPr="00A5560D" w:rsidR="00A5560D" w:rsidP="00632498" w:rsidRDefault="00A5560D" w14:paraId="7B777837" w14:textId="77777777">
      <w:pPr>
        <w:widowControl w:val="0"/>
        <w:numPr>
          <w:ilvl w:val="0"/>
          <w:numId w:val="11"/>
        </w:numPr>
        <w:overflowPunct w:val="0"/>
        <w:autoSpaceDE w:val="0"/>
        <w:autoSpaceDN w:val="0"/>
        <w:adjustRightInd w:val="0"/>
        <w:spacing w:line="276" w:lineRule="auto"/>
        <w:ind w:left="425" w:hanging="425"/>
        <w:textAlignment w:val="baseline"/>
      </w:pPr>
      <w:r w:rsidRPr="00A5560D">
        <w:t xml:space="preserve">poziva k izboljšanju kakovosti, </w:t>
      </w:r>
      <w:proofErr w:type="spellStart"/>
      <w:r w:rsidRPr="00A5560D">
        <w:t>vključevalnosti</w:t>
      </w:r>
      <w:proofErr w:type="spellEnd"/>
      <w:r w:rsidRPr="00A5560D">
        <w:t>, privlačnosti, učinkovitosti in dostopnosti poklicnega izobraževanja in usposabljanja (začetnega in nadaljnjega) ter izobraževanja odraslih; se zavzema za boljše zagotavljanje temeljnih spretnosti in ključnih kompetenc za vse ter za bolj vključujoč dostop do kakovostnega in učinkovitega izpopolnjevanja in preusposabljanja;</w:t>
      </w:r>
    </w:p>
    <w:p w:rsidRPr="00A5560D" w:rsidR="00A5560D" w:rsidP="00632498" w:rsidRDefault="00A5560D" w14:paraId="314BBFEE" w14:textId="77777777">
      <w:pPr>
        <w:widowControl w:val="0"/>
        <w:numPr>
          <w:ilvl w:val="0"/>
          <w:numId w:val="11"/>
        </w:numPr>
        <w:overflowPunct w:val="0"/>
        <w:autoSpaceDE w:val="0"/>
        <w:autoSpaceDN w:val="0"/>
        <w:adjustRightInd w:val="0"/>
        <w:spacing w:line="276" w:lineRule="auto"/>
        <w:ind w:left="425" w:hanging="425"/>
        <w:textAlignment w:val="baseline"/>
      </w:pPr>
      <w:r w:rsidRPr="00A5560D">
        <w:t>je prepričan, da mora Evropa postati privlačnejša za svetovne talente;</w:t>
      </w:r>
    </w:p>
    <w:p w:rsidRPr="00A5560D" w:rsidR="00A5560D" w:rsidP="00632498" w:rsidRDefault="00A5560D" w14:paraId="420EE14E" w14:textId="77777777">
      <w:pPr>
        <w:widowControl w:val="0"/>
        <w:numPr>
          <w:ilvl w:val="0"/>
          <w:numId w:val="11"/>
        </w:numPr>
        <w:overflowPunct w:val="0"/>
        <w:autoSpaceDE w:val="0"/>
        <w:autoSpaceDN w:val="0"/>
        <w:adjustRightInd w:val="0"/>
        <w:spacing w:line="276" w:lineRule="auto"/>
        <w:ind w:left="425" w:hanging="425"/>
        <w:textAlignment w:val="baseline"/>
      </w:pPr>
      <w:r w:rsidRPr="00A5560D">
        <w:t>se zavzema za prilagojeno podporo za MSP ter za ženske in prikrajšane osebe;</w:t>
      </w:r>
    </w:p>
    <w:p w:rsidRPr="00A5560D" w:rsidR="00A5560D" w:rsidP="00632498" w:rsidRDefault="00A5560D" w14:paraId="4FE650FD" w14:textId="77777777">
      <w:pPr>
        <w:widowControl w:val="0"/>
        <w:numPr>
          <w:ilvl w:val="0"/>
          <w:numId w:val="11"/>
        </w:numPr>
        <w:overflowPunct w:val="0"/>
        <w:autoSpaceDE w:val="0"/>
        <w:autoSpaceDN w:val="0"/>
        <w:adjustRightInd w:val="0"/>
        <w:spacing w:line="276" w:lineRule="auto"/>
        <w:ind w:left="425" w:hanging="425"/>
        <w:textAlignment w:val="baseline"/>
      </w:pPr>
      <w:r w:rsidRPr="00A5560D">
        <w:t>poziva Komisijo, naj predlaga ločene agende EU za učitelje in mentorje ter državam članicam priporoči učinkovite ukrepe za povečanje privlačnosti teh poklicev;</w:t>
      </w:r>
    </w:p>
    <w:p w:rsidRPr="00A5560D" w:rsidR="00A5560D" w:rsidP="00632498" w:rsidRDefault="00A5560D" w14:paraId="51BDEA14" w14:textId="77777777">
      <w:pPr>
        <w:widowControl w:val="0"/>
        <w:numPr>
          <w:ilvl w:val="0"/>
          <w:numId w:val="11"/>
        </w:numPr>
        <w:overflowPunct w:val="0"/>
        <w:autoSpaceDE w:val="0"/>
        <w:autoSpaceDN w:val="0"/>
        <w:adjustRightInd w:val="0"/>
        <w:spacing w:line="276" w:lineRule="auto"/>
        <w:ind w:left="425" w:hanging="425"/>
        <w:textAlignment w:val="baseline"/>
      </w:pPr>
      <w:r w:rsidRPr="00A5560D">
        <w:t>spodbuja k obravnavanju razdrobljenosti upravljanja politik na področju izobraževanja in usposabljanja ter predlaga poenostavitev upravljanja evropskega izobraževalnega prostora z ustanovitvijo svetovalnega odbora na visoki ravni za izobraževanje;</w:t>
      </w:r>
    </w:p>
    <w:p w:rsidRPr="00A5560D" w:rsidR="00A5560D" w:rsidP="00632498" w:rsidRDefault="00A5560D" w14:paraId="7DC9D7E1" w14:textId="77777777">
      <w:pPr>
        <w:widowControl w:val="0"/>
        <w:numPr>
          <w:ilvl w:val="0"/>
          <w:numId w:val="11"/>
        </w:numPr>
        <w:overflowPunct w:val="0"/>
        <w:autoSpaceDE w:val="0"/>
        <w:autoSpaceDN w:val="0"/>
        <w:adjustRightInd w:val="0"/>
        <w:spacing w:line="276" w:lineRule="auto"/>
        <w:ind w:left="425" w:hanging="425"/>
        <w:textAlignment w:val="baseline"/>
      </w:pPr>
      <w:r w:rsidRPr="00A5560D">
        <w:t>priporoča, da se priporočila o izobraževanju in spretnostih v celoti vključijo v proces evropskega semestra.</w:t>
      </w:r>
    </w:p>
    <w:p w:rsidRPr="00A5560D" w:rsidR="00A5560D" w:rsidP="00A5560D" w:rsidRDefault="00A5560D" w14:paraId="436BD20B"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A5560D" w:rsidR="00A5560D" w:rsidTr="00BB7F23" w14:paraId="536A49C4" w14:textId="77777777">
        <w:tc>
          <w:tcPr>
            <w:tcW w:w="974" w:type="pct"/>
          </w:tcPr>
          <w:p w:rsidRPr="00A5560D" w:rsidR="00A5560D" w:rsidP="00A5560D" w:rsidRDefault="00A5560D" w14:paraId="1A65BADA" w14:textId="77777777">
            <w:r w:rsidRPr="00A5560D">
              <w:rPr>
                <w:b/>
                <w:i/>
              </w:rPr>
              <w:t>Kontaktna oseba</w:t>
            </w:r>
          </w:p>
        </w:tc>
        <w:tc>
          <w:tcPr>
            <w:tcW w:w="4026" w:type="pct"/>
          </w:tcPr>
          <w:p w:rsidRPr="00A5560D" w:rsidR="00A5560D" w:rsidP="00A5560D" w:rsidRDefault="00A5560D" w14:paraId="4BBE0247" w14:textId="5AE18F5D">
            <w:pPr>
              <w:rPr>
                <w:i/>
              </w:rPr>
            </w:pPr>
            <w:r w:rsidRPr="00A5560D">
              <w:rPr>
                <w:i/>
              </w:rPr>
              <w:t xml:space="preserve">Ana </w:t>
            </w:r>
            <w:r w:rsidRPr="00A5560D" w:rsidR="00641BDF">
              <w:rPr>
                <w:i/>
              </w:rPr>
              <w:t>DUMITRACHE</w:t>
            </w:r>
          </w:p>
        </w:tc>
      </w:tr>
      <w:tr w:rsidRPr="00A5560D" w:rsidR="00A5560D" w:rsidTr="00BB7F23" w14:paraId="0360B2D6" w14:textId="77777777">
        <w:tc>
          <w:tcPr>
            <w:tcW w:w="974" w:type="pct"/>
          </w:tcPr>
          <w:p w:rsidRPr="00A5560D" w:rsidR="00A5560D" w:rsidP="00A5560D" w:rsidRDefault="00A5560D" w14:paraId="2F9CB43A" w14:textId="77777777">
            <w:r w:rsidRPr="00A5560D">
              <w:rPr>
                <w:i/>
              </w:rPr>
              <w:t>Telefon</w:t>
            </w:r>
          </w:p>
        </w:tc>
        <w:tc>
          <w:tcPr>
            <w:tcW w:w="4026" w:type="pct"/>
          </w:tcPr>
          <w:p w:rsidRPr="00A5560D" w:rsidR="00A5560D" w:rsidP="00A5560D" w:rsidRDefault="00A5560D" w14:paraId="29BAEE9C" w14:textId="77777777">
            <w:r w:rsidRPr="00A5560D">
              <w:rPr>
                <w:i/>
              </w:rPr>
              <w:t>+32 2 546 8131</w:t>
            </w:r>
          </w:p>
        </w:tc>
      </w:tr>
      <w:tr w:rsidRPr="00A5560D" w:rsidR="00A5560D" w:rsidTr="00BB7F23" w14:paraId="772DBC71" w14:textId="77777777">
        <w:tc>
          <w:tcPr>
            <w:tcW w:w="974" w:type="pct"/>
          </w:tcPr>
          <w:p w:rsidRPr="00A5560D" w:rsidR="00A5560D" w:rsidP="00A5560D" w:rsidRDefault="00A5560D" w14:paraId="2FB97F41" w14:textId="77777777">
            <w:r w:rsidRPr="00A5560D">
              <w:rPr>
                <w:i/>
              </w:rPr>
              <w:t>E-naslov</w:t>
            </w:r>
          </w:p>
        </w:tc>
        <w:tc>
          <w:tcPr>
            <w:tcW w:w="4026" w:type="pct"/>
          </w:tcPr>
          <w:p w:rsidRPr="00A5560D" w:rsidR="00A5560D" w:rsidP="00A5560D" w:rsidRDefault="00662932" w14:paraId="7A53AD56" w14:textId="77777777">
            <w:pPr>
              <w:rPr>
                <w:i/>
              </w:rPr>
            </w:pPr>
            <w:hyperlink w:history="1" r:id="rId36">
              <w:r w:rsidRPr="00A5560D" w:rsidR="00A5560D">
                <w:rPr>
                  <w:rStyle w:val="Hyperlink"/>
                  <w:i/>
                </w:rPr>
                <w:t>Ana.Dumitrache@eesc.europa.eu</w:t>
              </w:r>
            </w:hyperlink>
          </w:p>
        </w:tc>
      </w:tr>
    </w:tbl>
    <w:p w:rsidR="00A5560D" w:rsidRDefault="00A5560D" w14:paraId="18B2E995" w14:textId="797BCE30">
      <w:pPr>
        <w:spacing w:after="160" w:line="259" w:lineRule="auto"/>
        <w:jc w:val="left"/>
      </w:pPr>
      <w:r>
        <w:br w:type="page"/>
      </w:r>
    </w:p>
    <w:p w:rsidR="004D7AC0" w:rsidP="00D94D34" w:rsidRDefault="00DC1181" w14:paraId="4982DDC6" w14:textId="2133660B">
      <w:pPr>
        <w:pStyle w:val="Heading1"/>
        <w:rPr>
          <w:b/>
        </w:rPr>
      </w:pPr>
      <w:r w:rsidRPr="00DC1181">
        <w:rPr>
          <w:b/>
        </w:rPr>
        <w:lastRenderedPageBreak/>
        <w:t>PROMET, ENERGIJA, INFRASTRUKTURA IN INFORMACIJSKA DRUŽBA</w:t>
      </w:r>
      <w:r w:rsidRPr="00DC1181">
        <w:rPr>
          <w:b/>
          <w:webHidden/>
        </w:rPr>
        <w:tab/>
      </w:r>
      <w:r w:rsidRPr="00DC1181">
        <w:rPr>
          <w:b/>
          <w:webHidden/>
        </w:rPr>
        <w:fldChar w:fldCharType="begin"/>
      </w:r>
      <w:r w:rsidRPr="00DC1181">
        <w:rPr>
          <w:b/>
          <w:webHidden/>
        </w:rPr>
        <w:instrText xml:space="preserve"> PAGEREF _Toc204326341 \h </w:instrText>
      </w:r>
      <w:r w:rsidRPr="00DC1181">
        <w:rPr>
          <w:b/>
          <w:webHidden/>
        </w:rPr>
      </w:r>
      <w:r w:rsidRPr="00DC1181">
        <w:rPr>
          <w:b/>
          <w:webHidden/>
        </w:rPr>
        <w:fldChar w:fldCharType="separate"/>
      </w:r>
      <w:r w:rsidRPr="00DC1181">
        <w:rPr>
          <w:b/>
          <w:webHidden/>
        </w:rPr>
        <w:t>16</w:t>
      </w:r>
      <w:r w:rsidRPr="00DC1181">
        <w:rPr>
          <w:b/>
          <w:webHidden/>
        </w:rPr>
        <w:fldChar w:fldCharType="end"/>
      </w:r>
    </w:p>
    <w:p w:rsidR="004D7AC0" w:rsidP="00D94D34" w:rsidRDefault="004D7AC0" w14:paraId="4982DDC7" w14:textId="77777777"/>
    <w:p w:rsidRPr="00816C30" w:rsidR="00B6056A" w:rsidP="00641BDF" w:rsidRDefault="00662932" w14:paraId="6EF0F495" w14:textId="77777777">
      <w:pPr>
        <w:numPr>
          <w:ilvl w:val="0"/>
          <w:numId w:val="27"/>
        </w:numPr>
        <w:overflowPunct w:val="0"/>
        <w:autoSpaceDE w:val="0"/>
        <w:autoSpaceDN w:val="0"/>
        <w:adjustRightInd w:val="0"/>
        <w:ind w:left="927"/>
        <w:textAlignment w:val="baseline"/>
        <w:rPr>
          <w:sz w:val="28"/>
          <w:szCs w:val="28"/>
        </w:rPr>
      </w:pPr>
      <w:hyperlink w:history="1" r:id="rId37">
        <w:r w:rsidRPr="00816C30" w:rsidR="00B6056A">
          <w:rPr>
            <w:rStyle w:val="Hyperlink"/>
            <w:b/>
            <w:i/>
            <w:sz w:val="28"/>
            <w:szCs w:val="28"/>
          </w:rPr>
          <w:t>Vloga storitev splošnega pomena za konkurenčnost, socialno kohezijo in demokracijo v Evropski uniji</w:t>
        </w:r>
      </w:hyperlink>
    </w:p>
    <w:p w:rsidRPr="009741EB" w:rsidR="00B6056A" w:rsidP="00B6056A" w:rsidRDefault="00B6056A" w14:paraId="2CE3F8EF"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9741EB" w:rsidR="00B6056A" w:rsidTr="00B6056A" w14:paraId="035B68C7" w14:textId="77777777">
        <w:tc>
          <w:tcPr>
            <w:tcW w:w="1250" w:type="pct"/>
          </w:tcPr>
          <w:p w:rsidRPr="009741EB" w:rsidR="00B6056A" w:rsidP="00BB7F23" w:rsidRDefault="00B6056A" w14:paraId="40D1A597" w14:textId="77777777">
            <w:pPr>
              <w:rPr>
                <w:b/>
              </w:rPr>
            </w:pPr>
            <w:r w:rsidRPr="009741EB">
              <w:rPr>
                <w:b/>
              </w:rPr>
              <w:t>Poročevalec</w:t>
            </w:r>
          </w:p>
        </w:tc>
        <w:tc>
          <w:tcPr>
            <w:tcW w:w="3750" w:type="pct"/>
          </w:tcPr>
          <w:p w:rsidRPr="009741EB" w:rsidR="00B6056A" w:rsidP="00BB7F23" w:rsidRDefault="00B6056A" w14:paraId="45CA779C" w14:textId="77777777">
            <w:r w:rsidRPr="00570D04">
              <w:t>Thomas KATTNIG (skupina delojemalcev – AT)</w:t>
            </w:r>
          </w:p>
        </w:tc>
      </w:tr>
      <w:tr w:rsidRPr="009741EB" w:rsidR="00B6056A" w:rsidTr="00BB7F23" w14:paraId="7F603650" w14:textId="77777777">
        <w:tc>
          <w:tcPr>
            <w:tcW w:w="5000" w:type="pct"/>
            <w:gridSpan w:val="2"/>
          </w:tcPr>
          <w:p w:rsidRPr="009741EB" w:rsidR="00B6056A" w:rsidP="00BB7F23" w:rsidRDefault="00B6056A" w14:paraId="64CF4A3F" w14:textId="77777777">
            <w:pPr>
              <w:rPr>
                <w:sz w:val="16"/>
              </w:rPr>
            </w:pPr>
          </w:p>
        </w:tc>
      </w:tr>
      <w:tr w:rsidRPr="009741EB" w:rsidR="00B6056A" w:rsidTr="00C01D52" w14:paraId="317B44EE" w14:textId="77777777">
        <w:trPr>
          <w:trHeight w:val="607"/>
        </w:trPr>
        <w:tc>
          <w:tcPr>
            <w:tcW w:w="1250" w:type="pct"/>
          </w:tcPr>
          <w:p w:rsidRPr="009741EB" w:rsidR="00B6056A" w:rsidP="00BB7F23" w:rsidRDefault="00B6056A" w14:paraId="29109CB1" w14:textId="77777777">
            <w:pPr>
              <w:rPr>
                <w:b/>
              </w:rPr>
            </w:pPr>
            <w:r w:rsidRPr="009741EB">
              <w:rPr>
                <w:b/>
              </w:rPr>
              <w:t>Referenčni dokument</w:t>
            </w:r>
          </w:p>
        </w:tc>
        <w:tc>
          <w:tcPr>
            <w:tcW w:w="3750" w:type="pct"/>
          </w:tcPr>
          <w:p w:rsidRPr="009741EB" w:rsidR="00B6056A" w:rsidP="00BB7F23" w:rsidRDefault="00B6056A" w14:paraId="45103737" w14:textId="77777777">
            <w:r w:rsidRPr="00570D04">
              <w:t>mnenje na lastno pobudo</w:t>
            </w:r>
          </w:p>
          <w:p w:rsidRPr="009741EB" w:rsidR="00B6056A" w:rsidP="00BB7F23" w:rsidRDefault="00B6056A" w14:paraId="7D57EF10" w14:textId="1A231E70">
            <w:r w:rsidRPr="00570D04">
              <w:t>EESC-2025-00784-00-00-AC</w:t>
            </w:r>
          </w:p>
        </w:tc>
      </w:tr>
    </w:tbl>
    <w:p w:rsidRPr="009741EB" w:rsidR="00B6056A" w:rsidP="00B6056A" w:rsidRDefault="00B6056A" w14:paraId="40DCDB0A" w14:textId="77777777"/>
    <w:p w:rsidRPr="009741EB" w:rsidR="00B6056A" w:rsidP="00B6056A" w:rsidRDefault="00B6056A" w14:paraId="73CBEA91" w14:textId="77777777">
      <w:r w:rsidRPr="009741EB">
        <w:rPr>
          <w:b/>
        </w:rPr>
        <w:t>Glavne točke</w:t>
      </w:r>
    </w:p>
    <w:p w:rsidRPr="009741EB" w:rsidR="00B6056A" w:rsidP="00B6056A" w:rsidRDefault="00B6056A" w14:paraId="70F2B801" w14:textId="77777777"/>
    <w:p w:rsidRPr="00CD1B7F" w:rsidR="00B6056A" w:rsidP="00B6056A" w:rsidRDefault="00B6056A" w14:paraId="0AE0D376" w14:textId="016712FB">
      <w:pPr>
        <w:rPr>
          <w:bCs/>
          <w:iCs/>
        </w:rPr>
      </w:pPr>
      <w:r w:rsidRPr="009741EB">
        <w:rPr>
          <w:bCs/>
          <w:iCs/>
        </w:rPr>
        <w:t>EESO</w:t>
      </w:r>
    </w:p>
    <w:p w:rsidRPr="00570D04" w:rsidR="00B6056A" w:rsidP="00632498" w:rsidRDefault="00B6056A" w14:paraId="6E1D0A77" w14:textId="77777777">
      <w:pPr>
        <w:widowControl w:val="0"/>
        <w:numPr>
          <w:ilvl w:val="0"/>
          <w:numId w:val="12"/>
        </w:numPr>
        <w:overflowPunct w:val="0"/>
        <w:autoSpaceDE w:val="0"/>
        <w:autoSpaceDN w:val="0"/>
        <w:adjustRightInd w:val="0"/>
        <w:ind w:left="426" w:hanging="426"/>
        <w:textAlignment w:val="baseline"/>
      </w:pPr>
      <w:r w:rsidRPr="00570D04">
        <w:t xml:space="preserve">poziva, naj se glede storitev splošnega pomena uporabi celosten in ne sektorski pristop, ki se trenutno uporablja za politike EU, ter naj se prizna osrednja vloga sodobnih storitev splošnega pomena pri spodbujanju trajnostne blaginje in konkurenčnosti. V tem smislu poziva Komisijo, naj na podlagi </w:t>
      </w:r>
      <w:proofErr w:type="spellStart"/>
      <w:r w:rsidRPr="00570D04">
        <w:t>Lettovega</w:t>
      </w:r>
      <w:proofErr w:type="spellEnd"/>
      <w:r w:rsidRPr="00570D04">
        <w:t xml:space="preserve"> poročila sprejme konkretne ukrepe v obliki akcijskega načrta za storitve splošnega pomena;</w:t>
      </w:r>
    </w:p>
    <w:p w:rsidRPr="00570D04" w:rsidR="00B6056A" w:rsidP="00632498" w:rsidRDefault="00B6056A" w14:paraId="6B2764B3" w14:textId="77777777">
      <w:pPr>
        <w:widowControl w:val="0"/>
        <w:numPr>
          <w:ilvl w:val="0"/>
          <w:numId w:val="12"/>
        </w:numPr>
        <w:overflowPunct w:val="0"/>
        <w:autoSpaceDE w:val="0"/>
        <w:autoSpaceDN w:val="0"/>
        <w:adjustRightInd w:val="0"/>
        <w:ind w:left="426" w:hanging="426"/>
        <w:textAlignment w:val="baseline"/>
      </w:pPr>
      <w:r w:rsidRPr="00570D04">
        <w:t>poziva države članice, naj poskrbijo za univerzalen in enak dostop do cenovno ugodnih in visokokakovostnih osnovnih storitev. To je pogoj za socialno pravičnost, saj stroški izvajanja storitev splošnega pomena niso odvisni od kupne moči uporabnikov;</w:t>
      </w:r>
    </w:p>
    <w:p w:rsidRPr="00570D04" w:rsidR="00B6056A" w:rsidP="00632498" w:rsidRDefault="00B6056A" w14:paraId="614F0F67" w14:textId="77777777">
      <w:pPr>
        <w:widowControl w:val="0"/>
        <w:numPr>
          <w:ilvl w:val="0"/>
          <w:numId w:val="12"/>
        </w:numPr>
        <w:overflowPunct w:val="0"/>
        <w:autoSpaceDE w:val="0"/>
        <w:autoSpaceDN w:val="0"/>
        <w:adjustRightInd w:val="0"/>
        <w:ind w:left="426" w:hanging="426"/>
        <w:textAlignment w:val="baseline"/>
      </w:pPr>
      <w:r w:rsidRPr="00570D04">
        <w:t>ugotavlja, da imajo državljani in podjetja nižje življenjske stroške in stroške poslovanja, če države vodijo politiko naložb v infrastrukturo in ustrezno financirajo stroške storitev za izvajanje kakovostnih javnih storitev. Zato meni, da je treba storitve splošnega pomena ustrezno financirati in jih izboljšati ter z njimi bolje izpolnjevati potrebe državljanov, da bi povečali zadovoljstvo in zaupanje v demokracijo;</w:t>
      </w:r>
    </w:p>
    <w:p w:rsidR="00B6056A" w:rsidP="00632498" w:rsidRDefault="00B6056A" w14:paraId="310EBD4F" w14:textId="77777777">
      <w:pPr>
        <w:widowControl w:val="0"/>
        <w:numPr>
          <w:ilvl w:val="0"/>
          <w:numId w:val="12"/>
        </w:numPr>
        <w:overflowPunct w:val="0"/>
        <w:autoSpaceDE w:val="0"/>
        <w:autoSpaceDN w:val="0"/>
        <w:adjustRightInd w:val="0"/>
        <w:ind w:left="426" w:hanging="426"/>
        <w:textAlignment w:val="baseline"/>
      </w:pPr>
      <w:r w:rsidRPr="00570D04">
        <w:t>poudarja, da je treba pri naložbah v javne storitve poskrbeti za regionalno uravnoteženost. Zato moramo pri izvajanju fiskalnih pravil posebno pozornost nameniti javnim naložbam, zlasti v povezavi s Kohezijskim skladom, da se upošteva njihov prispevek k dolgoročni konvergenci in odpornosti.</w:t>
      </w:r>
    </w:p>
    <w:p w:rsidR="00B6056A" w:rsidP="00B6056A" w:rsidRDefault="00B6056A" w14:paraId="1D813FD7"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00B6056A" w:rsidTr="00BB7F23" w14:paraId="512655C0" w14:textId="77777777">
        <w:tc>
          <w:tcPr>
            <w:tcW w:w="974" w:type="pct"/>
          </w:tcPr>
          <w:p w:rsidR="00B6056A" w:rsidP="00BB7F23" w:rsidRDefault="00B6056A" w14:paraId="027AE12B" w14:textId="77777777">
            <w:r w:rsidRPr="009741EB">
              <w:rPr>
                <w:b/>
                <w:i/>
              </w:rPr>
              <w:t>Kontaktna oseba</w:t>
            </w:r>
          </w:p>
        </w:tc>
        <w:tc>
          <w:tcPr>
            <w:tcW w:w="4026" w:type="pct"/>
          </w:tcPr>
          <w:p w:rsidRPr="00A26D29" w:rsidR="00B6056A" w:rsidP="00BB7F23" w:rsidRDefault="00B6056A" w14:paraId="3F1CDBBA" w14:textId="00EBB611">
            <w:pPr>
              <w:rPr>
                <w:i/>
              </w:rPr>
            </w:pPr>
            <w:r w:rsidRPr="00570D04">
              <w:rPr>
                <w:i/>
              </w:rPr>
              <w:t xml:space="preserve">Aleksandra </w:t>
            </w:r>
            <w:r w:rsidRPr="00570D04" w:rsidR="00641BDF">
              <w:rPr>
                <w:i/>
              </w:rPr>
              <w:t>ŠARMAN GRILC</w:t>
            </w:r>
          </w:p>
        </w:tc>
      </w:tr>
      <w:tr w:rsidR="00B6056A" w:rsidTr="00BB7F23" w14:paraId="788A6E2C" w14:textId="77777777">
        <w:tc>
          <w:tcPr>
            <w:tcW w:w="974" w:type="pct"/>
          </w:tcPr>
          <w:p w:rsidR="00B6056A" w:rsidP="00BB7F23" w:rsidRDefault="00B6056A" w14:paraId="46B475CD" w14:textId="77777777">
            <w:r w:rsidRPr="009741EB">
              <w:rPr>
                <w:i/>
              </w:rPr>
              <w:t>Tel</w:t>
            </w:r>
            <w:r>
              <w:rPr>
                <w:i/>
              </w:rPr>
              <w:t>efon</w:t>
            </w:r>
          </w:p>
        </w:tc>
        <w:tc>
          <w:tcPr>
            <w:tcW w:w="4026" w:type="pct"/>
          </w:tcPr>
          <w:p w:rsidR="00B6056A" w:rsidP="00BB7F23" w:rsidRDefault="00B6056A" w14:paraId="14180527" w14:textId="77777777">
            <w:r>
              <w:rPr>
                <w:i/>
              </w:rPr>
              <w:t>+</w:t>
            </w:r>
            <w:r w:rsidRPr="009741EB">
              <w:rPr>
                <w:i/>
              </w:rPr>
              <w:t>32 2 </w:t>
            </w:r>
            <w:r w:rsidRPr="00570D04">
              <w:rPr>
                <w:i/>
              </w:rPr>
              <w:t>546</w:t>
            </w:r>
            <w:r>
              <w:rPr>
                <w:i/>
              </w:rPr>
              <w:t> </w:t>
            </w:r>
            <w:r w:rsidRPr="00570D04">
              <w:rPr>
                <w:i/>
              </w:rPr>
              <w:t>8333</w:t>
            </w:r>
          </w:p>
        </w:tc>
      </w:tr>
      <w:tr w:rsidR="00B6056A" w:rsidTr="00BB7F23" w14:paraId="65024258" w14:textId="77777777">
        <w:tc>
          <w:tcPr>
            <w:tcW w:w="974" w:type="pct"/>
          </w:tcPr>
          <w:p w:rsidR="00B6056A" w:rsidP="00BB7F23" w:rsidRDefault="00B6056A" w14:paraId="71B19959" w14:textId="77777777">
            <w:r w:rsidRPr="009741EB">
              <w:rPr>
                <w:i/>
              </w:rPr>
              <w:t>E-naslov</w:t>
            </w:r>
          </w:p>
        </w:tc>
        <w:tc>
          <w:tcPr>
            <w:tcW w:w="4026" w:type="pct"/>
          </w:tcPr>
          <w:p w:rsidRPr="00A26D29" w:rsidR="00B6056A" w:rsidP="00BB7F23" w:rsidRDefault="00662932" w14:paraId="4554E5D7" w14:textId="77777777">
            <w:pPr>
              <w:rPr>
                <w:i/>
              </w:rPr>
            </w:pPr>
            <w:hyperlink w:history="1" r:id="rId38">
              <w:r w:rsidRPr="003B4869" w:rsidR="00B6056A">
                <w:rPr>
                  <w:rStyle w:val="Hyperlink"/>
                  <w:i/>
                </w:rPr>
                <w:t>Aleksandra.Sarmangrilc@eesc.europa.eu</w:t>
              </w:r>
            </w:hyperlink>
          </w:p>
        </w:tc>
      </w:tr>
    </w:tbl>
    <w:p w:rsidR="0097187B" w:rsidP="00D94D34" w:rsidRDefault="0097187B" w14:paraId="1EC0C09D" w14:textId="77777777">
      <w:pPr>
        <w:jc w:val="left"/>
      </w:pPr>
      <w:r>
        <w:br w:type="page"/>
      </w:r>
    </w:p>
    <w:p w:rsidR="004D7AC0" w:rsidP="00D94D34" w:rsidRDefault="004D7AC0" w14:paraId="4982DDF3" w14:textId="77777777">
      <w:pPr>
        <w:pStyle w:val="Heading1"/>
        <w:rPr>
          <w:b/>
        </w:rPr>
      </w:pPr>
      <w:bookmarkStart w:name="_Toc75527083" w:id="3"/>
      <w:bookmarkStart w:name="_Toc204326342" w:id="4"/>
      <w:r>
        <w:rPr>
          <w:b/>
        </w:rPr>
        <w:lastRenderedPageBreak/>
        <w:t>ENOTNI TRG, PROIZVODNJA IN POTROŠNJA</w:t>
      </w:r>
      <w:bookmarkEnd w:id="3"/>
      <w:bookmarkEnd w:id="4"/>
    </w:p>
    <w:p w:rsidR="0096346D" w:rsidP="00D94D34" w:rsidRDefault="0096346D" w14:paraId="51A7EC74" w14:textId="77777777">
      <w:pPr>
        <w:jc w:val="left"/>
      </w:pPr>
    </w:p>
    <w:p w:rsidRPr="00816C30" w:rsidR="00B6056A" w:rsidP="00641BDF" w:rsidRDefault="00662932" w14:paraId="4C0B0E8B" w14:textId="347B4401">
      <w:pPr>
        <w:numPr>
          <w:ilvl w:val="0"/>
          <w:numId w:val="27"/>
        </w:numPr>
        <w:suppressAutoHyphens/>
        <w:overflowPunct w:val="0"/>
        <w:autoSpaceDE w:val="0"/>
        <w:autoSpaceDN w:val="0"/>
        <w:adjustRightInd w:val="0"/>
        <w:ind w:left="927"/>
        <w:textAlignment w:val="baseline"/>
        <w:rPr>
          <w:b/>
          <w:sz w:val="28"/>
          <w:szCs w:val="28"/>
        </w:rPr>
      </w:pPr>
      <w:hyperlink w:tgtFrame="_blank" w:history="1" r:id="rId39">
        <w:r w:rsidRPr="00816C30" w:rsidR="00B6056A">
          <w:rPr>
            <w:rStyle w:val="Hyperlink"/>
            <w:b/>
            <w:i/>
            <w:sz w:val="28"/>
            <w:szCs w:val="28"/>
          </w:rPr>
          <w:t>Akt o evropskem raziskovalnem prostoru za krepitev pete svoboščine</w:t>
        </w:r>
      </w:hyperlink>
    </w:p>
    <w:p w:rsidRPr="00592B29" w:rsidR="00B6056A" w:rsidP="00B6056A" w:rsidRDefault="00B6056A" w14:paraId="5F39D37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6572"/>
      </w:tblGrid>
      <w:tr w:rsidRPr="00592B29" w:rsidR="00B6056A" w:rsidTr="00B6056A" w14:paraId="48CA8A3D" w14:textId="77777777">
        <w:tc>
          <w:tcPr>
            <w:tcW w:w="2501" w:type="dxa"/>
          </w:tcPr>
          <w:p w:rsidRPr="00592B29" w:rsidR="00B6056A" w:rsidP="00BB7F23" w:rsidRDefault="00B6056A" w14:paraId="48728ECA" w14:textId="77777777">
            <w:pPr>
              <w:tabs>
                <w:tab w:val="center" w:pos="284"/>
              </w:tabs>
              <w:suppressAutoHyphens/>
              <w:ind w:left="266" w:hanging="266"/>
              <w:rPr>
                <w:b/>
              </w:rPr>
            </w:pPr>
            <w:r w:rsidRPr="00592B29">
              <w:rPr>
                <w:b/>
              </w:rPr>
              <w:t>Poročevalec</w:t>
            </w:r>
          </w:p>
        </w:tc>
        <w:tc>
          <w:tcPr>
            <w:tcW w:w="6572" w:type="dxa"/>
          </w:tcPr>
          <w:p w:rsidRPr="00592B29" w:rsidR="00B6056A" w:rsidP="00BB7F23" w:rsidRDefault="00B6056A" w14:paraId="6DDCC04F" w14:textId="77777777">
            <w:pPr>
              <w:tabs>
                <w:tab w:val="center" w:pos="284"/>
              </w:tabs>
              <w:suppressAutoHyphens/>
              <w:ind w:left="266" w:hanging="266"/>
            </w:pPr>
            <w:r w:rsidRPr="00592B29">
              <w:t>Paul RÜBIG (skupina delodajalcev – AT)</w:t>
            </w:r>
          </w:p>
        </w:tc>
      </w:tr>
      <w:tr w:rsidRPr="00592B29" w:rsidR="00B6056A" w:rsidTr="00B6056A" w14:paraId="6B9787A0" w14:textId="77777777">
        <w:tc>
          <w:tcPr>
            <w:tcW w:w="2501" w:type="dxa"/>
          </w:tcPr>
          <w:p w:rsidRPr="00592B29" w:rsidR="00B6056A" w:rsidP="00BB7F23" w:rsidRDefault="00B6056A" w14:paraId="1D262399" w14:textId="77777777">
            <w:pPr>
              <w:tabs>
                <w:tab w:val="center" w:pos="284"/>
              </w:tabs>
              <w:suppressAutoHyphens/>
              <w:ind w:left="266" w:hanging="266"/>
              <w:rPr>
                <w:b/>
              </w:rPr>
            </w:pPr>
            <w:r w:rsidRPr="00592B29">
              <w:rPr>
                <w:b/>
              </w:rPr>
              <w:t>Soporočevalec</w:t>
            </w:r>
          </w:p>
        </w:tc>
        <w:tc>
          <w:tcPr>
            <w:tcW w:w="6572" w:type="dxa"/>
          </w:tcPr>
          <w:p w:rsidRPr="00592B29" w:rsidR="00B6056A" w:rsidP="00BB7F23" w:rsidRDefault="00B6056A" w14:paraId="5B306B76" w14:textId="77777777">
            <w:pPr>
              <w:tabs>
                <w:tab w:val="center" w:pos="284"/>
              </w:tabs>
              <w:suppressAutoHyphens/>
              <w:ind w:left="266" w:hanging="266"/>
            </w:pPr>
            <w:r w:rsidRPr="00592B29">
              <w:t>Stefano PALMIERI (skupina delojemalcev – IT)</w:t>
            </w:r>
          </w:p>
        </w:tc>
      </w:tr>
      <w:tr w:rsidRPr="00592B29" w:rsidR="00B6056A" w:rsidTr="00B6056A" w14:paraId="017CD06A" w14:textId="77777777">
        <w:tc>
          <w:tcPr>
            <w:tcW w:w="9073" w:type="dxa"/>
            <w:gridSpan w:val="2"/>
          </w:tcPr>
          <w:p w:rsidRPr="00592B29" w:rsidR="00B6056A" w:rsidP="00BB7F23" w:rsidRDefault="00B6056A" w14:paraId="2F3AE556" w14:textId="77777777">
            <w:pPr>
              <w:tabs>
                <w:tab w:val="center" w:pos="284"/>
              </w:tabs>
              <w:suppressAutoHyphens/>
              <w:spacing w:line="240" w:lineRule="auto"/>
              <w:ind w:left="266" w:hanging="266"/>
              <w:rPr>
                <w:sz w:val="16"/>
                <w:szCs w:val="16"/>
              </w:rPr>
            </w:pPr>
          </w:p>
        </w:tc>
      </w:tr>
      <w:tr w:rsidRPr="00592B29" w:rsidR="00B6056A" w:rsidTr="00B6056A" w14:paraId="14E14538" w14:textId="77777777">
        <w:trPr>
          <w:trHeight w:val="607"/>
        </w:trPr>
        <w:tc>
          <w:tcPr>
            <w:tcW w:w="2501" w:type="dxa"/>
          </w:tcPr>
          <w:p w:rsidRPr="00592B29" w:rsidR="00B6056A" w:rsidP="00BB7F23" w:rsidRDefault="00B6056A" w14:paraId="2C542084" w14:textId="77777777">
            <w:pPr>
              <w:tabs>
                <w:tab w:val="center" w:pos="284"/>
              </w:tabs>
              <w:suppressAutoHyphens/>
              <w:ind w:left="266" w:hanging="266"/>
              <w:rPr>
                <w:b/>
              </w:rPr>
            </w:pPr>
            <w:r w:rsidRPr="00592B29">
              <w:rPr>
                <w:b/>
              </w:rPr>
              <w:t>Referenčni dokument</w:t>
            </w:r>
          </w:p>
        </w:tc>
        <w:tc>
          <w:tcPr>
            <w:tcW w:w="6572" w:type="dxa"/>
          </w:tcPr>
          <w:p w:rsidRPr="00592B29" w:rsidR="00B6056A" w:rsidP="00BB7F23" w:rsidRDefault="00B6056A" w14:paraId="18E5946F" w14:textId="77777777">
            <w:pPr>
              <w:tabs>
                <w:tab w:val="center" w:pos="284"/>
              </w:tabs>
              <w:suppressAutoHyphens/>
              <w:ind w:left="266" w:hanging="266"/>
            </w:pPr>
            <w:r w:rsidRPr="00592B29">
              <w:t>mnenje na lastno pobudo</w:t>
            </w:r>
          </w:p>
          <w:p w:rsidRPr="00592B29" w:rsidR="00B6056A" w:rsidP="00BB7F23" w:rsidRDefault="00B6056A" w14:paraId="32702FA9" w14:textId="50890B17">
            <w:pPr>
              <w:tabs>
                <w:tab w:val="center" w:pos="284"/>
              </w:tabs>
              <w:suppressAutoHyphens/>
              <w:ind w:left="266" w:hanging="266"/>
            </w:pPr>
            <w:r w:rsidRPr="00592B29">
              <w:t>EESC-2025-00527-00-00-AC</w:t>
            </w:r>
          </w:p>
        </w:tc>
      </w:tr>
    </w:tbl>
    <w:p w:rsidRPr="00592B29" w:rsidR="00B6056A" w:rsidP="00B6056A" w:rsidRDefault="00B6056A" w14:paraId="4B59D5C2" w14:textId="77777777">
      <w:pPr>
        <w:tabs>
          <w:tab w:val="center" w:pos="284"/>
        </w:tabs>
        <w:suppressAutoHyphens/>
        <w:ind w:left="266" w:hanging="266"/>
      </w:pPr>
    </w:p>
    <w:p w:rsidRPr="00592B29" w:rsidR="00B6056A" w:rsidP="00B6056A" w:rsidRDefault="00B6056A" w14:paraId="506A4DC4" w14:textId="77777777">
      <w:pPr>
        <w:tabs>
          <w:tab w:val="center" w:pos="284"/>
        </w:tabs>
        <w:suppressAutoHyphens/>
        <w:ind w:left="266" w:hanging="266"/>
        <w:rPr>
          <w:b/>
        </w:rPr>
      </w:pPr>
      <w:r w:rsidRPr="00592B29">
        <w:rPr>
          <w:b/>
        </w:rPr>
        <w:t>Glavne točke</w:t>
      </w:r>
    </w:p>
    <w:p w:rsidRPr="00592B29" w:rsidR="00B6056A" w:rsidP="00B6056A" w:rsidRDefault="00B6056A" w14:paraId="19362D53" w14:textId="77777777"/>
    <w:p w:rsidRPr="00592B29" w:rsidR="00B6056A" w:rsidP="00B6056A" w:rsidRDefault="00B6056A" w14:paraId="0E34E767" w14:textId="6A4FC9D6">
      <w:pPr>
        <w:suppressAutoHyphens/>
        <w:rPr>
          <w:bCs/>
          <w:iCs/>
        </w:rPr>
      </w:pPr>
      <w:r w:rsidRPr="00592B29">
        <w:t>EESO</w:t>
      </w:r>
    </w:p>
    <w:p w:rsidRPr="00592B29" w:rsidR="00B6056A" w:rsidP="00632498" w:rsidRDefault="00B6056A" w14:paraId="1E9E110B" w14:textId="77777777">
      <w:pPr>
        <w:numPr>
          <w:ilvl w:val="0"/>
          <w:numId w:val="13"/>
        </w:numPr>
        <w:suppressAutoHyphens/>
        <w:overflowPunct w:val="0"/>
        <w:autoSpaceDE w:val="0"/>
        <w:autoSpaceDN w:val="0"/>
        <w:adjustRightInd w:val="0"/>
        <w:ind w:left="426" w:hanging="426"/>
        <w:textAlignment w:val="baseline"/>
      </w:pPr>
      <w:r w:rsidRPr="00592B29">
        <w:t xml:space="preserve">pozdravlja prizadevanja Evropske komisije za določitev pete svoboščine – prostega pretoka raziskav, inovacij in znanja. Peta svoboščina mora vključevati mehanizme za boj proti dezinformacijam in </w:t>
      </w:r>
      <w:proofErr w:type="spellStart"/>
      <w:r w:rsidRPr="00592B29">
        <w:t>psevdoznanosti</w:t>
      </w:r>
      <w:proofErr w:type="spellEnd"/>
      <w:r w:rsidRPr="00592B29">
        <w:t>, za krepitev zaupanja v znanstvene ustanove in za spodbujanje „pismenosti na področju znanja“; poudarja, da je treba uvesti uravnotežen pristop k obravnavanju nasprotij, ki so v jedru pete svoboščine, na primer kohezija v nasprotju z odličnostjo ali odprtost v nasprotju z avtonomijo;</w:t>
      </w:r>
    </w:p>
    <w:p w:rsidRPr="00592B29" w:rsidR="00B6056A" w:rsidP="00632498" w:rsidRDefault="00B6056A" w14:paraId="3100966F" w14:textId="77777777">
      <w:pPr>
        <w:numPr>
          <w:ilvl w:val="0"/>
          <w:numId w:val="13"/>
        </w:numPr>
        <w:suppressAutoHyphens/>
        <w:overflowPunct w:val="0"/>
        <w:autoSpaceDE w:val="0"/>
        <w:autoSpaceDN w:val="0"/>
        <w:adjustRightInd w:val="0"/>
        <w:ind w:left="426" w:hanging="426"/>
        <w:textAlignment w:val="baseline"/>
      </w:pPr>
      <w:r w:rsidRPr="00592B29">
        <w:t>Komisijo poziva, naj si prizadeva za ukrepe in strukturne spodbude, zlasti na področjih, kjer nepripravljenost držav članic ovira napredek in poenotenje, kot so davki, pokojnine, spol, delovna mesta, plače ter izzivi, povezani s širitvijo podjetij ter čezmejno mobilnostjo ljudi in sredstev;</w:t>
      </w:r>
    </w:p>
    <w:p w:rsidRPr="00592B29" w:rsidR="00B6056A" w:rsidP="00632498" w:rsidRDefault="00B6056A" w14:paraId="7E97E614" w14:textId="77777777">
      <w:pPr>
        <w:numPr>
          <w:ilvl w:val="0"/>
          <w:numId w:val="13"/>
        </w:numPr>
        <w:suppressAutoHyphens/>
        <w:overflowPunct w:val="0"/>
        <w:autoSpaceDE w:val="0"/>
        <w:autoSpaceDN w:val="0"/>
        <w:adjustRightInd w:val="0"/>
        <w:ind w:left="426" w:hanging="426"/>
        <w:textAlignment w:val="baseline"/>
      </w:pPr>
      <w:r w:rsidRPr="00592B29">
        <w:t>poudarja pomen cilja glede nacionalne porabe v višini 3 % BDP za raziskave in inovacije ter se zavzema za dodaten odstotek za pripravljenost in raziskave na področju dvojne rabe; da bi dosegli preboj, EESO poziva, naj se nacionalne naložbe v raziskave in inovacije ločijo od pravil o primanjkljaju, dokler ne bo dosežen cilj glede 3-odstotne porabe. Poleg tega bi bilo treba vse bolj uporabljati tudi sredstva iz drugih virov (npr. za kohezijo) in jih uskladiti z dejavnostmi na področju raziskav in inovacij;</w:t>
      </w:r>
    </w:p>
    <w:p w:rsidRPr="00592B29" w:rsidR="00B6056A" w:rsidP="00632498" w:rsidRDefault="00B6056A" w14:paraId="24629197" w14:textId="77777777">
      <w:pPr>
        <w:numPr>
          <w:ilvl w:val="0"/>
          <w:numId w:val="13"/>
        </w:numPr>
        <w:suppressAutoHyphens/>
        <w:overflowPunct w:val="0"/>
        <w:autoSpaceDE w:val="0"/>
        <w:autoSpaceDN w:val="0"/>
        <w:adjustRightInd w:val="0"/>
        <w:ind w:left="426" w:hanging="426"/>
        <w:textAlignment w:val="baseline"/>
      </w:pPr>
      <w:r w:rsidRPr="00592B29">
        <w:t>poudarja pomen spretnosti in izobraževanja ter poziva k učinkovitejšemu vseevropskemu priznavanju standardov za kvalifikacije (npr. k evropski diplomi);</w:t>
      </w:r>
    </w:p>
    <w:p w:rsidRPr="00592B29" w:rsidR="00B6056A" w:rsidP="00632498" w:rsidRDefault="00B6056A" w14:paraId="74781F4D" w14:textId="77777777">
      <w:pPr>
        <w:numPr>
          <w:ilvl w:val="0"/>
          <w:numId w:val="13"/>
        </w:numPr>
        <w:suppressAutoHyphens/>
        <w:overflowPunct w:val="0"/>
        <w:autoSpaceDE w:val="0"/>
        <w:autoSpaceDN w:val="0"/>
        <w:adjustRightInd w:val="0"/>
        <w:ind w:left="426" w:hanging="426"/>
        <w:textAlignment w:val="baseline"/>
      </w:pPr>
      <w:r w:rsidRPr="00592B29">
        <w:t>priznava strateško vlogo predvidevanja in poziva, naj bo del upravljanja pete svoboščine.</w:t>
      </w:r>
    </w:p>
    <w:p w:rsidRPr="00592B29" w:rsidR="00B6056A" w:rsidP="00B6056A" w:rsidRDefault="00B6056A" w14:paraId="3F55B7D2" w14:textId="77777777">
      <w:pPr>
        <w:suppressAutoHyphens/>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592B29" w:rsidR="00B6056A" w:rsidTr="00BB7F23" w14:paraId="03D3EF7A" w14:textId="77777777">
        <w:tc>
          <w:tcPr>
            <w:tcW w:w="1951" w:type="dxa"/>
          </w:tcPr>
          <w:p w:rsidRPr="00592B29" w:rsidR="00B6056A" w:rsidP="00BB7F23" w:rsidRDefault="00B6056A" w14:paraId="5679CE07" w14:textId="77777777">
            <w:pPr>
              <w:suppressAutoHyphens/>
              <w:rPr>
                <w:i/>
              </w:rPr>
            </w:pPr>
            <w:r w:rsidRPr="00592B29">
              <w:rPr>
                <w:b/>
                <w:i/>
              </w:rPr>
              <w:t>Kontaktna oseba</w:t>
            </w:r>
          </w:p>
        </w:tc>
        <w:tc>
          <w:tcPr>
            <w:tcW w:w="5137" w:type="dxa"/>
          </w:tcPr>
          <w:p w:rsidRPr="00592B29" w:rsidR="00B6056A" w:rsidP="00BB7F23" w:rsidRDefault="00690955" w14:paraId="19E1BB1C" w14:textId="3C28F974">
            <w:pPr>
              <w:suppressAutoHyphens/>
              <w:rPr>
                <w:i/>
              </w:rPr>
            </w:pPr>
            <w:r w:rsidRPr="00592B29">
              <w:rPr>
                <w:i/>
              </w:rPr>
              <w:t xml:space="preserve">Jana </w:t>
            </w:r>
            <w:r w:rsidRPr="00592B29" w:rsidR="00641BDF">
              <w:rPr>
                <w:i/>
              </w:rPr>
              <w:t>VALANT</w:t>
            </w:r>
          </w:p>
        </w:tc>
      </w:tr>
      <w:tr w:rsidRPr="00592B29" w:rsidR="00B6056A" w:rsidTr="00BB7F23" w14:paraId="10FC3B83" w14:textId="77777777">
        <w:tc>
          <w:tcPr>
            <w:tcW w:w="1951" w:type="dxa"/>
          </w:tcPr>
          <w:p w:rsidRPr="00592B29" w:rsidR="00B6056A" w:rsidP="00BB7F23" w:rsidRDefault="00B6056A" w14:paraId="7496C7AD" w14:textId="77777777">
            <w:pPr>
              <w:suppressAutoHyphens/>
              <w:rPr>
                <w:i/>
              </w:rPr>
            </w:pPr>
            <w:r w:rsidRPr="00592B29">
              <w:rPr>
                <w:i/>
              </w:rPr>
              <w:t>Telefon</w:t>
            </w:r>
          </w:p>
        </w:tc>
        <w:tc>
          <w:tcPr>
            <w:tcW w:w="5137" w:type="dxa"/>
          </w:tcPr>
          <w:p w:rsidRPr="00592B29" w:rsidR="00B6056A" w:rsidP="00BB7F23" w:rsidRDefault="00B6056A" w14:paraId="57772611" w14:textId="77777777">
            <w:pPr>
              <w:suppressAutoHyphens/>
              <w:rPr>
                <w:i/>
              </w:rPr>
            </w:pPr>
            <w:r w:rsidRPr="00592B29">
              <w:rPr>
                <w:i/>
              </w:rPr>
              <w:t>+ 32 25468924</w:t>
            </w:r>
          </w:p>
        </w:tc>
      </w:tr>
      <w:tr w:rsidRPr="00592B29" w:rsidR="00B6056A" w:rsidTr="00BB7F23" w14:paraId="0CD8B3F5" w14:textId="77777777">
        <w:tc>
          <w:tcPr>
            <w:tcW w:w="1951" w:type="dxa"/>
          </w:tcPr>
          <w:p w:rsidRPr="00592B29" w:rsidR="00B6056A" w:rsidP="00BB7F23" w:rsidRDefault="00B6056A" w14:paraId="3783C231" w14:textId="77777777">
            <w:pPr>
              <w:suppressAutoHyphens/>
              <w:rPr>
                <w:i/>
              </w:rPr>
            </w:pPr>
            <w:r w:rsidRPr="00592B29">
              <w:rPr>
                <w:i/>
              </w:rPr>
              <w:t>E-naslov</w:t>
            </w:r>
          </w:p>
        </w:tc>
        <w:tc>
          <w:tcPr>
            <w:tcW w:w="5137" w:type="dxa"/>
          </w:tcPr>
          <w:p w:rsidRPr="00592B29" w:rsidR="00B6056A" w:rsidP="00BB7F23" w:rsidRDefault="00662932" w14:paraId="54BDB514" w14:textId="77777777">
            <w:pPr>
              <w:suppressAutoHyphens/>
              <w:rPr>
                <w:i/>
                <w:iCs/>
              </w:rPr>
            </w:pPr>
            <w:hyperlink w:history="1" r:id="rId40">
              <w:r w:rsidRPr="00592B29" w:rsidR="00B6056A">
                <w:rPr>
                  <w:rStyle w:val="Hyperlink"/>
                  <w:i/>
                </w:rPr>
                <w:t>Jana.Valant@eesc.europa.eu</w:t>
              </w:r>
            </w:hyperlink>
          </w:p>
        </w:tc>
      </w:tr>
    </w:tbl>
    <w:p w:rsidR="0096346D" w:rsidP="00D94D34" w:rsidRDefault="0096346D" w14:paraId="4982DDF4" w14:textId="6192A3EF">
      <w:pPr>
        <w:jc w:val="left"/>
      </w:pPr>
      <w:r>
        <w:br w:type="page"/>
      </w:r>
    </w:p>
    <w:p w:rsidRPr="00690955" w:rsidR="00B6056A" w:rsidP="00632498" w:rsidRDefault="00662932" w14:paraId="72DB4684" w14:textId="0CDC971E">
      <w:pPr>
        <w:numPr>
          <w:ilvl w:val="0"/>
          <w:numId w:val="27"/>
        </w:numPr>
        <w:suppressAutoHyphens/>
        <w:overflowPunct w:val="0"/>
        <w:autoSpaceDE w:val="0"/>
        <w:autoSpaceDN w:val="0"/>
        <w:adjustRightInd w:val="0"/>
        <w:textAlignment w:val="baseline"/>
        <w:rPr>
          <w:b/>
        </w:rPr>
      </w:pPr>
      <w:hyperlink w:tgtFrame="_blank" w:history="1" r:id="rId41">
        <w:r w:rsidRPr="00690955" w:rsidR="00B6056A">
          <w:rPr>
            <w:rStyle w:val="Hyperlink"/>
            <w:b/>
            <w:i/>
            <w:sz w:val="28"/>
          </w:rPr>
          <w:t>Regulativna poenostavitev – uporaba digitalnih orodij za boljšo pripravo zakonodaje</w:t>
        </w:r>
      </w:hyperlink>
    </w:p>
    <w:p w:rsidRPr="00477AEF" w:rsidR="00B6056A" w:rsidP="00B6056A" w:rsidRDefault="00B6056A" w14:paraId="612D26DE" w14:textId="77777777"/>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0"/>
        <w:gridCol w:w="6662"/>
      </w:tblGrid>
      <w:tr w:rsidRPr="00477AEF" w:rsidR="00B6056A" w:rsidTr="00BB7F23" w14:paraId="5ECD0AE8" w14:textId="77777777">
        <w:tc>
          <w:tcPr>
            <w:tcW w:w="2660" w:type="dxa"/>
          </w:tcPr>
          <w:p w:rsidRPr="00477AEF" w:rsidR="00B6056A" w:rsidP="00BB7F23" w:rsidRDefault="00B6056A" w14:paraId="1C3908AA" w14:textId="77777777">
            <w:pPr>
              <w:tabs>
                <w:tab w:val="center" w:pos="284"/>
              </w:tabs>
              <w:suppressAutoHyphens/>
              <w:ind w:left="266" w:hanging="266"/>
              <w:rPr>
                <w:b/>
              </w:rPr>
            </w:pPr>
            <w:r w:rsidRPr="00477AEF">
              <w:rPr>
                <w:b/>
              </w:rPr>
              <w:t>Poročevalka</w:t>
            </w:r>
          </w:p>
        </w:tc>
        <w:tc>
          <w:tcPr>
            <w:tcW w:w="6662" w:type="dxa"/>
          </w:tcPr>
          <w:p w:rsidRPr="00477AEF" w:rsidR="00B6056A" w:rsidP="00BB7F23" w:rsidRDefault="00B6056A" w14:paraId="530E1874" w14:textId="77777777">
            <w:pPr>
              <w:tabs>
                <w:tab w:val="center" w:pos="284"/>
              </w:tabs>
              <w:suppressAutoHyphens/>
              <w:ind w:left="266" w:hanging="266"/>
            </w:pPr>
            <w:r w:rsidRPr="00477AEF">
              <w:t>Alena MASTANTUONO (skupina delodajalcev – CZ)</w:t>
            </w:r>
          </w:p>
        </w:tc>
      </w:tr>
      <w:tr w:rsidRPr="00477AEF" w:rsidR="00B6056A" w:rsidTr="00BB7F23" w14:paraId="1BE2F5A0" w14:textId="77777777">
        <w:tc>
          <w:tcPr>
            <w:tcW w:w="2660" w:type="dxa"/>
          </w:tcPr>
          <w:p w:rsidRPr="00477AEF" w:rsidR="00B6056A" w:rsidP="00BB7F23" w:rsidRDefault="00B6056A" w14:paraId="7B284E47" w14:textId="77777777">
            <w:pPr>
              <w:tabs>
                <w:tab w:val="center" w:pos="284"/>
              </w:tabs>
              <w:suppressAutoHyphens/>
              <w:ind w:left="266" w:hanging="266"/>
              <w:rPr>
                <w:b/>
              </w:rPr>
            </w:pPr>
            <w:r w:rsidRPr="00477AEF">
              <w:rPr>
                <w:b/>
              </w:rPr>
              <w:t>Soporočevalec</w:t>
            </w:r>
          </w:p>
        </w:tc>
        <w:tc>
          <w:tcPr>
            <w:tcW w:w="6662" w:type="dxa"/>
          </w:tcPr>
          <w:p w:rsidRPr="00477AEF" w:rsidR="00B6056A" w:rsidP="00BB7F23" w:rsidRDefault="00B6056A" w14:paraId="544FFE7D" w14:textId="77777777">
            <w:pPr>
              <w:tabs>
                <w:tab w:val="center" w:pos="284"/>
              </w:tabs>
              <w:suppressAutoHyphens/>
              <w:ind w:left="266" w:hanging="266"/>
            </w:pPr>
            <w:r w:rsidRPr="00477AEF">
              <w:t>Tymoteusz ZYCH (skupina organizacij civilne družbe – PL)</w:t>
            </w:r>
          </w:p>
        </w:tc>
      </w:tr>
      <w:tr w:rsidRPr="003A76FF" w:rsidR="00B6056A" w:rsidTr="00BB7F23" w14:paraId="2C628BA4" w14:textId="77777777">
        <w:tc>
          <w:tcPr>
            <w:tcW w:w="9322" w:type="dxa"/>
            <w:gridSpan w:val="2"/>
          </w:tcPr>
          <w:p w:rsidRPr="00281901" w:rsidR="00B6056A" w:rsidP="00BB7F23" w:rsidRDefault="00B6056A" w14:paraId="6CF5CA66" w14:textId="77777777">
            <w:pPr>
              <w:tabs>
                <w:tab w:val="center" w:pos="284"/>
              </w:tabs>
              <w:suppressAutoHyphens/>
              <w:spacing w:line="240" w:lineRule="auto"/>
              <w:ind w:left="266" w:hanging="266"/>
              <w:rPr>
                <w:sz w:val="16"/>
                <w:szCs w:val="16"/>
                <w:lang w:val="pl-PL"/>
              </w:rPr>
            </w:pPr>
          </w:p>
        </w:tc>
      </w:tr>
      <w:tr w:rsidRPr="00477AEF" w:rsidR="00B6056A" w:rsidTr="001A4C8A" w14:paraId="07C65837" w14:textId="77777777">
        <w:trPr>
          <w:trHeight w:val="607"/>
        </w:trPr>
        <w:tc>
          <w:tcPr>
            <w:tcW w:w="2660" w:type="dxa"/>
          </w:tcPr>
          <w:p w:rsidRPr="00477AEF" w:rsidR="00B6056A" w:rsidP="00BB7F23" w:rsidRDefault="00B6056A" w14:paraId="5B93CB4C" w14:textId="77777777">
            <w:pPr>
              <w:tabs>
                <w:tab w:val="center" w:pos="284"/>
              </w:tabs>
              <w:suppressAutoHyphens/>
              <w:ind w:left="266" w:hanging="266"/>
              <w:rPr>
                <w:b/>
              </w:rPr>
            </w:pPr>
            <w:r w:rsidRPr="00477AEF">
              <w:rPr>
                <w:b/>
              </w:rPr>
              <w:t>Referenčni dokument</w:t>
            </w:r>
          </w:p>
        </w:tc>
        <w:tc>
          <w:tcPr>
            <w:tcW w:w="6662" w:type="dxa"/>
          </w:tcPr>
          <w:p w:rsidRPr="00477AEF" w:rsidR="00B6056A" w:rsidP="00BB7F23" w:rsidRDefault="00B6056A" w14:paraId="0B8FCCD3" w14:textId="5C54FAEB">
            <w:pPr>
              <w:tabs>
                <w:tab w:val="center" w:pos="284"/>
              </w:tabs>
              <w:suppressAutoHyphens/>
              <w:ind w:left="266" w:hanging="266"/>
            </w:pPr>
            <w:r w:rsidRPr="00477AEF">
              <w:t xml:space="preserve">raziskovalno mnenje na zaprosilo </w:t>
            </w:r>
            <w:r w:rsidR="003A7ADB">
              <w:t xml:space="preserve">danskega </w:t>
            </w:r>
            <w:r w:rsidRPr="00477AEF">
              <w:t>predsedstva</w:t>
            </w:r>
          </w:p>
          <w:p w:rsidRPr="00477AEF" w:rsidR="00B6056A" w:rsidP="00BB7F23" w:rsidRDefault="00B6056A" w14:paraId="4FEB0FB4" w14:textId="5C325B06">
            <w:pPr>
              <w:tabs>
                <w:tab w:val="center" w:pos="284"/>
              </w:tabs>
              <w:suppressAutoHyphens/>
              <w:ind w:left="266" w:hanging="266"/>
            </w:pPr>
            <w:r w:rsidRPr="00477AEF">
              <w:t>EESC-2025-01017-00-00-AC</w:t>
            </w:r>
          </w:p>
        </w:tc>
      </w:tr>
    </w:tbl>
    <w:p w:rsidRPr="00477AEF" w:rsidR="00B6056A" w:rsidP="00B6056A" w:rsidRDefault="00B6056A" w14:paraId="631F4A6C" w14:textId="77777777"/>
    <w:p w:rsidRPr="00477AEF" w:rsidR="00B6056A" w:rsidP="00B6056A" w:rsidRDefault="00B6056A" w14:paraId="4277072C" w14:textId="77777777">
      <w:pPr>
        <w:tabs>
          <w:tab w:val="center" w:pos="284"/>
        </w:tabs>
        <w:suppressAutoHyphens/>
        <w:ind w:left="266" w:hanging="266"/>
        <w:rPr>
          <w:b/>
        </w:rPr>
      </w:pPr>
      <w:r w:rsidRPr="00477AEF">
        <w:rPr>
          <w:b/>
        </w:rPr>
        <w:t>Glavne točke</w:t>
      </w:r>
    </w:p>
    <w:p w:rsidRPr="00477AEF" w:rsidR="00B6056A" w:rsidP="00B6056A" w:rsidRDefault="00B6056A" w14:paraId="6B5AF913" w14:textId="77777777"/>
    <w:p w:rsidRPr="00477AEF" w:rsidR="00B6056A" w:rsidP="00B6056A" w:rsidRDefault="00B6056A" w14:paraId="03992703" w14:textId="11FF041B">
      <w:pPr>
        <w:suppressAutoHyphens/>
        <w:rPr>
          <w:bCs/>
          <w:iCs/>
        </w:rPr>
      </w:pPr>
      <w:r w:rsidRPr="00477AEF">
        <w:t>EESO</w:t>
      </w:r>
    </w:p>
    <w:p w:rsidRPr="00477AEF" w:rsidR="00B6056A" w:rsidP="00632498" w:rsidRDefault="00B6056A" w14:paraId="257A5996" w14:textId="77777777">
      <w:pPr>
        <w:numPr>
          <w:ilvl w:val="0"/>
          <w:numId w:val="14"/>
        </w:numPr>
        <w:suppressAutoHyphens/>
        <w:overflowPunct w:val="0"/>
        <w:autoSpaceDE w:val="0"/>
        <w:autoSpaceDN w:val="0"/>
        <w:adjustRightInd w:val="0"/>
        <w:ind w:left="426" w:hanging="426"/>
        <w:textAlignment w:val="baseline"/>
        <w:rPr>
          <w:bCs/>
          <w:iCs/>
        </w:rPr>
      </w:pPr>
      <w:r w:rsidRPr="00477AEF">
        <w:t>poudarja potrebo po regulativni poenostavitvi in zmogljivih digitalnih orodjih, kot so umetna inteligenca in platforme e-uprave, da bi povečali preglednost, učinkovitost in odgovornost pri pripravi zakonodaje EU;</w:t>
      </w:r>
    </w:p>
    <w:p w:rsidRPr="00477AEF" w:rsidR="00B6056A" w:rsidP="00632498" w:rsidRDefault="00B6056A" w14:paraId="61CB8B82" w14:textId="77777777">
      <w:pPr>
        <w:numPr>
          <w:ilvl w:val="0"/>
          <w:numId w:val="14"/>
        </w:numPr>
        <w:suppressAutoHyphens/>
        <w:overflowPunct w:val="0"/>
        <w:autoSpaceDE w:val="0"/>
        <w:autoSpaceDN w:val="0"/>
        <w:adjustRightInd w:val="0"/>
        <w:ind w:left="426" w:hanging="426"/>
        <w:textAlignment w:val="baseline"/>
        <w:rPr>
          <w:bCs/>
          <w:iCs/>
        </w:rPr>
      </w:pPr>
      <w:r w:rsidRPr="00477AEF">
        <w:t>priporoča, naj bodo predpisi na evropski, nacionalni, regionalni in lokalni ravni dostopnejši, tako da se vsakemu novemu pravnemu aktu priloži jasen povzetek obveznosti, pa tudi, naj se enako stori za že sprejeto zakonodajo;</w:t>
      </w:r>
    </w:p>
    <w:p w:rsidRPr="00477AEF" w:rsidR="00B6056A" w:rsidP="00632498" w:rsidRDefault="00B6056A" w14:paraId="58B3E705" w14:textId="77777777">
      <w:pPr>
        <w:numPr>
          <w:ilvl w:val="0"/>
          <w:numId w:val="14"/>
        </w:numPr>
        <w:suppressAutoHyphens/>
        <w:overflowPunct w:val="0"/>
        <w:autoSpaceDE w:val="0"/>
        <w:autoSpaceDN w:val="0"/>
        <w:adjustRightInd w:val="0"/>
        <w:ind w:left="426" w:hanging="426"/>
        <w:textAlignment w:val="baseline"/>
        <w:rPr>
          <w:bCs/>
          <w:iCs/>
        </w:rPr>
      </w:pPr>
      <w:r w:rsidRPr="00477AEF">
        <w:t xml:space="preserve">poudarja, da je v EU potrebna enotna in </w:t>
      </w:r>
      <w:proofErr w:type="spellStart"/>
      <w:r w:rsidRPr="00477AEF">
        <w:t>interoperabilna</w:t>
      </w:r>
      <w:proofErr w:type="spellEnd"/>
      <w:r w:rsidRPr="00477AEF">
        <w:t xml:space="preserve"> digitalna platforma za pripravo zakonodaje, ki bi omogočala centralizacijo besedil in metapodatkov, preverjanje skladnosti v realnem času, ugotavljanje pravne soodvisnosti in uporabo usklajene terminologije;</w:t>
      </w:r>
    </w:p>
    <w:p w:rsidRPr="00477AEF" w:rsidR="00B6056A" w:rsidP="00632498" w:rsidRDefault="00B6056A" w14:paraId="08B2A122" w14:textId="77777777">
      <w:pPr>
        <w:numPr>
          <w:ilvl w:val="0"/>
          <w:numId w:val="14"/>
        </w:numPr>
        <w:suppressAutoHyphens/>
        <w:overflowPunct w:val="0"/>
        <w:autoSpaceDE w:val="0"/>
        <w:autoSpaceDN w:val="0"/>
        <w:adjustRightInd w:val="0"/>
        <w:ind w:left="426" w:hanging="426"/>
        <w:textAlignment w:val="baseline"/>
        <w:rPr>
          <w:bCs/>
          <w:iCs/>
        </w:rPr>
      </w:pPr>
      <w:r w:rsidRPr="00477AEF">
        <w:t>v tem mnenju predlaga model za institucije EU o tem, kako naj v zakonodajni postopek vključijo digitalna orodja in povzetke obveznosti;</w:t>
      </w:r>
    </w:p>
    <w:p w:rsidRPr="00477AEF" w:rsidR="00B6056A" w:rsidP="00632498" w:rsidRDefault="00B6056A" w14:paraId="47DC418F" w14:textId="77777777">
      <w:pPr>
        <w:numPr>
          <w:ilvl w:val="0"/>
          <w:numId w:val="14"/>
        </w:numPr>
        <w:suppressAutoHyphens/>
        <w:overflowPunct w:val="0"/>
        <w:autoSpaceDE w:val="0"/>
        <w:autoSpaceDN w:val="0"/>
        <w:adjustRightInd w:val="0"/>
        <w:ind w:left="426" w:hanging="426"/>
        <w:textAlignment w:val="baseline"/>
        <w:rPr>
          <w:bCs/>
          <w:iCs/>
        </w:rPr>
      </w:pPr>
      <w:r w:rsidRPr="00477AEF">
        <w:t>spodbuja institucije EU, naj umetno inteligenco uporabljajo za analizo podatkov, kot so ekonomski trendi in prispevki deležnikov, kar bi omogočilo proaktivno opredeljevanje področij, na katerih je potrebna ureditev, in določitev zakonodajnih prednostnih nalog na podlagi dokazov;</w:t>
      </w:r>
    </w:p>
    <w:p w:rsidRPr="00477AEF" w:rsidR="00B6056A" w:rsidP="00632498" w:rsidRDefault="00B6056A" w14:paraId="67CBEB3B" w14:textId="77777777">
      <w:pPr>
        <w:numPr>
          <w:ilvl w:val="0"/>
          <w:numId w:val="14"/>
        </w:numPr>
        <w:suppressAutoHyphens/>
        <w:overflowPunct w:val="0"/>
        <w:autoSpaceDE w:val="0"/>
        <w:autoSpaceDN w:val="0"/>
        <w:adjustRightInd w:val="0"/>
        <w:ind w:left="426" w:hanging="426"/>
        <w:textAlignment w:val="baseline"/>
        <w:rPr>
          <w:bCs/>
          <w:iCs/>
        </w:rPr>
      </w:pPr>
      <w:r w:rsidRPr="00477AEF">
        <w:t>meni, da bi bilo treba umetno inteligenco uporabljati pri izvajanju pravil, in sicer v smislu zagotavljanja skladnosti in primerjave pristopov držav članic k izvajanju prava EU, ter pri iskanju primerov dobre prakse in nedoslednosti.</w:t>
      </w:r>
    </w:p>
    <w:p w:rsidRPr="00477AEF" w:rsidR="00B6056A" w:rsidP="00B6056A" w:rsidRDefault="00B6056A" w14:paraId="150C1FF0" w14:textId="77777777">
      <w:pPr>
        <w:suppressAutoHyphens/>
        <w:rPr>
          <w:bCs/>
          <w:iCs/>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087"/>
      </w:tblGrid>
      <w:tr w:rsidRPr="00477AEF" w:rsidR="00B6056A" w:rsidTr="00BB7F23" w14:paraId="0F1FB759" w14:textId="77777777">
        <w:tc>
          <w:tcPr>
            <w:tcW w:w="2235" w:type="dxa"/>
          </w:tcPr>
          <w:p w:rsidRPr="00477AEF" w:rsidR="00B6056A" w:rsidP="00BB7F23" w:rsidRDefault="00B6056A" w14:paraId="0D31E413" w14:textId="77777777">
            <w:pPr>
              <w:suppressAutoHyphens/>
              <w:rPr>
                <w:i/>
              </w:rPr>
            </w:pPr>
            <w:r w:rsidRPr="00477AEF">
              <w:rPr>
                <w:b/>
                <w:i/>
              </w:rPr>
              <w:t>Kontaktna oseba</w:t>
            </w:r>
          </w:p>
        </w:tc>
        <w:tc>
          <w:tcPr>
            <w:tcW w:w="7087" w:type="dxa"/>
          </w:tcPr>
          <w:p w:rsidRPr="00477AEF" w:rsidR="00B6056A" w:rsidP="00BB7F23" w:rsidRDefault="00B6056A" w14:paraId="4E0774FC" w14:textId="336F3030">
            <w:pPr>
              <w:suppressAutoHyphens/>
              <w:rPr>
                <w:i/>
              </w:rPr>
            </w:pPr>
            <w:r w:rsidRPr="00477AEF">
              <w:rPr>
                <w:i/>
              </w:rPr>
              <w:t xml:space="preserve">Marco </w:t>
            </w:r>
            <w:r w:rsidRPr="00477AEF" w:rsidR="00641BDF">
              <w:rPr>
                <w:i/>
              </w:rPr>
              <w:t>MANFRONI</w:t>
            </w:r>
          </w:p>
        </w:tc>
      </w:tr>
      <w:tr w:rsidRPr="00477AEF" w:rsidR="00B6056A" w:rsidTr="00BB7F23" w14:paraId="3F885F5D" w14:textId="77777777">
        <w:tc>
          <w:tcPr>
            <w:tcW w:w="2235" w:type="dxa"/>
          </w:tcPr>
          <w:p w:rsidRPr="00477AEF" w:rsidR="00B6056A" w:rsidP="00BB7F23" w:rsidRDefault="00B6056A" w14:paraId="4EC995F7" w14:textId="77777777">
            <w:pPr>
              <w:suppressAutoHyphens/>
              <w:rPr>
                <w:i/>
              </w:rPr>
            </w:pPr>
            <w:r w:rsidRPr="00477AEF">
              <w:rPr>
                <w:i/>
              </w:rPr>
              <w:t>Telefon</w:t>
            </w:r>
          </w:p>
        </w:tc>
        <w:tc>
          <w:tcPr>
            <w:tcW w:w="7087" w:type="dxa"/>
          </w:tcPr>
          <w:p w:rsidRPr="00477AEF" w:rsidR="00B6056A" w:rsidP="00BB7F23" w:rsidRDefault="00B6056A" w14:paraId="268B0D42" w14:textId="77777777">
            <w:pPr>
              <w:suppressAutoHyphens/>
              <w:rPr>
                <w:i/>
              </w:rPr>
            </w:pPr>
            <w:r w:rsidRPr="00477AEF">
              <w:rPr>
                <w:i/>
              </w:rPr>
              <w:t>+ 32 25469140</w:t>
            </w:r>
          </w:p>
        </w:tc>
      </w:tr>
      <w:tr w:rsidRPr="00477AEF" w:rsidR="00B6056A" w:rsidTr="00BB7F23" w14:paraId="629FC637" w14:textId="77777777">
        <w:tc>
          <w:tcPr>
            <w:tcW w:w="2235" w:type="dxa"/>
          </w:tcPr>
          <w:p w:rsidRPr="00477AEF" w:rsidR="00B6056A" w:rsidP="00BB7F23" w:rsidRDefault="00B6056A" w14:paraId="6DBF4A13" w14:textId="77777777">
            <w:pPr>
              <w:suppressAutoHyphens/>
              <w:rPr>
                <w:i/>
              </w:rPr>
            </w:pPr>
            <w:r w:rsidRPr="00477AEF">
              <w:rPr>
                <w:i/>
              </w:rPr>
              <w:t>E-naslov</w:t>
            </w:r>
          </w:p>
        </w:tc>
        <w:tc>
          <w:tcPr>
            <w:tcW w:w="7087" w:type="dxa"/>
          </w:tcPr>
          <w:p w:rsidRPr="00477AEF" w:rsidR="00B6056A" w:rsidP="00BB7F23" w:rsidRDefault="00662932" w14:paraId="5E89AC31" w14:textId="77777777">
            <w:pPr>
              <w:suppressAutoHyphens/>
              <w:rPr>
                <w:i/>
                <w:iCs/>
              </w:rPr>
            </w:pPr>
            <w:hyperlink w:history="1" r:id="rId42">
              <w:r w:rsidRPr="00477AEF" w:rsidR="00B6056A">
                <w:rPr>
                  <w:rStyle w:val="Hyperlink"/>
                  <w:i/>
                </w:rPr>
                <w:t>Marco.Manfroni@eesc.europa.eu</w:t>
              </w:r>
            </w:hyperlink>
          </w:p>
        </w:tc>
      </w:tr>
    </w:tbl>
    <w:p w:rsidR="0096346D" w:rsidP="00D94D34" w:rsidRDefault="0096346D" w14:paraId="10E35076" w14:textId="77777777">
      <w:pPr>
        <w:jc w:val="left"/>
      </w:pPr>
      <w:r>
        <w:br w:type="page"/>
      </w:r>
    </w:p>
    <w:p w:rsidRPr="00690955" w:rsidR="00B6056A" w:rsidP="00632498" w:rsidRDefault="00662932" w14:paraId="4FE8F089" w14:textId="77777777">
      <w:pPr>
        <w:numPr>
          <w:ilvl w:val="0"/>
          <w:numId w:val="27"/>
        </w:numPr>
        <w:suppressAutoHyphens/>
        <w:overflowPunct w:val="0"/>
        <w:autoSpaceDE w:val="0"/>
        <w:autoSpaceDN w:val="0"/>
        <w:adjustRightInd w:val="0"/>
        <w:textAlignment w:val="baseline"/>
        <w:rPr>
          <w:sz w:val="20"/>
        </w:rPr>
      </w:pPr>
      <w:hyperlink w:history="1" r:id="rId43">
        <w:r w:rsidRPr="00690955" w:rsidR="00B6056A">
          <w:rPr>
            <w:rStyle w:val="Hyperlink"/>
            <w:b/>
            <w:i/>
            <w:sz w:val="28"/>
          </w:rPr>
          <w:t>Upoštevanje vrednostnih verig pri oblikovanju politik</w:t>
        </w:r>
      </w:hyperlink>
    </w:p>
    <w:p w:rsidRPr="00C33863" w:rsidR="00B6056A" w:rsidP="00B6056A" w:rsidRDefault="00B6056A" w14:paraId="366099DA"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1"/>
        <w:gridCol w:w="6752"/>
      </w:tblGrid>
      <w:tr w:rsidRPr="00C33863" w:rsidR="00B6056A" w:rsidTr="00BB7F23" w14:paraId="163069F4" w14:textId="77777777">
        <w:trPr>
          <w:trHeight w:val="122"/>
        </w:trPr>
        <w:tc>
          <w:tcPr>
            <w:tcW w:w="1279" w:type="pct"/>
          </w:tcPr>
          <w:p w:rsidRPr="00C33863" w:rsidR="00B6056A" w:rsidP="00BB7F23" w:rsidRDefault="00B6056A" w14:paraId="32FB111E" w14:textId="77777777">
            <w:pPr>
              <w:tabs>
                <w:tab w:val="center" w:pos="284"/>
              </w:tabs>
              <w:suppressAutoHyphens/>
              <w:ind w:left="266" w:hanging="266"/>
              <w:rPr>
                <w:b/>
              </w:rPr>
            </w:pPr>
            <w:r w:rsidRPr="00C33863">
              <w:rPr>
                <w:b/>
              </w:rPr>
              <w:t>Poročevalec</w:t>
            </w:r>
          </w:p>
        </w:tc>
        <w:tc>
          <w:tcPr>
            <w:tcW w:w="3721" w:type="pct"/>
          </w:tcPr>
          <w:p w:rsidRPr="00C33863" w:rsidR="00B6056A" w:rsidP="00BB7F23" w:rsidRDefault="00B6056A" w14:paraId="64CC8C54" w14:textId="77777777">
            <w:pPr>
              <w:tabs>
                <w:tab w:val="center" w:pos="0"/>
              </w:tabs>
              <w:suppressAutoHyphens/>
              <w:ind w:left="266" w:hanging="266"/>
            </w:pPr>
            <w:r w:rsidRPr="00C33863">
              <w:t>Andrea MONE (skupina delojemalcev – IT)</w:t>
            </w:r>
          </w:p>
        </w:tc>
      </w:tr>
      <w:tr w:rsidRPr="00C33863" w:rsidR="00B6056A" w:rsidTr="00BB7F23" w14:paraId="4A869178" w14:textId="77777777">
        <w:trPr>
          <w:trHeight w:val="88"/>
        </w:trPr>
        <w:tc>
          <w:tcPr>
            <w:tcW w:w="1279" w:type="pct"/>
          </w:tcPr>
          <w:p w:rsidRPr="00C33863" w:rsidR="00B6056A" w:rsidP="00BB7F23" w:rsidRDefault="00B6056A" w14:paraId="5A5D7DA5" w14:textId="77777777">
            <w:pPr>
              <w:tabs>
                <w:tab w:val="center" w:pos="284"/>
              </w:tabs>
              <w:suppressAutoHyphens/>
              <w:ind w:left="266" w:hanging="266"/>
              <w:rPr>
                <w:b/>
              </w:rPr>
            </w:pPr>
            <w:r w:rsidRPr="00C33863">
              <w:rPr>
                <w:b/>
              </w:rPr>
              <w:t>Soporočevalec</w:t>
            </w:r>
          </w:p>
        </w:tc>
        <w:tc>
          <w:tcPr>
            <w:tcW w:w="3721" w:type="pct"/>
          </w:tcPr>
          <w:p w:rsidRPr="00C33863" w:rsidR="00B6056A" w:rsidP="00BB7F23" w:rsidRDefault="00B6056A" w14:paraId="4FAA1222" w14:textId="77777777">
            <w:pPr>
              <w:tabs>
                <w:tab w:val="center" w:pos="0"/>
              </w:tabs>
              <w:suppressAutoHyphens/>
              <w:ind w:left="266" w:hanging="266"/>
              <w:rPr>
                <w:bCs/>
              </w:rPr>
            </w:pPr>
            <w:r w:rsidRPr="00C33863">
              <w:t>Gonçalo LOBO XAVIER (skupina delodajalcev – PT)</w:t>
            </w:r>
          </w:p>
        </w:tc>
      </w:tr>
      <w:tr w:rsidRPr="00C33863" w:rsidR="00B6056A" w:rsidTr="00BB7F23" w14:paraId="16C8B54C" w14:textId="77777777">
        <w:trPr>
          <w:trHeight w:val="70"/>
        </w:trPr>
        <w:tc>
          <w:tcPr>
            <w:tcW w:w="5000" w:type="pct"/>
            <w:gridSpan w:val="2"/>
          </w:tcPr>
          <w:p w:rsidRPr="00C33863" w:rsidR="00B6056A" w:rsidP="00BB7F23" w:rsidRDefault="00B6056A" w14:paraId="278790BF" w14:textId="77777777">
            <w:pPr>
              <w:tabs>
                <w:tab w:val="center" w:pos="0"/>
              </w:tabs>
              <w:suppressAutoHyphens/>
              <w:spacing w:line="240" w:lineRule="auto"/>
              <w:ind w:left="266" w:hanging="266"/>
              <w:rPr>
                <w:bCs/>
                <w:sz w:val="16"/>
                <w:szCs w:val="16"/>
              </w:rPr>
            </w:pPr>
          </w:p>
        </w:tc>
      </w:tr>
      <w:tr w:rsidRPr="00C33863" w:rsidR="00B6056A" w:rsidTr="00BB7F23" w14:paraId="545724E5" w14:textId="77777777">
        <w:tc>
          <w:tcPr>
            <w:tcW w:w="1279" w:type="pct"/>
          </w:tcPr>
          <w:p w:rsidRPr="00C33863" w:rsidR="00B6056A" w:rsidP="00BB7F23" w:rsidRDefault="00B6056A" w14:paraId="2CDFEA25" w14:textId="77777777">
            <w:pPr>
              <w:tabs>
                <w:tab w:val="center" w:pos="284"/>
              </w:tabs>
              <w:suppressAutoHyphens/>
              <w:ind w:left="266" w:hanging="266"/>
              <w:rPr>
                <w:b/>
              </w:rPr>
            </w:pPr>
            <w:r w:rsidRPr="00C33863">
              <w:rPr>
                <w:b/>
              </w:rPr>
              <w:t>Referenčni dokument</w:t>
            </w:r>
          </w:p>
        </w:tc>
        <w:tc>
          <w:tcPr>
            <w:tcW w:w="3721" w:type="pct"/>
          </w:tcPr>
          <w:p w:rsidRPr="00C33863" w:rsidR="00B6056A" w:rsidP="00BB7F23" w:rsidRDefault="00B6056A" w14:paraId="25265680" w14:textId="31158F37">
            <w:pPr>
              <w:tabs>
                <w:tab w:val="center" w:pos="284"/>
              </w:tabs>
              <w:suppressAutoHyphens/>
              <w:ind w:left="266" w:hanging="266"/>
            </w:pPr>
            <w:r w:rsidRPr="00C33863">
              <w:t>raziskovalno mnenje</w:t>
            </w:r>
            <w:r w:rsidR="006D3843">
              <w:t xml:space="preserve"> na zahtevo danskega predsedstva</w:t>
            </w:r>
          </w:p>
          <w:p w:rsidRPr="00C33863" w:rsidR="00B6056A" w:rsidP="00BB7F23" w:rsidRDefault="00B6056A" w14:paraId="4AD123CC" w14:textId="77777777">
            <w:pPr>
              <w:tabs>
                <w:tab w:val="center" w:pos="284"/>
              </w:tabs>
              <w:suppressAutoHyphens/>
              <w:ind w:left="266" w:hanging="266"/>
            </w:pPr>
            <w:r w:rsidRPr="00C33863">
              <w:t>EESC-2025-00994-00-00-AC</w:t>
            </w:r>
          </w:p>
        </w:tc>
      </w:tr>
    </w:tbl>
    <w:p w:rsidRPr="00C33863" w:rsidR="00B6056A" w:rsidP="00B6056A" w:rsidRDefault="00B6056A" w14:paraId="2E2F5297" w14:textId="77777777"/>
    <w:p w:rsidRPr="00C33863" w:rsidR="00B6056A" w:rsidP="00B6056A" w:rsidRDefault="00B6056A" w14:paraId="688025D2" w14:textId="77777777">
      <w:pPr>
        <w:tabs>
          <w:tab w:val="center" w:pos="284"/>
        </w:tabs>
        <w:suppressAutoHyphens/>
        <w:ind w:left="266" w:hanging="266"/>
        <w:rPr>
          <w:b/>
        </w:rPr>
      </w:pPr>
      <w:r w:rsidRPr="00C33863">
        <w:rPr>
          <w:b/>
        </w:rPr>
        <w:t>Glavne točke</w:t>
      </w:r>
    </w:p>
    <w:p w:rsidRPr="00C33863" w:rsidR="00B6056A" w:rsidP="00B6056A" w:rsidRDefault="00B6056A" w14:paraId="1737E79F" w14:textId="77777777">
      <w:pPr>
        <w:tabs>
          <w:tab w:val="center" w:pos="284"/>
        </w:tabs>
        <w:suppressAutoHyphens/>
        <w:ind w:left="266" w:hanging="266"/>
        <w:rPr>
          <w:bCs/>
        </w:rPr>
      </w:pPr>
    </w:p>
    <w:p w:rsidRPr="00CD1B7F" w:rsidR="00B6056A" w:rsidP="00CD1B7F" w:rsidRDefault="00B6056A" w14:paraId="3E3E8F8A" w14:textId="7F4D2F9C">
      <w:pPr>
        <w:suppressAutoHyphens/>
        <w:rPr>
          <w:bCs/>
          <w:iCs/>
        </w:rPr>
      </w:pPr>
      <w:r w:rsidRPr="00C33863">
        <w:t>EESO</w:t>
      </w:r>
    </w:p>
    <w:p w:rsidRPr="00C33863" w:rsidR="00B6056A" w:rsidP="00632498" w:rsidRDefault="00B6056A" w14:paraId="011565FF" w14:textId="77777777">
      <w:pPr>
        <w:numPr>
          <w:ilvl w:val="0"/>
          <w:numId w:val="15"/>
        </w:numPr>
        <w:suppressAutoHyphens/>
        <w:overflowPunct w:val="0"/>
        <w:autoSpaceDE w:val="0"/>
        <w:autoSpaceDN w:val="0"/>
        <w:adjustRightInd w:val="0"/>
        <w:ind w:left="426" w:hanging="426"/>
        <w:textAlignment w:val="baseline"/>
        <w:rPr>
          <w:bCs/>
          <w:iCs/>
        </w:rPr>
      </w:pPr>
      <w:r w:rsidRPr="00C33863">
        <w:t xml:space="preserve">meni, da je zelo pomembno </w:t>
      </w:r>
      <w:r w:rsidRPr="00C33863">
        <w:rPr>
          <w:b/>
        </w:rPr>
        <w:t>okrepiti sodelovanje evropskih podjetij v dobavnih verigah</w:t>
      </w:r>
      <w:r w:rsidRPr="00C33863">
        <w:t>, tudi na vodilnih položajih, da bi spodbudili konkurenčen in trajnosten proizvodni model v celotni verigi, ki bo imel pozitiven učinek na regije, podjetja in delavce;</w:t>
      </w:r>
    </w:p>
    <w:p w:rsidRPr="00C33863" w:rsidR="00B6056A" w:rsidP="00632498" w:rsidRDefault="00B6056A" w14:paraId="2CF69857" w14:textId="77777777">
      <w:pPr>
        <w:numPr>
          <w:ilvl w:val="0"/>
          <w:numId w:val="15"/>
        </w:numPr>
        <w:suppressAutoHyphens/>
        <w:overflowPunct w:val="0"/>
        <w:autoSpaceDE w:val="0"/>
        <w:autoSpaceDN w:val="0"/>
        <w:adjustRightInd w:val="0"/>
        <w:ind w:left="426" w:hanging="426"/>
        <w:textAlignment w:val="baseline"/>
        <w:rPr>
          <w:bCs/>
          <w:iCs/>
        </w:rPr>
      </w:pPr>
      <w:r w:rsidRPr="00C33863">
        <w:t xml:space="preserve">priporoča razvoj nujnih ukrepov za krepitev evropskega notranjega trga ter zagotavljanje strateške avtonomije in proizvodnih zmogljivosti. To pomeni predvsem </w:t>
      </w:r>
      <w:r w:rsidRPr="00C33863">
        <w:rPr>
          <w:b/>
        </w:rPr>
        <w:t>spodbujanje evropske industrijske politike in politike konkurence</w:t>
      </w:r>
      <w:r w:rsidRPr="00C33863">
        <w:t xml:space="preserve"> na podlagi trajnostne konkurenčnosti in inovacij;</w:t>
      </w:r>
    </w:p>
    <w:p w:rsidRPr="00C33863" w:rsidR="00B6056A" w:rsidP="00632498" w:rsidRDefault="00B6056A" w14:paraId="0B3F1DFF" w14:textId="77777777">
      <w:pPr>
        <w:numPr>
          <w:ilvl w:val="0"/>
          <w:numId w:val="15"/>
        </w:numPr>
        <w:suppressAutoHyphens/>
        <w:overflowPunct w:val="0"/>
        <w:autoSpaceDE w:val="0"/>
        <w:autoSpaceDN w:val="0"/>
        <w:adjustRightInd w:val="0"/>
        <w:ind w:left="426" w:hanging="426"/>
        <w:textAlignment w:val="baseline"/>
        <w:rPr>
          <w:bCs/>
          <w:iCs/>
        </w:rPr>
      </w:pPr>
      <w:r w:rsidRPr="00C33863">
        <w:t xml:space="preserve">poudarja potrebo po </w:t>
      </w:r>
      <w:r w:rsidRPr="00C33863">
        <w:rPr>
          <w:b/>
        </w:rPr>
        <w:t>evidentiranju dobavnih verig</w:t>
      </w:r>
      <w:r w:rsidRPr="00C33863">
        <w:t xml:space="preserve">, njihovi razčlenjeni oceni ter analizi posameznih sektorjev in stopnje vključenosti podjetij, da bi oblikovali </w:t>
      </w:r>
      <w:r w:rsidRPr="00C33863">
        <w:rPr>
          <w:b/>
        </w:rPr>
        <w:t>ciljno usmerjene politike, ki bodo odgovorile na sektorske izzive</w:t>
      </w:r>
      <w:r w:rsidRPr="00C33863">
        <w:t xml:space="preserve"> in razvojne priložnosti, tudi na </w:t>
      </w:r>
      <w:r w:rsidRPr="00C33863">
        <w:rPr>
          <w:b/>
        </w:rPr>
        <w:t>regionalni ravni</w:t>
      </w:r>
      <w:r w:rsidRPr="00C33863">
        <w:t>;</w:t>
      </w:r>
    </w:p>
    <w:p w:rsidRPr="00C33863" w:rsidR="00B6056A" w:rsidP="00632498" w:rsidRDefault="00B6056A" w14:paraId="0F6E7D32" w14:textId="77777777">
      <w:pPr>
        <w:numPr>
          <w:ilvl w:val="0"/>
          <w:numId w:val="15"/>
        </w:numPr>
        <w:suppressAutoHyphens/>
        <w:overflowPunct w:val="0"/>
        <w:autoSpaceDE w:val="0"/>
        <w:autoSpaceDN w:val="0"/>
        <w:adjustRightInd w:val="0"/>
        <w:ind w:left="426" w:hanging="426"/>
        <w:textAlignment w:val="baseline"/>
        <w:rPr>
          <w:bCs/>
          <w:iCs/>
        </w:rPr>
      </w:pPr>
      <w:r w:rsidRPr="00C33863">
        <w:t xml:space="preserve">priporoča spodbujanje razvoja </w:t>
      </w:r>
      <w:r w:rsidRPr="00C33863">
        <w:rPr>
          <w:b/>
        </w:rPr>
        <w:t>povezanih industrijskih okolij za podporo skupnostim in podjetjem</w:t>
      </w:r>
      <w:r w:rsidRPr="00C33863">
        <w:t xml:space="preserve"> v globalnih vrednostnih verigah. To vključuje spodbujanje ustanavljanja podjetij, sodelovanja in vodenja znotraj teh verig, da bi se razvil </w:t>
      </w:r>
      <w:r w:rsidRPr="00C33863">
        <w:rPr>
          <w:b/>
        </w:rPr>
        <w:t>proizvodni model, osredotočen na evropske vrednote in zmogljivosti</w:t>
      </w:r>
      <w:r w:rsidRPr="00C33863">
        <w:t>;</w:t>
      </w:r>
    </w:p>
    <w:p w:rsidRPr="00C33863" w:rsidR="00B6056A" w:rsidP="00632498" w:rsidRDefault="00B6056A" w14:paraId="1CC58FD1" w14:textId="77777777">
      <w:pPr>
        <w:numPr>
          <w:ilvl w:val="0"/>
          <w:numId w:val="15"/>
        </w:numPr>
        <w:suppressAutoHyphens/>
        <w:overflowPunct w:val="0"/>
        <w:autoSpaceDE w:val="0"/>
        <w:autoSpaceDN w:val="0"/>
        <w:adjustRightInd w:val="0"/>
        <w:ind w:left="426" w:hanging="426"/>
        <w:textAlignment w:val="baseline"/>
        <w:rPr>
          <w:bCs/>
          <w:iCs/>
        </w:rPr>
      </w:pPr>
      <w:r w:rsidRPr="00C33863">
        <w:t>predlaga večjo uporabo kohezijskih sredstev, da bi države članice pridobile potrebno infrastrukturo za preprečevanje motenj v vrednostnih verigah na področjih prometa, odpornosti, obveščanja državljanov, cestne infrastrukture in infrastrukture informacijske tehnologije, zaščite hrane, kibernetske varnosti, sistemov oskrbe z energijo, dostopa do zanesljivih informacij ter varstva podatkov.</w:t>
      </w:r>
    </w:p>
    <w:p w:rsidRPr="00C33863" w:rsidR="00B6056A" w:rsidP="00B6056A" w:rsidRDefault="00B6056A" w14:paraId="622AF9F0" w14:textId="77777777"/>
    <w:tbl>
      <w:tblPr>
        <w:tblStyle w:val="TableGrid"/>
        <w:tblW w:w="48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842"/>
      </w:tblGrid>
      <w:tr w:rsidRPr="00C33863" w:rsidR="00B6056A" w:rsidTr="00BB7F23" w14:paraId="679769B4" w14:textId="77777777">
        <w:tc>
          <w:tcPr>
            <w:tcW w:w="1125" w:type="pct"/>
          </w:tcPr>
          <w:p w:rsidRPr="00C33863" w:rsidR="00B6056A" w:rsidP="00BB7F23" w:rsidRDefault="00B6056A" w14:paraId="25C34671" w14:textId="77777777">
            <w:pPr>
              <w:suppressAutoHyphens/>
              <w:rPr>
                <w:i/>
              </w:rPr>
            </w:pPr>
            <w:r w:rsidRPr="00C33863">
              <w:rPr>
                <w:b/>
                <w:i/>
              </w:rPr>
              <w:t>Kontaktna oseba</w:t>
            </w:r>
          </w:p>
        </w:tc>
        <w:tc>
          <w:tcPr>
            <w:tcW w:w="3875" w:type="pct"/>
          </w:tcPr>
          <w:p w:rsidRPr="00C33863" w:rsidR="00B6056A" w:rsidP="00BB7F23" w:rsidRDefault="00690955" w14:paraId="4F721B8A" w14:textId="3031CD55">
            <w:pPr>
              <w:suppressAutoHyphens/>
              <w:rPr>
                <w:i/>
              </w:rPr>
            </w:pPr>
            <w:r w:rsidRPr="00C33863">
              <w:rPr>
                <w:i/>
              </w:rPr>
              <w:t xml:space="preserve">Silvia </w:t>
            </w:r>
            <w:r w:rsidRPr="00C33863" w:rsidR="00641BDF">
              <w:rPr>
                <w:i/>
              </w:rPr>
              <w:t>STAFFA</w:t>
            </w:r>
          </w:p>
        </w:tc>
      </w:tr>
      <w:tr w:rsidRPr="00C33863" w:rsidR="00B6056A" w:rsidTr="00BB7F23" w14:paraId="2BD5C928" w14:textId="77777777">
        <w:tc>
          <w:tcPr>
            <w:tcW w:w="1125" w:type="pct"/>
          </w:tcPr>
          <w:p w:rsidRPr="00C33863" w:rsidR="00B6056A" w:rsidP="00BB7F23" w:rsidRDefault="00B6056A" w14:paraId="36BEFFCC" w14:textId="77777777">
            <w:pPr>
              <w:suppressAutoHyphens/>
              <w:rPr>
                <w:i/>
              </w:rPr>
            </w:pPr>
            <w:r w:rsidRPr="00C33863">
              <w:rPr>
                <w:i/>
              </w:rPr>
              <w:t>Telefon</w:t>
            </w:r>
          </w:p>
        </w:tc>
        <w:tc>
          <w:tcPr>
            <w:tcW w:w="3875" w:type="pct"/>
          </w:tcPr>
          <w:p w:rsidRPr="00C33863" w:rsidR="00B6056A" w:rsidP="00BB7F23" w:rsidRDefault="00B6056A" w14:paraId="5868140B" w14:textId="77777777">
            <w:pPr>
              <w:suppressAutoHyphens/>
              <w:rPr>
                <w:i/>
              </w:rPr>
            </w:pPr>
            <w:r w:rsidRPr="00C33863">
              <w:rPr>
                <w:i/>
              </w:rPr>
              <w:t>+ 32 25468378</w:t>
            </w:r>
          </w:p>
        </w:tc>
      </w:tr>
      <w:tr w:rsidRPr="00C33863" w:rsidR="00B6056A" w:rsidTr="00BB7F23" w14:paraId="0DE57D2E" w14:textId="77777777">
        <w:tc>
          <w:tcPr>
            <w:tcW w:w="1125" w:type="pct"/>
          </w:tcPr>
          <w:p w:rsidRPr="00C33863" w:rsidR="00B6056A" w:rsidP="00BB7F23" w:rsidRDefault="00B6056A" w14:paraId="4392D13B" w14:textId="77777777">
            <w:pPr>
              <w:suppressAutoHyphens/>
              <w:rPr>
                <w:i/>
              </w:rPr>
            </w:pPr>
            <w:r w:rsidRPr="00C33863">
              <w:rPr>
                <w:i/>
              </w:rPr>
              <w:t>E-naslov</w:t>
            </w:r>
          </w:p>
        </w:tc>
        <w:tc>
          <w:tcPr>
            <w:tcW w:w="3875" w:type="pct"/>
          </w:tcPr>
          <w:p w:rsidRPr="00C33863" w:rsidR="00B6056A" w:rsidP="00BB7F23" w:rsidRDefault="00662932" w14:paraId="7271AC22" w14:textId="77777777">
            <w:pPr>
              <w:suppressAutoHyphens/>
              <w:rPr>
                <w:i/>
                <w:iCs/>
                <w:sz w:val="20"/>
              </w:rPr>
            </w:pPr>
            <w:hyperlink w:history="1" r:id="rId44">
              <w:r w:rsidRPr="00C33863" w:rsidR="00B6056A">
                <w:rPr>
                  <w:rStyle w:val="Hyperlink"/>
                  <w:i/>
                  <w:sz w:val="20"/>
                </w:rPr>
                <w:t>S</w:t>
              </w:r>
              <w:r w:rsidRPr="00C33863" w:rsidR="00B6056A">
                <w:rPr>
                  <w:rStyle w:val="Hyperlink"/>
                  <w:i/>
                </w:rPr>
                <w:t>ilvi</w:t>
              </w:r>
              <w:r w:rsidRPr="00C33863" w:rsidR="00B6056A">
                <w:rPr>
                  <w:rStyle w:val="Hyperlink"/>
                  <w:i/>
                  <w:sz w:val="20"/>
                </w:rPr>
                <w:t>a.Staffa@eesc.europa.eu</w:t>
              </w:r>
            </w:hyperlink>
          </w:p>
        </w:tc>
      </w:tr>
    </w:tbl>
    <w:p w:rsidR="0096346D" w:rsidP="00D94D34" w:rsidRDefault="0096346D" w14:paraId="47736FB4" w14:textId="1EE9F832">
      <w:pPr>
        <w:jc w:val="left"/>
      </w:pPr>
      <w:r>
        <w:br w:type="page"/>
      </w:r>
    </w:p>
    <w:p w:rsidR="004D7AC0" w:rsidP="00D94D34" w:rsidRDefault="004D7AC0" w14:paraId="4982DE1F" w14:textId="77777777">
      <w:pPr>
        <w:pStyle w:val="Heading1"/>
        <w:rPr>
          <w:b/>
        </w:rPr>
      </w:pPr>
      <w:bookmarkStart w:name="_Toc204261495" w:id="5"/>
      <w:bookmarkStart w:name="_Toc204268759" w:id="6"/>
      <w:bookmarkStart w:name="_Toc204268924" w:id="7"/>
      <w:bookmarkStart w:name="_Toc204269058" w:id="8"/>
      <w:bookmarkStart w:name="_Toc204269163" w:id="9"/>
      <w:bookmarkStart w:name="_Toc204269268" w:id="10"/>
      <w:bookmarkStart w:name="_Toc204269364" w:id="11"/>
      <w:bookmarkStart w:name="_Toc204269452" w:id="12"/>
      <w:bookmarkStart w:name="_Toc204269540" w:id="13"/>
      <w:bookmarkStart w:name="_Toc204269620" w:id="14"/>
      <w:bookmarkStart w:name="_Toc204269692" w:id="15"/>
      <w:bookmarkStart w:name="_Toc204269752" w:id="16"/>
      <w:bookmarkStart w:name="_Toc204269799" w:id="17"/>
      <w:bookmarkStart w:name="_Toc204269968" w:id="18"/>
      <w:bookmarkStart w:name="_Toc204271414" w:id="19"/>
      <w:bookmarkStart w:name="_Toc70322234" w:id="20"/>
      <w:bookmarkStart w:name="_Toc75527084" w:id="21"/>
      <w:bookmarkStart w:name="_Toc204326343" w:id="2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b/>
        </w:rPr>
        <w:lastRenderedPageBreak/>
        <w:t>KMETIJSTVO, RAZVOJ PODEŽELJA IN OKOLJE</w:t>
      </w:r>
      <w:bookmarkEnd w:id="20"/>
      <w:bookmarkEnd w:id="21"/>
      <w:bookmarkEnd w:id="22"/>
    </w:p>
    <w:p w:rsidRPr="003A7ADB" w:rsidR="004D7AC0" w:rsidP="00D94D34" w:rsidRDefault="004D7AC0" w14:paraId="4982DE20" w14:textId="77777777"/>
    <w:p w:rsidRPr="00053DC6" w:rsidR="003A7ADB" w:rsidP="00641BDF" w:rsidRDefault="00662932" w14:paraId="3710716D" w14:textId="41206840">
      <w:pPr>
        <w:numPr>
          <w:ilvl w:val="0"/>
          <w:numId w:val="27"/>
        </w:numPr>
        <w:suppressAutoHyphens/>
        <w:ind w:left="927"/>
        <w:rPr>
          <w:i/>
          <w:iCs/>
        </w:rPr>
      </w:pPr>
      <w:hyperlink w:history="1" r:id="rId45">
        <w:r w:rsidR="003A7ADB">
          <w:rPr>
            <w:rStyle w:val="Hyperlink"/>
            <w:b/>
            <w:i/>
            <w:sz w:val="28"/>
          </w:rPr>
          <w:t>Sprememba pravil v mednarodnem ribištvu (NAFO, SPRFMO, IOTC, WCPFC, IATTC in ICCAT)</w:t>
        </w:r>
      </w:hyperlink>
    </w:p>
    <w:p w:rsidRPr="00FB6CB3" w:rsidR="003A7ADB" w:rsidP="003A7ADB" w:rsidRDefault="003A7ADB" w14:paraId="0CDC29DC" w14:textId="77777777"/>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770"/>
      </w:tblGrid>
      <w:tr w:rsidRPr="00FB6CB3" w:rsidR="003A7ADB" w:rsidTr="00690955" w14:paraId="04143795" w14:textId="77777777">
        <w:tc>
          <w:tcPr>
            <w:tcW w:w="2552" w:type="dxa"/>
          </w:tcPr>
          <w:p w:rsidRPr="00FB6CB3" w:rsidR="003A7ADB" w:rsidP="00BB7F23" w:rsidRDefault="003A7ADB" w14:paraId="753E866E" w14:textId="77777777">
            <w:pPr>
              <w:tabs>
                <w:tab w:val="center" w:pos="284"/>
              </w:tabs>
              <w:suppressAutoHyphens/>
              <w:ind w:left="266" w:hanging="266"/>
              <w:rPr>
                <w:b/>
              </w:rPr>
            </w:pPr>
            <w:r w:rsidRPr="00FB6CB3">
              <w:rPr>
                <w:b/>
              </w:rPr>
              <w:t>Poročevalec</w:t>
            </w:r>
          </w:p>
        </w:tc>
        <w:tc>
          <w:tcPr>
            <w:tcW w:w="6770" w:type="dxa"/>
          </w:tcPr>
          <w:p w:rsidRPr="00FB6CB3" w:rsidR="003A7ADB" w:rsidP="00BB7F23" w:rsidRDefault="003A7ADB" w14:paraId="7AB81BEC" w14:textId="77777777">
            <w:pPr>
              <w:tabs>
                <w:tab w:val="center" w:pos="284"/>
              </w:tabs>
              <w:suppressAutoHyphens/>
              <w:ind w:left="266" w:hanging="266"/>
              <w:rPr>
                <w:b/>
                <w:bCs/>
              </w:rPr>
            </w:pPr>
            <w:r w:rsidRPr="00FB6CB3">
              <w:rPr>
                <w:b/>
              </w:rPr>
              <w:t xml:space="preserve">Javier GARAT PÉREZ </w:t>
            </w:r>
            <w:r w:rsidRPr="00FB6CB3">
              <w:t>(skupina organizacij civilne družbe – ES)</w:t>
            </w:r>
          </w:p>
        </w:tc>
      </w:tr>
      <w:tr w:rsidRPr="00FB6CB3" w:rsidR="003A7ADB" w:rsidTr="00BB7F23" w14:paraId="50FAA1A8" w14:textId="77777777">
        <w:tc>
          <w:tcPr>
            <w:tcW w:w="9322" w:type="dxa"/>
            <w:gridSpan w:val="2"/>
          </w:tcPr>
          <w:p w:rsidRPr="00FB6CB3" w:rsidR="003A7ADB" w:rsidP="00BB7F23" w:rsidRDefault="003A7ADB" w14:paraId="16A4F293" w14:textId="77777777">
            <w:pPr>
              <w:tabs>
                <w:tab w:val="left" w:pos="2690"/>
              </w:tabs>
              <w:suppressAutoHyphens/>
              <w:spacing w:line="240" w:lineRule="auto"/>
              <w:ind w:left="266" w:hanging="266"/>
              <w:rPr>
                <w:sz w:val="16"/>
                <w:szCs w:val="16"/>
              </w:rPr>
            </w:pPr>
          </w:p>
        </w:tc>
      </w:tr>
      <w:tr w:rsidRPr="00FB6CB3" w:rsidR="003A7ADB" w:rsidTr="00690955" w14:paraId="1F83C347" w14:textId="77777777">
        <w:trPr>
          <w:trHeight w:val="663"/>
        </w:trPr>
        <w:tc>
          <w:tcPr>
            <w:tcW w:w="2552" w:type="dxa"/>
          </w:tcPr>
          <w:p w:rsidRPr="00FB6CB3" w:rsidR="003A7ADB" w:rsidP="00BB7F23" w:rsidRDefault="003A7ADB" w14:paraId="3A1882F9" w14:textId="6217BE20">
            <w:pPr>
              <w:tabs>
                <w:tab w:val="center" w:pos="284"/>
              </w:tabs>
              <w:suppressAutoHyphens/>
              <w:ind w:left="266" w:hanging="266"/>
              <w:rPr>
                <w:b/>
              </w:rPr>
            </w:pPr>
            <w:r w:rsidRPr="00FB6CB3">
              <w:rPr>
                <w:b/>
              </w:rPr>
              <w:t>Referenčn</w:t>
            </w:r>
            <w:r w:rsidR="00690955">
              <w:rPr>
                <w:b/>
              </w:rPr>
              <w:t>a</w:t>
            </w:r>
            <w:r w:rsidRPr="00FB6CB3">
              <w:rPr>
                <w:b/>
              </w:rPr>
              <w:t xml:space="preserve"> dokument</w:t>
            </w:r>
            <w:r w:rsidR="00690955">
              <w:rPr>
                <w:b/>
              </w:rPr>
              <w:t>a</w:t>
            </w:r>
          </w:p>
        </w:tc>
        <w:tc>
          <w:tcPr>
            <w:tcW w:w="6770" w:type="dxa"/>
          </w:tcPr>
          <w:p w:rsidR="003A7ADB" w:rsidP="00BB7F23" w:rsidRDefault="003A7ADB" w14:paraId="72D6B42E" w14:textId="5E6AB64C">
            <w:pPr>
              <w:tabs>
                <w:tab w:val="center" w:pos="284"/>
              </w:tabs>
              <w:suppressAutoHyphens/>
              <w:ind w:left="266" w:hanging="266"/>
            </w:pPr>
            <w:r>
              <w:rPr>
                <w:lang w:val="en-GB"/>
              </w:rPr>
              <w:t>COM(2025) 195 final</w:t>
            </w:r>
          </w:p>
          <w:p w:rsidRPr="00FB6CB3" w:rsidR="003A7ADB" w:rsidP="00BB7F23" w:rsidRDefault="003A7ADB" w14:paraId="5965553C" w14:textId="18FE6789">
            <w:pPr>
              <w:tabs>
                <w:tab w:val="center" w:pos="284"/>
              </w:tabs>
              <w:suppressAutoHyphens/>
              <w:ind w:left="266" w:hanging="266"/>
            </w:pPr>
            <w:r w:rsidRPr="00FB6CB3">
              <w:t>EESC-2025-00766-00-00-AC</w:t>
            </w:r>
          </w:p>
        </w:tc>
      </w:tr>
    </w:tbl>
    <w:p w:rsidRPr="00FB6CB3" w:rsidR="003A7ADB" w:rsidP="003A7ADB" w:rsidRDefault="003A7ADB" w14:paraId="1CE74486" w14:textId="77777777">
      <w:pPr>
        <w:tabs>
          <w:tab w:val="center" w:pos="284"/>
        </w:tabs>
        <w:suppressAutoHyphens/>
        <w:spacing w:line="240" w:lineRule="auto"/>
        <w:ind w:left="266" w:hanging="266"/>
        <w:rPr>
          <w:bCs/>
        </w:rPr>
      </w:pPr>
    </w:p>
    <w:p w:rsidRPr="00FB6CB3" w:rsidR="003A7ADB" w:rsidP="003A7ADB" w:rsidRDefault="003A7ADB" w14:paraId="6F3C9853" w14:textId="77777777">
      <w:pPr>
        <w:tabs>
          <w:tab w:val="center" w:pos="284"/>
        </w:tabs>
        <w:suppressAutoHyphens/>
        <w:ind w:left="266" w:hanging="266"/>
        <w:rPr>
          <w:b/>
        </w:rPr>
      </w:pPr>
      <w:r w:rsidRPr="00FB6CB3">
        <w:rPr>
          <w:b/>
        </w:rPr>
        <w:t>Glavne točke</w:t>
      </w:r>
    </w:p>
    <w:p w:rsidRPr="00FB6CB3" w:rsidR="003A7ADB" w:rsidP="003A7ADB" w:rsidRDefault="003A7ADB" w14:paraId="02ACAB95" w14:textId="77777777">
      <w:pPr>
        <w:tabs>
          <w:tab w:val="center" w:pos="284"/>
        </w:tabs>
        <w:suppressAutoHyphens/>
        <w:spacing w:line="240" w:lineRule="auto"/>
        <w:ind w:left="266" w:hanging="266"/>
        <w:rPr>
          <w:bCs/>
        </w:rPr>
      </w:pPr>
    </w:p>
    <w:p w:rsidRPr="00CD1B7F" w:rsidR="003A7ADB" w:rsidP="00CD1B7F" w:rsidRDefault="003A7ADB" w14:paraId="506E745D" w14:textId="4F286F87">
      <w:pPr>
        <w:suppressAutoHyphens/>
      </w:pPr>
      <w:r w:rsidRPr="00FB6CB3">
        <w:t>EESO</w:t>
      </w:r>
    </w:p>
    <w:p w:rsidRPr="00FB6CB3" w:rsidR="003A7ADB" w:rsidP="00632498" w:rsidRDefault="003A7ADB" w14:paraId="387300E2" w14:textId="77777777">
      <w:pPr>
        <w:pStyle w:val="Heading2"/>
        <w:numPr>
          <w:ilvl w:val="1"/>
          <w:numId w:val="16"/>
        </w:numPr>
        <w:suppressAutoHyphens/>
        <w:spacing w:line="276" w:lineRule="auto"/>
        <w:ind w:left="425" w:hanging="425"/>
        <w:rPr>
          <w:spacing w:val="-4"/>
        </w:rPr>
      </w:pPr>
      <w:r w:rsidRPr="00FB6CB3">
        <w:rPr>
          <w:b/>
        </w:rPr>
        <w:t>meni, da je treba ohranitvene in nadzorne ukrepe</w:t>
      </w:r>
      <w:r w:rsidRPr="00FB6CB3">
        <w:t xml:space="preserve">, ki so jih sprejele regionalne organizacije za upravljanje ribištva, </w:t>
      </w:r>
      <w:r w:rsidRPr="00FB6CB3">
        <w:rPr>
          <w:b/>
        </w:rPr>
        <w:t>prenesti v zakonodajo EU</w:t>
      </w:r>
      <w:r w:rsidRPr="00FB6CB3">
        <w:t>, pri čemer je treba spoštovati načela in cilje skupne ribiške politike ter preprečiti regulativno prekrivanje in nedoslednosti. Uskladitev je nujna za učinkovitost ukrepov upravljanja na področju mednarodnega ribištva;</w:t>
      </w:r>
    </w:p>
    <w:p w:rsidRPr="00FB6CB3" w:rsidR="003A7ADB" w:rsidP="00632498" w:rsidRDefault="003A7ADB" w14:paraId="2EF5A390" w14:textId="77777777">
      <w:pPr>
        <w:pStyle w:val="Heading2"/>
        <w:numPr>
          <w:ilvl w:val="1"/>
          <w:numId w:val="16"/>
        </w:numPr>
        <w:suppressAutoHyphens/>
        <w:spacing w:line="276" w:lineRule="auto"/>
        <w:ind w:left="425" w:hanging="425"/>
      </w:pPr>
      <w:r w:rsidRPr="00FB6CB3">
        <w:t>podpira predlog Komisije in poudarja, da je v svojih prejšnjih mnenjih že večkrat izrazil podporo podobnim pobudam;</w:t>
      </w:r>
    </w:p>
    <w:p w:rsidRPr="00FB6CB3" w:rsidR="003A7ADB" w:rsidP="00632498" w:rsidRDefault="003A7ADB" w14:paraId="20908D67" w14:textId="77777777">
      <w:pPr>
        <w:pStyle w:val="Heading2"/>
        <w:numPr>
          <w:ilvl w:val="1"/>
          <w:numId w:val="16"/>
        </w:numPr>
        <w:suppressAutoHyphens/>
        <w:spacing w:line="276" w:lineRule="auto"/>
        <w:ind w:left="425" w:hanging="425"/>
      </w:pPr>
      <w:r w:rsidRPr="00FB6CB3">
        <w:t xml:space="preserve">odločno podpira nujnost </w:t>
      </w:r>
      <w:r w:rsidRPr="00FB6CB3">
        <w:rPr>
          <w:b/>
        </w:rPr>
        <w:t>dodatne poenostavitve zakonodaje</w:t>
      </w:r>
      <w:r w:rsidRPr="00FB6CB3">
        <w:t>, učinkovitega zmanjšanja upravnega bremena ter pospešitve postopkov; pozdravlja pobudo za sveženj omnibus, ki je korak v pravo smer;</w:t>
      </w:r>
    </w:p>
    <w:p w:rsidRPr="00FB6CB3" w:rsidR="003A7ADB" w:rsidP="00632498" w:rsidRDefault="003A7ADB" w14:paraId="648D63D6" w14:textId="77777777">
      <w:pPr>
        <w:pStyle w:val="Heading2"/>
        <w:numPr>
          <w:ilvl w:val="1"/>
          <w:numId w:val="16"/>
        </w:numPr>
        <w:suppressAutoHyphens/>
        <w:spacing w:line="276" w:lineRule="auto"/>
        <w:ind w:left="425" w:hanging="425"/>
      </w:pPr>
      <w:r w:rsidRPr="00FB6CB3">
        <w:t>meni, da mora biti prenos vedno izveden brez dodajanja novih obveznosti za floto EU, ki niso bile dogovorjene;</w:t>
      </w:r>
    </w:p>
    <w:p w:rsidRPr="00FB6CB3" w:rsidR="003A7ADB" w:rsidP="00632498" w:rsidRDefault="003A7ADB" w14:paraId="1F3BE428" w14:textId="77777777">
      <w:pPr>
        <w:pStyle w:val="Heading2"/>
        <w:numPr>
          <w:ilvl w:val="1"/>
          <w:numId w:val="16"/>
        </w:numPr>
        <w:suppressAutoHyphens/>
        <w:spacing w:line="276" w:lineRule="auto"/>
        <w:ind w:left="425" w:hanging="425"/>
        <w:rPr>
          <w:spacing w:val="-4"/>
        </w:rPr>
      </w:pPr>
      <w:r w:rsidRPr="00FB6CB3">
        <w:t>poudarja, da v sedanjem predlogu ni učinkovitega mehanizma za samodejni prenos nekaterih pravil, ki so jih sprejele regionalne organizacije za upravljanje ribištva. Sedanji sistem zahteva redne spremembe predpisov z dolgotrajnimi in zapletenimi zakonodajnimi postopki, kar upočasnjuje prenos mednarodnih standardov;</w:t>
      </w:r>
    </w:p>
    <w:p w:rsidRPr="00FB6CB3" w:rsidR="003A7ADB" w:rsidP="00632498" w:rsidRDefault="003A7ADB" w14:paraId="57AC9D15" w14:textId="77777777">
      <w:pPr>
        <w:pStyle w:val="Heading2"/>
        <w:numPr>
          <w:ilvl w:val="1"/>
          <w:numId w:val="16"/>
        </w:numPr>
        <w:suppressAutoHyphens/>
        <w:spacing w:line="276" w:lineRule="auto"/>
        <w:ind w:left="425" w:hanging="425"/>
      </w:pPr>
      <w:r w:rsidRPr="00FB6CB3">
        <w:t xml:space="preserve">znova opozarja, da bi nadaljnja </w:t>
      </w:r>
      <w:r w:rsidRPr="00FB6CB3">
        <w:rPr>
          <w:b/>
        </w:rPr>
        <w:t>uporaba uredbe lahko privedla do nasprotujočih si pravil</w:t>
      </w:r>
      <w:r w:rsidRPr="00FB6CB3">
        <w:t xml:space="preserve"> ali vsaj </w:t>
      </w:r>
      <w:r w:rsidRPr="00FB6CB3">
        <w:rPr>
          <w:b/>
        </w:rPr>
        <w:t>obdobij pravne negotovosti</w:t>
      </w:r>
      <w:r w:rsidRPr="00FB6CB3">
        <w:t xml:space="preserve"> za uprave in celo podjetja. Nastala pa bi lahko tudi izkrivljanja pri izvajanju ukrepov v zvezi s flotami tretjih držav;</w:t>
      </w:r>
    </w:p>
    <w:p w:rsidRPr="00FB6CB3" w:rsidR="003A7ADB" w:rsidP="00632498" w:rsidRDefault="003A7ADB" w14:paraId="14132492" w14:textId="77777777">
      <w:pPr>
        <w:pStyle w:val="Heading2"/>
        <w:numPr>
          <w:ilvl w:val="1"/>
          <w:numId w:val="16"/>
        </w:numPr>
        <w:suppressAutoHyphens/>
        <w:spacing w:line="276" w:lineRule="auto"/>
        <w:ind w:left="425" w:hanging="425"/>
      </w:pPr>
      <w:r w:rsidRPr="00FB6CB3">
        <w:t xml:space="preserve">ponavlja svoje priporočilo, naj se </w:t>
      </w:r>
      <w:r w:rsidRPr="00FB6CB3">
        <w:rPr>
          <w:b/>
        </w:rPr>
        <w:t>preuči izvedljivost vzpostavitve pospešenega postopka</w:t>
      </w:r>
      <w:r w:rsidRPr="00FB6CB3">
        <w:t>, ki bi omogočil neposreden začetek veljavnosti nekaterih tehničnih ukrepov, ki so jih sprejele regionalne organizacije za upravljanje ribištva, na podlagi mehanizma pogojenega samodejnega prenosa;</w:t>
      </w:r>
    </w:p>
    <w:p w:rsidRPr="00FB6CB3" w:rsidR="003A7ADB" w:rsidP="00632498" w:rsidRDefault="003A7ADB" w14:paraId="3D6EA4C5" w14:textId="77777777">
      <w:pPr>
        <w:pStyle w:val="Heading2"/>
        <w:numPr>
          <w:ilvl w:val="1"/>
          <w:numId w:val="16"/>
        </w:numPr>
        <w:suppressAutoHyphens/>
        <w:spacing w:line="276" w:lineRule="auto"/>
        <w:ind w:left="425" w:hanging="425"/>
      </w:pPr>
      <w:r w:rsidRPr="00FB6CB3">
        <w:t xml:space="preserve">poziva Komisijo, naj v skladu s Konvencijo ZN o pomorskem mednarodnem pravu (UNCLOS) in Newyorškim sporazumom glede ohranjanja in upravljanja </w:t>
      </w:r>
      <w:proofErr w:type="spellStart"/>
      <w:r w:rsidRPr="00FB6CB3">
        <w:t>čezconskih</w:t>
      </w:r>
      <w:proofErr w:type="spellEnd"/>
      <w:r w:rsidRPr="00FB6CB3">
        <w:t xml:space="preserve"> staležev rib in izrazito </w:t>
      </w:r>
      <w:proofErr w:type="spellStart"/>
      <w:r w:rsidRPr="00FB6CB3">
        <w:t>selivskih</w:t>
      </w:r>
      <w:proofErr w:type="spellEnd"/>
      <w:r w:rsidRPr="00FB6CB3">
        <w:t xml:space="preserve"> staležev rib okrepi sodelovanje in usklajevanje z vsemi državami, katerih flote izkoriščajo te staleže, tako v dvostranskih okvirih kot v okviru regionalnih organizacij za upravljanje ribištva; poudarja, da je </w:t>
      </w:r>
      <w:r w:rsidRPr="00FB6CB3">
        <w:rPr>
          <w:b/>
        </w:rPr>
        <w:t>treba zagotoviti enake konkurenčne pogoje</w:t>
      </w:r>
      <w:r w:rsidRPr="00FB6CB3">
        <w:t xml:space="preserve"> in se izogibati dvojnim standardom, ki bi lahko škodovali evropskim gospodarskim subjektom, zavezanim spoštovanju mednarodnih standardov.</w:t>
      </w:r>
    </w:p>
    <w:p w:rsidRPr="00FB6CB3" w:rsidR="003A7ADB" w:rsidP="003A7ADB" w:rsidRDefault="003A7ADB" w14:paraId="58B3E817" w14:textId="77777777">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598"/>
      </w:tblGrid>
      <w:tr w:rsidRPr="00FB6CB3" w:rsidR="003A7ADB" w:rsidTr="00BB7F23" w14:paraId="348EEE04" w14:textId="77777777">
        <w:tc>
          <w:tcPr>
            <w:tcW w:w="1951" w:type="dxa"/>
          </w:tcPr>
          <w:p w:rsidRPr="00FB6CB3" w:rsidR="003A7ADB" w:rsidP="00BB7F23" w:rsidRDefault="003A7ADB" w14:paraId="08DBA1FC" w14:textId="77777777">
            <w:pPr>
              <w:suppressAutoHyphens/>
              <w:rPr>
                <w:i/>
                <w:iCs/>
              </w:rPr>
            </w:pPr>
            <w:r w:rsidRPr="00FB6CB3">
              <w:rPr>
                <w:b/>
                <w:i/>
              </w:rPr>
              <w:t>Kontaktna oseba</w:t>
            </w:r>
          </w:p>
        </w:tc>
        <w:tc>
          <w:tcPr>
            <w:tcW w:w="5598" w:type="dxa"/>
          </w:tcPr>
          <w:p w:rsidRPr="00FB6CB3" w:rsidR="003A7ADB" w:rsidP="00BB7F23" w:rsidRDefault="003A7ADB" w14:paraId="6CE1FC0A" w14:textId="4DC91BEA">
            <w:pPr>
              <w:suppressAutoHyphens/>
              <w:rPr>
                <w:i/>
              </w:rPr>
            </w:pPr>
            <w:r w:rsidRPr="00FB6CB3">
              <w:t xml:space="preserve">Arturo </w:t>
            </w:r>
            <w:r w:rsidRPr="00FB6CB3" w:rsidR="00641BDF">
              <w:t>ÍÑIGUEZ</w:t>
            </w:r>
          </w:p>
        </w:tc>
      </w:tr>
      <w:tr w:rsidRPr="00FB6CB3" w:rsidR="003A7ADB" w:rsidTr="00BB7F23" w14:paraId="353B5FF8" w14:textId="77777777">
        <w:tc>
          <w:tcPr>
            <w:tcW w:w="1951" w:type="dxa"/>
          </w:tcPr>
          <w:p w:rsidRPr="00FB6CB3" w:rsidR="003A7ADB" w:rsidP="00BB7F23" w:rsidRDefault="003A7ADB" w14:paraId="6A4DD5F5" w14:textId="77777777">
            <w:pPr>
              <w:suppressAutoHyphens/>
              <w:rPr>
                <w:i/>
              </w:rPr>
            </w:pPr>
            <w:r w:rsidRPr="00FB6CB3">
              <w:rPr>
                <w:i/>
              </w:rPr>
              <w:t>Telefon</w:t>
            </w:r>
          </w:p>
        </w:tc>
        <w:tc>
          <w:tcPr>
            <w:tcW w:w="5598" w:type="dxa"/>
          </w:tcPr>
          <w:p w:rsidRPr="00FB6CB3" w:rsidR="003A7ADB" w:rsidP="00BB7F23" w:rsidRDefault="003A7ADB" w14:paraId="47161549" w14:textId="77777777">
            <w:pPr>
              <w:suppressAutoHyphens/>
              <w:rPr>
                <w:i/>
                <w:iCs/>
              </w:rPr>
            </w:pPr>
            <w:r w:rsidRPr="00FB6CB3">
              <w:rPr>
                <w:i/>
              </w:rPr>
              <w:t>+32 25468768</w:t>
            </w:r>
          </w:p>
        </w:tc>
      </w:tr>
      <w:tr w:rsidRPr="00FB6CB3" w:rsidR="003A7ADB" w:rsidTr="00BB7F23" w14:paraId="23BA9594" w14:textId="77777777">
        <w:tc>
          <w:tcPr>
            <w:tcW w:w="1951" w:type="dxa"/>
          </w:tcPr>
          <w:p w:rsidRPr="00FB6CB3" w:rsidR="003A7ADB" w:rsidP="00BB7F23" w:rsidRDefault="003A7ADB" w14:paraId="41DD8DC0" w14:textId="77777777">
            <w:pPr>
              <w:suppressAutoHyphens/>
              <w:rPr>
                <w:i/>
              </w:rPr>
            </w:pPr>
            <w:r w:rsidRPr="00FB6CB3">
              <w:rPr>
                <w:i/>
              </w:rPr>
              <w:t>E-naslov</w:t>
            </w:r>
          </w:p>
        </w:tc>
        <w:tc>
          <w:tcPr>
            <w:tcW w:w="5598" w:type="dxa"/>
          </w:tcPr>
          <w:p w:rsidRPr="00FB6CB3" w:rsidR="003A7ADB" w:rsidP="00BB7F23" w:rsidRDefault="00662932" w14:paraId="6B93E4BA" w14:textId="77777777">
            <w:pPr>
              <w:suppressAutoHyphens/>
              <w:rPr>
                <w:i/>
                <w:iCs/>
                <w:color w:val="0000FF"/>
                <w:u w:val="single"/>
              </w:rPr>
            </w:pPr>
            <w:hyperlink w:history="1" r:id="rId46">
              <w:r w:rsidRPr="00FB6CB3" w:rsidR="003A7ADB">
                <w:rPr>
                  <w:rStyle w:val="Hyperlink"/>
                  <w:i/>
                </w:rPr>
                <w:t>Arturo.Iniguez@eesc.europa.eu</w:t>
              </w:r>
            </w:hyperlink>
          </w:p>
        </w:tc>
      </w:tr>
    </w:tbl>
    <w:p w:rsidRPr="00281901" w:rsidR="003A7ADB" w:rsidRDefault="003A7ADB" w14:paraId="48C4E3E1" w14:textId="1A912B7F">
      <w:pPr>
        <w:spacing w:after="160" w:line="259" w:lineRule="auto"/>
        <w:jc w:val="left"/>
      </w:pPr>
      <w:r w:rsidRPr="00281901">
        <w:br w:type="page"/>
      </w:r>
    </w:p>
    <w:p w:rsidRPr="00690955" w:rsidR="003A7ADB" w:rsidP="00632498" w:rsidRDefault="00662932" w14:paraId="7F5C0443" w14:textId="1473BBF8">
      <w:pPr>
        <w:widowControl w:val="0"/>
        <w:numPr>
          <w:ilvl w:val="0"/>
          <w:numId w:val="27"/>
        </w:numPr>
        <w:overflowPunct w:val="0"/>
        <w:autoSpaceDE w:val="0"/>
        <w:autoSpaceDN w:val="0"/>
        <w:adjustRightInd w:val="0"/>
        <w:ind w:right="249"/>
        <w:textAlignment w:val="baseline"/>
        <w:rPr>
          <w:b/>
          <w:bCs/>
          <w:i/>
          <w:iCs/>
          <w:sz w:val="28"/>
          <w:szCs w:val="28"/>
        </w:rPr>
      </w:pPr>
      <w:hyperlink w:history="1" r:id="rId47">
        <w:r w:rsidRPr="00690955" w:rsidR="003A7ADB">
          <w:rPr>
            <w:rStyle w:val="Hyperlink"/>
            <w:b/>
            <w:i/>
            <w:sz w:val="28"/>
          </w:rPr>
          <w:t>Ohranjanje in trajnostna raba morske biotske raznovrstnosti na območjih zunaj nacionalne jurisdikcije: ratifikacija sporazuma o morski biotski raznovrstnosti na območjih zunaj nacionalne jurisdikcije (Sporazum o BBNJ)</w:t>
        </w:r>
      </w:hyperlink>
    </w:p>
    <w:p w:rsidR="003A7ADB" w:rsidP="003A7ADB" w:rsidRDefault="003A7ADB" w14:paraId="081C7E2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6237"/>
      </w:tblGrid>
      <w:tr w:rsidR="003A7ADB" w:rsidTr="00690955" w14:paraId="5E388F15" w14:textId="77777777">
        <w:tc>
          <w:tcPr>
            <w:tcW w:w="2694" w:type="dxa"/>
          </w:tcPr>
          <w:p w:rsidR="003A7ADB" w:rsidP="003A7ADB" w:rsidRDefault="003A7ADB" w14:paraId="48210CF7" w14:textId="77777777">
            <w:pPr>
              <w:ind w:right="249"/>
              <w:rPr>
                <w:b/>
              </w:rPr>
            </w:pPr>
            <w:r>
              <w:rPr>
                <w:b/>
              </w:rPr>
              <w:t>Poročevalec</w:t>
            </w:r>
          </w:p>
        </w:tc>
        <w:tc>
          <w:tcPr>
            <w:tcW w:w="6237" w:type="dxa"/>
          </w:tcPr>
          <w:p w:rsidRPr="00690955" w:rsidR="003A7ADB" w:rsidP="003A7ADB" w:rsidRDefault="003A7ADB" w14:paraId="36FB354D" w14:textId="77777777">
            <w:pPr>
              <w:tabs>
                <w:tab w:val="center" w:pos="284"/>
              </w:tabs>
              <w:ind w:left="39" w:right="249"/>
              <w:rPr>
                <w:bCs/>
                <w:lang w:val="pt-PT"/>
              </w:rPr>
            </w:pPr>
            <w:r w:rsidRPr="00690955">
              <w:rPr>
                <w:bCs/>
                <w:lang w:val="pt-PT"/>
              </w:rPr>
              <w:t>Javier GARAT PÉREZ (</w:t>
            </w:r>
            <w:proofErr w:type="spellStart"/>
            <w:r w:rsidRPr="00690955">
              <w:rPr>
                <w:bCs/>
                <w:lang w:val="pt-PT"/>
              </w:rPr>
              <w:t>skupina</w:t>
            </w:r>
            <w:proofErr w:type="spellEnd"/>
            <w:r w:rsidRPr="00690955">
              <w:rPr>
                <w:bCs/>
                <w:lang w:val="pt-PT"/>
              </w:rPr>
              <w:t xml:space="preserve"> </w:t>
            </w:r>
            <w:proofErr w:type="spellStart"/>
            <w:r w:rsidRPr="00690955">
              <w:rPr>
                <w:bCs/>
                <w:lang w:val="pt-PT"/>
              </w:rPr>
              <w:t>organizacij</w:t>
            </w:r>
            <w:proofErr w:type="spellEnd"/>
            <w:r w:rsidRPr="00690955">
              <w:rPr>
                <w:bCs/>
                <w:lang w:val="pt-PT"/>
              </w:rPr>
              <w:t xml:space="preserve"> </w:t>
            </w:r>
            <w:proofErr w:type="spellStart"/>
            <w:r w:rsidRPr="00690955">
              <w:rPr>
                <w:bCs/>
                <w:lang w:val="pt-PT"/>
              </w:rPr>
              <w:t>civilne</w:t>
            </w:r>
            <w:proofErr w:type="spellEnd"/>
            <w:r w:rsidRPr="00690955">
              <w:rPr>
                <w:bCs/>
                <w:lang w:val="pt-PT"/>
              </w:rPr>
              <w:t xml:space="preserve"> </w:t>
            </w:r>
            <w:proofErr w:type="spellStart"/>
            <w:r w:rsidRPr="00690955">
              <w:rPr>
                <w:bCs/>
                <w:lang w:val="pt-PT"/>
              </w:rPr>
              <w:t>družbe</w:t>
            </w:r>
            <w:proofErr w:type="spellEnd"/>
            <w:r w:rsidRPr="00690955">
              <w:rPr>
                <w:bCs/>
                <w:lang w:val="pt-PT"/>
              </w:rPr>
              <w:t xml:space="preserve"> – ES)</w:t>
            </w:r>
          </w:p>
        </w:tc>
      </w:tr>
      <w:tr w:rsidR="003A7ADB" w:rsidTr="00690955" w14:paraId="7C03D480" w14:textId="77777777">
        <w:tc>
          <w:tcPr>
            <w:tcW w:w="8931" w:type="dxa"/>
            <w:gridSpan w:val="2"/>
          </w:tcPr>
          <w:p w:rsidRPr="003A7ADB" w:rsidR="003A7ADB" w:rsidP="00BF4561" w:rsidRDefault="003A7ADB" w14:paraId="7187A64D" w14:textId="77777777">
            <w:pPr>
              <w:tabs>
                <w:tab w:val="center" w:pos="284"/>
              </w:tabs>
              <w:spacing w:line="240" w:lineRule="auto"/>
              <w:ind w:left="39" w:right="249"/>
              <w:rPr>
                <w:b/>
                <w:sz w:val="16"/>
                <w:szCs w:val="16"/>
              </w:rPr>
            </w:pPr>
          </w:p>
        </w:tc>
      </w:tr>
      <w:tr w:rsidR="003A7ADB" w:rsidTr="00690955" w14:paraId="490818DC" w14:textId="77777777">
        <w:tc>
          <w:tcPr>
            <w:tcW w:w="2694" w:type="dxa"/>
          </w:tcPr>
          <w:p w:rsidR="003A7ADB" w:rsidP="003A7ADB" w:rsidRDefault="003A7ADB" w14:paraId="3AD5F6BD" w14:textId="18FA3E7D">
            <w:pPr>
              <w:ind w:right="249"/>
              <w:rPr>
                <w:b/>
              </w:rPr>
            </w:pPr>
            <w:r>
              <w:rPr>
                <w:b/>
              </w:rPr>
              <w:t>Referenčn</w:t>
            </w:r>
            <w:r w:rsidR="00690955">
              <w:rPr>
                <w:b/>
              </w:rPr>
              <w:t>a</w:t>
            </w:r>
            <w:r>
              <w:rPr>
                <w:b/>
              </w:rPr>
              <w:t xml:space="preserve"> dokument</w:t>
            </w:r>
            <w:r w:rsidR="00690955">
              <w:rPr>
                <w:b/>
              </w:rPr>
              <w:t>a</w:t>
            </w:r>
          </w:p>
        </w:tc>
        <w:tc>
          <w:tcPr>
            <w:tcW w:w="6237" w:type="dxa"/>
          </w:tcPr>
          <w:p w:rsidR="00BF4561" w:rsidP="003A7ADB" w:rsidRDefault="00BF4561" w14:paraId="6A4F24ED" w14:textId="1F7F2746">
            <w:pPr>
              <w:tabs>
                <w:tab w:val="center" w:pos="284"/>
              </w:tabs>
              <w:ind w:left="39" w:right="249"/>
            </w:pPr>
            <w:proofErr w:type="gramStart"/>
            <w:r w:rsidRPr="00BF4561">
              <w:rPr>
                <w:bCs/>
                <w:lang w:val="pt-PT"/>
              </w:rPr>
              <w:t>COM(</w:t>
            </w:r>
            <w:proofErr w:type="gramEnd"/>
            <w:r w:rsidRPr="00BF4561">
              <w:rPr>
                <w:bCs/>
                <w:lang w:val="pt-PT"/>
              </w:rPr>
              <w:t>2025) 173 final</w:t>
            </w:r>
          </w:p>
          <w:p w:rsidR="003A7ADB" w:rsidP="003A7ADB" w:rsidRDefault="003A7ADB" w14:paraId="3D678FE5" w14:textId="424825DE">
            <w:pPr>
              <w:tabs>
                <w:tab w:val="center" w:pos="284"/>
              </w:tabs>
              <w:ind w:left="39" w:right="249"/>
              <w:rPr>
                <w:b/>
              </w:rPr>
            </w:pPr>
            <w:r>
              <w:t>EESC-2025-02043-00-00-A</w:t>
            </w:r>
            <w:r w:rsidR="00BF4561">
              <w:t>C</w:t>
            </w:r>
          </w:p>
        </w:tc>
      </w:tr>
    </w:tbl>
    <w:p w:rsidR="003A7ADB" w:rsidP="003A7ADB" w:rsidRDefault="003A7ADB" w14:paraId="56AE9380" w14:textId="77777777"/>
    <w:p w:rsidRPr="003A7ADB" w:rsidR="003A7ADB" w:rsidP="003A7ADB" w:rsidRDefault="003A7ADB" w14:paraId="025D7EB4" w14:textId="77777777">
      <w:pPr>
        <w:rPr>
          <w:b/>
          <w:bCs/>
        </w:rPr>
      </w:pPr>
      <w:r w:rsidRPr="003A7ADB">
        <w:rPr>
          <w:b/>
          <w:bCs/>
        </w:rPr>
        <w:t>Glavne točke</w:t>
      </w:r>
    </w:p>
    <w:p w:rsidRPr="00A6689B" w:rsidR="003A7ADB" w:rsidP="003A7ADB" w:rsidRDefault="003A7ADB" w14:paraId="57D273C4" w14:textId="77777777"/>
    <w:p w:rsidRPr="00A6689B" w:rsidR="003A7ADB" w:rsidP="003A7ADB" w:rsidRDefault="003A7ADB" w14:paraId="5DCDB0DE" w14:textId="5D4B719F">
      <w:r>
        <w:t>EESO</w:t>
      </w:r>
    </w:p>
    <w:p w:rsidR="003A7ADB" w:rsidP="00632498" w:rsidRDefault="003A7ADB" w14:paraId="370724AB" w14:textId="77777777">
      <w:pPr>
        <w:pStyle w:val="Heading2"/>
        <w:numPr>
          <w:ilvl w:val="1"/>
          <w:numId w:val="17"/>
        </w:numPr>
        <w:suppressAutoHyphens/>
        <w:ind w:left="426" w:right="249" w:hanging="426"/>
      </w:pPr>
      <w:r>
        <w:rPr>
          <w:b/>
        </w:rPr>
        <w:t>pozdravlja predlog direktive</w:t>
      </w:r>
      <w:r>
        <w:t xml:space="preserve"> za vključitev mednarodnega sporazuma o morski biotski raznovrstnosti na območjih zunaj nacionalne jurisdikcije (Sporazum o BBJN) v pravo EU;</w:t>
      </w:r>
    </w:p>
    <w:p w:rsidR="003A7ADB" w:rsidP="00632498" w:rsidRDefault="003A7ADB" w14:paraId="28167CCE" w14:textId="77777777">
      <w:pPr>
        <w:pStyle w:val="Heading2"/>
        <w:numPr>
          <w:ilvl w:val="1"/>
          <w:numId w:val="17"/>
        </w:numPr>
        <w:suppressAutoHyphens/>
        <w:ind w:left="426" w:right="249" w:hanging="426"/>
        <w:rPr>
          <w:color w:val="000000" w:themeColor="text1"/>
        </w:rPr>
      </w:pPr>
      <w:r>
        <w:rPr>
          <w:color w:val="000000" w:themeColor="text1"/>
        </w:rPr>
        <w:t xml:space="preserve">podpira stališče Evropske komisije, </w:t>
      </w:r>
      <w:r>
        <w:rPr>
          <w:b/>
          <w:color w:val="000000" w:themeColor="text1"/>
        </w:rPr>
        <w:t>da se Sporazum o BBNJ dosledno prenese</w:t>
      </w:r>
      <w:r>
        <w:rPr>
          <w:color w:val="000000" w:themeColor="text1"/>
        </w:rPr>
        <w:t xml:space="preserve"> v pravni red EU in da se ohranijo enotno izvajanje in enaki konkurenčni pogoji za vse akterje, ki delujejo z ozemlja EU;</w:t>
      </w:r>
    </w:p>
    <w:p w:rsidR="003A7ADB" w:rsidP="00632498" w:rsidRDefault="003A7ADB" w14:paraId="01BEA5A9" w14:textId="77777777">
      <w:pPr>
        <w:pStyle w:val="Heading2"/>
        <w:numPr>
          <w:ilvl w:val="1"/>
          <w:numId w:val="17"/>
        </w:numPr>
        <w:suppressAutoHyphens/>
        <w:ind w:left="426" w:right="249" w:hanging="426"/>
      </w:pPr>
      <w:r>
        <w:rPr>
          <w:color w:val="000000" w:themeColor="text1"/>
        </w:rPr>
        <w:t>priporoča</w:t>
      </w:r>
      <w:r>
        <w:rPr>
          <w:b/>
          <w:color w:val="000000" w:themeColor="text1"/>
        </w:rPr>
        <w:t xml:space="preserve"> popolno usklajenost</w:t>
      </w:r>
      <w:r>
        <w:rPr>
          <w:color w:val="000000" w:themeColor="text1"/>
        </w:rPr>
        <w:t xml:space="preserve"> Sporazuma o BBNJ </w:t>
      </w:r>
      <w:r>
        <w:rPr>
          <w:b/>
          <w:color w:val="000000" w:themeColor="text1"/>
        </w:rPr>
        <w:t>z evropskim okvirom</w:t>
      </w:r>
      <w:r>
        <w:rPr>
          <w:color w:val="000000" w:themeColor="text1"/>
        </w:rPr>
        <w:t xml:space="preserve"> in okoljskimi presojami ter večstranskimi okoljskimi sporazumi, katerih pogodbenice so Evropska unija in njene države članice, s čimer bi zagotovili skladnost in učinkovitost okoljskih politik na evropski in mednarodni ravni;</w:t>
      </w:r>
    </w:p>
    <w:p w:rsidR="003A7ADB" w:rsidP="00632498" w:rsidRDefault="003A7ADB" w14:paraId="09E5E810" w14:textId="77777777">
      <w:pPr>
        <w:pStyle w:val="Heading2"/>
        <w:numPr>
          <w:ilvl w:val="1"/>
          <w:numId w:val="17"/>
        </w:numPr>
        <w:suppressAutoHyphens/>
        <w:ind w:left="426" w:right="249" w:hanging="426"/>
        <w:rPr>
          <w:color w:val="000000" w:themeColor="text1"/>
        </w:rPr>
      </w:pPr>
      <w:r>
        <w:rPr>
          <w:color w:val="000000" w:themeColor="text1"/>
        </w:rPr>
        <w:t xml:space="preserve">se strinja z Evropsko komisijo, da bi bilo treba prenos Sporazuma o BBNJ v zakonodajo EU uskladiti s </w:t>
      </w:r>
      <w:r>
        <w:rPr>
          <w:b/>
          <w:color w:val="000000" w:themeColor="text1"/>
        </w:rPr>
        <w:t>sektorskimi pravili in politikami EU</w:t>
      </w:r>
      <w:r>
        <w:rPr>
          <w:color w:val="000000" w:themeColor="text1"/>
        </w:rPr>
        <w:t>;</w:t>
      </w:r>
    </w:p>
    <w:p w:rsidR="003A7ADB" w:rsidP="00632498" w:rsidRDefault="003A7ADB" w14:paraId="540472F9" w14:textId="77777777">
      <w:pPr>
        <w:pStyle w:val="Heading2"/>
        <w:numPr>
          <w:ilvl w:val="1"/>
          <w:numId w:val="17"/>
        </w:numPr>
        <w:suppressAutoHyphens/>
        <w:ind w:left="426" w:right="249" w:hanging="426"/>
        <w:rPr>
          <w:color w:val="000000" w:themeColor="text1"/>
        </w:rPr>
      </w:pPr>
      <w:r>
        <w:rPr>
          <w:color w:val="000000" w:themeColor="text1"/>
        </w:rPr>
        <w:t xml:space="preserve">priporoča, naj novi okvir BBNJ deluje </w:t>
      </w:r>
      <w:r>
        <w:rPr>
          <w:b/>
          <w:color w:val="000000" w:themeColor="text1"/>
        </w:rPr>
        <w:t>usklajeno in se dopolnjuje</w:t>
      </w:r>
      <w:r>
        <w:rPr>
          <w:color w:val="000000" w:themeColor="text1"/>
        </w:rPr>
        <w:t xml:space="preserve"> z obstoječimi mednarodnimi organi, kot so </w:t>
      </w:r>
      <w:r>
        <w:rPr>
          <w:b/>
          <w:color w:val="000000" w:themeColor="text1"/>
        </w:rPr>
        <w:t>regionalne organizacije za upravljanje ribištva, FAO</w:t>
      </w:r>
      <w:r>
        <w:rPr>
          <w:color w:val="000000" w:themeColor="text1"/>
        </w:rPr>
        <w:t xml:space="preserve"> in </w:t>
      </w:r>
      <w:r>
        <w:rPr>
          <w:b/>
          <w:color w:val="000000" w:themeColor="text1"/>
        </w:rPr>
        <w:t>Mednarodna pomorska organizacija</w:t>
      </w:r>
      <w:r>
        <w:rPr>
          <w:color w:val="000000" w:themeColor="text1"/>
        </w:rPr>
        <w:t>;</w:t>
      </w:r>
    </w:p>
    <w:p w:rsidR="003A7ADB" w:rsidP="00632498" w:rsidRDefault="003A7ADB" w14:paraId="49BB9E07" w14:textId="77777777">
      <w:pPr>
        <w:pStyle w:val="Heading2"/>
        <w:numPr>
          <w:ilvl w:val="1"/>
          <w:numId w:val="17"/>
        </w:numPr>
        <w:suppressAutoHyphens/>
        <w:ind w:left="426" w:right="249" w:hanging="426"/>
        <w:rPr>
          <w:color w:val="000000" w:themeColor="text1"/>
        </w:rPr>
      </w:pPr>
      <w:r>
        <w:t xml:space="preserve">v skladu z novim Kunminško-montrealskim svetovnim okvirom za biotsko raznovrstnost poziva, naj se do leta 2030 vsaj </w:t>
      </w:r>
      <w:r>
        <w:rPr>
          <w:b/>
        </w:rPr>
        <w:t>30 % voda na odprtem morju učinkovito ohranja in upravlja</w:t>
      </w:r>
      <w:r>
        <w:t xml:space="preserve"> s sistemi zavarovanih območij, ki so ekološko reprezentativni, dobro povezani in pravično upravljani, ter z drugimi učinkovitimi ohranitvenimi ukrepi, vezanimi na posamezna območja;</w:t>
      </w:r>
    </w:p>
    <w:p w:rsidRPr="00A22AB9" w:rsidR="003A7ADB" w:rsidP="00632498" w:rsidRDefault="003A7ADB" w14:paraId="3DAA4C75" w14:textId="77777777">
      <w:pPr>
        <w:pStyle w:val="Heading2"/>
        <w:numPr>
          <w:ilvl w:val="1"/>
          <w:numId w:val="17"/>
        </w:numPr>
        <w:suppressAutoHyphens/>
        <w:ind w:left="426" w:right="249" w:hanging="426"/>
        <w:rPr>
          <w:color w:val="000000" w:themeColor="text1"/>
        </w:rPr>
      </w:pPr>
      <w:r>
        <w:t xml:space="preserve">poudarja, da številne </w:t>
      </w:r>
      <w:r>
        <w:rPr>
          <w:b/>
        </w:rPr>
        <w:t>regionalne organizacije za upravljanje ribištva</w:t>
      </w:r>
      <w:r>
        <w:t xml:space="preserve"> že izvajajo ukrepe prostorskega upravljanja, vključno z </w:t>
      </w:r>
      <w:r>
        <w:rPr>
          <w:b/>
        </w:rPr>
        <w:t>morskimi zavarovanimi območji</w:t>
      </w:r>
      <w:r>
        <w:t xml:space="preserve">, in so začele določati druge </w:t>
      </w:r>
      <w:r>
        <w:rPr>
          <w:b/>
        </w:rPr>
        <w:t>učinkovite ohranitvene ukrepe za posamezno območje</w:t>
      </w:r>
      <w:r>
        <w:t>;</w:t>
      </w:r>
    </w:p>
    <w:p w:rsidRPr="00A22AB9" w:rsidR="003A7ADB" w:rsidP="00632498" w:rsidRDefault="003A7ADB" w14:paraId="4943FD25" w14:textId="77777777">
      <w:pPr>
        <w:pStyle w:val="Heading2"/>
        <w:numPr>
          <w:ilvl w:val="1"/>
          <w:numId w:val="17"/>
        </w:numPr>
        <w:suppressAutoHyphens/>
        <w:ind w:left="426" w:right="249" w:hanging="426"/>
        <w:rPr>
          <w:color w:val="000000" w:themeColor="text1"/>
        </w:rPr>
      </w:pPr>
      <w:r>
        <w:t>poudarja pomen učinkovitega usklajevanja med različnimi institucijami, ki sodelujejo pri izvajanju Sporazuma o BBNJ.</w:t>
      </w:r>
    </w:p>
    <w:p w:rsidRPr="00C46D28" w:rsidR="003A7ADB" w:rsidP="00BF4561" w:rsidRDefault="003A7ADB" w14:paraId="505349B6" w14:textId="77777777"/>
    <w:tbl>
      <w:tblPr>
        <w:tblStyle w:val="TableGrid"/>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8"/>
        <w:gridCol w:w="6235"/>
      </w:tblGrid>
      <w:tr w:rsidRPr="00A6689B" w:rsidR="00690955" w:rsidTr="00BF4561" w14:paraId="191EE6A4" w14:textId="77777777">
        <w:tc>
          <w:tcPr>
            <w:tcW w:w="1272" w:type="pct"/>
          </w:tcPr>
          <w:p w:rsidRPr="00A6689B" w:rsidR="00690955" w:rsidP="00690955" w:rsidRDefault="00690955" w14:paraId="263F99B8" w14:textId="77777777">
            <w:pPr>
              <w:ind w:left="29" w:right="249"/>
              <w:rPr>
                <w:i/>
              </w:rPr>
            </w:pPr>
            <w:r>
              <w:rPr>
                <w:b/>
                <w:i/>
              </w:rPr>
              <w:t>Kontaktna oseba</w:t>
            </w:r>
          </w:p>
        </w:tc>
        <w:tc>
          <w:tcPr>
            <w:tcW w:w="3728" w:type="pct"/>
          </w:tcPr>
          <w:p w:rsidRPr="00A6689B" w:rsidR="00690955" w:rsidP="00690955" w:rsidRDefault="00690955" w14:paraId="70F8F012" w14:textId="4715AEC4">
            <w:pPr>
              <w:ind w:left="26" w:right="249"/>
              <w:rPr>
                <w:i/>
              </w:rPr>
            </w:pPr>
            <w:r w:rsidRPr="00FB6CB3">
              <w:t xml:space="preserve">Arturo </w:t>
            </w:r>
            <w:r w:rsidRPr="00FB6CB3" w:rsidR="00641BDF">
              <w:t>ÍÑIGUEZ</w:t>
            </w:r>
          </w:p>
        </w:tc>
      </w:tr>
      <w:tr w:rsidRPr="00A6689B" w:rsidR="003A7ADB" w:rsidTr="00BF4561" w14:paraId="594CCDBF" w14:textId="77777777">
        <w:tc>
          <w:tcPr>
            <w:tcW w:w="1272" w:type="pct"/>
          </w:tcPr>
          <w:p w:rsidRPr="00A6689B" w:rsidR="003A7ADB" w:rsidP="00BF4561" w:rsidRDefault="003A7ADB" w14:paraId="5182DE0B" w14:textId="77777777">
            <w:pPr>
              <w:ind w:left="29" w:right="249"/>
              <w:rPr>
                <w:i/>
              </w:rPr>
            </w:pPr>
            <w:r>
              <w:rPr>
                <w:i/>
              </w:rPr>
              <w:t>Telefon</w:t>
            </w:r>
          </w:p>
        </w:tc>
        <w:tc>
          <w:tcPr>
            <w:tcW w:w="3728" w:type="pct"/>
          </w:tcPr>
          <w:p w:rsidRPr="00A6689B" w:rsidR="003A7ADB" w:rsidP="00BF4561" w:rsidRDefault="003A7ADB" w14:paraId="248D3C3E" w14:textId="77777777">
            <w:pPr>
              <w:ind w:left="26" w:right="249"/>
              <w:rPr>
                <w:i/>
              </w:rPr>
            </w:pPr>
            <w:r>
              <w:rPr>
                <w:i/>
              </w:rPr>
              <w:t>+32 25468768</w:t>
            </w:r>
          </w:p>
        </w:tc>
      </w:tr>
      <w:tr w:rsidRPr="008D5562" w:rsidR="003A7ADB" w:rsidTr="00BF4561" w14:paraId="3564D7D0" w14:textId="77777777">
        <w:tc>
          <w:tcPr>
            <w:tcW w:w="1272" w:type="pct"/>
          </w:tcPr>
          <w:p w:rsidRPr="00A6689B" w:rsidR="003A7ADB" w:rsidP="00BF4561" w:rsidRDefault="003A7ADB" w14:paraId="727DED34" w14:textId="77777777">
            <w:pPr>
              <w:ind w:left="29" w:right="249"/>
              <w:rPr>
                <w:i/>
              </w:rPr>
            </w:pPr>
            <w:r>
              <w:rPr>
                <w:i/>
              </w:rPr>
              <w:t>E-naslov</w:t>
            </w:r>
          </w:p>
        </w:tc>
        <w:tc>
          <w:tcPr>
            <w:tcW w:w="3728" w:type="pct"/>
          </w:tcPr>
          <w:p w:rsidRPr="00FA6A22" w:rsidR="003A7ADB" w:rsidP="00BF4561" w:rsidRDefault="00662932" w14:paraId="6401D568" w14:textId="77777777">
            <w:pPr>
              <w:ind w:left="26" w:right="249"/>
              <w:rPr>
                <w:i/>
                <w:iCs/>
              </w:rPr>
            </w:pPr>
            <w:hyperlink w:history="1" r:id="rId48">
              <w:r w:rsidR="003A7ADB">
                <w:rPr>
                  <w:rStyle w:val="Hyperlink"/>
                </w:rPr>
                <w:t>Arturo.Iniguez@eesc.europa.eu</w:t>
              </w:r>
            </w:hyperlink>
          </w:p>
        </w:tc>
      </w:tr>
    </w:tbl>
    <w:p w:rsidR="00150BA4" w:rsidP="00D94D34" w:rsidRDefault="00150BA4" w14:paraId="635720D9" w14:textId="77777777">
      <w:pPr>
        <w:jc w:val="left"/>
      </w:pPr>
      <w:r>
        <w:br w:type="page"/>
      </w:r>
    </w:p>
    <w:p w:rsidRPr="00690955" w:rsidR="00BF4561" w:rsidP="00632498" w:rsidRDefault="00662932" w14:paraId="3EBE0B67" w14:textId="7B794552">
      <w:pPr>
        <w:numPr>
          <w:ilvl w:val="0"/>
          <w:numId w:val="27"/>
        </w:numPr>
        <w:suppressAutoHyphens/>
        <w:overflowPunct w:val="0"/>
        <w:autoSpaceDE w:val="0"/>
        <w:autoSpaceDN w:val="0"/>
        <w:adjustRightInd w:val="0"/>
        <w:textAlignment w:val="baseline"/>
        <w:rPr>
          <w:sz w:val="20"/>
        </w:rPr>
      </w:pPr>
      <w:hyperlink w:history="1" r:id="rId49">
        <w:r w:rsidRPr="00690955" w:rsidR="00BF4561">
          <w:rPr>
            <w:rStyle w:val="Hyperlink"/>
            <w:b/>
            <w:i/>
            <w:sz w:val="28"/>
          </w:rPr>
          <w:t xml:space="preserve">Cilj za leto 2030 – ocena najpomembnejših okoljskih ukrepov, ki jih je treba vključiti v prilogo k osmemu </w:t>
        </w:r>
        <w:proofErr w:type="spellStart"/>
        <w:r w:rsidRPr="00690955" w:rsidR="00BF4561">
          <w:rPr>
            <w:rStyle w:val="Hyperlink"/>
            <w:b/>
            <w:i/>
            <w:sz w:val="28"/>
          </w:rPr>
          <w:t>okoljskemu</w:t>
        </w:r>
        <w:proofErr w:type="spellEnd"/>
        <w:r w:rsidRPr="00690955" w:rsidR="00BF4561">
          <w:rPr>
            <w:rStyle w:val="Hyperlink"/>
            <w:b/>
            <w:i/>
            <w:sz w:val="28"/>
          </w:rPr>
          <w:t xml:space="preserve"> akcijskemu programu za boljšo utrditev okoljske politike v družbi</w:t>
        </w:r>
      </w:hyperlink>
    </w:p>
    <w:p w:rsidRPr="00A6689B" w:rsidR="00BF4561" w:rsidP="00BF4561" w:rsidRDefault="00BF4561" w14:paraId="1BC844D0" w14:textId="77777777">
      <w:pPr>
        <w:spacing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3"/>
      </w:tblGrid>
      <w:tr w:rsidRPr="00FA1A01" w:rsidR="00BF4561" w:rsidTr="00BB7F23" w14:paraId="6839CBA2" w14:textId="77777777">
        <w:tc>
          <w:tcPr>
            <w:tcW w:w="1328" w:type="pct"/>
          </w:tcPr>
          <w:p w:rsidRPr="00A6689B" w:rsidR="00BF4561" w:rsidP="00BF4561" w:rsidRDefault="00BF4561" w14:paraId="6D04A398" w14:textId="77777777">
            <w:pPr>
              <w:tabs>
                <w:tab w:val="center" w:pos="284"/>
              </w:tabs>
              <w:suppressAutoHyphens/>
              <w:ind w:left="266" w:hanging="266"/>
              <w:rPr>
                <w:b/>
              </w:rPr>
            </w:pPr>
            <w:r>
              <w:rPr>
                <w:b/>
              </w:rPr>
              <w:t>Poročevalec</w:t>
            </w:r>
          </w:p>
        </w:tc>
        <w:tc>
          <w:tcPr>
            <w:tcW w:w="3672" w:type="pct"/>
          </w:tcPr>
          <w:p w:rsidRPr="00813540" w:rsidR="00BF4561" w:rsidP="00BF4561" w:rsidRDefault="00BF4561" w14:paraId="6604FBB9" w14:textId="77777777">
            <w:pPr>
              <w:tabs>
                <w:tab w:val="center" w:pos="284"/>
              </w:tabs>
              <w:suppressAutoHyphens/>
              <w:ind w:left="266" w:right="-3091" w:hanging="266"/>
            </w:pPr>
            <w:r>
              <w:t>Lutz RIBBE (skupina organizacij civilne družbe – DE)</w:t>
            </w:r>
          </w:p>
        </w:tc>
      </w:tr>
      <w:tr w:rsidRPr="00FA1A01" w:rsidR="00BF4561" w:rsidTr="00BF4561" w14:paraId="7F5BEA90" w14:textId="77777777">
        <w:tc>
          <w:tcPr>
            <w:tcW w:w="5000" w:type="pct"/>
            <w:gridSpan w:val="2"/>
          </w:tcPr>
          <w:p w:rsidRPr="00BF4561" w:rsidR="00BF4561" w:rsidP="00BF4561" w:rsidRDefault="00BF4561" w14:paraId="2D570B5E" w14:textId="77777777">
            <w:pPr>
              <w:tabs>
                <w:tab w:val="center" w:pos="284"/>
              </w:tabs>
              <w:suppressAutoHyphens/>
              <w:spacing w:line="240" w:lineRule="auto"/>
              <w:ind w:left="266" w:right="-3091" w:hanging="266"/>
              <w:rPr>
                <w:sz w:val="16"/>
                <w:szCs w:val="16"/>
              </w:rPr>
            </w:pPr>
          </w:p>
        </w:tc>
      </w:tr>
      <w:tr w:rsidRPr="00A6689B" w:rsidR="00BF4561" w:rsidTr="00BB7F23" w14:paraId="24F37FCA" w14:textId="77777777">
        <w:tc>
          <w:tcPr>
            <w:tcW w:w="1328" w:type="pct"/>
          </w:tcPr>
          <w:p w:rsidRPr="00A6689B" w:rsidR="00BF4561" w:rsidP="00BF4561" w:rsidRDefault="00BF4561" w14:paraId="0C46077B" w14:textId="77777777">
            <w:pPr>
              <w:tabs>
                <w:tab w:val="center" w:pos="284"/>
              </w:tabs>
              <w:suppressAutoHyphens/>
              <w:ind w:left="266" w:hanging="266"/>
              <w:rPr>
                <w:b/>
              </w:rPr>
            </w:pPr>
            <w:r>
              <w:rPr>
                <w:b/>
              </w:rPr>
              <w:t>Referenčni dokument</w:t>
            </w:r>
          </w:p>
        </w:tc>
        <w:tc>
          <w:tcPr>
            <w:tcW w:w="3672" w:type="pct"/>
          </w:tcPr>
          <w:p w:rsidR="00BF4561" w:rsidP="00BF4561" w:rsidRDefault="00BF4561" w14:paraId="7100DFD1" w14:textId="49974A9A">
            <w:pPr>
              <w:tabs>
                <w:tab w:val="center" w:pos="284"/>
              </w:tabs>
              <w:suppressAutoHyphens/>
              <w:ind w:left="266" w:right="-3091" w:hanging="266"/>
            </w:pPr>
            <w:r w:rsidRPr="00C33863">
              <w:t>raziskovalno mnenje</w:t>
            </w:r>
            <w:r>
              <w:t xml:space="preserve"> na zahtevo danskega predsedstva</w:t>
            </w:r>
          </w:p>
          <w:p w:rsidRPr="00A6689B" w:rsidR="00BF4561" w:rsidP="00BF4561" w:rsidRDefault="00BF4561" w14:paraId="7599B64C" w14:textId="24FF4B84">
            <w:pPr>
              <w:tabs>
                <w:tab w:val="center" w:pos="284"/>
              </w:tabs>
              <w:suppressAutoHyphens/>
              <w:ind w:left="266" w:right="-3091" w:hanging="266"/>
            </w:pPr>
            <w:r>
              <w:t>EESC-2025-00826-00-00-AC</w:t>
            </w:r>
          </w:p>
        </w:tc>
      </w:tr>
    </w:tbl>
    <w:p w:rsidR="00BF4561" w:rsidP="00BF4561" w:rsidRDefault="00BF4561" w14:paraId="2C7A3DBA" w14:textId="77777777"/>
    <w:p w:rsidRPr="00A6689B" w:rsidR="00BF4561" w:rsidP="00BF4561" w:rsidRDefault="00BF4561" w14:paraId="689EDE23" w14:textId="77777777">
      <w:pPr>
        <w:tabs>
          <w:tab w:val="center" w:pos="284"/>
        </w:tabs>
        <w:suppressAutoHyphens/>
        <w:spacing w:line="240" w:lineRule="auto"/>
        <w:ind w:left="266" w:hanging="266"/>
        <w:rPr>
          <w:b/>
        </w:rPr>
      </w:pPr>
      <w:r>
        <w:rPr>
          <w:b/>
        </w:rPr>
        <w:t>Glavne točke</w:t>
      </w:r>
    </w:p>
    <w:p w:rsidRPr="00A6689B" w:rsidR="00BF4561" w:rsidP="00BF4561" w:rsidRDefault="00BF4561" w14:paraId="31BCCF30" w14:textId="77777777">
      <w:pPr>
        <w:spacing w:line="240" w:lineRule="auto"/>
      </w:pPr>
    </w:p>
    <w:p w:rsidR="00690955" w:rsidP="00BF4561" w:rsidRDefault="00BF4561" w14:paraId="2C7562E7" w14:textId="3252C9F6">
      <w:pPr>
        <w:suppressAutoHyphens/>
      </w:pPr>
      <w:r>
        <w:t>EESO</w:t>
      </w:r>
    </w:p>
    <w:p w:rsidRPr="00860E98" w:rsidR="00BF4561" w:rsidP="00632498" w:rsidRDefault="00BF4561" w14:paraId="56F37163" w14:textId="77777777">
      <w:pPr>
        <w:numPr>
          <w:ilvl w:val="0"/>
          <w:numId w:val="18"/>
        </w:numPr>
        <w:suppressAutoHyphens/>
        <w:spacing w:line="276" w:lineRule="auto"/>
        <w:ind w:left="425" w:hanging="425"/>
      </w:pPr>
      <w:r>
        <w:t xml:space="preserve">poziva k politični zavezanosti in ukrepanju namesto nove priloge k osmemu </w:t>
      </w:r>
      <w:proofErr w:type="spellStart"/>
      <w:r>
        <w:t>okoljskemu</w:t>
      </w:r>
      <w:proofErr w:type="spellEnd"/>
      <w:r>
        <w:t xml:space="preserve"> akcijskemu programu in poudarja, da bi se bilo treba osredotočiti na izvajanje obstoječih ukrepov in vključevanje okoljske, socialne in gospodarske razsežnosti v skladno strategijo za trajnostnost;</w:t>
      </w:r>
    </w:p>
    <w:p w:rsidRPr="00860E98" w:rsidR="00BF4561" w:rsidP="00632498" w:rsidRDefault="00BF4561" w14:paraId="5451C68B" w14:textId="77777777">
      <w:pPr>
        <w:numPr>
          <w:ilvl w:val="0"/>
          <w:numId w:val="18"/>
        </w:numPr>
        <w:suppressAutoHyphens/>
        <w:spacing w:line="276" w:lineRule="auto"/>
        <w:ind w:left="425" w:hanging="425"/>
      </w:pPr>
      <w:r>
        <w:t>ponovno poziva k strategiji EU za trajnostni razvoj do leta 2050, ki bi nadomestila razdrobljen pristop zelenega dogovora, ki ne obravnava dovolj socialne pravičnosti pri prehodu;</w:t>
      </w:r>
    </w:p>
    <w:p w:rsidRPr="00860E98" w:rsidR="00BF4561" w:rsidP="00632498" w:rsidRDefault="00BF4561" w14:paraId="603AABB2" w14:textId="77777777">
      <w:pPr>
        <w:numPr>
          <w:ilvl w:val="0"/>
          <w:numId w:val="18"/>
        </w:numPr>
        <w:suppressAutoHyphens/>
        <w:spacing w:line="276" w:lineRule="auto"/>
        <w:ind w:left="425" w:hanging="425"/>
      </w:pPr>
      <w:r>
        <w:t>opozarja, da je politika za trajnostnost za mnoge še vedno preveč abstraktna, in poudarja, da je treba jasno sporočati, kaj sistemske spremembe v praksi pomenijo za državljane, delavce in podjetja;</w:t>
      </w:r>
    </w:p>
    <w:p w:rsidRPr="00860E98" w:rsidR="00BF4561" w:rsidP="00632498" w:rsidRDefault="00BF4561" w14:paraId="45D9A667" w14:textId="77777777">
      <w:pPr>
        <w:numPr>
          <w:ilvl w:val="0"/>
          <w:numId w:val="18"/>
        </w:numPr>
        <w:suppressAutoHyphens/>
        <w:spacing w:line="276" w:lineRule="auto"/>
        <w:ind w:left="425" w:hanging="425"/>
      </w:pPr>
      <w:r>
        <w:t>poudarja, da Evropska komisija sama priznava, da je bilo že preseženih več omejitev planeta, vendar so posledice za večino ljudi še vedno abstraktne. Hkrati EESO kritizira uporabo cilja 1,5 °C kot političnega merila v podnebni politiki, saj presega omejitve planeta in bi lahko ustvaril lažen občutek varnosti in bagateliziral nujnost ukrepanja;</w:t>
      </w:r>
    </w:p>
    <w:p w:rsidRPr="00860E98" w:rsidR="00BF4561" w:rsidP="00632498" w:rsidRDefault="00BF4561" w14:paraId="49D195FC" w14:textId="77777777">
      <w:pPr>
        <w:numPr>
          <w:ilvl w:val="0"/>
          <w:numId w:val="18"/>
        </w:numPr>
        <w:suppressAutoHyphens/>
        <w:spacing w:line="276" w:lineRule="auto"/>
        <w:ind w:left="425" w:hanging="425"/>
      </w:pPr>
      <w:r>
        <w:t>poudarja, kako pomembno je znatno povečati javno in politično ozaveščenost o omejitvah planeta in posledicah njihove prekoračitve ter o določanju podnebnih ciljev na podlagi znanstveno opredeljenih pragov;</w:t>
      </w:r>
    </w:p>
    <w:p w:rsidRPr="00860E98" w:rsidR="00BF4561" w:rsidP="00632498" w:rsidRDefault="00BF4561" w14:paraId="0873B2DA" w14:textId="77777777">
      <w:pPr>
        <w:numPr>
          <w:ilvl w:val="0"/>
          <w:numId w:val="18"/>
        </w:numPr>
        <w:suppressAutoHyphens/>
        <w:spacing w:line="276" w:lineRule="auto"/>
        <w:ind w:left="425" w:hanging="425"/>
      </w:pPr>
      <w:r>
        <w:t>poziva EU, naj se pri merjenju blaginje ne omejuje na BDP in začne politično razpravo z ministri za gospodarstvo in finance o tem, kako oceniti blaginjo in dolgoročno trajnost;</w:t>
      </w:r>
    </w:p>
    <w:p w:rsidRPr="00860E98" w:rsidR="00BF4561" w:rsidP="00632498" w:rsidRDefault="00BF4561" w14:paraId="59A1018D" w14:textId="77777777">
      <w:pPr>
        <w:numPr>
          <w:ilvl w:val="0"/>
          <w:numId w:val="18"/>
        </w:numPr>
        <w:suppressAutoHyphens/>
        <w:spacing w:line="276" w:lineRule="auto"/>
        <w:ind w:left="425" w:hanging="425"/>
      </w:pPr>
      <w:r>
        <w:t>poudarja, da je nujno treba postopno odpraviti subvencije, ki škodujejo okolju in zdravju, ter poziva k boljšemu usmerjanju finančnih spodbud, zlasti v kmetijstvu, da bi nagradili zagotavljanje javnih dobrin;</w:t>
      </w:r>
    </w:p>
    <w:p w:rsidRPr="00860E98" w:rsidR="00BF4561" w:rsidP="00632498" w:rsidRDefault="00BF4561" w14:paraId="10C56C72" w14:textId="77777777">
      <w:pPr>
        <w:numPr>
          <w:ilvl w:val="0"/>
          <w:numId w:val="18"/>
        </w:numPr>
        <w:suppressAutoHyphens/>
        <w:spacing w:line="276" w:lineRule="auto"/>
        <w:ind w:left="425" w:hanging="425"/>
      </w:pPr>
      <w:r>
        <w:t>poudarja, da se veljavna okoljska zakonodaja EU pogosto slabo izvaja, in poziva k strožjemu izvrševanju, boljši uporabi obstoječih orodij ter boljšemu dodeljevanju in nadzoru financiranja;</w:t>
      </w:r>
    </w:p>
    <w:p w:rsidRPr="00860E98" w:rsidR="00BF4561" w:rsidP="00632498" w:rsidRDefault="00BF4561" w14:paraId="00DE0C50" w14:textId="77777777">
      <w:pPr>
        <w:numPr>
          <w:ilvl w:val="0"/>
          <w:numId w:val="18"/>
        </w:numPr>
        <w:suppressAutoHyphens/>
        <w:spacing w:line="276" w:lineRule="auto"/>
        <w:ind w:left="425" w:hanging="425"/>
      </w:pPr>
      <w:r>
        <w:t>poudarja, da je potrebno strukturirano in vključujoče sodelovanje civilne družbe pri oblikovanju okoljske politike, da bi zagotovili pravičnost, legitimnost in močnejšo javno podporo, zlasti na lokalni ravni;</w:t>
      </w:r>
    </w:p>
    <w:p w:rsidRPr="00860E98" w:rsidR="00BF4561" w:rsidP="00632498" w:rsidRDefault="00BF4561" w14:paraId="618B03B2" w14:textId="77777777">
      <w:pPr>
        <w:numPr>
          <w:ilvl w:val="0"/>
          <w:numId w:val="18"/>
        </w:numPr>
        <w:suppressAutoHyphens/>
        <w:spacing w:line="276" w:lineRule="auto"/>
        <w:ind w:left="425" w:hanging="425"/>
      </w:pPr>
      <w:r>
        <w:t>izraža nezadovoljstvo s počasnim uresničevanjem zavez EU o vključevanju državljanov in poziva k hitremu izvajanju participativnih okvirov, kot so energetski sveženj za državljane in pobude, ki jih vodi skupnost;</w:t>
      </w:r>
    </w:p>
    <w:p w:rsidRPr="00860E98" w:rsidR="00BF4561" w:rsidP="00632498" w:rsidRDefault="00BF4561" w14:paraId="2D19AB11" w14:textId="77777777">
      <w:pPr>
        <w:numPr>
          <w:ilvl w:val="0"/>
          <w:numId w:val="18"/>
        </w:numPr>
        <w:suppressAutoHyphens/>
        <w:spacing w:line="276" w:lineRule="auto"/>
        <w:ind w:left="425" w:hanging="425"/>
      </w:pPr>
      <w:r>
        <w:t>priporoča, da se na podlagi uspešnih primerov, kot so platforma za krožno gospodarstvo in nacionalni strateški dialogi, bolje poveže znanje od spodaj navzgor in premosti vrzel med institucijami in družbo.</w:t>
      </w:r>
    </w:p>
    <w:p w:rsidRPr="000624A9" w:rsidR="00BF4561" w:rsidP="00BF4561" w:rsidRDefault="00BF4561" w14:paraId="4CC48397" w14:textId="77777777">
      <w:pPr>
        <w:spacing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7119"/>
      </w:tblGrid>
      <w:tr w:rsidRPr="00A6689B" w:rsidR="00BF4561" w:rsidTr="00BB7F23" w14:paraId="719100D3" w14:textId="77777777">
        <w:tc>
          <w:tcPr>
            <w:tcW w:w="1077" w:type="pct"/>
          </w:tcPr>
          <w:p w:rsidRPr="00A6689B" w:rsidR="00BF4561" w:rsidP="00BB7F23" w:rsidRDefault="00BF4561" w14:paraId="29F91E95" w14:textId="77777777">
            <w:pPr>
              <w:rPr>
                <w:i/>
              </w:rPr>
            </w:pPr>
            <w:r>
              <w:rPr>
                <w:b/>
                <w:i/>
              </w:rPr>
              <w:t>Kontaktna oseba</w:t>
            </w:r>
          </w:p>
        </w:tc>
        <w:tc>
          <w:tcPr>
            <w:tcW w:w="3923" w:type="pct"/>
          </w:tcPr>
          <w:p w:rsidRPr="00A6689B" w:rsidR="00BF4561" w:rsidP="00BB7F23" w:rsidRDefault="00BF4561" w14:paraId="55171517" w14:textId="5EB908CD">
            <w:pPr>
              <w:rPr>
                <w:i/>
              </w:rPr>
            </w:pPr>
            <w:r>
              <w:rPr>
                <w:i/>
              </w:rPr>
              <w:t xml:space="preserve">Nicolas </w:t>
            </w:r>
            <w:r w:rsidR="00641BDF">
              <w:rPr>
                <w:i/>
              </w:rPr>
              <w:t>STENGER</w:t>
            </w:r>
          </w:p>
        </w:tc>
      </w:tr>
      <w:tr w:rsidRPr="00A6689B" w:rsidR="00BF4561" w:rsidTr="00BB7F23" w14:paraId="7FA102B3" w14:textId="77777777">
        <w:tc>
          <w:tcPr>
            <w:tcW w:w="1077" w:type="pct"/>
          </w:tcPr>
          <w:p w:rsidRPr="00A6689B" w:rsidR="00BF4561" w:rsidP="00BB7F23" w:rsidRDefault="00BF4561" w14:paraId="62D986F3" w14:textId="77777777">
            <w:pPr>
              <w:rPr>
                <w:i/>
              </w:rPr>
            </w:pPr>
            <w:r>
              <w:rPr>
                <w:i/>
              </w:rPr>
              <w:t>Telefon</w:t>
            </w:r>
          </w:p>
        </w:tc>
        <w:tc>
          <w:tcPr>
            <w:tcW w:w="3923" w:type="pct"/>
          </w:tcPr>
          <w:p w:rsidRPr="00A6689B" w:rsidR="00BF4561" w:rsidP="00BB7F23" w:rsidRDefault="00BF4561" w14:paraId="4E1B127C" w14:textId="77777777">
            <w:pPr>
              <w:rPr>
                <w:i/>
              </w:rPr>
            </w:pPr>
            <w:r>
              <w:rPr>
                <w:i/>
              </w:rPr>
              <w:t>+32 25468152</w:t>
            </w:r>
          </w:p>
        </w:tc>
      </w:tr>
      <w:tr w:rsidRPr="00A6689B" w:rsidR="00BF4561" w:rsidTr="00BB7F23" w14:paraId="0DEC5A78" w14:textId="77777777">
        <w:tc>
          <w:tcPr>
            <w:tcW w:w="1077" w:type="pct"/>
          </w:tcPr>
          <w:p w:rsidRPr="00A6689B" w:rsidR="00BF4561" w:rsidP="00BB7F23" w:rsidRDefault="00BF4561" w14:paraId="5EF17D32" w14:textId="77777777">
            <w:pPr>
              <w:rPr>
                <w:i/>
              </w:rPr>
            </w:pPr>
            <w:r>
              <w:rPr>
                <w:i/>
              </w:rPr>
              <w:t>E-naslov</w:t>
            </w:r>
          </w:p>
        </w:tc>
        <w:tc>
          <w:tcPr>
            <w:tcW w:w="3923" w:type="pct"/>
          </w:tcPr>
          <w:p w:rsidRPr="00A6689B" w:rsidR="00BF4561" w:rsidP="00BB7F23" w:rsidRDefault="00662932" w14:paraId="715CBDDA" w14:textId="77777777">
            <w:pPr>
              <w:rPr>
                <w:i/>
              </w:rPr>
            </w:pPr>
            <w:hyperlink w:history="1" r:id="rId50">
              <w:r w:rsidR="00BF4561">
                <w:rPr>
                  <w:rStyle w:val="Hyperlink"/>
                  <w:i/>
                </w:rPr>
                <w:t>Nicolas.Stenger@eesc.europa.eu</w:t>
              </w:r>
            </w:hyperlink>
          </w:p>
        </w:tc>
      </w:tr>
    </w:tbl>
    <w:p w:rsidRPr="00690955" w:rsidR="00A0629C" w:rsidP="00632498" w:rsidRDefault="00CB5FF2" w14:paraId="409CB5AA" w14:textId="0CF9AEB9">
      <w:pPr>
        <w:numPr>
          <w:ilvl w:val="0"/>
          <w:numId w:val="27"/>
        </w:numPr>
        <w:spacing w:after="160" w:line="259" w:lineRule="auto"/>
        <w:jc w:val="left"/>
      </w:pPr>
      <w:r w:rsidRPr="00281901">
        <w:br w:type="page"/>
      </w:r>
      <w:hyperlink w:history="1" r:id="rId51">
        <w:r w:rsidRPr="00690955" w:rsidR="00A0629C">
          <w:rPr>
            <w:rStyle w:val="Hyperlink"/>
            <w:b/>
            <w:i/>
            <w:sz w:val="28"/>
          </w:rPr>
          <w:t>Sveženj o vinski politiki EU</w:t>
        </w:r>
      </w:hyperlink>
    </w:p>
    <w:p w:rsidRPr="00B3158A" w:rsidR="00A0629C" w:rsidP="00A0629C" w:rsidRDefault="00A0629C" w14:paraId="56F211C0"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522"/>
      </w:tblGrid>
      <w:tr w:rsidRPr="00B3158A" w:rsidR="00A0629C" w:rsidTr="00690955" w14:paraId="39DB8C28" w14:textId="77777777">
        <w:tc>
          <w:tcPr>
            <w:tcW w:w="1406" w:type="pct"/>
          </w:tcPr>
          <w:p w:rsidRPr="00B3158A" w:rsidR="00A0629C" w:rsidP="00A0629C" w:rsidRDefault="00A0629C" w14:paraId="1F9FD3A2" w14:textId="77777777">
            <w:pPr>
              <w:rPr>
                <w:b/>
              </w:rPr>
            </w:pPr>
            <w:r w:rsidRPr="00B3158A">
              <w:rPr>
                <w:b/>
              </w:rPr>
              <w:t>Poročevalec</w:t>
            </w:r>
          </w:p>
        </w:tc>
        <w:tc>
          <w:tcPr>
            <w:tcW w:w="3594" w:type="pct"/>
          </w:tcPr>
          <w:p w:rsidRPr="00B3158A" w:rsidR="00A0629C" w:rsidP="00A0629C" w:rsidRDefault="00A0629C" w14:paraId="5186C25F" w14:textId="77777777">
            <w:r w:rsidRPr="00B3158A">
              <w:t>Josep PUXEU ROCAMORA (skupina delodajalcev – ES)</w:t>
            </w:r>
          </w:p>
        </w:tc>
      </w:tr>
      <w:tr w:rsidRPr="00B3158A" w:rsidR="00A0629C" w:rsidTr="00BB7F23" w14:paraId="328A2BA9" w14:textId="77777777">
        <w:tc>
          <w:tcPr>
            <w:tcW w:w="5000" w:type="pct"/>
            <w:gridSpan w:val="2"/>
          </w:tcPr>
          <w:p w:rsidRPr="00B3158A" w:rsidR="00A0629C" w:rsidP="00A0629C" w:rsidRDefault="00A0629C" w14:paraId="369CA59C" w14:textId="77777777">
            <w:pPr>
              <w:rPr>
                <w:sz w:val="16"/>
              </w:rPr>
            </w:pPr>
          </w:p>
        </w:tc>
      </w:tr>
      <w:tr w:rsidRPr="00B3158A" w:rsidR="00A0629C" w:rsidTr="00690955" w14:paraId="4C700DA4" w14:textId="77777777">
        <w:trPr>
          <w:trHeight w:val="506"/>
        </w:trPr>
        <w:tc>
          <w:tcPr>
            <w:tcW w:w="1406" w:type="pct"/>
          </w:tcPr>
          <w:p w:rsidRPr="00B3158A" w:rsidR="00A0629C" w:rsidP="00A0629C" w:rsidRDefault="00A0629C" w14:paraId="79B9D200" w14:textId="4F8CF43D">
            <w:pPr>
              <w:rPr>
                <w:b/>
              </w:rPr>
            </w:pPr>
            <w:r w:rsidRPr="00B3158A">
              <w:rPr>
                <w:b/>
              </w:rPr>
              <w:t>Referenčn</w:t>
            </w:r>
            <w:r w:rsidR="00690955">
              <w:rPr>
                <w:b/>
              </w:rPr>
              <w:t>a</w:t>
            </w:r>
            <w:r w:rsidRPr="00B3158A">
              <w:rPr>
                <w:b/>
              </w:rPr>
              <w:t xml:space="preserve"> dokument</w:t>
            </w:r>
            <w:r w:rsidR="00690955">
              <w:rPr>
                <w:b/>
              </w:rPr>
              <w:t>a</w:t>
            </w:r>
          </w:p>
        </w:tc>
        <w:tc>
          <w:tcPr>
            <w:tcW w:w="3594" w:type="pct"/>
          </w:tcPr>
          <w:p w:rsidR="00A0629C" w:rsidP="00A0629C" w:rsidRDefault="00A0629C" w14:paraId="32A505AA" w14:textId="7A3103EF">
            <w:r>
              <w:rPr>
                <w:lang w:val="en-GB"/>
              </w:rPr>
              <w:t>COM(2025) 137 final</w:t>
            </w:r>
          </w:p>
          <w:p w:rsidRPr="00B3158A" w:rsidR="00A0629C" w:rsidP="00A0629C" w:rsidRDefault="00A0629C" w14:paraId="68BA4182" w14:textId="20A34544">
            <w:r w:rsidRPr="00B3158A">
              <w:t>EESC-2025-01257-00-00-AC</w:t>
            </w:r>
          </w:p>
        </w:tc>
      </w:tr>
    </w:tbl>
    <w:p w:rsidRPr="00B3158A" w:rsidR="00A0629C" w:rsidP="00A0629C" w:rsidRDefault="00A0629C" w14:paraId="7BF37471" w14:textId="77777777"/>
    <w:p w:rsidRPr="00B3158A" w:rsidR="00A0629C" w:rsidP="00A0629C" w:rsidRDefault="00A0629C" w14:paraId="45C7107B" w14:textId="77777777">
      <w:r w:rsidRPr="00B3158A">
        <w:rPr>
          <w:b/>
        </w:rPr>
        <w:t>Glavne točke</w:t>
      </w:r>
    </w:p>
    <w:p w:rsidRPr="00B3158A" w:rsidR="00A0629C" w:rsidP="00A0629C" w:rsidRDefault="00A0629C" w14:paraId="00D01B39" w14:textId="77777777"/>
    <w:p w:rsidRPr="00CD1B7F" w:rsidR="00A0629C" w:rsidP="00A0629C" w:rsidRDefault="00A0629C" w14:paraId="0733A027" w14:textId="2D1ABD1B">
      <w:pPr>
        <w:rPr>
          <w:bCs/>
          <w:iCs/>
        </w:rPr>
      </w:pPr>
      <w:r w:rsidRPr="00B3158A">
        <w:rPr>
          <w:bCs/>
          <w:iCs/>
        </w:rPr>
        <w:t>EESO</w:t>
      </w:r>
    </w:p>
    <w:p w:rsidRPr="00B3158A" w:rsidR="00A0629C" w:rsidP="00632498" w:rsidRDefault="00A0629C" w14:paraId="6293B8FB" w14:textId="77777777">
      <w:pPr>
        <w:widowControl w:val="0"/>
        <w:numPr>
          <w:ilvl w:val="0"/>
          <w:numId w:val="19"/>
        </w:numPr>
        <w:overflowPunct w:val="0"/>
        <w:autoSpaceDE w:val="0"/>
        <w:autoSpaceDN w:val="0"/>
        <w:adjustRightInd w:val="0"/>
        <w:ind w:left="426" w:hanging="426"/>
        <w:textAlignment w:val="baseline"/>
        <w:rPr>
          <w:bCs/>
          <w:iCs/>
        </w:rPr>
      </w:pPr>
      <w:r w:rsidRPr="00B3158A">
        <w:t>poudarja</w:t>
      </w:r>
      <w:r w:rsidRPr="00B3158A">
        <w:rPr>
          <w:b/>
        </w:rPr>
        <w:t xml:space="preserve"> družbeno-gospodarski pomen vinskega sektorja</w:t>
      </w:r>
      <w:r w:rsidRPr="00B3158A">
        <w:t xml:space="preserve"> za Evropsko unijo, saj ustvarja skupno 2,9</w:t>
      </w:r>
      <w:r>
        <w:t> </w:t>
      </w:r>
      <w:r w:rsidRPr="00B3158A">
        <w:t xml:space="preserve">milijona delovnih mest in je </w:t>
      </w:r>
      <w:r w:rsidRPr="00B3158A">
        <w:rPr>
          <w:b/>
        </w:rPr>
        <w:t>izjemno produktiven</w:t>
      </w:r>
      <w:r w:rsidRPr="00B3158A">
        <w:t xml:space="preserve">. Poleg tega so vinogradniške kmetije 15 % bolj </w:t>
      </w:r>
      <w:r w:rsidRPr="00B3158A">
        <w:rPr>
          <w:b/>
        </w:rPr>
        <w:t>dobičkonosne</w:t>
      </w:r>
      <w:r w:rsidRPr="00B3158A">
        <w:t xml:space="preserve"> od povprečnih kmetij v EU, kar</w:t>
      </w:r>
      <w:r w:rsidRPr="00B3158A">
        <w:rPr>
          <w:b/>
        </w:rPr>
        <w:t xml:space="preserve"> ljudem na podeželju ponuja ekonomsko alternativo</w:t>
      </w:r>
      <w:r w:rsidRPr="00B3158A">
        <w:t xml:space="preserve">, obenem pa je tudi povezan s </w:t>
      </w:r>
      <w:r w:rsidRPr="00B3158A">
        <w:rPr>
          <w:b/>
        </w:rPr>
        <w:t>kulturno tradicijo</w:t>
      </w:r>
      <w:r w:rsidRPr="00B3158A">
        <w:t>, ki je globoko zakoreninjena v družbi;</w:t>
      </w:r>
    </w:p>
    <w:p w:rsidRPr="00B3158A" w:rsidR="00A0629C" w:rsidP="00632498" w:rsidRDefault="00A0629C" w14:paraId="582C5398"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poziva Evropsko komisijo, naj zaščiti vinsko kulturo z učinkovitim podpiranjem programov za krepitev </w:t>
      </w:r>
      <w:r w:rsidRPr="00B3158A">
        <w:rPr>
          <w:b/>
        </w:rPr>
        <w:t>ozaveščenosti potrošnikov o informiranem in odgovornem uživanju vina</w:t>
      </w:r>
      <w:r w:rsidRPr="00B3158A">
        <w:t>;</w:t>
      </w:r>
    </w:p>
    <w:p w:rsidRPr="00B3158A" w:rsidR="00A0629C" w:rsidP="00632498" w:rsidRDefault="00A0629C" w14:paraId="378FC2F7" w14:textId="77777777">
      <w:pPr>
        <w:widowControl w:val="0"/>
        <w:numPr>
          <w:ilvl w:val="0"/>
          <w:numId w:val="19"/>
        </w:numPr>
        <w:overflowPunct w:val="0"/>
        <w:autoSpaceDE w:val="0"/>
        <w:autoSpaceDN w:val="0"/>
        <w:adjustRightInd w:val="0"/>
        <w:ind w:left="426" w:hanging="426"/>
        <w:textAlignment w:val="baseline"/>
        <w:rPr>
          <w:bCs/>
          <w:iCs/>
          <w:spacing w:val="-4"/>
        </w:rPr>
      </w:pPr>
      <w:r w:rsidRPr="00B3158A">
        <w:rPr>
          <w:spacing w:val="-4"/>
        </w:rPr>
        <w:t xml:space="preserve">zahteva, da se politična podpora pospremi z </w:t>
      </w:r>
      <w:r w:rsidRPr="00B3158A">
        <w:rPr>
          <w:b/>
          <w:spacing w:val="-4"/>
        </w:rPr>
        <w:t>ambicioznim proračunom</w:t>
      </w:r>
      <w:r w:rsidRPr="00B3158A">
        <w:rPr>
          <w:spacing w:val="-4"/>
        </w:rPr>
        <w:t xml:space="preserve"> za ukrepe v tem sektorju;</w:t>
      </w:r>
    </w:p>
    <w:p w:rsidRPr="00B3158A" w:rsidR="00A0629C" w:rsidP="00632498" w:rsidRDefault="00A0629C" w14:paraId="213741EB"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poudarja pomen razvoja </w:t>
      </w:r>
      <w:r w:rsidRPr="00B3158A">
        <w:rPr>
          <w:b/>
        </w:rPr>
        <w:t>izobraževalnih programov</w:t>
      </w:r>
      <w:r w:rsidRPr="00B3158A">
        <w:t xml:space="preserve"> ter </w:t>
      </w:r>
      <w:r w:rsidRPr="00B3158A">
        <w:rPr>
          <w:b/>
        </w:rPr>
        <w:t>raziskovalnih in razvojnih projektov</w:t>
      </w:r>
      <w:r w:rsidRPr="00B3158A">
        <w:t>, ki bodo spremljali pobude vinarjev in delavcev v vinskem sektorju pri sedanjem prehodu v tem sektorju;</w:t>
      </w:r>
    </w:p>
    <w:p w:rsidRPr="00B3158A" w:rsidR="00A0629C" w:rsidP="00632498" w:rsidRDefault="00A0629C" w14:paraId="5FE89316" w14:textId="77777777">
      <w:pPr>
        <w:widowControl w:val="0"/>
        <w:numPr>
          <w:ilvl w:val="0"/>
          <w:numId w:val="19"/>
        </w:numPr>
        <w:overflowPunct w:val="0"/>
        <w:autoSpaceDE w:val="0"/>
        <w:autoSpaceDN w:val="0"/>
        <w:adjustRightInd w:val="0"/>
        <w:ind w:left="426" w:hanging="426"/>
        <w:textAlignment w:val="baseline"/>
        <w:rPr>
          <w:bCs/>
          <w:iCs/>
        </w:rPr>
      </w:pPr>
      <w:r w:rsidRPr="00B3158A">
        <w:t>se strinja, da bi morale prihodnje strategije sajenja prispevati k prilagajanju proizvodnega potenciala povpraševanju na trgu, vendar meni, da je podrobni seznam omejitev v predlogu Evropske komisije preveč omejujoč in morda ni primeren za vsakršne razmere;</w:t>
      </w:r>
    </w:p>
    <w:p w:rsidRPr="00B3158A" w:rsidR="00A0629C" w:rsidP="00632498" w:rsidRDefault="00A0629C" w14:paraId="785F8E1A"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pozdravlja predlog Komisije za </w:t>
      </w:r>
      <w:r w:rsidRPr="00B3158A">
        <w:rPr>
          <w:b/>
        </w:rPr>
        <w:t>podaljšanje veljavnosti dovoljenj za ponovno zasaditev</w:t>
      </w:r>
      <w:r w:rsidRPr="00B3158A">
        <w:t>, vendar priporoča omejitev na</w:t>
      </w:r>
      <w:r w:rsidRPr="00B3158A">
        <w:rPr>
          <w:b/>
        </w:rPr>
        <w:t xml:space="preserve"> šest let</w:t>
      </w:r>
      <w:r w:rsidRPr="00B3158A">
        <w:t>, in pozdravlja odobritev nacionalnih plačil za prostovoljno zeleno trgatev in prostovoljno izkrčitev rodnih vinogradov;</w:t>
      </w:r>
    </w:p>
    <w:p w:rsidRPr="00B3158A" w:rsidR="00A0629C" w:rsidP="00632498" w:rsidRDefault="00A0629C" w14:paraId="04DB76DB"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ne podpira obvezne uporabe izraza „proizvedeno z </w:t>
      </w:r>
      <w:proofErr w:type="spellStart"/>
      <w:r w:rsidRPr="00B3158A">
        <w:t>dealkoholizacijo</w:t>
      </w:r>
      <w:proofErr w:type="spellEnd"/>
      <w:r w:rsidRPr="00B3158A">
        <w:t xml:space="preserve">“ za predstavitev </w:t>
      </w:r>
      <w:proofErr w:type="spellStart"/>
      <w:r w:rsidRPr="00B3158A">
        <w:t>dealkoholiziranih</w:t>
      </w:r>
      <w:proofErr w:type="spellEnd"/>
      <w:r w:rsidRPr="00B3158A">
        <w:t xml:space="preserve"> in delno </w:t>
      </w:r>
      <w:proofErr w:type="spellStart"/>
      <w:r w:rsidRPr="00B3158A">
        <w:t>dealkoholiziranih</w:t>
      </w:r>
      <w:proofErr w:type="spellEnd"/>
      <w:r w:rsidRPr="00B3158A">
        <w:t xml:space="preserve"> vin;</w:t>
      </w:r>
    </w:p>
    <w:p w:rsidRPr="00B3158A" w:rsidR="00A0629C" w:rsidP="00632498" w:rsidRDefault="00A0629C" w14:paraId="726B6953"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priporoča </w:t>
      </w:r>
      <w:r w:rsidRPr="00B3158A">
        <w:rPr>
          <w:b/>
        </w:rPr>
        <w:t>odpravo obvezne navedbe sestavin</w:t>
      </w:r>
      <w:r w:rsidRPr="00B3158A">
        <w:t xml:space="preserve"> in hranilne vrednosti, </w:t>
      </w:r>
      <w:r w:rsidRPr="00B3158A">
        <w:rPr>
          <w:b/>
        </w:rPr>
        <w:t>kadar se vina iz EU izvažajo iz EU</w:t>
      </w:r>
      <w:r w:rsidRPr="00B3158A">
        <w:t>;</w:t>
      </w:r>
    </w:p>
    <w:p w:rsidRPr="00B3158A" w:rsidR="00A0629C" w:rsidP="00632498" w:rsidRDefault="00A0629C" w14:paraId="1DB49715" w14:textId="77777777">
      <w:pPr>
        <w:widowControl w:val="0"/>
        <w:numPr>
          <w:ilvl w:val="0"/>
          <w:numId w:val="19"/>
        </w:numPr>
        <w:overflowPunct w:val="0"/>
        <w:autoSpaceDE w:val="0"/>
        <w:autoSpaceDN w:val="0"/>
        <w:adjustRightInd w:val="0"/>
        <w:ind w:left="426" w:hanging="426"/>
        <w:textAlignment w:val="baseline"/>
        <w:rPr>
          <w:bCs/>
          <w:iCs/>
          <w:spacing w:val="-4"/>
        </w:rPr>
      </w:pPr>
      <w:r w:rsidRPr="00B3158A">
        <w:rPr>
          <w:spacing w:val="-4"/>
        </w:rPr>
        <w:t xml:space="preserve">predlaga, da se </w:t>
      </w:r>
      <w:r w:rsidRPr="00B3158A">
        <w:rPr>
          <w:b/>
          <w:spacing w:val="-4"/>
        </w:rPr>
        <w:t>prostovoljna izkrčitev</w:t>
      </w:r>
      <w:r w:rsidRPr="00B3158A">
        <w:rPr>
          <w:spacing w:val="-4"/>
        </w:rPr>
        <w:t xml:space="preserve"> vključi v omejitvene ukrepe, in predlaga, da prejemniki plačil za destilacijo v kriznih primerih tri leta za tem niso upravičeni do nobene druge podpore za vino;</w:t>
      </w:r>
    </w:p>
    <w:p w:rsidRPr="00B3158A" w:rsidR="00A0629C" w:rsidP="00632498" w:rsidRDefault="00A0629C" w14:paraId="3414B2E8"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pozdravlja predlog Evropske komisije za </w:t>
      </w:r>
      <w:r w:rsidRPr="00B3158A">
        <w:rPr>
          <w:b/>
        </w:rPr>
        <w:t>spodbujanje vinskega turizma</w:t>
      </w:r>
      <w:r w:rsidRPr="00B3158A">
        <w:t>;</w:t>
      </w:r>
    </w:p>
    <w:p w:rsidRPr="00B3158A" w:rsidR="00A0629C" w:rsidP="00632498" w:rsidRDefault="00A0629C" w14:paraId="1920438D" w14:textId="77777777">
      <w:pPr>
        <w:widowControl w:val="0"/>
        <w:numPr>
          <w:ilvl w:val="0"/>
          <w:numId w:val="19"/>
        </w:numPr>
        <w:overflowPunct w:val="0"/>
        <w:autoSpaceDE w:val="0"/>
        <w:autoSpaceDN w:val="0"/>
        <w:adjustRightInd w:val="0"/>
        <w:ind w:left="426" w:hanging="426"/>
        <w:textAlignment w:val="baseline"/>
        <w:rPr>
          <w:bCs/>
          <w:iCs/>
        </w:rPr>
      </w:pPr>
      <w:r w:rsidRPr="00B3158A">
        <w:t xml:space="preserve">pozdravlja morebitno </w:t>
      </w:r>
      <w:r w:rsidRPr="00B3158A">
        <w:rPr>
          <w:b/>
        </w:rPr>
        <w:t>povečanje finančne pomoči EU</w:t>
      </w:r>
      <w:r w:rsidRPr="00B3158A">
        <w:t xml:space="preserve"> do 80 % za naložbe, ki so </w:t>
      </w:r>
      <w:r w:rsidRPr="00B3158A">
        <w:rPr>
          <w:b/>
        </w:rPr>
        <w:t>potrebne za blažitev podnebnih sprememb in prilagajanje nanje</w:t>
      </w:r>
      <w:r w:rsidRPr="00B3158A">
        <w:t>;</w:t>
      </w:r>
    </w:p>
    <w:p w:rsidRPr="00B3158A" w:rsidR="00A0629C" w:rsidP="00632498" w:rsidRDefault="00A0629C" w14:paraId="05CC46D4" w14:textId="77777777">
      <w:pPr>
        <w:widowControl w:val="0"/>
        <w:numPr>
          <w:ilvl w:val="0"/>
          <w:numId w:val="19"/>
        </w:numPr>
        <w:overflowPunct w:val="0"/>
        <w:autoSpaceDE w:val="0"/>
        <w:autoSpaceDN w:val="0"/>
        <w:adjustRightInd w:val="0"/>
        <w:ind w:left="426" w:hanging="426"/>
        <w:textAlignment w:val="baseline"/>
        <w:rPr>
          <w:bCs/>
          <w:iCs/>
        </w:rPr>
      </w:pPr>
      <w:r w:rsidRPr="00B3158A">
        <w:t>predlaga, da se v primeru izrednih razmer na izvoznih trgih ali v primeru krize, ki vpliva na trge tretjih držav, v katere EU izvozi več kot 15 % svojih vin, finančna pomoč Unije za promocijske in komunikacijske ukrepe poveča na do 80 % upravičenih izdatkov.</w:t>
      </w:r>
    </w:p>
    <w:p w:rsidRPr="00B3158A" w:rsidR="00A0629C" w:rsidP="00A0629C" w:rsidRDefault="00A0629C" w14:paraId="08C5D4E3"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B3158A" w:rsidR="00A0629C" w:rsidTr="00BB7F23" w14:paraId="78E98C68" w14:textId="77777777">
        <w:tc>
          <w:tcPr>
            <w:tcW w:w="974" w:type="pct"/>
          </w:tcPr>
          <w:p w:rsidRPr="00B3158A" w:rsidR="00A0629C" w:rsidP="00A0629C" w:rsidRDefault="00A0629C" w14:paraId="2884BFD7" w14:textId="77777777">
            <w:r w:rsidRPr="00B3158A">
              <w:rPr>
                <w:b/>
                <w:i/>
              </w:rPr>
              <w:t>Kontaktni osebi</w:t>
            </w:r>
          </w:p>
        </w:tc>
        <w:tc>
          <w:tcPr>
            <w:tcW w:w="4026" w:type="pct"/>
          </w:tcPr>
          <w:p w:rsidRPr="00B3158A" w:rsidR="00A0629C" w:rsidP="00A0629C" w:rsidRDefault="00690955" w14:paraId="07C05780" w14:textId="253ED0DC">
            <w:pPr>
              <w:rPr>
                <w:i/>
              </w:rPr>
            </w:pPr>
            <w:proofErr w:type="spellStart"/>
            <w:r w:rsidRPr="00B3158A">
              <w:rPr>
                <w:i/>
              </w:rPr>
              <w:t>Gaizka</w:t>
            </w:r>
            <w:proofErr w:type="spellEnd"/>
            <w:r w:rsidRPr="00B3158A">
              <w:rPr>
                <w:i/>
              </w:rPr>
              <w:t xml:space="preserve"> </w:t>
            </w:r>
            <w:r w:rsidRPr="00B3158A" w:rsidR="00641BDF">
              <w:rPr>
                <w:i/>
              </w:rPr>
              <w:t>MALO</w:t>
            </w:r>
            <w:r w:rsidRPr="00B3158A">
              <w:rPr>
                <w:i/>
              </w:rPr>
              <w:t xml:space="preserve">, </w:t>
            </w:r>
            <w:proofErr w:type="spellStart"/>
            <w:r w:rsidRPr="00B3158A">
              <w:rPr>
                <w:i/>
              </w:rPr>
              <w:t>Myrto</w:t>
            </w:r>
            <w:proofErr w:type="spellEnd"/>
            <w:r w:rsidRPr="00B3158A">
              <w:rPr>
                <w:i/>
              </w:rPr>
              <w:t xml:space="preserve"> </w:t>
            </w:r>
            <w:r w:rsidRPr="00B3158A" w:rsidR="00641BDF">
              <w:rPr>
                <w:i/>
              </w:rPr>
              <w:t>KOLYVA</w:t>
            </w:r>
          </w:p>
        </w:tc>
      </w:tr>
      <w:tr w:rsidRPr="00B3158A" w:rsidR="00A0629C" w:rsidTr="00BB7F23" w14:paraId="7DD68640" w14:textId="77777777">
        <w:tc>
          <w:tcPr>
            <w:tcW w:w="974" w:type="pct"/>
          </w:tcPr>
          <w:p w:rsidRPr="00B3158A" w:rsidR="00A0629C" w:rsidP="00A0629C" w:rsidRDefault="00A0629C" w14:paraId="32BC79DA" w14:textId="77777777">
            <w:r w:rsidRPr="00B3158A">
              <w:rPr>
                <w:i/>
              </w:rPr>
              <w:t>Telefon</w:t>
            </w:r>
          </w:p>
        </w:tc>
        <w:tc>
          <w:tcPr>
            <w:tcW w:w="4026" w:type="pct"/>
          </w:tcPr>
          <w:p w:rsidRPr="00B3158A" w:rsidR="00A0629C" w:rsidP="00A0629C" w:rsidRDefault="00A0629C" w14:paraId="039B74A5" w14:textId="77777777">
            <w:r w:rsidRPr="00B3158A">
              <w:rPr>
                <w:i/>
              </w:rPr>
              <w:t>+32 2 546 8526, +32 2 546 8718</w:t>
            </w:r>
          </w:p>
        </w:tc>
      </w:tr>
      <w:tr w:rsidRPr="00B3158A" w:rsidR="00A0629C" w:rsidTr="00BB7F23" w14:paraId="60C2DC59" w14:textId="77777777">
        <w:tc>
          <w:tcPr>
            <w:tcW w:w="974" w:type="pct"/>
          </w:tcPr>
          <w:p w:rsidRPr="00B3158A" w:rsidR="00A0629C" w:rsidP="00A0629C" w:rsidRDefault="00A0629C" w14:paraId="29E93AD0" w14:textId="77777777">
            <w:r w:rsidRPr="00B3158A">
              <w:rPr>
                <w:i/>
              </w:rPr>
              <w:t>E-naslov</w:t>
            </w:r>
          </w:p>
        </w:tc>
        <w:tc>
          <w:tcPr>
            <w:tcW w:w="4026" w:type="pct"/>
          </w:tcPr>
          <w:p w:rsidRPr="00B3158A" w:rsidR="00A0629C" w:rsidP="00A0629C" w:rsidRDefault="00662932" w14:paraId="73821740" w14:textId="77777777">
            <w:pPr>
              <w:rPr>
                <w:i/>
              </w:rPr>
            </w:pPr>
            <w:hyperlink w:history="1" r:id="rId52">
              <w:r w:rsidRPr="00B3158A" w:rsidR="00A0629C">
                <w:rPr>
                  <w:rStyle w:val="Hyperlink"/>
                  <w:i/>
                </w:rPr>
                <w:t>Gaizka.MaloElcoro-Iribe@eesc.europa.eu</w:t>
              </w:r>
            </w:hyperlink>
            <w:r w:rsidRPr="00B3158A" w:rsidR="00A0629C">
              <w:rPr>
                <w:i/>
              </w:rPr>
              <w:t xml:space="preserve">, </w:t>
            </w:r>
            <w:hyperlink w:history="1" r:id="rId53">
              <w:r w:rsidRPr="00B3158A" w:rsidR="00A0629C">
                <w:rPr>
                  <w:rStyle w:val="Hyperlink"/>
                  <w:i/>
                </w:rPr>
                <w:t>Myrto.Kolyva@eesc.europa.eu</w:t>
              </w:r>
            </w:hyperlink>
          </w:p>
        </w:tc>
      </w:tr>
    </w:tbl>
    <w:p w:rsidR="00BC2C29" w:rsidP="00D94D34" w:rsidRDefault="00D94D34" w14:paraId="7DDC23F9" w14:textId="2105D277">
      <w:pPr>
        <w:jc w:val="left"/>
      </w:pPr>
      <w:r>
        <w:br w:type="page"/>
      </w:r>
    </w:p>
    <w:p w:rsidR="007F5784" w:rsidP="00D94D34" w:rsidRDefault="007F5784" w14:paraId="14026A78" w14:textId="4FAE1588">
      <w:pPr>
        <w:pStyle w:val="Heading1"/>
        <w:rPr>
          <w:b/>
        </w:rPr>
      </w:pPr>
      <w:bookmarkStart w:name="_Toc204326344" w:id="23"/>
      <w:r>
        <w:rPr>
          <w:b/>
        </w:rPr>
        <w:lastRenderedPageBreak/>
        <w:t>ZUNANJI ODNOSI</w:t>
      </w:r>
      <w:bookmarkEnd w:id="23"/>
    </w:p>
    <w:p w:rsidR="004E7ED8" w:rsidP="00A0629C" w:rsidRDefault="004E7ED8" w14:paraId="49F341ED" w14:textId="77777777">
      <w:pPr>
        <w:spacing w:line="240" w:lineRule="auto"/>
        <w:jc w:val="left"/>
      </w:pPr>
    </w:p>
    <w:p w:rsidRPr="00690955" w:rsidR="00A0629C" w:rsidP="00641BDF" w:rsidRDefault="00662932" w14:paraId="0C73D1A4" w14:textId="77777777">
      <w:pPr>
        <w:numPr>
          <w:ilvl w:val="0"/>
          <w:numId w:val="27"/>
        </w:numPr>
        <w:suppressAutoHyphens/>
        <w:overflowPunct w:val="0"/>
        <w:autoSpaceDE w:val="0"/>
        <w:autoSpaceDN w:val="0"/>
        <w:adjustRightInd w:val="0"/>
        <w:ind w:left="927"/>
        <w:textAlignment w:val="baseline"/>
        <w:rPr>
          <w:b/>
          <w:bCs/>
          <w:i/>
          <w:iCs/>
          <w:sz w:val="28"/>
          <w:szCs w:val="28"/>
        </w:rPr>
      </w:pPr>
      <w:hyperlink w:history="1" r:id="rId54">
        <w:r w:rsidRPr="00690955" w:rsidR="00A0629C">
          <w:rPr>
            <w:rStyle w:val="Hyperlink"/>
            <w:b/>
            <w:i/>
            <w:sz w:val="28"/>
          </w:rPr>
          <w:t>Prihodnost odnosov med EU in Združenim kraljestvom: pregled sporazuma o trgovini in sodelovanju (2026) z vidika civilne družbe</w:t>
        </w:r>
      </w:hyperlink>
    </w:p>
    <w:p w:rsidRPr="00C85DD0" w:rsidR="00A0629C" w:rsidP="00A0629C" w:rsidRDefault="00A0629C" w14:paraId="523E3E51" w14:textId="77777777">
      <w:pPr>
        <w:tabs>
          <w:tab w:val="center" w:pos="284"/>
        </w:tabs>
        <w:suppressAutoHyphens/>
        <w:spacing w:line="240" w:lineRule="auto"/>
        <w:ind w:left="266" w:hanging="266"/>
        <w:rPr>
          <w:bCs/>
        </w:rPr>
      </w:pPr>
    </w:p>
    <w:tbl>
      <w:tblPr>
        <w:tblStyle w:val="TableGrid"/>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0"/>
        <w:gridCol w:w="6611"/>
      </w:tblGrid>
      <w:tr w:rsidRPr="00C85DD0" w:rsidR="00A0629C" w:rsidTr="00A0629C" w14:paraId="5D6D1C04" w14:textId="77777777">
        <w:trPr>
          <w:trHeight w:val="160"/>
        </w:trPr>
        <w:tc>
          <w:tcPr>
            <w:tcW w:w="1299" w:type="pct"/>
          </w:tcPr>
          <w:p w:rsidRPr="00C85DD0" w:rsidR="00A0629C" w:rsidP="00BB7F23" w:rsidRDefault="00A0629C" w14:paraId="753A6CE2" w14:textId="0A72E28D">
            <w:pPr>
              <w:tabs>
                <w:tab w:val="center" w:pos="284"/>
              </w:tabs>
              <w:suppressAutoHyphens/>
              <w:ind w:left="266" w:hanging="266"/>
              <w:rPr>
                <w:b/>
              </w:rPr>
            </w:pPr>
            <w:r w:rsidRPr="00C85DD0">
              <w:rPr>
                <w:b/>
              </w:rPr>
              <w:t>Poročevalka</w:t>
            </w:r>
          </w:p>
        </w:tc>
        <w:tc>
          <w:tcPr>
            <w:tcW w:w="3701" w:type="pct"/>
          </w:tcPr>
          <w:p w:rsidRPr="00C85DD0" w:rsidR="00A0629C" w:rsidP="00BB7F23" w:rsidRDefault="00A0629C" w14:paraId="30E1B1C2" w14:textId="7469EA20">
            <w:pPr>
              <w:tabs>
                <w:tab w:val="center" w:pos="284"/>
              </w:tabs>
              <w:suppressAutoHyphens/>
              <w:ind w:left="266" w:hanging="266"/>
            </w:pPr>
            <w:r w:rsidRPr="00C85DD0">
              <w:t>Tanja BUZEK (skupina delojemalcev – DE)</w:t>
            </w:r>
          </w:p>
        </w:tc>
      </w:tr>
      <w:tr w:rsidRPr="00C85DD0" w:rsidR="00A0629C" w:rsidTr="00A0629C" w14:paraId="3D0A9C46" w14:textId="77777777">
        <w:trPr>
          <w:trHeight w:val="268"/>
        </w:trPr>
        <w:tc>
          <w:tcPr>
            <w:tcW w:w="1299" w:type="pct"/>
          </w:tcPr>
          <w:p w:rsidRPr="00C85DD0" w:rsidR="00A0629C" w:rsidP="00BB7F23" w:rsidRDefault="00A0629C" w14:paraId="49A909E1" w14:textId="1D44C281">
            <w:pPr>
              <w:tabs>
                <w:tab w:val="center" w:pos="284"/>
              </w:tabs>
              <w:suppressAutoHyphens/>
              <w:ind w:left="266" w:hanging="266"/>
              <w:rPr>
                <w:b/>
              </w:rPr>
            </w:pPr>
            <w:r w:rsidRPr="00C85DD0">
              <w:rPr>
                <w:b/>
              </w:rPr>
              <w:t>Soporočevalec</w:t>
            </w:r>
          </w:p>
        </w:tc>
        <w:tc>
          <w:tcPr>
            <w:tcW w:w="3701" w:type="pct"/>
          </w:tcPr>
          <w:p w:rsidRPr="00C85DD0" w:rsidR="00A0629C" w:rsidP="00BB7F23" w:rsidRDefault="00A0629C" w14:paraId="74ECD740" w14:textId="3501C192">
            <w:pPr>
              <w:tabs>
                <w:tab w:val="center" w:pos="284"/>
              </w:tabs>
              <w:suppressAutoHyphens/>
              <w:ind w:left="266" w:hanging="266"/>
            </w:pPr>
            <w:r w:rsidRPr="00C85DD0">
              <w:t>Peter BYRNE (skupina delodajalcev – IE)</w:t>
            </w:r>
          </w:p>
        </w:tc>
      </w:tr>
      <w:tr w:rsidRPr="00C85DD0" w:rsidR="00A0629C" w:rsidTr="00BB7F23" w14:paraId="3ECA9F39" w14:textId="77777777">
        <w:trPr>
          <w:trHeight w:val="70"/>
        </w:trPr>
        <w:tc>
          <w:tcPr>
            <w:tcW w:w="5000" w:type="pct"/>
            <w:gridSpan w:val="2"/>
          </w:tcPr>
          <w:p w:rsidRPr="00C85DD0" w:rsidR="00A0629C" w:rsidP="00BB7F23" w:rsidRDefault="00A0629C" w14:paraId="3DD8BCAA" w14:textId="77777777">
            <w:pPr>
              <w:tabs>
                <w:tab w:val="center" w:pos="284"/>
              </w:tabs>
              <w:suppressAutoHyphens/>
              <w:spacing w:line="240" w:lineRule="auto"/>
              <w:ind w:left="266" w:hanging="266"/>
              <w:rPr>
                <w:sz w:val="16"/>
                <w:szCs w:val="16"/>
              </w:rPr>
            </w:pPr>
          </w:p>
        </w:tc>
      </w:tr>
      <w:tr w:rsidRPr="00C85DD0" w:rsidR="00A0629C" w:rsidTr="00BB7F23" w14:paraId="036F5094" w14:textId="77777777">
        <w:tc>
          <w:tcPr>
            <w:tcW w:w="1299" w:type="pct"/>
          </w:tcPr>
          <w:p w:rsidRPr="00C85DD0" w:rsidR="00A0629C" w:rsidP="00BB7F23" w:rsidRDefault="00A0629C" w14:paraId="7E4B22E6" w14:textId="77777777">
            <w:pPr>
              <w:tabs>
                <w:tab w:val="center" w:pos="284"/>
              </w:tabs>
              <w:suppressAutoHyphens/>
              <w:ind w:left="266" w:hanging="266"/>
              <w:rPr>
                <w:b/>
              </w:rPr>
            </w:pPr>
            <w:r w:rsidRPr="00C85DD0">
              <w:rPr>
                <w:b/>
              </w:rPr>
              <w:t>Referenčni dokument</w:t>
            </w:r>
          </w:p>
        </w:tc>
        <w:tc>
          <w:tcPr>
            <w:tcW w:w="3701" w:type="pct"/>
          </w:tcPr>
          <w:p w:rsidR="00A0629C" w:rsidP="00BB7F23" w:rsidRDefault="00A0629C" w14:paraId="1ADD2E89" w14:textId="782B59C7">
            <w:pPr>
              <w:tabs>
                <w:tab w:val="center" w:pos="284"/>
              </w:tabs>
              <w:suppressAutoHyphens/>
              <w:ind w:left="266" w:hanging="266"/>
            </w:pPr>
            <w:r>
              <w:t>mnenje na lastno pobudo</w:t>
            </w:r>
          </w:p>
          <w:p w:rsidRPr="00C85DD0" w:rsidR="00A0629C" w:rsidP="00BB7F23" w:rsidRDefault="00A0629C" w14:paraId="2386BF8D" w14:textId="34D64336">
            <w:pPr>
              <w:tabs>
                <w:tab w:val="center" w:pos="284"/>
              </w:tabs>
              <w:suppressAutoHyphens/>
              <w:ind w:left="266" w:hanging="266"/>
            </w:pPr>
            <w:r w:rsidRPr="00C85DD0">
              <w:t>EESC-2025-00856-00-00-AC</w:t>
            </w:r>
          </w:p>
        </w:tc>
      </w:tr>
    </w:tbl>
    <w:p w:rsidRPr="00C85DD0" w:rsidR="00A0629C" w:rsidP="00A0629C" w:rsidRDefault="00A0629C" w14:paraId="6072F4C3" w14:textId="77777777">
      <w:pPr>
        <w:tabs>
          <w:tab w:val="center" w:pos="284"/>
        </w:tabs>
        <w:suppressAutoHyphens/>
        <w:spacing w:line="240" w:lineRule="auto"/>
        <w:ind w:left="266" w:hanging="266"/>
        <w:rPr>
          <w:bCs/>
        </w:rPr>
      </w:pPr>
    </w:p>
    <w:p w:rsidRPr="00C85DD0" w:rsidR="00A0629C" w:rsidP="00A0629C" w:rsidRDefault="00A0629C" w14:paraId="3524C31E" w14:textId="77777777">
      <w:pPr>
        <w:tabs>
          <w:tab w:val="center" w:pos="284"/>
        </w:tabs>
        <w:suppressAutoHyphens/>
        <w:ind w:left="266" w:hanging="266"/>
        <w:rPr>
          <w:b/>
        </w:rPr>
      </w:pPr>
      <w:r w:rsidRPr="00C85DD0">
        <w:rPr>
          <w:b/>
        </w:rPr>
        <w:t>Glavne točke</w:t>
      </w:r>
    </w:p>
    <w:p w:rsidRPr="00C85DD0" w:rsidR="00A0629C" w:rsidP="00A0629C" w:rsidRDefault="00A0629C" w14:paraId="5E5E2D6A" w14:textId="77777777">
      <w:pPr>
        <w:tabs>
          <w:tab w:val="center" w:pos="284"/>
        </w:tabs>
        <w:suppressAutoHyphens/>
        <w:spacing w:line="240" w:lineRule="auto"/>
        <w:ind w:left="266" w:hanging="266"/>
        <w:rPr>
          <w:bCs/>
        </w:rPr>
      </w:pPr>
    </w:p>
    <w:p w:rsidR="00A0629C" w:rsidP="00A0629C" w:rsidRDefault="00A0629C" w14:paraId="5E011B57" w14:textId="44346ACA">
      <w:pPr>
        <w:suppressAutoHyphens/>
      </w:pPr>
      <w:r w:rsidRPr="00C85DD0">
        <w:t>EESO</w:t>
      </w:r>
    </w:p>
    <w:p w:rsidRPr="00C85DD0" w:rsidR="00A0629C" w:rsidP="00632498" w:rsidRDefault="00A0629C" w14:paraId="11D91C02" w14:textId="77777777">
      <w:pPr>
        <w:numPr>
          <w:ilvl w:val="0"/>
          <w:numId w:val="20"/>
        </w:numPr>
        <w:suppressAutoHyphens/>
        <w:spacing w:line="276" w:lineRule="auto"/>
        <w:ind w:left="425" w:hanging="425"/>
      </w:pPr>
      <w:r w:rsidRPr="00C85DD0">
        <w:t xml:space="preserve">izpostavlja </w:t>
      </w:r>
      <w:r w:rsidRPr="00C85DD0">
        <w:rPr>
          <w:b/>
        </w:rPr>
        <w:t>edinstven odnos med EU in Združenim kraljestvom</w:t>
      </w:r>
      <w:r w:rsidRPr="00C85DD0">
        <w:t xml:space="preserve">, ki ni zgolj odnos med drugima največjima trgovinskima partnerjema, </w:t>
      </w:r>
      <w:r w:rsidRPr="00C85DD0">
        <w:rPr>
          <w:b/>
        </w:rPr>
        <w:t>temelji pa na bližini, skupnih interesih in velikemu številu predstavnikov Združenega kraljestva v najpomembnejših evropskih organizacijah civilne družbe</w:t>
      </w:r>
      <w:r w:rsidRPr="00C85DD0">
        <w:t>;</w:t>
      </w:r>
    </w:p>
    <w:p w:rsidRPr="00C85DD0" w:rsidR="00A0629C" w:rsidP="00632498" w:rsidRDefault="00A0629C" w14:paraId="51143EA2" w14:textId="77777777">
      <w:pPr>
        <w:numPr>
          <w:ilvl w:val="0"/>
          <w:numId w:val="20"/>
        </w:numPr>
        <w:suppressAutoHyphens/>
        <w:spacing w:line="276" w:lineRule="auto"/>
        <w:ind w:left="425" w:hanging="425"/>
      </w:pPr>
      <w:r w:rsidRPr="00C85DD0">
        <w:t xml:space="preserve">pozdravlja </w:t>
      </w:r>
      <w:r w:rsidRPr="00C85DD0">
        <w:rPr>
          <w:b/>
        </w:rPr>
        <w:t>nove priložnosti po prvem vrhu med EU in Združenim kraljestvom z obnovljenimi političnimi odnosi</w:t>
      </w:r>
      <w:r w:rsidRPr="00C85DD0">
        <w:t xml:space="preserve">, vključno s </w:t>
      </w:r>
      <w:r w:rsidRPr="00C85DD0">
        <w:rPr>
          <w:b/>
        </w:rPr>
        <w:t>tesnejšim sodelovanjem in dinamičnim usklajevanjem standardov</w:t>
      </w:r>
      <w:r w:rsidRPr="00C85DD0">
        <w:t>, ter poziva, naj se organizira poseben vrh med EU in Združenim kraljestvom o socialnem dialogu, v razprave pa naj se vključijo socialni partnerji;</w:t>
      </w:r>
    </w:p>
    <w:p w:rsidRPr="00C85DD0" w:rsidR="00A0629C" w:rsidP="00632498" w:rsidRDefault="00A0629C" w14:paraId="10B3B8C0" w14:textId="77777777">
      <w:pPr>
        <w:numPr>
          <w:ilvl w:val="0"/>
          <w:numId w:val="20"/>
        </w:numPr>
        <w:suppressAutoHyphens/>
        <w:spacing w:line="276" w:lineRule="auto"/>
        <w:ind w:left="425" w:hanging="425"/>
      </w:pPr>
      <w:r w:rsidRPr="00C85DD0">
        <w:t xml:space="preserve">podaja smernice za ambiciozen </w:t>
      </w:r>
      <w:r w:rsidRPr="00C85DD0">
        <w:rPr>
          <w:b/>
        </w:rPr>
        <w:t>pregled sporazuma o trgovini in sodelovanju, ki ne sme biti zgolj formalnost</w:t>
      </w:r>
      <w:r w:rsidRPr="00C85DD0">
        <w:t xml:space="preserve">, priporoča, </w:t>
      </w:r>
      <w:r w:rsidRPr="00C85DD0">
        <w:rPr>
          <w:b/>
        </w:rPr>
        <w:t>naj imajo notranje svetovalne skupine EU in Združenega kraljestva celovito vlogo</w:t>
      </w:r>
      <w:r w:rsidRPr="00C85DD0">
        <w:t>, saj poznajo delovanje v praksi in učinke sporazuma;</w:t>
      </w:r>
    </w:p>
    <w:p w:rsidRPr="00C85DD0" w:rsidR="00A0629C" w:rsidP="00632498" w:rsidRDefault="00A0629C" w14:paraId="59C366CE" w14:textId="77777777">
      <w:pPr>
        <w:numPr>
          <w:ilvl w:val="0"/>
          <w:numId w:val="20"/>
        </w:numPr>
        <w:suppressAutoHyphens/>
        <w:spacing w:line="276" w:lineRule="auto"/>
        <w:ind w:left="425" w:hanging="425"/>
      </w:pPr>
      <w:r w:rsidRPr="00C85DD0">
        <w:t xml:space="preserve">se zavzema za </w:t>
      </w:r>
      <w:r w:rsidRPr="00C85DD0">
        <w:rPr>
          <w:b/>
        </w:rPr>
        <w:t xml:space="preserve">okrepljeno regulativno sodelovanje na področju </w:t>
      </w:r>
      <w:proofErr w:type="spellStart"/>
      <w:r w:rsidRPr="00C85DD0">
        <w:rPr>
          <w:b/>
        </w:rPr>
        <w:t>netarifnih</w:t>
      </w:r>
      <w:proofErr w:type="spellEnd"/>
      <w:r w:rsidRPr="00C85DD0">
        <w:rPr>
          <w:b/>
        </w:rPr>
        <w:t xml:space="preserve"> ovir </w:t>
      </w:r>
      <w:r w:rsidRPr="00C85DD0">
        <w:t xml:space="preserve"> v okviru celovitega sporazuma o uporabi sanitarnih in fitosanitarnih ukrepov, </w:t>
      </w:r>
      <w:r w:rsidRPr="00C85DD0">
        <w:rPr>
          <w:b/>
        </w:rPr>
        <w:t>boljše uveljavljanje pravic potrošnikov</w:t>
      </w:r>
      <w:r w:rsidRPr="00C85DD0">
        <w:t xml:space="preserve"> ter </w:t>
      </w:r>
      <w:r w:rsidRPr="00C85DD0">
        <w:rPr>
          <w:b/>
        </w:rPr>
        <w:t>vzajemno priznavanje poklicnih kvalifikacij</w:t>
      </w:r>
      <w:r w:rsidRPr="00C85DD0">
        <w:t xml:space="preserve">, </w:t>
      </w:r>
      <w:r w:rsidRPr="00C85DD0">
        <w:rPr>
          <w:b/>
        </w:rPr>
        <w:t>kemijskih standardov</w:t>
      </w:r>
      <w:r w:rsidRPr="00C85DD0">
        <w:t xml:space="preserve"> in </w:t>
      </w:r>
      <w:r w:rsidRPr="00C85DD0">
        <w:rPr>
          <w:b/>
        </w:rPr>
        <w:t>postopkov za ugotavljanje skladnosti</w:t>
      </w:r>
      <w:r w:rsidRPr="00C85DD0">
        <w:t>;</w:t>
      </w:r>
    </w:p>
    <w:p w:rsidRPr="00C85DD0" w:rsidR="00A0629C" w:rsidP="00632498" w:rsidRDefault="00A0629C" w14:paraId="384BCA7F" w14:textId="77777777">
      <w:pPr>
        <w:numPr>
          <w:ilvl w:val="0"/>
          <w:numId w:val="20"/>
        </w:numPr>
        <w:suppressAutoHyphens/>
        <w:spacing w:line="276" w:lineRule="auto"/>
        <w:ind w:left="425" w:hanging="425"/>
      </w:pPr>
      <w:r w:rsidRPr="00C85DD0">
        <w:rPr>
          <w:b/>
        </w:rPr>
        <w:t>poziva k izboljšanju določb o mobilnosti za ponudnike storitev</w:t>
      </w:r>
      <w:r w:rsidRPr="00C85DD0">
        <w:t>, da bi odpravili sedanje omejitve, spodbujali pošteno konkurenco in boljši dostop do trga ter zagotovili visoke standarde na področju zaposlovanja;</w:t>
      </w:r>
    </w:p>
    <w:p w:rsidRPr="00C85DD0" w:rsidR="00A0629C" w:rsidP="00632498" w:rsidRDefault="00A0629C" w14:paraId="4EA445EC" w14:textId="77777777">
      <w:pPr>
        <w:numPr>
          <w:ilvl w:val="0"/>
          <w:numId w:val="20"/>
        </w:numPr>
        <w:suppressAutoHyphens/>
        <w:spacing w:line="276" w:lineRule="auto"/>
        <w:ind w:left="425" w:hanging="425"/>
      </w:pPr>
      <w:r w:rsidRPr="00C85DD0">
        <w:rPr>
          <w:b/>
        </w:rPr>
        <w:t>opozarja, da se s tesnejšim usklajevanjem regulativnih sistemov zmanjšajo trenja</w:t>
      </w:r>
      <w:r w:rsidRPr="00C85DD0">
        <w:t xml:space="preserve"> in ustvarijo znatne koristi, ter poziva k ustanovitvi enote za oceno razlik in vzpostavitvi skupnega portala EU in Združenega kraljestva za regulativne informacije, kar bi zlasti koristilo MSP;</w:t>
      </w:r>
    </w:p>
    <w:p w:rsidRPr="00C85DD0" w:rsidR="00A0629C" w:rsidP="00632498" w:rsidRDefault="00A0629C" w14:paraId="0F1B5C22" w14:textId="77777777">
      <w:pPr>
        <w:numPr>
          <w:ilvl w:val="0"/>
          <w:numId w:val="20"/>
        </w:numPr>
        <w:suppressAutoHyphens/>
        <w:spacing w:line="276" w:lineRule="auto"/>
        <w:ind w:left="425" w:hanging="425"/>
      </w:pPr>
      <w:r w:rsidRPr="00C85DD0">
        <w:t xml:space="preserve">poudarja, </w:t>
      </w:r>
      <w:r w:rsidRPr="00C85DD0">
        <w:rPr>
          <w:b/>
        </w:rPr>
        <w:t>da je treba ohraniti pravice Severne Irske ter v okviru sporazuma o trgovini in sodelovanju uveljavljati klavzule o prepovedi zniževanja standardov in enakih konkurenčnih pogojih</w:t>
      </w:r>
      <w:r w:rsidRPr="00C85DD0">
        <w:t xml:space="preserve"> ter spodbujati reden dialog in sodelovanje na področju pravic delavcev in okoljskih pravic za nadaljnji napredek in skladnost;</w:t>
      </w:r>
    </w:p>
    <w:p w:rsidRPr="00C85DD0" w:rsidR="00A0629C" w:rsidP="00632498" w:rsidRDefault="00A0629C" w14:paraId="27AA3F52" w14:textId="77777777">
      <w:pPr>
        <w:numPr>
          <w:ilvl w:val="0"/>
          <w:numId w:val="20"/>
        </w:numPr>
        <w:suppressAutoHyphens/>
        <w:spacing w:line="276" w:lineRule="auto"/>
        <w:ind w:left="425" w:hanging="425"/>
      </w:pPr>
      <w:r w:rsidRPr="00C85DD0">
        <w:t xml:space="preserve">poudarja, </w:t>
      </w:r>
      <w:r w:rsidRPr="00C85DD0">
        <w:rPr>
          <w:b/>
        </w:rPr>
        <w:t>da je treba v prihodnje sporazume vključiti vidik mladih</w:t>
      </w:r>
      <w:r w:rsidRPr="00C85DD0">
        <w:t xml:space="preserve"> </w:t>
      </w:r>
      <w:r w:rsidRPr="00C85DD0">
        <w:rPr>
          <w:b/>
        </w:rPr>
        <w:t>ter se zavzemati za sodelovanje Združenega kraljestva v programu Erasmus+ ter v pobudah za poklicno izobraževanje in vajeništvo</w:t>
      </w:r>
      <w:r w:rsidRPr="00C85DD0">
        <w:t>, da bi mladim omogočili kakovostne pogoje in priložnosti.</w:t>
      </w:r>
    </w:p>
    <w:p w:rsidRPr="00C85DD0" w:rsidR="00A0629C" w:rsidP="00A0629C" w:rsidRDefault="00A0629C" w14:paraId="494C04C1" w14:textId="77777777">
      <w:pPr>
        <w:spacing w:line="240" w:lineRule="auto"/>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982"/>
      </w:tblGrid>
      <w:tr w:rsidRPr="00C85DD0" w:rsidR="00A0629C" w:rsidTr="00BB7F23" w14:paraId="5A164FAD" w14:textId="77777777">
        <w:tc>
          <w:tcPr>
            <w:tcW w:w="1107" w:type="pct"/>
          </w:tcPr>
          <w:p w:rsidRPr="00C85DD0" w:rsidR="00A0629C" w:rsidP="00BB7F23" w:rsidRDefault="00A0629C" w14:paraId="045F4366" w14:textId="77777777">
            <w:pPr>
              <w:suppressAutoHyphens/>
              <w:rPr>
                <w:i/>
              </w:rPr>
            </w:pPr>
            <w:r w:rsidRPr="00C85DD0">
              <w:rPr>
                <w:b/>
                <w:i/>
              </w:rPr>
              <w:t>Kontaktna oseba</w:t>
            </w:r>
          </w:p>
        </w:tc>
        <w:tc>
          <w:tcPr>
            <w:tcW w:w="3893" w:type="pct"/>
          </w:tcPr>
          <w:p w:rsidRPr="00C85DD0" w:rsidR="00A0629C" w:rsidP="00BB7F23" w:rsidRDefault="00690955" w14:paraId="55A94704" w14:textId="14015B2C">
            <w:pPr>
              <w:suppressAutoHyphens/>
              <w:rPr>
                <w:i/>
                <w:iCs/>
              </w:rPr>
            </w:pPr>
            <w:r w:rsidRPr="00C85DD0">
              <w:t xml:space="preserve">Marco </w:t>
            </w:r>
            <w:r w:rsidRPr="00C85DD0" w:rsidR="00641BDF">
              <w:t>RISTORI</w:t>
            </w:r>
          </w:p>
        </w:tc>
      </w:tr>
      <w:tr w:rsidRPr="00C85DD0" w:rsidR="00A0629C" w:rsidTr="00BB7F23" w14:paraId="5240BA1B" w14:textId="77777777">
        <w:tc>
          <w:tcPr>
            <w:tcW w:w="1107" w:type="pct"/>
          </w:tcPr>
          <w:p w:rsidRPr="00C85DD0" w:rsidR="00A0629C" w:rsidP="00BB7F23" w:rsidRDefault="00A0629C" w14:paraId="24FB76EB" w14:textId="77777777">
            <w:pPr>
              <w:suppressAutoHyphens/>
              <w:rPr>
                <w:i/>
              </w:rPr>
            </w:pPr>
            <w:r w:rsidRPr="00C85DD0">
              <w:rPr>
                <w:i/>
              </w:rPr>
              <w:t>Telefon</w:t>
            </w:r>
          </w:p>
        </w:tc>
        <w:tc>
          <w:tcPr>
            <w:tcW w:w="3893" w:type="pct"/>
          </w:tcPr>
          <w:p w:rsidRPr="00C85DD0" w:rsidR="00A0629C" w:rsidP="00BB7F23" w:rsidRDefault="00A0629C" w14:paraId="5E0DCB65" w14:textId="77777777">
            <w:pPr>
              <w:suppressAutoHyphens/>
              <w:rPr>
                <w:i/>
              </w:rPr>
            </w:pPr>
            <w:r w:rsidRPr="00C85DD0">
              <w:rPr>
                <w:i/>
              </w:rPr>
              <w:t>+32 25469969</w:t>
            </w:r>
          </w:p>
        </w:tc>
      </w:tr>
      <w:tr w:rsidRPr="00C85DD0" w:rsidR="00A0629C" w:rsidTr="00BB7F23" w14:paraId="36613168" w14:textId="77777777">
        <w:tc>
          <w:tcPr>
            <w:tcW w:w="1107" w:type="pct"/>
          </w:tcPr>
          <w:p w:rsidRPr="00C85DD0" w:rsidR="00A0629C" w:rsidP="00BB7F23" w:rsidRDefault="00A0629C" w14:paraId="1830848A" w14:textId="77777777">
            <w:pPr>
              <w:suppressAutoHyphens/>
              <w:rPr>
                <w:i/>
              </w:rPr>
            </w:pPr>
            <w:r w:rsidRPr="00C85DD0">
              <w:rPr>
                <w:i/>
              </w:rPr>
              <w:t>E-naslov</w:t>
            </w:r>
          </w:p>
        </w:tc>
        <w:tc>
          <w:tcPr>
            <w:tcW w:w="3893" w:type="pct"/>
          </w:tcPr>
          <w:p w:rsidRPr="00C85DD0" w:rsidR="00A0629C" w:rsidP="00BB7F23" w:rsidRDefault="00662932" w14:paraId="185956BC" w14:textId="77777777">
            <w:pPr>
              <w:suppressAutoHyphens/>
              <w:rPr>
                <w:i/>
              </w:rPr>
            </w:pPr>
            <w:hyperlink w:history="1" r:id="rId55">
              <w:r w:rsidRPr="00C85DD0" w:rsidR="00A0629C">
                <w:rPr>
                  <w:rStyle w:val="Hyperlink"/>
                  <w:i/>
                </w:rPr>
                <w:t>Marco.Ristori@eesc.europa.eu</w:t>
              </w:r>
            </w:hyperlink>
          </w:p>
        </w:tc>
      </w:tr>
    </w:tbl>
    <w:p w:rsidR="004E7ED8" w:rsidP="00D94D34" w:rsidRDefault="004E7ED8" w14:paraId="3BBB3E68" w14:textId="783CA783">
      <w:pPr>
        <w:jc w:val="left"/>
      </w:pPr>
      <w:r>
        <w:br w:type="page"/>
      </w:r>
    </w:p>
    <w:p w:rsidRPr="00CD1B7F" w:rsidR="00647A24" w:rsidP="00CD1B7F" w:rsidRDefault="00662932" w14:paraId="049B9BC8" w14:textId="77777777">
      <w:pPr>
        <w:numPr>
          <w:ilvl w:val="0"/>
          <w:numId w:val="27"/>
        </w:numPr>
        <w:suppressAutoHyphens/>
        <w:overflowPunct w:val="0"/>
        <w:autoSpaceDE w:val="0"/>
        <w:autoSpaceDN w:val="0"/>
        <w:adjustRightInd w:val="0"/>
        <w:textAlignment w:val="baseline"/>
        <w:rPr>
          <w:b/>
          <w:sz w:val="28"/>
          <w:szCs w:val="28"/>
        </w:rPr>
      </w:pPr>
      <w:hyperlink w:history="1" r:id="rId56">
        <w:r w:rsidRPr="00CD1B7F" w:rsidR="00647A24">
          <w:rPr>
            <w:rStyle w:val="Hyperlink"/>
            <w:b/>
            <w:i/>
            <w:sz w:val="28"/>
          </w:rPr>
          <w:t>Pomen institucionalizacije civilnega in socialnega dialoga v državah kandidatkah za pristop k EU in partnerskih državah</w:t>
        </w:r>
      </w:hyperlink>
    </w:p>
    <w:p w:rsidRPr="00924307" w:rsidR="00647A24" w:rsidP="00647A24" w:rsidRDefault="00647A24" w14:paraId="60B40060" w14:textId="77777777">
      <w:pPr>
        <w:tabs>
          <w:tab w:val="center" w:pos="284"/>
        </w:tabs>
        <w:suppressAutoHyphens/>
        <w:ind w:left="266" w:hanging="266"/>
        <w:rPr>
          <w:bCs/>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0"/>
        <w:gridCol w:w="6506"/>
      </w:tblGrid>
      <w:tr w:rsidRPr="00924307" w:rsidR="00647A24" w:rsidTr="00BB7F23" w14:paraId="1DC120D3" w14:textId="77777777">
        <w:tc>
          <w:tcPr>
            <w:tcW w:w="1372" w:type="pct"/>
          </w:tcPr>
          <w:p w:rsidRPr="00924307" w:rsidR="00647A24" w:rsidP="00BB7F23" w:rsidRDefault="00647A24" w14:paraId="747F4FF8" w14:textId="77777777">
            <w:pPr>
              <w:tabs>
                <w:tab w:val="center" w:pos="0"/>
              </w:tabs>
              <w:suppressAutoHyphens/>
              <w:ind w:left="266" w:hanging="266"/>
              <w:rPr>
                <w:b/>
              </w:rPr>
            </w:pPr>
            <w:r w:rsidRPr="00924307">
              <w:rPr>
                <w:b/>
              </w:rPr>
              <w:t>Poročevalci</w:t>
            </w:r>
          </w:p>
        </w:tc>
        <w:tc>
          <w:tcPr>
            <w:tcW w:w="3628" w:type="pct"/>
          </w:tcPr>
          <w:p w:rsidRPr="00924307" w:rsidR="00647A24" w:rsidP="00BB7F23" w:rsidRDefault="00647A24" w14:paraId="532BC8EA" w14:textId="77777777">
            <w:pPr>
              <w:tabs>
                <w:tab w:val="center" w:pos="0"/>
              </w:tabs>
              <w:suppressAutoHyphens/>
              <w:ind w:left="266" w:hanging="266"/>
            </w:pPr>
            <w:r w:rsidRPr="00924307">
              <w:t>Decebal-Ștefăniță PADURE (skupina delodajalcev – RO)</w:t>
            </w:r>
          </w:p>
          <w:p w:rsidRPr="00924307" w:rsidR="00647A24" w:rsidP="00BB7F23" w:rsidRDefault="00647A24" w14:paraId="51C7A188" w14:textId="77777777">
            <w:pPr>
              <w:tabs>
                <w:tab w:val="center" w:pos="0"/>
              </w:tabs>
              <w:suppressAutoHyphens/>
              <w:ind w:left="266" w:hanging="266"/>
            </w:pPr>
            <w:r w:rsidRPr="00924307">
              <w:t>Dumitru FORNEA (skupina delojemalcev – RO)</w:t>
            </w:r>
          </w:p>
          <w:p w:rsidRPr="00924307" w:rsidR="00647A24" w:rsidP="00BB7F23" w:rsidRDefault="00647A24" w14:paraId="728CC727" w14:textId="77777777">
            <w:pPr>
              <w:tabs>
                <w:tab w:val="center" w:pos="0"/>
              </w:tabs>
              <w:suppressAutoHyphens/>
              <w:ind w:left="266" w:hanging="266"/>
            </w:pPr>
            <w:r w:rsidRPr="00924307">
              <w:t>Ionuţ SIBIAN (skupina organizacij civilne družbe – RO)</w:t>
            </w:r>
          </w:p>
        </w:tc>
      </w:tr>
      <w:tr w:rsidRPr="00924307" w:rsidR="00647A24" w:rsidTr="00BB7F23" w14:paraId="6320450D" w14:textId="77777777">
        <w:tc>
          <w:tcPr>
            <w:tcW w:w="5000" w:type="pct"/>
            <w:gridSpan w:val="2"/>
          </w:tcPr>
          <w:p w:rsidRPr="00924307" w:rsidR="00647A24" w:rsidP="00BB7F23" w:rsidRDefault="00647A24" w14:paraId="151509A9" w14:textId="77777777">
            <w:pPr>
              <w:tabs>
                <w:tab w:val="center" w:pos="0"/>
              </w:tabs>
              <w:suppressAutoHyphens/>
              <w:spacing w:line="240" w:lineRule="auto"/>
              <w:ind w:left="266" w:hanging="266"/>
              <w:rPr>
                <w:sz w:val="16"/>
                <w:szCs w:val="16"/>
              </w:rPr>
            </w:pPr>
          </w:p>
        </w:tc>
      </w:tr>
      <w:tr w:rsidRPr="00924307" w:rsidR="00647A24" w:rsidTr="00BB7F23" w14:paraId="51C16C81" w14:textId="77777777">
        <w:tc>
          <w:tcPr>
            <w:tcW w:w="1372" w:type="pct"/>
          </w:tcPr>
          <w:p w:rsidRPr="00924307" w:rsidR="00647A24" w:rsidP="00BB7F23" w:rsidRDefault="00647A24" w14:paraId="6805E773" w14:textId="77777777">
            <w:pPr>
              <w:tabs>
                <w:tab w:val="center" w:pos="0"/>
              </w:tabs>
              <w:suppressAutoHyphens/>
              <w:ind w:left="266" w:hanging="266"/>
              <w:rPr>
                <w:b/>
              </w:rPr>
            </w:pPr>
            <w:r w:rsidRPr="00924307">
              <w:rPr>
                <w:b/>
              </w:rPr>
              <w:t>Referenčni dokument</w:t>
            </w:r>
          </w:p>
        </w:tc>
        <w:tc>
          <w:tcPr>
            <w:tcW w:w="3628" w:type="pct"/>
          </w:tcPr>
          <w:p w:rsidR="00647A24" w:rsidP="00BB7F23" w:rsidRDefault="00647A24" w14:paraId="5E6DFC69" w14:textId="09919D2B">
            <w:pPr>
              <w:tabs>
                <w:tab w:val="center" w:pos="0"/>
              </w:tabs>
              <w:suppressAutoHyphens/>
              <w:ind w:left="266" w:hanging="266"/>
            </w:pPr>
            <w:r>
              <w:t>mnenje na lastno pobudo</w:t>
            </w:r>
          </w:p>
          <w:p w:rsidRPr="00924307" w:rsidR="00647A24" w:rsidP="00BB7F23" w:rsidRDefault="00647A24" w14:paraId="458D1DEA" w14:textId="5AF75B14">
            <w:pPr>
              <w:tabs>
                <w:tab w:val="center" w:pos="0"/>
              </w:tabs>
              <w:suppressAutoHyphens/>
              <w:ind w:left="266" w:hanging="266"/>
            </w:pPr>
            <w:r w:rsidRPr="00924307">
              <w:t>EESC-2025-00494-00-00-AC</w:t>
            </w:r>
          </w:p>
        </w:tc>
      </w:tr>
    </w:tbl>
    <w:p w:rsidRPr="00924307" w:rsidR="00647A24" w:rsidP="00647A24" w:rsidRDefault="00647A24" w14:paraId="046C6A2F" w14:textId="77777777">
      <w:pPr>
        <w:tabs>
          <w:tab w:val="center" w:pos="0"/>
        </w:tabs>
        <w:suppressAutoHyphens/>
        <w:ind w:left="266" w:hanging="266"/>
        <w:rPr>
          <w:bCs/>
        </w:rPr>
      </w:pPr>
    </w:p>
    <w:p w:rsidRPr="00924307" w:rsidR="00647A24" w:rsidP="00690955" w:rsidRDefault="00647A24" w14:paraId="761A52F7" w14:textId="35867C18">
      <w:pPr>
        <w:tabs>
          <w:tab w:val="center" w:pos="0"/>
        </w:tabs>
        <w:suppressAutoHyphens/>
        <w:ind w:left="266" w:hanging="266"/>
        <w:rPr>
          <w:bCs/>
        </w:rPr>
      </w:pPr>
      <w:r w:rsidRPr="00690955">
        <w:rPr>
          <w:bCs/>
        </w:rPr>
        <w:t>EESO</w:t>
      </w:r>
    </w:p>
    <w:p w:rsidRPr="00924307" w:rsidR="00647A24" w:rsidP="00632498" w:rsidRDefault="00647A24" w14:paraId="6AEDBFB2" w14:textId="77777777">
      <w:pPr>
        <w:pStyle w:val="Heading2"/>
        <w:numPr>
          <w:ilvl w:val="0"/>
          <w:numId w:val="21"/>
        </w:numPr>
        <w:suppressAutoHyphens/>
        <w:ind w:left="426" w:hanging="426"/>
      </w:pPr>
      <w:r w:rsidRPr="00924307">
        <w:t>ponovno poudarja,</w:t>
      </w:r>
      <w:r w:rsidRPr="00924307">
        <w:rPr>
          <w:b/>
        </w:rPr>
        <w:t xml:space="preserve"> da je pomembno, da se civilni in socialni dialog institucionalizirata</w:t>
      </w:r>
      <w:r w:rsidRPr="00924307">
        <w:t xml:space="preserve"> v državah kandidatkah za pristop k EU ter partnerskih državah EU;</w:t>
      </w:r>
    </w:p>
    <w:p w:rsidRPr="00924307" w:rsidR="00647A24" w:rsidP="00632498" w:rsidRDefault="00647A24" w14:paraId="3DDFF425" w14:textId="77777777">
      <w:pPr>
        <w:pStyle w:val="Heading2"/>
        <w:numPr>
          <w:ilvl w:val="0"/>
          <w:numId w:val="21"/>
        </w:numPr>
        <w:suppressAutoHyphens/>
        <w:ind w:left="426" w:hanging="426"/>
      </w:pPr>
      <w:r w:rsidRPr="00924307">
        <w:t>meni, da je treba to doseči s celovitim in spodbudnim zakonodajnim okvirom, ki bo zagotovil učinkovito udeležbo organizacij civilne družbe, socialnih partnerjev in drugih ustreznih deležnikov pri oblikovanju, izvajanju, spremljanju in ocenjevanju zakonodajnega in političnega dela;</w:t>
      </w:r>
    </w:p>
    <w:p w:rsidRPr="00924307" w:rsidR="00647A24" w:rsidP="00632498" w:rsidRDefault="00647A24" w14:paraId="53A5F93F" w14:textId="77777777">
      <w:pPr>
        <w:pStyle w:val="Heading2"/>
        <w:numPr>
          <w:ilvl w:val="0"/>
          <w:numId w:val="21"/>
        </w:numPr>
        <w:suppressAutoHyphens/>
        <w:ind w:left="426" w:hanging="426"/>
      </w:pPr>
      <w:r w:rsidRPr="00924307">
        <w:t>predlaga uskladitev institucionalne ureditve civilnega in socialnega dialoga v državah kandidatkah z načeli, standardi in dobrimi praksami v Evropski uniji ter spodbujanje takšne uskladitve v partnerskih državah s sklicevanjem na EESO;</w:t>
      </w:r>
    </w:p>
    <w:p w:rsidRPr="00924307" w:rsidR="00647A24" w:rsidP="00632498" w:rsidRDefault="00647A24" w14:paraId="2157BC82" w14:textId="77777777">
      <w:pPr>
        <w:pStyle w:val="Heading2"/>
        <w:numPr>
          <w:ilvl w:val="0"/>
          <w:numId w:val="21"/>
        </w:numPr>
        <w:suppressAutoHyphens/>
        <w:ind w:left="426" w:hanging="426"/>
      </w:pPr>
      <w:r w:rsidRPr="00924307">
        <w:t>podpira pristen in strukturiran tristranski dialog med vlado, sindikati in organizacijami delodajalcev;</w:t>
      </w:r>
    </w:p>
    <w:p w:rsidRPr="00924307" w:rsidR="00647A24" w:rsidP="00632498" w:rsidRDefault="00647A24" w14:paraId="3DE779CE" w14:textId="77777777">
      <w:pPr>
        <w:pStyle w:val="Heading2"/>
        <w:numPr>
          <w:ilvl w:val="0"/>
          <w:numId w:val="21"/>
        </w:numPr>
        <w:suppressAutoHyphens/>
        <w:ind w:left="426" w:hanging="426"/>
      </w:pPr>
      <w:r w:rsidRPr="00924307">
        <w:t>poudarja pomen finančne podpore, usposabljanja, institucionalnih partnerstev in operativne pomoči za organizacije civilne družbe in socialne partnerje, pri čemer se ohrani njihova neodvisnost od vlade;</w:t>
      </w:r>
    </w:p>
    <w:p w:rsidRPr="00924307" w:rsidR="00647A24" w:rsidP="00632498" w:rsidRDefault="00647A24" w14:paraId="74389E9D" w14:textId="77777777">
      <w:pPr>
        <w:pStyle w:val="Heading2"/>
        <w:numPr>
          <w:ilvl w:val="0"/>
          <w:numId w:val="21"/>
        </w:numPr>
        <w:suppressAutoHyphens/>
        <w:ind w:left="426" w:hanging="426"/>
      </w:pPr>
      <w:r w:rsidRPr="00924307">
        <w:t>spodbuja ustrezne institucije Evropske unije, naj poudarjajo, kako pomembna sta vključevanje in učinkovita udeležba organizirane civilne družbe v postopkih pogajanj, in sicer na pregleden in vključujoč način, ter tako prispevajo tudi h krepitvi sedanjih posvetovalnih struktur civilne družbe (kot so skupni posvetovalni odbori, platforme civilne družbe in notranje svetovalne skupine);</w:t>
      </w:r>
    </w:p>
    <w:p w:rsidRPr="00924307" w:rsidR="00647A24" w:rsidP="00632498" w:rsidRDefault="00647A24" w14:paraId="3B29D184" w14:textId="77777777">
      <w:pPr>
        <w:pStyle w:val="Heading2"/>
        <w:numPr>
          <w:ilvl w:val="0"/>
          <w:numId w:val="21"/>
        </w:numPr>
        <w:suppressAutoHyphens/>
        <w:ind w:left="426" w:hanging="426"/>
      </w:pPr>
      <w:r w:rsidRPr="00924307">
        <w:t>predlaga, da se civilni in socialni dialog uvrstita med pogoje za pristopna pogajanja EU in programe sodelovanja.</w:t>
      </w:r>
    </w:p>
    <w:p w:rsidRPr="00924307" w:rsidR="00647A24" w:rsidP="00647A24" w:rsidRDefault="00647A24" w14:paraId="4E577EC2" w14:textId="77777777">
      <w:pPr>
        <w:suppressAutoHyphens/>
      </w:pPr>
    </w:p>
    <w:tbl>
      <w:tblPr>
        <w:tblStyle w:val="TableGrid"/>
        <w:tblW w:w="471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566"/>
      </w:tblGrid>
      <w:tr w:rsidRPr="00924307" w:rsidR="00647A24" w:rsidTr="00BB7F23" w14:paraId="38F7922C" w14:textId="77777777">
        <w:tc>
          <w:tcPr>
            <w:tcW w:w="1161" w:type="pct"/>
          </w:tcPr>
          <w:p w:rsidRPr="00924307" w:rsidR="00647A24" w:rsidP="00BB7F23" w:rsidRDefault="00647A24" w14:paraId="0DA6AF19" w14:textId="7E0D5F1C">
            <w:pPr>
              <w:suppressAutoHyphens/>
              <w:rPr>
                <w:i/>
              </w:rPr>
            </w:pPr>
            <w:r w:rsidRPr="00924307">
              <w:rPr>
                <w:b/>
                <w:i/>
              </w:rPr>
              <w:t>Kontakt</w:t>
            </w:r>
            <w:r w:rsidR="00690955">
              <w:rPr>
                <w:b/>
                <w:i/>
              </w:rPr>
              <w:t>na oseba</w:t>
            </w:r>
          </w:p>
        </w:tc>
        <w:tc>
          <w:tcPr>
            <w:tcW w:w="3839" w:type="pct"/>
          </w:tcPr>
          <w:p w:rsidRPr="00924307" w:rsidR="00647A24" w:rsidP="00BB7F23" w:rsidRDefault="00647A24" w14:paraId="4E9804A8" w14:textId="085F912A">
            <w:pPr>
              <w:suppressAutoHyphens/>
              <w:rPr>
                <w:i/>
              </w:rPr>
            </w:pPr>
            <w:r w:rsidRPr="00924307">
              <w:rPr>
                <w:i/>
              </w:rPr>
              <w:t xml:space="preserve">Katarína </w:t>
            </w:r>
            <w:r w:rsidRPr="00924307" w:rsidR="00641BDF">
              <w:rPr>
                <w:i/>
              </w:rPr>
              <w:t>GRZESZCZYK ALBRECHTOVÁ</w:t>
            </w:r>
          </w:p>
        </w:tc>
      </w:tr>
      <w:tr w:rsidRPr="00924307" w:rsidR="00647A24" w:rsidTr="00BB7F23" w14:paraId="06834905" w14:textId="77777777">
        <w:tc>
          <w:tcPr>
            <w:tcW w:w="1161" w:type="pct"/>
          </w:tcPr>
          <w:p w:rsidRPr="00924307" w:rsidR="00647A24" w:rsidP="00BB7F23" w:rsidRDefault="00647A24" w14:paraId="0CAF8677" w14:textId="77777777">
            <w:pPr>
              <w:suppressAutoHyphens/>
              <w:rPr>
                <w:i/>
              </w:rPr>
            </w:pPr>
            <w:r w:rsidRPr="00924307">
              <w:rPr>
                <w:i/>
              </w:rPr>
              <w:t>Telefon</w:t>
            </w:r>
          </w:p>
        </w:tc>
        <w:tc>
          <w:tcPr>
            <w:tcW w:w="3839" w:type="pct"/>
          </w:tcPr>
          <w:p w:rsidRPr="00924307" w:rsidR="00647A24" w:rsidP="00BB7F23" w:rsidRDefault="00647A24" w14:paraId="44C64CF6" w14:textId="77777777">
            <w:pPr>
              <w:suppressAutoHyphens/>
              <w:rPr>
                <w:i/>
              </w:rPr>
            </w:pPr>
            <w:r w:rsidRPr="00924307">
              <w:rPr>
                <w:i/>
              </w:rPr>
              <w:t>+32 25469460</w:t>
            </w:r>
          </w:p>
        </w:tc>
      </w:tr>
      <w:tr w:rsidRPr="00924307" w:rsidR="00647A24" w:rsidTr="00BB7F23" w14:paraId="5FE3A822" w14:textId="77777777">
        <w:tc>
          <w:tcPr>
            <w:tcW w:w="1161" w:type="pct"/>
          </w:tcPr>
          <w:p w:rsidRPr="00924307" w:rsidR="00647A24" w:rsidP="00BB7F23" w:rsidRDefault="00647A24" w14:paraId="7594FB83" w14:textId="77777777">
            <w:pPr>
              <w:suppressAutoHyphens/>
              <w:rPr>
                <w:i/>
              </w:rPr>
            </w:pPr>
            <w:r w:rsidRPr="00924307">
              <w:rPr>
                <w:i/>
              </w:rPr>
              <w:t>E-naslov</w:t>
            </w:r>
          </w:p>
        </w:tc>
        <w:tc>
          <w:tcPr>
            <w:tcW w:w="3839" w:type="pct"/>
          </w:tcPr>
          <w:p w:rsidRPr="00924307" w:rsidR="00647A24" w:rsidP="00BB7F23" w:rsidRDefault="00662932" w14:paraId="6F81C15B" w14:textId="77777777">
            <w:pPr>
              <w:suppressAutoHyphens/>
            </w:pPr>
            <w:hyperlink w:history="1" r:id="rId57">
              <w:r w:rsidRPr="00924307" w:rsidR="00647A24">
                <w:rPr>
                  <w:rStyle w:val="Hyperlink"/>
                </w:rPr>
                <w:t>Katarina.Albrechtova@eesc.europa.eu</w:t>
              </w:r>
            </w:hyperlink>
          </w:p>
        </w:tc>
      </w:tr>
    </w:tbl>
    <w:p w:rsidR="00CB5FF2" w:rsidRDefault="00CB5FF2" w14:paraId="32936735" w14:textId="678A8919">
      <w:pPr>
        <w:spacing w:after="160" w:line="259" w:lineRule="auto"/>
        <w:jc w:val="left"/>
      </w:pPr>
      <w:r>
        <w:br w:type="page"/>
      </w:r>
    </w:p>
    <w:p w:rsidRPr="00690955" w:rsidR="00647A24" w:rsidP="00632498" w:rsidRDefault="00662932" w14:paraId="6AA77729" w14:textId="77777777">
      <w:pPr>
        <w:numPr>
          <w:ilvl w:val="0"/>
          <w:numId w:val="27"/>
        </w:numPr>
        <w:rPr>
          <w:b/>
          <w:bCs/>
          <w:sz w:val="28"/>
          <w:szCs w:val="28"/>
        </w:rPr>
      </w:pPr>
      <w:hyperlink w:history="1" r:id="rId58">
        <w:r w:rsidRPr="00690955" w:rsidR="00647A24">
          <w:rPr>
            <w:rStyle w:val="Hyperlink"/>
            <w:b/>
            <w:i/>
            <w:sz w:val="28"/>
            <w:shd w:val="clear" w:color="auto" w:fill="FEFEFE"/>
          </w:rPr>
          <w:t>Obravnavanje soodvisnosti miru in podnebnih sprememb: potreba po prenovljeni svetovni diplomaciji</w:t>
        </w:r>
      </w:hyperlink>
    </w:p>
    <w:p w:rsidRPr="0033335E" w:rsidR="00647A24" w:rsidP="00647A24" w:rsidRDefault="00647A24" w14:paraId="35934A98" w14:textId="77777777">
      <w:pPr>
        <w:tabs>
          <w:tab w:val="center" w:pos="284"/>
        </w:tabs>
        <w:suppressAutoHyphens/>
        <w:ind w:left="266" w:hanging="266"/>
        <w:rPr>
          <w:bCs/>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0"/>
        <w:gridCol w:w="6646"/>
      </w:tblGrid>
      <w:tr w:rsidRPr="0033335E" w:rsidR="00647A24" w:rsidTr="00BB7F23" w14:paraId="332EBA0C" w14:textId="77777777">
        <w:tc>
          <w:tcPr>
            <w:tcW w:w="1294" w:type="pct"/>
          </w:tcPr>
          <w:p w:rsidRPr="0033335E" w:rsidR="00647A24" w:rsidP="00647A24" w:rsidRDefault="00647A24" w14:paraId="6EA175DE" w14:textId="77777777">
            <w:pPr>
              <w:tabs>
                <w:tab w:val="center" w:pos="284"/>
              </w:tabs>
              <w:suppressAutoHyphens/>
              <w:ind w:left="266" w:hanging="266"/>
              <w:rPr>
                <w:b/>
              </w:rPr>
            </w:pPr>
            <w:r w:rsidRPr="0033335E">
              <w:rPr>
                <w:b/>
              </w:rPr>
              <w:t>Poročevalec</w:t>
            </w:r>
          </w:p>
        </w:tc>
        <w:tc>
          <w:tcPr>
            <w:tcW w:w="3706" w:type="pct"/>
          </w:tcPr>
          <w:p w:rsidRPr="0033335E" w:rsidR="00647A24" w:rsidP="00647A24" w:rsidRDefault="00647A24" w14:paraId="4333BEE2" w14:textId="77777777">
            <w:pPr>
              <w:tabs>
                <w:tab w:val="center" w:pos="284"/>
              </w:tabs>
              <w:suppressAutoHyphens/>
              <w:ind w:left="266" w:hanging="266"/>
            </w:pPr>
            <w:r w:rsidRPr="0033335E">
              <w:t>Dimitris DIMITRIADIS (skupina delodajalcev – EL)</w:t>
            </w:r>
          </w:p>
        </w:tc>
      </w:tr>
      <w:tr w:rsidRPr="0033335E" w:rsidR="00647A24" w:rsidTr="00BB7F23" w14:paraId="089DEEC4" w14:textId="77777777">
        <w:tc>
          <w:tcPr>
            <w:tcW w:w="1294" w:type="pct"/>
          </w:tcPr>
          <w:p w:rsidRPr="0033335E" w:rsidR="00647A24" w:rsidP="00647A24" w:rsidRDefault="00647A24" w14:paraId="22A41EF3" w14:textId="77777777">
            <w:pPr>
              <w:tabs>
                <w:tab w:val="center" w:pos="284"/>
              </w:tabs>
              <w:suppressAutoHyphens/>
              <w:ind w:left="266" w:hanging="266"/>
              <w:rPr>
                <w:b/>
              </w:rPr>
            </w:pPr>
            <w:r w:rsidRPr="0033335E">
              <w:rPr>
                <w:b/>
              </w:rPr>
              <w:t>Soporočevalec</w:t>
            </w:r>
          </w:p>
        </w:tc>
        <w:tc>
          <w:tcPr>
            <w:tcW w:w="3706" w:type="pct"/>
          </w:tcPr>
          <w:p w:rsidRPr="0033335E" w:rsidR="00647A24" w:rsidP="00647A24" w:rsidRDefault="00647A24" w14:paraId="0D4419C9" w14:textId="77777777">
            <w:pPr>
              <w:tabs>
                <w:tab w:val="center" w:pos="284"/>
              </w:tabs>
              <w:suppressAutoHyphens/>
              <w:ind w:left="266" w:hanging="266"/>
            </w:pPr>
            <w:r w:rsidRPr="0033335E">
              <w:t>Peter SCHMIDT (skupina delojemalcev – DE)</w:t>
            </w:r>
          </w:p>
        </w:tc>
      </w:tr>
      <w:tr w:rsidRPr="0033335E" w:rsidR="00647A24" w:rsidTr="00BB7F23" w14:paraId="292731FC" w14:textId="77777777">
        <w:tc>
          <w:tcPr>
            <w:tcW w:w="5000" w:type="pct"/>
            <w:gridSpan w:val="2"/>
          </w:tcPr>
          <w:p w:rsidRPr="0033335E" w:rsidR="00647A24" w:rsidP="00647A24" w:rsidRDefault="00647A24" w14:paraId="2DDD9844" w14:textId="77777777">
            <w:pPr>
              <w:tabs>
                <w:tab w:val="center" w:pos="284"/>
              </w:tabs>
              <w:suppressAutoHyphens/>
              <w:ind w:left="266" w:hanging="266"/>
              <w:rPr>
                <w:sz w:val="16"/>
                <w:szCs w:val="16"/>
              </w:rPr>
            </w:pPr>
          </w:p>
        </w:tc>
      </w:tr>
      <w:tr w:rsidRPr="0033335E" w:rsidR="00647A24" w:rsidTr="00BB7F23" w14:paraId="539DE381" w14:textId="77777777">
        <w:tc>
          <w:tcPr>
            <w:tcW w:w="1294" w:type="pct"/>
          </w:tcPr>
          <w:p w:rsidRPr="0033335E" w:rsidR="00647A24" w:rsidP="00647A24" w:rsidRDefault="00647A24" w14:paraId="5FB55CBF" w14:textId="77777777">
            <w:pPr>
              <w:tabs>
                <w:tab w:val="center" w:pos="284"/>
              </w:tabs>
              <w:suppressAutoHyphens/>
              <w:ind w:left="266" w:hanging="266"/>
              <w:rPr>
                <w:b/>
              </w:rPr>
            </w:pPr>
            <w:r w:rsidRPr="0033335E">
              <w:rPr>
                <w:b/>
              </w:rPr>
              <w:t>Referenčni dokument</w:t>
            </w:r>
          </w:p>
        </w:tc>
        <w:tc>
          <w:tcPr>
            <w:tcW w:w="3706" w:type="pct"/>
          </w:tcPr>
          <w:p w:rsidR="00647A24" w:rsidP="00647A24" w:rsidRDefault="00647A24" w14:paraId="0E1661C2" w14:textId="628DBC6A">
            <w:pPr>
              <w:tabs>
                <w:tab w:val="center" w:pos="284"/>
              </w:tabs>
              <w:suppressAutoHyphens/>
              <w:ind w:left="266" w:hanging="266"/>
            </w:pPr>
            <w:r>
              <w:t>mnenje na lastno pobudo</w:t>
            </w:r>
          </w:p>
          <w:p w:rsidRPr="0033335E" w:rsidR="00647A24" w:rsidP="00647A24" w:rsidRDefault="00647A24" w14:paraId="4BB4012C" w14:textId="2AB8C97C">
            <w:pPr>
              <w:tabs>
                <w:tab w:val="center" w:pos="284"/>
              </w:tabs>
              <w:suppressAutoHyphens/>
              <w:ind w:left="266" w:hanging="266"/>
            </w:pPr>
            <w:r w:rsidRPr="0033335E">
              <w:t>EESC-2025-01046-00-00-AC</w:t>
            </w:r>
          </w:p>
        </w:tc>
      </w:tr>
    </w:tbl>
    <w:p w:rsidRPr="0033335E" w:rsidR="00647A24" w:rsidP="00647A24" w:rsidRDefault="00647A24" w14:paraId="6B2DA2A1" w14:textId="77777777">
      <w:pPr>
        <w:tabs>
          <w:tab w:val="center" w:pos="284"/>
        </w:tabs>
        <w:suppressAutoHyphens/>
        <w:ind w:left="266" w:hanging="266"/>
        <w:rPr>
          <w:bCs/>
        </w:rPr>
      </w:pPr>
    </w:p>
    <w:p w:rsidRPr="0033335E" w:rsidR="00647A24" w:rsidP="00647A24" w:rsidRDefault="00647A24" w14:paraId="2C0695C3" w14:textId="26140BA7">
      <w:pPr>
        <w:tabs>
          <w:tab w:val="center" w:pos="284"/>
        </w:tabs>
        <w:suppressAutoHyphens/>
        <w:ind w:left="266" w:hanging="266"/>
        <w:rPr>
          <w:bCs/>
        </w:rPr>
      </w:pPr>
      <w:r w:rsidRPr="00690955">
        <w:rPr>
          <w:bCs/>
        </w:rPr>
        <w:t>EESO</w:t>
      </w:r>
    </w:p>
    <w:p w:rsidRPr="0033335E" w:rsidR="00647A24" w:rsidP="00632498" w:rsidRDefault="00647A24" w14:paraId="13AC1FAD" w14:textId="77777777">
      <w:pPr>
        <w:pStyle w:val="Heading2"/>
        <w:numPr>
          <w:ilvl w:val="0"/>
          <w:numId w:val="22"/>
        </w:numPr>
        <w:suppressAutoHyphens/>
        <w:ind w:left="426" w:hanging="426"/>
      </w:pPr>
      <w:r w:rsidRPr="0033335E">
        <w:t xml:space="preserve">meni, da je nujno, da se </w:t>
      </w:r>
      <w:r w:rsidRPr="0033335E">
        <w:rPr>
          <w:b/>
        </w:rPr>
        <w:t>podnebna in varnostna politika ne obravnavata več ločeno</w:t>
      </w:r>
      <w:r w:rsidRPr="0033335E">
        <w:t xml:space="preserve">, temveč </w:t>
      </w:r>
      <w:r w:rsidRPr="0033335E">
        <w:rPr>
          <w:b/>
        </w:rPr>
        <w:t>kot elementa trajnostne in mirne svetovne prihodnosti, ki se vzajemno krepita</w:t>
      </w:r>
      <w:r w:rsidRPr="0033335E">
        <w:t>;</w:t>
      </w:r>
    </w:p>
    <w:p w:rsidRPr="0033335E" w:rsidR="00647A24" w:rsidP="00632498" w:rsidRDefault="00647A24" w14:paraId="4D47EE6A" w14:textId="77777777">
      <w:pPr>
        <w:pStyle w:val="Heading2"/>
        <w:numPr>
          <w:ilvl w:val="0"/>
          <w:numId w:val="22"/>
        </w:numPr>
        <w:suppressAutoHyphens/>
        <w:ind w:left="426" w:hanging="426"/>
      </w:pPr>
      <w:r w:rsidRPr="0033335E">
        <w:t xml:space="preserve">meni, da bi se morala EU </w:t>
      </w:r>
      <w:r w:rsidRPr="0033335E">
        <w:rPr>
          <w:b/>
        </w:rPr>
        <w:t>v zunanji politiki zavzemati za podnebno diplomacijo, ki povezuje okoljske cilje s preprečevanjem konfliktov in vzpostavljanjem miru</w:t>
      </w:r>
      <w:r w:rsidRPr="0033335E">
        <w:t>;</w:t>
      </w:r>
    </w:p>
    <w:p w:rsidRPr="0033335E" w:rsidR="00647A24" w:rsidP="00632498" w:rsidRDefault="00647A24" w14:paraId="5B9225AF" w14:textId="77777777">
      <w:pPr>
        <w:pStyle w:val="Heading2"/>
        <w:numPr>
          <w:ilvl w:val="0"/>
          <w:numId w:val="22"/>
        </w:numPr>
        <w:suppressAutoHyphens/>
        <w:ind w:left="426" w:hanging="426"/>
      </w:pPr>
      <w:r w:rsidRPr="0033335E">
        <w:t xml:space="preserve">meni, da bi se morala EU s spodbujanjem podnebnih ukrepov, usklajenih s cilji trajnostnega razvoja, </w:t>
      </w:r>
      <w:r w:rsidRPr="0033335E">
        <w:rPr>
          <w:b/>
        </w:rPr>
        <w:t>uveljaviti kot multiplikator vrednot</w:t>
      </w:r>
      <w:r w:rsidRPr="0033335E">
        <w:t>;</w:t>
      </w:r>
    </w:p>
    <w:p w:rsidRPr="0033335E" w:rsidR="00647A24" w:rsidP="00632498" w:rsidRDefault="00647A24" w14:paraId="10BC87DD" w14:textId="77777777">
      <w:pPr>
        <w:pStyle w:val="Heading2"/>
        <w:numPr>
          <w:ilvl w:val="0"/>
          <w:numId w:val="22"/>
        </w:numPr>
        <w:suppressAutoHyphens/>
        <w:ind w:left="426" w:hanging="426"/>
      </w:pPr>
      <w:r w:rsidRPr="0033335E">
        <w:t xml:space="preserve">meni, da mora EU </w:t>
      </w:r>
      <w:r w:rsidRPr="0033335E">
        <w:rPr>
          <w:b/>
        </w:rPr>
        <w:t>izvajanje evropskega zelenega dogovora pospešit</w:t>
      </w:r>
      <w:r w:rsidRPr="0033335E">
        <w:t>i z nacionalnimi akcijskimi načrti in akcijskimi načrti na ravni Unije;</w:t>
      </w:r>
    </w:p>
    <w:p w:rsidRPr="0033335E" w:rsidR="00647A24" w:rsidP="00632498" w:rsidRDefault="00647A24" w14:paraId="2BB4E23B" w14:textId="77777777">
      <w:pPr>
        <w:pStyle w:val="Heading2"/>
        <w:numPr>
          <w:ilvl w:val="0"/>
          <w:numId w:val="22"/>
        </w:numPr>
        <w:suppressAutoHyphens/>
        <w:ind w:left="426" w:hanging="426"/>
      </w:pPr>
      <w:r w:rsidRPr="0033335E">
        <w:t xml:space="preserve">meni, da bi EU za podporo regijam v razvoju morala obenem tudi </w:t>
      </w:r>
      <w:r w:rsidRPr="0033335E">
        <w:rPr>
          <w:b/>
        </w:rPr>
        <w:t>okrepiti diplomacijo glede zelenega dogovora/ciljev trajnostnega razvoja</w:t>
      </w:r>
      <w:r w:rsidRPr="0033335E">
        <w:t>, pri tem pa uporabiti svoje strokovno znanje o trajnostnosti. To vključuje krepitev partnerstev s strukturiranim sodelovanjem s svetovnim jugom;</w:t>
      </w:r>
    </w:p>
    <w:p w:rsidRPr="0033335E" w:rsidR="00647A24" w:rsidP="00632498" w:rsidRDefault="00647A24" w14:paraId="5557CD12" w14:textId="77777777">
      <w:pPr>
        <w:pStyle w:val="Heading2"/>
        <w:numPr>
          <w:ilvl w:val="0"/>
          <w:numId w:val="22"/>
        </w:numPr>
        <w:suppressAutoHyphens/>
        <w:ind w:left="426" w:hanging="426"/>
      </w:pPr>
      <w:r w:rsidRPr="0033335E">
        <w:t xml:space="preserve">meni, da mora EU v večstranskih forumih </w:t>
      </w:r>
      <w:r w:rsidRPr="0033335E">
        <w:rPr>
          <w:b/>
        </w:rPr>
        <w:t>ostati vodilna pri zavzemanju za podnebje na svetovni ravni</w:t>
      </w:r>
      <w:r w:rsidRPr="0033335E">
        <w:t>. Njena močna večstranska prisotnost je pomembna v času upadanja sodelovanja z ZDA;</w:t>
      </w:r>
    </w:p>
    <w:p w:rsidRPr="0033335E" w:rsidR="00647A24" w:rsidP="00632498" w:rsidRDefault="00647A24" w14:paraId="24630B00" w14:textId="77777777">
      <w:pPr>
        <w:pStyle w:val="Heading2"/>
        <w:numPr>
          <w:ilvl w:val="0"/>
          <w:numId w:val="22"/>
        </w:numPr>
        <w:suppressAutoHyphens/>
        <w:ind w:left="426" w:hanging="426"/>
      </w:pPr>
      <w:r w:rsidRPr="0033335E">
        <w:t xml:space="preserve">meni, da mora </w:t>
      </w:r>
      <w:r w:rsidRPr="0033335E">
        <w:rPr>
          <w:b/>
        </w:rPr>
        <w:t>prenovljena diplomatska strategija EU mora temeljiti na treh vodilnih načelih</w:t>
      </w:r>
      <w:r w:rsidRPr="0033335E">
        <w:t>:</w:t>
      </w:r>
    </w:p>
    <w:p w:rsidRPr="0033335E" w:rsidR="00647A24" w:rsidP="00632498" w:rsidRDefault="00647A24" w14:paraId="06A9C237" w14:textId="77777777">
      <w:pPr>
        <w:pStyle w:val="Heading2"/>
        <w:numPr>
          <w:ilvl w:val="1"/>
          <w:numId w:val="23"/>
        </w:numPr>
        <w:suppressAutoHyphens/>
        <w:ind w:left="993" w:hanging="589"/>
      </w:pPr>
      <w:r w:rsidRPr="0033335E">
        <w:rPr>
          <w:b/>
        </w:rPr>
        <w:t>podnebne vidike</w:t>
      </w:r>
      <w:r w:rsidRPr="0033335E">
        <w:t xml:space="preserve"> je treba </w:t>
      </w:r>
      <w:r w:rsidRPr="0033335E">
        <w:rPr>
          <w:b/>
        </w:rPr>
        <w:t>v celoti vključiti v strategije za preprečevanje konfliktov</w:t>
      </w:r>
      <w:r w:rsidRPr="0033335E">
        <w:t>,</w:t>
      </w:r>
    </w:p>
    <w:p w:rsidRPr="0033335E" w:rsidR="00647A24" w:rsidP="00632498" w:rsidRDefault="00647A24" w14:paraId="398C68D6" w14:textId="77777777">
      <w:pPr>
        <w:pStyle w:val="Heading2"/>
        <w:numPr>
          <w:ilvl w:val="1"/>
          <w:numId w:val="23"/>
        </w:numPr>
        <w:suppressAutoHyphens/>
        <w:ind w:left="993" w:hanging="589"/>
      </w:pPr>
      <w:r w:rsidRPr="0033335E">
        <w:t xml:space="preserve">EU mora </w:t>
      </w:r>
      <w:r w:rsidRPr="0033335E">
        <w:rPr>
          <w:b/>
        </w:rPr>
        <w:t>dati prednost regionalnemu in večstranskemu sodelovanju</w:t>
      </w:r>
      <w:r w:rsidRPr="0033335E">
        <w:t>,</w:t>
      </w:r>
    </w:p>
    <w:p w:rsidRPr="0033335E" w:rsidR="00647A24" w:rsidP="00632498" w:rsidRDefault="00647A24" w14:paraId="5A9E9DB3" w14:textId="77777777">
      <w:pPr>
        <w:pStyle w:val="Heading2"/>
        <w:numPr>
          <w:ilvl w:val="1"/>
          <w:numId w:val="23"/>
        </w:numPr>
        <w:suppressAutoHyphens/>
        <w:ind w:left="993" w:hanging="589"/>
      </w:pPr>
      <w:r w:rsidRPr="0033335E">
        <w:rPr>
          <w:b/>
        </w:rPr>
        <w:t>trajnostni razvoj</w:t>
      </w:r>
      <w:r w:rsidRPr="0033335E">
        <w:t xml:space="preserve"> je treba </w:t>
      </w:r>
      <w:r w:rsidRPr="0033335E">
        <w:rPr>
          <w:b/>
        </w:rPr>
        <w:t>spodbujati kot mirovni mehanizem</w:t>
      </w:r>
      <w:r w:rsidRPr="0033335E">
        <w:t>;</w:t>
      </w:r>
    </w:p>
    <w:p w:rsidRPr="0033335E" w:rsidR="00647A24" w:rsidP="00632498" w:rsidRDefault="00647A24" w14:paraId="1214D291" w14:textId="77777777">
      <w:pPr>
        <w:pStyle w:val="Heading2"/>
        <w:numPr>
          <w:ilvl w:val="0"/>
          <w:numId w:val="22"/>
        </w:numPr>
        <w:suppressAutoHyphens/>
        <w:ind w:left="426" w:hanging="426"/>
      </w:pPr>
      <w:r w:rsidRPr="0033335E">
        <w:t xml:space="preserve">poziva EU, naj </w:t>
      </w:r>
      <w:r w:rsidRPr="0033335E">
        <w:rPr>
          <w:b/>
        </w:rPr>
        <w:t>odpravi notranjo razdrobljenost</w:t>
      </w:r>
      <w:r w:rsidRPr="0033335E">
        <w:t xml:space="preserve"> in </w:t>
      </w:r>
      <w:r w:rsidRPr="0033335E">
        <w:rPr>
          <w:b/>
        </w:rPr>
        <w:t>sprejme ukrepe za strateško avtonomijo;</w:t>
      </w:r>
      <w:r w:rsidRPr="0033335E">
        <w:t xml:space="preserve"> ter</w:t>
      </w:r>
    </w:p>
    <w:p w:rsidRPr="0033335E" w:rsidR="00647A24" w:rsidP="00632498" w:rsidRDefault="00647A24" w14:paraId="43DEC5CA" w14:textId="77777777">
      <w:pPr>
        <w:pStyle w:val="Heading2"/>
        <w:numPr>
          <w:ilvl w:val="0"/>
          <w:numId w:val="22"/>
        </w:numPr>
        <w:suppressAutoHyphens/>
        <w:ind w:left="426" w:hanging="426"/>
      </w:pPr>
      <w:r w:rsidRPr="0033335E">
        <w:t xml:space="preserve">je prepričan, da bi EU lahko </w:t>
      </w:r>
      <w:r w:rsidRPr="0033335E">
        <w:rPr>
          <w:b/>
        </w:rPr>
        <w:t>uporabila svojo trgovinsko politiko kot orodje/instrument za spodbujanje trajnostnega razvoja, obravnavanje podnebnih sprememb in miroljubno gospodarsko rast</w:t>
      </w:r>
      <w:r w:rsidRPr="0033335E">
        <w:t>.</w:t>
      </w:r>
    </w:p>
    <w:p w:rsidRPr="0033335E" w:rsidR="00647A24" w:rsidP="00647A24" w:rsidRDefault="00647A24" w14:paraId="5456AA4D" w14:textId="77777777">
      <w:pPr>
        <w:suppressAutoHyphens/>
      </w:pPr>
    </w:p>
    <w:tbl>
      <w:tblPr>
        <w:tblStyle w:val="TableGrid"/>
        <w:tblW w:w="463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427"/>
      </w:tblGrid>
      <w:tr w:rsidRPr="0033335E" w:rsidR="00647A24" w:rsidTr="00BB7F23" w14:paraId="1BF974B3" w14:textId="77777777">
        <w:tc>
          <w:tcPr>
            <w:tcW w:w="1180" w:type="pct"/>
          </w:tcPr>
          <w:p w:rsidRPr="0033335E" w:rsidR="00647A24" w:rsidP="00647A24" w:rsidRDefault="00647A24" w14:paraId="1BD03699" w14:textId="77777777">
            <w:pPr>
              <w:suppressAutoHyphens/>
              <w:rPr>
                <w:i/>
              </w:rPr>
            </w:pPr>
            <w:r w:rsidRPr="0033335E">
              <w:rPr>
                <w:b/>
                <w:i/>
              </w:rPr>
              <w:t>Kontaktna oseba</w:t>
            </w:r>
          </w:p>
        </w:tc>
        <w:tc>
          <w:tcPr>
            <w:tcW w:w="3820" w:type="pct"/>
          </w:tcPr>
          <w:p w:rsidRPr="0033335E" w:rsidR="00647A24" w:rsidP="00647A24" w:rsidRDefault="00647A24" w14:paraId="1DCB5145" w14:textId="1A7BCA7A">
            <w:pPr>
              <w:suppressAutoHyphens/>
              <w:rPr>
                <w:i/>
              </w:rPr>
            </w:pPr>
            <w:r w:rsidRPr="0033335E">
              <w:rPr>
                <w:i/>
              </w:rPr>
              <w:t xml:space="preserve">Marie-Laurence </w:t>
            </w:r>
            <w:proofErr w:type="spellStart"/>
            <w:r w:rsidRPr="0033335E" w:rsidR="00641BDF">
              <w:rPr>
                <w:i/>
              </w:rPr>
              <w:t>drillon</w:t>
            </w:r>
            <w:proofErr w:type="spellEnd"/>
          </w:p>
        </w:tc>
      </w:tr>
      <w:tr w:rsidRPr="0033335E" w:rsidR="00647A24" w:rsidTr="00BB7F23" w14:paraId="55AE419C" w14:textId="77777777">
        <w:tc>
          <w:tcPr>
            <w:tcW w:w="1180" w:type="pct"/>
          </w:tcPr>
          <w:p w:rsidRPr="0033335E" w:rsidR="00647A24" w:rsidP="00647A24" w:rsidRDefault="00647A24" w14:paraId="4BFEA615" w14:textId="512CD0B0">
            <w:pPr>
              <w:suppressAutoHyphens/>
              <w:rPr>
                <w:i/>
              </w:rPr>
            </w:pPr>
            <w:r w:rsidRPr="0033335E">
              <w:rPr>
                <w:i/>
              </w:rPr>
              <w:t>Tel</w:t>
            </w:r>
            <w:r w:rsidR="00632498">
              <w:rPr>
                <w:i/>
              </w:rPr>
              <w:t>efon</w:t>
            </w:r>
          </w:p>
        </w:tc>
        <w:tc>
          <w:tcPr>
            <w:tcW w:w="3820" w:type="pct"/>
          </w:tcPr>
          <w:p w:rsidRPr="0033335E" w:rsidR="00647A24" w:rsidP="00647A24" w:rsidRDefault="00647A24" w14:paraId="0336502B" w14:textId="77777777">
            <w:pPr>
              <w:suppressAutoHyphens/>
              <w:rPr>
                <w:i/>
              </w:rPr>
            </w:pPr>
            <w:r w:rsidRPr="0033335E">
              <w:rPr>
                <w:i/>
              </w:rPr>
              <w:t>+32 2 546 83 20</w:t>
            </w:r>
          </w:p>
        </w:tc>
      </w:tr>
      <w:tr w:rsidRPr="0033335E" w:rsidR="00647A24" w:rsidTr="00BB7F23" w14:paraId="35E59740" w14:textId="77777777">
        <w:tc>
          <w:tcPr>
            <w:tcW w:w="1180" w:type="pct"/>
          </w:tcPr>
          <w:p w:rsidRPr="0033335E" w:rsidR="00647A24" w:rsidP="00647A24" w:rsidRDefault="00647A24" w14:paraId="1917DC29" w14:textId="77777777">
            <w:pPr>
              <w:suppressAutoHyphens/>
              <w:rPr>
                <w:i/>
              </w:rPr>
            </w:pPr>
            <w:r w:rsidRPr="0033335E">
              <w:rPr>
                <w:i/>
              </w:rPr>
              <w:t>E-naslov:</w:t>
            </w:r>
          </w:p>
        </w:tc>
        <w:tc>
          <w:tcPr>
            <w:tcW w:w="3820" w:type="pct"/>
          </w:tcPr>
          <w:p w:rsidRPr="0033335E" w:rsidR="00647A24" w:rsidP="00647A24" w:rsidRDefault="00662932" w14:paraId="4365DD3F" w14:textId="77777777">
            <w:pPr>
              <w:suppressAutoHyphens/>
              <w:ind w:right="-954"/>
              <w:rPr>
                <w:i/>
              </w:rPr>
            </w:pPr>
            <w:hyperlink w:history="1" r:id="rId59">
              <w:r w:rsidRPr="0033335E" w:rsidR="00647A24">
                <w:rPr>
                  <w:rStyle w:val="Hyperlink"/>
                  <w:i/>
                </w:rPr>
                <w:t>M</w:t>
              </w:r>
              <w:r w:rsidRPr="0033335E" w:rsidR="00647A24">
                <w:rPr>
                  <w:rStyle w:val="Hyperlink"/>
                </w:rPr>
                <w:t>arie-Laurence.Drillon@eesc.europa.eu</w:t>
              </w:r>
            </w:hyperlink>
          </w:p>
        </w:tc>
      </w:tr>
    </w:tbl>
    <w:p w:rsidR="000417AB" w:rsidP="00D94D34" w:rsidRDefault="000417AB" w14:paraId="527B1FAF" w14:textId="77777777">
      <w:pPr>
        <w:jc w:val="left"/>
      </w:pPr>
      <w:r>
        <w:br w:type="page"/>
      </w:r>
    </w:p>
    <w:p w:rsidRPr="00632498" w:rsidR="00647A24" w:rsidP="00632498" w:rsidRDefault="00662932" w14:paraId="30EA0AFE" w14:textId="360DAD50">
      <w:pPr>
        <w:numPr>
          <w:ilvl w:val="0"/>
          <w:numId w:val="27"/>
        </w:numPr>
        <w:suppressAutoHyphens/>
        <w:jc w:val="left"/>
        <w:rPr>
          <w:sz w:val="28"/>
          <w:szCs w:val="28"/>
        </w:rPr>
      </w:pPr>
      <w:hyperlink w:history="1" r:id="rId60">
        <w:r w:rsidRPr="00632498" w:rsidR="00647A24">
          <w:rPr>
            <w:rStyle w:val="Hyperlink"/>
            <w:b/>
            <w:i/>
            <w:sz w:val="28"/>
          </w:rPr>
          <w:t xml:space="preserve">Skupna bela knjiga o prihodnosti evropske obrambe </w:t>
        </w:r>
        <w:r w:rsidR="00CD1B7F">
          <w:rPr>
            <w:rStyle w:val="Hyperlink"/>
            <w:b/>
            <w:i/>
            <w:sz w:val="28"/>
          </w:rPr>
          <w:t>P</w:t>
        </w:r>
        <w:r w:rsidRPr="00632498" w:rsidR="00647A24">
          <w:rPr>
            <w:rStyle w:val="Hyperlink"/>
            <w:b/>
            <w:i/>
            <w:sz w:val="28"/>
          </w:rPr>
          <w:t>ripravljenost 2030</w:t>
        </w:r>
      </w:hyperlink>
    </w:p>
    <w:p w:rsidRPr="00934740" w:rsidR="00647A24" w:rsidP="00647A24" w:rsidRDefault="00647A24" w14:paraId="1DB48CB7" w14:textId="77777777">
      <w:pPr>
        <w:tabs>
          <w:tab w:val="center" w:pos="284"/>
        </w:tabs>
        <w:suppressAutoHyphens/>
        <w:ind w:left="266" w:hanging="266"/>
        <w:rPr>
          <w:bCs/>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414"/>
      </w:tblGrid>
      <w:tr w:rsidRPr="00934740" w:rsidR="00647A24" w:rsidTr="00632498" w14:paraId="6A7421C9" w14:textId="77777777">
        <w:tc>
          <w:tcPr>
            <w:tcW w:w="1423" w:type="pct"/>
          </w:tcPr>
          <w:p w:rsidRPr="00934740" w:rsidR="00647A24" w:rsidP="00BB7F23" w:rsidRDefault="00647A24" w14:paraId="3287052C" w14:textId="77777777">
            <w:pPr>
              <w:tabs>
                <w:tab w:val="center" w:pos="284"/>
              </w:tabs>
              <w:suppressAutoHyphens/>
              <w:ind w:left="266" w:hanging="266"/>
              <w:rPr>
                <w:b/>
              </w:rPr>
            </w:pPr>
            <w:r w:rsidRPr="00934740">
              <w:rPr>
                <w:b/>
              </w:rPr>
              <w:t>Poročevalec</w:t>
            </w:r>
          </w:p>
        </w:tc>
        <w:tc>
          <w:tcPr>
            <w:tcW w:w="3577" w:type="pct"/>
          </w:tcPr>
          <w:p w:rsidRPr="00934740" w:rsidR="00647A24" w:rsidP="00BB7F23" w:rsidRDefault="00647A24" w14:paraId="00DE47C6" w14:textId="77777777">
            <w:pPr>
              <w:tabs>
                <w:tab w:val="center" w:pos="284"/>
              </w:tabs>
              <w:suppressAutoHyphens/>
              <w:ind w:left="266" w:hanging="266"/>
            </w:pPr>
            <w:r w:rsidRPr="00934740">
              <w:t>Marcin NOWACKI (skupina delodajalcev – PL)</w:t>
            </w:r>
          </w:p>
        </w:tc>
      </w:tr>
      <w:tr w:rsidRPr="00934740" w:rsidR="00647A24" w:rsidTr="00632498" w14:paraId="05BB1488" w14:textId="77777777">
        <w:tc>
          <w:tcPr>
            <w:tcW w:w="1423" w:type="pct"/>
          </w:tcPr>
          <w:p w:rsidRPr="00934740" w:rsidR="00647A24" w:rsidP="00BB7F23" w:rsidRDefault="00647A24" w14:paraId="04411855" w14:textId="77777777">
            <w:pPr>
              <w:tabs>
                <w:tab w:val="center" w:pos="284"/>
              </w:tabs>
              <w:suppressAutoHyphens/>
              <w:ind w:left="266" w:hanging="266"/>
              <w:rPr>
                <w:b/>
              </w:rPr>
            </w:pPr>
            <w:r w:rsidRPr="00934740">
              <w:rPr>
                <w:b/>
              </w:rPr>
              <w:t>Soporočevalec</w:t>
            </w:r>
          </w:p>
        </w:tc>
        <w:tc>
          <w:tcPr>
            <w:tcW w:w="3577" w:type="pct"/>
          </w:tcPr>
          <w:p w:rsidRPr="00934740" w:rsidR="00647A24" w:rsidP="00BB7F23" w:rsidRDefault="00647A24" w14:paraId="504F1A91" w14:textId="77777777">
            <w:pPr>
              <w:tabs>
                <w:tab w:val="center" w:pos="284"/>
              </w:tabs>
              <w:suppressAutoHyphens/>
              <w:ind w:left="266" w:hanging="266"/>
            </w:pPr>
            <w:r w:rsidRPr="00934740">
              <w:t>Carlos Manuel TRINDADE (skupina delojemalcev – PT)</w:t>
            </w:r>
          </w:p>
        </w:tc>
      </w:tr>
      <w:tr w:rsidRPr="00934740" w:rsidR="00647A24" w:rsidTr="00BB7F23" w14:paraId="67677811" w14:textId="77777777">
        <w:tc>
          <w:tcPr>
            <w:tcW w:w="5000" w:type="pct"/>
            <w:gridSpan w:val="2"/>
          </w:tcPr>
          <w:p w:rsidRPr="00934740" w:rsidR="00647A24" w:rsidP="00BB7F23" w:rsidRDefault="00647A24" w14:paraId="750F4F70" w14:textId="77777777">
            <w:pPr>
              <w:tabs>
                <w:tab w:val="center" w:pos="284"/>
              </w:tabs>
              <w:suppressAutoHyphens/>
              <w:spacing w:line="160" w:lineRule="exact"/>
              <w:ind w:left="266" w:hanging="266"/>
            </w:pPr>
          </w:p>
        </w:tc>
      </w:tr>
      <w:tr w:rsidRPr="00934740" w:rsidR="00647A24" w:rsidTr="00632498" w14:paraId="58B4CCB6" w14:textId="77777777">
        <w:tc>
          <w:tcPr>
            <w:tcW w:w="1423" w:type="pct"/>
          </w:tcPr>
          <w:p w:rsidRPr="00934740" w:rsidR="00647A24" w:rsidP="00BB7F23" w:rsidRDefault="00647A24" w14:paraId="07761219" w14:textId="6FA44BFC">
            <w:pPr>
              <w:tabs>
                <w:tab w:val="center" w:pos="284"/>
              </w:tabs>
              <w:suppressAutoHyphens/>
              <w:ind w:left="266" w:hanging="266"/>
              <w:rPr>
                <w:b/>
              </w:rPr>
            </w:pPr>
            <w:r w:rsidRPr="00934740">
              <w:rPr>
                <w:b/>
              </w:rPr>
              <w:t>Referenčn</w:t>
            </w:r>
            <w:r w:rsidR="00632498">
              <w:rPr>
                <w:b/>
              </w:rPr>
              <w:t>a</w:t>
            </w:r>
            <w:r w:rsidRPr="00934740">
              <w:rPr>
                <w:b/>
              </w:rPr>
              <w:t xml:space="preserve"> dokument</w:t>
            </w:r>
            <w:r w:rsidR="00632498">
              <w:rPr>
                <w:b/>
              </w:rPr>
              <w:t>a</w:t>
            </w:r>
          </w:p>
        </w:tc>
        <w:tc>
          <w:tcPr>
            <w:tcW w:w="3577" w:type="pct"/>
          </w:tcPr>
          <w:p w:rsidR="00647A24" w:rsidP="00BB7F23" w:rsidRDefault="00647A24" w14:paraId="5780FC94" w14:textId="1DC34144">
            <w:pPr>
              <w:tabs>
                <w:tab w:val="center" w:pos="284"/>
              </w:tabs>
              <w:suppressAutoHyphens/>
              <w:ind w:left="266" w:hanging="266"/>
            </w:pPr>
            <w:r>
              <w:rPr>
                <w:lang w:val="en-GB"/>
              </w:rPr>
              <w:t>JOIN(2025) 120 final</w:t>
            </w:r>
          </w:p>
          <w:p w:rsidRPr="00934740" w:rsidR="00647A24" w:rsidP="00BB7F23" w:rsidRDefault="00647A24" w14:paraId="57A10E77" w14:textId="368CED86">
            <w:pPr>
              <w:tabs>
                <w:tab w:val="center" w:pos="284"/>
              </w:tabs>
              <w:suppressAutoHyphens/>
              <w:ind w:left="266" w:hanging="266"/>
            </w:pPr>
            <w:r w:rsidRPr="00934740">
              <w:t>EESC-2025-01136-00-00-AC</w:t>
            </w:r>
          </w:p>
        </w:tc>
      </w:tr>
    </w:tbl>
    <w:p w:rsidRPr="00934740" w:rsidR="00647A24" w:rsidP="00647A24" w:rsidRDefault="00647A24" w14:paraId="2B1E4805" w14:textId="77777777">
      <w:pPr>
        <w:tabs>
          <w:tab w:val="center" w:pos="284"/>
        </w:tabs>
        <w:suppressAutoHyphens/>
        <w:ind w:left="266" w:hanging="266"/>
        <w:rPr>
          <w:bCs/>
        </w:rPr>
      </w:pPr>
    </w:p>
    <w:p w:rsidRPr="00934740" w:rsidR="00647A24" w:rsidP="00647A24" w:rsidRDefault="00647A24" w14:paraId="61E919A2" w14:textId="36BC77BA">
      <w:pPr>
        <w:tabs>
          <w:tab w:val="center" w:pos="284"/>
        </w:tabs>
        <w:suppressAutoHyphens/>
        <w:ind w:left="266" w:hanging="266"/>
        <w:rPr>
          <w:bCs/>
        </w:rPr>
      </w:pPr>
      <w:r w:rsidRPr="00632498">
        <w:rPr>
          <w:bCs/>
        </w:rPr>
        <w:t>EESO</w:t>
      </w:r>
    </w:p>
    <w:p w:rsidRPr="00934740" w:rsidR="00647A24" w:rsidP="00632498" w:rsidRDefault="00647A24" w14:paraId="46894008" w14:textId="77777777">
      <w:pPr>
        <w:pStyle w:val="Heading2"/>
        <w:numPr>
          <w:ilvl w:val="0"/>
          <w:numId w:val="24"/>
        </w:numPr>
        <w:suppressAutoHyphens/>
        <w:ind w:left="426" w:hanging="426"/>
      </w:pPr>
      <w:r w:rsidRPr="00934740">
        <w:t xml:space="preserve">podpira </w:t>
      </w:r>
      <w:r w:rsidRPr="00934740">
        <w:rPr>
          <w:b/>
        </w:rPr>
        <w:t>celovito in vključujočo evropsko obrambno strategijo</w:t>
      </w:r>
      <w:r w:rsidRPr="00934740">
        <w:t>, ki vojaško pripravljenost povezuje s civilno pripravljenostjo, socialno odpornostjo, diplomacijo, mednarodnim pravom ter spodbujanjem miru, demokracije in človekovih pravic;</w:t>
      </w:r>
    </w:p>
    <w:p w:rsidRPr="00934740" w:rsidR="00647A24" w:rsidP="00632498" w:rsidRDefault="00647A24" w14:paraId="1A6A4721" w14:textId="77777777">
      <w:pPr>
        <w:pStyle w:val="Heading2"/>
        <w:numPr>
          <w:ilvl w:val="0"/>
          <w:numId w:val="24"/>
        </w:numPr>
        <w:suppressAutoHyphens/>
        <w:ind w:left="426" w:hanging="426"/>
      </w:pPr>
      <w:r w:rsidRPr="00934740">
        <w:t xml:space="preserve">meni, da mora EU nujno </w:t>
      </w:r>
      <w:r w:rsidRPr="00934740">
        <w:rPr>
          <w:b/>
        </w:rPr>
        <w:t>obravnavati hibridne in konvencionalne grožnje, zmanjšati odvisnost od zunanjih akterjev</w:t>
      </w:r>
      <w:r w:rsidRPr="00934740">
        <w:t xml:space="preserve"> in </w:t>
      </w:r>
      <w:r w:rsidRPr="00934740">
        <w:rPr>
          <w:b/>
        </w:rPr>
        <w:t>okrepiti strateško avtonomijo</w:t>
      </w:r>
      <w:r w:rsidRPr="00934740">
        <w:t>;</w:t>
      </w:r>
    </w:p>
    <w:p w:rsidRPr="00934740" w:rsidR="00647A24" w:rsidP="00632498" w:rsidRDefault="00647A24" w14:paraId="7A3776C1" w14:textId="77777777">
      <w:pPr>
        <w:pStyle w:val="Heading2"/>
        <w:numPr>
          <w:ilvl w:val="0"/>
          <w:numId w:val="24"/>
        </w:numPr>
        <w:suppressAutoHyphens/>
        <w:ind w:left="426" w:hanging="426"/>
      </w:pPr>
      <w:r w:rsidRPr="00934740">
        <w:t xml:space="preserve">poudarja, da je </w:t>
      </w:r>
      <w:r w:rsidRPr="00934740">
        <w:rPr>
          <w:b/>
        </w:rPr>
        <w:t>potrebna ciljna podpora za mala in srednja podjetja (MSP) ter regionalni razvoj</w:t>
      </w:r>
      <w:r w:rsidRPr="00934740">
        <w:t>, in se zavzema za poenostavljene postopke, pravičen dostop do financiranja in močnejše povezovanje v obrambne vrednostne verige;</w:t>
      </w:r>
    </w:p>
    <w:p w:rsidRPr="00934740" w:rsidR="00647A24" w:rsidP="00632498" w:rsidRDefault="00647A24" w14:paraId="3CD3CC0A" w14:textId="77777777">
      <w:pPr>
        <w:pStyle w:val="Heading2"/>
        <w:numPr>
          <w:ilvl w:val="0"/>
          <w:numId w:val="24"/>
        </w:numPr>
        <w:suppressAutoHyphens/>
        <w:ind w:left="426" w:hanging="426"/>
      </w:pPr>
      <w:r w:rsidRPr="00934740">
        <w:t xml:space="preserve">podpira </w:t>
      </w:r>
      <w:r w:rsidRPr="00934740">
        <w:rPr>
          <w:b/>
        </w:rPr>
        <w:t>poziv k ukrepanju iz sklepov Evropskega sveta o evropski obrambi</w:t>
      </w:r>
      <w:r w:rsidRPr="00934740">
        <w:t>, objavljenih 6. marca 2025</w:t>
      </w:r>
      <w:r w:rsidRPr="00934740">
        <w:rPr>
          <w:rStyle w:val="FootnoteReference"/>
        </w:rPr>
        <w:footnoteReference w:id="1"/>
      </w:r>
      <w:r w:rsidRPr="00934740">
        <w:t>, in je prepričan, da</w:t>
      </w:r>
      <w:r w:rsidRPr="00934740">
        <w:rPr>
          <w:b/>
        </w:rPr>
        <w:t xml:space="preserve"> mora EU hitro ukrepati, da bi odpravila kritične vrzeli v zmogljivostih</w:t>
      </w:r>
      <w:r w:rsidRPr="00934740">
        <w:t>, ter uporabiti potrebne instrumente za okrepitev varnosti EU in izboljšanje zaščite svojih državljanov;</w:t>
      </w:r>
    </w:p>
    <w:p w:rsidRPr="00934740" w:rsidR="00647A24" w:rsidP="00632498" w:rsidRDefault="00647A24" w14:paraId="24477446" w14:textId="77777777">
      <w:pPr>
        <w:pStyle w:val="Heading2"/>
        <w:numPr>
          <w:ilvl w:val="0"/>
          <w:numId w:val="24"/>
        </w:numPr>
        <w:suppressAutoHyphens/>
        <w:ind w:left="426" w:hanging="426"/>
      </w:pPr>
      <w:r w:rsidRPr="00934740">
        <w:t xml:space="preserve">pozdravlja </w:t>
      </w:r>
      <w:r w:rsidRPr="00934740">
        <w:rPr>
          <w:b/>
        </w:rPr>
        <w:t>predlagane mehanizme financiranja</w:t>
      </w:r>
      <w:r w:rsidRPr="00934740">
        <w:t xml:space="preserve">, vendar poudarja, da je </w:t>
      </w:r>
      <w:r w:rsidRPr="00934740">
        <w:rPr>
          <w:b/>
        </w:rPr>
        <w:t>treba vsem državam članicam zagotoviti enak in pregleden dostop do financiranja</w:t>
      </w:r>
      <w:r w:rsidRPr="00934740">
        <w:t>;</w:t>
      </w:r>
    </w:p>
    <w:p w:rsidRPr="00934740" w:rsidR="00647A24" w:rsidP="00632498" w:rsidRDefault="00647A24" w14:paraId="644476B2" w14:textId="77777777">
      <w:pPr>
        <w:pStyle w:val="Heading2"/>
        <w:numPr>
          <w:ilvl w:val="0"/>
          <w:numId w:val="24"/>
        </w:numPr>
        <w:suppressAutoHyphens/>
        <w:ind w:left="426" w:hanging="426"/>
      </w:pPr>
      <w:r w:rsidRPr="00934740">
        <w:t xml:space="preserve">podpira pobude za </w:t>
      </w:r>
      <w:r w:rsidRPr="00934740">
        <w:rPr>
          <w:b/>
        </w:rPr>
        <w:t>oceno izvedljivosti rešitev</w:t>
      </w:r>
      <w:r w:rsidRPr="00934740">
        <w:t xml:space="preserve">, ki so jih sprejele države članice za </w:t>
      </w:r>
      <w:r w:rsidRPr="00934740">
        <w:rPr>
          <w:b/>
        </w:rPr>
        <w:t>vzpostavitev stalnega mehanizma za financiranje obrambe</w:t>
      </w:r>
      <w:r w:rsidRPr="00934740">
        <w:t>, ki bi lahko izhajal iz medvladnega sporazuma in vključeval države, ki niso članice EU;</w:t>
      </w:r>
    </w:p>
    <w:p w:rsidRPr="00934740" w:rsidR="00647A24" w:rsidP="00632498" w:rsidRDefault="00647A24" w14:paraId="318A7FA1" w14:textId="77777777">
      <w:pPr>
        <w:pStyle w:val="Heading2"/>
        <w:numPr>
          <w:ilvl w:val="0"/>
          <w:numId w:val="24"/>
        </w:numPr>
        <w:suppressAutoHyphens/>
        <w:ind w:left="426" w:hanging="426"/>
        <w:rPr>
          <w:b/>
          <w:bCs/>
        </w:rPr>
      </w:pPr>
      <w:r w:rsidRPr="00934740">
        <w:t xml:space="preserve">izraža zaskrbljenost, da </w:t>
      </w:r>
      <w:r w:rsidRPr="00934740">
        <w:rPr>
          <w:b/>
        </w:rPr>
        <w:t>omejena prožnost</w:t>
      </w:r>
      <w:r w:rsidRPr="00934740">
        <w:t xml:space="preserve">, ki jo predlaga Evropska komisija z aktiviranjem nacionalnih zaščitnih klavzul za obrambne izdatke, </w:t>
      </w:r>
      <w:r w:rsidRPr="00934740">
        <w:rPr>
          <w:b/>
        </w:rPr>
        <w:t>ni jamstvo za to, da se obrambni izdatki ne bodo izvajali na račun socialnih izdatkov</w:t>
      </w:r>
      <w:r w:rsidRPr="00934740">
        <w:t>;</w:t>
      </w:r>
    </w:p>
    <w:p w:rsidRPr="00934740" w:rsidR="00647A24" w:rsidP="00632498" w:rsidRDefault="00647A24" w14:paraId="294F0BB9" w14:textId="77777777">
      <w:pPr>
        <w:pStyle w:val="Heading2"/>
        <w:numPr>
          <w:ilvl w:val="0"/>
          <w:numId w:val="24"/>
        </w:numPr>
        <w:suppressAutoHyphens/>
        <w:ind w:left="426" w:hanging="426"/>
        <w:rPr>
          <w:b/>
          <w:bCs/>
        </w:rPr>
      </w:pPr>
      <w:r w:rsidRPr="00934740">
        <w:t xml:space="preserve">poudarja </w:t>
      </w:r>
      <w:r w:rsidRPr="00934740">
        <w:rPr>
          <w:b/>
        </w:rPr>
        <w:t>strateški pomen vzhodnega krila Evrope</w:t>
      </w:r>
      <w:r w:rsidRPr="00934740">
        <w:t xml:space="preserve"> in poziva k </w:t>
      </w:r>
      <w:r w:rsidRPr="00934740">
        <w:rPr>
          <w:b/>
        </w:rPr>
        <w:t>okrepljenemu sodelovanju z državami na prvi črti</w:t>
      </w:r>
      <w:r w:rsidRPr="00934740">
        <w:t>;</w:t>
      </w:r>
    </w:p>
    <w:p w:rsidRPr="00934740" w:rsidR="00647A24" w:rsidP="00632498" w:rsidRDefault="00647A24" w14:paraId="58816F94" w14:textId="77777777">
      <w:pPr>
        <w:pStyle w:val="Heading2"/>
        <w:numPr>
          <w:ilvl w:val="0"/>
          <w:numId w:val="24"/>
        </w:numPr>
        <w:suppressAutoHyphens/>
        <w:ind w:left="426" w:hanging="426"/>
      </w:pPr>
      <w:r w:rsidRPr="00934740">
        <w:t>meni, da je nujno tesno sodelovanje z Natom, tretjimi državami in ključnimi partnerji, kot je Ukrajina.</w:t>
      </w:r>
    </w:p>
    <w:p w:rsidRPr="00934740" w:rsidR="00647A24" w:rsidP="00647A24" w:rsidRDefault="00647A24" w14:paraId="78A26385"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934740" w:rsidR="00647A24" w:rsidTr="00BB7F23" w14:paraId="025F40A2" w14:textId="77777777">
        <w:tc>
          <w:tcPr>
            <w:tcW w:w="1556" w:type="pct"/>
          </w:tcPr>
          <w:p w:rsidRPr="00934740" w:rsidR="00647A24" w:rsidP="00BB7F23" w:rsidRDefault="00647A24" w14:paraId="08D0CE98" w14:textId="77777777">
            <w:pPr>
              <w:suppressAutoHyphens/>
              <w:spacing w:line="240" w:lineRule="auto"/>
              <w:rPr>
                <w:i/>
              </w:rPr>
            </w:pPr>
            <w:r w:rsidRPr="00934740">
              <w:rPr>
                <w:b/>
                <w:i/>
              </w:rPr>
              <w:t>Kontaktna oseba</w:t>
            </w:r>
          </w:p>
        </w:tc>
        <w:tc>
          <w:tcPr>
            <w:tcW w:w="3444" w:type="pct"/>
          </w:tcPr>
          <w:p w:rsidRPr="00934740" w:rsidR="00647A24" w:rsidP="00BB7F23" w:rsidRDefault="00632498" w14:paraId="4D9258A3" w14:textId="63536083">
            <w:pPr>
              <w:suppressAutoHyphens/>
              <w:spacing w:line="240" w:lineRule="auto"/>
              <w:rPr>
                <w:i/>
              </w:rPr>
            </w:pPr>
            <w:r>
              <w:rPr>
                <w:i/>
              </w:rPr>
              <w:t>M</w:t>
            </w:r>
            <w:r w:rsidRPr="00934740">
              <w:rPr>
                <w:i/>
              </w:rPr>
              <w:t>arie-</w:t>
            </w:r>
            <w:r>
              <w:rPr>
                <w:i/>
              </w:rPr>
              <w:t>L</w:t>
            </w:r>
            <w:r w:rsidRPr="00934740">
              <w:rPr>
                <w:i/>
              </w:rPr>
              <w:t xml:space="preserve">aurence </w:t>
            </w:r>
            <w:r w:rsidR="00641BDF">
              <w:rPr>
                <w:i/>
              </w:rPr>
              <w:t>D</w:t>
            </w:r>
            <w:r w:rsidRPr="00934740" w:rsidR="00641BDF">
              <w:rPr>
                <w:i/>
              </w:rPr>
              <w:t>RILLON</w:t>
            </w:r>
          </w:p>
        </w:tc>
      </w:tr>
      <w:tr w:rsidRPr="00934740" w:rsidR="00647A24" w:rsidTr="00BB7F23" w14:paraId="31191223" w14:textId="77777777">
        <w:tc>
          <w:tcPr>
            <w:tcW w:w="1556" w:type="pct"/>
          </w:tcPr>
          <w:p w:rsidRPr="00934740" w:rsidR="00647A24" w:rsidP="00BB7F23" w:rsidRDefault="00647A24" w14:paraId="1B3F2B0B" w14:textId="77777777">
            <w:pPr>
              <w:suppressAutoHyphens/>
              <w:spacing w:line="240" w:lineRule="auto"/>
              <w:rPr>
                <w:i/>
              </w:rPr>
            </w:pPr>
            <w:r w:rsidRPr="00934740">
              <w:rPr>
                <w:i/>
              </w:rPr>
              <w:t>Telefon</w:t>
            </w:r>
          </w:p>
        </w:tc>
        <w:tc>
          <w:tcPr>
            <w:tcW w:w="3444" w:type="pct"/>
          </w:tcPr>
          <w:p w:rsidRPr="00934740" w:rsidR="00647A24" w:rsidP="00BB7F23" w:rsidRDefault="00647A24" w14:paraId="61631492" w14:textId="77777777">
            <w:pPr>
              <w:suppressAutoHyphens/>
              <w:spacing w:line="240" w:lineRule="auto"/>
              <w:rPr>
                <w:i/>
              </w:rPr>
            </w:pPr>
            <w:r w:rsidRPr="00934740">
              <w:rPr>
                <w:i/>
              </w:rPr>
              <w:t>+32 25468320</w:t>
            </w:r>
          </w:p>
        </w:tc>
      </w:tr>
      <w:tr w:rsidRPr="00934740" w:rsidR="00647A24" w:rsidTr="00BB7F23" w14:paraId="41D9821B" w14:textId="77777777">
        <w:tc>
          <w:tcPr>
            <w:tcW w:w="1556" w:type="pct"/>
          </w:tcPr>
          <w:p w:rsidRPr="00934740" w:rsidR="00647A24" w:rsidP="00BB7F23" w:rsidRDefault="00647A24" w14:paraId="29D98E2D" w14:textId="77777777">
            <w:pPr>
              <w:suppressAutoHyphens/>
              <w:spacing w:line="240" w:lineRule="auto"/>
              <w:rPr>
                <w:i/>
              </w:rPr>
            </w:pPr>
            <w:r w:rsidRPr="00934740">
              <w:rPr>
                <w:i/>
              </w:rPr>
              <w:t>E-naslov</w:t>
            </w:r>
          </w:p>
        </w:tc>
        <w:tc>
          <w:tcPr>
            <w:tcW w:w="3444" w:type="pct"/>
          </w:tcPr>
          <w:p w:rsidRPr="00934740" w:rsidR="00647A24" w:rsidP="00BB7F23" w:rsidRDefault="00662932" w14:paraId="1A301670" w14:textId="77777777">
            <w:pPr>
              <w:suppressAutoHyphens/>
              <w:spacing w:line="240" w:lineRule="auto"/>
              <w:rPr>
                <w:i/>
              </w:rPr>
            </w:pPr>
            <w:hyperlink w:history="1" r:id="rId61">
              <w:r w:rsidRPr="00934740" w:rsidR="00647A24">
                <w:rPr>
                  <w:rStyle w:val="Hyperlink"/>
                  <w:i/>
                </w:rPr>
                <w:t>Marie-Laurence.Drillon@eesc.europa.eu</w:t>
              </w:r>
            </w:hyperlink>
          </w:p>
        </w:tc>
      </w:tr>
    </w:tbl>
    <w:p w:rsidR="006D2C8A" w:rsidP="00D94D34" w:rsidRDefault="006D2C8A" w14:paraId="4464305F" w14:textId="61E61331">
      <w:pPr>
        <w:jc w:val="left"/>
      </w:pPr>
      <w:r>
        <w:br w:type="page"/>
      </w:r>
    </w:p>
    <w:p w:rsidRPr="006D2C8A" w:rsidR="006D2C8A" w:rsidP="00D94D34" w:rsidRDefault="006D2C8A" w14:paraId="528C73AA" w14:textId="46DE726B">
      <w:pPr>
        <w:pStyle w:val="Heading1"/>
        <w:rPr>
          <w:b/>
        </w:rPr>
      </w:pPr>
      <w:bookmarkStart w:name="_Toc204326345" w:id="24"/>
      <w:r>
        <w:rPr>
          <w:b/>
          <w:color w:val="222A35" w:themeColor="text2" w:themeShade="80"/>
        </w:rPr>
        <w:lastRenderedPageBreak/>
        <w:t>POSVETOVALNA KOMISIJA ZA SPREMEMBE V INDUSTRIJI</w:t>
      </w:r>
      <w:bookmarkEnd w:id="24"/>
    </w:p>
    <w:p w:rsidR="006D2C8A" w:rsidP="00647A24" w:rsidRDefault="006D2C8A" w14:paraId="713E272F" w14:textId="77777777"/>
    <w:p w:rsidRPr="001B7AFF" w:rsidR="00647A24" w:rsidP="00641BDF" w:rsidRDefault="00662932" w14:paraId="46DB7CF7" w14:textId="77777777">
      <w:pPr>
        <w:widowControl w:val="0"/>
        <w:numPr>
          <w:ilvl w:val="0"/>
          <w:numId w:val="27"/>
        </w:numPr>
        <w:ind w:left="927"/>
        <w:jc w:val="left"/>
        <w:rPr>
          <w:rStyle w:val="Hyperlink"/>
          <w:sz w:val="28"/>
          <w:szCs w:val="28"/>
        </w:rPr>
      </w:pPr>
      <w:hyperlink w:history="1" r:id="rId62">
        <w:r w:rsidR="00647A24">
          <w:rPr>
            <w:rStyle w:val="Hyperlink"/>
            <w:b/>
            <w:i/>
            <w:sz w:val="28"/>
          </w:rPr>
          <w:t>Akcijski načrt za avtomobilsko industrijo</w:t>
        </w:r>
      </w:hyperlink>
    </w:p>
    <w:p w:rsidRPr="001B7AFF" w:rsidR="00647A24" w:rsidP="00647A24" w:rsidRDefault="00647A24" w14:paraId="6D55F94D" w14:textId="77777777"/>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662"/>
      </w:tblGrid>
      <w:tr w:rsidRPr="002754E8" w:rsidR="00647A24" w:rsidTr="00632498" w14:paraId="2744A609" w14:textId="77777777">
        <w:tc>
          <w:tcPr>
            <w:tcW w:w="2552" w:type="dxa"/>
          </w:tcPr>
          <w:p w:rsidRPr="00A6689B" w:rsidR="00647A24" w:rsidP="00647A24" w:rsidRDefault="00647A24" w14:paraId="1649FC8E" w14:textId="77777777">
            <w:pPr>
              <w:tabs>
                <w:tab w:val="center" w:pos="284"/>
              </w:tabs>
              <w:ind w:left="266" w:hanging="266"/>
              <w:rPr>
                <w:b/>
              </w:rPr>
            </w:pPr>
            <w:r>
              <w:rPr>
                <w:b/>
              </w:rPr>
              <w:t>Poročevalec</w:t>
            </w:r>
          </w:p>
        </w:tc>
        <w:tc>
          <w:tcPr>
            <w:tcW w:w="6662" w:type="dxa"/>
          </w:tcPr>
          <w:p w:rsidRPr="00057230" w:rsidR="00647A24" w:rsidP="00647A24" w:rsidRDefault="00647A24" w14:paraId="2F6A978C" w14:textId="77777777">
            <w:pPr>
              <w:tabs>
                <w:tab w:val="center" w:pos="284"/>
              </w:tabs>
              <w:ind w:left="266" w:hanging="266"/>
            </w:pPr>
            <w:r>
              <w:t>Gonçalo LOBO XAVIER (skupna delodajalcev – PT)</w:t>
            </w:r>
          </w:p>
        </w:tc>
      </w:tr>
      <w:tr w:rsidRPr="00A6689B" w:rsidR="00647A24" w:rsidTr="00632498" w14:paraId="4EDD17F0" w14:textId="77777777">
        <w:tc>
          <w:tcPr>
            <w:tcW w:w="2552" w:type="dxa"/>
          </w:tcPr>
          <w:p w:rsidRPr="00A6689B" w:rsidR="00647A24" w:rsidP="00647A24" w:rsidRDefault="00647A24" w14:paraId="0FA26863" w14:textId="77777777">
            <w:pPr>
              <w:tabs>
                <w:tab w:val="center" w:pos="284"/>
              </w:tabs>
              <w:ind w:left="266" w:hanging="266"/>
              <w:rPr>
                <w:b/>
              </w:rPr>
            </w:pPr>
            <w:r>
              <w:rPr>
                <w:b/>
              </w:rPr>
              <w:t>Soporočevalec</w:t>
            </w:r>
          </w:p>
        </w:tc>
        <w:tc>
          <w:tcPr>
            <w:tcW w:w="6662" w:type="dxa"/>
          </w:tcPr>
          <w:p w:rsidRPr="00A6689B" w:rsidR="00647A24" w:rsidP="00647A24" w:rsidRDefault="00647A24" w14:paraId="648B4B85" w14:textId="77777777">
            <w:pPr>
              <w:tabs>
                <w:tab w:val="center" w:pos="284"/>
              </w:tabs>
              <w:ind w:left="266" w:hanging="266"/>
            </w:pPr>
            <w:r>
              <w:t>Guido NELISSEN (2. kat. – BE)</w:t>
            </w:r>
          </w:p>
        </w:tc>
      </w:tr>
      <w:tr w:rsidRPr="00647A24" w:rsidR="00647A24" w:rsidTr="00BB7F23" w14:paraId="0C1C5ACB" w14:textId="77777777">
        <w:tc>
          <w:tcPr>
            <w:tcW w:w="9214" w:type="dxa"/>
            <w:gridSpan w:val="2"/>
          </w:tcPr>
          <w:p w:rsidRPr="00647A24" w:rsidR="00647A24" w:rsidP="00647A24" w:rsidRDefault="00647A24" w14:paraId="12EC3E3D" w14:textId="77777777">
            <w:pPr>
              <w:tabs>
                <w:tab w:val="center" w:pos="284"/>
              </w:tabs>
              <w:spacing w:line="240" w:lineRule="auto"/>
              <w:ind w:left="266" w:hanging="266"/>
              <w:rPr>
                <w:sz w:val="16"/>
                <w:szCs w:val="16"/>
                <w:lang w:val="en-US"/>
              </w:rPr>
            </w:pPr>
          </w:p>
        </w:tc>
      </w:tr>
      <w:tr w:rsidRPr="00A6689B" w:rsidR="00647A24" w:rsidTr="00632498" w14:paraId="0FE78015" w14:textId="77777777">
        <w:tc>
          <w:tcPr>
            <w:tcW w:w="2552" w:type="dxa"/>
          </w:tcPr>
          <w:p w:rsidRPr="00A6689B" w:rsidR="00647A24" w:rsidP="00647A24" w:rsidRDefault="00647A24" w14:paraId="36D3CCCD" w14:textId="4C716A34">
            <w:pPr>
              <w:tabs>
                <w:tab w:val="center" w:pos="284"/>
              </w:tabs>
              <w:ind w:left="266" w:hanging="266"/>
              <w:rPr>
                <w:b/>
              </w:rPr>
            </w:pPr>
            <w:r>
              <w:rPr>
                <w:b/>
              </w:rPr>
              <w:t>Referenčn</w:t>
            </w:r>
            <w:r w:rsidR="00632498">
              <w:rPr>
                <w:b/>
              </w:rPr>
              <w:t xml:space="preserve">a </w:t>
            </w:r>
            <w:r>
              <w:rPr>
                <w:b/>
              </w:rPr>
              <w:t>dokument</w:t>
            </w:r>
            <w:r w:rsidR="00632498">
              <w:rPr>
                <w:b/>
              </w:rPr>
              <w:t>a</w:t>
            </w:r>
          </w:p>
        </w:tc>
        <w:tc>
          <w:tcPr>
            <w:tcW w:w="6662" w:type="dxa"/>
          </w:tcPr>
          <w:p w:rsidR="00647A24" w:rsidP="00647A24" w:rsidRDefault="00647A24" w14:paraId="6820CC72" w14:textId="1675A421">
            <w:pPr>
              <w:tabs>
                <w:tab w:val="center" w:pos="284"/>
              </w:tabs>
              <w:ind w:left="266" w:hanging="266"/>
            </w:pPr>
            <w:r>
              <w:rPr>
                <w:lang w:val="en-GB"/>
              </w:rPr>
              <w:t>COM(2025) 95 final</w:t>
            </w:r>
          </w:p>
          <w:p w:rsidRPr="00A6689B" w:rsidR="00647A24" w:rsidP="00647A24" w:rsidRDefault="00647A24" w14:paraId="7664B102" w14:textId="3806636B">
            <w:pPr>
              <w:tabs>
                <w:tab w:val="center" w:pos="284"/>
              </w:tabs>
              <w:ind w:left="266" w:hanging="266"/>
            </w:pPr>
            <w:r>
              <w:t>EESC-2025-01374-00-00-AC</w:t>
            </w:r>
          </w:p>
        </w:tc>
      </w:tr>
    </w:tbl>
    <w:p w:rsidR="00647A24" w:rsidP="00647A24" w:rsidRDefault="00647A24" w14:paraId="3F295DE7" w14:textId="77777777"/>
    <w:p w:rsidRPr="00647A24" w:rsidR="00647A24" w:rsidP="00647A24" w:rsidRDefault="00647A24" w14:paraId="31042A34" w14:textId="77777777">
      <w:pPr>
        <w:rPr>
          <w:b/>
          <w:bCs/>
        </w:rPr>
      </w:pPr>
      <w:r w:rsidRPr="00647A24">
        <w:rPr>
          <w:b/>
          <w:bCs/>
        </w:rPr>
        <w:t>Glavne točke</w:t>
      </w:r>
    </w:p>
    <w:p w:rsidR="00647A24" w:rsidP="00647A24" w:rsidRDefault="00647A24" w14:paraId="07D3EB14" w14:textId="77777777"/>
    <w:p w:rsidR="00647A24" w:rsidP="00647A24" w:rsidRDefault="00647A24" w14:paraId="67EE1E1A" w14:textId="1779382E">
      <w:r>
        <w:t>EESO</w:t>
      </w:r>
    </w:p>
    <w:p w:rsidRPr="0057028F" w:rsidR="00647A24" w:rsidP="00632498" w:rsidRDefault="00647A24" w14:paraId="38FE0104" w14:textId="77777777">
      <w:pPr>
        <w:pStyle w:val="Heading2"/>
        <w:numPr>
          <w:ilvl w:val="1"/>
          <w:numId w:val="25"/>
        </w:numPr>
        <w:ind w:left="426" w:hanging="426"/>
      </w:pPr>
      <w:r>
        <w:t>priznava ključni pomen avtomobilske industrije kot strateškega stebra evropskega gospodarstva, tako z vidika zaposlovanja kot tudi industrijske dodane vrednosti, in poudarja, da je treba poskrbeti za konkurenčno in trajnostno prihodnost tega sektorja;</w:t>
      </w:r>
    </w:p>
    <w:p w:rsidRPr="0057028F" w:rsidR="00647A24" w:rsidP="00632498" w:rsidRDefault="00647A24" w14:paraId="0379B5C6" w14:textId="77777777">
      <w:pPr>
        <w:pStyle w:val="Heading2"/>
        <w:numPr>
          <w:ilvl w:val="1"/>
          <w:numId w:val="25"/>
        </w:numPr>
        <w:ind w:left="426" w:hanging="426"/>
      </w:pPr>
      <w:r>
        <w:t xml:space="preserve">poziva k obsežni </w:t>
      </w:r>
      <w:r>
        <w:rPr>
          <w:b/>
        </w:rPr>
        <w:t>evropski strategiji za pravični in konkurenčni prehod</w:t>
      </w:r>
      <w:r>
        <w:t xml:space="preserve"> v avtomobilskem sektorju, ki temelji na naložbah v spretnosti, inovacije, infrastrukturo in krožno gospodarstvo ter posebnem poudarku na malih in srednjih podjetjih (MSP);</w:t>
      </w:r>
    </w:p>
    <w:p w:rsidRPr="0057028F" w:rsidR="00647A24" w:rsidP="00632498" w:rsidRDefault="00647A24" w14:paraId="6F3F0CB2" w14:textId="77777777">
      <w:pPr>
        <w:pStyle w:val="Heading2"/>
        <w:numPr>
          <w:ilvl w:val="1"/>
          <w:numId w:val="25"/>
        </w:numPr>
        <w:ind w:left="426" w:hanging="426"/>
      </w:pPr>
      <w:r>
        <w:t xml:space="preserve">poudarja potrebo po podpori </w:t>
      </w:r>
      <w:r>
        <w:rPr>
          <w:b/>
        </w:rPr>
        <w:t>najbolj prizadetih regij in najbolj ranljivih delavcev</w:t>
      </w:r>
      <w:r>
        <w:t>, zlasti tistih v MSP ter mrežah podizvajalcev v mnogih državah članicah, s ciljno usmerjenimi programi preusposabljanja, javnimi in zasebnimi naložbami ter mobilizacijo sredstev EU;</w:t>
      </w:r>
    </w:p>
    <w:p w:rsidRPr="0057028F" w:rsidR="00647A24" w:rsidP="00632498" w:rsidRDefault="00647A24" w14:paraId="60D70977" w14:textId="77777777">
      <w:pPr>
        <w:pStyle w:val="Heading2"/>
        <w:numPr>
          <w:ilvl w:val="1"/>
          <w:numId w:val="25"/>
        </w:numPr>
        <w:ind w:left="426" w:hanging="426"/>
      </w:pPr>
      <w:r>
        <w:t xml:space="preserve">poziva Evropsko komisijo, naj poskrbi za </w:t>
      </w:r>
      <w:r>
        <w:rPr>
          <w:b/>
        </w:rPr>
        <w:t>ustrezno ravnovesje med regulativno stabilnostjo/doslednostjo in ciljno prilagodljivostjo</w:t>
      </w:r>
      <w:r>
        <w:t>, zlasti na področjih, kot so cilji glede emisij CO₂ in trajnostna goriva;</w:t>
      </w:r>
    </w:p>
    <w:p w:rsidRPr="0057028F" w:rsidR="00647A24" w:rsidP="00632498" w:rsidRDefault="00647A24" w14:paraId="3492FD5D" w14:textId="77777777">
      <w:pPr>
        <w:pStyle w:val="Heading2"/>
        <w:numPr>
          <w:ilvl w:val="1"/>
          <w:numId w:val="25"/>
        </w:numPr>
        <w:ind w:left="426" w:hanging="426"/>
      </w:pPr>
      <w:r>
        <w:t xml:space="preserve">poudarja potrebo po </w:t>
      </w:r>
      <w:r>
        <w:rPr>
          <w:b/>
        </w:rPr>
        <w:t>usklajeni evropski industrijski strategiji</w:t>
      </w:r>
      <w:r>
        <w:t xml:space="preserve"> za obravnavanje strukturnih izzivov, s katerimi se sooča celotna avtomobilska dobavna veriga, vključno z odvisnostjo od kritičnih surovin, nelojalno konkurenco s Kitajske – ki ni povezana le z shemami neposrednega uvoza vozil, temveč tudi s proizvodnimi sistemi – in geopolitičnimi napetostmi, ki vplivajo na dobavne verige;</w:t>
      </w:r>
    </w:p>
    <w:p w:rsidRPr="0057028F" w:rsidR="00647A24" w:rsidP="00632498" w:rsidRDefault="00647A24" w14:paraId="060E982E" w14:textId="77777777">
      <w:pPr>
        <w:pStyle w:val="Heading2"/>
        <w:numPr>
          <w:ilvl w:val="1"/>
          <w:numId w:val="25"/>
        </w:numPr>
        <w:ind w:left="426" w:hanging="426"/>
      </w:pPr>
      <w:r>
        <w:t xml:space="preserve">priporoča </w:t>
      </w:r>
      <w:r>
        <w:rPr>
          <w:b/>
        </w:rPr>
        <w:t>pospešitev uvajanja polnilne infrastrukture</w:t>
      </w:r>
      <w:r>
        <w:t xml:space="preserve"> za električna vozila, da bodo vse regije v EU enakomerno pokrite in da se preprečijo razlike pri dostopu do trajnostne mobilnosti;</w:t>
      </w:r>
    </w:p>
    <w:p w:rsidRPr="0057028F" w:rsidR="00647A24" w:rsidP="00632498" w:rsidRDefault="00647A24" w14:paraId="78F0C372" w14:textId="77777777">
      <w:pPr>
        <w:pStyle w:val="Heading2"/>
        <w:numPr>
          <w:ilvl w:val="1"/>
          <w:numId w:val="25"/>
        </w:numPr>
        <w:ind w:left="426" w:hanging="426"/>
      </w:pPr>
      <w:r>
        <w:t xml:space="preserve">poudarja pomen </w:t>
      </w:r>
      <w:r>
        <w:rPr>
          <w:b/>
        </w:rPr>
        <w:t>naložb v izobraževanje ter raziskave in razvoj</w:t>
      </w:r>
      <w:r>
        <w:t>, zlasti v tehnologije baterij in avtomobilsko programsko opremo, da se ponovno vzpostavi vodilna vloga Evrope na teh ključnih področjih;</w:t>
      </w:r>
    </w:p>
    <w:p w:rsidRPr="00F8761A" w:rsidR="00647A24" w:rsidP="00632498" w:rsidRDefault="00647A24" w14:paraId="4786E918" w14:textId="77777777">
      <w:pPr>
        <w:pStyle w:val="Heading2"/>
        <w:numPr>
          <w:ilvl w:val="1"/>
          <w:numId w:val="25"/>
        </w:numPr>
        <w:ind w:left="426" w:hanging="426"/>
      </w:pPr>
      <w:r>
        <w:t xml:space="preserve">poziva k harmonizaciji standardov in predpisov v zvezi z avtonomnimi in povezanimi vozili, da se </w:t>
      </w:r>
      <w:r>
        <w:rPr>
          <w:b/>
        </w:rPr>
        <w:t>podpreta preskušanje in uporaba teh vozil na javnih cestah</w:t>
      </w:r>
      <w:r>
        <w:t xml:space="preserve"> ter zagotovita varnost in zaupanje potrošnikov;</w:t>
      </w:r>
    </w:p>
    <w:p w:rsidRPr="0057028F" w:rsidR="00647A24" w:rsidP="00632498" w:rsidRDefault="00647A24" w14:paraId="1DA92127" w14:textId="77777777">
      <w:pPr>
        <w:pStyle w:val="Heading2"/>
        <w:numPr>
          <w:ilvl w:val="1"/>
          <w:numId w:val="25"/>
        </w:numPr>
        <w:ind w:left="426" w:hanging="426"/>
      </w:pPr>
      <w:r>
        <w:t xml:space="preserve">priporoča </w:t>
      </w:r>
      <w:r>
        <w:rPr>
          <w:b/>
        </w:rPr>
        <w:t>vzpostavitev ciljno usmerjenih programov podpore za MSP</w:t>
      </w:r>
      <w:r>
        <w:t xml:space="preserve"> v avtomobilskem sektorju, da bi izboljšali njihov dostop do financiranja, inovacij in mednarodnih trgov ter, kot navedeno, izboljšali programe usposabljanja in preusposabljanja.</w:t>
      </w:r>
    </w:p>
    <w:p w:rsidR="00647A24" w:rsidP="00647A24" w:rsidRDefault="00647A24" w14:paraId="7C698A10" w14:textId="77777777">
      <w:pPr>
        <w:spacing w:line="240" w:lineRule="auto"/>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1"/>
      </w:tblGrid>
      <w:tr w:rsidRPr="00A6689B" w:rsidR="00647A24" w:rsidTr="00BB7F23" w14:paraId="51A9A29F" w14:textId="77777777">
        <w:tc>
          <w:tcPr>
            <w:tcW w:w="1843" w:type="dxa"/>
          </w:tcPr>
          <w:p w:rsidRPr="00A6689B" w:rsidR="00647A24" w:rsidP="00647A24" w:rsidRDefault="00647A24" w14:paraId="77E29127" w14:textId="77777777">
            <w:pPr>
              <w:rPr>
                <w:i/>
              </w:rPr>
            </w:pPr>
            <w:r>
              <w:rPr>
                <w:b/>
                <w:i/>
              </w:rPr>
              <w:t>Kontaktna oseba</w:t>
            </w:r>
          </w:p>
        </w:tc>
        <w:tc>
          <w:tcPr>
            <w:tcW w:w="7371" w:type="dxa"/>
          </w:tcPr>
          <w:p w:rsidRPr="00CE3C8C" w:rsidR="00647A24" w:rsidP="00647A24" w:rsidRDefault="00632498" w14:paraId="49E7836C" w14:textId="735FB2AC">
            <w:pPr>
              <w:rPr>
                <w:i/>
              </w:rPr>
            </w:pPr>
            <w:r w:rsidRPr="00CE3C8C">
              <w:rPr>
                <w:i/>
              </w:rPr>
              <w:t xml:space="preserve">Ioannis </w:t>
            </w:r>
            <w:r w:rsidRPr="00CE3C8C" w:rsidR="00641BDF">
              <w:rPr>
                <w:i/>
              </w:rPr>
              <w:t>DIAMANTOPOULOS</w:t>
            </w:r>
          </w:p>
        </w:tc>
      </w:tr>
      <w:tr w:rsidRPr="00A6689B" w:rsidR="00647A24" w:rsidTr="00BB7F23" w14:paraId="3757DAF1" w14:textId="77777777">
        <w:tc>
          <w:tcPr>
            <w:tcW w:w="1843" w:type="dxa"/>
          </w:tcPr>
          <w:p w:rsidRPr="00A6689B" w:rsidR="00647A24" w:rsidP="00647A24" w:rsidRDefault="00647A24" w14:paraId="73D0862D" w14:textId="77777777">
            <w:pPr>
              <w:rPr>
                <w:i/>
              </w:rPr>
            </w:pPr>
            <w:r>
              <w:rPr>
                <w:i/>
              </w:rPr>
              <w:t>Telefon</w:t>
            </w:r>
          </w:p>
        </w:tc>
        <w:tc>
          <w:tcPr>
            <w:tcW w:w="7371" w:type="dxa"/>
          </w:tcPr>
          <w:p w:rsidRPr="00CE3C8C" w:rsidR="00647A24" w:rsidP="00647A24" w:rsidRDefault="00647A24" w14:paraId="21B85314" w14:textId="77777777">
            <w:pPr>
              <w:rPr>
                <w:i/>
              </w:rPr>
            </w:pPr>
            <w:r w:rsidRPr="00CE3C8C">
              <w:rPr>
                <w:i/>
              </w:rPr>
              <w:t>+32 25469170 </w:t>
            </w:r>
          </w:p>
        </w:tc>
      </w:tr>
      <w:tr w:rsidRPr="00AC735E" w:rsidR="00647A24" w:rsidTr="00BB7F23" w14:paraId="215FEF8F" w14:textId="77777777">
        <w:trPr>
          <w:trHeight w:val="80"/>
        </w:trPr>
        <w:tc>
          <w:tcPr>
            <w:tcW w:w="1843" w:type="dxa"/>
          </w:tcPr>
          <w:p w:rsidRPr="00A6689B" w:rsidR="00647A24" w:rsidP="00647A24" w:rsidRDefault="00647A24" w14:paraId="40771DA0" w14:textId="77777777">
            <w:pPr>
              <w:rPr>
                <w:i/>
              </w:rPr>
            </w:pPr>
            <w:r>
              <w:rPr>
                <w:i/>
              </w:rPr>
              <w:t>E-naslov</w:t>
            </w:r>
          </w:p>
        </w:tc>
        <w:tc>
          <w:tcPr>
            <w:tcW w:w="7371" w:type="dxa"/>
          </w:tcPr>
          <w:p w:rsidRPr="00CE3C8C" w:rsidR="00647A24" w:rsidP="00647A24" w:rsidRDefault="00662932" w14:paraId="34B8674E" w14:textId="4A080D50">
            <w:pPr>
              <w:rPr>
                <w:i/>
              </w:rPr>
            </w:pPr>
            <w:hyperlink w:history="1" r:id="rId63">
              <w:r w:rsidRPr="00CE3C8C" w:rsidR="00647A24">
                <w:rPr>
                  <w:rStyle w:val="Hyperlink"/>
                  <w:i/>
                </w:rPr>
                <w:t>Ioannis.Diamantopoulos@eesc.europa.eu</w:t>
              </w:r>
            </w:hyperlink>
          </w:p>
        </w:tc>
      </w:tr>
    </w:tbl>
    <w:p w:rsidRPr="00281901" w:rsidR="00647A24" w:rsidP="00647A24" w:rsidRDefault="00647A24" w14:paraId="1A646759" w14:textId="77777777">
      <w:pPr>
        <w:spacing w:after="160"/>
        <w:jc w:val="left"/>
      </w:pPr>
      <w:r w:rsidRPr="00281901">
        <w:br w:type="page"/>
      </w:r>
    </w:p>
    <w:p w:rsidRPr="004F746E" w:rsidR="00B53074" w:rsidP="00632498" w:rsidRDefault="00662932" w14:paraId="7EE0C2FB" w14:textId="3F076658">
      <w:pPr>
        <w:widowControl w:val="0"/>
        <w:numPr>
          <w:ilvl w:val="0"/>
          <w:numId w:val="27"/>
        </w:numPr>
        <w:rPr>
          <w:rStyle w:val="Hyperlink"/>
          <w:sz w:val="28"/>
          <w:szCs w:val="28"/>
        </w:rPr>
      </w:pPr>
      <w:hyperlink w:history="1" r:id="rId64">
        <w:r w:rsidRPr="00632498" w:rsidR="00B53074">
          <w:rPr>
            <w:rStyle w:val="Hyperlink"/>
            <w:b/>
            <w:i/>
            <w:sz w:val="28"/>
          </w:rPr>
          <w:t>Instrumen</w:t>
        </w:r>
        <w:r w:rsidR="00B53074">
          <w:rPr>
            <w:rStyle w:val="Hyperlink"/>
            <w:b/>
            <w:i/>
            <w:sz w:val="28"/>
          </w:rPr>
          <w:t>t za varnostne ukrepe za Evropo (SAFE) s krepitvijo evropske obrambne industrije</w:t>
        </w:r>
      </w:hyperlink>
    </w:p>
    <w:p w:rsidRPr="004F746E" w:rsidR="00B53074" w:rsidP="00B53074" w:rsidRDefault="00B53074" w14:paraId="0FA51A16" w14:textId="77777777">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2754E8" w:rsidR="00B53074" w:rsidTr="00BB7F23" w14:paraId="6E46B9B9" w14:textId="77777777">
        <w:tc>
          <w:tcPr>
            <w:tcW w:w="2268" w:type="dxa"/>
          </w:tcPr>
          <w:p w:rsidRPr="00A6689B" w:rsidR="00B53074" w:rsidP="00B53074" w:rsidRDefault="00B53074" w14:paraId="4BE67E0E" w14:textId="77777777">
            <w:pPr>
              <w:tabs>
                <w:tab w:val="center" w:pos="284"/>
              </w:tabs>
              <w:ind w:left="266" w:hanging="266"/>
              <w:rPr>
                <w:b/>
              </w:rPr>
            </w:pPr>
            <w:r>
              <w:rPr>
                <w:b/>
              </w:rPr>
              <w:t>Poročevalec</w:t>
            </w:r>
          </w:p>
        </w:tc>
        <w:tc>
          <w:tcPr>
            <w:tcW w:w="6805" w:type="dxa"/>
          </w:tcPr>
          <w:p w:rsidRPr="00057230" w:rsidR="00B53074" w:rsidP="00B53074" w:rsidRDefault="00B53074" w14:paraId="647EC489" w14:textId="77777777">
            <w:pPr>
              <w:tabs>
                <w:tab w:val="center" w:pos="284"/>
              </w:tabs>
              <w:ind w:left="266" w:hanging="266"/>
            </w:pPr>
            <w:r>
              <w:t>Maurizio MENSI (skupina organizacij civilne družbe – IT)</w:t>
            </w:r>
          </w:p>
        </w:tc>
      </w:tr>
      <w:tr w:rsidRPr="00A6689B" w:rsidR="00B53074" w:rsidTr="00BB7F23" w14:paraId="77B30961" w14:textId="77777777">
        <w:tc>
          <w:tcPr>
            <w:tcW w:w="2268" w:type="dxa"/>
          </w:tcPr>
          <w:p w:rsidRPr="00A6689B" w:rsidR="00B53074" w:rsidP="00B53074" w:rsidRDefault="00B53074" w14:paraId="2A4FD503" w14:textId="77777777">
            <w:pPr>
              <w:tabs>
                <w:tab w:val="center" w:pos="284"/>
              </w:tabs>
              <w:ind w:left="266" w:hanging="266"/>
              <w:rPr>
                <w:b/>
              </w:rPr>
            </w:pPr>
            <w:r>
              <w:rPr>
                <w:b/>
              </w:rPr>
              <w:t>Soporočevalec</w:t>
            </w:r>
          </w:p>
        </w:tc>
        <w:tc>
          <w:tcPr>
            <w:tcW w:w="6805" w:type="dxa"/>
          </w:tcPr>
          <w:p w:rsidRPr="00A6689B" w:rsidR="00B53074" w:rsidP="00B53074" w:rsidRDefault="00B53074" w14:paraId="53AB8FA8" w14:textId="77777777">
            <w:pPr>
              <w:tabs>
                <w:tab w:val="center" w:pos="284"/>
              </w:tabs>
              <w:ind w:left="266" w:hanging="266"/>
            </w:pPr>
            <w:r>
              <w:t>Jan PIE (1. kat. – SE)</w:t>
            </w:r>
          </w:p>
        </w:tc>
      </w:tr>
      <w:tr w:rsidRPr="00B53074" w:rsidR="00B53074" w:rsidTr="00BB7F23" w14:paraId="6724FF67" w14:textId="77777777">
        <w:tc>
          <w:tcPr>
            <w:tcW w:w="9073" w:type="dxa"/>
            <w:gridSpan w:val="2"/>
          </w:tcPr>
          <w:p w:rsidRPr="00B53074" w:rsidR="00B53074" w:rsidP="00B53074" w:rsidRDefault="00B53074" w14:paraId="2A7BB6EA" w14:textId="77777777">
            <w:pPr>
              <w:tabs>
                <w:tab w:val="center" w:pos="284"/>
              </w:tabs>
              <w:ind w:left="266" w:hanging="266"/>
              <w:rPr>
                <w:sz w:val="16"/>
                <w:szCs w:val="16"/>
                <w:lang w:val="en-US"/>
              </w:rPr>
            </w:pPr>
          </w:p>
        </w:tc>
      </w:tr>
      <w:tr w:rsidRPr="00A6689B" w:rsidR="00B53074" w:rsidTr="00BB7F23" w14:paraId="201B764B" w14:textId="77777777">
        <w:tc>
          <w:tcPr>
            <w:tcW w:w="2268" w:type="dxa"/>
          </w:tcPr>
          <w:p w:rsidRPr="00A6689B" w:rsidR="00B53074" w:rsidP="00B53074" w:rsidRDefault="00B53074" w14:paraId="11670ECD" w14:textId="77777777">
            <w:pPr>
              <w:tabs>
                <w:tab w:val="center" w:pos="284"/>
              </w:tabs>
              <w:ind w:left="266" w:hanging="266"/>
              <w:rPr>
                <w:b/>
              </w:rPr>
            </w:pPr>
            <w:r>
              <w:rPr>
                <w:b/>
              </w:rPr>
              <w:t>Referenčni dokument</w:t>
            </w:r>
          </w:p>
        </w:tc>
        <w:tc>
          <w:tcPr>
            <w:tcW w:w="6805" w:type="dxa"/>
          </w:tcPr>
          <w:p w:rsidR="00B53074" w:rsidP="00B53074" w:rsidRDefault="00B53074" w14:paraId="115F5A86" w14:textId="040F15CB">
            <w:pPr>
              <w:tabs>
                <w:tab w:val="center" w:pos="284"/>
              </w:tabs>
              <w:ind w:left="266" w:hanging="266"/>
            </w:pPr>
            <w:r>
              <w:rPr>
                <w:lang w:val="en-GB"/>
              </w:rPr>
              <w:t>COM(2025) 122 final</w:t>
            </w:r>
          </w:p>
          <w:p w:rsidRPr="00A6689B" w:rsidR="00B53074" w:rsidP="00B53074" w:rsidRDefault="00B53074" w14:paraId="39AF9608" w14:textId="218F4BE5">
            <w:pPr>
              <w:tabs>
                <w:tab w:val="center" w:pos="284"/>
              </w:tabs>
              <w:ind w:left="266" w:hanging="266"/>
            </w:pPr>
            <w:r>
              <w:t>EESC-2025-00980-00-00-AC</w:t>
            </w:r>
          </w:p>
        </w:tc>
      </w:tr>
    </w:tbl>
    <w:p w:rsidR="00B53074" w:rsidP="00B53074" w:rsidRDefault="00B53074" w14:paraId="5895D65D" w14:textId="77777777">
      <w:pPr>
        <w:spacing w:line="240" w:lineRule="auto"/>
      </w:pPr>
    </w:p>
    <w:p w:rsidR="00B53074" w:rsidP="00B53074" w:rsidRDefault="00B53074" w14:paraId="074D93B1" w14:textId="77777777">
      <w:pPr>
        <w:tabs>
          <w:tab w:val="center" w:pos="284"/>
        </w:tabs>
        <w:suppressAutoHyphens/>
        <w:ind w:left="266" w:hanging="266"/>
        <w:rPr>
          <w:b/>
        </w:rPr>
      </w:pPr>
      <w:r>
        <w:rPr>
          <w:b/>
        </w:rPr>
        <w:t>Glavne točke</w:t>
      </w:r>
    </w:p>
    <w:p w:rsidR="00B53074" w:rsidP="00B53074" w:rsidRDefault="00B53074" w14:paraId="4627A1FA" w14:textId="77777777">
      <w:pPr>
        <w:spacing w:line="240" w:lineRule="auto"/>
      </w:pPr>
    </w:p>
    <w:p w:rsidR="00B53074" w:rsidP="00B53074" w:rsidRDefault="00B53074" w14:paraId="797DC1E4" w14:textId="4FB056EC">
      <w:pPr>
        <w:tabs>
          <w:tab w:val="center" w:pos="284"/>
        </w:tabs>
        <w:suppressAutoHyphens/>
        <w:ind w:left="266" w:hanging="266"/>
      </w:pPr>
      <w:r>
        <w:t>EESO</w:t>
      </w:r>
    </w:p>
    <w:p w:rsidRPr="001B1FF9" w:rsidR="00B53074" w:rsidP="00632498" w:rsidRDefault="00B53074" w14:paraId="3758DACF" w14:textId="77777777">
      <w:pPr>
        <w:pStyle w:val="Heading2"/>
        <w:numPr>
          <w:ilvl w:val="1"/>
          <w:numId w:val="26"/>
        </w:numPr>
        <w:suppressAutoHyphens/>
        <w:spacing w:line="276" w:lineRule="auto"/>
        <w:ind w:left="425" w:hanging="425"/>
      </w:pPr>
      <w:r>
        <w:rPr>
          <w:b/>
        </w:rPr>
        <w:t>poudarja</w:t>
      </w:r>
      <w:r>
        <w:t>, da bi moral instrument SAFE prispevati k povečanju naložb v evropsko obrambno tehnološko-industrijsko bazo ter k zmanjšanju odvisnosti, da bi okrepili svobodno delovanje Evrope in zanesljivo oskrbo na tem področju;</w:t>
      </w:r>
    </w:p>
    <w:p w:rsidRPr="002365A0" w:rsidR="00B53074" w:rsidP="00632498" w:rsidRDefault="00B53074" w14:paraId="66CEF7EF" w14:textId="77777777">
      <w:pPr>
        <w:pStyle w:val="Heading2"/>
        <w:numPr>
          <w:ilvl w:val="1"/>
          <w:numId w:val="26"/>
        </w:numPr>
        <w:suppressAutoHyphens/>
        <w:spacing w:line="276" w:lineRule="auto"/>
        <w:ind w:left="425" w:hanging="425"/>
      </w:pPr>
      <w:r>
        <w:rPr>
          <w:b/>
        </w:rPr>
        <w:t>priporoča</w:t>
      </w:r>
      <w:r>
        <w:t>, naj države članice nujno v največji možni meri izkoristijo SAFE v skladu s svojim finančnim položajem in usklajeno, glede na privlačno financiranje in s tem povezane olajšave ter možnost, da lahko naložbe v okviru SAFE (npr. za vojaško mobilnost) prispevajo tudi h konkurenčnosti in civilnim ciljem;</w:t>
      </w:r>
    </w:p>
    <w:p w:rsidRPr="002365A0" w:rsidR="00B53074" w:rsidP="00632498" w:rsidRDefault="00B53074" w14:paraId="2D0A89A1" w14:textId="77777777">
      <w:pPr>
        <w:pStyle w:val="Heading2"/>
        <w:numPr>
          <w:ilvl w:val="1"/>
          <w:numId w:val="26"/>
        </w:numPr>
        <w:suppressAutoHyphens/>
        <w:spacing w:line="276" w:lineRule="auto"/>
        <w:ind w:left="425" w:hanging="425"/>
      </w:pPr>
      <w:r>
        <w:rPr>
          <w:b/>
        </w:rPr>
        <w:t>poudarja</w:t>
      </w:r>
      <w:r>
        <w:t>, da je treba naložbe osredotočiti na ključne potrebe po zmogljivostih, ki so jih v okviru EU opredelile države članice, in jih usmeriti v evropsko obrambno tehnološko-industrijsko bazo;</w:t>
      </w:r>
    </w:p>
    <w:p w:rsidRPr="002365A0" w:rsidR="00B53074" w:rsidP="00632498" w:rsidRDefault="00B53074" w14:paraId="084EBE5B" w14:textId="77777777">
      <w:pPr>
        <w:pStyle w:val="Heading2"/>
        <w:numPr>
          <w:ilvl w:val="1"/>
          <w:numId w:val="26"/>
        </w:numPr>
        <w:suppressAutoHyphens/>
        <w:spacing w:line="276" w:lineRule="auto"/>
        <w:ind w:left="425" w:hanging="425"/>
      </w:pPr>
      <w:r>
        <w:rPr>
          <w:b/>
        </w:rPr>
        <w:t>poudarja</w:t>
      </w:r>
      <w:r>
        <w:t>, da je treba obravnavati nujne potrebe držav članic, hkrati pa okrepiti obrambno pripravljenost EU in konkurenčnost evropske obrambne tehnološko-industrijske baze ter ohraniti svobodno delovanje držav članic v prihodnosti;</w:t>
      </w:r>
    </w:p>
    <w:p w:rsidRPr="002365A0" w:rsidR="00B53074" w:rsidP="00632498" w:rsidRDefault="00B53074" w14:paraId="4FE96CDE" w14:textId="77777777">
      <w:pPr>
        <w:pStyle w:val="Heading2"/>
        <w:numPr>
          <w:ilvl w:val="1"/>
          <w:numId w:val="26"/>
        </w:numPr>
        <w:suppressAutoHyphens/>
        <w:spacing w:line="276" w:lineRule="auto"/>
        <w:ind w:left="425" w:hanging="425"/>
      </w:pPr>
      <w:r>
        <w:rPr>
          <w:b/>
        </w:rPr>
        <w:t>odločno podpira</w:t>
      </w:r>
      <w:r>
        <w:t xml:space="preserve">, da se v okviru izvajanja instrumenta SAFE (npr. v primeru čezmernega zanimanja) dosledno uporablja načelo dajanja prednosti evropskim proizvodom v okviru zahteve po visoki stopnji vsebine EU, za kompleksne proizvode (kategorije 2) pa tudi možnost odločanja – brez omejitev tretjih držav – o opredelitvi, prilagoditvi in razvoju zasnove proizvodov (načelo organa za načrtovanje), in </w:t>
      </w:r>
      <w:r>
        <w:rPr>
          <w:b/>
        </w:rPr>
        <w:t>predlaga</w:t>
      </w:r>
      <w:r>
        <w:t>, da se za manj kompleksne proizvode (kategorije 1), pri katerih je vprašanje organa za načrtovanje pomembno, zagotovijo spodbude za javno naročanje proizvodov, kadar je ta organ v Evropi;</w:t>
      </w:r>
    </w:p>
    <w:p w:rsidRPr="002365A0" w:rsidR="00B53074" w:rsidP="00632498" w:rsidRDefault="00B53074" w14:paraId="49026940" w14:textId="77777777">
      <w:pPr>
        <w:pStyle w:val="Heading2"/>
        <w:numPr>
          <w:ilvl w:val="1"/>
          <w:numId w:val="26"/>
        </w:numPr>
        <w:suppressAutoHyphens/>
        <w:spacing w:line="276" w:lineRule="auto"/>
        <w:ind w:left="425" w:hanging="425"/>
      </w:pPr>
      <w:r>
        <w:rPr>
          <w:b/>
        </w:rPr>
        <w:t>obžaluje</w:t>
      </w:r>
      <w:r>
        <w:t>, da rakete, zaščita kritične infrastrukture in kibernetska varnost niso vključene med proizvode kategorije 2, za katere bi moral biti organ za načrtovanje v Evropi;</w:t>
      </w:r>
    </w:p>
    <w:p w:rsidRPr="002365A0" w:rsidR="00B53074" w:rsidP="00632498" w:rsidRDefault="00B53074" w14:paraId="7C8C859A" w14:textId="77777777">
      <w:pPr>
        <w:pStyle w:val="Heading2"/>
        <w:numPr>
          <w:ilvl w:val="1"/>
          <w:numId w:val="26"/>
        </w:numPr>
        <w:suppressAutoHyphens/>
        <w:spacing w:line="276" w:lineRule="auto"/>
        <w:ind w:left="425" w:hanging="425"/>
      </w:pPr>
      <w:r>
        <w:rPr>
          <w:b/>
        </w:rPr>
        <w:t>poudarja</w:t>
      </w:r>
      <w:r>
        <w:t>, da mora biti sodelovanje držav, ki niso članice EU, in njihovih industrijskih panog v instrumentu SAFE – z izjemo Ukrajine in držav EGP/EFTA – odprto le za podobno misleče partnerje, ki so z EU podpisali partnerstvo na področju varnosti in obrambe, ter da sodelovanje industrijskih panog tretjih držav ne bi smelo ogroziti glavnega cilja instrumenta, tj. krepitve evropske obrambne tehnološko-industrijske baze ter zmanjšanja odvisnosti od neevropskih dobaviteljev;</w:t>
      </w:r>
    </w:p>
    <w:p w:rsidRPr="00D8243C" w:rsidR="00B53074" w:rsidP="00632498" w:rsidRDefault="00B53074" w14:paraId="35EE5E7B" w14:textId="77777777">
      <w:pPr>
        <w:pStyle w:val="Heading2"/>
        <w:numPr>
          <w:ilvl w:val="1"/>
          <w:numId w:val="26"/>
        </w:numPr>
        <w:suppressAutoHyphens/>
        <w:spacing w:line="276" w:lineRule="auto"/>
        <w:ind w:left="425" w:hanging="425"/>
      </w:pPr>
      <w:r>
        <w:rPr>
          <w:b/>
        </w:rPr>
        <w:t>poudarja</w:t>
      </w:r>
      <w:r>
        <w:t>, da bi moral instrument SAFE služiti kot izhodišče za mobilizacijo dodatnih sredstev, in poziva države članice, naj nujno ukrepajo v zvezi s tem.</w:t>
      </w:r>
    </w:p>
    <w:p w:rsidR="00B53074" w:rsidP="00B53074" w:rsidRDefault="00B53074" w14:paraId="14AB6024" w14:textId="77777777">
      <w:pPr>
        <w:spacing w:line="240" w:lineRule="auto"/>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479"/>
      </w:tblGrid>
      <w:tr w:rsidRPr="00A6689B" w:rsidR="00B53074" w:rsidTr="00BB7F23" w14:paraId="1314ED4A" w14:textId="77777777">
        <w:tc>
          <w:tcPr>
            <w:tcW w:w="1843" w:type="dxa"/>
          </w:tcPr>
          <w:p w:rsidRPr="00A6689B" w:rsidR="00B53074" w:rsidP="00B53074" w:rsidRDefault="00B53074" w14:paraId="0D93F52F" w14:textId="77777777">
            <w:pPr>
              <w:rPr>
                <w:i/>
              </w:rPr>
            </w:pPr>
            <w:r>
              <w:rPr>
                <w:b/>
                <w:i/>
              </w:rPr>
              <w:t>Kontaktna oseba</w:t>
            </w:r>
          </w:p>
        </w:tc>
        <w:tc>
          <w:tcPr>
            <w:tcW w:w="7479" w:type="dxa"/>
          </w:tcPr>
          <w:p w:rsidRPr="004F746E" w:rsidR="00B53074" w:rsidP="00B53074" w:rsidRDefault="00B53074" w14:paraId="0031D715" w14:textId="428D1483">
            <w:pPr>
              <w:rPr>
                <w:i/>
              </w:rPr>
            </w:pPr>
            <w:r w:rsidRPr="004F746E">
              <w:rPr>
                <w:i/>
              </w:rPr>
              <w:t xml:space="preserve">Ioannis </w:t>
            </w:r>
            <w:r w:rsidRPr="004F746E" w:rsidR="00641BDF">
              <w:rPr>
                <w:i/>
              </w:rPr>
              <w:t>DIAMANTOPOULOS</w:t>
            </w:r>
          </w:p>
        </w:tc>
      </w:tr>
      <w:tr w:rsidRPr="00A6689B" w:rsidR="00B53074" w:rsidTr="00BB7F23" w14:paraId="6092C4E5" w14:textId="77777777">
        <w:tc>
          <w:tcPr>
            <w:tcW w:w="1843" w:type="dxa"/>
          </w:tcPr>
          <w:p w:rsidRPr="00A6689B" w:rsidR="00B53074" w:rsidP="00B53074" w:rsidRDefault="00B53074" w14:paraId="24DFED41" w14:textId="77777777">
            <w:pPr>
              <w:rPr>
                <w:i/>
              </w:rPr>
            </w:pPr>
            <w:r>
              <w:rPr>
                <w:i/>
              </w:rPr>
              <w:t>Telefon</w:t>
            </w:r>
          </w:p>
        </w:tc>
        <w:tc>
          <w:tcPr>
            <w:tcW w:w="7479" w:type="dxa"/>
          </w:tcPr>
          <w:p w:rsidRPr="004F746E" w:rsidR="00B53074" w:rsidP="00B53074" w:rsidRDefault="00B53074" w14:paraId="3D9D8F64" w14:textId="77777777">
            <w:pPr>
              <w:rPr>
                <w:i/>
              </w:rPr>
            </w:pPr>
            <w:r w:rsidRPr="004F746E">
              <w:rPr>
                <w:i/>
              </w:rPr>
              <w:t>+32 25469170 </w:t>
            </w:r>
          </w:p>
        </w:tc>
      </w:tr>
      <w:tr w:rsidRPr="00AC735E" w:rsidR="00B53074" w:rsidTr="00BB7F23" w14:paraId="7CA7E5E1" w14:textId="77777777">
        <w:trPr>
          <w:trHeight w:val="80"/>
        </w:trPr>
        <w:tc>
          <w:tcPr>
            <w:tcW w:w="1843" w:type="dxa"/>
          </w:tcPr>
          <w:p w:rsidRPr="00A6689B" w:rsidR="00B53074" w:rsidP="00B53074" w:rsidRDefault="00B53074" w14:paraId="79986FA9" w14:textId="77777777">
            <w:pPr>
              <w:rPr>
                <w:i/>
              </w:rPr>
            </w:pPr>
            <w:r>
              <w:rPr>
                <w:i/>
              </w:rPr>
              <w:t>E-naslov</w:t>
            </w:r>
          </w:p>
        </w:tc>
        <w:tc>
          <w:tcPr>
            <w:tcW w:w="7479" w:type="dxa"/>
          </w:tcPr>
          <w:p w:rsidRPr="004F746E" w:rsidR="00B53074" w:rsidP="00B53074" w:rsidRDefault="00662932" w14:paraId="6800AADE" w14:textId="298D01EB">
            <w:pPr>
              <w:rPr>
                <w:i/>
              </w:rPr>
            </w:pPr>
            <w:hyperlink w:history="1" r:id="rId65">
              <w:r w:rsidRPr="004F746E" w:rsidR="00B53074">
                <w:rPr>
                  <w:rStyle w:val="Hyperlink"/>
                  <w:i/>
                </w:rPr>
                <w:t>Ioannis.Diamantopoulos@eesc.europa.eu</w:t>
              </w:r>
            </w:hyperlink>
          </w:p>
        </w:tc>
      </w:tr>
    </w:tbl>
    <w:p w:rsidR="00B53074" w:rsidP="00B53074" w:rsidRDefault="00B53074" w14:paraId="502AE3C5" w14:textId="4B502E0D">
      <w:pPr>
        <w:spacing w:line="240" w:lineRule="auto"/>
      </w:pPr>
    </w:p>
    <w:p w:rsidR="00B53074" w:rsidRDefault="00B53074" w14:paraId="41073256" w14:textId="77777777">
      <w:pPr>
        <w:overflowPunct w:val="0"/>
        <w:autoSpaceDE w:val="0"/>
        <w:autoSpaceDN w:val="0"/>
        <w:adjustRightInd w:val="0"/>
        <w:jc w:val="center"/>
        <w:textAlignment w:val="baseline"/>
        <w:rPr>
          <w:lang w:val="nl-BE"/>
        </w:rPr>
      </w:pPr>
      <w:r>
        <w:rPr>
          <w:lang w:val="nl-BE"/>
        </w:rPr>
        <w:t>_____________</w:t>
      </w:r>
    </w:p>
    <w:sectPr w:rsidR="00B53074" w:rsidSect="00086E35">
      <w:headerReference w:type="even" r:id="rId66"/>
      <w:headerReference w:type="default" r:id="rId67"/>
      <w:footerReference w:type="even" r:id="rId68"/>
      <w:footerReference w:type="default" r:id="rId69"/>
      <w:headerReference w:type="first" r:id="rId70"/>
      <w:footerReference w:type="first" r:id="rId7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F120" w14:textId="77777777" w:rsidR="00A17906" w:rsidRDefault="00A17906" w:rsidP="00B518C9">
      <w:pPr>
        <w:spacing w:line="240" w:lineRule="auto"/>
      </w:pPr>
      <w:r>
        <w:separator/>
      </w:r>
    </w:p>
  </w:endnote>
  <w:endnote w:type="continuationSeparator" w:id="0">
    <w:p w14:paraId="2A3A5BC4" w14:textId="77777777" w:rsidR="00A17906" w:rsidRDefault="00A17906"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A01506" w:rsidR="00B518C9" w:rsidRPr="00086E35" w:rsidRDefault="00086E35" w:rsidP="00086E35">
    <w:pPr>
      <w:pStyle w:val="Footer"/>
    </w:pPr>
    <w:r>
      <w:t xml:space="preserve">EESC-2025-02211-00-00-TCD-TRA (SL) </w:t>
    </w:r>
    <w:r>
      <w:fldChar w:fldCharType="begin"/>
    </w:r>
    <w:r>
      <w:instrText xml:space="preserve"> PAGE  \* Arabic  \* MERGEFORMAT </w:instrText>
    </w:r>
    <w:r>
      <w:fldChar w:fldCharType="separate"/>
    </w:r>
    <w:r w:rsidR="009A59C4">
      <w:t>1</w:t>
    </w:r>
    <w:r>
      <w:fldChar w:fldCharType="end"/>
    </w:r>
    <w:r>
      <w:t>/</w:t>
    </w:r>
    <w:r w:rsidR="00662932">
      <w:fldChar w:fldCharType="begin"/>
    </w:r>
    <w:r w:rsidR="00662932">
      <w:instrText xml:space="preserve"> NUMPAGES </w:instrText>
    </w:r>
    <w:r w:rsidR="00662932">
      <w:fldChar w:fldCharType="separate"/>
    </w:r>
    <w:r w:rsidR="009A59C4">
      <w:t>1</w:t>
    </w:r>
    <w:r w:rsidR="006629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4C3" w14:textId="77777777" w:rsidR="00086E35" w:rsidRPr="00086E35" w:rsidRDefault="00086E35" w:rsidP="0008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4D2F" w14:textId="64ABECC4" w:rsidR="00086E35" w:rsidRPr="00086E35" w:rsidRDefault="00086E35" w:rsidP="00086E35">
    <w:pPr>
      <w:pStyle w:val="Footer"/>
    </w:pPr>
    <w:r>
      <w:t xml:space="preserve">EESC-2025-02211-00-00-TCD-TRA (SL) </w:t>
    </w:r>
    <w:r>
      <w:fldChar w:fldCharType="begin"/>
    </w:r>
    <w:r>
      <w:instrText xml:space="preserve"> PAGE  \* Arabic  \* MERGEFORMAT </w:instrText>
    </w:r>
    <w:r>
      <w:fldChar w:fldCharType="separate"/>
    </w:r>
    <w:r>
      <w:t>35</w:t>
    </w:r>
    <w:r>
      <w:fldChar w:fldCharType="end"/>
    </w:r>
    <w:r>
      <w:t>/</w:t>
    </w:r>
    <w:r w:rsidR="00662932">
      <w:fldChar w:fldCharType="begin"/>
    </w:r>
    <w:r w:rsidR="00662932">
      <w:instrText xml:space="preserve"> NUMPAGES </w:instrText>
    </w:r>
    <w:r w:rsidR="00662932">
      <w:fldChar w:fldCharType="separate"/>
    </w:r>
    <w:r>
      <w:t>36</w:t>
    </w:r>
    <w:r w:rsidR="0066293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F902" w14:textId="77777777" w:rsidR="00086E35" w:rsidRPr="00086E35" w:rsidRDefault="00086E35" w:rsidP="0008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BB62" w14:textId="77777777" w:rsidR="00A17906" w:rsidRDefault="00A17906" w:rsidP="00B518C9">
      <w:pPr>
        <w:spacing w:line="240" w:lineRule="auto"/>
      </w:pPr>
      <w:r>
        <w:separator/>
      </w:r>
    </w:p>
  </w:footnote>
  <w:footnote w:type="continuationSeparator" w:id="0">
    <w:p w14:paraId="5B3E9E0A" w14:textId="77777777" w:rsidR="00A17906" w:rsidRDefault="00A17906" w:rsidP="00B518C9">
      <w:pPr>
        <w:spacing w:line="240" w:lineRule="auto"/>
      </w:pPr>
      <w:r>
        <w:continuationSeparator/>
      </w:r>
    </w:p>
  </w:footnote>
  <w:footnote w:id="1">
    <w:p w14:paraId="50612138" w14:textId="77777777" w:rsidR="00647A24" w:rsidRPr="00934740" w:rsidRDefault="00647A24" w:rsidP="00647A24">
      <w:pPr>
        <w:pStyle w:val="FootnoteText"/>
        <w:keepLines w:val="0"/>
        <w:suppressAutoHyphens/>
      </w:pPr>
      <w:r w:rsidRPr="00934740">
        <w:rPr>
          <w:rStyle w:val="FootnoteReference"/>
        </w:rPr>
        <w:footnoteRef/>
      </w:r>
      <w:r w:rsidRPr="00934740">
        <w:tab/>
      </w:r>
      <w:hyperlink r:id="rId1" w:history="1">
        <w:r w:rsidRPr="00934740">
          <w:rPr>
            <w:rStyle w:val="Hyperlink"/>
          </w:rPr>
          <w:t>Sklepi Evropskega sveta o evropski obrambi,</w:t>
        </w:r>
      </w:hyperlink>
      <w:r w:rsidRPr="00934740">
        <w:t>, 6. marec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42D" w14:textId="77777777" w:rsidR="00086E35" w:rsidRPr="00086E35" w:rsidRDefault="00086E35" w:rsidP="0008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730" w14:textId="4AFA5AE9" w:rsidR="00086E35" w:rsidRPr="00086E35" w:rsidRDefault="00086E35" w:rsidP="0008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B8F" w14:textId="77777777" w:rsidR="00086E35" w:rsidRPr="00086E35" w:rsidRDefault="00086E35" w:rsidP="0008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804725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B7A0E80"/>
    <w:lvl w:ilvl="0">
      <w:numFmt w:val="decimal"/>
      <w:lvlText w:val="*"/>
      <w:lvlJc w:val="left"/>
    </w:lvl>
  </w:abstractNum>
  <w:abstractNum w:abstractNumId="2" w15:restartNumberingAfterBreak="0">
    <w:nsid w:val="03160F7A"/>
    <w:multiLevelType w:val="hybridMultilevel"/>
    <w:tmpl w:val="CCE04520"/>
    <w:lvl w:ilvl="0" w:tplc="3DC081D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F75DE6"/>
    <w:multiLevelType w:val="hybridMultilevel"/>
    <w:tmpl w:val="082033D4"/>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48E4BEB"/>
    <w:multiLevelType w:val="hybridMultilevel"/>
    <w:tmpl w:val="8B363F14"/>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06C1186"/>
    <w:multiLevelType w:val="hybridMultilevel"/>
    <w:tmpl w:val="D96E0EE6"/>
    <w:lvl w:ilvl="0" w:tplc="3DC081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E4E6F"/>
    <w:multiLevelType w:val="hybridMultilevel"/>
    <w:tmpl w:val="683E6ED6"/>
    <w:lvl w:ilvl="0" w:tplc="3DC081D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AF58C4"/>
    <w:multiLevelType w:val="multilevel"/>
    <w:tmpl w:val="4B72B45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8" w15:restartNumberingAfterBreak="0">
    <w:nsid w:val="2CCC4B3B"/>
    <w:multiLevelType w:val="hybridMultilevel"/>
    <w:tmpl w:val="CE6203D8"/>
    <w:lvl w:ilvl="0" w:tplc="3DC081D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0957E78"/>
    <w:multiLevelType w:val="hybridMultilevel"/>
    <w:tmpl w:val="8104DF3C"/>
    <w:lvl w:ilvl="0" w:tplc="A66ACC12">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7BFC"/>
    <w:multiLevelType w:val="hybridMultilevel"/>
    <w:tmpl w:val="ADDC4BDC"/>
    <w:lvl w:ilvl="0" w:tplc="8C062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966B4"/>
    <w:multiLevelType w:val="hybridMultilevel"/>
    <w:tmpl w:val="A906FFD8"/>
    <w:lvl w:ilvl="0" w:tplc="3DC081D6">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12" w15:restartNumberingAfterBreak="0">
    <w:nsid w:val="38903BA4"/>
    <w:multiLevelType w:val="hybridMultilevel"/>
    <w:tmpl w:val="A86A9684"/>
    <w:lvl w:ilvl="0" w:tplc="3DC081D6">
      <w:start w:val="1"/>
      <w:numFmt w:val="bullet"/>
      <w:lvlText w:val=""/>
      <w:lvlJc w:val="left"/>
      <w:pPr>
        <w:ind w:left="720" w:hanging="360"/>
      </w:pPr>
      <w:rPr>
        <w:rFonts w:ascii="Symbol" w:hAnsi="Symbol" w:hint="default"/>
      </w:rPr>
    </w:lvl>
    <w:lvl w:ilvl="1" w:tplc="3DC081D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77A"/>
    <w:multiLevelType w:val="multilevel"/>
    <w:tmpl w:val="4B72B45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3E4D5E92"/>
    <w:multiLevelType w:val="hybridMultilevel"/>
    <w:tmpl w:val="8F760C88"/>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E9D4F2F"/>
    <w:multiLevelType w:val="hybridMultilevel"/>
    <w:tmpl w:val="00701AEE"/>
    <w:lvl w:ilvl="0" w:tplc="3DC081D6">
      <w:start w:val="1"/>
      <w:numFmt w:val="bullet"/>
      <w:lvlText w:val=""/>
      <w:lvlJc w:val="left"/>
      <w:pPr>
        <w:ind w:left="720" w:hanging="360"/>
      </w:pPr>
      <w:rPr>
        <w:rFonts w:ascii="Symbol" w:hAnsi="Symbol" w:hint="default"/>
      </w:rPr>
    </w:lvl>
    <w:lvl w:ilvl="1" w:tplc="0F7448A4">
      <w:start w:val="1"/>
      <w:numFmt w:val="bullet"/>
      <w:lvlText w:val="o"/>
      <w:lvlJc w:val="left"/>
      <w:pPr>
        <w:ind w:left="1440" w:hanging="360"/>
      </w:pPr>
      <w:rPr>
        <w:rFonts w:ascii="Courier New" w:hAnsi="Courier New" w:hint="default"/>
      </w:rPr>
    </w:lvl>
    <w:lvl w:ilvl="2" w:tplc="3AE6DBEC">
      <w:start w:val="1"/>
      <w:numFmt w:val="bullet"/>
      <w:lvlText w:val=""/>
      <w:lvlJc w:val="left"/>
      <w:pPr>
        <w:ind w:left="2160" w:hanging="360"/>
      </w:pPr>
      <w:rPr>
        <w:rFonts w:ascii="Wingdings" w:hAnsi="Wingdings" w:hint="default"/>
      </w:rPr>
    </w:lvl>
    <w:lvl w:ilvl="3" w:tplc="9B92B288">
      <w:start w:val="1"/>
      <w:numFmt w:val="bullet"/>
      <w:lvlText w:val=""/>
      <w:lvlJc w:val="left"/>
      <w:pPr>
        <w:ind w:left="2880" w:hanging="360"/>
      </w:pPr>
      <w:rPr>
        <w:rFonts w:ascii="Symbol" w:hAnsi="Symbol" w:hint="default"/>
      </w:rPr>
    </w:lvl>
    <w:lvl w:ilvl="4" w:tplc="7A1ABEAC">
      <w:start w:val="1"/>
      <w:numFmt w:val="bullet"/>
      <w:lvlText w:val="o"/>
      <w:lvlJc w:val="left"/>
      <w:pPr>
        <w:ind w:left="3600" w:hanging="360"/>
      </w:pPr>
      <w:rPr>
        <w:rFonts w:ascii="Courier New" w:hAnsi="Courier New" w:hint="default"/>
      </w:rPr>
    </w:lvl>
    <w:lvl w:ilvl="5" w:tplc="402C4702">
      <w:start w:val="1"/>
      <w:numFmt w:val="bullet"/>
      <w:lvlText w:val=""/>
      <w:lvlJc w:val="left"/>
      <w:pPr>
        <w:ind w:left="4320" w:hanging="360"/>
      </w:pPr>
      <w:rPr>
        <w:rFonts w:ascii="Wingdings" w:hAnsi="Wingdings" w:hint="default"/>
      </w:rPr>
    </w:lvl>
    <w:lvl w:ilvl="6" w:tplc="A8D44D0E">
      <w:start w:val="1"/>
      <w:numFmt w:val="bullet"/>
      <w:lvlText w:val=""/>
      <w:lvlJc w:val="left"/>
      <w:pPr>
        <w:ind w:left="5040" w:hanging="360"/>
      </w:pPr>
      <w:rPr>
        <w:rFonts w:ascii="Symbol" w:hAnsi="Symbol" w:hint="default"/>
      </w:rPr>
    </w:lvl>
    <w:lvl w:ilvl="7" w:tplc="A2CAC8F0">
      <w:start w:val="1"/>
      <w:numFmt w:val="bullet"/>
      <w:lvlText w:val="o"/>
      <w:lvlJc w:val="left"/>
      <w:pPr>
        <w:ind w:left="5760" w:hanging="360"/>
      </w:pPr>
      <w:rPr>
        <w:rFonts w:ascii="Courier New" w:hAnsi="Courier New" w:hint="default"/>
      </w:rPr>
    </w:lvl>
    <w:lvl w:ilvl="8" w:tplc="23C47976">
      <w:start w:val="1"/>
      <w:numFmt w:val="bullet"/>
      <w:lvlText w:val=""/>
      <w:lvlJc w:val="left"/>
      <w:pPr>
        <w:ind w:left="6480" w:hanging="360"/>
      </w:pPr>
      <w:rPr>
        <w:rFonts w:ascii="Wingdings" w:hAnsi="Wingdings" w:hint="default"/>
      </w:rPr>
    </w:lvl>
  </w:abstractNum>
  <w:abstractNum w:abstractNumId="16" w15:restartNumberingAfterBreak="0">
    <w:nsid w:val="4BE43639"/>
    <w:multiLevelType w:val="hybridMultilevel"/>
    <w:tmpl w:val="EB8853B8"/>
    <w:lvl w:ilvl="0" w:tplc="89029AA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0127837"/>
    <w:multiLevelType w:val="multilevel"/>
    <w:tmpl w:val="339E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946"/>
    <w:multiLevelType w:val="hybridMultilevel"/>
    <w:tmpl w:val="AF40D834"/>
    <w:lvl w:ilvl="0" w:tplc="8C062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C7D25"/>
    <w:multiLevelType w:val="hybridMultilevel"/>
    <w:tmpl w:val="744C0A60"/>
    <w:lvl w:ilvl="0" w:tplc="3DC08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8006B"/>
    <w:multiLevelType w:val="multilevel"/>
    <w:tmpl w:val="5AE43538"/>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58236F68"/>
    <w:multiLevelType w:val="hybridMultilevel"/>
    <w:tmpl w:val="81B8CD6C"/>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9C40FF"/>
    <w:multiLevelType w:val="hybridMultilevel"/>
    <w:tmpl w:val="54940FB8"/>
    <w:lvl w:ilvl="0" w:tplc="3DC081D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A613C5"/>
    <w:multiLevelType w:val="hybridMultilevel"/>
    <w:tmpl w:val="5DCAA602"/>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0EF6C14"/>
    <w:multiLevelType w:val="hybridMultilevel"/>
    <w:tmpl w:val="081A4C68"/>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3893DA6"/>
    <w:multiLevelType w:val="hybridMultilevel"/>
    <w:tmpl w:val="AD9CB3F8"/>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CF153D"/>
    <w:multiLevelType w:val="hybridMultilevel"/>
    <w:tmpl w:val="FB26A79C"/>
    <w:lvl w:ilvl="0" w:tplc="3DC081D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11452B"/>
    <w:multiLevelType w:val="multilevel"/>
    <w:tmpl w:val="8D046D4E"/>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6F375C6C"/>
    <w:multiLevelType w:val="hybridMultilevel"/>
    <w:tmpl w:val="C24A3E44"/>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185FE5"/>
    <w:multiLevelType w:val="hybridMultilevel"/>
    <w:tmpl w:val="1BF8489C"/>
    <w:lvl w:ilvl="0" w:tplc="3DC081D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9003BC2"/>
    <w:multiLevelType w:val="hybridMultilevel"/>
    <w:tmpl w:val="63AE82DA"/>
    <w:lvl w:ilvl="0" w:tplc="3DC081D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FA665DE"/>
    <w:multiLevelType w:val="hybridMultilevel"/>
    <w:tmpl w:val="A15A8AF8"/>
    <w:lvl w:ilvl="0" w:tplc="3DC08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6"/>
  </w:num>
  <w:num w:numId="4">
    <w:abstractNumId w:val="19"/>
  </w:num>
  <w:num w:numId="5">
    <w:abstractNumId w:val="31"/>
  </w:num>
  <w:num w:numId="6">
    <w:abstractNumId w:val="8"/>
  </w:num>
  <w:num w:numId="7">
    <w:abstractNumId w:val="21"/>
  </w:num>
  <w:num w:numId="8">
    <w:abstractNumId w:val="17"/>
  </w:num>
  <w:num w:numId="9">
    <w:abstractNumId w:val="29"/>
  </w:num>
  <w:num w:numId="10">
    <w:abstractNumId w:val="25"/>
  </w:num>
  <w:num w:numId="11">
    <w:abstractNumId w:val="23"/>
  </w:num>
  <w:num w:numId="12">
    <w:abstractNumId w:val="24"/>
  </w:num>
  <w:num w:numId="13">
    <w:abstractNumId w:val="2"/>
  </w:num>
  <w:num w:numId="14">
    <w:abstractNumId w:val="26"/>
  </w:num>
  <w:num w:numId="15">
    <w:abstractNumId w:val="3"/>
  </w:num>
  <w:num w:numId="16">
    <w:abstractNumId w:val="7"/>
  </w:num>
  <w:num w:numId="17">
    <w:abstractNumId w:val="13"/>
  </w:num>
  <w:num w:numId="18">
    <w:abstractNumId w:val="15"/>
  </w:num>
  <w:num w:numId="19">
    <w:abstractNumId w:val="14"/>
  </w:num>
  <w:num w:numId="20">
    <w:abstractNumId w:val="11"/>
  </w:num>
  <w:num w:numId="21">
    <w:abstractNumId w:val="22"/>
  </w:num>
  <w:num w:numId="22">
    <w:abstractNumId w:val="5"/>
  </w:num>
  <w:num w:numId="23">
    <w:abstractNumId w:val="12"/>
  </w:num>
  <w:num w:numId="24">
    <w:abstractNumId w:val="30"/>
  </w:num>
  <w:num w:numId="25">
    <w:abstractNumId w:val="27"/>
  </w:num>
  <w:num w:numId="26">
    <w:abstractNumId w:val="20"/>
  </w:num>
  <w:num w:numId="27">
    <w:abstractNumId w:val="9"/>
  </w:num>
  <w:num w:numId="28">
    <w:abstractNumId w:val="10"/>
  </w:num>
  <w:num w:numId="29">
    <w:abstractNumId w:val="18"/>
  </w:num>
  <w:num w:numId="30">
    <w:abstractNumId w:val="4"/>
  </w:num>
  <w:num w:numId="31">
    <w:abstractNumId w:val="28"/>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30CB"/>
    <w:rsid w:val="00013E36"/>
    <w:rsid w:val="00023853"/>
    <w:rsid w:val="000417AB"/>
    <w:rsid w:val="00051625"/>
    <w:rsid w:val="00063DFF"/>
    <w:rsid w:val="00084A21"/>
    <w:rsid w:val="0008517E"/>
    <w:rsid w:val="00086E35"/>
    <w:rsid w:val="00096BED"/>
    <w:rsid w:val="000C040B"/>
    <w:rsid w:val="000C3C04"/>
    <w:rsid w:val="000D1800"/>
    <w:rsid w:val="000D394D"/>
    <w:rsid w:val="000E6823"/>
    <w:rsid w:val="000F00DC"/>
    <w:rsid w:val="000F5704"/>
    <w:rsid w:val="0011533E"/>
    <w:rsid w:val="00116D45"/>
    <w:rsid w:val="00121F5D"/>
    <w:rsid w:val="00123B12"/>
    <w:rsid w:val="00150BA4"/>
    <w:rsid w:val="00162A3E"/>
    <w:rsid w:val="00191898"/>
    <w:rsid w:val="00196E1D"/>
    <w:rsid w:val="001B2117"/>
    <w:rsid w:val="001D2CCD"/>
    <w:rsid w:val="001E391D"/>
    <w:rsid w:val="00205F46"/>
    <w:rsid w:val="00222699"/>
    <w:rsid w:val="002410D7"/>
    <w:rsid w:val="00247A6F"/>
    <w:rsid w:val="002604F3"/>
    <w:rsid w:val="00270464"/>
    <w:rsid w:val="002769EF"/>
    <w:rsid w:val="00281901"/>
    <w:rsid w:val="002A204A"/>
    <w:rsid w:val="002A26F0"/>
    <w:rsid w:val="002A2B99"/>
    <w:rsid w:val="002A5636"/>
    <w:rsid w:val="002B42AA"/>
    <w:rsid w:val="002B7981"/>
    <w:rsid w:val="002D2FD2"/>
    <w:rsid w:val="002E45FD"/>
    <w:rsid w:val="00302621"/>
    <w:rsid w:val="003066BE"/>
    <w:rsid w:val="00317F69"/>
    <w:rsid w:val="003227CC"/>
    <w:rsid w:val="00332ABE"/>
    <w:rsid w:val="00333DD5"/>
    <w:rsid w:val="003425F4"/>
    <w:rsid w:val="00353A6B"/>
    <w:rsid w:val="0035596B"/>
    <w:rsid w:val="00373BB1"/>
    <w:rsid w:val="003A7ADB"/>
    <w:rsid w:val="003D3C7E"/>
    <w:rsid w:val="003E3542"/>
    <w:rsid w:val="003F326D"/>
    <w:rsid w:val="003F79EF"/>
    <w:rsid w:val="004024CF"/>
    <w:rsid w:val="0043191A"/>
    <w:rsid w:val="00441B86"/>
    <w:rsid w:val="00447415"/>
    <w:rsid w:val="004556DA"/>
    <w:rsid w:val="004604F4"/>
    <w:rsid w:val="00491CD4"/>
    <w:rsid w:val="004A5CD7"/>
    <w:rsid w:val="004D105B"/>
    <w:rsid w:val="004D7829"/>
    <w:rsid w:val="004D7AC0"/>
    <w:rsid w:val="004E7ED8"/>
    <w:rsid w:val="004F24D4"/>
    <w:rsid w:val="004F5FB2"/>
    <w:rsid w:val="004F6BB0"/>
    <w:rsid w:val="00511220"/>
    <w:rsid w:val="00522C69"/>
    <w:rsid w:val="00532089"/>
    <w:rsid w:val="00533BC5"/>
    <w:rsid w:val="005409C8"/>
    <w:rsid w:val="00540E3F"/>
    <w:rsid w:val="0054246C"/>
    <w:rsid w:val="00544BAB"/>
    <w:rsid w:val="00564BC0"/>
    <w:rsid w:val="00573D4F"/>
    <w:rsid w:val="00577C7B"/>
    <w:rsid w:val="00586B4B"/>
    <w:rsid w:val="00591C74"/>
    <w:rsid w:val="005A0BDA"/>
    <w:rsid w:val="005E7651"/>
    <w:rsid w:val="00603F30"/>
    <w:rsid w:val="00625CA3"/>
    <w:rsid w:val="00626D86"/>
    <w:rsid w:val="00632498"/>
    <w:rsid w:val="00632D4D"/>
    <w:rsid w:val="00641262"/>
    <w:rsid w:val="00641BDF"/>
    <w:rsid w:val="006433AA"/>
    <w:rsid w:val="00647A24"/>
    <w:rsid w:val="00662932"/>
    <w:rsid w:val="00682F1F"/>
    <w:rsid w:val="00687A52"/>
    <w:rsid w:val="00690955"/>
    <w:rsid w:val="006A1800"/>
    <w:rsid w:val="006A699F"/>
    <w:rsid w:val="006D2C8A"/>
    <w:rsid w:val="006D2D64"/>
    <w:rsid w:val="006D3831"/>
    <w:rsid w:val="006D3843"/>
    <w:rsid w:val="00722828"/>
    <w:rsid w:val="00754027"/>
    <w:rsid w:val="007664F1"/>
    <w:rsid w:val="00766B1A"/>
    <w:rsid w:val="00783A2C"/>
    <w:rsid w:val="007C4BA5"/>
    <w:rsid w:val="007D6DA3"/>
    <w:rsid w:val="007E0584"/>
    <w:rsid w:val="007E4689"/>
    <w:rsid w:val="007E7D55"/>
    <w:rsid w:val="007F5784"/>
    <w:rsid w:val="008054B2"/>
    <w:rsid w:val="00812C74"/>
    <w:rsid w:val="00816C30"/>
    <w:rsid w:val="00843940"/>
    <w:rsid w:val="00845F24"/>
    <w:rsid w:val="0088219D"/>
    <w:rsid w:val="008A7881"/>
    <w:rsid w:val="008F5288"/>
    <w:rsid w:val="00901554"/>
    <w:rsid w:val="00904AE5"/>
    <w:rsid w:val="00956A9F"/>
    <w:rsid w:val="0096346D"/>
    <w:rsid w:val="0097187B"/>
    <w:rsid w:val="0097548B"/>
    <w:rsid w:val="00977F90"/>
    <w:rsid w:val="00982A06"/>
    <w:rsid w:val="00987844"/>
    <w:rsid w:val="009A59C4"/>
    <w:rsid w:val="009C6045"/>
    <w:rsid w:val="00A0629C"/>
    <w:rsid w:val="00A17906"/>
    <w:rsid w:val="00A209D1"/>
    <w:rsid w:val="00A20E9D"/>
    <w:rsid w:val="00A21771"/>
    <w:rsid w:val="00A272B2"/>
    <w:rsid w:val="00A37508"/>
    <w:rsid w:val="00A37B74"/>
    <w:rsid w:val="00A41929"/>
    <w:rsid w:val="00A47988"/>
    <w:rsid w:val="00A50553"/>
    <w:rsid w:val="00A5560D"/>
    <w:rsid w:val="00A60D3A"/>
    <w:rsid w:val="00A71A96"/>
    <w:rsid w:val="00A7331B"/>
    <w:rsid w:val="00A92E90"/>
    <w:rsid w:val="00AB2348"/>
    <w:rsid w:val="00AD201B"/>
    <w:rsid w:val="00AF3022"/>
    <w:rsid w:val="00AF59C7"/>
    <w:rsid w:val="00B0747C"/>
    <w:rsid w:val="00B12B02"/>
    <w:rsid w:val="00B203DA"/>
    <w:rsid w:val="00B518C9"/>
    <w:rsid w:val="00B53074"/>
    <w:rsid w:val="00B5758B"/>
    <w:rsid w:val="00B6056A"/>
    <w:rsid w:val="00B80C75"/>
    <w:rsid w:val="00B84BC8"/>
    <w:rsid w:val="00BA5294"/>
    <w:rsid w:val="00BC2C29"/>
    <w:rsid w:val="00BD5229"/>
    <w:rsid w:val="00BE54B3"/>
    <w:rsid w:val="00BF4561"/>
    <w:rsid w:val="00C008B4"/>
    <w:rsid w:val="00C15DF7"/>
    <w:rsid w:val="00C17ABD"/>
    <w:rsid w:val="00C21BCE"/>
    <w:rsid w:val="00C241C5"/>
    <w:rsid w:val="00C26C67"/>
    <w:rsid w:val="00C470BA"/>
    <w:rsid w:val="00C75972"/>
    <w:rsid w:val="00C8022C"/>
    <w:rsid w:val="00C821A5"/>
    <w:rsid w:val="00CB1799"/>
    <w:rsid w:val="00CB5DFF"/>
    <w:rsid w:val="00CB5FF2"/>
    <w:rsid w:val="00CC1EC8"/>
    <w:rsid w:val="00CD1B7F"/>
    <w:rsid w:val="00CF472D"/>
    <w:rsid w:val="00D33617"/>
    <w:rsid w:val="00D43613"/>
    <w:rsid w:val="00D70275"/>
    <w:rsid w:val="00D7076A"/>
    <w:rsid w:val="00D7391E"/>
    <w:rsid w:val="00D81F5E"/>
    <w:rsid w:val="00D92269"/>
    <w:rsid w:val="00D94D34"/>
    <w:rsid w:val="00D96673"/>
    <w:rsid w:val="00DA787C"/>
    <w:rsid w:val="00DC1181"/>
    <w:rsid w:val="00DC6D3C"/>
    <w:rsid w:val="00DD6A8D"/>
    <w:rsid w:val="00DE176A"/>
    <w:rsid w:val="00DE1F66"/>
    <w:rsid w:val="00DE445F"/>
    <w:rsid w:val="00DF2DE9"/>
    <w:rsid w:val="00E007D4"/>
    <w:rsid w:val="00E00A6B"/>
    <w:rsid w:val="00E05051"/>
    <w:rsid w:val="00E34598"/>
    <w:rsid w:val="00E76EC9"/>
    <w:rsid w:val="00E77899"/>
    <w:rsid w:val="00E835E6"/>
    <w:rsid w:val="00EA4BC5"/>
    <w:rsid w:val="00EC3512"/>
    <w:rsid w:val="00EF79D0"/>
    <w:rsid w:val="00F02E15"/>
    <w:rsid w:val="00F0583F"/>
    <w:rsid w:val="00F21014"/>
    <w:rsid w:val="00F83C17"/>
    <w:rsid w:val="00F96D7F"/>
    <w:rsid w:val="00FC456F"/>
    <w:rsid w:val="00FC4E50"/>
    <w:rsid w:val="00FD2AA9"/>
    <w:rsid w:val="00FD3512"/>
    <w:rsid w:val="00FE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F24D4"/>
    <w:rPr>
      <w:rFonts w:ascii="Times New Roman" w:hAnsi="Times New Roman"/>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12B02"/>
    <w:pPr>
      <w:tabs>
        <w:tab w:val="left" w:pos="440"/>
        <w:tab w:val="right" w:leader="dot" w:pos="9063"/>
      </w:tabs>
      <w:spacing w:after="100" w:line="240" w:lineRule="auto"/>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A47988"/>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086E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sl/our-work/opinions-information-reports/opinions/recommendations-organised-civil-society-address-cost-living-crisis" TargetMode="External"/><Relationship Id="rId42" Type="http://schemas.openxmlformats.org/officeDocument/2006/relationships/hyperlink" Target="mailto:Marco.Manfroni@eesc.europa.eu" TargetMode="External"/><Relationship Id="rId47" Type="http://schemas.openxmlformats.org/officeDocument/2006/relationships/hyperlink" Target="https://www.eesc.europa.eu/sl/our-work/opinions-information-reports/opinions/conservation-and-sustainable-use-marine-biological-diversity-areas-beyond-national-jurisdiction-ratification-bbnj" TargetMode="External"/><Relationship Id="rId63" Type="http://schemas.openxmlformats.org/officeDocument/2006/relationships/hyperlink" Target="mailto:Ioannis.Diamantopoulos@eesc.europa.eu" TargetMode="External"/><Relationship Id="rId68" Type="http://schemas.openxmlformats.org/officeDocument/2006/relationships/footer" Target="footer2.xml"/><Relationship Id="rId16" Type="http://schemas.openxmlformats.org/officeDocument/2006/relationships/hyperlink" Target="mailto:Sergio.LorencioMatallana@eesc.europa.eu" TargetMode="External"/><Relationship Id="rId29" Type="http://schemas.openxmlformats.org/officeDocument/2006/relationships/hyperlink" Target="https://www.eesc.europa.eu/sl/our-work/opinions-information-reports/opinions/good-practice-eu-civil-dialogue-light-participatory-processes"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sl/our-work/opinions-information-reports/opinions/role-services-general-interest-sgi-competitiveness-social-cohesion-and-democracy-european-union" TargetMode="External"/><Relationship Id="rId40" Type="http://schemas.openxmlformats.org/officeDocument/2006/relationships/hyperlink" Target="mailto:Jana.Valant@eesc.europa.eu" TargetMode="External"/><Relationship Id="rId45" Type="http://schemas.openxmlformats.org/officeDocument/2006/relationships/hyperlink" Target="https://www.eesc.europa.eu/sl/our-work/opinions-information-reports/opinions/amendment-regulations-concerning-international-fisheries-nafo-sprfmo-iotc-wcpfc-iattc-and-iccat" TargetMode="External"/><Relationship Id="rId53" Type="http://schemas.openxmlformats.org/officeDocument/2006/relationships/hyperlink" Target="mailto:Myrto.Kolyva@eesc.europa.eu" TargetMode="External"/><Relationship Id="rId58" Type="http://schemas.openxmlformats.org/officeDocument/2006/relationships/hyperlink" Target="https://www.eesc.europa.eu/sl/our-work/opinions-information-reports/opinions/addressing-interdependence-between-peace-and-climate-change-need-renewed-global-diplomacy" TargetMode="External"/><Relationship Id="rId66" Type="http://schemas.openxmlformats.org/officeDocument/2006/relationships/header" Target="header1.xml"/><Relationship Id="rId74"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hyperlink" Target="mailto:Marie-Laurence.Drillon@eesc.europa.eu" TargetMode="External"/><Relationship Id="rId19" Type="http://schemas.openxmlformats.org/officeDocument/2006/relationships/hyperlink" Target="https://www.eesc.europa.eu/sl/our-work/opinions-information-reports/opinions/role-trade-unions-improving-productivity" TargetMode="External"/><Relationship Id="rId14" Type="http://schemas.openxmlformats.org/officeDocument/2006/relationships/footer" Target="footer1.xml"/><Relationship Id="rId22" Type="http://schemas.openxmlformats.org/officeDocument/2006/relationships/hyperlink" Target="mailto:Krisztina.PerlakyToth@eesc.europa.eu" TargetMode="External"/><Relationship Id="rId27" Type="http://schemas.openxmlformats.org/officeDocument/2006/relationships/hyperlink" Target="https://www.eesc.europa.eu/sl/our-work/opinions-information-reports/opinions/tackling-inequalities-peoples-access-healthcare" TargetMode="External"/><Relationship Id="rId30" Type="http://schemas.openxmlformats.org/officeDocument/2006/relationships/hyperlink" Target="mailto:June.Bedaton@eesc.europa.eu" TargetMode="External"/><Relationship Id="rId35" Type="http://schemas.openxmlformats.org/officeDocument/2006/relationships/hyperlink" Target="https://www.eesc.europa.eu/sl/our-work/opinions-information-reports/opinions/union-skills" TargetMode="External"/><Relationship Id="rId43" Type="http://schemas.openxmlformats.org/officeDocument/2006/relationships/hyperlink" Target="https://www.eesc.europa.eu/sl/our-work/opinions-information-reports/opinions/how-consider-value-chains-policymaking" TargetMode="External"/><Relationship Id="rId48" Type="http://schemas.openxmlformats.org/officeDocument/2006/relationships/hyperlink" Target="mailto:Arturo.Iniguez@eesc.europa.eu" TargetMode="External"/><Relationship Id="rId56" Type="http://schemas.openxmlformats.org/officeDocument/2006/relationships/hyperlink" Target="https://www.eesc.europa.eu/sl/our-work/opinions-information-reports/opinions/importance-institutionalizing-civic-and-social-dialogue-eu-candidate-and-partner-countries" TargetMode="External"/><Relationship Id="rId64" Type="http://schemas.openxmlformats.org/officeDocument/2006/relationships/hyperlink" Target="https://www.eesc.europa.eu/sl/our-work/opinions-information-reports/opinions/security-action-europe-safe-through-reinforcement-european-defence-industry-instrument" TargetMode="External"/><Relationship Id="rId69" Type="http://schemas.openxmlformats.org/officeDocument/2006/relationships/footer" Target="footer3.xml"/><Relationship Id="rId77"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hyperlink" Target="https://www.eesc.europa.eu/sl/our-work/opinions-information-reports/opinions/eu-wine-policy-package" TargetMode="External"/><Relationship Id="rId72" Type="http://schemas.openxmlformats.org/officeDocument/2006/relationships/fontTable" Target="fontTable.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hyperlink" Target="https://www.eesc.europa.eu/sl/our-work/opinions-information-reports/opinions/economic-impact-implementation-eu-emissions-trading-system-ets" TargetMode="External"/><Relationship Id="rId25" Type="http://schemas.openxmlformats.org/officeDocument/2006/relationships/hyperlink" Target="https://www.eesc.europa.eu/sl/our-work/opinions-information-reports/opinions/financial-literacy-and-education-europeans-0" TargetMode="External"/><Relationship Id="rId33" Type="http://schemas.openxmlformats.org/officeDocument/2006/relationships/hyperlink" Target="https://www.eesc.europa.eu/sl/our-work/opinions-information-reports/opinions/eu-strategy-support-protect-and-empower-civil-society"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Marie-Laurence.Drillon@eesc.europa.eu" TargetMode="External"/><Relationship Id="rId67" Type="http://schemas.openxmlformats.org/officeDocument/2006/relationships/header" Target="header2.xml"/><Relationship Id="rId20" Type="http://schemas.openxmlformats.org/officeDocument/2006/relationships/hyperlink" Target="mailto:Georgios.Meleas@eesc.europa.eu" TargetMode="External"/><Relationship Id="rId41" Type="http://schemas.openxmlformats.org/officeDocument/2006/relationships/hyperlink" Target="https://www.eesc.europa.eu/sl/our-work/opinions-information-reports/opinions/regulatory-simplification-use-digital-tools-better-law-making" TargetMode="External"/><Relationship Id="rId54" Type="http://schemas.openxmlformats.org/officeDocument/2006/relationships/hyperlink" Target="https://www.eesc.europa.eu/sl/our-work/opinions-information-reports/opinions/looking-future-eu-uk-relations-2026-review-trade-and-cooperation-agreement-tca-civil-society-perspective" TargetMode="External"/><Relationship Id="rId62" Type="http://schemas.openxmlformats.org/officeDocument/2006/relationships/hyperlink" Target="https://www.eesc.europa.eu/sl/our-work/opinions-information-reports/opinions/automotive-industry-action-plan" TargetMode="External"/><Relationship Id="rId70" Type="http://schemas.openxmlformats.org/officeDocument/2006/relationships/header" Target="header3.xml"/><Relationship Id="rId75"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yperlink" Target="https://www.eesc.europa.eu/sl/our-work/opinions-information-reports/opinions/communication-savings-and-investments-union" TargetMode="External"/><Relationship Id="rId23" Type="http://schemas.openxmlformats.org/officeDocument/2006/relationships/hyperlink" Target="https://www.eesc.europa.eu/sl/our-work/opinions-information-reports/opinions/affordable-housing-cohesion-policy-urban-agenda-and-civil-society" TargetMode="External"/><Relationship Id="rId28" Type="http://schemas.openxmlformats.org/officeDocument/2006/relationships/hyperlink" Target="mailto:Valeria.Atzori@eesc.europa.eu" TargetMode="External"/><Relationship Id="rId36" Type="http://schemas.openxmlformats.org/officeDocument/2006/relationships/hyperlink" Target="mailto:Ana.Dumitrache@eesc.europa.eu" TargetMode="External"/><Relationship Id="rId49" Type="http://schemas.openxmlformats.org/officeDocument/2006/relationships/hyperlink" Target="https://www.eesc.europa.eu/sl/our-work/opinions-information-reports/opinions/towards-2030-assessment-key-environmental-actions-be-included-annex-8th-environmental-action-programme-better-anchor" TargetMode="External"/><Relationship Id="rId57" Type="http://schemas.openxmlformats.org/officeDocument/2006/relationships/hyperlink" Target="mailto:Katarina.Albrechtova@eesc.europa.eu" TargetMode="External"/><Relationship Id="rId10" Type="http://schemas.openxmlformats.org/officeDocument/2006/relationships/endnotes" Target="endnotes.xml"/><Relationship Id="rId31" Type="http://schemas.openxmlformats.org/officeDocument/2006/relationships/hyperlink" Target="https://www.eesc.europa.eu/sl/our-work/opinions-information-reports/opinions/eu-anti-poverty-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Gaizka.MaloElcoro-Iribe@eesc.europa.eu" TargetMode="External"/><Relationship Id="rId60" Type="http://schemas.openxmlformats.org/officeDocument/2006/relationships/hyperlink" Target="https://www.eesc.europa.eu/sl/our-work/opinions-information-reports/opinions/joint-white-paper-european-defence-readiness-2030" TargetMode="External"/><Relationship Id="rId65" Type="http://schemas.openxmlformats.org/officeDocument/2006/relationships/hyperlink" Target="mailto:Ioannis.Diamantopoulos@eesc.europa.eu" TargetMode="External"/><Relationship Id="rId73" Type="http://schemas.openxmlformats.org/officeDocument/2006/relationships/theme" Target="theme/theme1.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39" Type="http://schemas.openxmlformats.org/officeDocument/2006/relationships/hyperlink" Target="https://www.eesc.europa.eu/sl/our-work/opinions-information-reports/opinions/era-act-unlocking-fifth-freedom" TargetMode="External"/><Relationship Id="rId34" Type="http://schemas.openxmlformats.org/officeDocument/2006/relationships/hyperlink" Target="mailto:June.Bedaton@eesc.europa.eu" TargetMode="External"/><Relationship Id="rId50" Type="http://schemas.openxmlformats.org/officeDocument/2006/relationships/hyperlink" Target="mailto:Nicolas.Stenger@eesc.europa.eu" TargetMode="External"/><Relationship Id="rId55" Type="http://schemas.openxmlformats.org/officeDocument/2006/relationships/hyperlink" Target="mailto:Marco.Ristori@eesc.europa.eu" TargetMode="External"/><Relationship Id="rId76" Type="http://schemas.openxmlformats.org/officeDocument/2006/relationships/customXml" Target="../customXml/item3.xml"/><Relationship Id="rId7" Type="http://schemas.openxmlformats.org/officeDocument/2006/relationships/settings" Target="settings.xml"/><Relationship Id="rId71"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SL/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A6WAAD5KZT2Q-235352946-2265</_dlc_DocId>
    <_dlc_DocIdUrl xmlns="1a33af13-4045-4f88-9d7b-618e30f79918">
      <Url>http://dm/eesc/2025/_layouts/15/DocIdRedir.aspx?ID=A6WAAD5KZT2Q-235352946-2265</Url>
      <Description>A6WAAD5KZT2Q-235352946-2265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2025-07-29T12:00:00+00:00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Sinko Borut</DisplayName>
        <AccountId>1493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ADBE87B0-F5B3-435B-B9CC-327E0C5ADCEC}"/>
</file>

<file path=customXml/itemProps2.xml><?xml version="1.0" encoding="utf-8"?>
<ds:datastoreItem xmlns:ds="http://schemas.openxmlformats.org/officeDocument/2006/customXml" ds:itemID="{14C57630-BBD2-474A-8776-A4285856F3A8}"/>
</file>

<file path=customXml/itemProps3.xml><?xml version="1.0" encoding="utf-8"?>
<ds:datastoreItem xmlns:ds="http://schemas.openxmlformats.org/officeDocument/2006/customXml" ds:itemID="{C7C137DA-10BD-4C06-92A2-C5D9F82E9308}"/>
</file>

<file path=customXml/itemProps4.xml><?xml version="1.0" encoding="utf-8"?>
<ds:datastoreItem xmlns:ds="http://schemas.openxmlformats.org/officeDocument/2006/customXml" ds:itemID="{1C9EB68E-40D1-4B33-BC01-C23E93DB7218}"/>
</file>

<file path=docProps/app.xml><?xml version="1.0" encoding="utf-8"?>
<Properties xmlns="http://schemas.openxmlformats.org/officeDocument/2006/extended-properties" xmlns:vt="http://schemas.openxmlformats.org/officeDocument/2006/docPropsVTypes">
  <Template>Normal.dotm</Template>
  <TotalTime>12</TotalTime>
  <Pages>30</Pages>
  <Words>10140</Words>
  <Characters>57804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- 598. plenarno zasedanje - julij 2025</dc:title>
  <dc:subject>TCD</dc:subject>
  <dc:creator>Nieddu Emma</dc:creator>
  <cp:keywords>EESC-2025-02211-00-00-TCD-TRA-EN</cp:keywords>
  <dc:description>Rapporteur:  - Original language: EN - Date of document: 29/07/2025 - Date of meeting: 30/17/2025 14:30 - External documents:  - Administrator: MME TAMASAUSKIENE Julija</dc:description>
  <cp:lastModifiedBy>Sinko Borut</cp:lastModifiedBy>
  <cp:revision>10</cp:revision>
  <dcterms:created xsi:type="dcterms:W3CDTF">2025-07-28T13:26:00Z</dcterms:created>
  <dcterms:modified xsi:type="dcterms:W3CDTF">2025-07-29T14:58:00Z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24/07/2025, 02/05/2022, 02/05/2022, 28/06/2021</vt:lpwstr>
  </property>
  <property fmtid="{D5CDD505-2E9C-101B-9397-08002B2CF9AE}" pid="4" name="Pref_Time">
    <vt:lpwstr>14:55:27, 12:28:29, 12:25:37, 08:41:48</vt:lpwstr>
  </property>
  <property fmtid="{D5CDD505-2E9C-101B-9397-08002B2CF9AE}" pid="5" name="Pref_User">
    <vt:lpwstr>amett, enied, enied, enied</vt:lpwstr>
  </property>
  <property fmtid="{D5CDD505-2E9C-101B-9397-08002B2CF9AE}" pid="6" name="Pref_FileName">
    <vt:lpwstr>EESC-2025-02211-00-00-TCD-ORI.docx,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a8e4c1d0-77a9-42d0-82ef-d5723a7d65b0</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31;#SL|98a412ae-eb01-49e9-ae3d-585a81724cfc</vt:lpwstr>
  </property>
  <property fmtid="{D5CDD505-2E9C-101B-9397-08002B2CF9AE}" pid="38" name="_docset_NoMedatataSyncRequired">
    <vt:lpwstr>False</vt:lpwstr>
  </property>
</Properties>
</file>