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7AC0" w:rsidP="00D94D34" w:rsidRDefault="00A85569" w14:paraId="4982DD4D" w14:textId="41651527">
      <w:pPr>
        <w:jc w:val="center"/>
      </w:pPr>
      <w:r>
        <w:rPr>
          <w:noProof/>
        </w:rPr>
        <w:drawing>
          <wp:inline distT="0" distB="0" distL="0" distR="0" wp14:anchorId="59602B1F" wp14:editId="016601F0">
            <wp:extent cx="1792605" cy="1239520"/>
            <wp:effectExtent l="0" t="0" r="0" b="0"/>
            <wp:docPr id="1" name="Picture 1" title="EESCLogo_H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title="EESCLogo_HR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605" cy="123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7AC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18816" behindDoc="1" locked="0" layoutInCell="0" allowOverlap="1" wp14:editId="5DE93F27" wp14:anchorId="4982DE48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4D7AC0" w:rsidP="004D7AC0" w:rsidRDefault="004D7AC0" w14:paraId="4982DE54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982DE48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9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">
                <v:textbox>
                  <w:txbxContent>
                    <w:p w:rsidRPr="00260E65" w:rsidR="004D7AC0" w:rsidP="004D7AC0" w:rsidRDefault="004D7AC0" w14:paraId="4982DE54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>HR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D7AC0" w:rsidP="00D94D34" w:rsidRDefault="004D7AC0" w14:paraId="4982DD4E" w14:textId="77777777"/>
    <w:p w:rsidR="004D7AC0" w:rsidP="00D94D34" w:rsidRDefault="004D7AC0" w14:paraId="4982DD4F" w14:textId="124A76DC">
      <w:pPr>
        <w:jc w:val="right"/>
      </w:pPr>
      <w:r>
        <w:t>Bruxelles, 8. kolovoza 2025.</w:t>
      </w:r>
    </w:p>
    <w:p w:rsidR="004D7AC0" w:rsidP="00D94D34" w:rsidRDefault="004D7AC0" w14:paraId="4982DD50" w14:textId="77777777"/>
    <w:p w:rsidR="004D7AC0" w:rsidP="00D94D34" w:rsidRDefault="004D7AC0" w14:paraId="4982DD51" w14:textId="77777777"/>
    <w:p w:rsidR="004D7AC0" w:rsidP="00D94D34" w:rsidRDefault="004D7AC0" w14:paraId="4982DD52" w14:textId="77777777"/>
    <w:tbl>
      <w:tblPr>
        <w:tblW w:w="0" w:type="auto"/>
        <w:tblLook w:val="04A0" w:firstRow="1" w:lastRow="0" w:firstColumn="1" w:lastColumn="0" w:noHBand="0" w:noVBand="1"/>
      </w:tblPr>
      <w:tblGrid>
        <w:gridCol w:w="9289"/>
      </w:tblGrid>
      <w:tr w:rsidR="004D7AC0" w:rsidTr="00600C84" w14:paraId="4982DD59" w14:textId="77777777">
        <w:tc>
          <w:tcPr>
            <w:tcW w:w="9289" w:type="dxa"/>
            <w:tcBorders>
              <w:bottom w:val="double" w:color="auto" w:sz="4" w:space="0"/>
            </w:tcBorders>
          </w:tcPr>
          <w:p w:rsidRPr="000130CB" w:rsidR="003066BE" w:rsidP="00D94D34" w:rsidRDefault="00A47988" w14:paraId="4982DD53" w14:textId="4DBE8593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</w:rPr>
              <w:t>598. PLENARNO ZASJEDANJE</w:t>
            </w:r>
          </w:p>
          <w:p w:rsidRPr="000130CB" w:rsidR="003066BE" w:rsidP="00D94D34" w:rsidRDefault="003066BE" w14:paraId="4982DD54" w14:textId="77777777">
            <w:pPr>
              <w:snapToGrid w:val="0"/>
              <w:jc w:val="center"/>
              <w:rPr>
                <w:b/>
                <w:sz w:val="32"/>
                <w:szCs w:val="32"/>
              </w:rPr>
            </w:pPr>
          </w:p>
          <w:p w:rsidRPr="000130CB" w:rsidR="003066BE" w:rsidP="00D94D34" w:rsidRDefault="00A37508" w14:paraId="4982DD55" w14:textId="21174653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</w:rPr>
              <w:t>16. i 17. srpnja 2025.</w:t>
            </w:r>
          </w:p>
          <w:p w:rsidRPr="000130CB" w:rsidR="003066BE" w:rsidP="00D94D34" w:rsidRDefault="003066BE" w14:paraId="4982DD56" w14:textId="77777777">
            <w:pPr>
              <w:snapToGrid w:val="0"/>
              <w:jc w:val="center"/>
              <w:rPr>
                <w:b/>
                <w:sz w:val="32"/>
                <w:szCs w:val="32"/>
              </w:rPr>
            </w:pPr>
          </w:p>
          <w:p w:rsidRPr="000130CB" w:rsidR="004D7AC0" w:rsidP="00D94D34" w:rsidRDefault="00754027" w14:paraId="4982DD57" w14:textId="5A35E792">
            <w:pPr>
              <w:snapToGrid w:val="0"/>
              <w:jc w:val="center"/>
              <w:rPr>
                <w:rFonts w:eastAsia="MS Mincho"/>
                <w:b/>
                <w:sz w:val="32"/>
                <w:szCs w:val="32"/>
              </w:rPr>
            </w:pPr>
            <w:r>
              <w:rPr>
                <w:b/>
                <w:sz w:val="32"/>
              </w:rPr>
              <w:t>SAŽETAK USVOJENIH MIŠLJENJA, REZOLUCIJA I INFORMATIVNIH/EVALUACIJSKIH IZVJEŠĆA</w:t>
            </w:r>
          </w:p>
          <w:p w:rsidRPr="000130CB" w:rsidR="004D7AC0" w:rsidP="00D94D34" w:rsidRDefault="004D7AC0" w14:paraId="4982DD58" w14:textId="77777777">
            <w:pPr>
              <w:snapToGrid w:val="0"/>
            </w:pPr>
          </w:p>
        </w:tc>
      </w:tr>
      <w:tr w:rsidR="004D7AC0" w:rsidTr="00600C84" w14:paraId="4982DD5F" w14:textId="77777777">
        <w:tc>
          <w:tcPr>
            <w:tcW w:w="928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81153B" w:rsidR="004D7AC0" w:rsidP="00D94D34" w:rsidRDefault="004D7AC0" w14:paraId="4982DD5A" w14:textId="0C0FF99D">
            <w:pPr>
              <w:snapToGrid w:val="0"/>
              <w:jc w:val="center"/>
            </w:pPr>
            <w:r>
              <w:t>Ovaj dokument dostupan je na svim službenim jezicima Europske unije</w:t>
            </w:r>
            <w:r>
              <w:br/>
              <w:t>na internetskim stranicama EGSO-a:</w:t>
            </w:r>
            <w:r>
              <w:br/>
            </w:r>
            <w:r>
              <w:br/>
            </w:r>
            <w:hyperlink w:history="1" r:id="rId12">
              <w:r>
                <w:rPr>
                  <w:rStyle w:val="Hyperlink"/>
                </w:rPr>
                <w:t>https://www.eesc.europa.eu/hr/our-work/opinions-information-reports/plenary-session-summaries</w:t>
              </w:r>
            </w:hyperlink>
          </w:p>
          <w:p w:rsidRPr="0081153B" w:rsidR="004D7AC0" w:rsidP="00D94D34" w:rsidRDefault="004D7AC0" w14:paraId="4982DD5B" w14:textId="77777777">
            <w:pPr>
              <w:snapToGrid w:val="0"/>
              <w:jc w:val="center"/>
            </w:pPr>
          </w:p>
          <w:p w:rsidRPr="0081153B" w:rsidR="004D7AC0" w:rsidP="00D94D34" w:rsidRDefault="004D7AC0" w14:paraId="4982DD5C" w14:textId="77777777">
            <w:pPr>
              <w:snapToGrid w:val="0"/>
              <w:jc w:val="center"/>
              <w:rPr>
                <w:rFonts w:eastAsia="SimSun"/>
              </w:rPr>
            </w:pPr>
          </w:p>
          <w:p w:rsidRPr="00044561" w:rsidR="004D7AC0" w:rsidP="00D94D34" w:rsidRDefault="004D7AC0" w14:paraId="4982DD5D" w14:textId="77777777">
            <w:pPr>
              <w:snapToGrid w:val="0"/>
              <w:jc w:val="center"/>
            </w:pPr>
            <w:r>
              <w:t>Navedenim mišljenjima možete pristupiti na internetu putem tražilice EGSO-a:</w:t>
            </w:r>
            <w:r>
              <w:br/>
            </w:r>
            <w:r>
              <w:br/>
            </w:r>
            <w:hyperlink w:history="1" r:id="rId13">
              <w:r>
                <w:rPr>
                  <w:rStyle w:val="Hyperlink"/>
                </w:rPr>
                <w:t>https://dmsearch.eesc.europa.eu/search/opinion</w:t>
              </w:r>
            </w:hyperlink>
          </w:p>
          <w:p w:rsidRPr="00044561" w:rsidR="004D7AC0" w:rsidP="00D94D34" w:rsidRDefault="004D7AC0" w14:paraId="4982DD5E" w14:textId="77777777">
            <w:pPr>
              <w:snapToGrid w:val="0"/>
              <w:jc w:val="center"/>
            </w:pPr>
          </w:p>
        </w:tc>
      </w:tr>
    </w:tbl>
    <w:p w:rsidR="004D7AC0" w:rsidP="00D94D34" w:rsidRDefault="004D7AC0" w14:paraId="4982DD60" w14:textId="77777777"/>
    <w:p w:rsidR="004D7AC0" w:rsidP="00D94D34" w:rsidRDefault="004D7AC0" w14:paraId="4982DD61" w14:textId="77777777"/>
    <w:p w:rsidR="004D7AC0" w:rsidP="00D94D34" w:rsidRDefault="004D7AC0" w14:paraId="4982DD62" w14:textId="77777777">
      <w:pPr>
        <w:sectPr w:rsidR="004D7AC0" w:rsidSect="00086E35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/>
          <w:pgMar w:top="1417" w:right="1417" w:bottom="1417" w:left="1417" w:header="709" w:footer="709" w:gutter="0"/>
          <w:pgNumType w:start="1"/>
          <w:cols w:space="708"/>
          <w:docGrid w:linePitch="360"/>
        </w:sectPr>
      </w:pPr>
    </w:p>
    <w:p w:rsidRPr="00A81AFE" w:rsidR="004D7AC0" w:rsidP="00D94D34" w:rsidRDefault="004D7AC0" w14:paraId="4982DD63" w14:textId="77777777">
      <w:pPr>
        <w:rPr>
          <w:b/>
        </w:rPr>
      </w:pPr>
      <w:r>
        <w:rPr>
          <w:b/>
        </w:rPr>
        <w:lastRenderedPageBreak/>
        <w:t>Sadržaj:</w:t>
      </w:r>
    </w:p>
    <w:sdt>
      <w:sdtPr>
        <w:rPr>
          <w:rFonts w:ascii="Times New Roman" w:hAnsi="Times New Roman" w:eastAsia="Times New Roman" w:cs="Times New Roman"/>
          <w:color w:val="auto"/>
          <w:sz w:val="22"/>
          <w:szCs w:val="22"/>
        </w:rPr>
        <w:id w:val="-1700747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Pr="00A81AFE" w:rsidR="004D7AC0" w:rsidP="00D94D34" w:rsidRDefault="004D7AC0" w14:paraId="4982DD64" w14:textId="77777777">
          <w:pPr>
            <w:pStyle w:val="TOCHeading"/>
            <w:spacing w:before="0" w:line="288" w:lineRule="auto"/>
            <w:rPr>
              <w:rFonts w:ascii="Times New Roman" w:hAnsi="Times New Roman" w:cs="Times New Roman"/>
              <w:color w:val="auto"/>
              <w:sz w:val="22"/>
              <w:szCs w:val="22"/>
            </w:rPr>
          </w:pPr>
        </w:p>
        <w:p w:rsidR="00AA7628" w:rsidRDefault="004D7AC0" w14:paraId="226E2A63" w14:textId="37D94C14">
          <w:pPr>
            <w:pStyle w:val="TOC1"/>
            <w:tabs>
              <w:tab w:val="left" w:pos="440"/>
              <w:tab w:val="right" w:leader="dot" w:pos="9063"/>
            </w:tabs>
            <w:rPr>
              <w:rFonts w:asciiTheme="minorHAnsi" w:hAnsiTheme="minorHAnsi" w:eastAsiaTheme="minorEastAsia" w:cstheme="minorBidi"/>
              <w:noProof/>
              <w:lang w:val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history="1" w:anchor="_Toc205373404">
            <w:r w:rsidRPr="00203D94" w:rsidR="00AA7628">
              <w:rPr>
                <w:rStyle w:val="Hyperlink"/>
                <w:bCs/>
                <w:noProof/>
              </w:rPr>
              <w:t>1.</w:t>
            </w:r>
            <w:r w:rsidR="00AA7628">
              <w:rPr>
                <w:rFonts w:asciiTheme="minorHAnsi" w:hAnsiTheme="minorHAnsi" w:eastAsiaTheme="minorEastAsia" w:cstheme="minorBidi"/>
                <w:noProof/>
                <w:lang w:val="en-US"/>
              </w:rPr>
              <w:tab/>
            </w:r>
            <w:r w:rsidRPr="00203D94" w:rsidR="00AA7628">
              <w:rPr>
                <w:rStyle w:val="Hyperlink"/>
                <w:b/>
                <w:noProof/>
              </w:rPr>
              <w:t>STRUČNA SKUPINA ZA EKONOMSKU I MONETARNU UNIJU TE EKONOMSKU I SOCIJALNU KOHEZIJU</w:t>
            </w:r>
            <w:r w:rsidR="00AA7628">
              <w:rPr>
                <w:noProof/>
                <w:webHidden/>
              </w:rPr>
              <w:tab/>
            </w:r>
            <w:r w:rsidR="00AA7628">
              <w:rPr>
                <w:noProof/>
                <w:webHidden/>
              </w:rPr>
              <w:fldChar w:fldCharType="begin"/>
            </w:r>
            <w:r w:rsidR="00AA7628">
              <w:rPr>
                <w:noProof/>
                <w:webHidden/>
              </w:rPr>
              <w:instrText xml:space="preserve"> PAGEREF _Toc205373404 \h </w:instrText>
            </w:r>
            <w:r w:rsidR="00AA7628">
              <w:rPr>
                <w:noProof/>
                <w:webHidden/>
              </w:rPr>
            </w:r>
            <w:r w:rsidR="00AA7628">
              <w:rPr>
                <w:noProof/>
                <w:webHidden/>
              </w:rPr>
              <w:fldChar w:fldCharType="separate"/>
            </w:r>
            <w:r w:rsidR="00AA7628">
              <w:rPr>
                <w:noProof/>
                <w:webHidden/>
              </w:rPr>
              <w:t>3</w:t>
            </w:r>
            <w:r w:rsidR="00AA7628">
              <w:rPr>
                <w:noProof/>
                <w:webHidden/>
              </w:rPr>
              <w:fldChar w:fldCharType="end"/>
            </w:r>
          </w:hyperlink>
        </w:p>
        <w:p w:rsidR="00AA7628" w:rsidRDefault="00AA7628" w14:paraId="775CD3C1" w14:textId="5E7DF39B">
          <w:pPr>
            <w:pStyle w:val="TOC1"/>
            <w:tabs>
              <w:tab w:val="left" w:pos="440"/>
              <w:tab w:val="right" w:leader="dot" w:pos="9063"/>
            </w:tabs>
            <w:rPr>
              <w:rFonts w:asciiTheme="minorHAnsi" w:hAnsiTheme="minorHAnsi" w:eastAsiaTheme="minorEastAsia" w:cstheme="minorBidi"/>
              <w:noProof/>
              <w:lang w:val="en-US"/>
            </w:rPr>
          </w:pPr>
          <w:hyperlink w:history="1" w:anchor="_Toc205373405">
            <w:r w:rsidRPr="00203D94">
              <w:rPr>
                <w:rStyle w:val="Hyperlink"/>
                <w:bCs/>
                <w:noProof/>
              </w:rPr>
              <w:t>2.</w:t>
            </w:r>
            <w:r>
              <w:rPr>
                <w:rFonts w:asciiTheme="minorHAnsi" w:hAnsiTheme="minorHAnsi" w:eastAsiaTheme="minorEastAsia" w:cstheme="minorBidi"/>
                <w:noProof/>
                <w:lang w:val="en-US"/>
              </w:rPr>
              <w:tab/>
            </w:r>
            <w:r w:rsidRPr="00203D94">
              <w:rPr>
                <w:rStyle w:val="Hyperlink"/>
                <w:b/>
                <w:noProof/>
              </w:rPr>
              <w:t>STRUČNA SKUPINA ZA ZAPOŠLJAVANJE, SOCIJALNA PITANJA I GRAĐANSTVO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_Toc205373405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A7628" w:rsidRDefault="00AA7628" w14:paraId="3F34915E" w14:textId="4A5BE34D">
          <w:pPr>
            <w:pStyle w:val="TOC1"/>
            <w:tabs>
              <w:tab w:val="left" w:pos="440"/>
              <w:tab w:val="right" w:leader="dot" w:pos="9063"/>
            </w:tabs>
            <w:rPr>
              <w:rFonts w:asciiTheme="minorHAnsi" w:hAnsiTheme="minorHAnsi" w:eastAsiaTheme="minorEastAsia" w:cstheme="minorBidi"/>
              <w:noProof/>
              <w:lang w:val="en-US"/>
            </w:rPr>
          </w:pPr>
          <w:hyperlink w:history="1" w:anchor="_Toc205373406">
            <w:r w:rsidRPr="00203D94">
              <w:rPr>
                <w:rStyle w:val="Hyperlink"/>
                <w:bCs/>
                <w:noProof/>
              </w:rPr>
              <w:t>3.</w:t>
            </w:r>
            <w:r>
              <w:rPr>
                <w:rFonts w:asciiTheme="minorHAnsi" w:hAnsiTheme="minorHAnsi" w:eastAsiaTheme="minorEastAsia" w:cstheme="minorBidi"/>
                <w:noProof/>
                <w:lang w:val="en-US"/>
              </w:rPr>
              <w:tab/>
            </w:r>
            <w:r w:rsidRPr="00203D94">
              <w:rPr>
                <w:rStyle w:val="Hyperlink"/>
                <w:b/>
                <w:noProof/>
              </w:rPr>
              <w:t>STRUČNA SKUPINA ZA PROMET, ENERGIJU, INFRASTRUKTURU I INFORMACIJSKO DRUŠTVO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_Toc205373406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A7628" w:rsidRDefault="00AA7628" w14:paraId="5EB99F89" w14:textId="52D67265">
          <w:pPr>
            <w:pStyle w:val="TOC1"/>
            <w:tabs>
              <w:tab w:val="left" w:pos="440"/>
              <w:tab w:val="right" w:leader="dot" w:pos="9063"/>
            </w:tabs>
            <w:rPr>
              <w:rFonts w:asciiTheme="minorHAnsi" w:hAnsiTheme="minorHAnsi" w:eastAsiaTheme="minorEastAsia" w:cstheme="minorBidi"/>
              <w:noProof/>
              <w:lang w:val="en-US"/>
            </w:rPr>
          </w:pPr>
          <w:hyperlink w:history="1" w:anchor="_Toc205373407">
            <w:r w:rsidRPr="00203D94">
              <w:rPr>
                <w:rStyle w:val="Hyperlink"/>
                <w:bCs/>
                <w:noProof/>
              </w:rPr>
              <w:t>4.</w:t>
            </w:r>
            <w:r>
              <w:rPr>
                <w:rFonts w:asciiTheme="minorHAnsi" w:hAnsiTheme="minorHAnsi" w:eastAsiaTheme="minorEastAsia" w:cstheme="minorBidi"/>
                <w:noProof/>
                <w:lang w:val="en-US"/>
              </w:rPr>
              <w:tab/>
            </w:r>
            <w:r w:rsidRPr="00203D94">
              <w:rPr>
                <w:rStyle w:val="Hyperlink"/>
                <w:b/>
                <w:noProof/>
              </w:rPr>
              <w:t>JEDINSTVENO TRŽIŠTE, PROIZVODNJA I POTROŠNJA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_Toc205373407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A7628" w:rsidRDefault="00AA7628" w14:paraId="122A2330" w14:textId="770E76AE">
          <w:pPr>
            <w:pStyle w:val="TOC1"/>
            <w:tabs>
              <w:tab w:val="left" w:pos="440"/>
              <w:tab w:val="right" w:leader="dot" w:pos="9063"/>
            </w:tabs>
            <w:rPr>
              <w:rFonts w:asciiTheme="minorHAnsi" w:hAnsiTheme="minorHAnsi" w:eastAsiaTheme="minorEastAsia" w:cstheme="minorBidi"/>
              <w:noProof/>
              <w:lang w:val="en-US"/>
            </w:rPr>
          </w:pPr>
          <w:hyperlink w:history="1" w:anchor="_Toc205373408">
            <w:r w:rsidRPr="00203D94">
              <w:rPr>
                <w:rStyle w:val="Hyperlink"/>
                <w:bCs/>
                <w:noProof/>
              </w:rPr>
              <w:t>5.</w:t>
            </w:r>
            <w:r>
              <w:rPr>
                <w:rFonts w:asciiTheme="minorHAnsi" w:hAnsiTheme="minorHAnsi" w:eastAsiaTheme="minorEastAsia" w:cstheme="minorBidi"/>
                <w:noProof/>
                <w:lang w:val="en-US"/>
              </w:rPr>
              <w:tab/>
            </w:r>
            <w:r w:rsidRPr="00203D94">
              <w:rPr>
                <w:rStyle w:val="Hyperlink"/>
                <w:b/>
                <w:noProof/>
              </w:rPr>
              <w:t>STRUČNA SKUPINA ZA POLJOPRIVREDU, RURALNI RAZVOJ I OKOLIŠ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_Toc205373408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A7628" w:rsidRDefault="00AA7628" w14:paraId="7594A8CC" w14:textId="6125B36B">
          <w:pPr>
            <w:pStyle w:val="TOC1"/>
            <w:tabs>
              <w:tab w:val="left" w:pos="440"/>
              <w:tab w:val="right" w:leader="dot" w:pos="9063"/>
            </w:tabs>
            <w:rPr>
              <w:rFonts w:asciiTheme="minorHAnsi" w:hAnsiTheme="minorHAnsi" w:eastAsiaTheme="minorEastAsia" w:cstheme="minorBidi"/>
              <w:noProof/>
              <w:lang w:val="en-US"/>
            </w:rPr>
          </w:pPr>
          <w:hyperlink w:history="1" w:anchor="_Toc205373409">
            <w:r w:rsidRPr="00203D94">
              <w:rPr>
                <w:rStyle w:val="Hyperlink"/>
                <w:bCs/>
                <w:noProof/>
              </w:rPr>
              <w:t>6.</w:t>
            </w:r>
            <w:r>
              <w:rPr>
                <w:rFonts w:asciiTheme="minorHAnsi" w:hAnsiTheme="minorHAnsi" w:eastAsiaTheme="minorEastAsia" w:cstheme="minorBidi"/>
                <w:noProof/>
                <w:lang w:val="en-US"/>
              </w:rPr>
              <w:tab/>
            </w:r>
            <w:r w:rsidRPr="00203D94">
              <w:rPr>
                <w:rStyle w:val="Hyperlink"/>
                <w:b/>
                <w:noProof/>
              </w:rPr>
              <w:t>STRUČNA SKUPINA ZA VANJSKE ODNOSE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_Toc205373409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A7628" w:rsidRDefault="00AA7628" w14:paraId="631C9B6F" w14:textId="442FBE64">
          <w:pPr>
            <w:pStyle w:val="TOC1"/>
            <w:tabs>
              <w:tab w:val="left" w:pos="440"/>
              <w:tab w:val="right" w:leader="dot" w:pos="9063"/>
            </w:tabs>
            <w:rPr>
              <w:rFonts w:asciiTheme="minorHAnsi" w:hAnsiTheme="minorHAnsi" w:eastAsiaTheme="minorEastAsia" w:cstheme="minorBidi"/>
              <w:noProof/>
              <w:lang w:val="en-US"/>
            </w:rPr>
          </w:pPr>
          <w:hyperlink w:history="1" w:anchor="_Toc205373410">
            <w:r w:rsidRPr="00203D94">
              <w:rPr>
                <w:rStyle w:val="Hyperlink"/>
                <w:bCs/>
                <w:noProof/>
              </w:rPr>
              <w:t>7.</w:t>
            </w:r>
            <w:r>
              <w:rPr>
                <w:rFonts w:asciiTheme="minorHAnsi" w:hAnsiTheme="minorHAnsi" w:eastAsiaTheme="minorEastAsia" w:cstheme="minorBidi"/>
                <w:noProof/>
                <w:lang w:val="en-US"/>
              </w:rPr>
              <w:tab/>
            </w:r>
            <w:r w:rsidRPr="00203D94">
              <w:rPr>
                <w:rStyle w:val="Hyperlink"/>
                <w:b/>
                <w:noProof/>
              </w:rPr>
              <w:t>SAVJETODAVNO POVJERENSTVO ZA INDUSTRIJSKE PROMJENE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_Toc205373410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7AC0" w:rsidP="00D94D34" w:rsidRDefault="004D7AC0" w14:paraId="4982DD6A" w14:textId="5B83DEF1">
          <w:r>
            <w:rPr>
              <w:b/>
            </w:rPr>
            <w:fldChar w:fldCharType="end"/>
          </w:r>
        </w:p>
      </w:sdtContent>
    </w:sdt>
    <w:p w:rsidR="004D7AC0" w:rsidP="00D94D34" w:rsidRDefault="004D7AC0" w14:paraId="4982DD6B" w14:textId="77777777"/>
    <w:p w:rsidR="004D7AC0" w:rsidP="00D94D34" w:rsidRDefault="004D7AC0" w14:paraId="4982DD6C" w14:textId="77777777">
      <w:pPr>
        <w:jc w:val="left"/>
      </w:pPr>
      <w:r>
        <w:br w:type="page"/>
      </w:r>
    </w:p>
    <w:p w:rsidR="004D7AC0" w:rsidP="00D94D34" w:rsidRDefault="004D7AC0" w14:paraId="4982DD6D" w14:textId="77777777">
      <w:pPr>
        <w:pStyle w:val="Heading1"/>
        <w:rPr>
          <w:b/>
        </w:rPr>
      </w:pPr>
      <w:bookmarkStart w:name="_Toc205373404" w:id="0"/>
      <w:r>
        <w:rPr>
          <w:b/>
        </w:rPr>
        <w:lastRenderedPageBreak/>
        <w:t>STRUČNA SKUPINA ZA EKONOMSKU I MONETARNU UNIJU TE EKONOMSKU I SOCIJALNU KOHEZIJU</w:t>
      </w:r>
      <w:bookmarkEnd w:id="0"/>
    </w:p>
    <w:p w:rsidR="004D7AC0" w:rsidP="00D94D34" w:rsidRDefault="004D7AC0" w14:paraId="4982DD6E" w14:textId="77777777"/>
    <w:p w:rsidRPr="009A59C4" w:rsidR="004F5FB2" w:rsidP="00D94D34" w:rsidRDefault="00342135" w14:paraId="6F53262E" w14:textId="5AC175E2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567" w:hanging="567"/>
        <w:contextualSpacing/>
        <w:jc w:val="left"/>
        <w:textAlignment w:val="baseline"/>
        <w:rPr>
          <w:rFonts w:ascii="Calibri" w:hAnsi="Calibri"/>
          <w:b/>
        </w:rPr>
      </w:pPr>
      <w:hyperlink w:history="1" r:id="rId20">
        <w:r w:rsidR="00CB5DFF">
          <w:rPr>
            <w:b/>
            <w:i/>
            <w:iCs/>
            <w:color w:val="0000FF"/>
            <w:sz w:val="28"/>
            <w:u w:val="single"/>
          </w:rPr>
          <w:t>Komunikacija o uniji za štednju i ulaganja</w:t>
        </w:r>
      </w:hyperlink>
    </w:p>
    <w:p w:rsidRPr="009A59C4" w:rsidR="00DA787C" w:rsidP="009A59C4" w:rsidRDefault="00DA787C" w14:paraId="026CEEC5" w14:textId="77777777">
      <w:pPr>
        <w:widowControl w:val="0"/>
        <w:overflowPunct w:val="0"/>
        <w:autoSpaceDE w:val="0"/>
        <w:autoSpaceDN w:val="0"/>
        <w:adjustRightInd w:val="0"/>
        <w:ind w:left="360"/>
        <w:contextualSpacing/>
        <w:jc w:val="left"/>
        <w:textAlignment w:val="baseline"/>
        <w:rPr>
          <w:lang w:val="en-GB" w:eastAsia="zh-CN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1701"/>
        <w:gridCol w:w="7621"/>
      </w:tblGrid>
      <w:tr w:rsidRPr="004F5FB2" w:rsidR="004F5FB2" w:rsidTr="003C0471" w14:paraId="510BE066" w14:textId="77777777">
        <w:tc>
          <w:tcPr>
            <w:tcW w:w="1701" w:type="dxa"/>
          </w:tcPr>
          <w:p w:rsidRPr="004F5FB2" w:rsidR="004F5FB2" w:rsidP="00D94D34" w:rsidRDefault="004F5FB2" w14:paraId="63EC9D08" w14:textId="77777777">
            <w:pPr>
              <w:overflowPunct w:val="0"/>
              <w:autoSpaceDE w:val="0"/>
              <w:autoSpaceDN w:val="0"/>
              <w:adjustRightInd w:val="0"/>
              <w:ind w:left="176" w:hanging="284"/>
              <w:textAlignment w:val="baseline"/>
              <w:rPr>
                <w:b/>
              </w:rPr>
            </w:pPr>
            <w:r>
              <w:rPr>
                <w:b/>
              </w:rPr>
              <w:t>Izvjestitelj/ica:</w:t>
            </w:r>
          </w:p>
        </w:tc>
        <w:tc>
          <w:tcPr>
            <w:tcW w:w="7621" w:type="dxa"/>
          </w:tcPr>
          <w:p w:rsidRPr="004F5FB2" w:rsidR="004F5FB2" w:rsidP="00D94D34" w:rsidRDefault="004F5FB2" w14:paraId="07513286" w14:textId="4AD43F3C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Petru </w:t>
            </w:r>
            <w:proofErr w:type="spellStart"/>
            <w:r>
              <w:t>Sorin</w:t>
            </w:r>
            <w:proofErr w:type="spellEnd"/>
            <w:r>
              <w:t xml:space="preserve"> DANDEA (Skupina radnika – RO)</w:t>
            </w:r>
          </w:p>
        </w:tc>
      </w:tr>
      <w:tr w:rsidRPr="00491CD4" w:rsidR="004F5FB2" w:rsidTr="003C0471" w14:paraId="0750498D" w14:textId="77777777">
        <w:tc>
          <w:tcPr>
            <w:tcW w:w="1701" w:type="dxa"/>
          </w:tcPr>
          <w:p w:rsidRPr="004F5FB2" w:rsidR="004F5FB2" w:rsidP="00D94D34" w:rsidRDefault="004F5FB2" w14:paraId="29E9F654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374"/>
              <w:textAlignment w:val="baseline"/>
              <w:rPr>
                <w:b/>
              </w:rPr>
            </w:pPr>
            <w:r>
              <w:rPr>
                <w:b/>
              </w:rPr>
              <w:t>Referentni dokumenti/i:</w:t>
            </w:r>
          </w:p>
        </w:tc>
        <w:tc>
          <w:tcPr>
            <w:tcW w:w="7621" w:type="dxa"/>
          </w:tcPr>
          <w:p w:rsidRPr="004F5FB2" w:rsidR="004F5FB2" w:rsidP="00D94D34" w:rsidRDefault="004F5FB2" w14:paraId="0F9BB6E8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COM(2025) 124 </w:t>
            </w:r>
            <w:proofErr w:type="spellStart"/>
            <w:r>
              <w:t>final</w:t>
            </w:r>
            <w:proofErr w:type="spellEnd"/>
          </w:p>
          <w:p w:rsidRPr="004F5FB2" w:rsidR="004F5FB2" w:rsidP="00D94D34" w:rsidRDefault="004F5FB2" w14:paraId="63C49335" w14:textId="4B8ABC5C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highlight w:val="yellow"/>
              </w:rPr>
            </w:pPr>
            <w:r>
              <w:t>EESC-2025-01045-00-00-AC</w:t>
            </w:r>
          </w:p>
        </w:tc>
      </w:tr>
    </w:tbl>
    <w:p w:rsidRPr="004F5FB2" w:rsidR="004F5FB2" w:rsidP="00D94D34" w:rsidRDefault="004F5FB2" w14:paraId="2E224BEA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pt-PT"/>
        </w:rPr>
      </w:pPr>
    </w:p>
    <w:p w:rsidRPr="004F5FB2" w:rsidR="004F5FB2" w:rsidP="00D94D34" w:rsidRDefault="004F5FB2" w14:paraId="74C7117E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Ključne točke</w:t>
      </w:r>
    </w:p>
    <w:p w:rsidRPr="004F5FB2" w:rsidR="004F5FB2" w:rsidP="00D94D34" w:rsidRDefault="004F5FB2" w14:paraId="13F7058A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:rsidRPr="004F5FB2" w:rsidR="004F5FB2" w:rsidP="00D94D34" w:rsidRDefault="004F5FB2" w14:paraId="069C2EDE" w14:textId="77777777">
      <w:pPr>
        <w:overflowPunct w:val="0"/>
        <w:autoSpaceDE w:val="0"/>
        <w:autoSpaceDN w:val="0"/>
        <w:adjustRightInd w:val="0"/>
        <w:ind w:left="425" w:hanging="425"/>
        <w:textAlignment w:val="baseline"/>
        <w:rPr>
          <w:szCs w:val="20"/>
        </w:rPr>
      </w:pPr>
      <w:r>
        <w:t>EGSO:</w:t>
      </w:r>
    </w:p>
    <w:p w:rsidRPr="004F5FB2" w:rsidR="004F5FB2" w:rsidP="009A59C4" w:rsidRDefault="004F5FB2" w14:paraId="30BEA2D0" w14:textId="77777777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</w:pPr>
      <w:r>
        <w:t>pozdravlja Komunikaciju Komisije o uniji za štednju i ulaganja;</w:t>
      </w:r>
    </w:p>
    <w:p w:rsidRPr="004F5FB2" w:rsidR="004F5FB2" w:rsidP="009A59C4" w:rsidRDefault="004F5FB2" w14:paraId="1C78C6D4" w14:textId="77777777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</w:pPr>
      <w:r>
        <w:t>smatra da uspjeh unije za štednju i ulaganja ovisi o utvrđivanju jasnih ciljeva pružanja stvarnih i opipljivih koristi građanima i poduzećima EU-a i financiranja realnog gospodarstva, kao i promicanja pravedne tranzicije, ostvarivanja pravedne raspodjele troškova, povrata i rizika te očuvanja stabilnosti financijskog tržišta;</w:t>
      </w:r>
    </w:p>
    <w:p w:rsidRPr="004F5FB2" w:rsidR="004F5FB2" w:rsidP="009A59C4" w:rsidRDefault="004F5FB2" w14:paraId="60706E82" w14:textId="77777777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</w:pPr>
      <w:r>
        <w:t>napominje da je fragmentacija jedna od ključnih prepreka učinkovitom protoku kapitala. U tom pogledu pozdravlja naglasak na poboljšanju interoperabilnosti, međusobne povezanosti i učinkovitosti infrastrukture EU-a za trgovanje i aktivnosti nakon trgovanja i napominje da integrirana tržišta također iziskuju integrirani nadzor;</w:t>
      </w:r>
    </w:p>
    <w:p w:rsidRPr="004F5FB2" w:rsidR="004F5FB2" w:rsidP="009A59C4" w:rsidRDefault="004F5FB2" w14:paraId="544C539B" w14:textId="77777777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</w:pPr>
      <w:r>
        <w:t>preporučuje da Europsko nadzorno tijelo za vrijednosne papire i tržišta kapitala (ESMA) izravno nadzire operatore velikih prekograničnih financijskih infrastruktura i predlaže da se u skladu s time povećaju njegove nadležnosti i kapaciteti, kao i resursi kojima raspolaže;</w:t>
      </w:r>
    </w:p>
    <w:p w:rsidRPr="004F5FB2" w:rsidR="004F5FB2" w:rsidP="009A59C4" w:rsidRDefault="004F5FB2" w14:paraId="0F304E1C" w14:textId="77777777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</w:pPr>
      <w:r>
        <w:t>predlaže da se djelovanje usredotoči na financiranje vlasničkim kapitalom kako bi se MSP-ove potaknulo da diversificiraju svoje izvore financiranja, čime bi se u konačnici omogućilo preuzimanje rizika i razvoj inovacija te ulagateljima omogućilo da sudjeluju u stvaranju vrijednosti. Osim toga, tržišta vlasničkih instrumenata trebalo bi ojačati daljnjim usklađivanjem relevantnih propisa o trgovačkim društvima, nesolventnosti i porezima;</w:t>
      </w:r>
    </w:p>
    <w:p w:rsidRPr="004F5FB2" w:rsidR="004F5FB2" w:rsidP="009A59C4" w:rsidRDefault="004F5FB2" w14:paraId="4B3131C2" w14:textId="77777777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</w:pPr>
      <w:r>
        <w:t>ističe da je potrebno obrnuti odljev mozgova visokokvalificiranih, inovativnih istraživača i istraživačica, kao i poduzetnika i poduzetnica pružanjem privlačnih poticaja poduzetnicima i poduzetnicama i zaposlenicima i zaposlenicama za ostanak i rad u Europi;</w:t>
      </w:r>
    </w:p>
    <w:p w:rsidRPr="004F5FB2" w:rsidR="004F5FB2" w:rsidP="009A59C4" w:rsidRDefault="004F5FB2" w14:paraId="394EB20C" w14:textId="77777777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</w:pPr>
      <w:r>
        <w:t>smatra da je potrebno potaknuti štediše iz EU-a da postanu mali ulagatelji. Ulagatelji bi trebali imati pristup najširem mogućem rasponu sigurnih, troškovno učinkovitih, transparentnih ulagačkih opcija koje bilježe dobre rezultate. Preduvjet je otvoreno, dinamično i konkurentno tržište prekograničnih investicijskih usluga, uključujući cjenovno pristupačno i kvalitetno investicijsko savjetovanje;</w:t>
      </w:r>
    </w:p>
    <w:p w:rsidRPr="004F5FB2" w:rsidR="004F5FB2" w:rsidP="009A59C4" w:rsidRDefault="004F5FB2" w14:paraId="1B1156A5" w14:textId="77777777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</w:pPr>
      <w:r>
        <w:t>poziva Komisiju da definira i objavi pregled ključnih pokazatelja uspješnosti kako bi se pratio napredak u provedbi unije za štednju i ulaganja.</w:t>
      </w:r>
    </w:p>
    <w:p w:rsidRPr="004F5FB2" w:rsidR="004F5FB2" w:rsidP="00D94D34" w:rsidRDefault="004F5FB2" w14:paraId="0335BB15" w14:textId="77777777">
      <w:pPr>
        <w:ind w:left="720"/>
        <w:contextualSpacing/>
        <w:jc w:val="left"/>
        <w:rPr>
          <w:lang w:val="en-GB" w:eastAsia="zh-CN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1384"/>
        <w:gridCol w:w="7938"/>
      </w:tblGrid>
      <w:tr w:rsidRPr="004F5FB2" w:rsidR="004F5FB2" w:rsidTr="005409C8" w14:paraId="52A3BE12" w14:textId="77777777">
        <w:tc>
          <w:tcPr>
            <w:tcW w:w="1384" w:type="dxa"/>
          </w:tcPr>
          <w:p w:rsidRPr="009A59C4" w:rsidR="004F5FB2" w:rsidP="00D94D34" w:rsidRDefault="004F5FB2" w14:paraId="3F56BE84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i/>
              </w:rPr>
            </w:pPr>
            <w:r>
              <w:rPr>
                <w:b/>
                <w:i/>
              </w:rPr>
              <w:t>Kontakt:</w:t>
            </w:r>
          </w:p>
        </w:tc>
        <w:tc>
          <w:tcPr>
            <w:tcW w:w="7938" w:type="dxa"/>
          </w:tcPr>
          <w:p w:rsidRPr="004F5FB2" w:rsidR="004F5FB2" w:rsidP="00D94D34" w:rsidRDefault="004F5FB2" w14:paraId="7DD79608" w14:textId="4B015E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iCs/>
              </w:rPr>
            </w:pPr>
            <w:r>
              <w:rPr>
                <w:i/>
              </w:rPr>
              <w:t xml:space="preserve">Sergio </w:t>
            </w:r>
            <w:proofErr w:type="spellStart"/>
            <w:r>
              <w:rPr>
                <w:i/>
              </w:rPr>
              <w:t>Lorencio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Matallana</w:t>
            </w:r>
            <w:proofErr w:type="spellEnd"/>
          </w:p>
        </w:tc>
      </w:tr>
      <w:tr w:rsidRPr="004F5FB2" w:rsidR="004F5FB2" w:rsidTr="005409C8" w14:paraId="5A63C460" w14:textId="77777777">
        <w:tc>
          <w:tcPr>
            <w:tcW w:w="1384" w:type="dxa"/>
          </w:tcPr>
          <w:p w:rsidRPr="004F5FB2" w:rsidR="004F5FB2" w:rsidP="00D94D34" w:rsidRDefault="004F5FB2" w14:paraId="6EBF9A78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7938" w:type="dxa"/>
          </w:tcPr>
          <w:p w:rsidRPr="004F5FB2" w:rsidR="004F5FB2" w:rsidP="00D94D34" w:rsidRDefault="004F5FB2" w14:paraId="4795D6F1" w14:textId="2468ED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</w:rPr>
            </w:pPr>
            <w:r>
              <w:rPr>
                <w:i/>
              </w:rPr>
              <w:t>+32 25469240</w:t>
            </w:r>
          </w:p>
        </w:tc>
      </w:tr>
      <w:tr w:rsidRPr="004F5FB2" w:rsidR="004F5FB2" w:rsidTr="005409C8" w14:paraId="44E08F1B" w14:textId="77777777">
        <w:tc>
          <w:tcPr>
            <w:tcW w:w="1384" w:type="dxa"/>
          </w:tcPr>
          <w:p w:rsidRPr="004F5FB2" w:rsidR="004F5FB2" w:rsidP="00D94D34" w:rsidRDefault="004F5FB2" w14:paraId="40717523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E-pošta</w:t>
            </w:r>
            <w:r>
              <w:rPr>
                <w:i/>
                <w:iCs/>
              </w:rPr>
              <w:t>:</w:t>
            </w:r>
          </w:p>
        </w:tc>
        <w:tc>
          <w:tcPr>
            <w:tcW w:w="7938" w:type="dxa"/>
          </w:tcPr>
          <w:p w:rsidRPr="004F5FB2" w:rsidR="004F5FB2" w:rsidP="00D94D34" w:rsidRDefault="00342135" w14:paraId="5BA78685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</w:rPr>
            </w:pPr>
            <w:hyperlink w:history="1" r:id="rId21">
              <w:r w:rsidR="00CB5DFF">
                <w:rPr>
                  <w:i/>
                  <w:color w:val="0000FF"/>
                  <w:u w:val="single"/>
                </w:rPr>
                <w:t>Sergio.LorencioMatallana@eesc.europa.eu</w:t>
              </w:r>
            </w:hyperlink>
          </w:p>
        </w:tc>
      </w:tr>
    </w:tbl>
    <w:p w:rsidR="004F5FB2" w:rsidP="00D94D34" w:rsidRDefault="004F5FB2" w14:paraId="01D08E2B" w14:textId="77777777">
      <w:pPr>
        <w:jc w:val="left"/>
      </w:pPr>
    </w:p>
    <w:p w:rsidR="004F5FB2" w:rsidP="00D94D34" w:rsidRDefault="004F5FB2" w14:paraId="1D555F93" w14:textId="77777777">
      <w:pPr>
        <w:jc w:val="left"/>
      </w:pPr>
      <w:r>
        <w:br w:type="page"/>
      </w:r>
    </w:p>
    <w:p w:rsidRPr="00196E1D" w:rsidR="00196E1D" w:rsidP="00D94D34" w:rsidRDefault="00342135" w14:paraId="237F78AB" w14:textId="687BF156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hanging="567"/>
        <w:textAlignment w:val="baseline"/>
        <w:rPr>
          <w:b/>
          <w:i/>
          <w:iCs/>
          <w:sz w:val="28"/>
          <w:szCs w:val="28"/>
        </w:rPr>
      </w:pPr>
      <w:hyperlink w:history="1" r:id="rId22">
        <w:r w:rsidR="00CB5DFF">
          <w:rPr>
            <w:b/>
            <w:i/>
            <w:color w:val="0000FF"/>
            <w:sz w:val="28"/>
            <w:u w:val="single"/>
          </w:rPr>
          <w:t>Ekonomski učinak provedbe sustava EU-a za trgovanje emisijama (ETS)</w:t>
        </w:r>
      </w:hyperlink>
    </w:p>
    <w:p w:rsidRPr="00196E1D" w:rsidR="00196E1D" w:rsidP="00D94D34" w:rsidRDefault="00196E1D" w14:paraId="6C44F09D" w14:textId="77777777">
      <w:pPr>
        <w:widowControl w:val="0"/>
        <w:overflowPunct w:val="0"/>
        <w:autoSpaceDE w:val="0"/>
        <w:autoSpaceDN w:val="0"/>
        <w:adjustRightInd w:val="0"/>
        <w:ind w:left="284"/>
        <w:textAlignment w:val="baseline"/>
        <w:rPr>
          <w:b/>
          <w:i/>
          <w:iCs/>
          <w:sz w:val="20"/>
          <w:szCs w:val="20"/>
          <w:lang w:val="en-GB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1701"/>
        <w:gridCol w:w="7621"/>
      </w:tblGrid>
      <w:tr w:rsidRPr="00196E1D" w:rsidR="00196E1D" w:rsidTr="00626D86" w14:paraId="03AC3B0C" w14:textId="77777777">
        <w:tc>
          <w:tcPr>
            <w:tcW w:w="1701" w:type="dxa"/>
          </w:tcPr>
          <w:p w:rsidRPr="00196E1D" w:rsidR="00196E1D" w:rsidP="00D94D34" w:rsidRDefault="00196E1D" w14:paraId="2BCFB597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Izvjestitelj/ica:</w:t>
            </w:r>
          </w:p>
        </w:tc>
        <w:tc>
          <w:tcPr>
            <w:tcW w:w="7621" w:type="dxa"/>
          </w:tcPr>
          <w:p w:rsidRPr="00196E1D" w:rsidR="00196E1D" w:rsidP="00D94D34" w:rsidRDefault="00196E1D" w14:paraId="5A7633C0" w14:textId="75E66D72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Cs/>
              </w:rPr>
            </w:pPr>
            <w:proofErr w:type="spellStart"/>
            <w:r>
              <w:t>Krister</w:t>
            </w:r>
            <w:proofErr w:type="spellEnd"/>
            <w:r>
              <w:t xml:space="preserve"> ANDERSSON (Skupina poslodavaca – SE)</w:t>
            </w:r>
          </w:p>
        </w:tc>
      </w:tr>
      <w:tr w:rsidRPr="00196E1D" w:rsidR="00196E1D" w:rsidTr="00626D86" w14:paraId="787B285D" w14:textId="77777777">
        <w:tc>
          <w:tcPr>
            <w:tcW w:w="1701" w:type="dxa"/>
          </w:tcPr>
          <w:p w:rsidRPr="00196E1D" w:rsidR="00196E1D" w:rsidP="00D94D34" w:rsidRDefault="00196E1D" w14:paraId="4D867BE8" w14:textId="57BF2BAC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Referentni dokument/i:</w:t>
            </w:r>
          </w:p>
        </w:tc>
        <w:tc>
          <w:tcPr>
            <w:tcW w:w="7621" w:type="dxa"/>
          </w:tcPr>
          <w:p w:rsidR="00DA787C" w:rsidP="00D94D34" w:rsidRDefault="00196E1D" w14:paraId="683F8685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samoinicijativno mišljenje</w:t>
            </w:r>
          </w:p>
          <w:p w:rsidRPr="00196E1D" w:rsidR="00196E1D" w:rsidP="00D94D34" w:rsidRDefault="00196E1D" w14:paraId="3B4C4837" w14:textId="6CD474E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EESC-2025-01434-00-00-AC</w:t>
            </w:r>
          </w:p>
        </w:tc>
      </w:tr>
    </w:tbl>
    <w:p w:rsidR="00626D86" w:rsidP="00D94D34" w:rsidRDefault="00626D86" w14:paraId="6F61FFDE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:rsidRPr="00196E1D" w:rsidR="00196E1D" w:rsidP="00D94D34" w:rsidRDefault="00196E1D" w14:paraId="27C87571" w14:textId="6C2C0252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Ključne točke</w:t>
      </w:r>
    </w:p>
    <w:p w:rsidRPr="00196E1D" w:rsidR="00196E1D" w:rsidP="00D94D34" w:rsidRDefault="00196E1D" w14:paraId="504E3B0E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:rsidRPr="00A21771" w:rsidR="00196E1D" w:rsidP="00D94D34" w:rsidRDefault="00196E1D" w14:paraId="7A7FFE89" w14:textId="18A32454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EGSO:</w:t>
      </w:r>
    </w:p>
    <w:p w:rsidRPr="00A21771" w:rsidR="00196E1D" w:rsidP="009A59C4" w:rsidRDefault="00196E1D" w14:paraId="1B54C4E8" w14:textId="77777777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</w:pPr>
      <w:r>
        <w:t xml:space="preserve">se slaže s općim ciljevima EU-ovog sustava određivanja gornjih granica emisija i trgovanja emisijama (sustav trgovanja emisijama, ETS) uspostavljenog za postizanje zelene </w:t>
      </w:r>
      <w:proofErr w:type="spellStart"/>
      <w:r>
        <w:t>niskougljične</w:t>
      </w:r>
      <w:proofErr w:type="spellEnd"/>
      <w:r>
        <w:t xml:space="preserve"> tranzicije; </w:t>
      </w:r>
    </w:p>
    <w:p w:rsidRPr="00A21771" w:rsidR="00196E1D" w:rsidP="009A59C4" w:rsidRDefault="00196E1D" w14:paraId="1E12CAEE" w14:textId="77777777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</w:pPr>
      <w:r>
        <w:t>međutim, primjećuje da pri osmišljavanju i provedbi tog sustava treba voditi računa o njegovim posljedicama za radna mjesta u Europi i socijalnom učinku i na temelju zajednički dogovorene sveobuhvatne metodologije provesti njegovu detaljnu analizu i procjenu učinka na sektore, lance vrijednosti, regije i zemlje;</w:t>
      </w:r>
    </w:p>
    <w:p w:rsidRPr="00A21771" w:rsidR="00196E1D" w:rsidP="009A59C4" w:rsidRDefault="00196E1D" w14:paraId="51FFCD59" w14:textId="77777777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</w:pPr>
      <w:r>
        <w:t>naglašava da treba uspostaviti odgovarajuću ravnotežu između postizanja općih okolišnih ciljeva i izbjegavanja gospodarskih poremećaja i ugrožavanja konkurentnosti europskog gospodarstva. U tom pogledu treba znatno poboljšati gospodarsku analizu koju provodi Komisija;</w:t>
      </w:r>
    </w:p>
    <w:p w:rsidRPr="00A21771" w:rsidR="00196E1D" w:rsidP="009A59C4" w:rsidRDefault="00196E1D" w14:paraId="5D75B4B5" w14:textId="77777777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</w:pPr>
      <w:r>
        <w:t>ističe da mehanizam ETS-a za sobom povlači niz ozbiljnih implikacija u smislu troškova usklađivanja i potencijalno narušavajućih učinaka i da nameće prekomjerno administrativno opterećenje;</w:t>
      </w:r>
    </w:p>
    <w:p w:rsidRPr="00A21771" w:rsidR="00196E1D" w:rsidP="009A59C4" w:rsidRDefault="00196E1D" w14:paraId="07A27ABE" w14:textId="77777777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</w:pPr>
      <w:r>
        <w:t xml:space="preserve">smatra da bi sve mjere za poticanje </w:t>
      </w:r>
      <w:proofErr w:type="spellStart"/>
      <w:r>
        <w:t>dekarbonizacije</w:t>
      </w:r>
      <w:proofErr w:type="spellEnd"/>
      <w:r>
        <w:t xml:space="preserve"> brodarske industrije u idealnom slučaju trebale biti globalne, a ne regionalne ili jednostrane, kako bi se izbjeglo izmještanje emisija ugljika. U tom pogledu EGSO odlučno podupire rad Međunarodne pomorske organizacije (IMO), a pogotovo njezin okvir za nultu neto stopu emisija, koji bi mogao spriječiti i dvostruku regulaciju i dvostruko plaćanje;</w:t>
      </w:r>
    </w:p>
    <w:p w:rsidRPr="00A21771" w:rsidR="00196E1D" w:rsidP="009A59C4" w:rsidRDefault="00196E1D" w14:paraId="7F4B8F94" w14:textId="77777777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</w:pPr>
      <w:r>
        <w:t xml:space="preserve">EGSO podržava nedavno predloženo pojednostavljenje mehanizma za ugljičnu prilagodbu na granicama (CBAM) jer ga smatra korakom naprijed u održavanju ravnoteže između potrebe za zaštitom okoliša s jedne strane i istodobne potrebe za smanjenjem administrativnog opterećenja gospodarstva i poduzeća, posebno MSP-ova; </w:t>
      </w:r>
    </w:p>
    <w:p w:rsidRPr="00A21771" w:rsidR="00196E1D" w:rsidP="009A59C4" w:rsidRDefault="00196E1D" w14:paraId="10D028B0" w14:textId="77777777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</w:pPr>
      <w:r>
        <w:t>upozorava da bi ETS mogao u velikoj mjeri odvratiti od ulaganja u luke EU-a, što bi dovelo do neravnoteže u konkurentnosti između sredozemnih luka u državama članicama EU-a i obližnjih konkurentnih luka u trećim zemljama, a pogotovo u sjevernoj Africi;</w:t>
      </w:r>
    </w:p>
    <w:p w:rsidRPr="00A21771" w:rsidR="00196E1D" w:rsidP="009A59C4" w:rsidRDefault="00196E1D" w14:paraId="1CB5AE99" w14:textId="77777777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</w:pPr>
      <w:r>
        <w:t>primjećuje da bi otočna gospodarstva (npr. Malta, Cipar i Irska) i gospodarstva država članica koje se većinom oslanjaju na brodarske i pomorske djelatnosti mogla biti izložena pritisku zbog primjene mehanizma ETS-a.</w:t>
      </w:r>
    </w:p>
    <w:p w:rsidRPr="00196E1D" w:rsidR="00196E1D" w:rsidP="009A59C4" w:rsidRDefault="00196E1D" w14:paraId="00F7E214" w14:textId="2D95B575">
      <w:pPr>
        <w:ind w:left="284" w:hanging="284"/>
        <w:outlineLvl w:val="1"/>
        <w:rPr>
          <w:bCs/>
          <w:iCs/>
          <w:lang w:val="en-GB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1418"/>
        <w:gridCol w:w="7904"/>
      </w:tblGrid>
      <w:tr w:rsidRPr="00196E1D" w:rsidR="00196E1D" w:rsidTr="000F00DC" w14:paraId="5537402A" w14:textId="77777777">
        <w:tc>
          <w:tcPr>
            <w:tcW w:w="1418" w:type="dxa"/>
          </w:tcPr>
          <w:p w:rsidRPr="00196E1D" w:rsidR="00196E1D" w:rsidP="00D94D34" w:rsidRDefault="00196E1D" w14:paraId="40A8B91C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b/>
                <w:i/>
              </w:rPr>
              <w:t>Kontakt:</w:t>
            </w:r>
          </w:p>
        </w:tc>
        <w:tc>
          <w:tcPr>
            <w:tcW w:w="7904" w:type="dxa"/>
          </w:tcPr>
          <w:p w:rsidRPr="00196E1D" w:rsidR="00196E1D" w:rsidP="00D94D34" w:rsidRDefault="00196E1D" w14:paraId="23D24895" w14:textId="50F1C7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proofErr w:type="spellStart"/>
            <w:r>
              <w:rPr>
                <w:i/>
              </w:rPr>
              <w:t>Jüri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Soosaar</w:t>
            </w:r>
            <w:proofErr w:type="spellEnd"/>
          </w:p>
        </w:tc>
      </w:tr>
      <w:tr w:rsidRPr="00196E1D" w:rsidR="00196E1D" w:rsidTr="000F00DC" w14:paraId="77147E70" w14:textId="77777777">
        <w:tc>
          <w:tcPr>
            <w:tcW w:w="1418" w:type="dxa"/>
          </w:tcPr>
          <w:p w:rsidRPr="00196E1D" w:rsidR="00196E1D" w:rsidP="00D94D34" w:rsidRDefault="00196E1D" w14:paraId="43A56266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7904" w:type="dxa"/>
          </w:tcPr>
          <w:p w:rsidRPr="00196E1D" w:rsidR="00196E1D" w:rsidP="00D94D34" w:rsidRDefault="00196E1D" w14:paraId="3ABCC669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+32 25469628</w:t>
            </w:r>
          </w:p>
        </w:tc>
      </w:tr>
      <w:tr w:rsidRPr="00196E1D" w:rsidR="00196E1D" w:rsidTr="000F00DC" w14:paraId="55558084" w14:textId="77777777">
        <w:tc>
          <w:tcPr>
            <w:tcW w:w="1418" w:type="dxa"/>
          </w:tcPr>
          <w:p w:rsidRPr="00196E1D" w:rsidR="00196E1D" w:rsidP="00D94D34" w:rsidRDefault="00DA787C" w14:paraId="684375C9" w14:textId="635F2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E-pošta</w:t>
            </w:r>
            <w:r>
              <w:rPr>
                <w:i/>
                <w:iCs/>
              </w:rPr>
              <w:t>:</w:t>
            </w:r>
          </w:p>
        </w:tc>
        <w:tc>
          <w:tcPr>
            <w:tcW w:w="7904" w:type="dxa"/>
          </w:tcPr>
          <w:p w:rsidRPr="00196E1D" w:rsidR="00196E1D" w:rsidP="00D94D34" w:rsidRDefault="00342135" w14:paraId="7F0A9DD2" w14:textId="68BFAC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</w:rPr>
            </w:pPr>
            <w:hyperlink w:history="1" r:id="rId23">
              <w:r w:rsidR="00CB5DFF">
                <w:rPr>
                  <w:i/>
                  <w:color w:val="0000FF"/>
                  <w:u w:val="single"/>
                </w:rPr>
                <w:t>Juri.Soosaar@eesc.europa.eu</w:t>
              </w:r>
            </w:hyperlink>
          </w:p>
        </w:tc>
      </w:tr>
    </w:tbl>
    <w:p w:rsidR="00196E1D" w:rsidP="00D94D34" w:rsidRDefault="00196E1D" w14:paraId="63237FA2" w14:textId="77777777">
      <w:pPr>
        <w:jc w:val="left"/>
      </w:pPr>
    </w:p>
    <w:p w:rsidR="00196E1D" w:rsidP="00D94D34" w:rsidRDefault="00196E1D" w14:paraId="47088ED8" w14:textId="77777777">
      <w:pPr>
        <w:jc w:val="left"/>
      </w:pPr>
      <w:r>
        <w:br w:type="page"/>
      </w:r>
    </w:p>
    <w:p w:rsidRPr="00626D86" w:rsidR="00196E1D" w:rsidP="00D94D34" w:rsidRDefault="00342135" w14:paraId="591D77E2" w14:textId="5C7B1FB8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hanging="567"/>
        <w:textAlignment w:val="baseline"/>
        <w:rPr>
          <w:b/>
          <w:i/>
          <w:iCs/>
          <w:sz w:val="28"/>
          <w:szCs w:val="28"/>
        </w:rPr>
      </w:pPr>
      <w:hyperlink w:history="1" r:id="rId24">
        <w:r w:rsidR="00CB5DFF">
          <w:rPr>
            <w:b/>
            <w:i/>
            <w:color w:val="0000FF"/>
            <w:sz w:val="28"/>
            <w:u w:val="single"/>
          </w:rPr>
          <w:t>Uloga sindikata u poboljšanju produktivnosti</w:t>
        </w:r>
      </w:hyperlink>
    </w:p>
    <w:p w:rsidRPr="000F00DC" w:rsidR="00626D86" w:rsidP="00D94D34" w:rsidRDefault="00626D86" w14:paraId="3C999D15" w14:textId="77777777">
      <w:pPr>
        <w:widowControl w:val="0"/>
        <w:overflowPunct w:val="0"/>
        <w:autoSpaceDE w:val="0"/>
        <w:autoSpaceDN w:val="0"/>
        <w:adjustRightInd w:val="0"/>
        <w:ind w:left="567"/>
        <w:textAlignment w:val="baseline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7506"/>
      </w:tblGrid>
      <w:tr w:rsidRPr="00196E1D" w:rsidR="00196E1D" w:rsidTr="003C0471" w14:paraId="5ABB88B0" w14:textId="77777777">
        <w:tc>
          <w:tcPr>
            <w:tcW w:w="1701" w:type="dxa"/>
          </w:tcPr>
          <w:p w:rsidRPr="00196E1D" w:rsidR="00196E1D" w:rsidP="00D94D34" w:rsidRDefault="00196E1D" w14:paraId="5A8CEC93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Izvjestitelj/ica:</w:t>
            </w:r>
          </w:p>
        </w:tc>
        <w:tc>
          <w:tcPr>
            <w:tcW w:w="7506" w:type="dxa"/>
          </w:tcPr>
          <w:p w:rsidRPr="00626D86" w:rsidR="00E835E6" w:rsidP="00D94D34" w:rsidRDefault="00196E1D" w14:paraId="6B5C9B37" w14:textId="7A7CB60C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Philip VON BROCKDORFF (Skupina radnika – MT)</w:t>
            </w:r>
          </w:p>
        </w:tc>
      </w:tr>
      <w:tr w:rsidRPr="00196E1D" w:rsidR="00196E1D" w:rsidTr="003C0471" w14:paraId="443A5135" w14:textId="77777777">
        <w:tc>
          <w:tcPr>
            <w:tcW w:w="1701" w:type="dxa"/>
          </w:tcPr>
          <w:p w:rsidRPr="00196E1D" w:rsidR="00196E1D" w:rsidP="00D94D34" w:rsidRDefault="00196E1D" w14:paraId="67779D94" w14:textId="228D5681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Referentni dokument/i:</w:t>
            </w:r>
          </w:p>
        </w:tc>
        <w:tc>
          <w:tcPr>
            <w:tcW w:w="7506" w:type="dxa"/>
          </w:tcPr>
          <w:p w:rsidRPr="00196E1D" w:rsidR="00196E1D" w:rsidP="00D94D34" w:rsidRDefault="00196E1D" w14:paraId="72E52834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samoinicijativno mišljenje</w:t>
            </w:r>
          </w:p>
          <w:p w:rsidRPr="00196E1D" w:rsidR="00196E1D" w:rsidP="00D94D34" w:rsidRDefault="00196E1D" w14:paraId="5C44533E" w14:textId="1D60F341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EESC-2025-00863-00-00-AC</w:t>
            </w:r>
          </w:p>
        </w:tc>
      </w:tr>
    </w:tbl>
    <w:p w:rsidRPr="00196E1D" w:rsidR="00196E1D" w:rsidP="00D94D34" w:rsidRDefault="00196E1D" w14:paraId="0C4A3660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Cs/>
          <w:lang w:val="en-GB"/>
        </w:rPr>
      </w:pPr>
    </w:p>
    <w:p w:rsidR="00196E1D" w:rsidP="00D94D34" w:rsidRDefault="00196E1D" w14:paraId="1614A55E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Ključne točke</w:t>
      </w:r>
    </w:p>
    <w:p w:rsidRPr="00196E1D" w:rsidR="00CF472D" w:rsidP="00D94D34" w:rsidRDefault="00CF472D" w14:paraId="512437B3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:rsidRPr="00196E1D" w:rsidR="00CF472D" w:rsidP="00D94D34" w:rsidRDefault="00196E1D" w14:paraId="6E352196" w14:textId="7516E84E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EGSO:</w:t>
      </w:r>
    </w:p>
    <w:p w:rsidRPr="00196E1D" w:rsidR="00196E1D" w:rsidP="009A59C4" w:rsidRDefault="00196E1D" w14:paraId="1F5FDF68" w14:textId="77777777">
      <w:pPr>
        <w:numPr>
          <w:ilvl w:val="0"/>
          <w:numId w:val="27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rFonts w:ascii="Calibri" w:hAnsi="Calibri"/>
          <w:bCs/>
          <w:iCs/>
        </w:rPr>
      </w:pPr>
      <w:r>
        <w:t>odlučno preporučuje produktivna ulaganja u kapital, tehnologiju i ljudski kapital, što bi pak doprinijelo povećanju produktivnosti rada. Uviđa da su većina poduzeća u EU-u MSP-ovi u kojima je sindikalno zastupanje ograničeno. Kako bi se povećala produktivnost u MSP-ovima, EGSO se zalaže za potporu vlada, primjerice u vidu strateškog savjetovanja i potpore za izgradnju kapaciteta;</w:t>
      </w:r>
    </w:p>
    <w:p w:rsidRPr="00196E1D" w:rsidR="00196E1D" w:rsidP="009A59C4" w:rsidRDefault="00196E1D" w14:paraId="3C0A68CE" w14:textId="77777777">
      <w:pPr>
        <w:numPr>
          <w:ilvl w:val="0"/>
          <w:numId w:val="27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szCs w:val="20"/>
        </w:rPr>
      </w:pPr>
      <w:r>
        <w:t>smatra da bi se kolektivno pregovaranje i socijalni dijalog mogli proširiti na osmišljavanje novih modela rada kojima se potiču inovacije, kao što su suradničke timske strukture, fleksibilnost radnog vremena i inicijative zajedničkog vodstva;</w:t>
      </w:r>
    </w:p>
    <w:p w:rsidRPr="00196E1D" w:rsidR="00196E1D" w:rsidP="009A59C4" w:rsidRDefault="00196E1D" w14:paraId="7663805F" w14:textId="77777777">
      <w:pPr>
        <w:numPr>
          <w:ilvl w:val="0"/>
          <w:numId w:val="27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szCs w:val="20"/>
        </w:rPr>
      </w:pPr>
      <w:r>
        <w:t>smatra da bi sindikati mogli biti uključeni u utvrđivanje referentnih vrijednosti produktivnosti i pokazatelja uspješnosti specifičnih za pojedinačne sektore. Njihov bi doprinos osigurao da pokazatelji odražavaju kvalitetan rad, inovacije i održive poslovne prakse, a ne kratkoročno smanjenje troškova;</w:t>
      </w:r>
    </w:p>
    <w:p w:rsidRPr="00196E1D" w:rsidR="00196E1D" w:rsidP="009A59C4" w:rsidRDefault="00196E1D" w14:paraId="6240BF09" w14:textId="77777777">
      <w:pPr>
        <w:numPr>
          <w:ilvl w:val="0"/>
          <w:numId w:val="27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szCs w:val="20"/>
        </w:rPr>
      </w:pPr>
      <w:r>
        <w:t>potiče osnaživanje glasa radnika na radnom mjestu na način da ih se informira i učinkovito savjetuje s njima u skladu s nacionalnim zakonodavstvom i praksama, a da se pritom ne utječe na sposobnost poduzeća da donose odluke. Iako zajedničko upravljanje ili sudjelovanje predstavnika zaposlenika u upravljačkim strukturama poduzeća postoji u nekim državama članicama EU-a i moglo bi poslužiti kao primjer drugima, trebalo bi i dalje odgovorno upravljanje povjeravati upravama poduzeća, među ostalim MSP-ova;</w:t>
      </w:r>
    </w:p>
    <w:p w:rsidRPr="00196E1D" w:rsidR="00196E1D" w:rsidP="009A59C4" w:rsidRDefault="00196E1D" w14:paraId="68EDA64A" w14:textId="77777777">
      <w:pPr>
        <w:numPr>
          <w:ilvl w:val="0"/>
          <w:numId w:val="27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szCs w:val="20"/>
        </w:rPr>
      </w:pPr>
      <w:r>
        <w:t>ističe ulogu radničkih vijeća koja mogu pomoći u postizanju većeg zadovoljstva poslom, viših plaća i veće stabilnosti radnih mjesta u usporedbi s poduzećima bez radničkih vijeća;</w:t>
      </w:r>
    </w:p>
    <w:p w:rsidRPr="00196E1D" w:rsidR="00196E1D" w:rsidP="009A59C4" w:rsidRDefault="00196E1D" w14:paraId="001165EA" w14:textId="77777777">
      <w:pPr>
        <w:numPr>
          <w:ilvl w:val="0"/>
          <w:numId w:val="27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szCs w:val="20"/>
        </w:rPr>
      </w:pPr>
      <w:r>
        <w:t>naglašava da bi sindikati također mogli biti korisni u smanjenju postojećih visokih razina izostajanja s posla koje predstavljaju znatan trošak za poduzeća i javne financije;</w:t>
      </w:r>
    </w:p>
    <w:p w:rsidRPr="00196E1D" w:rsidR="00196E1D" w:rsidP="009A59C4" w:rsidRDefault="00196E1D" w14:paraId="367F6D3E" w14:textId="77777777">
      <w:pPr>
        <w:numPr>
          <w:ilvl w:val="0"/>
          <w:numId w:val="27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szCs w:val="20"/>
        </w:rPr>
      </w:pPr>
      <w:r>
        <w:t>smatra da kolektivno pregovaranje može doprinijeti produktivnosti promicanjem pozitivnog i poticajnog radnog okruženja, prepoznavanjem vrijednosti zaposlenikâ i poticanjem suradnje i inovacija, uključujući primjenu umjetne inteligencije i digitalnih metoda usmjerenih na radnike na radnom mjestu;</w:t>
      </w:r>
    </w:p>
    <w:p w:rsidRPr="00196E1D" w:rsidR="00196E1D" w:rsidP="009A59C4" w:rsidRDefault="00196E1D" w14:paraId="518EB5F2" w14:textId="77777777">
      <w:pPr>
        <w:numPr>
          <w:ilvl w:val="0"/>
          <w:numId w:val="27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szCs w:val="20"/>
        </w:rPr>
      </w:pPr>
      <w:r>
        <w:t>također preporučuje snažniju suradnju između sindikata i poduzeća u zajedničkom osmišljavanju i provedbi programâ kontinuiranog osposobljavanja i usavršavanja, naročito u sektorima koji prolaze kroz tehnološku transformaciju;</w:t>
      </w:r>
    </w:p>
    <w:p w:rsidRPr="00196E1D" w:rsidR="00196E1D" w:rsidP="009A59C4" w:rsidRDefault="00196E1D" w14:paraId="6AE6E4E5" w14:textId="77777777">
      <w:pPr>
        <w:numPr>
          <w:ilvl w:val="0"/>
          <w:numId w:val="27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szCs w:val="20"/>
        </w:rPr>
      </w:pPr>
      <w:r>
        <w:t>smatra da bi sindikati mogli imati i potpornu ulogu u programima kojima se potiče dobrovoljna mobilnost nezaposlenih radnika u regije u kojima nedostaje radne snage, među ostalim putem sporazumâ o mobilnosti, potpore za stanovanje i priznavanja kvalifikacija, uz istodobno osiguravanje pravednih radnih uvjeta;</w:t>
      </w:r>
    </w:p>
    <w:p w:rsidRPr="00196E1D" w:rsidR="00196E1D" w:rsidP="009A59C4" w:rsidRDefault="00196E1D" w14:paraId="36E8192E" w14:textId="77777777">
      <w:pPr>
        <w:numPr>
          <w:ilvl w:val="0"/>
          <w:numId w:val="27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szCs w:val="20"/>
        </w:rPr>
      </w:pPr>
      <w:r>
        <w:t>potvrđuje da sudjelovanjem i uključivanjem sindikata u skladu s nacionalnim propisima i praksama socijalni dijalog i kolektivno pregovaranje mogu pomoći u povećanju produktivnosti i plaća;</w:t>
      </w:r>
    </w:p>
    <w:p w:rsidRPr="00196E1D" w:rsidR="00196E1D" w:rsidP="009A59C4" w:rsidRDefault="00196E1D" w14:paraId="011ADA73" w14:textId="77777777">
      <w:pPr>
        <w:numPr>
          <w:ilvl w:val="0"/>
          <w:numId w:val="27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rFonts w:ascii="Calibri" w:hAnsi="Calibri"/>
          <w:bCs/>
          <w:iCs/>
        </w:rPr>
      </w:pPr>
      <w:r>
        <w:lastRenderedPageBreak/>
        <w:t>naposljetku, ističe da je cilj Direktive o primjerenim minimalnim plaćama poboljšati životne i radne uvjete u Uniji i promicati kolektivno pregovaranje o određivanju plaća.</w:t>
      </w:r>
    </w:p>
    <w:p w:rsidRPr="00196E1D" w:rsidR="00196E1D" w:rsidP="00D94D34" w:rsidRDefault="00196E1D" w14:paraId="7E3B0DFE" w14:textId="77777777">
      <w:pPr>
        <w:ind w:left="567"/>
        <w:contextualSpacing/>
        <w:rPr>
          <w:rFonts w:ascii="Calibri" w:hAnsi="Calibri"/>
          <w:bCs/>
          <w:iCs/>
          <w:lang w:val="en-GB"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18"/>
        <w:gridCol w:w="7762"/>
      </w:tblGrid>
      <w:tr w:rsidRPr="00196E1D" w:rsidR="00196E1D" w:rsidTr="005409C8" w14:paraId="2603B1B7" w14:textId="77777777">
        <w:tc>
          <w:tcPr>
            <w:tcW w:w="1418" w:type="dxa"/>
          </w:tcPr>
          <w:p w:rsidRPr="00196E1D" w:rsidR="00196E1D" w:rsidP="00D94D34" w:rsidRDefault="00196E1D" w14:paraId="3A94CD86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b/>
                <w:i/>
              </w:rPr>
              <w:t>Kontakt:</w:t>
            </w:r>
          </w:p>
        </w:tc>
        <w:tc>
          <w:tcPr>
            <w:tcW w:w="7762" w:type="dxa"/>
          </w:tcPr>
          <w:p w:rsidRPr="00196E1D" w:rsidR="00196E1D" w:rsidP="00D94D34" w:rsidRDefault="00196E1D" w14:paraId="799D639F" w14:textId="47203E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proofErr w:type="spellStart"/>
            <w:r>
              <w:rPr>
                <w:i/>
              </w:rPr>
              <w:t>Georgios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Meleas</w:t>
            </w:r>
            <w:proofErr w:type="spellEnd"/>
          </w:p>
        </w:tc>
      </w:tr>
      <w:tr w:rsidRPr="00196E1D" w:rsidR="00196E1D" w:rsidTr="005409C8" w14:paraId="6D7D6A05" w14:textId="77777777">
        <w:tc>
          <w:tcPr>
            <w:tcW w:w="1418" w:type="dxa"/>
          </w:tcPr>
          <w:p w:rsidRPr="00196E1D" w:rsidR="00196E1D" w:rsidP="00D94D34" w:rsidRDefault="00196E1D" w14:paraId="76C58322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7762" w:type="dxa"/>
          </w:tcPr>
          <w:p w:rsidRPr="00196E1D" w:rsidR="00196E1D" w:rsidP="00D94D34" w:rsidRDefault="00196E1D" w14:paraId="12449E66" w14:textId="2B60D9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+32 25469795</w:t>
            </w:r>
          </w:p>
        </w:tc>
      </w:tr>
      <w:tr w:rsidRPr="00196E1D" w:rsidR="00196E1D" w:rsidTr="005409C8" w14:paraId="4E877C59" w14:textId="77777777">
        <w:tc>
          <w:tcPr>
            <w:tcW w:w="1418" w:type="dxa"/>
          </w:tcPr>
          <w:p w:rsidRPr="00196E1D" w:rsidR="00196E1D" w:rsidP="00D94D34" w:rsidRDefault="00CF472D" w14:paraId="7F594024" w14:textId="3D73E3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E-pošta</w:t>
            </w:r>
            <w:r>
              <w:rPr>
                <w:i/>
                <w:iCs/>
              </w:rPr>
              <w:t>:</w:t>
            </w:r>
          </w:p>
        </w:tc>
        <w:tc>
          <w:tcPr>
            <w:tcW w:w="7762" w:type="dxa"/>
          </w:tcPr>
          <w:p w:rsidRPr="00196E1D" w:rsidR="00196E1D" w:rsidP="00D94D34" w:rsidRDefault="00342135" w14:paraId="1DFEAEE0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</w:rPr>
            </w:pPr>
            <w:hyperlink w:history="1" r:id="rId25">
              <w:r w:rsidR="00CB5DFF">
                <w:rPr>
                  <w:i/>
                  <w:color w:val="0000FF"/>
                  <w:u w:val="single"/>
                </w:rPr>
                <w:t>Georgios.Meleas@eesc.europa.eu</w:t>
              </w:r>
            </w:hyperlink>
          </w:p>
        </w:tc>
      </w:tr>
    </w:tbl>
    <w:p w:rsidR="00196E1D" w:rsidP="00D94D34" w:rsidRDefault="00196E1D" w14:paraId="5D3BA735" w14:textId="66AA882D">
      <w:pPr>
        <w:jc w:val="left"/>
      </w:pPr>
    </w:p>
    <w:p w:rsidR="00D94D34" w:rsidP="00D94D34" w:rsidRDefault="00D94D34" w14:paraId="373723B4" w14:textId="77777777">
      <w:pPr>
        <w:jc w:val="left"/>
      </w:pPr>
    </w:p>
    <w:p w:rsidRPr="004556DA" w:rsidR="004556DA" w:rsidP="00D94D34" w:rsidRDefault="00342135" w14:paraId="00B1D64C" w14:textId="21DD11D4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hanging="567"/>
        <w:textAlignment w:val="baseline"/>
        <w:rPr>
          <w:b/>
          <w:i/>
          <w:iCs/>
          <w:sz w:val="28"/>
          <w:szCs w:val="28"/>
        </w:rPr>
      </w:pPr>
      <w:hyperlink w:history="1" r:id="rId26">
        <w:r w:rsidR="00CB5DFF">
          <w:rPr>
            <w:b/>
            <w:i/>
            <w:color w:val="0000FF"/>
            <w:sz w:val="28"/>
            <w:u w:val="single"/>
          </w:rPr>
          <w:t>Preporuke organiziranog civilnog društva za prevladavanje krize troškova života</w:t>
        </w:r>
      </w:hyperlink>
    </w:p>
    <w:p w:rsidRPr="004556DA" w:rsidR="004556DA" w:rsidP="00D94D34" w:rsidRDefault="004556DA" w14:paraId="4176E079" w14:textId="77777777">
      <w:pPr>
        <w:widowControl w:val="0"/>
        <w:overflowPunct w:val="0"/>
        <w:autoSpaceDE w:val="0"/>
        <w:autoSpaceDN w:val="0"/>
        <w:adjustRightInd w:val="0"/>
        <w:ind w:left="284"/>
        <w:textAlignment w:val="baseline"/>
        <w:rPr>
          <w:b/>
          <w:i/>
          <w:iCs/>
          <w:sz w:val="20"/>
          <w:szCs w:val="20"/>
          <w:lang w:val="en-GB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1701"/>
        <w:gridCol w:w="7371"/>
      </w:tblGrid>
      <w:tr w:rsidRPr="004556DA" w:rsidR="004556DA" w:rsidTr="003C0471" w14:paraId="4BE0FB14" w14:textId="77777777">
        <w:tc>
          <w:tcPr>
            <w:tcW w:w="1701" w:type="dxa"/>
          </w:tcPr>
          <w:p w:rsidRPr="004556DA" w:rsidR="004556DA" w:rsidP="00D94D34" w:rsidRDefault="004556DA" w14:paraId="5AAC03FE" w14:textId="30FCF700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Izvjestitelj/ica:</w:t>
            </w:r>
          </w:p>
        </w:tc>
        <w:tc>
          <w:tcPr>
            <w:tcW w:w="7371" w:type="dxa"/>
          </w:tcPr>
          <w:p w:rsidRPr="004556DA" w:rsidR="004556DA" w:rsidP="00D94D34" w:rsidRDefault="004556DA" w14:paraId="14220011" w14:textId="3901A544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Cs/>
              </w:rPr>
            </w:pPr>
            <w:proofErr w:type="spellStart"/>
            <w:r>
              <w:t>Krister</w:t>
            </w:r>
            <w:proofErr w:type="spellEnd"/>
            <w:r>
              <w:t xml:space="preserve"> ANDERSSON (Skupina poslodavaca – SE)</w:t>
            </w:r>
          </w:p>
          <w:p w:rsidRPr="004556DA" w:rsidR="004556DA" w:rsidP="00D94D34" w:rsidRDefault="004556DA" w14:paraId="77694904" w14:textId="0F2E04D6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Cs/>
              </w:rPr>
            </w:pPr>
            <w:proofErr w:type="spellStart"/>
            <w:r>
              <w:t>Krzysztof</w:t>
            </w:r>
            <w:proofErr w:type="spellEnd"/>
            <w:r>
              <w:t xml:space="preserve"> BALON (Skupina organizacija civilnog društva – PL)</w:t>
            </w:r>
          </w:p>
          <w:p w:rsidRPr="004556DA" w:rsidR="004556DA" w:rsidP="00D94D34" w:rsidRDefault="004556DA" w14:paraId="64708667" w14:textId="0174F675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Cs/>
              </w:rPr>
            </w:pPr>
            <w:r>
              <w:t>Thomas KATTNIG (Skupina radnika – AT)</w:t>
            </w:r>
          </w:p>
        </w:tc>
      </w:tr>
      <w:tr w:rsidRPr="004556DA" w:rsidR="004556DA" w:rsidTr="003C0471" w14:paraId="701D1591" w14:textId="77777777">
        <w:tc>
          <w:tcPr>
            <w:tcW w:w="1701" w:type="dxa"/>
          </w:tcPr>
          <w:p w:rsidRPr="004556DA" w:rsidR="004556DA" w:rsidP="00D94D34" w:rsidRDefault="004556DA" w14:paraId="1E579A3C" w14:textId="5823B7FE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Referentni dokument/i:</w:t>
            </w:r>
          </w:p>
        </w:tc>
        <w:tc>
          <w:tcPr>
            <w:tcW w:w="7371" w:type="dxa"/>
          </w:tcPr>
          <w:p w:rsidRPr="004556DA" w:rsidR="004556DA" w:rsidP="00D94D34" w:rsidRDefault="004556DA" w14:paraId="21C4A167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samoinicijativno mišljenje</w:t>
            </w:r>
          </w:p>
          <w:p w:rsidRPr="00626D86" w:rsidR="00270464" w:rsidP="00D94D34" w:rsidRDefault="004556DA" w14:paraId="0F70A957" w14:textId="7F1F968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EESC-2025-00091-00-00-AC</w:t>
            </w:r>
          </w:p>
        </w:tc>
      </w:tr>
    </w:tbl>
    <w:p w:rsidR="00626D86" w:rsidP="00D94D34" w:rsidRDefault="00626D86" w14:paraId="78E40B9B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:rsidR="004556DA" w:rsidP="00D94D34" w:rsidRDefault="004556DA" w14:paraId="26D146E6" w14:textId="1A48E0C8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Ključne točke</w:t>
      </w:r>
    </w:p>
    <w:p w:rsidRPr="004556DA" w:rsidR="00270464" w:rsidP="00D94D34" w:rsidRDefault="00270464" w14:paraId="0280BFF4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:rsidRPr="004556DA" w:rsidR="00270464" w:rsidP="00D94D34" w:rsidRDefault="004556DA" w14:paraId="0F9D2C13" w14:textId="5F9E3DEE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EGSO:</w:t>
      </w:r>
    </w:p>
    <w:p w:rsidRPr="004556DA" w:rsidR="004556DA" w:rsidP="009A59C4" w:rsidRDefault="004556DA" w14:paraId="35E8DC05" w14:textId="77777777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 xml:space="preserve">smatra da EU mora biti potpuno spreman za </w:t>
      </w:r>
      <w:r>
        <w:rPr>
          <w:b/>
          <w:bCs/>
        </w:rPr>
        <w:t>pravodobno sprečavanje i borbu protiv mogućih novih nepovoljnih uvjeta povezanih s troškovima života</w:t>
      </w:r>
      <w:r>
        <w:t xml:space="preserve">, da sprečavanje kriza mora biti glavni cilj i da istodobno moramo poboljšati otpornost na rizike i, kao krajnju mjeru, ublažiti stvarne posljedice; </w:t>
      </w:r>
    </w:p>
    <w:p w:rsidRPr="004556DA" w:rsidR="004556DA" w:rsidP="009A59C4" w:rsidRDefault="004556DA" w14:paraId="414D801C" w14:textId="77777777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 xml:space="preserve">napominje da je priuštiv pristup kvalitetnim </w:t>
      </w:r>
      <w:r>
        <w:rPr>
          <w:b/>
          <w:bCs/>
        </w:rPr>
        <w:t>uslugama od općeg interesa</w:t>
      </w:r>
      <w:r>
        <w:t xml:space="preserve"> za sve ključan za smanjenje troškova života, poziva na suradnju i smislenu raspodjelu zadaća između javnog, neprofitnog i privatnog sektora i ističe ulogu odgovarajućeg investiranja, financiranja i razvoja inovativnih pristupa;</w:t>
      </w:r>
    </w:p>
    <w:p w:rsidRPr="004556DA" w:rsidR="004556DA" w:rsidP="009A59C4" w:rsidRDefault="004556DA" w14:paraId="55389946" w14:textId="77777777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 xml:space="preserve">zalaže se za temeljitu reformu modela </w:t>
      </w:r>
      <w:r>
        <w:rPr>
          <w:b/>
          <w:bCs/>
        </w:rPr>
        <w:t>energetskog tržišta</w:t>
      </w:r>
      <w:r>
        <w:t xml:space="preserve"> radi postizanja nižih i stabilnih cijena energije i poziva na dobro osmišljene reforme u području oporezivanja energije i postupno ukidanje subvencija za fosilna goriva na temelju štete, koje bi se provele tako da se smanje troškovi za kućanstva i poduzeća, čime bi se podržale najranjivije skupine i stimulirala ulaganja u dekarbonizirane energetske sustave i istraživanje i inovacije;</w:t>
      </w:r>
    </w:p>
    <w:p w:rsidRPr="004556DA" w:rsidR="004556DA" w:rsidP="009A59C4" w:rsidRDefault="004556DA" w14:paraId="775CE9DE" w14:textId="77777777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 xml:space="preserve">poziva na donošenje moderne i sveobuhvatne </w:t>
      </w:r>
      <w:r>
        <w:rPr>
          <w:b/>
          <w:bCs/>
        </w:rPr>
        <w:t>industrijske politike</w:t>
      </w:r>
      <w:r>
        <w:t xml:space="preserve"> usmjerene na inovacije kojom će se olakšati „reindustrijalizacija” Europe. Pristup energiji i sirovinama po pravednim cijenama i pristup financiranju također su od velike važnosti, među ostalim za MSP-ove i subjekte socijalne ekonomije;</w:t>
      </w:r>
    </w:p>
    <w:p w:rsidRPr="004556DA" w:rsidR="004556DA" w:rsidP="009A59C4" w:rsidRDefault="004556DA" w14:paraId="4284E8E0" w14:textId="77777777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 xml:space="preserve">naglašava da treba </w:t>
      </w:r>
      <w:r>
        <w:rPr>
          <w:b/>
          <w:bCs/>
        </w:rPr>
        <w:t>pojednostaviti propise</w:t>
      </w:r>
      <w:r>
        <w:t>, ubrzati postupak izdavanja dozvola i smanjiti neproduktivna administrativna opterećenja jer se tako smanjuju troškovi i potiču inovacije, ulaganja i trgovina, a pritom ne smanjuju socijalni i okolišni standardi;</w:t>
      </w:r>
    </w:p>
    <w:p w:rsidRPr="004556DA" w:rsidR="004556DA" w:rsidP="009A59C4" w:rsidRDefault="004556DA" w14:paraId="7FE6C3B2" w14:textId="77777777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 xml:space="preserve">poziva na to da se </w:t>
      </w:r>
      <w:r>
        <w:rPr>
          <w:b/>
          <w:bCs/>
        </w:rPr>
        <w:t xml:space="preserve">tržišne </w:t>
      </w:r>
      <w:proofErr w:type="spellStart"/>
      <w:r>
        <w:rPr>
          <w:b/>
          <w:bCs/>
        </w:rPr>
        <w:t>disfunkcionalnosti</w:t>
      </w:r>
      <w:proofErr w:type="spellEnd"/>
      <w:r>
        <w:t xml:space="preserve"> uklone učinkovitom provedbom postojećih pravila jedinstvenog tržišta i tržišnog natjecanja i smanjenjem preostalih prepreka svim „četirima slobodama”, kao i „petoj slobodi” inovacija i obrazovanja;</w:t>
      </w:r>
    </w:p>
    <w:p w:rsidRPr="004556DA" w:rsidR="004556DA" w:rsidP="009A59C4" w:rsidRDefault="004556DA" w14:paraId="52EE7A33" w14:textId="77777777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 xml:space="preserve">poziva na aktivno poboljšanje </w:t>
      </w:r>
      <w:r>
        <w:rPr>
          <w:b/>
          <w:bCs/>
        </w:rPr>
        <w:t>trgovinskih sporazuma i gospodarskih partnerstava</w:t>
      </w:r>
      <w:r>
        <w:t xml:space="preserve"> (pri čemu treba voditi računa o socijalnim i ekološkim standardima) kako bi se doprlo do novih tržišta i </w:t>
      </w:r>
      <w:r>
        <w:lastRenderedPageBreak/>
        <w:t>diversificiranih lanaca opskrbe jer bi se tako smanjila osjetljivost na protekcionističke trgovinske mjere i njihov učinak na cijene;</w:t>
      </w:r>
    </w:p>
    <w:p w:rsidRPr="004556DA" w:rsidR="004556DA" w:rsidP="009A59C4" w:rsidRDefault="004556DA" w14:paraId="21D2DE28" w14:textId="77777777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>smatra da je važno osigurati pravednost i učinkovitost politika i mjera koje utječu na troškove života, bez obzira odnose li se one na zelenu i digitalnu tranziciju, lance vrijednosti, socijalnu sigurnost, oporezivanje ili neku drugu relevantnu temu;</w:t>
      </w:r>
    </w:p>
    <w:p w:rsidRPr="004556DA" w:rsidR="004556DA" w:rsidP="009A59C4" w:rsidRDefault="004556DA" w14:paraId="31A16007" w14:textId="77777777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 xml:space="preserve">poziva države članice da na temelju odgovarajućeg praćenja i procjena učinka osiguraju </w:t>
      </w:r>
      <w:r>
        <w:rPr>
          <w:b/>
          <w:bCs/>
        </w:rPr>
        <w:t>posebne mjere potpore</w:t>
      </w:r>
      <w:r>
        <w:t xml:space="preserve"> za zaštitu osoba u najnepovoljnijem položaju. Prilikom oblikovanja politika kojima se rješava problem troškova života dužnu pažnju treba posvetiti i njihovim dugoročnim posljedicama na buduće generacije;</w:t>
      </w:r>
    </w:p>
    <w:p w:rsidRPr="004556DA" w:rsidR="004556DA" w:rsidP="009A59C4" w:rsidRDefault="004556DA" w14:paraId="16EDA890" w14:textId="77777777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 xml:space="preserve">poziva na usmjeravanje posebnih napora na pružanje </w:t>
      </w:r>
      <w:r>
        <w:rPr>
          <w:b/>
          <w:bCs/>
        </w:rPr>
        <w:t xml:space="preserve">primjerenog i </w:t>
      </w:r>
      <w:proofErr w:type="spellStart"/>
      <w:r>
        <w:rPr>
          <w:b/>
          <w:bCs/>
        </w:rPr>
        <w:t>priuštivog</w:t>
      </w:r>
      <w:proofErr w:type="spellEnd"/>
      <w:r>
        <w:rPr>
          <w:b/>
          <w:bCs/>
        </w:rPr>
        <w:t xml:space="preserve"> stanovanja</w:t>
      </w:r>
      <w:r>
        <w:t xml:space="preserve"> za različite potrebe, među ostalim za mlade. Za bržu izgradnju i obnovu potrebne su inovacije i odgovarajuće planiranje uporabe zemljišta. Da bi stanovanje svima bilo dostupno i </w:t>
      </w:r>
      <w:proofErr w:type="spellStart"/>
      <w:r>
        <w:t>priuštivo</w:t>
      </w:r>
      <w:proofErr w:type="spellEnd"/>
      <w:r>
        <w:t xml:space="preserve"> treba poticati socijalno stanovanje;</w:t>
      </w:r>
    </w:p>
    <w:p w:rsidRPr="004556DA" w:rsidR="004556DA" w:rsidP="009A59C4" w:rsidRDefault="004556DA" w14:paraId="366862BF" w14:textId="77777777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 xml:space="preserve">ističe da je poticanje otvaranja kvalitetnih radnih mjesta i potpune, </w:t>
      </w:r>
      <w:r>
        <w:rPr>
          <w:b/>
          <w:bCs/>
        </w:rPr>
        <w:t xml:space="preserve">dostojanstvene i uključive zaposlenosti </w:t>
      </w:r>
      <w:r>
        <w:t>jedan od glavnih načina na koji se može osigurati gospodarska i socijalna otpornost na povećanja cijena. Za to je potrebno okruženje koje pogoduje poduzetništvu i poslovanju i podupire razvoj socijalne ekonomije, koja je od ključne važnosti jer zapošljava one koji ne mogu raditi na primarnom tržištu rada;</w:t>
      </w:r>
    </w:p>
    <w:p w:rsidRPr="004556DA" w:rsidR="004556DA" w:rsidP="009A59C4" w:rsidRDefault="004556DA" w14:paraId="5DA10955" w14:textId="77777777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 xml:space="preserve">naglašava ključnu ulogu </w:t>
      </w:r>
      <w:r>
        <w:rPr>
          <w:b/>
          <w:bCs/>
        </w:rPr>
        <w:t>obrazovanja i razvoja vještina</w:t>
      </w:r>
      <w:r>
        <w:t xml:space="preserve">, koji pojedincima omogućavaju zapošljavanje na kvalitetnim radnim mjestima i bolju zaradu. Dobro funkcioniranje </w:t>
      </w:r>
      <w:r>
        <w:rPr>
          <w:b/>
          <w:bCs/>
        </w:rPr>
        <w:t>socijalnog dijaloga</w:t>
      </w:r>
      <w:r>
        <w:t xml:space="preserve"> i razvijeno kolektivno pregovaranje usklađeno s nacionalnim praksama i poštovanjem autonomije socijalnih partnera ključno je za rješavanje pitanja kupovne moći povezanih s radom, doprinosi socijalnoj koheziji i svima omogućava dostojanstven život. Civilni je dijalog, pak, potreban da bi se stajališta građana uključila u razvoj politika koje utječu na njihove životne uvjete;</w:t>
      </w:r>
    </w:p>
    <w:p w:rsidRPr="004556DA" w:rsidR="004556DA" w:rsidP="009A59C4" w:rsidRDefault="004556DA" w14:paraId="05EFFAD1" w14:textId="77777777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 xml:space="preserve">naglašava da su za rješavanje problema koje nameću troškovi života potrebna </w:t>
      </w:r>
      <w:r>
        <w:rPr>
          <w:b/>
          <w:bCs/>
        </w:rPr>
        <w:t>javna i privatna ulaganja</w:t>
      </w:r>
      <w:r>
        <w:t xml:space="preserve"> u inovacije i infrastrukturu, što obuhvaća stanovanje, energetiku, digitalne i prometne sustave, obrazovanje, zdravstvo i socijalne usluge, kao i sigurnosne i obrambene kapacitete. To zahtijeva veću produktivnost i snažan gospodarski rast, uz istodobno osiguravanje održivih i transparentnih javnih financija.</w:t>
      </w:r>
    </w:p>
    <w:p w:rsidRPr="004556DA" w:rsidR="004556DA" w:rsidP="00D94D34" w:rsidRDefault="004556DA" w14:paraId="6275DDD8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  <w:lang w:val="en-GB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1418"/>
        <w:gridCol w:w="7904"/>
      </w:tblGrid>
      <w:tr w:rsidRPr="004556DA" w:rsidR="004556DA" w:rsidTr="005409C8" w14:paraId="4C4ADA0D" w14:textId="77777777">
        <w:tc>
          <w:tcPr>
            <w:tcW w:w="1418" w:type="dxa"/>
          </w:tcPr>
          <w:p w:rsidRPr="004556DA" w:rsidR="004556DA" w:rsidP="00D94D34" w:rsidRDefault="004556DA" w14:paraId="5ECC90F7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b/>
                <w:i/>
              </w:rPr>
              <w:t>Kontakt</w:t>
            </w:r>
          </w:p>
        </w:tc>
        <w:tc>
          <w:tcPr>
            <w:tcW w:w="7904" w:type="dxa"/>
          </w:tcPr>
          <w:p w:rsidRPr="004556DA" w:rsidR="004556DA" w:rsidP="00D94D34" w:rsidRDefault="004556DA" w14:paraId="68E24A57" w14:textId="628254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proofErr w:type="spellStart"/>
            <w:r>
              <w:rPr>
                <w:i/>
              </w:rPr>
              <w:t>Krisztina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Perlaky</w:t>
            </w:r>
            <w:proofErr w:type="spellEnd"/>
            <w:r>
              <w:rPr>
                <w:i/>
              </w:rPr>
              <w:t xml:space="preserve">-Tóth </w:t>
            </w:r>
          </w:p>
        </w:tc>
      </w:tr>
      <w:tr w:rsidRPr="004556DA" w:rsidR="004556DA" w:rsidTr="005409C8" w14:paraId="5DD44E96" w14:textId="77777777">
        <w:tc>
          <w:tcPr>
            <w:tcW w:w="1418" w:type="dxa"/>
          </w:tcPr>
          <w:p w:rsidRPr="004556DA" w:rsidR="004556DA" w:rsidP="00D94D34" w:rsidRDefault="004556DA" w14:paraId="6E9BF485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7904" w:type="dxa"/>
          </w:tcPr>
          <w:p w:rsidRPr="004556DA" w:rsidR="004556DA" w:rsidP="00D94D34" w:rsidRDefault="004556DA" w14:paraId="70007D50" w14:textId="79DEC9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+32 25469740</w:t>
            </w:r>
          </w:p>
        </w:tc>
      </w:tr>
      <w:tr w:rsidRPr="004556DA" w:rsidR="004556DA" w:rsidTr="005409C8" w14:paraId="7157C4BE" w14:textId="77777777">
        <w:tc>
          <w:tcPr>
            <w:tcW w:w="1418" w:type="dxa"/>
          </w:tcPr>
          <w:p w:rsidRPr="004556DA" w:rsidR="004556DA" w:rsidP="00D94D34" w:rsidRDefault="00A41929" w14:paraId="34D7B951" w14:textId="72F0C6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E-pošta</w:t>
            </w:r>
            <w:r>
              <w:rPr>
                <w:i/>
                <w:iCs/>
              </w:rPr>
              <w:t>:</w:t>
            </w:r>
          </w:p>
        </w:tc>
        <w:tc>
          <w:tcPr>
            <w:tcW w:w="7904" w:type="dxa"/>
          </w:tcPr>
          <w:p w:rsidRPr="004556DA" w:rsidR="004556DA" w:rsidP="00D94D34" w:rsidRDefault="00342135" w14:paraId="52ED36AF" w14:textId="74181A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hyperlink w:history="1" r:id="rId27">
              <w:r w:rsidR="00CB5DFF">
                <w:rPr>
                  <w:i/>
                  <w:color w:val="0000FF"/>
                  <w:u w:val="single"/>
                </w:rPr>
                <w:t>Krisztina.PerlakyToth@eesc.europa.eu</w:t>
              </w:r>
            </w:hyperlink>
          </w:p>
        </w:tc>
      </w:tr>
    </w:tbl>
    <w:p w:rsidR="004556DA" w:rsidP="00D94D34" w:rsidRDefault="004556DA" w14:paraId="7A21604C" w14:textId="77777777">
      <w:pPr>
        <w:jc w:val="left"/>
      </w:pPr>
    </w:p>
    <w:p w:rsidR="00BA5294" w:rsidP="00D94D34" w:rsidRDefault="00BA5294" w14:paraId="65423CA6" w14:textId="6A45DAF5">
      <w:pPr>
        <w:jc w:val="left"/>
      </w:pPr>
      <w:r>
        <w:br w:type="page"/>
      </w:r>
    </w:p>
    <w:p w:rsidRPr="005409C8" w:rsidR="00C8022C" w:rsidP="00D94D34" w:rsidRDefault="00342135" w14:paraId="2408A20A" w14:textId="19FC9856">
      <w:pPr>
        <w:widowControl w:val="0"/>
        <w:numPr>
          <w:ilvl w:val="0"/>
          <w:numId w:val="60"/>
        </w:numPr>
        <w:overflowPunct w:val="0"/>
        <w:autoSpaceDE w:val="0"/>
        <w:autoSpaceDN w:val="0"/>
        <w:adjustRightInd w:val="0"/>
        <w:ind w:hanging="567"/>
        <w:textAlignment w:val="baseline"/>
        <w:rPr>
          <w:b/>
          <w:i/>
          <w:iCs/>
          <w:sz w:val="28"/>
          <w:szCs w:val="28"/>
        </w:rPr>
      </w:pPr>
      <w:hyperlink w:history="1" r:id="rId28">
        <w:proofErr w:type="spellStart"/>
        <w:r w:rsidR="00CB5DFF">
          <w:rPr>
            <w:b/>
            <w:i/>
            <w:color w:val="0000FF"/>
            <w:sz w:val="28"/>
            <w:u w:val="single"/>
          </w:rPr>
          <w:t>Priuštivo</w:t>
        </w:r>
        <w:proofErr w:type="spellEnd"/>
        <w:r w:rsidR="00CB5DFF">
          <w:rPr>
            <w:b/>
            <w:i/>
            <w:color w:val="0000FF"/>
            <w:sz w:val="28"/>
            <w:u w:val="single"/>
          </w:rPr>
          <w:t xml:space="preserve"> stanovanje: kohezijska politika, plan EU-a za gradove i civilno društvo</w:t>
        </w:r>
      </w:hyperlink>
    </w:p>
    <w:p w:rsidRPr="000F00DC" w:rsidR="005409C8" w:rsidP="00D94D34" w:rsidRDefault="005409C8" w14:paraId="6BE019AA" w14:textId="77777777">
      <w:pPr>
        <w:widowControl w:val="0"/>
        <w:overflowPunct w:val="0"/>
        <w:autoSpaceDE w:val="0"/>
        <w:autoSpaceDN w:val="0"/>
        <w:adjustRightInd w:val="0"/>
        <w:ind w:left="283"/>
        <w:textAlignment w:val="baseline"/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1829"/>
        <w:gridCol w:w="7493"/>
      </w:tblGrid>
      <w:tr w:rsidRPr="00C8022C" w:rsidR="00C8022C" w:rsidTr="00625993" w14:paraId="77E042C4" w14:textId="77777777">
        <w:tc>
          <w:tcPr>
            <w:tcW w:w="1701" w:type="dxa"/>
          </w:tcPr>
          <w:p w:rsidRPr="00C8022C" w:rsidR="00C8022C" w:rsidP="00D94D34" w:rsidRDefault="00C8022C" w14:paraId="7A3D0DC8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Izvjestitelj/ica:</w:t>
            </w:r>
          </w:p>
          <w:p w:rsidRPr="00C8022C" w:rsidR="00C8022C" w:rsidP="00D94D34" w:rsidRDefault="00C8022C" w14:paraId="13469BAF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Suizvjestitelj/ica:</w:t>
            </w:r>
          </w:p>
        </w:tc>
        <w:tc>
          <w:tcPr>
            <w:tcW w:w="7621" w:type="dxa"/>
          </w:tcPr>
          <w:p w:rsidRPr="00C8022C" w:rsidR="00C8022C" w:rsidP="00D94D34" w:rsidRDefault="00C8022C" w14:paraId="16CF3CF4" w14:textId="0E1D59AC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Cs/>
              </w:rPr>
            </w:pPr>
            <w:r>
              <w:t>Elena-Alexandra CALISTRU (Skupina organizacija civilnog društva – RO)</w:t>
            </w:r>
          </w:p>
          <w:p w:rsidRPr="00C8022C" w:rsidR="00C8022C" w:rsidP="00D94D34" w:rsidRDefault="00C8022C" w14:paraId="27620ED8" w14:textId="1705C39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Cs/>
              </w:rPr>
            </w:pPr>
            <w:r>
              <w:t>Maria del Carmen BARRERA CHAMORRO (Skupina radnika – ES)</w:t>
            </w:r>
          </w:p>
        </w:tc>
      </w:tr>
      <w:tr w:rsidRPr="00C8022C" w:rsidR="00C8022C" w:rsidTr="00625993" w14:paraId="3AFAA271" w14:textId="77777777">
        <w:tc>
          <w:tcPr>
            <w:tcW w:w="1701" w:type="dxa"/>
          </w:tcPr>
          <w:p w:rsidRPr="00C8022C" w:rsidR="00C8022C" w:rsidP="00D94D34" w:rsidRDefault="00C8022C" w14:paraId="2DF13BFE" w14:textId="66B5EEAE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Referentni dokument/i:</w:t>
            </w:r>
          </w:p>
        </w:tc>
        <w:tc>
          <w:tcPr>
            <w:tcW w:w="7621" w:type="dxa"/>
          </w:tcPr>
          <w:p w:rsidR="00D96673" w:rsidP="00D94D34" w:rsidRDefault="00C8022C" w14:paraId="03D19EE7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samoinicijativno mišljenje</w:t>
            </w:r>
          </w:p>
          <w:p w:rsidRPr="00C8022C" w:rsidR="00C8022C" w:rsidP="00D94D34" w:rsidRDefault="00C8022C" w14:paraId="1A97573E" w14:textId="532C98B2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EESC-2025-00688-00-00-AC</w:t>
            </w:r>
          </w:p>
        </w:tc>
      </w:tr>
    </w:tbl>
    <w:p w:rsidR="005409C8" w:rsidP="00D94D34" w:rsidRDefault="005409C8" w14:paraId="48C9060E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:rsidRPr="00C8022C" w:rsidR="00C8022C" w:rsidP="009A59C4" w:rsidRDefault="00C8022C" w14:paraId="3C369661" w14:textId="6C926F69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Ključne točke</w:t>
      </w:r>
    </w:p>
    <w:p w:rsidR="00F02E15" w:rsidP="00D94D34" w:rsidRDefault="00F02E15" w14:paraId="1B5E2DCB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  <w:lang w:val="en-GB"/>
        </w:rPr>
      </w:pPr>
    </w:p>
    <w:p w:rsidRPr="00C8022C" w:rsidR="00F02E15" w:rsidP="00D94D34" w:rsidRDefault="00C8022C" w14:paraId="5705B77C" w14:textId="54BAC0C8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EGSO:</w:t>
      </w:r>
    </w:p>
    <w:p w:rsidRPr="00C8022C" w:rsidR="00C8022C" w:rsidP="009A59C4" w:rsidRDefault="00C8022C" w14:paraId="7DA43830" w14:textId="77777777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szCs w:val="20"/>
        </w:rPr>
      </w:pPr>
      <w:r>
        <w:t xml:space="preserve">smatra da kriza </w:t>
      </w:r>
      <w:proofErr w:type="spellStart"/>
      <w:r>
        <w:t>priuštivosti</w:t>
      </w:r>
      <w:proofErr w:type="spellEnd"/>
      <w:r>
        <w:t xml:space="preserve"> stanovanja nije samo socijalni izazov već i velika gospodarska prijetnja konkurentnosti EU-a jer se poduzeća suočavaju s pritiskom da povećaju plaće, što smanjuje njihovu međunarodnu konkurentnost. Osim toga, ta kriza dovodi u pitanje cilj kohezijske politike da se stvore konkurentna regionalna gospodarstva; </w:t>
      </w:r>
    </w:p>
    <w:p w:rsidRPr="00C8022C" w:rsidR="00C8022C" w:rsidP="009A59C4" w:rsidRDefault="00C8022C" w14:paraId="200C884B" w14:textId="77777777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szCs w:val="20"/>
        </w:rPr>
      </w:pPr>
      <w:r>
        <w:t>naglašava da su za rješavanje stambene krize potrebni ne samo veća količina sredstava već i pametniji financijski pristupi. S obzirom na godišnji manjak ulaganja od 270 milijardi eura, koji je utvrdila Europska investicijska banka (EIB), prijenos sredstava u okviru sredstava trenutačno dodijeljenih za kohezijsku politiku očito nije dostatan. U tom pogledu smatra da bi kohezijska politika trebala služiti kao glavni okvir za koordinaciju komplementarnih instrumenata zahvaljujući mobilizaciji javnog i privatnog kapitala;</w:t>
      </w:r>
    </w:p>
    <w:p w:rsidRPr="00C8022C" w:rsidR="00C8022C" w:rsidP="009A59C4" w:rsidRDefault="00C8022C" w14:paraId="1BD56CA8" w14:textId="77777777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szCs w:val="20"/>
        </w:rPr>
      </w:pPr>
      <w:r>
        <w:t xml:space="preserve">pozdravlja činjenicu da je Komisija osnovala prvu radnu skupinu za stanovanje i uvela funkciju povjerenika za stanovanje kako bi se osmislio europski plan za </w:t>
      </w:r>
      <w:proofErr w:type="spellStart"/>
      <w:r>
        <w:t>priuštivo</w:t>
      </w:r>
      <w:proofErr w:type="spellEnd"/>
      <w:r>
        <w:t xml:space="preserve"> stanovanje. Međutim, ta bi radna skupina trebala uključivati predstavnike i predstavnice država članica, lokalnih vlasti i socijalnih partnera; </w:t>
      </w:r>
    </w:p>
    <w:p w:rsidRPr="00C8022C" w:rsidR="00C8022C" w:rsidP="009A59C4" w:rsidRDefault="00C8022C" w14:paraId="65B6207A" w14:textId="77777777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szCs w:val="20"/>
        </w:rPr>
      </w:pPr>
      <w:r>
        <w:t xml:space="preserve">podržava donošenje sveobuhvatnog okvira EU-a kojim bi se definiralo </w:t>
      </w:r>
      <w:proofErr w:type="spellStart"/>
      <w:r>
        <w:t>priuštivo</w:t>
      </w:r>
      <w:proofErr w:type="spellEnd"/>
      <w:r>
        <w:t xml:space="preserve"> stanovanje tijekom cijelog procesa (socijalno stanovanje, </w:t>
      </w:r>
      <w:proofErr w:type="spellStart"/>
      <w:r>
        <w:t>priuštivi</w:t>
      </w:r>
      <w:proofErr w:type="spellEnd"/>
      <w:r>
        <w:t xml:space="preserve"> najam, </w:t>
      </w:r>
      <w:proofErr w:type="spellStart"/>
      <w:r>
        <w:t>priuštivo</w:t>
      </w:r>
      <w:proofErr w:type="spellEnd"/>
      <w:r>
        <w:t xml:space="preserve"> vlasništvo) kako bi se pružila pravna sigurnost za ulaganja; </w:t>
      </w:r>
    </w:p>
    <w:p w:rsidRPr="00C8022C" w:rsidR="00C8022C" w:rsidP="009A59C4" w:rsidRDefault="00C8022C" w14:paraId="1708D20C" w14:textId="77777777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szCs w:val="20"/>
        </w:rPr>
      </w:pPr>
      <w:r>
        <w:t xml:space="preserve">smatra da ulaganja u </w:t>
      </w:r>
      <w:proofErr w:type="spellStart"/>
      <w:r>
        <w:t>priuštivo</w:t>
      </w:r>
      <w:proofErr w:type="spellEnd"/>
      <w:r>
        <w:t xml:space="preserve"> i održivo stanovanje moraju biti strateški prioritet kohezijskih fondova EU-a za razdoblje nakon 2027. i da se moraju temeljiti na pristupu koji bi uz socijalno stanovanje uključivao i </w:t>
      </w:r>
      <w:proofErr w:type="spellStart"/>
      <w:r>
        <w:t>priuštivo</w:t>
      </w:r>
      <w:proofErr w:type="spellEnd"/>
      <w:r>
        <w:t xml:space="preserve"> stanovanje, a pritom zadržao mjere obnove; </w:t>
      </w:r>
    </w:p>
    <w:p w:rsidRPr="00C8022C" w:rsidR="00C8022C" w:rsidP="009A59C4" w:rsidRDefault="00C8022C" w14:paraId="486ED526" w14:textId="77777777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szCs w:val="20"/>
        </w:rPr>
      </w:pPr>
      <w:r>
        <w:t xml:space="preserve">prepoznaje važnost zakonodavnog okvira EU-a za utvrđivanje i rješavanje izazova koje predstavlja stambena kriza, što podrazumijeva uklanjanje regulatornih propusta EU-a, istaknutih u presudama Suda Europske unije, kojima su države članice ograničene u financiranju inicijativa za socijalno i </w:t>
      </w:r>
      <w:proofErr w:type="spellStart"/>
      <w:r>
        <w:t>priuštivo</w:t>
      </w:r>
      <w:proofErr w:type="spellEnd"/>
      <w:r>
        <w:t xml:space="preserve"> stanovanje;</w:t>
      </w:r>
    </w:p>
    <w:p w:rsidRPr="00C8022C" w:rsidR="00C8022C" w:rsidP="009A59C4" w:rsidRDefault="00C8022C" w14:paraId="5EF3F4E2" w14:textId="77777777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szCs w:val="20"/>
        </w:rPr>
      </w:pPr>
      <w:r>
        <w:t xml:space="preserve">pozdravlja platformu EU-a za </w:t>
      </w:r>
      <w:proofErr w:type="spellStart"/>
      <w:r>
        <w:t>priuštivo</w:t>
      </w:r>
      <w:proofErr w:type="spellEnd"/>
      <w:r>
        <w:t xml:space="preserve"> stanovanje, koja uključuje EIB kako bi se potaknula privatna ulaganja na terenu i savjetodavne usluge koje obuhvaćaju sve faze projektnog ciklusa i šire; </w:t>
      </w:r>
    </w:p>
    <w:p w:rsidRPr="00C8022C" w:rsidR="00C8022C" w:rsidP="009A59C4" w:rsidRDefault="00C8022C" w14:paraId="50067963" w14:textId="77777777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szCs w:val="20"/>
        </w:rPr>
      </w:pPr>
      <w:r>
        <w:t xml:space="preserve">podržava prijedlog iznesen u prvom izvješću Odbora za regionalni razvoj (REGI) Europskog parlamenta da se zajmovi, jamstva i vlastita sredstva za </w:t>
      </w:r>
      <w:proofErr w:type="spellStart"/>
      <w:r>
        <w:t>priuštivo</w:t>
      </w:r>
      <w:proofErr w:type="spellEnd"/>
      <w:r>
        <w:t xml:space="preserve"> stanovanje ne bi smjela smatrati dugom država u okviru Pakta o stabilnosti i rastu i europskog semestra; </w:t>
      </w:r>
    </w:p>
    <w:p w:rsidRPr="00C8022C" w:rsidR="00C8022C" w:rsidP="009A59C4" w:rsidRDefault="00C8022C" w14:paraId="236BAB66" w14:textId="77777777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szCs w:val="20"/>
        </w:rPr>
      </w:pPr>
      <w:r>
        <w:t xml:space="preserve">smatra da definicije pravila o državnim potporama i usluga od općeg gospodarskog interesa nameću ograničenja za javna ulaganja u </w:t>
      </w:r>
      <w:proofErr w:type="spellStart"/>
      <w:r>
        <w:t>priuštivo</w:t>
      </w:r>
      <w:proofErr w:type="spellEnd"/>
      <w:r>
        <w:t xml:space="preserve"> stanovanje izvan usko definiranih socijalnih stanova;</w:t>
      </w:r>
    </w:p>
    <w:p w:rsidRPr="00C8022C" w:rsidR="00C8022C" w:rsidP="009A59C4" w:rsidRDefault="00C8022C" w14:paraId="749B3920" w14:textId="77777777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szCs w:val="20"/>
        </w:rPr>
      </w:pPr>
      <w:r>
        <w:lastRenderedPageBreak/>
        <w:t xml:space="preserve">smatra da financijski instrumenti kojima se povrati usmjeravaju u ponovna ulaganja mogu stvoriti održive mehanizme financiranja stanovanja izvan programskih ciklusa; </w:t>
      </w:r>
    </w:p>
    <w:p w:rsidRPr="00C8022C" w:rsidR="00C8022C" w:rsidP="009A59C4" w:rsidRDefault="00C8022C" w14:paraId="01EB6F00" w14:textId="77777777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szCs w:val="20"/>
        </w:rPr>
      </w:pPr>
      <w:r>
        <w:t>očekuje da će se u sljedećem višegodišnjem financijskom okviru (VFO) stanovanje izričito prepoznati kao čimbenik gospodarske konkurentnosti i uključiti u područje primjene Europskog fonda za konkurentnost;</w:t>
      </w:r>
    </w:p>
    <w:p w:rsidRPr="00C8022C" w:rsidR="00C8022C" w:rsidP="009A59C4" w:rsidRDefault="00C8022C" w14:paraId="400DF58B" w14:textId="77777777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szCs w:val="20"/>
        </w:rPr>
      </w:pPr>
      <w:r>
        <w:t>smatra da bi nacionalne i europske politike usmjerene na promicanje gospodarskog rasta putem turizma ili razvoja u području nekretnina trebale uzeti u obzir njihov potencijalni učinak na lokalna tržišta stambenih nekretnina;</w:t>
      </w:r>
    </w:p>
    <w:p w:rsidRPr="00C8022C" w:rsidR="00C8022C" w:rsidP="009A59C4" w:rsidRDefault="00C8022C" w14:paraId="7291A538" w14:textId="77777777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szCs w:val="20"/>
        </w:rPr>
      </w:pPr>
      <w:r>
        <w:t xml:space="preserve">smatra bi Europska komisija trebala uzeti u obzir iskustva i najbolje prakse nacionalnih, regionalnih i lokalnih vlasti angažiranih na razvoju </w:t>
      </w:r>
      <w:proofErr w:type="spellStart"/>
      <w:r>
        <w:t>priuštivog</w:t>
      </w:r>
      <w:proofErr w:type="spellEnd"/>
      <w:r>
        <w:t xml:space="preserve"> socijalnog stanovanja u cijeloj Europskoj uniji;</w:t>
      </w:r>
    </w:p>
    <w:p w:rsidRPr="00C8022C" w:rsidR="00C8022C" w:rsidP="009A59C4" w:rsidRDefault="00C8022C" w14:paraId="587C5060" w14:textId="77777777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szCs w:val="20"/>
        </w:rPr>
      </w:pPr>
      <w:r>
        <w:t xml:space="preserve">smatra da se </w:t>
      </w:r>
      <w:proofErr w:type="spellStart"/>
      <w:r>
        <w:t>priuštivo</w:t>
      </w:r>
      <w:proofErr w:type="spellEnd"/>
      <w:r>
        <w:t xml:space="preserve"> stanovanje mora smatrati okosnicom europskog socijalnog modela.</w:t>
      </w:r>
    </w:p>
    <w:p w:rsidRPr="00C8022C" w:rsidR="00C8022C" w:rsidP="00D94D34" w:rsidRDefault="00C8022C" w14:paraId="3424569B" w14:textId="77777777">
      <w:pPr>
        <w:overflowPunct w:val="0"/>
        <w:autoSpaceDE w:val="0"/>
        <w:autoSpaceDN w:val="0"/>
        <w:adjustRightInd w:val="0"/>
        <w:textAlignment w:val="baseline"/>
        <w:rPr>
          <w:szCs w:val="20"/>
          <w:lang w:val="en-GB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1418"/>
        <w:gridCol w:w="7904"/>
      </w:tblGrid>
      <w:tr w:rsidRPr="00C8022C" w:rsidR="00C8022C" w:rsidTr="005409C8" w14:paraId="39000E04" w14:textId="77777777">
        <w:tc>
          <w:tcPr>
            <w:tcW w:w="1418" w:type="dxa"/>
          </w:tcPr>
          <w:p w:rsidRPr="00C8022C" w:rsidR="00C8022C" w:rsidP="00D94D34" w:rsidRDefault="00C8022C" w14:paraId="711B4914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b/>
                <w:i/>
              </w:rPr>
              <w:t>Kontakt:</w:t>
            </w:r>
          </w:p>
        </w:tc>
        <w:tc>
          <w:tcPr>
            <w:tcW w:w="7904" w:type="dxa"/>
          </w:tcPr>
          <w:p w:rsidRPr="00C8022C" w:rsidR="00C8022C" w:rsidP="00D94D34" w:rsidRDefault="00C8022C" w14:paraId="3ECF7D20" w14:textId="0104D9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proofErr w:type="spellStart"/>
            <w:r>
              <w:rPr>
                <w:i/>
              </w:rPr>
              <w:t>Georgios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Meleas</w:t>
            </w:r>
            <w:proofErr w:type="spellEnd"/>
          </w:p>
        </w:tc>
      </w:tr>
      <w:tr w:rsidRPr="00C8022C" w:rsidR="00C8022C" w:rsidTr="005409C8" w14:paraId="6AC59AB5" w14:textId="77777777">
        <w:tc>
          <w:tcPr>
            <w:tcW w:w="1418" w:type="dxa"/>
          </w:tcPr>
          <w:p w:rsidRPr="00C8022C" w:rsidR="00C8022C" w:rsidP="00D94D34" w:rsidRDefault="00C8022C" w14:paraId="52267DAD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7904" w:type="dxa"/>
          </w:tcPr>
          <w:p w:rsidRPr="00C8022C" w:rsidR="00C8022C" w:rsidP="00D94D34" w:rsidRDefault="00C8022C" w14:paraId="29B047F7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+32 25469795</w:t>
            </w:r>
          </w:p>
        </w:tc>
      </w:tr>
      <w:tr w:rsidRPr="00C8022C" w:rsidR="00C8022C" w:rsidTr="005409C8" w14:paraId="3DEE80D0" w14:textId="77777777">
        <w:tc>
          <w:tcPr>
            <w:tcW w:w="1418" w:type="dxa"/>
          </w:tcPr>
          <w:p w:rsidRPr="00C8022C" w:rsidR="00C8022C" w:rsidP="00D94D34" w:rsidRDefault="00C8022C" w14:paraId="39CCF2A3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E-pošta</w:t>
            </w:r>
            <w:r>
              <w:rPr>
                <w:i/>
                <w:iCs/>
              </w:rPr>
              <w:t>:</w:t>
            </w:r>
          </w:p>
        </w:tc>
        <w:tc>
          <w:tcPr>
            <w:tcW w:w="7904" w:type="dxa"/>
          </w:tcPr>
          <w:p w:rsidRPr="00C8022C" w:rsidR="00C8022C" w:rsidP="00D94D34" w:rsidRDefault="00342135" w14:paraId="06852BD0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hyperlink w:history="1" r:id="rId29">
              <w:r w:rsidR="00CB5DFF">
                <w:rPr>
                  <w:i/>
                  <w:color w:val="0000FF"/>
                  <w:u w:val="single"/>
                </w:rPr>
                <w:t>Georgios.Meleas@eesc.europa.eu</w:t>
              </w:r>
            </w:hyperlink>
          </w:p>
        </w:tc>
      </w:tr>
    </w:tbl>
    <w:p w:rsidR="00D94D34" w:rsidP="00D94D34" w:rsidRDefault="00D94D34" w14:paraId="7DB4D624" w14:textId="77777777">
      <w:pPr>
        <w:jc w:val="left"/>
      </w:pPr>
    </w:p>
    <w:p w:rsidR="00D94D34" w:rsidP="00D94D34" w:rsidRDefault="00D94D34" w14:paraId="0C7BDEF0" w14:textId="77777777">
      <w:pPr>
        <w:jc w:val="left"/>
      </w:pPr>
    </w:p>
    <w:p w:rsidRPr="00904AE5" w:rsidR="00904AE5" w:rsidP="00D94D34" w:rsidRDefault="00342135" w14:paraId="4391D498" w14:textId="70EACAA4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hanging="567"/>
        <w:textAlignment w:val="baseline"/>
        <w:rPr>
          <w:b/>
          <w:i/>
          <w:iCs/>
          <w:sz w:val="28"/>
          <w:szCs w:val="28"/>
        </w:rPr>
      </w:pPr>
      <w:hyperlink w:history="1" r:id="rId30">
        <w:r w:rsidR="00CB5DFF">
          <w:rPr>
            <w:b/>
            <w:i/>
            <w:color w:val="0000FF"/>
            <w:sz w:val="28"/>
            <w:u w:val="single"/>
          </w:rPr>
          <w:t>Financijska pismenost i financijsko obrazovanje za Europljane</w:t>
        </w:r>
      </w:hyperlink>
    </w:p>
    <w:p w:rsidRPr="00904AE5" w:rsidR="00904AE5" w:rsidP="00D94D34" w:rsidRDefault="00904AE5" w14:paraId="4C95A43C" w14:textId="77777777">
      <w:pPr>
        <w:widowControl w:val="0"/>
        <w:overflowPunct w:val="0"/>
        <w:autoSpaceDE w:val="0"/>
        <w:autoSpaceDN w:val="0"/>
        <w:adjustRightInd w:val="0"/>
        <w:ind w:left="284"/>
        <w:textAlignment w:val="baseline"/>
        <w:rPr>
          <w:b/>
          <w:i/>
          <w:iCs/>
          <w:sz w:val="20"/>
          <w:szCs w:val="20"/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7479"/>
      </w:tblGrid>
      <w:tr w:rsidRPr="00904AE5" w:rsidR="00904AE5" w:rsidTr="003C0471" w14:paraId="413803EF" w14:textId="77777777">
        <w:tc>
          <w:tcPr>
            <w:tcW w:w="1701" w:type="dxa"/>
          </w:tcPr>
          <w:p w:rsidRPr="00904AE5" w:rsidR="00904AE5" w:rsidP="00D94D34" w:rsidRDefault="00904AE5" w14:paraId="23CA6F02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Izvjestitelj/ica:</w:t>
            </w:r>
          </w:p>
        </w:tc>
        <w:tc>
          <w:tcPr>
            <w:tcW w:w="7479" w:type="dxa"/>
          </w:tcPr>
          <w:p w:rsidRPr="00904AE5" w:rsidR="00812C74" w:rsidP="00D94D34" w:rsidRDefault="00904AE5" w14:paraId="28117812" w14:textId="3C975F72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Cs/>
              </w:rPr>
            </w:pPr>
            <w:r>
              <w:t>Giuseppe GUERINI (Skupina organizacija civilnog društva – IT)</w:t>
            </w:r>
          </w:p>
        </w:tc>
      </w:tr>
      <w:tr w:rsidRPr="00904AE5" w:rsidR="00904AE5" w:rsidTr="003C0471" w14:paraId="1460C21F" w14:textId="77777777">
        <w:tc>
          <w:tcPr>
            <w:tcW w:w="1701" w:type="dxa"/>
          </w:tcPr>
          <w:p w:rsidRPr="00904AE5" w:rsidR="00904AE5" w:rsidP="00D94D34" w:rsidRDefault="00904AE5" w14:paraId="1CFBC6E9" w14:textId="4B71736E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Referentni dokument/i:</w:t>
            </w:r>
          </w:p>
        </w:tc>
        <w:tc>
          <w:tcPr>
            <w:tcW w:w="7479" w:type="dxa"/>
          </w:tcPr>
          <w:p w:rsidRPr="00904AE5" w:rsidR="00904AE5" w:rsidP="00D94D34" w:rsidRDefault="00904AE5" w14:paraId="020A9F62" w14:textId="1D0AE6AA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proofErr w:type="spellStart"/>
            <w:r>
              <w:t>razmatračko</w:t>
            </w:r>
            <w:proofErr w:type="spellEnd"/>
            <w:r>
              <w:t xml:space="preserve"> mišljenje na zahtjev Europske komisije</w:t>
            </w:r>
          </w:p>
          <w:p w:rsidRPr="00904AE5" w:rsidR="00904AE5" w:rsidP="00D94D34" w:rsidRDefault="00904AE5" w14:paraId="6C9111B2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EESC-2025-01265-00-00-AC</w:t>
            </w:r>
          </w:p>
        </w:tc>
      </w:tr>
    </w:tbl>
    <w:p w:rsidR="00812C74" w:rsidP="00D94D34" w:rsidRDefault="00812C74" w14:paraId="55CAA9C3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:rsidRPr="00904AE5" w:rsidR="00904AE5" w:rsidP="00D94D34" w:rsidRDefault="00904AE5" w14:paraId="5F03CB65" w14:textId="73DBE41A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Ključne točke</w:t>
      </w:r>
    </w:p>
    <w:p w:rsidRPr="00904AE5" w:rsidR="00904AE5" w:rsidP="00D94D34" w:rsidRDefault="00904AE5" w14:paraId="2F9EBB02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:rsidRPr="00904AE5" w:rsidR="00812C74" w:rsidP="00D94D34" w:rsidRDefault="00904AE5" w14:paraId="111C3DFB" w14:textId="30A76DB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EGSO:</w:t>
      </w:r>
    </w:p>
    <w:p w:rsidRPr="00904AE5" w:rsidR="00904AE5" w:rsidP="009A59C4" w:rsidRDefault="00904AE5" w14:paraId="78744D6B" w14:textId="77777777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szCs w:val="20"/>
        </w:rPr>
      </w:pPr>
      <w:r>
        <w:t>preporučuje da se financijska pismenost aktivno promiče kao preduvjet za financijsku stabilnost i neovisnost građana i građanki EU-a, radi smanjenja nejednakosti i jačanja socijalnih prava i kao dodatno sredstvo za uspješno planiranje socijalne sigurnosti i mirovina i pristupa zdravstvenom osiguranju i dugotrajnoj skrbi;</w:t>
      </w:r>
    </w:p>
    <w:p w:rsidRPr="00904AE5" w:rsidR="00904AE5" w:rsidP="009A59C4" w:rsidRDefault="00904AE5" w14:paraId="24FEFCF7" w14:textId="77777777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szCs w:val="20"/>
        </w:rPr>
      </w:pPr>
      <w:bookmarkStart w:name="_Toc204261460" w:id="1"/>
      <w:bookmarkStart w:name="_Toc204268724" w:id="2"/>
      <w:bookmarkStart w:name="_Toc204268889" w:id="3"/>
      <w:bookmarkStart w:name="_Toc204269023" w:id="4"/>
      <w:bookmarkEnd w:id="1"/>
      <w:bookmarkEnd w:id="2"/>
      <w:bookmarkEnd w:id="3"/>
      <w:bookmarkEnd w:id="4"/>
      <w:r>
        <w:t>smatra da je s pomoću ciljanih i prilagođenih inicijativa potrebno poduzeti korake u vezi s različitim razinama financijske pismenosti u državama članicama i među raznim skupinama stanovništva;</w:t>
      </w:r>
    </w:p>
    <w:p w:rsidRPr="00904AE5" w:rsidR="00904AE5" w:rsidP="009A59C4" w:rsidRDefault="00904AE5" w14:paraId="2FA7A1BE" w14:textId="77777777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szCs w:val="20"/>
        </w:rPr>
      </w:pPr>
      <w:bookmarkStart w:name="_Toc204261462" w:id="5"/>
      <w:bookmarkStart w:name="_Toc204268726" w:id="6"/>
      <w:bookmarkStart w:name="_Toc204268891" w:id="7"/>
      <w:bookmarkStart w:name="_Toc204269025" w:id="8"/>
      <w:bookmarkEnd w:id="5"/>
      <w:bookmarkEnd w:id="6"/>
      <w:bookmarkEnd w:id="7"/>
      <w:bookmarkEnd w:id="8"/>
      <w:r>
        <w:t>napominje važnost razumijevanja zaduživanja, funkcioniranja financijskih tržišta, poreznih aspekata povezanih s ulaganjima i osiguranja kao sredstva za upravljanje rizicima. Ti aspekti imaju krucijalnu ulogu u sposobnosti građana da se nose s rizicima, koriste financijske prilike i planiraju vlastitu mirovinu;</w:t>
      </w:r>
    </w:p>
    <w:p w:rsidRPr="00904AE5" w:rsidR="00904AE5" w:rsidP="009A59C4" w:rsidRDefault="00904AE5" w14:paraId="6644898D" w14:textId="77777777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szCs w:val="20"/>
        </w:rPr>
      </w:pPr>
      <w:bookmarkStart w:name="_Toc204261464" w:id="9"/>
      <w:bookmarkStart w:name="_Toc204268728" w:id="10"/>
      <w:bookmarkStart w:name="_Toc204268893" w:id="11"/>
      <w:bookmarkStart w:name="_Toc204269027" w:id="12"/>
      <w:bookmarkEnd w:id="9"/>
      <w:bookmarkEnd w:id="10"/>
      <w:bookmarkEnd w:id="11"/>
      <w:bookmarkEnd w:id="12"/>
      <w:r>
        <w:t xml:space="preserve">ističe važnost poboljšanja razumijevanja triju ključnih koncepata: (i) diversifikacije (ii) korelacije i </w:t>
      </w:r>
      <w:proofErr w:type="spellStart"/>
      <w:r>
        <w:t>dekorelacije</w:t>
      </w:r>
      <w:proofErr w:type="spellEnd"/>
      <w:r>
        <w:t xml:space="preserve"> među kategorijama imovine i (iii) uloge vremena, strpljenja i dugoročne perspektive;</w:t>
      </w:r>
    </w:p>
    <w:p w:rsidRPr="00904AE5" w:rsidR="00904AE5" w:rsidP="009A59C4" w:rsidRDefault="00904AE5" w14:paraId="204CF894" w14:textId="77777777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szCs w:val="20"/>
        </w:rPr>
      </w:pPr>
      <w:bookmarkStart w:name="_Toc204261466" w:id="13"/>
      <w:bookmarkStart w:name="_Toc204268730" w:id="14"/>
      <w:bookmarkStart w:name="_Toc204268895" w:id="15"/>
      <w:bookmarkStart w:name="_Toc204269029" w:id="16"/>
      <w:bookmarkEnd w:id="13"/>
      <w:bookmarkEnd w:id="14"/>
      <w:bookmarkEnd w:id="15"/>
      <w:bookmarkEnd w:id="16"/>
      <w:r>
        <w:t>potiče relevantne institucije da poduzmu opsežne inicijative u području financijske pismenosti, počevši od ranih godina školovanja, uključujući uvođenje te teme u školske kurikulume;</w:t>
      </w:r>
    </w:p>
    <w:p w:rsidRPr="00904AE5" w:rsidR="00904AE5" w:rsidP="009A59C4" w:rsidRDefault="00904AE5" w14:paraId="5D803C3E" w14:textId="77777777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szCs w:val="20"/>
        </w:rPr>
      </w:pPr>
      <w:bookmarkStart w:name="_Toc204261468" w:id="17"/>
      <w:bookmarkStart w:name="_Toc204268732" w:id="18"/>
      <w:bookmarkStart w:name="_Toc204268897" w:id="19"/>
      <w:bookmarkStart w:name="_Toc204269031" w:id="20"/>
      <w:bookmarkEnd w:id="17"/>
      <w:bookmarkEnd w:id="18"/>
      <w:bookmarkEnd w:id="19"/>
      <w:bookmarkEnd w:id="20"/>
      <w:r>
        <w:t xml:space="preserve">preporučuje da civilno društvo i neprofitni dionici imaju aktivnu ulogu u programima financijskog obrazovanja kako bi se potaknule financijska pismenost i poduzetničke vještine </w:t>
      </w:r>
      <w:r>
        <w:lastRenderedPageBreak/>
        <w:t>osoba koje pokreću poduzetničke aktivnosti. Posebnu pažnju treba posvetiti novim poduzetnicima koji dolaze iz skupina u nepovoljnom položaju;</w:t>
      </w:r>
    </w:p>
    <w:p w:rsidRPr="00904AE5" w:rsidR="00904AE5" w:rsidP="009A59C4" w:rsidRDefault="00904AE5" w14:paraId="18D74AA9" w14:textId="77777777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szCs w:val="20"/>
        </w:rPr>
      </w:pPr>
      <w:bookmarkStart w:name="_Toc204261470" w:id="21"/>
      <w:bookmarkStart w:name="_Toc204268734" w:id="22"/>
      <w:bookmarkStart w:name="_Toc204268899" w:id="23"/>
      <w:bookmarkStart w:name="_Toc204269033" w:id="24"/>
      <w:bookmarkEnd w:id="21"/>
      <w:bookmarkEnd w:id="22"/>
      <w:bookmarkEnd w:id="23"/>
      <w:bookmarkEnd w:id="24"/>
      <w:r>
        <w:t>smatra da bi moglo biti korisno uvesti europski dan financijskog obrazovanja kako bi se promicale inicijative za senzibilizaciju javnosti;</w:t>
      </w:r>
    </w:p>
    <w:p w:rsidRPr="00904AE5" w:rsidR="00904AE5" w:rsidP="009A59C4" w:rsidRDefault="00904AE5" w14:paraId="49EE923F" w14:textId="77777777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szCs w:val="20"/>
        </w:rPr>
      </w:pPr>
      <w:bookmarkStart w:name="_Toc204261472" w:id="25"/>
      <w:bookmarkStart w:name="_Toc204268736" w:id="26"/>
      <w:bookmarkStart w:name="_Toc204268901" w:id="27"/>
      <w:bookmarkStart w:name="_Toc204269035" w:id="28"/>
      <w:bookmarkEnd w:id="25"/>
      <w:bookmarkEnd w:id="26"/>
      <w:bookmarkEnd w:id="27"/>
      <w:bookmarkEnd w:id="28"/>
      <w:r>
        <w:t xml:space="preserve">naglašava važnost razvoja dovoljno fleksibilnog regulatornog okvira koji bi omogućio da se ide u korak s trendovima na financijskim tržištima, čime bi se osiguralo pravodobno odgovaranje na konkretan razvoj situacije, primjerice kad je riječ o društvenim mrežama i tzv. „financijskim </w:t>
      </w:r>
      <w:proofErr w:type="spellStart"/>
      <w:r>
        <w:t>influencerima</w:t>
      </w:r>
      <w:proofErr w:type="spellEnd"/>
      <w:r>
        <w:t>”;</w:t>
      </w:r>
    </w:p>
    <w:p w:rsidRPr="00904AE5" w:rsidR="00904AE5" w:rsidP="009A59C4" w:rsidRDefault="00904AE5" w14:paraId="606D5852" w14:textId="77777777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szCs w:val="20"/>
        </w:rPr>
      </w:pPr>
      <w:r>
        <w:t>upozorava na sve veću opasnost od financijskih prijevara i prijevara na internetu, što ukazuje na važnost ne samo financijskog znanja i vještina već i osviještenosti o vlastitom ponašanju. Hitno su i nužno potrebne koordinirane mjere na europskoj razini, popraćene nacionalnim mjerama.</w:t>
      </w:r>
    </w:p>
    <w:p w:rsidRPr="00904AE5" w:rsidR="00904AE5" w:rsidP="00D94D34" w:rsidRDefault="00904AE5" w14:paraId="5DE22F08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  <w:lang w:val="en-GB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1418"/>
        <w:gridCol w:w="7904"/>
      </w:tblGrid>
      <w:tr w:rsidRPr="00904AE5" w:rsidR="00904AE5" w:rsidTr="003C0471" w14:paraId="7915B242" w14:textId="77777777">
        <w:tc>
          <w:tcPr>
            <w:tcW w:w="1418" w:type="dxa"/>
          </w:tcPr>
          <w:p w:rsidRPr="00904AE5" w:rsidR="00904AE5" w:rsidP="00D94D34" w:rsidRDefault="00904AE5" w14:paraId="49333FAA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b/>
                <w:i/>
              </w:rPr>
              <w:t>Kontakt:</w:t>
            </w:r>
          </w:p>
        </w:tc>
        <w:tc>
          <w:tcPr>
            <w:tcW w:w="7904" w:type="dxa"/>
          </w:tcPr>
          <w:p w:rsidRPr="00904AE5" w:rsidR="00904AE5" w:rsidP="00D94D34" w:rsidRDefault="00904AE5" w14:paraId="4E1E3CF7" w14:textId="551495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 xml:space="preserve">Sergio </w:t>
            </w:r>
            <w:proofErr w:type="spellStart"/>
            <w:r>
              <w:rPr>
                <w:i/>
              </w:rPr>
              <w:t>Lorencio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Matallana</w:t>
            </w:r>
            <w:proofErr w:type="spellEnd"/>
          </w:p>
        </w:tc>
      </w:tr>
      <w:tr w:rsidRPr="00904AE5" w:rsidR="00904AE5" w:rsidTr="003C0471" w14:paraId="3A03B2B7" w14:textId="77777777">
        <w:tc>
          <w:tcPr>
            <w:tcW w:w="1418" w:type="dxa"/>
          </w:tcPr>
          <w:p w:rsidRPr="00904AE5" w:rsidR="00904AE5" w:rsidP="00D94D34" w:rsidRDefault="00904AE5" w14:paraId="506488B5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7904" w:type="dxa"/>
          </w:tcPr>
          <w:p w:rsidRPr="00904AE5" w:rsidR="00904AE5" w:rsidP="00D94D34" w:rsidRDefault="00904AE5" w14:paraId="3BDD75F9" w14:textId="50193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+32 25469240</w:t>
            </w:r>
          </w:p>
        </w:tc>
      </w:tr>
      <w:tr w:rsidRPr="00904AE5" w:rsidR="00904AE5" w:rsidTr="003C0471" w14:paraId="5C39F828" w14:textId="77777777">
        <w:tc>
          <w:tcPr>
            <w:tcW w:w="1418" w:type="dxa"/>
          </w:tcPr>
          <w:p w:rsidRPr="00904AE5" w:rsidR="00904AE5" w:rsidP="00D94D34" w:rsidRDefault="00904AE5" w14:paraId="3AEBE77B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E-pošta</w:t>
            </w:r>
            <w:r>
              <w:rPr>
                <w:i/>
                <w:iCs/>
              </w:rPr>
              <w:t>:</w:t>
            </w:r>
          </w:p>
        </w:tc>
        <w:tc>
          <w:tcPr>
            <w:tcW w:w="7904" w:type="dxa"/>
          </w:tcPr>
          <w:p w:rsidRPr="00904AE5" w:rsidR="00904AE5" w:rsidP="00D94D34" w:rsidRDefault="00342135" w14:paraId="071C1ABA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</w:rPr>
            </w:pPr>
            <w:hyperlink w:history="1" r:id="rId31">
              <w:r w:rsidR="00CB5DFF">
                <w:rPr>
                  <w:i/>
                  <w:color w:val="0000FF"/>
                  <w:u w:val="single"/>
                </w:rPr>
                <w:t>Sergio.LorencioMatallana@eesc.europa.eu</w:t>
              </w:r>
            </w:hyperlink>
          </w:p>
        </w:tc>
      </w:tr>
    </w:tbl>
    <w:p w:rsidR="004D7AC0" w:rsidP="00D94D34" w:rsidRDefault="004D7AC0" w14:paraId="4982DD98" w14:textId="0D6B5ABD">
      <w:pPr>
        <w:jc w:val="left"/>
      </w:pPr>
      <w:r>
        <w:br w:type="page"/>
      </w:r>
    </w:p>
    <w:p w:rsidR="004D7AC0" w:rsidP="00D94D34" w:rsidRDefault="004D7AC0" w14:paraId="4982DD99" w14:textId="77777777">
      <w:pPr>
        <w:pStyle w:val="Heading1"/>
        <w:rPr>
          <w:b/>
        </w:rPr>
      </w:pPr>
      <w:bookmarkStart w:name="_Toc75527081" w:id="29"/>
      <w:bookmarkStart w:name="_Toc205373405" w:id="30"/>
      <w:r>
        <w:rPr>
          <w:b/>
        </w:rPr>
        <w:lastRenderedPageBreak/>
        <w:t>STRUČNA SKUPINA ZA ZAPOŠLJAVANJE, SOCIJALNA PITANJA I GRAĐANSTVO</w:t>
      </w:r>
      <w:bookmarkEnd w:id="29"/>
      <w:bookmarkEnd w:id="30"/>
    </w:p>
    <w:p w:rsidR="004D7AC0" w:rsidP="00D94D34" w:rsidRDefault="004D7AC0" w14:paraId="4982DDC2" w14:textId="77777777">
      <w:pPr>
        <w:pStyle w:val="ListParagraph"/>
        <w:ind w:left="0"/>
      </w:pPr>
    </w:p>
    <w:p w:rsidRPr="00987844" w:rsidR="00987844" w:rsidP="00D94D34" w:rsidRDefault="00342135" w14:paraId="7BE8E205" w14:textId="463FCF2A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4"/>
          <w:szCs w:val="24"/>
        </w:rPr>
      </w:pPr>
      <w:hyperlink w:history="1" r:id="rId32">
        <w:r w:rsidR="00CB5DFF">
          <w:rPr>
            <w:b/>
            <w:i/>
            <w:color w:val="0000FF"/>
            <w:sz w:val="28"/>
            <w:u w:val="single"/>
          </w:rPr>
          <w:t>Rješavanje problema nejednakosti u pristupu zdravstvenoj skrbi</w:t>
        </w:r>
      </w:hyperlink>
    </w:p>
    <w:p w:rsidRPr="00987844" w:rsidR="00B0747C" w:rsidP="00D94D34" w:rsidRDefault="00B0747C" w14:paraId="2F4C1CB5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1701"/>
        <w:gridCol w:w="7621"/>
      </w:tblGrid>
      <w:tr w:rsidRPr="00987844" w:rsidR="00987844" w:rsidTr="006433AA" w14:paraId="7FBD4AE9" w14:textId="77777777">
        <w:tc>
          <w:tcPr>
            <w:tcW w:w="1701" w:type="dxa"/>
          </w:tcPr>
          <w:p w:rsidRPr="00987844" w:rsidR="00987844" w:rsidP="00D94D34" w:rsidRDefault="00987844" w14:paraId="4DE13EC7" w14:textId="18FB5C12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Izvjestitelj/ica:</w:t>
            </w:r>
          </w:p>
        </w:tc>
        <w:tc>
          <w:tcPr>
            <w:tcW w:w="7621" w:type="dxa"/>
          </w:tcPr>
          <w:p w:rsidRPr="00987844" w:rsidR="00987844" w:rsidP="00D94D34" w:rsidRDefault="00987844" w14:paraId="553224DE" w14:textId="7E07E1E5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529" w:hanging="266"/>
              <w:textAlignment w:val="baseline"/>
            </w:pPr>
            <w:r>
              <w:t>Pietro Vittorio BARBIERI (Skupina organizacija civilnog društva – IT)</w:t>
            </w:r>
          </w:p>
        </w:tc>
      </w:tr>
      <w:tr w:rsidRPr="00987844" w:rsidR="00987844" w:rsidTr="006433AA" w14:paraId="71B038CE" w14:textId="77777777">
        <w:tc>
          <w:tcPr>
            <w:tcW w:w="1701" w:type="dxa"/>
            <w:vMerge w:val="restart"/>
          </w:tcPr>
          <w:p w:rsidRPr="00987844" w:rsidR="00987844" w:rsidP="00D94D34" w:rsidRDefault="00987844" w14:paraId="400D140B" w14:textId="0C22AF42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Referentni dokument/i:</w:t>
            </w:r>
          </w:p>
        </w:tc>
        <w:tc>
          <w:tcPr>
            <w:tcW w:w="7621" w:type="dxa"/>
          </w:tcPr>
          <w:p w:rsidRPr="00987844" w:rsidR="00987844" w:rsidP="00D94D34" w:rsidRDefault="00987844" w14:paraId="50C6B23A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samoinicijativno mišljenje</w:t>
            </w:r>
          </w:p>
        </w:tc>
      </w:tr>
      <w:tr w:rsidRPr="00987844" w:rsidR="00987844" w:rsidTr="006433AA" w14:paraId="6B85566F" w14:textId="77777777">
        <w:tc>
          <w:tcPr>
            <w:tcW w:w="1701" w:type="dxa"/>
            <w:vMerge/>
          </w:tcPr>
          <w:p w:rsidRPr="00987844" w:rsidR="00987844" w:rsidP="00D94D34" w:rsidRDefault="00987844" w14:paraId="10801998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lang w:val="en-GB"/>
              </w:rPr>
            </w:pPr>
          </w:p>
        </w:tc>
        <w:tc>
          <w:tcPr>
            <w:tcW w:w="7621" w:type="dxa"/>
          </w:tcPr>
          <w:p w:rsidRPr="00987844" w:rsidR="00987844" w:rsidP="00D94D34" w:rsidRDefault="00987844" w14:paraId="1D629F48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EESC-2025-00854-00-00-AC</w:t>
            </w:r>
          </w:p>
        </w:tc>
      </w:tr>
    </w:tbl>
    <w:p w:rsidRPr="00987844" w:rsidR="00987844" w:rsidP="00D94D34" w:rsidRDefault="00987844" w14:paraId="7551D2E3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lang w:val="en-GB"/>
        </w:rPr>
      </w:pPr>
    </w:p>
    <w:p w:rsidR="00987844" w:rsidP="00D94D34" w:rsidRDefault="00987844" w14:paraId="5F144453" w14:textId="5AFA81FF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Ključne točke</w:t>
      </w:r>
    </w:p>
    <w:p w:rsidRPr="00987844" w:rsidR="006433AA" w:rsidP="00D94D34" w:rsidRDefault="006433AA" w14:paraId="5759EDED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:rsidRPr="00987844" w:rsidR="00987844" w:rsidP="00D94D34" w:rsidRDefault="00987844" w14:paraId="278E19B7" w14:textId="77777777">
      <w:pPr>
        <w:jc w:val="left"/>
        <w:rPr>
          <w:b/>
          <w:bCs/>
        </w:rPr>
      </w:pPr>
      <w:r>
        <w:t>EGSO:</w:t>
      </w:r>
    </w:p>
    <w:p w:rsidRPr="00626D86" w:rsidR="00987844" w:rsidP="009A59C4" w:rsidRDefault="00987844" w14:paraId="117D5B19" w14:textId="77777777">
      <w:pPr>
        <w:numPr>
          <w:ilvl w:val="0"/>
          <w:numId w:val="31"/>
        </w:numPr>
        <w:tabs>
          <w:tab w:val="clear" w:pos="720"/>
        </w:tabs>
        <w:overflowPunct w:val="0"/>
        <w:autoSpaceDE w:val="0"/>
        <w:autoSpaceDN w:val="0"/>
        <w:adjustRightInd w:val="0"/>
        <w:ind w:left="567" w:hanging="567"/>
        <w:textAlignment w:val="baseline"/>
      </w:pPr>
      <w:r>
        <w:t>upozorava na sve veće nejednakosti u zdravstvenoj skrbi u EU-u, pogoršane krizom troškova života, koje pogađaju najranjivije skupine;</w:t>
      </w:r>
    </w:p>
    <w:p w:rsidRPr="00626D86" w:rsidR="00987844" w:rsidP="009A59C4" w:rsidRDefault="00987844" w14:paraId="111C8ADA" w14:textId="77777777">
      <w:pPr>
        <w:numPr>
          <w:ilvl w:val="0"/>
          <w:numId w:val="31"/>
        </w:numPr>
        <w:tabs>
          <w:tab w:val="clear" w:pos="720"/>
        </w:tabs>
        <w:overflowPunct w:val="0"/>
        <w:autoSpaceDE w:val="0"/>
        <w:autoSpaceDN w:val="0"/>
        <w:adjustRightInd w:val="0"/>
        <w:ind w:left="567" w:hanging="567"/>
        <w:textAlignment w:val="baseline"/>
      </w:pPr>
      <w:r>
        <w:t>poziva na pružanje potpore osobama s niskim prihodima putem smanjenja ili nadoknade troškova zdravstvene skrbi i dugotrajne skrbi;</w:t>
      </w:r>
    </w:p>
    <w:p w:rsidRPr="00626D86" w:rsidR="00987844" w:rsidP="009A59C4" w:rsidRDefault="00987844" w14:paraId="0F078C97" w14:textId="77777777">
      <w:pPr>
        <w:numPr>
          <w:ilvl w:val="0"/>
          <w:numId w:val="31"/>
        </w:numPr>
        <w:tabs>
          <w:tab w:val="clear" w:pos="720"/>
        </w:tabs>
        <w:overflowPunct w:val="0"/>
        <w:autoSpaceDE w:val="0"/>
        <w:autoSpaceDN w:val="0"/>
        <w:adjustRightInd w:val="0"/>
        <w:ind w:left="567" w:hanging="567"/>
        <w:textAlignment w:val="baseline"/>
      </w:pPr>
      <w:r>
        <w:t>ponovno ističe da je pristup zdravstvenoj skrbi temeljno pravo i poziva na potpunu provedbu 16. i 18. načela europskog stupa socijalnih prava;</w:t>
      </w:r>
    </w:p>
    <w:p w:rsidRPr="00626D86" w:rsidR="00987844" w:rsidP="009A59C4" w:rsidRDefault="00987844" w14:paraId="2FA92398" w14:textId="77777777">
      <w:pPr>
        <w:numPr>
          <w:ilvl w:val="0"/>
          <w:numId w:val="31"/>
        </w:numPr>
        <w:tabs>
          <w:tab w:val="clear" w:pos="720"/>
        </w:tabs>
        <w:overflowPunct w:val="0"/>
        <w:autoSpaceDE w:val="0"/>
        <w:autoSpaceDN w:val="0"/>
        <w:adjustRightInd w:val="0"/>
        <w:ind w:left="567" w:hanging="567"/>
        <w:textAlignment w:val="baseline"/>
      </w:pPr>
      <w:r>
        <w:t>podržava postojeće inicijative EU-a kao što su program „EU za zdravlje” i farmaceutska strategija, ali poziva na bolje praćenje i dosljednu provedbu u svim državama članicama;</w:t>
      </w:r>
    </w:p>
    <w:p w:rsidRPr="00626D86" w:rsidR="00987844" w:rsidP="009A59C4" w:rsidRDefault="00987844" w14:paraId="06C7548A" w14:textId="77777777">
      <w:pPr>
        <w:numPr>
          <w:ilvl w:val="0"/>
          <w:numId w:val="31"/>
        </w:numPr>
        <w:tabs>
          <w:tab w:val="clear" w:pos="720"/>
        </w:tabs>
        <w:overflowPunct w:val="0"/>
        <w:autoSpaceDE w:val="0"/>
        <w:autoSpaceDN w:val="0"/>
        <w:adjustRightInd w:val="0"/>
        <w:ind w:left="567" w:hanging="567"/>
        <w:textAlignment w:val="baseline"/>
      </w:pPr>
      <w:r>
        <w:t>poziva na jasniji i učinkovitiji okvir za prekograničnu zdravstvenu skrb;</w:t>
      </w:r>
    </w:p>
    <w:p w:rsidRPr="00626D86" w:rsidR="00987844" w:rsidP="009A59C4" w:rsidRDefault="00987844" w14:paraId="2802EF33" w14:textId="77777777">
      <w:pPr>
        <w:numPr>
          <w:ilvl w:val="0"/>
          <w:numId w:val="31"/>
        </w:numPr>
        <w:tabs>
          <w:tab w:val="clear" w:pos="720"/>
        </w:tabs>
        <w:overflowPunct w:val="0"/>
        <w:autoSpaceDE w:val="0"/>
        <w:autoSpaceDN w:val="0"/>
        <w:adjustRightInd w:val="0"/>
        <w:ind w:left="567" w:hanging="567"/>
        <w:textAlignment w:val="baseline"/>
      </w:pPr>
      <w:r>
        <w:t>zalaže se za razmjenu najboljih praksi u području uključive zdravstvene i socijalne skrbi, uključujući mogući zajednički sustav nomenklature;</w:t>
      </w:r>
    </w:p>
    <w:p w:rsidRPr="00626D86" w:rsidR="00987844" w:rsidP="009A59C4" w:rsidRDefault="00987844" w14:paraId="139F52CB" w14:textId="77777777">
      <w:pPr>
        <w:numPr>
          <w:ilvl w:val="0"/>
          <w:numId w:val="31"/>
        </w:numPr>
        <w:tabs>
          <w:tab w:val="clear" w:pos="720"/>
        </w:tabs>
        <w:overflowPunct w:val="0"/>
        <w:autoSpaceDE w:val="0"/>
        <w:autoSpaceDN w:val="0"/>
        <w:adjustRightInd w:val="0"/>
        <w:ind w:left="567" w:hanging="567"/>
        <w:textAlignment w:val="baseline"/>
      </w:pPr>
      <w:r>
        <w:t>ponovno ističe potrebu za europskim jamstvom za skrb kako bi se osigurao trajan pristup cjenovno pristupačnoj i kvalitetnoj skrbi te riješio problem nedostatka radne snage i promicali dostojanstveni radni uvjeti;</w:t>
      </w:r>
    </w:p>
    <w:p w:rsidRPr="00626D86" w:rsidR="00987844" w:rsidP="009A59C4" w:rsidRDefault="00987844" w14:paraId="6237F25C" w14:textId="77777777">
      <w:pPr>
        <w:numPr>
          <w:ilvl w:val="0"/>
          <w:numId w:val="31"/>
        </w:numPr>
        <w:tabs>
          <w:tab w:val="clear" w:pos="720"/>
        </w:tabs>
        <w:overflowPunct w:val="0"/>
        <w:autoSpaceDE w:val="0"/>
        <w:autoSpaceDN w:val="0"/>
        <w:adjustRightInd w:val="0"/>
        <w:ind w:left="567" w:hanging="567"/>
        <w:textAlignment w:val="baseline"/>
      </w:pPr>
      <w:r>
        <w:t>preporučuje praćenje provedbe načela europskog stupa socijalnih prava i jamčenje odgovornosti država članica;</w:t>
      </w:r>
    </w:p>
    <w:p w:rsidRPr="00626D86" w:rsidR="00987844" w:rsidP="009A59C4" w:rsidRDefault="00987844" w14:paraId="1759B19B" w14:textId="77777777">
      <w:pPr>
        <w:numPr>
          <w:ilvl w:val="0"/>
          <w:numId w:val="31"/>
        </w:numPr>
        <w:tabs>
          <w:tab w:val="clear" w:pos="720"/>
        </w:tabs>
        <w:overflowPunct w:val="0"/>
        <w:autoSpaceDE w:val="0"/>
        <w:autoSpaceDN w:val="0"/>
        <w:adjustRightInd w:val="0"/>
        <w:ind w:left="567" w:hanging="567"/>
        <w:textAlignment w:val="baseline"/>
      </w:pPr>
      <w:r>
        <w:t>preporučuje povećanje ulaganja u javnu zdravstvenu skrb i usmjeravanje sredstava EU-a kako bi se smanjile ekonomske prepreke;</w:t>
      </w:r>
    </w:p>
    <w:p w:rsidRPr="00626D86" w:rsidR="00987844" w:rsidP="009A59C4" w:rsidRDefault="00987844" w14:paraId="66FF3649" w14:textId="77777777">
      <w:pPr>
        <w:numPr>
          <w:ilvl w:val="0"/>
          <w:numId w:val="31"/>
        </w:numPr>
        <w:tabs>
          <w:tab w:val="clear" w:pos="720"/>
        </w:tabs>
        <w:overflowPunct w:val="0"/>
        <w:autoSpaceDE w:val="0"/>
        <w:autoSpaceDN w:val="0"/>
        <w:adjustRightInd w:val="0"/>
        <w:ind w:left="567" w:hanging="567"/>
        <w:textAlignment w:val="baseline"/>
      </w:pPr>
      <w:r>
        <w:t>preporučuje provedbu istraživanja o regionalnim razlikama u zdravstvenoj politici;</w:t>
      </w:r>
    </w:p>
    <w:p w:rsidRPr="00626D86" w:rsidR="00987844" w:rsidP="009A59C4" w:rsidRDefault="00987844" w14:paraId="67D28A73" w14:textId="77777777">
      <w:pPr>
        <w:numPr>
          <w:ilvl w:val="0"/>
          <w:numId w:val="31"/>
        </w:numPr>
        <w:tabs>
          <w:tab w:val="clear" w:pos="720"/>
        </w:tabs>
        <w:overflowPunct w:val="0"/>
        <w:autoSpaceDE w:val="0"/>
        <w:autoSpaceDN w:val="0"/>
        <w:adjustRightInd w:val="0"/>
        <w:ind w:left="567" w:hanging="567"/>
        <w:textAlignment w:val="baseline"/>
      </w:pPr>
      <w:r>
        <w:t>preporučuje izradu smjernica na razini EU-a za uklanjanje financijskih, organizacijskih i diskriminatornih prepreka;</w:t>
      </w:r>
    </w:p>
    <w:p w:rsidRPr="00626D86" w:rsidR="00987844" w:rsidP="00D94D34" w:rsidRDefault="00987844" w14:paraId="13164841" w14:textId="1531D916">
      <w:pPr>
        <w:numPr>
          <w:ilvl w:val="0"/>
          <w:numId w:val="31"/>
        </w:numPr>
        <w:tabs>
          <w:tab w:val="clear" w:pos="720"/>
        </w:tabs>
        <w:overflowPunct w:val="0"/>
        <w:autoSpaceDE w:val="0"/>
        <w:autoSpaceDN w:val="0"/>
        <w:adjustRightInd w:val="0"/>
        <w:ind w:left="567" w:hanging="567"/>
        <w:textAlignment w:val="baseline"/>
      </w:pPr>
      <w:r>
        <w:t>preporučuje promicanje socijalne ekonomije i inovacija kako bi se poboljšao pristup zdravstvenoj skrbi.</w:t>
      </w:r>
    </w:p>
    <w:p w:rsidRPr="00987844" w:rsidR="00626D86" w:rsidP="00D94D34" w:rsidRDefault="00626D86" w14:paraId="3461CAF4" w14:textId="77777777">
      <w:pPr>
        <w:overflowPunct w:val="0"/>
        <w:autoSpaceDE w:val="0"/>
        <w:autoSpaceDN w:val="0"/>
        <w:adjustRightInd w:val="0"/>
        <w:ind w:left="284"/>
        <w:textAlignment w:val="baseline"/>
        <w:rPr>
          <w:lang w:eastAsia="fr-BE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1238"/>
        <w:gridCol w:w="8084"/>
      </w:tblGrid>
      <w:tr w:rsidRPr="00987844" w:rsidR="006433AA" w:rsidTr="006433AA" w14:paraId="7BD04CE5" w14:textId="77777777">
        <w:tc>
          <w:tcPr>
            <w:tcW w:w="1238" w:type="dxa"/>
          </w:tcPr>
          <w:p w:rsidRPr="00987844" w:rsidR="006433AA" w:rsidP="00D94D34" w:rsidRDefault="006433AA" w14:paraId="2C774EB4" w14:textId="0F7219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b/>
                <w:i/>
              </w:rPr>
              <w:t>Kontakt:</w:t>
            </w:r>
          </w:p>
        </w:tc>
        <w:tc>
          <w:tcPr>
            <w:tcW w:w="8084" w:type="dxa"/>
          </w:tcPr>
          <w:p w:rsidRPr="00987844" w:rsidR="006433AA" w:rsidP="00D94D34" w:rsidRDefault="006433AA" w14:paraId="0DDD3F41" w14:textId="6ECF00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proofErr w:type="spellStart"/>
            <w:r>
              <w:rPr>
                <w:i/>
              </w:rPr>
              <w:t>Valeria</w:t>
            </w:r>
            <w:proofErr w:type="spellEnd"/>
            <w:r>
              <w:rPr>
                <w:i/>
              </w:rPr>
              <w:t> </w:t>
            </w:r>
            <w:proofErr w:type="spellStart"/>
            <w:r>
              <w:rPr>
                <w:i/>
              </w:rPr>
              <w:t>Atzori</w:t>
            </w:r>
            <w:proofErr w:type="spellEnd"/>
          </w:p>
        </w:tc>
      </w:tr>
      <w:tr w:rsidRPr="00987844" w:rsidR="006433AA" w:rsidTr="006433AA" w14:paraId="1DDA5256" w14:textId="77777777">
        <w:tc>
          <w:tcPr>
            <w:tcW w:w="1238" w:type="dxa"/>
          </w:tcPr>
          <w:p w:rsidRPr="00987844" w:rsidR="006433AA" w:rsidP="00D94D34" w:rsidRDefault="006433AA" w14:paraId="0122D472" w14:textId="275116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8084" w:type="dxa"/>
          </w:tcPr>
          <w:p w:rsidRPr="00987844" w:rsidR="006433AA" w:rsidP="00D94D34" w:rsidRDefault="006433AA" w14:paraId="294D8454" w14:textId="236292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+32 2 5468774</w:t>
            </w:r>
          </w:p>
        </w:tc>
      </w:tr>
      <w:tr w:rsidRPr="00987844" w:rsidR="006433AA" w:rsidTr="006433AA" w14:paraId="64C7F5AE" w14:textId="77777777">
        <w:tc>
          <w:tcPr>
            <w:tcW w:w="1238" w:type="dxa"/>
          </w:tcPr>
          <w:p w:rsidRPr="00987844" w:rsidR="006433AA" w:rsidP="00D94D34" w:rsidRDefault="006433AA" w14:paraId="5B9577D5" w14:textId="6CEBA0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E-pošta</w:t>
            </w:r>
            <w:r>
              <w:rPr>
                <w:i/>
                <w:iCs/>
              </w:rPr>
              <w:t>:</w:t>
            </w:r>
          </w:p>
        </w:tc>
        <w:tc>
          <w:tcPr>
            <w:tcW w:w="8084" w:type="dxa"/>
          </w:tcPr>
          <w:p w:rsidRPr="00987844" w:rsidR="006433AA" w:rsidP="00D94D34" w:rsidRDefault="00342135" w14:paraId="2BA7F0A7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</w:rPr>
            </w:pPr>
            <w:hyperlink w:history="1" r:id="rId33">
              <w:r w:rsidR="00CB5DFF">
                <w:rPr>
                  <w:i/>
                  <w:color w:val="0000FF"/>
                  <w:u w:val="single"/>
                </w:rPr>
                <w:t>Valeria.Atzori@eesc.europa.eu</w:t>
              </w:r>
            </w:hyperlink>
          </w:p>
        </w:tc>
      </w:tr>
    </w:tbl>
    <w:p w:rsidR="00987844" w:rsidP="00D94D34" w:rsidRDefault="00987844" w14:paraId="0ABAF6B0" w14:textId="3097711D">
      <w:pPr>
        <w:pStyle w:val="ListParagraph"/>
        <w:ind w:left="0"/>
        <w:rPr>
          <w:lang w:val="en-GB"/>
        </w:rPr>
      </w:pPr>
    </w:p>
    <w:p w:rsidR="00987844" w:rsidP="00D94D34" w:rsidRDefault="00987844" w14:paraId="3CDB2334" w14:textId="77777777">
      <w:pPr>
        <w:jc w:val="left"/>
      </w:pPr>
      <w:r>
        <w:br w:type="page"/>
      </w:r>
    </w:p>
    <w:p w:rsidRPr="003E3542" w:rsidR="003E3542" w:rsidP="00D94D34" w:rsidRDefault="00342135" w14:paraId="3F8915FA" w14:textId="26758DF9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4"/>
          <w:szCs w:val="24"/>
        </w:rPr>
      </w:pPr>
      <w:hyperlink w:history="1" r:id="rId34">
        <w:r w:rsidR="00CB5DFF">
          <w:rPr>
            <w:b/>
            <w:i/>
            <w:color w:val="0000FF"/>
            <w:sz w:val="28"/>
            <w:u w:val="single"/>
          </w:rPr>
          <w:t>Dobre prakse za civilni dijalog EU-a u svjetlu participativnog procesa</w:t>
        </w:r>
      </w:hyperlink>
    </w:p>
    <w:p w:rsidRPr="003E3542" w:rsidR="003E3542" w:rsidP="00D94D34" w:rsidRDefault="003E3542" w14:paraId="091CE7C6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1701"/>
        <w:gridCol w:w="7621"/>
      </w:tblGrid>
      <w:tr w:rsidRPr="003E3542" w:rsidR="003E3542" w:rsidTr="006433AA" w14:paraId="077BA124" w14:textId="77777777">
        <w:tc>
          <w:tcPr>
            <w:tcW w:w="1701" w:type="dxa"/>
          </w:tcPr>
          <w:p w:rsidRPr="003E3542" w:rsidR="003E3542" w:rsidP="00D94D34" w:rsidRDefault="003E3542" w14:paraId="34F44323" w14:textId="06D45B5C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Izvjestitelj/ica:</w:t>
            </w:r>
          </w:p>
        </w:tc>
        <w:tc>
          <w:tcPr>
            <w:tcW w:w="7621" w:type="dxa"/>
          </w:tcPr>
          <w:p w:rsidRPr="003E3542" w:rsidR="003E3542" w:rsidP="00D94D34" w:rsidRDefault="003E3542" w14:paraId="19C07600" w14:textId="1BC179FE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proofErr w:type="spellStart"/>
            <w:r>
              <w:t>Arnaud</w:t>
            </w:r>
            <w:proofErr w:type="spellEnd"/>
            <w:r>
              <w:t xml:space="preserve"> SCHWARTZ (Skupina organizacija civilnog društva – FR)</w:t>
            </w:r>
          </w:p>
        </w:tc>
      </w:tr>
      <w:tr w:rsidRPr="003E3542" w:rsidR="003E3542" w:rsidTr="006433AA" w14:paraId="7FFFDA64" w14:textId="77777777">
        <w:tc>
          <w:tcPr>
            <w:tcW w:w="1701" w:type="dxa"/>
          </w:tcPr>
          <w:p w:rsidRPr="003E3542" w:rsidR="003E3542" w:rsidP="00D94D34" w:rsidRDefault="003E3542" w14:paraId="5619DD5C" w14:textId="205655B4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Referentni dokumenti/i:</w:t>
            </w:r>
          </w:p>
        </w:tc>
        <w:tc>
          <w:tcPr>
            <w:tcW w:w="7621" w:type="dxa"/>
          </w:tcPr>
          <w:p w:rsidR="00564BC0" w:rsidP="00D94D34" w:rsidRDefault="00564BC0" w14:paraId="39C7F988" w14:textId="3D32F4C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samoinicijativno mišljenje</w:t>
            </w:r>
          </w:p>
          <w:p w:rsidRPr="003E3542" w:rsidR="003E3542" w:rsidP="00D94D34" w:rsidRDefault="003E3542" w14:paraId="394DFD6C" w14:textId="3130D77F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EESC-2024-04410-00-00-AC</w:t>
            </w:r>
          </w:p>
        </w:tc>
      </w:tr>
    </w:tbl>
    <w:p w:rsidRPr="003E3542" w:rsidR="003E3542" w:rsidP="00D94D34" w:rsidRDefault="003E3542" w14:paraId="5C919063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lang w:val="en-GB"/>
        </w:rPr>
      </w:pPr>
    </w:p>
    <w:p w:rsidRPr="003E3542" w:rsidR="003E3542" w:rsidP="00D94D34" w:rsidRDefault="003E3542" w14:paraId="575D0E90" w14:textId="6871C722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Ključne točke</w:t>
      </w:r>
    </w:p>
    <w:p w:rsidRPr="003E3542" w:rsidR="003E3542" w:rsidP="00D94D34" w:rsidRDefault="003E3542" w14:paraId="28049A08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:rsidRPr="003E3542" w:rsidR="00564BC0" w:rsidP="00D94D34" w:rsidRDefault="003E3542" w14:paraId="02C9ED22" w14:textId="42DC29A0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EGSO:</w:t>
      </w:r>
    </w:p>
    <w:p w:rsidRPr="00626D86" w:rsidR="003E3542" w:rsidP="009A59C4" w:rsidRDefault="003E3542" w14:paraId="3B5AE292" w14:textId="77777777">
      <w:pPr>
        <w:numPr>
          <w:ilvl w:val="0"/>
          <w:numId w:val="31"/>
        </w:numPr>
        <w:tabs>
          <w:tab w:val="clear" w:pos="720"/>
        </w:tabs>
        <w:overflowPunct w:val="0"/>
        <w:autoSpaceDE w:val="0"/>
        <w:autoSpaceDN w:val="0"/>
        <w:adjustRightInd w:val="0"/>
        <w:ind w:left="567" w:hanging="567"/>
        <w:textAlignment w:val="baseline"/>
      </w:pPr>
      <w:r>
        <w:t>podsjeća na presudnu ulogu civilnog društva u promicanju angažmana građana, civilnog dijaloga i demokracije i ističe da bi u strukturama i procesima socijalnog dijaloga trebalo u potpunosti priznati i poštovati posebnu ulogu organizacija socijalnih partnera, a istodobno prepoznati da je civilni dijalog, koji uključuje širi skup dionika i širi raspon tema, zaseban proces;</w:t>
      </w:r>
    </w:p>
    <w:p w:rsidRPr="00626D86" w:rsidR="003E3542" w:rsidP="009A59C4" w:rsidRDefault="003E3542" w14:paraId="6D058B48" w14:textId="77777777">
      <w:pPr>
        <w:numPr>
          <w:ilvl w:val="0"/>
          <w:numId w:val="31"/>
        </w:numPr>
        <w:tabs>
          <w:tab w:val="clear" w:pos="720"/>
        </w:tabs>
        <w:overflowPunct w:val="0"/>
        <w:autoSpaceDE w:val="0"/>
        <w:autoSpaceDN w:val="0"/>
        <w:adjustRightInd w:val="0"/>
        <w:ind w:left="567" w:hanging="567"/>
        <w:textAlignment w:val="baseline"/>
      </w:pPr>
      <w:bookmarkStart w:name="_Toc204261477" w:id="31"/>
      <w:bookmarkStart w:name="_Toc204268741" w:id="32"/>
      <w:bookmarkStart w:name="_Toc204268906" w:id="33"/>
      <w:bookmarkStart w:name="_Toc204269040" w:id="34"/>
      <w:bookmarkStart w:name="_Toc204269145" w:id="35"/>
      <w:bookmarkStart w:name="_Toc204269250" w:id="36"/>
      <w:bookmarkEnd w:id="31"/>
      <w:bookmarkEnd w:id="32"/>
      <w:bookmarkEnd w:id="33"/>
      <w:bookmarkEnd w:id="34"/>
      <w:bookmarkEnd w:id="35"/>
      <w:bookmarkEnd w:id="36"/>
      <w:r>
        <w:t>u trenutnom kontekstu višestrukih kriza i izazova u pogledu digitalizacije, poziva institucije EU-a i države članice da poduzmu mjere u vezi s njegovim prijedlozima glede socijalnog i civilnog dijaloga i da građane i građanke kao pojedince uključe u demokratski život;</w:t>
      </w:r>
    </w:p>
    <w:p w:rsidRPr="00626D86" w:rsidR="003E3542" w:rsidP="009A59C4" w:rsidRDefault="003E3542" w14:paraId="5F91CD4E" w14:textId="77777777">
      <w:pPr>
        <w:numPr>
          <w:ilvl w:val="0"/>
          <w:numId w:val="31"/>
        </w:numPr>
        <w:tabs>
          <w:tab w:val="clear" w:pos="720"/>
        </w:tabs>
        <w:overflowPunct w:val="0"/>
        <w:autoSpaceDE w:val="0"/>
        <w:autoSpaceDN w:val="0"/>
        <w:adjustRightInd w:val="0"/>
        <w:ind w:left="567" w:hanging="567"/>
        <w:textAlignment w:val="baseline"/>
      </w:pPr>
      <w:bookmarkStart w:name="_Toc204261479" w:id="37"/>
      <w:bookmarkStart w:name="_Toc204268743" w:id="38"/>
      <w:bookmarkStart w:name="_Toc204268908" w:id="39"/>
      <w:bookmarkStart w:name="_Toc204269042" w:id="40"/>
      <w:bookmarkStart w:name="_Toc204269147" w:id="41"/>
      <w:bookmarkStart w:name="_Toc204269252" w:id="42"/>
      <w:bookmarkEnd w:id="37"/>
      <w:bookmarkEnd w:id="38"/>
      <w:bookmarkEnd w:id="39"/>
      <w:bookmarkEnd w:id="40"/>
      <w:bookmarkEnd w:id="41"/>
      <w:bookmarkEnd w:id="42"/>
      <w:r>
        <w:t>kao savjetodavno tijelo EU-a koje se temelji na Ugovorima i koje se sastoji od predstavnika organizacija poslodavaca, radnika i civilnog društva, planira blisko surađivati s Komisijom u uspostavi, vođenju i redovitom radu platforme civilnog društva;</w:t>
      </w:r>
    </w:p>
    <w:p w:rsidRPr="00626D86" w:rsidR="003E3542" w:rsidP="009A59C4" w:rsidRDefault="003E3542" w14:paraId="3974B9B3" w14:textId="77777777">
      <w:pPr>
        <w:numPr>
          <w:ilvl w:val="0"/>
          <w:numId w:val="31"/>
        </w:numPr>
        <w:tabs>
          <w:tab w:val="clear" w:pos="720"/>
        </w:tabs>
        <w:overflowPunct w:val="0"/>
        <w:autoSpaceDE w:val="0"/>
        <w:autoSpaceDN w:val="0"/>
        <w:adjustRightInd w:val="0"/>
        <w:ind w:left="567" w:hanging="567"/>
        <w:textAlignment w:val="baseline"/>
      </w:pPr>
      <w:bookmarkStart w:name="_Toc204261481" w:id="43"/>
      <w:bookmarkStart w:name="_Toc204268745" w:id="44"/>
      <w:bookmarkStart w:name="_Toc204268910" w:id="45"/>
      <w:bookmarkStart w:name="_Toc204269044" w:id="46"/>
      <w:bookmarkStart w:name="_Toc204269149" w:id="47"/>
      <w:bookmarkStart w:name="_Toc204269254" w:id="48"/>
      <w:bookmarkEnd w:id="43"/>
      <w:bookmarkEnd w:id="44"/>
      <w:bookmarkEnd w:id="45"/>
      <w:bookmarkEnd w:id="46"/>
      <w:bookmarkEnd w:id="47"/>
      <w:bookmarkEnd w:id="48"/>
      <w:r>
        <w:t>predlaže da preuzme ulogu centra i posrednika za sudjelovanje javnosti i organiziranog civilnog društva i tako poveća učinak savjetovanja koja provode Komisija i druge institucije te da od svojih članova i članica i šireg europskog organiziranog civilnog društva sustavno prikuplja reakcije na svoja mišljenja o glavnim prioritetima i politikama na europskom političkom programu;</w:t>
      </w:r>
    </w:p>
    <w:p w:rsidRPr="00626D86" w:rsidR="003E3542" w:rsidP="009A59C4" w:rsidRDefault="003E3542" w14:paraId="2BEC983C" w14:textId="77777777">
      <w:pPr>
        <w:numPr>
          <w:ilvl w:val="0"/>
          <w:numId w:val="31"/>
        </w:numPr>
        <w:tabs>
          <w:tab w:val="clear" w:pos="720"/>
        </w:tabs>
        <w:overflowPunct w:val="0"/>
        <w:autoSpaceDE w:val="0"/>
        <w:autoSpaceDN w:val="0"/>
        <w:adjustRightInd w:val="0"/>
        <w:ind w:left="567" w:hanging="567"/>
        <w:textAlignment w:val="baseline"/>
      </w:pPr>
      <w:bookmarkStart w:name="_Toc204261483" w:id="49"/>
      <w:bookmarkStart w:name="_Toc204268747" w:id="50"/>
      <w:bookmarkStart w:name="_Toc204268912" w:id="51"/>
      <w:bookmarkStart w:name="_Toc204269046" w:id="52"/>
      <w:bookmarkStart w:name="_Toc204269151" w:id="53"/>
      <w:bookmarkStart w:name="_Toc204269256" w:id="54"/>
      <w:bookmarkEnd w:id="49"/>
      <w:bookmarkEnd w:id="50"/>
      <w:bookmarkEnd w:id="51"/>
      <w:bookmarkEnd w:id="52"/>
      <w:bookmarkEnd w:id="53"/>
      <w:bookmarkEnd w:id="54"/>
      <w:r>
        <w:t>naglašava da se njegovi prijedlozi temelje na Ugovorima i završnom izvješću Konferencije o budućnosti Europe od 9. svibnja 2022., u kojem se izričito poziva na jačanje institucijske uloge EGSO-a i njegovo osnaživanje kao posrednika u aktivnostima participativne demokracije, primjerice strukturiranom dijalogu s civilnim društvom.</w:t>
      </w:r>
    </w:p>
    <w:p w:rsidRPr="003E3542" w:rsidR="003E3542" w:rsidP="00D94D34" w:rsidRDefault="003E3542" w14:paraId="2E991256" w14:textId="77777777">
      <w:pPr>
        <w:widowControl w:val="0"/>
        <w:overflowPunct w:val="0"/>
        <w:autoSpaceDE w:val="0"/>
        <w:autoSpaceDN w:val="0"/>
        <w:adjustRightInd w:val="0"/>
        <w:ind w:left="709"/>
        <w:textAlignment w:val="baseline"/>
        <w:rPr>
          <w:szCs w:val="20"/>
          <w:lang w:val="en-GB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1418"/>
        <w:gridCol w:w="7904"/>
      </w:tblGrid>
      <w:tr w:rsidRPr="003E3542" w:rsidR="003E3542" w:rsidTr="00626D86" w14:paraId="51762915" w14:textId="77777777">
        <w:tc>
          <w:tcPr>
            <w:tcW w:w="1418" w:type="dxa"/>
          </w:tcPr>
          <w:p w:rsidRPr="003E3542" w:rsidR="003E3542" w:rsidP="00D94D34" w:rsidRDefault="003E3542" w14:paraId="41612D3B" w14:textId="6FF156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b/>
                <w:i/>
              </w:rPr>
              <w:t>Kontakt:</w:t>
            </w:r>
          </w:p>
        </w:tc>
        <w:tc>
          <w:tcPr>
            <w:tcW w:w="7904" w:type="dxa"/>
          </w:tcPr>
          <w:p w:rsidRPr="003E3542" w:rsidR="003E3542" w:rsidP="00D94D34" w:rsidRDefault="003E3542" w14:paraId="48110EEB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 xml:space="preserve">June </w:t>
            </w:r>
            <w:proofErr w:type="spellStart"/>
            <w:r>
              <w:rPr>
                <w:i/>
              </w:rPr>
              <w:t>Bedaton</w:t>
            </w:r>
            <w:proofErr w:type="spellEnd"/>
          </w:p>
        </w:tc>
      </w:tr>
      <w:tr w:rsidRPr="003E3542" w:rsidR="003E3542" w:rsidTr="00626D86" w14:paraId="681404B9" w14:textId="77777777">
        <w:tc>
          <w:tcPr>
            <w:tcW w:w="1418" w:type="dxa"/>
          </w:tcPr>
          <w:p w:rsidRPr="003E3542" w:rsidR="003E3542" w:rsidP="00D94D34" w:rsidRDefault="003E3542" w14:paraId="3D12F10E" w14:textId="1893C6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7904" w:type="dxa"/>
          </w:tcPr>
          <w:p w:rsidRPr="003E3542" w:rsidR="003E3542" w:rsidP="00D94D34" w:rsidRDefault="003E3542" w14:paraId="1AB68B8B" w14:textId="1DEA4E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+32 25468134</w:t>
            </w:r>
          </w:p>
        </w:tc>
      </w:tr>
      <w:tr w:rsidRPr="003E3542" w:rsidR="003E3542" w:rsidTr="00626D86" w14:paraId="0C4D8062" w14:textId="77777777">
        <w:tc>
          <w:tcPr>
            <w:tcW w:w="1418" w:type="dxa"/>
          </w:tcPr>
          <w:p w:rsidRPr="003E3542" w:rsidR="003E3542" w:rsidP="00D94D34" w:rsidRDefault="003E3542" w14:paraId="63061402" w14:textId="7837FE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E-pošta</w:t>
            </w:r>
            <w:r>
              <w:rPr>
                <w:i/>
                <w:iCs/>
              </w:rPr>
              <w:t>:</w:t>
            </w:r>
          </w:p>
        </w:tc>
        <w:tc>
          <w:tcPr>
            <w:tcW w:w="7904" w:type="dxa"/>
          </w:tcPr>
          <w:p w:rsidRPr="003E3542" w:rsidR="003E3542" w:rsidP="00D94D34" w:rsidRDefault="00342135" w14:paraId="7B3A72A8" w14:textId="144DB4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</w:rPr>
            </w:pPr>
            <w:hyperlink w:history="1" r:id="rId35">
              <w:r w:rsidR="00CB5DFF">
                <w:rPr>
                  <w:i/>
                  <w:color w:val="0000FF"/>
                  <w:u w:val="single"/>
                </w:rPr>
                <w:t>June.Bedaton@eesc.europa.eu</w:t>
              </w:r>
            </w:hyperlink>
          </w:p>
        </w:tc>
      </w:tr>
    </w:tbl>
    <w:p w:rsidR="003E3542" w:rsidP="00D94D34" w:rsidRDefault="003E3542" w14:paraId="75AE08E0" w14:textId="1AA5D30C">
      <w:pPr>
        <w:pStyle w:val="ListParagraph"/>
        <w:ind w:left="0"/>
        <w:rPr>
          <w:lang w:val="en-GB"/>
        </w:rPr>
      </w:pPr>
    </w:p>
    <w:p w:rsidR="003E3542" w:rsidP="00D94D34" w:rsidRDefault="003E3542" w14:paraId="669E2350" w14:textId="77777777">
      <w:pPr>
        <w:jc w:val="left"/>
      </w:pPr>
      <w:r>
        <w:br w:type="page"/>
      </w:r>
    </w:p>
    <w:p w:rsidRPr="003E3542" w:rsidR="003E3542" w:rsidP="00D94D34" w:rsidRDefault="00342135" w14:paraId="6FF88418" w14:textId="1725CA2B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4"/>
          <w:szCs w:val="24"/>
        </w:rPr>
      </w:pPr>
      <w:hyperlink w:history="1" r:id="rId36">
        <w:r w:rsidR="00CB5DFF">
          <w:rPr>
            <w:b/>
            <w:i/>
            <w:color w:val="0000FF"/>
            <w:sz w:val="28"/>
            <w:u w:val="single"/>
          </w:rPr>
          <w:t>Strategija EU-a za borbu protiv siromaštva</w:t>
        </w:r>
      </w:hyperlink>
    </w:p>
    <w:p w:rsidRPr="003E3542" w:rsidR="003E3542" w:rsidP="00D94D34" w:rsidRDefault="003E3542" w14:paraId="2BF0801C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1829"/>
        <w:gridCol w:w="7493"/>
      </w:tblGrid>
      <w:tr w:rsidRPr="003E3542" w:rsidR="003E3542" w:rsidTr="006433AA" w14:paraId="0AA50A7E" w14:textId="77777777">
        <w:tc>
          <w:tcPr>
            <w:tcW w:w="1701" w:type="dxa"/>
          </w:tcPr>
          <w:p w:rsidRPr="003E3542" w:rsidR="003E3542" w:rsidP="00D94D34" w:rsidRDefault="003E3542" w14:paraId="446F8185" w14:textId="1FC996AF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Izvjestitelj/ica:</w:t>
            </w:r>
          </w:p>
          <w:p w:rsidRPr="003E3542" w:rsidR="003E3542" w:rsidP="00D94D34" w:rsidRDefault="003E3542" w14:paraId="04C8B2DF" w14:textId="13A680DB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Suizvjestitelj/ica:</w:t>
            </w:r>
          </w:p>
        </w:tc>
        <w:tc>
          <w:tcPr>
            <w:tcW w:w="7621" w:type="dxa"/>
          </w:tcPr>
          <w:p w:rsidRPr="003E3542" w:rsidR="003E3542" w:rsidP="00D94D34" w:rsidRDefault="003E3542" w14:paraId="2282C98A" w14:textId="75AA1DC2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proofErr w:type="spellStart"/>
            <w:r>
              <w:t>Krzysztof</w:t>
            </w:r>
            <w:proofErr w:type="spellEnd"/>
            <w:r>
              <w:t xml:space="preserve"> BALON (Skupina organizacija civilnog društva – PL)</w:t>
            </w:r>
          </w:p>
          <w:p w:rsidRPr="003E3542" w:rsidR="003E3542" w:rsidP="00D94D34" w:rsidRDefault="003E3542" w14:paraId="0E7A7346" w14:textId="1A449144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Sophia REISECKER (Skupina radnika – AT)</w:t>
            </w:r>
          </w:p>
        </w:tc>
      </w:tr>
      <w:tr w:rsidRPr="003E3542" w:rsidR="003E3542" w:rsidTr="006433AA" w14:paraId="572B1179" w14:textId="77777777">
        <w:tc>
          <w:tcPr>
            <w:tcW w:w="1701" w:type="dxa"/>
            <w:vMerge w:val="restart"/>
          </w:tcPr>
          <w:p w:rsidRPr="003E3542" w:rsidR="003E3542" w:rsidP="00D94D34" w:rsidRDefault="003E3542" w14:paraId="5339057E" w14:textId="29788D61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Referentni dokument/i:</w:t>
            </w:r>
          </w:p>
        </w:tc>
        <w:tc>
          <w:tcPr>
            <w:tcW w:w="7621" w:type="dxa"/>
          </w:tcPr>
          <w:p w:rsidRPr="003E3542" w:rsidR="003E3542" w:rsidP="00D94D34" w:rsidRDefault="003E3542" w14:paraId="4D948E7C" w14:textId="4938BFB0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proofErr w:type="spellStart"/>
            <w:r>
              <w:t>razmatračko</w:t>
            </w:r>
            <w:proofErr w:type="spellEnd"/>
            <w:r>
              <w:t xml:space="preserve"> mišljenje na zahtjev Europske komisije</w:t>
            </w:r>
          </w:p>
        </w:tc>
      </w:tr>
      <w:tr w:rsidRPr="003E3542" w:rsidR="003E3542" w:rsidTr="006433AA" w14:paraId="7B034E18" w14:textId="77777777">
        <w:tc>
          <w:tcPr>
            <w:tcW w:w="1701" w:type="dxa"/>
            <w:vMerge/>
          </w:tcPr>
          <w:p w:rsidRPr="003E3542" w:rsidR="003E3542" w:rsidP="00D94D34" w:rsidRDefault="003E3542" w14:paraId="2A4A3469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lang w:val="en-GB"/>
              </w:rPr>
            </w:pPr>
          </w:p>
        </w:tc>
        <w:tc>
          <w:tcPr>
            <w:tcW w:w="7621" w:type="dxa"/>
          </w:tcPr>
          <w:p w:rsidRPr="003E3542" w:rsidR="003E3542" w:rsidP="00D94D34" w:rsidRDefault="003E3542" w14:paraId="7BC977BB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EESC-2025-00984-00-00-AC</w:t>
            </w:r>
          </w:p>
        </w:tc>
      </w:tr>
    </w:tbl>
    <w:p w:rsidRPr="003E3542" w:rsidR="003E3542" w:rsidP="00D94D34" w:rsidRDefault="003E3542" w14:paraId="48D7F703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lang w:val="en-GB"/>
        </w:rPr>
      </w:pPr>
    </w:p>
    <w:p w:rsidRPr="003E3542" w:rsidR="003E3542" w:rsidP="00D94D34" w:rsidRDefault="003E3542" w14:paraId="202C1784" w14:textId="211EA9D1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Ključne točke</w:t>
      </w:r>
    </w:p>
    <w:p w:rsidRPr="003E3542" w:rsidR="003E3542" w:rsidP="00D94D34" w:rsidRDefault="003E3542" w14:paraId="568EEC3B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:rsidRPr="003E3542" w:rsidR="003E3542" w:rsidP="00D94D34" w:rsidRDefault="003E3542" w14:paraId="3C667D6D" w14:textId="1E136E5A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EGSO:</w:t>
      </w:r>
    </w:p>
    <w:p w:rsidRPr="003E3542" w:rsidR="003E3542" w:rsidP="009A59C4" w:rsidRDefault="003E3542" w14:paraId="42E686C1" w14:textId="77777777">
      <w:pPr>
        <w:numPr>
          <w:ilvl w:val="0"/>
          <w:numId w:val="31"/>
        </w:numPr>
        <w:tabs>
          <w:tab w:val="clear" w:pos="720"/>
        </w:tabs>
        <w:overflowPunct w:val="0"/>
        <w:autoSpaceDE w:val="0"/>
        <w:autoSpaceDN w:val="0"/>
        <w:adjustRightInd w:val="0"/>
        <w:ind w:left="567" w:hanging="567"/>
        <w:textAlignment w:val="baseline"/>
        <w:rPr>
          <w:szCs w:val="20"/>
        </w:rPr>
      </w:pPr>
      <w:r>
        <w:t xml:space="preserve">smatra da bi strategija EU-a za borbu protiv siromaštva trebala biti </w:t>
      </w:r>
      <w:proofErr w:type="spellStart"/>
      <w:r>
        <w:t>intersekcijska</w:t>
      </w:r>
      <w:proofErr w:type="spellEnd"/>
      <w:r>
        <w:t xml:space="preserve"> i rodno osjetljiva i temeljiti se na višedimenzionalnoj definiciji siromaštva koja bi osim materijalne oskudice obuhvaćala i socijalnu, psihološku, političku i rodnu dimenziju; </w:t>
      </w:r>
    </w:p>
    <w:p w:rsidRPr="003E3542" w:rsidR="003E3542" w:rsidP="009A59C4" w:rsidRDefault="003E3542" w14:paraId="20CC70E2" w14:textId="77777777">
      <w:pPr>
        <w:numPr>
          <w:ilvl w:val="0"/>
          <w:numId w:val="31"/>
        </w:numPr>
        <w:tabs>
          <w:tab w:val="clear" w:pos="720"/>
        </w:tabs>
        <w:overflowPunct w:val="0"/>
        <w:autoSpaceDE w:val="0"/>
        <w:autoSpaceDN w:val="0"/>
        <w:adjustRightInd w:val="0"/>
        <w:ind w:left="567" w:hanging="567"/>
        <w:textAlignment w:val="baseline"/>
        <w:rPr>
          <w:szCs w:val="20"/>
        </w:rPr>
      </w:pPr>
      <w:r>
        <w:t xml:space="preserve">preporučuje da se u okviru strategije za borbu protiv siromaštva postave ambiciozni, ali mjerljivi ciljevi i da se iskorjenjivanju krajnjeg siromaštva pristupi iz aspekta ljudskih prava, odnosno siromaštvo smatra kršenjem temeljnih prava i sustavnom nepravdom; </w:t>
      </w:r>
    </w:p>
    <w:p w:rsidRPr="003E3542" w:rsidR="003E3542" w:rsidP="009A59C4" w:rsidRDefault="003E3542" w14:paraId="5E134E9D" w14:textId="77777777">
      <w:pPr>
        <w:numPr>
          <w:ilvl w:val="0"/>
          <w:numId w:val="31"/>
        </w:numPr>
        <w:tabs>
          <w:tab w:val="clear" w:pos="720"/>
        </w:tabs>
        <w:overflowPunct w:val="0"/>
        <w:autoSpaceDE w:val="0"/>
        <w:autoSpaceDN w:val="0"/>
        <w:adjustRightInd w:val="0"/>
        <w:ind w:left="567" w:hanging="567"/>
        <w:textAlignment w:val="baseline"/>
        <w:rPr>
          <w:szCs w:val="20"/>
        </w:rPr>
      </w:pPr>
      <w:r>
        <w:t>kao ključne elemente strategije predlaže:</w:t>
      </w:r>
    </w:p>
    <w:p w:rsidRPr="003E3542" w:rsidR="003E3542" w:rsidP="009A59C4" w:rsidRDefault="003E3542" w14:paraId="25BBC5F0" w14:textId="157F8F38">
      <w:pPr>
        <w:numPr>
          <w:ilvl w:val="0"/>
          <w:numId w:val="63"/>
        </w:numPr>
        <w:tabs>
          <w:tab w:val="clear" w:pos="720"/>
        </w:tabs>
        <w:overflowPunct w:val="0"/>
        <w:autoSpaceDE w:val="0"/>
        <w:autoSpaceDN w:val="0"/>
        <w:adjustRightInd w:val="0"/>
        <w:ind w:left="851" w:hanging="284"/>
        <w:textAlignment w:val="baseline"/>
      </w:pPr>
      <w:r>
        <w:t xml:space="preserve">obvezujuće standarde o odgovarajućem dohotku i socijalnoj zaštiti u svim državama članicama; </w:t>
      </w:r>
    </w:p>
    <w:p w:rsidRPr="003E3542" w:rsidR="003E3542" w:rsidP="009A59C4" w:rsidRDefault="003E3542" w14:paraId="2FA5470E" w14:textId="77777777">
      <w:pPr>
        <w:numPr>
          <w:ilvl w:val="0"/>
          <w:numId w:val="63"/>
        </w:numPr>
        <w:tabs>
          <w:tab w:val="clear" w:pos="720"/>
        </w:tabs>
        <w:overflowPunct w:val="0"/>
        <w:autoSpaceDE w:val="0"/>
        <w:autoSpaceDN w:val="0"/>
        <w:adjustRightInd w:val="0"/>
        <w:ind w:left="851" w:hanging="284"/>
        <w:textAlignment w:val="baseline"/>
      </w:pPr>
      <w:r>
        <w:t>mjere za suzbijanje siromaštva unatoč zaposlenju, uključujući aktivne politike tržišta rada, kvalitetna radna mjesta i pravilnu provedbu Direktive o primjerenim minimalnim plaćama;</w:t>
      </w:r>
    </w:p>
    <w:p w:rsidRPr="003E3542" w:rsidR="003E3542" w:rsidP="009A59C4" w:rsidRDefault="003E3542" w14:paraId="72A3A6C5" w14:textId="77777777">
      <w:pPr>
        <w:numPr>
          <w:ilvl w:val="0"/>
          <w:numId w:val="63"/>
        </w:numPr>
        <w:tabs>
          <w:tab w:val="clear" w:pos="720"/>
        </w:tabs>
        <w:overflowPunct w:val="0"/>
        <w:autoSpaceDE w:val="0"/>
        <w:autoSpaceDN w:val="0"/>
        <w:adjustRightInd w:val="0"/>
        <w:ind w:left="851" w:hanging="284"/>
        <w:textAlignment w:val="baseline"/>
      </w:pPr>
      <w:r>
        <w:t xml:space="preserve">univerzalan pristup cjenovno pristupačnim, kvalitetnim socijalnim i osnovnim uslugama; </w:t>
      </w:r>
    </w:p>
    <w:p w:rsidRPr="003E3542" w:rsidR="003E3542" w:rsidP="009A59C4" w:rsidRDefault="003E3542" w14:paraId="0B41C6BC" w14:textId="77777777">
      <w:pPr>
        <w:numPr>
          <w:ilvl w:val="0"/>
          <w:numId w:val="63"/>
        </w:numPr>
        <w:tabs>
          <w:tab w:val="clear" w:pos="720"/>
        </w:tabs>
        <w:overflowPunct w:val="0"/>
        <w:autoSpaceDE w:val="0"/>
        <w:autoSpaceDN w:val="0"/>
        <w:adjustRightInd w:val="0"/>
        <w:ind w:left="851" w:hanging="284"/>
        <w:textAlignment w:val="baseline"/>
      </w:pPr>
      <w:r>
        <w:t xml:space="preserve">odlučno upravljanje, financiranje i sudjelovanje; </w:t>
      </w:r>
    </w:p>
    <w:p w:rsidRPr="00626D86" w:rsidR="003E3542" w:rsidP="00D94D34" w:rsidRDefault="003E3542" w14:paraId="2AFE2A72" w14:textId="2214CB31">
      <w:pPr>
        <w:numPr>
          <w:ilvl w:val="0"/>
          <w:numId w:val="63"/>
        </w:numPr>
        <w:tabs>
          <w:tab w:val="clear" w:pos="720"/>
        </w:tabs>
        <w:overflowPunct w:val="0"/>
        <w:autoSpaceDE w:val="0"/>
        <w:autoSpaceDN w:val="0"/>
        <w:adjustRightInd w:val="0"/>
        <w:ind w:left="851" w:hanging="284"/>
        <w:textAlignment w:val="baseline"/>
        <w:rPr>
          <w:szCs w:val="20"/>
        </w:rPr>
      </w:pPr>
      <w:r>
        <w:t>priznavanje uloge socijalnih partnera i organizacija civilnog društva u borbi protiv siromaštva.</w:t>
      </w:r>
    </w:p>
    <w:p w:rsidRPr="003E3542" w:rsidR="003E3542" w:rsidP="00D94D34" w:rsidRDefault="003E3542" w14:paraId="22606388" w14:textId="77777777">
      <w:pPr>
        <w:widowControl w:val="0"/>
        <w:overflowPunct w:val="0"/>
        <w:autoSpaceDE w:val="0"/>
        <w:autoSpaceDN w:val="0"/>
        <w:adjustRightInd w:val="0"/>
        <w:ind w:left="709"/>
        <w:textAlignment w:val="baseline"/>
        <w:rPr>
          <w:szCs w:val="20"/>
          <w:lang w:val="en-GB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1418"/>
        <w:gridCol w:w="7904"/>
      </w:tblGrid>
      <w:tr w:rsidRPr="003E3542" w:rsidR="003E3542" w:rsidTr="006433AA" w14:paraId="592A62E1" w14:textId="77777777">
        <w:tc>
          <w:tcPr>
            <w:tcW w:w="1418" w:type="dxa"/>
          </w:tcPr>
          <w:p w:rsidRPr="003E3542" w:rsidR="003E3542" w:rsidP="00D94D34" w:rsidRDefault="003E3542" w14:paraId="66D70C2E" w14:textId="306579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b/>
                <w:i/>
              </w:rPr>
              <w:t>Kontakt:</w:t>
            </w:r>
          </w:p>
        </w:tc>
        <w:tc>
          <w:tcPr>
            <w:tcW w:w="7904" w:type="dxa"/>
          </w:tcPr>
          <w:p w:rsidRPr="003E3542" w:rsidR="003E3542" w:rsidP="00D94D34" w:rsidRDefault="003E3542" w14:paraId="62FB2E41" w14:textId="271948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proofErr w:type="spellStart"/>
            <w:r>
              <w:rPr>
                <w:i/>
              </w:rPr>
              <w:t>Valeria</w:t>
            </w:r>
            <w:proofErr w:type="spellEnd"/>
            <w:r>
              <w:rPr>
                <w:i/>
              </w:rPr>
              <w:t> </w:t>
            </w:r>
            <w:proofErr w:type="spellStart"/>
            <w:r>
              <w:rPr>
                <w:i/>
              </w:rPr>
              <w:t>Atzori</w:t>
            </w:r>
            <w:proofErr w:type="spellEnd"/>
          </w:p>
        </w:tc>
      </w:tr>
      <w:tr w:rsidRPr="003E3542" w:rsidR="003E3542" w:rsidTr="006433AA" w14:paraId="1660F8DC" w14:textId="77777777">
        <w:tc>
          <w:tcPr>
            <w:tcW w:w="1418" w:type="dxa"/>
          </w:tcPr>
          <w:p w:rsidRPr="003E3542" w:rsidR="003E3542" w:rsidP="00D94D34" w:rsidRDefault="003E3542" w14:paraId="4A2047D3" w14:textId="3FF189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7904" w:type="dxa"/>
          </w:tcPr>
          <w:p w:rsidRPr="003E3542" w:rsidR="003E3542" w:rsidP="00D94D34" w:rsidRDefault="003E3542" w14:paraId="53704DAE" w14:textId="31C4DE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+32 25468774</w:t>
            </w:r>
          </w:p>
        </w:tc>
      </w:tr>
      <w:tr w:rsidRPr="003E3542" w:rsidR="003E3542" w:rsidTr="006433AA" w14:paraId="6E5584BF" w14:textId="77777777">
        <w:tc>
          <w:tcPr>
            <w:tcW w:w="1418" w:type="dxa"/>
          </w:tcPr>
          <w:p w:rsidRPr="003E3542" w:rsidR="003E3542" w:rsidP="00D94D34" w:rsidRDefault="003E3542" w14:paraId="2137D1F0" w14:textId="302546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E-pošta</w:t>
            </w:r>
            <w:r>
              <w:rPr>
                <w:i/>
                <w:iCs/>
              </w:rPr>
              <w:t>:</w:t>
            </w:r>
          </w:p>
        </w:tc>
        <w:tc>
          <w:tcPr>
            <w:tcW w:w="7904" w:type="dxa"/>
          </w:tcPr>
          <w:p w:rsidRPr="003E3542" w:rsidR="003E3542" w:rsidP="00D94D34" w:rsidRDefault="00342135" w14:paraId="757D98A2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</w:rPr>
            </w:pPr>
            <w:hyperlink w:history="1" r:id="rId37">
              <w:r w:rsidR="00CB5DFF">
                <w:rPr>
                  <w:i/>
                  <w:color w:val="0000FF"/>
                  <w:u w:val="single"/>
                </w:rPr>
                <w:t>Valeria.Atzori@eesc.europa.eu</w:t>
              </w:r>
            </w:hyperlink>
          </w:p>
        </w:tc>
      </w:tr>
    </w:tbl>
    <w:p w:rsidRPr="00987844" w:rsidR="00982A06" w:rsidP="00D94D34" w:rsidRDefault="00982A06" w14:paraId="33F00969" w14:textId="77777777">
      <w:pPr>
        <w:pStyle w:val="ListParagraph"/>
        <w:ind w:left="0"/>
        <w:rPr>
          <w:lang w:val="en-GB"/>
        </w:rPr>
      </w:pPr>
    </w:p>
    <w:p w:rsidR="00121F5D" w:rsidP="00D94D34" w:rsidRDefault="00121F5D" w14:paraId="4982DDC3" w14:textId="7FD22CE2">
      <w:pPr>
        <w:jc w:val="left"/>
      </w:pPr>
      <w:r>
        <w:br w:type="page"/>
      </w:r>
    </w:p>
    <w:p w:rsidRPr="00123B12" w:rsidR="00123B12" w:rsidP="00D94D34" w:rsidRDefault="00342135" w14:paraId="0701D697" w14:textId="2118C05F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4"/>
          <w:szCs w:val="24"/>
        </w:rPr>
      </w:pPr>
      <w:hyperlink w:history="1" r:id="rId38">
        <w:r w:rsidR="00CB5DFF">
          <w:rPr>
            <w:b/>
            <w:i/>
            <w:color w:val="0000FF"/>
            <w:sz w:val="28"/>
            <w:u w:val="single"/>
          </w:rPr>
          <w:t>Strategija EU-a za potporu, zaštitu i osnaživanje civilnog društva</w:t>
        </w:r>
      </w:hyperlink>
    </w:p>
    <w:p w:rsidRPr="00123B12" w:rsidR="00123B12" w:rsidP="00D94D34" w:rsidRDefault="00123B12" w14:paraId="6C922104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7479"/>
      </w:tblGrid>
      <w:tr w:rsidRPr="00123B12" w:rsidR="00123B12" w:rsidTr="003C0471" w14:paraId="25B733C4" w14:textId="77777777">
        <w:tc>
          <w:tcPr>
            <w:tcW w:w="1701" w:type="dxa"/>
          </w:tcPr>
          <w:p w:rsidRPr="00123B12" w:rsidR="00123B12" w:rsidP="00D94D34" w:rsidRDefault="00123B12" w14:paraId="3D097F34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Izvjestitelji/ice:</w:t>
            </w:r>
          </w:p>
        </w:tc>
        <w:tc>
          <w:tcPr>
            <w:tcW w:w="7479" w:type="dxa"/>
          </w:tcPr>
          <w:p w:rsidRPr="00123B12" w:rsidR="00123B12" w:rsidP="00D94D34" w:rsidRDefault="00123B12" w14:paraId="3061C555" w14:textId="4D98B6F5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Pietro Vittorio BARBIERI (Skupina organizacija civilnog društva – IT)</w:t>
            </w:r>
          </w:p>
          <w:p w:rsidRPr="00123B12" w:rsidR="00123B12" w:rsidP="00D94D34" w:rsidRDefault="00123B12" w14:paraId="31DC26BF" w14:textId="76AFA28D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Peter SCHMIDT (Skupina radnika – DE)</w:t>
            </w:r>
          </w:p>
          <w:p w:rsidRPr="00123B12" w:rsidR="00123B12" w:rsidP="00D94D34" w:rsidRDefault="00123B12" w14:paraId="65C73132" w14:textId="4AFBFB5A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proofErr w:type="spellStart"/>
            <w:r>
              <w:t>Christa</w:t>
            </w:r>
            <w:proofErr w:type="spellEnd"/>
            <w:r>
              <w:t xml:space="preserve"> SCHWENG (Skupina poslodavaca – AT)</w:t>
            </w:r>
          </w:p>
        </w:tc>
      </w:tr>
      <w:tr w:rsidRPr="006A1800" w:rsidR="00123B12" w:rsidTr="003C0471" w14:paraId="679D56AB" w14:textId="77777777">
        <w:tc>
          <w:tcPr>
            <w:tcW w:w="1701" w:type="dxa"/>
          </w:tcPr>
          <w:p w:rsidRPr="00123B12" w:rsidR="00123B12" w:rsidP="00D94D34" w:rsidRDefault="00123B12" w14:paraId="3D367491" w14:textId="125A0931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Referentni dokument/i:</w:t>
            </w:r>
          </w:p>
        </w:tc>
        <w:tc>
          <w:tcPr>
            <w:tcW w:w="7479" w:type="dxa"/>
          </w:tcPr>
          <w:p w:rsidRPr="009A59C4" w:rsidR="006A1800" w:rsidP="00D94D34" w:rsidRDefault="006A1800" w14:paraId="579A214D" w14:textId="187E55A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mišljenje na zahtjev Europske komisije</w:t>
            </w:r>
          </w:p>
          <w:p w:rsidRPr="009A59C4" w:rsidR="00123B12" w:rsidP="00D94D34" w:rsidRDefault="00123B12" w14:paraId="6D22B597" w14:textId="468AD855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EESC-2025-02123-00-00-AC</w:t>
            </w:r>
          </w:p>
        </w:tc>
      </w:tr>
    </w:tbl>
    <w:p w:rsidRPr="009A59C4" w:rsidR="00123B12" w:rsidP="00D94D34" w:rsidRDefault="00123B12" w14:paraId="1A12BEDB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lang w:val="fr-BE"/>
        </w:rPr>
      </w:pPr>
    </w:p>
    <w:p w:rsidRPr="00123B12" w:rsidR="00123B12" w:rsidP="00D94D34" w:rsidRDefault="00123B12" w14:paraId="5C309E24" w14:textId="3FE6768D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Ključne točke</w:t>
      </w:r>
    </w:p>
    <w:p w:rsidRPr="00123B12" w:rsidR="00123B12" w:rsidP="00D94D34" w:rsidRDefault="00123B12" w14:paraId="502FA8F6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:rsidRPr="00123B12" w:rsidR="004604F4" w:rsidP="00D94D34" w:rsidRDefault="00123B12" w14:paraId="1FA6F1AE" w14:textId="231F454D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EGSO:</w:t>
      </w:r>
    </w:p>
    <w:p w:rsidRPr="00123B12" w:rsidR="00123B12" w:rsidP="009A59C4" w:rsidRDefault="00123B12" w14:paraId="5D2DDE7B" w14:textId="77777777">
      <w:pPr>
        <w:numPr>
          <w:ilvl w:val="0"/>
          <w:numId w:val="35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</w:pPr>
      <w:r>
        <w:t xml:space="preserve">ističe važnost civilnog društva za demokratska društva i važnost </w:t>
      </w:r>
      <w:r>
        <w:rPr>
          <w:b/>
          <w:bCs/>
        </w:rPr>
        <w:t>njegove uloge u civilnom dijalogu</w:t>
      </w:r>
      <w:r>
        <w:t xml:space="preserve"> i građanskom sudjelovanju na europskoj razini;</w:t>
      </w:r>
    </w:p>
    <w:p w:rsidRPr="00123B12" w:rsidR="00123B12" w:rsidP="009A59C4" w:rsidRDefault="00123B12" w14:paraId="43BCF724" w14:textId="77777777">
      <w:pPr>
        <w:numPr>
          <w:ilvl w:val="0"/>
          <w:numId w:val="35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</w:pPr>
      <w:r>
        <w:t xml:space="preserve">naglašava da bi strategija za civilno društvo i platforma za civilni dijalog trebale ići ruku pod ruku s boljom </w:t>
      </w:r>
      <w:proofErr w:type="spellStart"/>
      <w:r>
        <w:t>međuinstitucijskom</w:t>
      </w:r>
      <w:proofErr w:type="spellEnd"/>
      <w:r>
        <w:t xml:space="preserve"> suradnjom i </w:t>
      </w:r>
      <w:r>
        <w:rPr>
          <w:b/>
          <w:bCs/>
        </w:rPr>
        <w:t>dijalogom o preporukama EGSO-a</w:t>
      </w:r>
      <w:r>
        <w:t>;</w:t>
      </w:r>
    </w:p>
    <w:p w:rsidRPr="00123B12" w:rsidR="00123B12" w:rsidP="009A59C4" w:rsidRDefault="00123B12" w14:paraId="4361ED7B" w14:textId="77777777">
      <w:pPr>
        <w:numPr>
          <w:ilvl w:val="0"/>
          <w:numId w:val="35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</w:pPr>
      <w:r>
        <w:t xml:space="preserve">poziva na donošenje </w:t>
      </w:r>
      <w:proofErr w:type="spellStart"/>
      <w:r>
        <w:t>međuinstitucijskog</w:t>
      </w:r>
      <w:proofErr w:type="spellEnd"/>
      <w:r>
        <w:t xml:space="preserve"> sporazuma o civilnom dijalogu, koji bi trebao provoditi EGSO kako bi se osigurale dosljedne prakse civilnog dijaloga u svim institucijama EU-a;</w:t>
      </w:r>
    </w:p>
    <w:p w:rsidRPr="00123B12" w:rsidR="00123B12" w:rsidP="009A59C4" w:rsidRDefault="00123B12" w14:paraId="1EE05383" w14:textId="77777777">
      <w:pPr>
        <w:numPr>
          <w:ilvl w:val="0"/>
          <w:numId w:val="35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</w:pPr>
      <w:r>
        <w:t xml:space="preserve">predlaže da se u partnerstvu s Europskom komisijom pokrene </w:t>
      </w:r>
      <w:r>
        <w:rPr>
          <w:b/>
          <w:bCs/>
        </w:rPr>
        <w:t>pilot-projekt za platformu civilnog društva</w:t>
      </w:r>
      <w:r>
        <w:t xml:space="preserve"> kojim bi se uveo sveobuhvatan dijalog počevši od rane faze političkog procesa i koji bi prvotno bio usmjeren na demokraciju, temeljna prava i vladavinu prava. Ta bi platforma:</w:t>
      </w:r>
    </w:p>
    <w:p w:rsidRPr="00123B12" w:rsidR="00123B12" w:rsidP="009A59C4" w:rsidRDefault="00123B12" w14:paraId="1EF09B8A" w14:textId="77777777">
      <w:pPr>
        <w:numPr>
          <w:ilvl w:val="0"/>
          <w:numId w:val="36"/>
        </w:numPr>
        <w:overflowPunct w:val="0"/>
        <w:autoSpaceDE w:val="0"/>
        <w:autoSpaceDN w:val="0"/>
        <w:adjustRightInd w:val="0"/>
        <w:ind w:left="851" w:hanging="284"/>
        <w:contextualSpacing/>
        <w:textAlignment w:val="baseline"/>
      </w:pPr>
      <w:r>
        <w:t>vodila dijaloge o demokraciji, temeljnim pravima i vladavini prava te kasnije doprinosila ključnim političkim procesima, primjerice godišnjem programu rada Komisije,</w:t>
      </w:r>
    </w:p>
    <w:p w:rsidRPr="00123B12" w:rsidR="00123B12" w:rsidP="009A59C4" w:rsidRDefault="00123B12" w14:paraId="0F8BB389" w14:textId="77777777">
      <w:pPr>
        <w:numPr>
          <w:ilvl w:val="0"/>
          <w:numId w:val="36"/>
        </w:numPr>
        <w:overflowPunct w:val="0"/>
        <w:autoSpaceDE w:val="0"/>
        <w:autoSpaceDN w:val="0"/>
        <w:adjustRightInd w:val="0"/>
        <w:ind w:left="851" w:hanging="284"/>
        <w:contextualSpacing/>
        <w:textAlignment w:val="baseline"/>
      </w:pPr>
      <w:r>
        <w:t>bila domaćin godišnje konferencije civilnog dijaloga, na kojoj bi se zajedno sa svim uključenim dionicima predstavljali i razrađivali nacrti preporuka,</w:t>
      </w:r>
    </w:p>
    <w:p w:rsidRPr="00123B12" w:rsidR="00123B12" w:rsidP="009A59C4" w:rsidRDefault="00123B12" w14:paraId="7D733D4C" w14:textId="77777777">
      <w:pPr>
        <w:numPr>
          <w:ilvl w:val="0"/>
          <w:numId w:val="36"/>
        </w:numPr>
        <w:overflowPunct w:val="0"/>
        <w:autoSpaceDE w:val="0"/>
        <w:autoSpaceDN w:val="0"/>
        <w:adjustRightInd w:val="0"/>
        <w:ind w:left="851" w:hanging="284"/>
        <w:contextualSpacing/>
        <w:textAlignment w:val="baseline"/>
      </w:pPr>
      <w:r>
        <w:t>pratila civilni dijalog s pomoću godišnjeg pregleda stanja, što bi se uključivalo u dvogodišnja izvješća o civilnom dijalogu;</w:t>
      </w:r>
    </w:p>
    <w:p w:rsidRPr="00123B12" w:rsidR="00123B12" w:rsidP="009A59C4" w:rsidRDefault="00123B12" w14:paraId="49038518" w14:textId="77777777">
      <w:pPr>
        <w:numPr>
          <w:ilvl w:val="0"/>
          <w:numId w:val="35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rFonts w:ascii="Calibri" w:hAnsi="Calibri"/>
        </w:rPr>
      </w:pPr>
      <w:r>
        <w:t xml:space="preserve">poziva na </w:t>
      </w:r>
      <w:r>
        <w:rPr>
          <w:b/>
          <w:bCs/>
        </w:rPr>
        <w:t>odgovarajuće odredbe za jačanje europskog civilnog dijaloga</w:t>
      </w:r>
      <w:r>
        <w:t xml:space="preserve"> na svim razinama, a posebno na osiguravanje sredstava za ostvarenje platforme civilnog društva. Predloženim pilot-projektom Komisiji bi se omogućilo da ispita praksu opsežnog savjetovanja upotrebom ograničenih dodatnih sredstava, s obzirom na to da je većina dijelova tog mehanizma već operativna.</w:t>
      </w:r>
    </w:p>
    <w:p w:rsidRPr="00123B12" w:rsidR="00123B12" w:rsidP="00D94D34" w:rsidRDefault="00123B12" w14:paraId="2715C68F" w14:textId="77777777">
      <w:pPr>
        <w:widowControl w:val="0"/>
        <w:overflowPunct w:val="0"/>
        <w:autoSpaceDE w:val="0"/>
        <w:autoSpaceDN w:val="0"/>
        <w:adjustRightInd w:val="0"/>
        <w:ind w:left="709"/>
        <w:textAlignment w:val="baseline"/>
        <w:rPr>
          <w:szCs w:val="20"/>
          <w:lang w:val="en-GB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1418"/>
        <w:gridCol w:w="7904"/>
      </w:tblGrid>
      <w:tr w:rsidRPr="00123B12" w:rsidR="00123B12" w:rsidTr="006433AA" w14:paraId="012B4D82" w14:textId="77777777">
        <w:tc>
          <w:tcPr>
            <w:tcW w:w="1418" w:type="dxa"/>
          </w:tcPr>
          <w:p w:rsidRPr="00123B12" w:rsidR="00123B12" w:rsidP="00D94D34" w:rsidRDefault="00123B12" w14:paraId="096F1174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b/>
                <w:i/>
              </w:rPr>
              <w:t>Kontakt:</w:t>
            </w:r>
          </w:p>
        </w:tc>
        <w:tc>
          <w:tcPr>
            <w:tcW w:w="7904" w:type="dxa"/>
          </w:tcPr>
          <w:p w:rsidRPr="00123B12" w:rsidR="00123B12" w:rsidP="00D94D34" w:rsidRDefault="00123B12" w14:paraId="04FD36C8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 xml:space="preserve">June </w:t>
            </w:r>
            <w:proofErr w:type="spellStart"/>
            <w:r>
              <w:rPr>
                <w:i/>
              </w:rPr>
              <w:t>Bedaton</w:t>
            </w:r>
            <w:proofErr w:type="spellEnd"/>
          </w:p>
        </w:tc>
      </w:tr>
      <w:tr w:rsidRPr="00123B12" w:rsidR="00123B12" w:rsidTr="006433AA" w14:paraId="746062ED" w14:textId="77777777">
        <w:tc>
          <w:tcPr>
            <w:tcW w:w="1418" w:type="dxa"/>
          </w:tcPr>
          <w:p w:rsidRPr="00123B12" w:rsidR="00123B12" w:rsidP="00D94D34" w:rsidRDefault="00123B12" w14:paraId="75492633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7904" w:type="dxa"/>
          </w:tcPr>
          <w:p w:rsidRPr="00123B12" w:rsidR="00123B12" w:rsidP="00D94D34" w:rsidRDefault="00123B12" w14:paraId="124B78A7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+32 25468134</w:t>
            </w:r>
          </w:p>
        </w:tc>
      </w:tr>
      <w:tr w:rsidRPr="00123B12" w:rsidR="00123B12" w:rsidTr="006433AA" w14:paraId="2F86AB7C" w14:textId="77777777">
        <w:tc>
          <w:tcPr>
            <w:tcW w:w="1418" w:type="dxa"/>
          </w:tcPr>
          <w:p w:rsidRPr="00123B12" w:rsidR="00123B12" w:rsidP="00D94D34" w:rsidRDefault="00123B12" w14:paraId="30C00A25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E-pošta</w:t>
            </w:r>
            <w:r>
              <w:rPr>
                <w:i/>
                <w:iCs/>
              </w:rPr>
              <w:t>:</w:t>
            </w:r>
          </w:p>
        </w:tc>
        <w:tc>
          <w:tcPr>
            <w:tcW w:w="7904" w:type="dxa"/>
          </w:tcPr>
          <w:p w:rsidRPr="00123B12" w:rsidR="00123B12" w:rsidP="00D94D34" w:rsidRDefault="00342135" w14:paraId="52520495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</w:rPr>
            </w:pPr>
            <w:hyperlink w:history="1" r:id="rId39">
              <w:r w:rsidR="00CB5DFF">
                <w:rPr>
                  <w:i/>
                  <w:color w:val="0000FF"/>
                  <w:u w:val="single"/>
                </w:rPr>
                <w:t>June.Bedaton@eesc.europa.eu</w:t>
              </w:r>
            </w:hyperlink>
          </w:p>
        </w:tc>
      </w:tr>
    </w:tbl>
    <w:p w:rsidRPr="00123B12" w:rsidR="004D7AC0" w:rsidP="00D94D34" w:rsidRDefault="004D7AC0" w14:paraId="3D10C5A0" w14:textId="77777777">
      <w:pPr>
        <w:pStyle w:val="ListParagraph"/>
        <w:ind w:left="0"/>
        <w:rPr>
          <w:lang w:val="en-GB"/>
        </w:rPr>
      </w:pPr>
    </w:p>
    <w:p w:rsidR="00511220" w:rsidP="00D94D34" w:rsidRDefault="00511220" w14:paraId="4982DDC4" w14:textId="33F4AA23">
      <w:pPr>
        <w:jc w:val="left"/>
      </w:pPr>
      <w:r>
        <w:br w:type="page"/>
      </w:r>
    </w:p>
    <w:p w:rsidRPr="009A59C4" w:rsidR="00511220" w:rsidP="00D94D34" w:rsidRDefault="00342135" w14:paraId="0837A989" w14:textId="075EC44F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ind w:left="567" w:hanging="567"/>
        <w:rPr>
          <w:b/>
          <w:color w:val="0000FF"/>
          <w:u w:val="single"/>
        </w:rPr>
      </w:pPr>
      <w:hyperlink w:history="1" r:id="rId40">
        <w:r w:rsidR="00CB5DFF">
          <w:rPr>
            <w:b/>
            <w:i/>
            <w:color w:val="0000FF"/>
            <w:sz w:val="28"/>
            <w:u w:val="single"/>
          </w:rPr>
          <w:t>Unija vještina</w:t>
        </w:r>
      </w:hyperlink>
    </w:p>
    <w:p w:rsidRPr="006433AA" w:rsidR="00573D4F" w:rsidP="009A59C4" w:rsidRDefault="00573D4F" w14:paraId="06F08D3D" w14:textId="77777777">
      <w:pPr>
        <w:widowControl w:val="0"/>
        <w:overflowPunct w:val="0"/>
        <w:autoSpaceDE w:val="0"/>
        <w:autoSpaceDN w:val="0"/>
        <w:adjustRightInd w:val="0"/>
        <w:ind w:left="-36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86"/>
        <w:gridCol w:w="7603"/>
      </w:tblGrid>
      <w:tr w:rsidRPr="00511220" w:rsidR="00511220" w:rsidTr="006433AA" w14:paraId="20B9085D" w14:textId="77777777">
        <w:tc>
          <w:tcPr>
            <w:tcW w:w="1686" w:type="dxa"/>
            <w:hideMark/>
          </w:tcPr>
          <w:p w:rsidRPr="00511220" w:rsidR="00511220" w:rsidP="00D94D34" w:rsidRDefault="00511220" w14:paraId="04DF7F88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567" w:hanging="567"/>
              <w:rPr>
                <w:b/>
              </w:rPr>
            </w:pPr>
            <w:r>
              <w:rPr>
                <w:b/>
              </w:rPr>
              <w:t>Izvjestitelji/ice:</w:t>
            </w:r>
          </w:p>
        </w:tc>
        <w:tc>
          <w:tcPr>
            <w:tcW w:w="7603" w:type="dxa"/>
            <w:hideMark/>
          </w:tcPr>
          <w:p w:rsidRPr="00511220" w:rsidR="00511220" w:rsidP="00D94D34" w:rsidRDefault="00511220" w14:paraId="0D2C39D5" w14:textId="164D36BA">
            <w:pPr>
              <w:overflowPunct w:val="0"/>
              <w:autoSpaceDE w:val="0"/>
              <w:autoSpaceDN w:val="0"/>
              <w:adjustRightInd w:val="0"/>
              <w:ind w:left="567" w:hanging="567"/>
            </w:pPr>
            <w:r>
              <w:t>Tatjana BABRAUSKIENĖ (Skupina radnika – LT)</w:t>
            </w:r>
          </w:p>
          <w:p w:rsidRPr="00511220" w:rsidR="00511220" w:rsidP="00D94D34" w:rsidRDefault="00511220" w14:paraId="74B36768" w14:textId="2B3930BF">
            <w:pPr>
              <w:overflowPunct w:val="0"/>
              <w:autoSpaceDE w:val="0"/>
              <w:autoSpaceDN w:val="0"/>
              <w:adjustRightInd w:val="0"/>
              <w:ind w:left="567" w:hanging="567"/>
            </w:pPr>
            <w:proofErr w:type="spellStart"/>
            <w:r>
              <w:t>Mariya</w:t>
            </w:r>
            <w:proofErr w:type="spellEnd"/>
            <w:r>
              <w:t xml:space="preserve"> MINCHEVA (Skupina poslodavaca – BG)</w:t>
            </w:r>
          </w:p>
          <w:p w:rsidRPr="00511220" w:rsidR="00573D4F" w:rsidP="00D94D34" w:rsidRDefault="00511220" w14:paraId="2193087B" w14:textId="4C0FEB8C">
            <w:pPr>
              <w:overflowPunct w:val="0"/>
              <w:autoSpaceDE w:val="0"/>
              <w:autoSpaceDN w:val="0"/>
              <w:adjustRightInd w:val="0"/>
              <w:ind w:left="567" w:hanging="567"/>
            </w:pPr>
            <w:proofErr w:type="spellStart"/>
            <w:r>
              <w:t>Justyna</w:t>
            </w:r>
            <w:proofErr w:type="spellEnd"/>
            <w:r>
              <w:t xml:space="preserve"> Kalina OCHĘDZAN (Skupina organizacija civilnog društva – PL)</w:t>
            </w:r>
          </w:p>
        </w:tc>
      </w:tr>
      <w:tr w:rsidRPr="00317F69" w:rsidR="00511220" w:rsidTr="006433AA" w14:paraId="065DF19D" w14:textId="77777777">
        <w:tc>
          <w:tcPr>
            <w:tcW w:w="1686" w:type="dxa"/>
            <w:hideMark/>
          </w:tcPr>
          <w:p w:rsidRPr="00511220" w:rsidR="00511220" w:rsidP="00D94D34" w:rsidRDefault="00511220" w14:paraId="75829BAB" w14:textId="76A4CCCF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567" w:hanging="567"/>
              <w:rPr>
                <w:b/>
              </w:rPr>
            </w:pPr>
            <w:r>
              <w:rPr>
                <w:b/>
              </w:rPr>
              <w:t>Referentni dokumenti/i:</w:t>
            </w:r>
          </w:p>
        </w:tc>
        <w:tc>
          <w:tcPr>
            <w:tcW w:w="7603" w:type="dxa"/>
            <w:hideMark/>
          </w:tcPr>
          <w:p w:rsidR="00EF79D0" w:rsidP="00D94D34" w:rsidRDefault="006A699F" w14:paraId="14AD7240" w14:textId="1715CC36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567" w:hanging="567"/>
            </w:pPr>
            <w:r>
              <w:t xml:space="preserve">COM(2025) 88 </w:t>
            </w:r>
            <w:proofErr w:type="spellStart"/>
            <w:r>
              <w:t>final</w:t>
            </w:r>
            <w:proofErr w:type="spellEnd"/>
            <w:r>
              <w:t xml:space="preserve"> </w:t>
            </w:r>
          </w:p>
          <w:p w:rsidR="00EF79D0" w:rsidP="00D94D34" w:rsidRDefault="006A699F" w14:paraId="6E092E67" w14:textId="35AE95CB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567" w:hanging="567"/>
            </w:pPr>
            <w:r>
              <w:t xml:space="preserve">COM(2025) 89 </w:t>
            </w:r>
            <w:proofErr w:type="spellStart"/>
            <w:r>
              <w:t>final</w:t>
            </w:r>
            <w:proofErr w:type="spellEnd"/>
          </w:p>
          <w:p w:rsidR="00EF79D0" w:rsidP="00D94D34" w:rsidRDefault="006A699F" w14:paraId="6A4A0F89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567" w:hanging="567"/>
            </w:pPr>
            <w:r>
              <w:t xml:space="preserve">COM(2025) 90 </w:t>
            </w:r>
            <w:proofErr w:type="spellStart"/>
            <w:r>
              <w:t>final</w:t>
            </w:r>
            <w:proofErr w:type="spellEnd"/>
          </w:p>
          <w:p w:rsidRPr="00511220" w:rsidR="00511220" w:rsidP="00D94D34" w:rsidRDefault="00511220" w14:paraId="2E9ADEB1" w14:textId="3C999085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567" w:hanging="567"/>
            </w:pPr>
            <w:r>
              <w:t>EESC-2025-01308-00-00-AC</w:t>
            </w:r>
          </w:p>
        </w:tc>
      </w:tr>
    </w:tbl>
    <w:p w:rsidRPr="009A59C4" w:rsidR="00511220" w:rsidP="00D94D34" w:rsidRDefault="00511220" w14:paraId="5D0AC82F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rPr>
          <w:b/>
          <w:lang w:val="pt-PT"/>
        </w:rPr>
      </w:pPr>
    </w:p>
    <w:p w:rsidRPr="00511220" w:rsidR="00511220" w:rsidP="00D94D34" w:rsidRDefault="00511220" w14:paraId="01AE9D1A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rPr>
          <w:b/>
        </w:rPr>
      </w:pPr>
      <w:r>
        <w:rPr>
          <w:b/>
        </w:rPr>
        <w:t>Ključne točke</w:t>
      </w:r>
    </w:p>
    <w:p w:rsidRPr="00511220" w:rsidR="00511220" w:rsidP="00D94D34" w:rsidRDefault="00511220" w14:paraId="22CDA2BF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rPr>
          <w:b/>
          <w:lang w:val="en-GB"/>
        </w:rPr>
      </w:pPr>
    </w:p>
    <w:p w:rsidRPr="009A59C4" w:rsidR="004D7829" w:rsidP="00D94D34" w:rsidRDefault="00511220" w14:paraId="645560F6" w14:textId="7768543D">
      <w:pPr>
        <w:jc w:val="left"/>
      </w:pPr>
      <w:r>
        <w:t>EGSO:</w:t>
      </w:r>
    </w:p>
    <w:p w:rsidRPr="009A59C4" w:rsidR="00511220" w:rsidP="009A59C4" w:rsidRDefault="00511220" w14:paraId="21EE8EF9" w14:textId="77777777">
      <w:pPr>
        <w:numPr>
          <w:ilvl w:val="0"/>
          <w:numId w:val="38"/>
        </w:numPr>
        <w:tabs>
          <w:tab w:val="clear" w:pos="720"/>
        </w:tabs>
        <w:overflowPunct w:val="0"/>
        <w:autoSpaceDE w:val="0"/>
        <w:autoSpaceDN w:val="0"/>
        <w:adjustRightInd w:val="0"/>
        <w:ind w:left="567" w:hanging="567"/>
      </w:pPr>
      <w:r>
        <w:t xml:space="preserve">naglašava stratešku važnost visokokvalitetnog i </w:t>
      </w:r>
      <w:proofErr w:type="spellStart"/>
      <w:r>
        <w:t>uključivog</w:t>
      </w:r>
      <w:proofErr w:type="spellEnd"/>
      <w:r>
        <w:t xml:space="preserve"> obrazovanja i kvalificirane radne snage za europsku konkurentnost, socijalnu koheziju i održivi razvoj. Za prevladavanje aktualnih izazova, kao što su trajni manjak i neusklađenost vještina, manjak radne snage i privlačenje nastavnika i voditelja osposobljavanja, potrebne su odvažne, sistemske reforme i ulaganja u uključive i visokokvalitetne sustave obrazovanja i osposobljavanja;</w:t>
      </w:r>
    </w:p>
    <w:p w:rsidRPr="009A59C4" w:rsidR="00511220" w:rsidP="009A59C4" w:rsidRDefault="00511220" w14:paraId="57EFAFBC" w14:textId="77777777">
      <w:pPr>
        <w:numPr>
          <w:ilvl w:val="0"/>
          <w:numId w:val="38"/>
        </w:numPr>
        <w:tabs>
          <w:tab w:val="clear" w:pos="720"/>
        </w:tabs>
        <w:overflowPunct w:val="0"/>
        <w:autoSpaceDE w:val="0"/>
        <w:autoSpaceDN w:val="0"/>
        <w:adjustRightInd w:val="0"/>
        <w:ind w:left="567" w:hanging="567"/>
      </w:pPr>
      <w:r>
        <w:t>naglašava da uspjeh unije vještina ovisi o uspješnom i kooperativnom upravljanju, adekvatnom financiranju i uključivoj zastupljenosti socijalnih partnera, nacionalnih tijela i drugih dionika, uključujući organizacije civilnog društva, nastavnike i polaznike;</w:t>
      </w:r>
    </w:p>
    <w:p w:rsidRPr="009A59C4" w:rsidR="00511220" w:rsidP="009A59C4" w:rsidRDefault="00511220" w14:paraId="2135B1DD" w14:textId="77777777">
      <w:pPr>
        <w:numPr>
          <w:ilvl w:val="0"/>
          <w:numId w:val="38"/>
        </w:numPr>
        <w:tabs>
          <w:tab w:val="clear" w:pos="720"/>
        </w:tabs>
        <w:overflowPunct w:val="0"/>
        <w:autoSpaceDE w:val="0"/>
        <w:autoSpaceDN w:val="0"/>
        <w:adjustRightInd w:val="0"/>
        <w:ind w:left="567" w:hanging="567"/>
      </w:pPr>
      <w:r>
        <w:t>smatra da manjak blagostanja, produktivnosti i inovacija u Europi iziskuje veću razinu ambicioznosti za razvoj vrhunskih talenata u području prirodnih znanosti, tehnologije, inženjerstva i matematike (STEM) i umjetne inteligencije. Poticanje uključivosti i suzbijanje rodnih stereotipa u pristupu zanimanjima, obrazovanju i osposobljavanju vrlo je važno;</w:t>
      </w:r>
    </w:p>
    <w:p w:rsidRPr="009A59C4" w:rsidR="00511220" w:rsidP="009A59C4" w:rsidRDefault="00511220" w14:paraId="23F53AB6" w14:textId="77777777">
      <w:pPr>
        <w:numPr>
          <w:ilvl w:val="0"/>
          <w:numId w:val="38"/>
        </w:numPr>
        <w:tabs>
          <w:tab w:val="clear" w:pos="720"/>
        </w:tabs>
        <w:overflowPunct w:val="0"/>
        <w:autoSpaceDE w:val="0"/>
        <w:autoSpaceDN w:val="0"/>
        <w:adjustRightInd w:val="0"/>
        <w:ind w:left="567" w:hanging="567"/>
      </w:pPr>
      <w:r>
        <w:t>poziva Komisiju i države članice da osiguraju veća javna ulaganja i bolje iskorištavanje sredstava EU-a da bi se ojačali obrazovni sustavi na svim razinama;</w:t>
      </w:r>
    </w:p>
    <w:p w:rsidRPr="009A59C4" w:rsidR="00511220" w:rsidP="009A59C4" w:rsidRDefault="00511220" w14:paraId="11DA2047" w14:textId="77777777">
      <w:pPr>
        <w:numPr>
          <w:ilvl w:val="0"/>
          <w:numId w:val="38"/>
        </w:numPr>
        <w:tabs>
          <w:tab w:val="clear" w:pos="720"/>
        </w:tabs>
        <w:overflowPunct w:val="0"/>
        <w:autoSpaceDE w:val="0"/>
        <w:autoSpaceDN w:val="0"/>
        <w:adjustRightInd w:val="0"/>
        <w:ind w:left="567" w:hanging="567"/>
      </w:pPr>
      <w:r>
        <w:t xml:space="preserve">poziva na poboljšanje kvalitete, uključivosti, privlačnosti, djelotvornosti i pristupačnosti strukovnog obrazovanja i osposobljavanja (inicijalno osposobljavanje i trajno strukovno obrazovanje i osposobljavanje) i obrazovanja odraslih; zalaže se za poboljšanje pružanja osnovnih vještina i ključnih kompetencija za sve, kao i na </w:t>
      </w:r>
      <w:proofErr w:type="spellStart"/>
      <w:r>
        <w:t>uključiviji</w:t>
      </w:r>
      <w:proofErr w:type="spellEnd"/>
      <w:r>
        <w:t xml:space="preserve"> pristup kvalitetnom i djelotvornom usavršavanju i prekvalifikaciji;</w:t>
      </w:r>
    </w:p>
    <w:p w:rsidRPr="009A59C4" w:rsidR="00511220" w:rsidP="009A59C4" w:rsidRDefault="00511220" w14:paraId="7814F432" w14:textId="77777777">
      <w:pPr>
        <w:numPr>
          <w:ilvl w:val="0"/>
          <w:numId w:val="38"/>
        </w:numPr>
        <w:tabs>
          <w:tab w:val="clear" w:pos="720"/>
        </w:tabs>
        <w:overflowPunct w:val="0"/>
        <w:autoSpaceDE w:val="0"/>
        <w:autoSpaceDN w:val="0"/>
        <w:adjustRightInd w:val="0"/>
        <w:ind w:left="567" w:hanging="567"/>
      </w:pPr>
      <w:r>
        <w:t>poziva na to da se Europa učini privlačnijom talentima iz cijelog svijeta;</w:t>
      </w:r>
    </w:p>
    <w:p w:rsidRPr="009A59C4" w:rsidR="00511220" w:rsidP="009A59C4" w:rsidRDefault="00511220" w14:paraId="56E9090A" w14:textId="77777777">
      <w:pPr>
        <w:numPr>
          <w:ilvl w:val="0"/>
          <w:numId w:val="38"/>
        </w:numPr>
        <w:tabs>
          <w:tab w:val="clear" w:pos="720"/>
        </w:tabs>
        <w:overflowPunct w:val="0"/>
        <w:autoSpaceDE w:val="0"/>
        <w:autoSpaceDN w:val="0"/>
        <w:adjustRightInd w:val="0"/>
        <w:ind w:left="567" w:hanging="567"/>
      </w:pPr>
      <w:r>
        <w:t>traži prilagođenu potporu malim i srednjim poduzećima, ženama i osobama u nepovoljnom položaju;</w:t>
      </w:r>
    </w:p>
    <w:p w:rsidRPr="009A59C4" w:rsidR="00511220" w:rsidP="009A59C4" w:rsidRDefault="00511220" w14:paraId="450CAD9B" w14:textId="77777777">
      <w:pPr>
        <w:numPr>
          <w:ilvl w:val="0"/>
          <w:numId w:val="38"/>
        </w:numPr>
        <w:tabs>
          <w:tab w:val="clear" w:pos="720"/>
        </w:tabs>
        <w:overflowPunct w:val="0"/>
        <w:autoSpaceDE w:val="0"/>
        <w:autoSpaceDN w:val="0"/>
        <w:adjustRightInd w:val="0"/>
        <w:ind w:left="567" w:hanging="567"/>
      </w:pPr>
      <w:r>
        <w:t>poziva Komisiju da predloži zasebne programe EU-a za nastavnike i voditelje osposobljavanja i da državama članicama predloži učinkovite mjere za povećanje privlačnosti tih zanimanja;</w:t>
      </w:r>
    </w:p>
    <w:p w:rsidRPr="009A59C4" w:rsidR="00511220" w:rsidP="009A59C4" w:rsidRDefault="00511220" w14:paraId="126CFF82" w14:textId="77777777">
      <w:pPr>
        <w:numPr>
          <w:ilvl w:val="0"/>
          <w:numId w:val="38"/>
        </w:numPr>
        <w:tabs>
          <w:tab w:val="clear" w:pos="720"/>
        </w:tabs>
        <w:overflowPunct w:val="0"/>
        <w:autoSpaceDE w:val="0"/>
        <w:autoSpaceDN w:val="0"/>
        <w:adjustRightInd w:val="0"/>
        <w:ind w:left="567" w:hanging="567"/>
      </w:pPr>
      <w:r>
        <w:t>poziva na rješavanje problema rascjepkanosti upravljanja u politikama obrazovanja i osposobljavanja i predlaže pojednostavljenje upravljanja europskim prostorom obrazovanja osnivanjem savjetodavnog odbora na visokoj razini za obrazovanje;</w:t>
      </w:r>
    </w:p>
    <w:p w:rsidRPr="009A59C4" w:rsidR="00511220" w:rsidP="009A59C4" w:rsidRDefault="00511220" w14:paraId="7A92DCCA" w14:textId="77777777">
      <w:pPr>
        <w:numPr>
          <w:ilvl w:val="0"/>
          <w:numId w:val="38"/>
        </w:numPr>
        <w:tabs>
          <w:tab w:val="clear" w:pos="720"/>
        </w:tabs>
        <w:overflowPunct w:val="0"/>
        <w:autoSpaceDE w:val="0"/>
        <w:autoSpaceDN w:val="0"/>
        <w:adjustRightInd w:val="0"/>
        <w:ind w:left="567" w:hanging="567"/>
      </w:pPr>
      <w:r>
        <w:t>traži da se preporuke o obrazovanju i vještinama u potpunosti integriraju u proces europskog semestra.</w:t>
      </w:r>
    </w:p>
    <w:p w:rsidRPr="00511220" w:rsidR="00511220" w:rsidP="00D94D34" w:rsidRDefault="00511220" w14:paraId="6F2D24EB" w14:textId="77777777">
      <w:pPr>
        <w:overflowPunct w:val="0"/>
        <w:autoSpaceDE w:val="0"/>
        <w:autoSpaceDN w:val="0"/>
        <w:adjustRightInd w:val="0"/>
        <w:rPr>
          <w:szCs w:val="20"/>
          <w:lang w:val="en-GB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1210"/>
        <w:gridCol w:w="8112"/>
      </w:tblGrid>
      <w:tr w:rsidRPr="00511220" w:rsidR="00511220" w:rsidTr="00511220" w14:paraId="669D24EA" w14:textId="77777777">
        <w:tc>
          <w:tcPr>
            <w:tcW w:w="1210" w:type="dxa"/>
            <w:hideMark/>
          </w:tcPr>
          <w:p w:rsidRPr="00511220" w:rsidR="00511220" w:rsidP="00D94D34" w:rsidRDefault="00511220" w14:paraId="31EE4F2C" w14:textId="77777777">
            <w:pPr>
              <w:overflowPunct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b/>
                <w:i/>
              </w:rPr>
              <w:t>Kontakt:</w:t>
            </w:r>
          </w:p>
        </w:tc>
        <w:tc>
          <w:tcPr>
            <w:tcW w:w="8112" w:type="dxa"/>
            <w:hideMark/>
          </w:tcPr>
          <w:p w:rsidRPr="00511220" w:rsidR="00511220" w:rsidP="00D94D34" w:rsidRDefault="00511220" w14:paraId="1E6011F2" w14:textId="77777777">
            <w:pPr>
              <w:overflowPunct w:val="0"/>
              <w:autoSpaceDE w:val="0"/>
              <w:autoSpaceDN w:val="0"/>
              <w:adjustRightInd w:val="0"/>
              <w:ind w:hanging="12"/>
              <w:rPr>
                <w:i/>
              </w:rPr>
            </w:pPr>
            <w:r>
              <w:rPr>
                <w:i/>
              </w:rPr>
              <w:t xml:space="preserve">Ana </w:t>
            </w:r>
            <w:proofErr w:type="spellStart"/>
            <w:r>
              <w:rPr>
                <w:i/>
              </w:rPr>
              <w:t>Dumitrache</w:t>
            </w:r>
            <w:proofErr w:type="spellEnd"/>
          </w:p>
        </w:tc>
      </w:tr>
      <w:tr w:rsidRPr="00511220" w:rsidR="00511220" w:rsidTr="00511220" w14:paraId="612F42F9" w14:textId="77777777">
        <w:tc>
          <w:tcPr>
            <w:tcW w:w="1210" w:type="dxa"/>
            <w:hideMark/>
          </w:tcPr>
          <w:p w:rsidRPr="00511220" w:rsidR="00511220" w:rsidP="00D94D34" w:rsidRDefault="00511220" w14:paraId="359E0118" w14:textId="77777777">
            <w:pPr>
              <w:overflowPunct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8112" w:type="dxa"/>
            <w:hideMark/>
          </w:tcPr>
          <w:p w:rsidRPr="00511220" w:rsidR="00511220" w:rsidP="00D94D34" w:rsidRDefault="00511220" w14:paraId="099CD8A1" w14:textId="77777777">
            <w:pPr>
              <w:overflowPunct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+32 25468131</w:t>
            </w:r>
          </w:p>
        </w:tc>
      </w:tr>
      <w:tr w:rsidRPr="00511220" w:rsidR="00511220" w:rsidTr="00511220" w14:paraId="5442172B" w14:textId="77777777">
        <w:tc>
          <w:tcPr>
            <w:tcW w:w="1210" w:type="dxa"/>
            <w:hideMark/>
          </w:tcPr>
          <w:p w:rsidRPr="00511220" w:rsidR="00511220" w:rsidP="00D94D34" w:rsidRDefault="00511220" w14:paraId="6D2923EB" w14:textId="77777777">
            <w:pPr>
              <w:overflowPunct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E-pošta</w:t>
            </w:r>
            <w:r>
              <w:rPr>
                <w:i/>
                <w:iCs/>
              </w:rPr>
              <w:t>:</w:t>
            </w:r>
          </w:p>
        </w:tc>
        <w:tc>
          <w:tcPr>
            <w:tcW w:w="8112" w:type="dxa"/>
            <w:hideMark/>
          </w:tcPr>
          <w:p w:rsidRPr="006433AA" w:rsidR="00511220" w:rsidP="00D94D34" w:rsidRDefault="00342135" w14:paraId="5E53E9ED" w14:textId="77777777">
            <w:pPr>
              <w:overflowPunct w:val="0"/>
              <w:autoSpaceDE w:val="0"/>
              <w:autoSpaceDN w:val="0"/>
              <w:adjustRightInd w:val="0"/>
              <w:rPr>
                <w:i/>
                <w:iCs/>
              </w:rPr>
            </w:pPr>
            <w:hyperlink w:history="1" r:id="rId41">
              <w:r w:rsidR="00CB5DFF">
                <w:rPr>
                  <w:i/>
                  <w:color w:val="0000FF"/>
                  <w:u w:val="single"/>
                </w:rPr>
                <w:t>Ana.Dumitrache@eesc.europa.eu</w:t>
              </w:r>
            </w:hyperlink>
          </w:p>
        </w:tc>
      </w:tr>
    </w:tbl>
    <w:p w:rsidRPr="00511220" w:rsidR="004D7AC0" w:rsidP="00D94D34" w:rsidRDefault="004D7AC0" w14:paraId="4C2FDD8D" w14:textId="77777777">
      <w:pPr>
        <w:pStyle w:val="ListParagraph"/>
        <w:ind w:left="0"/>
      </w:pPr>
    </w:p>
    <w:p w:rsidR="004D7AC0" w:rsidP="00D94D34" w:rsidRDefault="004D7AC0" w14:paraId="18B2E995" w14:textId="77777777">
      <w:pPr>
        <w:jc w:val="left"/>
      </w:pPr>
    </w:p>
    <w:p w:rsidR="004D7AC0" w:rsidP="00D94D34" w:rsidRDefault="004D7AC0" w14:paraId="4982DDC6" w14:textId="77777777">
      <w:pPr>
        <w:pStyle w:val="Heading1"/>
        <w:rPr>
          <w:b/>
        </w:rPr>
      </w:pPr>
      <w:bookmarkStart w:name="_Toc24617160" w:id="55"/>
      <w:bookmarkStart w:name="_Toc75527082" w:id="56"/>
      <w:bookmarkStart w:name="_Toc205373406" w:id="57"/>
      <w:r>
        <w:rPr>
          <w:b/>
        </w:rPr>
        <w:t>STRUČNA SKUPINA ZA PROMET, ENERGIJU, INFRASTRUKTURU I INFORMACIJSKO DRUŠTVO</w:t>
      </w:r>
      <w:bookmarkEnd w:id="55"/>
      <w:bookmarkEnd w:id="56"/>
      <w:bookmarkEnd w:id="57"/>
    </w:p>
    <w:p w:rsidR="004D7AC0" w:rsidP="00D94D34" w:rsidRDefault="004D7AC0" w14:paraId="4982DDC7" w14:textId="77777777"/>
    <w:p w:rsidRPr="0097187B" w:rsidR="0097187B" w:rsidP="00D94D34" w:rsidRDefault="00342135" w14:paraId="6ED3E700" w14:textId="19CC43BC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0"/>
          <w:szCs w:val="20"/>
        </w:rPr>
      </w:pPr>
      <w:hyperlink w:history="1" r:id="rId42">
        <w:r w:rsidR="00CB5DFF">
          <w:rPr>
            <w:b/>
            <w:i/>
            <w:color w:val="0000FF"/>
            <w:sz w:val="28"/>
            <w:u w:val="single"/>
          </w:rPr>
          <w:t>Uloga usluga od općeg interesa za konkurentnost, socijalnu koheziju i demokraciju u Europskoj uniji</w:t>
        </w:r>
      </w:hyperlink>
    </w:p>
    <w:p w:rsidRPr="0097187B" w:rsidR="0097187B" w:rsidP="00D94D34" w:rsidRDefault="0097187B" w14:paraId="5251E223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609"/>
        <w:gridCol w:w="7680"/>
      </w:tblGrid>
      <w:tr w:rsidRPr="0097187B" w:rsidR="0097187B" w:rsidTr="000F00DC" w14:paraId="0ADE5EDE" w14:textId="77777777">
        <w:tc>
          <w:tcPr>
            <w:tcW w:w="821" w:type="pct"/>
          </w:tcPr>
          <w:p w:rsidRPr="0097187B" w:rsidR="0097187B" w:rsidP="00D94D34" w:rsidRDefault="0097187B" w14:paraId="2A5D2B5D" w14:textId="5438A83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Izvjestitelj/ica:</w:t>
            </w:r>
          </w:p>
        </w:tc>
        <w:tc>
          <w:tcPr>
            <w:tcW w:w="4179" w:type="pct"/>
          </w:tcPr>
          <w:p w:rsidRPr="0097187B" w:rsidR="0097187B" w:rsidP="00D94D34" w:rsidRDefault="0097187B" w14:paraId="53554FAC" w14:textId="4C4F5006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Thomas KATTNIG (Skupina radnika – AT)</w:t>
            </w:r>
          </w:p>
        </w:tc>
      </w:tr>
      <w:tr w:rsidRPr="0097187B" w:rsidR="0097187B" w:rsidTr="000F00DC" w14:paraId="57D73323" w14:textId="77777777">
        <w:trPr>
          <w:trHeight w:val="70"/>
        </w:trPr>
        <w:tc>
          <w:tcPr>
            <w:tcW w:w="821" w:type="pct"/>
          </w:tcPr>
          <w:p w:rsidRPr="0097187B" w:rsidR="0097187B" w:rsidP="00D94D34" w:rsidRDefault="0097187B" w14:paraId="4AEEF372" w14:textId="4B88A542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Referentni dokument/i:</w:t>
            </w:r>
          </w:p>
        </w:tc>
        <w:tc>
          <w:tcPr>
            <w:tcW w:w="4179" w:type="pct"/>
          </w:tcPr>
          <w:p w:rsidRPr="0097187B" w:rsidR="0097187B" w:rsidP="00D94D34" w:rsidRDefault="0097187B" w14:paraId="4BFE4949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samoinicijativno mišljenje</w:t>
            </w:r>
          </w:p>
          <w:p w:rsidRPr="0097187B" w:rsidR="0097187B" w:rsidP="00D94D34" w:rsidRDefault="0097187B" w14:paraId="754E4C6F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EESC-2025-00784-00-00-AC</w:t>
            </w:r>
          </w:p>
        </w:tc>
      </w:tr>
    </w:tbl>
    <w:p w:rsidRPr="0097187B" w:rsidR="0097187B" w:rsidP="00D94D34" w:rsidRDefault="0097187B" w14:paraId="4168DBC5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lang w:val="en-GB"/>
        </w:rPr>
      </w:pPr>
    </w:p>
    <w:p w:rsidRPr="0097187B" w:rsidR="0097187B" w:rsidP="00D94D34" w:rsidRDefault="0097187B" w14:paraId="6EC3ED5B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Ključne točke</w:t>
      </w:r>
    </w:p>
    <w:p w:rsidRPr="0097187B" w:rsidR="0097187B" w:rsidP="00D94D34" w:rsidRDefault="0097187B" w14:paraId="6D759F43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:rsidRPr="0097187B" w:rsidR="0097187B" w:rsidP="00D94D34" w:rsidRDefault="0097187B" w14:paraId="43CDC0DE" w14:textId="24685D1B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EGSO:</w:t>
      </w:r>
    </w:p>
    <w:p w:rsidRPr="0097187B" w:rsidR="0097187B" w:rsidP="009A59C4" w:rsidRDefault="0097187B" w14:paraId="476CE24F" w14:textId="77777777">
      <w:pPr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 xml:space="preserve">poziva na sveobuhvatan pristup politikama u području usluga od općeg interesa, za razliku od aktualnog sektorskog pristupa politika EU-a, i prepoznaje središnju ulogu modernih usluga od općeg interesa u promicanju održivog blagostanja i konkurentnosti. U tom duhu EGSO poziva Komisiju da na temelju izvješća Enrica </w:t>
      </w:r>
      <w:proofErr w:type="spellStart"/>
      <w:r>
        <w:t>Lette</w:t>
      </w:r>
      <w:proofErr w:type="spellEnd"/>
      <w:r>
        <w:t xml:space="preserve"> poduzme konkretne mjere i izradi akcijski plan za usluge od općeg interesa;</w:t>
      </w:r>
    </w:p>
    <w:p w:rsidRPr="0097187B" w:rsidR="0097187B" w:rsidP="009A59C4" w:rsidRDefault="0097187B" w14:paraId="3732CC7D" w14:textId="77777777">
      <w:pPr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szCs w:val="20"/>
        </w:rPr>
      </w:pPr>
      <w:r>
        <w:t>poziva države članice da osiguraju univerzalan i jednak pristup cjenovno pristupačnim i visokokvalitetnim osnovnim uslugama. To je pitanje socijalne pravde jer se usluge od općeg interesa pružaju po cijeni koja ne ovisi o kupovnoj moći korisnika;</w:t>
      </w:r>
    </w:p>
    <w:p w:rsidRPr="0097187B" w:rsidR="0097187B" w:rsidP="009A59C4" w:rsidRDefault="0097187B" w14:paraId="32DB9E71" w14:textId="77777777">
      <w:pPr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szCs w:val="20"/>
        </w:rPr>
      </w:pPr>
      <w:r>
        <w:t>navodi da zemlje s politikom ulaganja u infrastrukturu i ispravno financiranim troškovima servisiranja za pružanje kvalitetnih javnih usluga svojim građanima i poduzećima omogućuju niže troškove života i rada. EGSO stoga tvrdi da je potrebno na odgovarajući način financirati i poboljšati usluge od općeg interesa te ih bolje uskladiti s potrebama građana kako bi se povećalo zadovoljstvo i povjerenje u demokraciju;</w:t>
      </w:r>
    </w:p>
    <w:p w:rsidRPr="0097187B" w:rsidR="0097187B" w:rsidP="009A59C4" w:rsidRDefault="0097187B" w14:paraId="2E5A3662" w14:textId="77777777">
      <w:pPr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szCs w:val="20"/>
        </w:rPr>
      </w:pPr>
      <w:r>
        <w:t>ističe da se pri ulaganju u javne usluge mora osigurati regionalna ravnoteža. U tom smislu javna ulaganja, osobito ona u vezi s Kohezijskim fondom, zaslužuju posebnu pozornost u provedbi fiskalnih pravila, koja trebaju odražavati njihov doprinos dugoročnoj konvergenciji i otpornosti.</w:t>
      </w:r>
    </w:p>
    <w:p w:rsidRPr="0097187B" w:rsidR="0097187B" w:rsidP="00D94D34" w:rsidRDefault="0097187B" w14:paraId="524D9A54" w14:textId="77777777">
      <w:pPr>
        <w:widowControl w:val="0"/>
        <w:overflowPunct w:val="0"/>
        <w:autoSpaceDE w:val="0"/>
        <w:autoSpaceDN w:val="0"/>
        <w:adjustRightInd w:val="0"/>
        <w:ind w:left="709"/>
        <w:textAlignment w:val="baseline"/>
        <w:rPr>
          <w:szCs w:val="20"/>
          <w:lang w:val="en-GB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84"/>
        <w:gridCol w:w="7905"/>
      </w:tblGrid>
      <w:tr w:rsidRPr="0097187B" w:rsidR="0097187B" w:rsidTr="006433AA" w14:paraId="1949EBF6" w14:textId="77777777">
        <w:tc>
          <w:tcPr>
            <w:tcW w:w="745" w:type="pct"/>
          </w:tcPr>
          <w:p w:rsidRPr="0097187B" w:rsidR="0097187B" w:rsidP="00D94D34" w:rsidRDefault="0097187B" w14:paraId="062673BE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b/>
                <w:i/>
              </w:rPr>
              <w:t>Kontakt:</w:t>
            </w:r>
          </w:p>
        </w:tc>
        <w:tc>
          <w:tcPr>
            <w:tcW w:w="4255" w:type="pct"/>
          </w:tcPr>
          <w:p w:rsidRPr="0097187B" w:rsidR="0097187B" w:rsidP="00D94D34" w:rsidRDefault="0097187B" w14:paraId="0C32F0BB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 xml:space="preserve">Aleksandra </w:t>
            </w:r>
            <w:proofErr w:type="spellStart"/>
            <w:r>
              <w:rPr>
                <w:i/>
              </w:rPr>
              <w:t>Sarman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Grilc</w:t>
            </w:r>
            <w:proofErr w:type="spellEnd"/>
          </w:p>
        </w:tc>
      </w:tr>
      <w:tr w:rsidRPr="0097187B" w:rsidR="0097187B" w:rsidTr="006433AA" w14:paraId="50A6798B" w14:textId="77777777">
        <w:tc>
          <w:tcPr>
            <w:tcW w:w="745" w:type="pct"/>
          </w:tcPr>
          <w:p w:rsidRPr="0097187B" w:rsidR="0097187B" w:rsidP="00D94D34" w:rsidRDefault="0097187B" w14:paraId="43EDEE6B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4255" w:type="pct"/>
          </w:tcPr>
          <w:p w:rsidRPr="0097187B" w:rsidR="0097187B" w:rsidP="00D94D34" w:rsidRDefault="0097187B" w14:paraId="19E0659A" w14:textId="4460B9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+32 25468333</w:t>
            </w:r>
          </w:p>
        </w:tc>
      </w:tr>
      <w:tr w:rsidRPr="0097187B" w:rsidR="0097187B" w:rsidTr="006433AA" w14:paraId="79FEA8BF" w14:textId="77777777">
        <w:tc>
          <w:tcPr>
            <w:tcW w:w="745" w:type="pct"/>
          </w:tcPr>
          <w:p w:rsidRPr="0097187B" w:rsidR="0097187B" w:rsidP="00D94D34" w:rsidRDefault="0097187B" w14:paraId="1D91B6F8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E-pošta</w:t>
            </w:r>
            <w:r>
              <w:rPr>
                <w:i/>
                <w:iCs/>
              </w:rPr>
              <w:t>:</w:t>
            </w:r>
          </w:p>
        </w:tc>
        <w:tc>
          <w:tcPr>
            <w:tcW w:w="4255" w:type="pct"/>
          </w:tcPr>
          <w:p w:rsidRPr="006433AA" w:rsidR="0097187B" w:rsidP="00D94D34" w:rsidRDefault="00342135" w14:paraId="7A250A07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</w:rPr>
            </w:pPr>
            <w:hyperlink w:history="1" r:id="rId43">
              <w:r w:rsidR="00CB5DFF">
                <w:rPr>
                  <w:i/>
                  <w:color w:val="0000FF"/>
                  <w:u w:val="single"/>
                </w:rPr>
                <w:t>Aleksandra.Sarmangrilc@eesc.europa.eu</w:t>
              </w:r>
            </w:hyperlink>
          </w:p>
        </w:tc>
      </w:tr>
    </w:tbl>
    <w:p w:rsidR="0097187B" w:rsidP="00D94D34" w:rsidRDefault="0097187B" w14:paraId="4982DDF0" w14:textId="5492CC9F">
      <w:pPr>
        <w:pStyle w:val="ListParagraph"/>
        <w:ind w:left="0"/>
        <w:rPr>
          <w:lang w:val="en-GB"/>
        </w:rPr>
      </w:pPr>
    </w:p>
    <w:p w:rsidR="0097187B" w:rsidP="00D94D34" w:rsidRDefault="0097187B" w14:paraId="1EC0C09D" w14:textId="77777777">
      <w:pPr>
        <w:jc w:val="left"/>
      </w:pPr>
      <w:r>
        <w:br w:type="page"/>
      </w:r>
    </w:p>
    <w:p w:rsidR="004D7AC0" w:rsidP="00D94D34" w:rsidRDefault="004D7AC0" w14:paraId="4982DDF3" w14:textId="77777777">
      <w:pPr>
        <w:pStyle w:val="Heading1"/>
        <w:rPr>
          <w:b/>
        </w:rPr>
      </w:pPr>
      <w:bookmarkStart w:name="_Toc75527083" w:id="58"/>
      <w:bookmarkStart w:name="_Toc205373407" w:id="59"/>
      <w:r>
        <w:rPr>
          <w:b/>
        </w:rPr>
        <w:lastRenderedPageBreak/>
        <w:t>JEDINSTVENO TRŽIŠTE, PROIZVODNJA I POTROŠNJA</w:t>
      </w:r>
      <w:bookmarkEnd w:id="58"/>
      <w:bookmarkEnd w:id="59"/>
    </w:p>
    <w:p w:rsidR="0096346D" w:rsidP="00D94D34" w:rsidRDefault="0096346D" w14:paraId="51A7EC74" w14:textId="77777777">
      <w:pPr>
        <w:jc w:val="left"/>
      </w:pPr>
    </w:p>
    <w:p w:rsidRPr="0096346D" w:rsidR="0096346D" w:rsidP="00D94D34" w:rsidRDefault="00342135" w14:paraId="4F4A8605" w14:textId="21E2217E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hanging="567"/>
        <w:textAlignment w:val="baseline"/>
        <w:rPr>
          <w:b/>
        </w:rPr>
      </w:pPr>
      <w:hyperlink w:tgtFrame="_blank" w:history="1" r:id="rId44">
        <w:r w:rsidR="00CB5DFF">
          <w:rPr>
            <w:b/>
            <w:i/>
            <w:color w:val="0000FF"/>
            <w:sz w:val="28"/>
            <w:u w:val="single"/>
          </w:rPr>
          <w:t>Zakonodavni akt o europskom istraživačkom prostoru: afirmacija pete slobode</w:t>
        </w:r>
      </w:hyperlink>
    </w:p>
    <w:p w:rsidRPr="0096346D" w:rsidR="0096346D" w:rsidP="00D94D34" w:rsidRDefault="0096346D" w14:paraId="790442DB" w14:textId="77777777">
      <w:pPr>
        <w:widowControl w:val="0"/>
        <w:overflowPunct w:val="0"/>
        <w:autoSpaceDE w:val="0"/>
        <w:autoSpaceDN w:val="0"/>
        <w:adjustRightInd w:val="0"/>
        <w:ind w:left="567"/>
        <w:textAlignment w:val="baseline"/>
        <w:rPr>
          <w:b/>
          <w:lang w:val="en-GB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1829"/>
        <w:gridCol w:w="7493"/>
      </w:tblGrid>
      <w:tr w:rsidRPr="0096346D" w:rsidR="0096346D" w:rsidTr="006433AA" w14:paraId="27A794A6" w14:textId="77777777">
        <w:tc>
          <w:tcPr>
            <w:tcW w:w="1701" w:type="dxa"/>
          </w:tcPr>
          <w:p w:rsidRPr="0096346D" w:rsidR="0096346D" w:rsidP="00D94D34" w:rsidRDefault="0096346D" w14:paraId="3385D1FB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Izvjestitelj/ica:</w:t>
            </w:r>
          </w:p>
        </w:tc>
        <w:tc>
          <w:tcPr>
            <w:tcW w:w="7621" w:type="dxa"/>
          </w:tcPr>
          <w:p w:rsidRPr="0096346D" w:rsidR="0096346D" w:rsidP="00D94D34" w:rsidRDefault="0096346D" w14:paraId="2FD55EEE" w14:textId="7B2B91CC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Paul RÜBIG (Skupina poslodavaca – AT)</w:t>
            </w:r>
          </w:p>
        </w:tc>
      </w:tr>
      <w:tr w:rsidRPr="0096346D" w:rsidR="0096346D" w:rsidTr="006433AA" w14:paraId="59D02C81" w14:textId="77777777">
        <w:tc>
          <w:tcPr>
            <w:tcW w:w="1701" w:type="dxa"/>
          </w:tcPr>
          <w:p w:rsidRPr="0096346D" w:rsidR="0096346D" w:rsidP="00D94D34" w:rsidRDefault="0096346D" w14:paraId="62FE6305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Suizvjestitelj/ica:</w:t>
            </w:r>
          </w:p>
        </w:tc>
        <w:tc>
          <w:tcPr>
            <w:tcW w:w="7621" w:type="dxa"/>
          </w:tcPr>
          <w:p w:rsidRPr="0096346D" w:rsidR="0096346D" w:rsidP="00D94D34" w:rsidRDefault="0096346D" w14:paraId="542991EE" w14:textId="518533B2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Stefano PALMIERI (Skupina radnika – IT)</w:t>
            </w:r>
          </w:p>
        </w:tc>
      </w:tr>
      <w:tr w:rsidRPr="0096346D" w:rsidR="0096346D" w:rsidTr="006433AA" w14:paraId="5D136B47" w14:textId="77777777">
        <w:tc>
          <w:tcPr>
            <w:tcW w:w="1701" w:type="dxa"/>
            <w:vMerge w:val="restart"/>
          </w:tcPr>
          <w:p w:rsidRPr="0096346D" w:rsidR="0096346D" w:rsidP="00D94D34" w:rsidRDefault="0096346D" w14:paraId="29254D21" w14:textId="326729CF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Referentni dokument/i:</w:t>
            </w:r>
          </w:p>
        </w:tc>
        <w:tc>
          <w:tcPr>
            <w:tcW w:w="7621" w:type="dxa"/>
          </w:tcPr>
          <w:p w:rsidRPr="0096346D" w:rsidR="0096346D" w:rsidP="00D94D34" w:rsidRDefault="0096346D" w14:paraId="170CB1F3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samoinicijativno mišljenje</w:t>
            </w:r>
          </w:p>
        </w:tc>
      </w:tr>
      <w:tr w:rsidRPr="0096346D" w:rsidR="0096346D" w:rsidTr="006433AA" w14:paraId="731E4AC9" w14:textId="77777777">
        <w:tc>
          <w:tcPr>
            <w:tcW w:w="1701" w:type="dxa"/>
            <w:vMerge/>
          </w:tcPr>
          <w:p w:rsidRPr="0096346D" w:rsidR="0096346D" w:rsidP="00D94D34" w:rsidRDefault="0096346D" w14:paraId="4D075EE1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</w:p>
        </w:tc>
        <w:tc>
          <w:tcPr>
            <w:tcW w:w="7621" w:type="dxa"/>
          </w:tcPr>
          <w:p w:rsidRPr="0096346D" w:rsidR="0096346D" w:rsidP="00D94D34" w:rsidRDefault="0096346D" w14:paraId="2ECFC0A5" w14:textId="7E1D25C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EESC-2025-00527-00-00-AC</w:t>
            </w:r>
          </w:p>
        </w:tc>
      </w:tr>
    </w:tbl>
    <w:p w:rsidRPr="0096346D" w:rsidR="0096346D" w:rsidP="00D94D34" w:rsidRDefault="0096346D" w14:paraId="6C2800D8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sz w:val="20"/>
          <w:szCs w:val="20"/>
          <w:lang w:val="en-GB"/>
        </w:rPr>
      </w:pPr>
    </w:p>
    <w:p w:rsidRPr="0096346D" w:rsidR="0096346D" w:rsidP="00D94D34" w:rsidRDefault="0096346D" w14:paraId="55B55A2D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Ključne točke</w:t>
      </w:r>
    </w:p>
    <w:p w:rsidRPr="0096346D" w:rsidR="0096346D" w:rsidP="00D94D34" w:rsidRDefault="0096346D" w14:paraId="295145FE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:rsidRPr="0096346D" w:rsidR="0096346D" w:rsidP="00D94D34" w:rsidRDefault="0096346D" w14:paraId="74D612AE" w14:textId="3ABBBBF2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EGSO:</w:t>
      </w:r>
    </w:p>
    <w:p w:rsidRPr="0096346D" w:rsidR="0096346D" w:rsidP="009A59C4" w:rsidRDefault="0096346D" w14:paraId="5397A32F" w14:textId="77777777">
      <w:pPr>
        <w:numPr>
          <w:ilvl w:val="0"/>
          <w:numId w:val="40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szCs w:val="20"/>
        </w:rPr>
      </w:pPr>
      <w:r>
        <w:t xml:space="preserve">pozdravlja ambiciju Europske komisije da uspostavi „petu slobodu” – slobodno kretanje istraživanja, inovacija i znanja. Peta sloboda mora uključivati mehanizme za suzbijanje dezinformacija i </w:t>
      </w:r>
      <w:proofErr w:type="spellStart"/>
      <w:r>
        <w:t>pseudoznanosti</w:t>
      </w:r>
      <w:proofErr w:type="spellEnd"/>
      <w:r>
        <w:t>, izgradnju povjerenja u znanstvene institucije i promicanje „pismenosti na području znanja”. EGSO naglašava potrebu za uravnoteženim pristupom u pogledu kompromisa u vezi pete slobode, primjerice za koheziju u odnosu na izvrsnost ili otvorenost u odnosu na autonomiju;</w:t>
      </w:r>
    </w:p>
    <w:p w:rsidRPr="0096346D" w:rsidR="0096346D" w:rsidP="009A59C4" w:rsidRDefault="0096346D" w14:paraId="7B5C1338" w14:textId="77777777">
      <w:pPr>
        <w:numPr>
          <w:ilvl w:val="0"/>
          <w:numId w:val="40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szCs w:val="20"/>
        </w:rPr>
      </w:pPr>
      <w:r>
        <w:t>poziva Komisiju da nastavi s mjerama i strukturnim poticajima, posebno u područjima u kojima oklijevanje država članica otežava napredak i homogenizaciju, kao što su porezi, mirovine, rod, radna mjesta, plaće i izazovi povezani s rastom poduzeća i prekograničnom mobilnošću ljudi i fondova;</w:t>
      </w:r>
    </w:p>
    <w:p w:rsidRPr="0096346D" w:rsidR="0096346D" w:rsidP="009A59C4" w:rsidRDefault="0096346D" w14:paraId="165A40AF" w14:textId="77777777">
      <w:pPr>
        <w:numPr>
          <w:ilvl w:val="0"/>
          <w:numId w:val="40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szCs w:val="20"/>
        </w:rPr>
      </w:pPr>
      <w:r>
        <w:t>naglašava važnost cilja nacionalne potrošnje od 3 % BDP-a na istraživanje i inovacije, pri čemu traži dodatnih 1 % za pripravnost i istraživanja dvojne namjene. Kako bi se potaknuo napredak, EGSO poziva na odvajanje nacionalnih ulaganja za istraživanja i inovacije od pravila o deficitu dok se ne ostvari cilj od 3 % potrošnje. Osim toga, trebalo bi sve više upotrebljavati i druge fondove (npr. koheziju) i uskladiti ih s aktivnostima istraživanja i inovacija;</w:t>
      </w:r>
    </w:p>
    <w:p w:rsidRPr="0096346D" w:rsidR="0096346D" w:rsidP="009A59C4" w:rsidRDefault="0096346D" w14:paraId="1F703E70" w14:textId="77777777">
      <w:pPr>
        <w:numPr>
          <w:ilvl w:val="0"/>
          <w:numId w:val="40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szCs w:val="20"/>
        </w:rPr>
      </w:pPr>
      <w:r>
        <w:t xml:space="preserve">naglašava važnost vještina i obrazovanja te poziva na učinkovitije paneuropsko priznavanje standarda za kvalifikacije (npr. diploma EU-a); </w:t>
      </w:r>
    </w:p>
    <w:p w:rsidRPr="0096346D" w:rsidR="0096346D" w:rsidP="009A59C4" w:rsidRDefault="0096346D" w14:paraId="3017FF64" w14:textId="77777777">
      <w:pPr>
        <w:numPr>
          <w:ilvl w:val="0"/>
          <w:numId w:val="40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szCs w:val="20"/>
        </w:rPr>
      </w:pPr>
      <w:r>
        <w:t xml:space="preserve">prepoznaje stratešku ulogu predviđanja i poziva na uključivanje predviđanja u upravljanje petom slobodom. </w:t>
      </w:r>
    </w:p>
    <w:p w:rsidRPr="0096346D" w:rsidR="0096346D" w:rsidP="00D94D34" w:rsidRDefault="0096346D" w14:paraId="23AD7BB7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  <w:sz w:val="18"/>
          <w:szCs w:val="18"/>
          <w:lang w:val="en-GB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1418"/>
        <w:gridCol w:w="7904"/>
      </w:tblGrid>
      <w:tr w:rsidRPr="0096346D" w:rsidR="0096346D" w:rsidTr="006433AA" w14:paraId="2DBF98A2" w14:textId="77777777">
        <w:tc>
          <w:tcPr>
            <w:tcW w:w="1418" w:type="dxa"/>
          </w:tcPr>
          <w:p w:rsidRPr="0096346D" w:rsidR="0096346D" w:rsidP="00D94D34" w:rsidRDefault="0096346D" w14:paraId="61CDD855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b/>
                <w:i/>
              </w:rPr>
              <w:t>Kontakt:</w:t>
            </w:r>
          </w:p>
        </w:tc>
        <w:tc>
          <w:tcPr>
            <w:tcW w:w="7904" w:type="dxa"/>
          </w:tcPr>
          <w:p w:rsidRPr="0096346D" w:rsidR="0096346D" w:rsidP="00D94D34" w:rsidRDefault="0096346D" w14:paraId="30F1225A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 xml:space="preserve">Jana </w:t>
            </w:r>
            <w:proofErr w:type="spellStart"/>
            <w:r>
              <w:rPr>
                <w:i/>
              </w:rPr>
              <w:t>Valant</w:t>
            </w:r>
            <w:proofErr w:type="spellEnd"/>
          </w:p>
        </w:tc>
      </w:tr>
      <w:tr w:rsidRPr="0096346D" w:rsidR="0096346D" w:rsidTr="006433AA" w14:paraId="4DA9C598" w14:textId="77777777">
        <w:tc>
          <w:tcPr>
            <w:tcW w:w="1418" w:type="dxa"/>
          </w:tcPr>
          <w:p w:rsidRPr="0096346D" w:rsidR="0096346D" w:rsidP="00D94D34" w:rsidRDefault="0096346D" w14:paraId="2A4F52B3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7904" w:type="dxa"/>
          </w:tcPr>
          <w:p w:rsidRPr="0096346D" w:rsidR="0096346D" w:rsidP="00D94D34" w:rsidRDefault="0096346D" w14:paraId="40245A52" w14:textId="6D5417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+32 25468924</w:t>
            </w:r>
          </w:p>
        </w:tc>
      </w:tr>
      <w:tr w:rsidRPr="0096346D" w:rsidR="0096346D" w:rsidTr="006433AA" w14:paraId="674C245A" w14:textId="77777777">
        <w:tc>
          <w:tcPr>
            <w:tcW w:w="1418" w:type="dxa"/>
          </w:tcPr>
          <w:p w:rsidRPr="0096346D" w:rsidR="0096346D" w:rsidP="00D94D34" w:rsidRDefault="00FE2DCD" w14:paraId="050E2ED7" w14:textId="3F3F35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E-pošta</w:t>
            </w:r>
            <w:r>
              <w:rPr>
                <w:i/>
                <w:iCs/>
              </w:rPr>
              <w:t>:</w:t>
            </w:r>
          </w:p>
        </w:tc>
        <w:tc>
          <w:tcPr>
            <w:tcW w:w="7904" w:type="dxa"/>
          </w:tcPr>
          <w:p w:rsidRPr="0096346D" w:rsidR="0096346D" w:rsidP="00D94D34" w:rsidRDefault="00342135" w14:paraId="0C27A0B0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</w:rPr>
            </w:pPr>
            <w:hyperlink w:history="1" r:id="rId45">
              <w:r w:rsidR="00CB5DFF">
                <w:rPr>
                  <w:i/>
                  <w:color w:val="0000FF"/>
                  <w:u w:val="single"/>
                </w:rPr>
                <w:t>Jana.Valant@eesc.europa.eu</w:t>
              </w:r>
            </w:hyperlink>
          </w:p>
        </w:tc>
      </w:tr>
    </w:tbl>
    <w:p w:rsidR="0096346D" w:rsidP="00D94D34" w:rsidRDefault="0096346D" w14:paraId="4982DDF4" w14:textId="6192A3EF">
      <w:pPr>
        <w:jc w:val="left"/>
      </w:pPr>
      <w:r>
        <w:br w:type="page"/>
      </w:r>
    </w:p>
    <w:p w:rsidRPr="0096346D" w:rsidR="0096346D" w:rsidP="00D94D34" w:rsidRDefault="00342135" w14:paraId="602D9A55" w14:textId="0AE53F45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hanging="567"/>
        <w:textAlignment w:val="baseline"/>
        <w:rPr>
          <w:b/>
        </w:rPr>
      </w:pPr>
      <w:hyperlink w:tgtFrame="_blank" w:history="1" r:id="rId46">
        <w:r w:rsidR="0096346D">
          <w:rPr>
            <w:b/>
            <w:i/>
            <w:iCs/>
            <w:color w:val="0000FF"/>
            <w:sz w:val="28"/>
            <w:u w:val="single"/>
          </w:rPr>
          <w:t xml:space="preserve">Regulatorno pojednostavljenje – upotreba digitalnih </w:t>
        </w:r>
        <w:proofErr w:type="spellStart"/>
        <w:r w:rsidR="0096346D">
          <w:rPr>
            <w:b/>
            <w:i/>
            <w:iCs/>
            <w:color w:val="0000FF"/>
            <w:sz w:val="28"/>
            <w:u w:val="single"/>
          </w:rPr>
          <w:t>digitalnih</w:t>
        </w:r>
        <w:proofErr w:type="spellEnd"/>
        <w:r w:rsidR="0096346D">
          <w:rPr>
            <w:b/>
            <w:i/>
            <w:iCs/>
            <w:color w:val="0000FF"/>
            <w:sz w:val="28"/>
            <w:u w:val="single"/>
          </w:rPr>
          <w:t xml:space="preserve"> alata u boljoj izradi zakonodavstva</w:t>
        </w:r>
      </w:hyperlink>
    </w:p>
    <w:p w:rsidRPr="0096346D" w:rsidR="0096346D" w:rsidP="00D94D34" w:rsidRDefault="0096346D" w14:paraId="50869455" w14:textId="77777777">
      <w:pPr>
        <w:widowControl w:val="0"/>
        <w:overflowPunct w:val="0"/>
        <w:autoSpaceDE w:val="0"/>
        <w:autoSpaceDN w:val="0"/>
        <w:adjustRightInd w:val="0"/>
        <w:ind w:left="567"/>
        <w:textAlignment w:val="baseline"/>
        <w:rPr>
          <w:b/>
          <w:lang w:val="en-GB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1829"/>
        <w:gridCol w:w="7493"/>
      </w:tblGrid>
      <w:tr w:rsidRPr="0096346D" w:rsidR="0096346D" w:rsidTr="009A59C4" w14:paraId="527A369F" w14:textId="77777777">
        <w:tc>
          <w:tcPr>
            <w:tcW w:w="1701" w:type="dxa"/>
          </w:tcPr>
          <w:p w:rsidRPr="0096346D" w:rsidR="0096346D" w:rsidP="00D94D34" w:rsidRDefault="0096346D" w14:paraId="55F55878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Izvjestitelj/ica:</w:t>
            </w:r>
          </w:p>
        </w:tc>
        <w:tc>
          <w:tcPr>
            <w:tcW w:w="7621" w:type="dxa"/>
          </w:tcPr>
          <w:p w:rsidRPr="0096346D" w:rsidR="0096346D" w:rsidP="00D94D34" w:rsidRDefault="0096346D" w14:paraId="404FDA65" w14:textId="17B8DE6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Alena MASTANTUONO (Skupina poslodavaca – CZ)</w:t>
            </w:r>
          </w:p>
        </w:tc>
      </w:tr>
      <w:tr w:rsidRPr="0096346D" w:rsidR="0096346D" w:rsidTr="009A59C4" w14:paraId="05343A29" w14:textId="77777777">
        <w:tc>
          <w:tcPr>
            <w:tcW w:w="1701" w:type="dxa"/>
          </w:tcPr>
          <w:p w:rsidRPr="0096346D" w:rsidR="0096346D" w:rsidP="00D94D34" w:rsidRDefault="0096346D" w14:paraId="358E5B1D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Suizvjestitelj/ica:</w:t>
            </w:r>
          </w:p>
        </w:tc>
        <w:tc>
          <w:tcPr>
            <w:tcW w:w="7621" w:type="dxa"/>
          </w:tcPr>
          <w:p w:rsidRPr="0096346D" w:rsidR="0096346D" w:rsidP="00D94D34" w:rsidRDefault="0096346D" w14:paraId="314A29D9" w14:textId="2A39194B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proofErr w:type="spellStart"/>
            <w:r>
              <w:t>Tymoteusz</w:t>
            </w:r>
            <w:proofErr w:type="spellEnd"/>
            <w:r>
              <w:t xml:space="preserve"> ZYCH (Skupina organizacija civilnog društva – PL)</w:t>
            </w:r>
          </w:p>
        </w:tc>
      </w:tr>
      <w:tr w:rsidRPr="0096346D" w:rsidR="0096346D" w:rsidTr="009A59C4" w14:paraId="509DBA1F" w14:textId="77777777">
        <w:tc>
          <w:tcPr>
            <w:tcW w:w="1701" w:type="dxa"/>
            <w:vMerge w:val="restart"/>
          </w:tcPr>
          <w:p w:rsidRPr="0096346D" w:rsidR="0096346D" w:rsidP="00D94D34" w:rsidRDefault="0096346D" w14:paraId="78F92434" w14:textId="4E18F3EF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Referentni dokument/i:</w:t>
            </w:r>
          </w:p>
        </w:tc>
        <w:tc>
          <w:tcPr>
            <w:tcW w:w="7621" w:type="dxa"/>
          </w:tcPr>
          <w:p w:rsidRPr="0096346D" w:rsidR="0096346D" w:rsidP="00D94D34" w:rsidRDefault="0096346D" w14:paraId="08EEEA43" w14:textId="7373D1E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proofErr w:type="spellStart"/>
            <w:r>
              <w:t>razmatračko</w:t>
            </w:r>
            <w:proofErr w:type="spellEnd"/>
            <w:r>
              <w:t xml:space="preserve"> mišljenje na zahtjev danskog predsjedništva Vijeća EU-a</w:t>
            </w:r>
          </w:p>
        </w:tc>
      </w:tr>
      <w:tr w:rsidRPr="0096346D" w:rsidR="0096346D" w:rsidTr="009A59C4" w14:paraId="11B87346" w14:textId="77777777">
        <w:tc>
          <w:tcPr>
            <w:tcW w:w="1701" w:type="dxa"/>
            <w:vMerge/>
          </w:tcPr>
          <w:p w:rsidRPr="0096346D" w:rsidR="0096346D" w:rsidP="00D94D34" w:rsidRDefault="0096346D" w14:paraId="4DFA106D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</w:p>
        </w:tc>
        <w:tc>
          <w:tcPr>
            <w:tcW w:w="7621" w:type="dxa"/>
          </w:tcPr>
          <w:p w:rsidRPr="0096346D" w:rsidR="0096346D" w:rsidP="00D94D34" w:rsidRDefault="0096346D" w14:paraId="0D550549" w14:textId="6B8C201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EESC-2025-01017-00-00-AC</w:t>
            </w:r>
          </w:p>
        </w:tc>
      </w:tr>
    </w:tbl>
    <w:p w:rsidRPr="0096346D" w:rsidR="0096346D" w:rsidP="00D94D34" w:rsidRDefault="0096346D" w14:paraId="6C2B0F48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sz w:val="20"/>
          <w:szCs w:val="20"/>
          <w:lang w:val="en-GB"/>
        </w:rPr>
      </w:pPr>
    </w:p>
    <w:p w:rsidRPr="0096346D" w:rsidR="0096346D" w:rsidP="00D94D34" w:rsidRDefault="0096346D" w14:paraId="4AF6289A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Ključne točke</w:t>
      </w:r>
    </w:p>
    <w:p w:rsidRPr="0096346D" w:rsidR="0096346D" w:rsidP="00D94D34" w:rsidRDefault="0096346D" w14:paraId="60808811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:rsidRPr="0096346D" w:rsidR="0096346D" w:rsidP="00D94D34" w:rsidRDefault="0096346D" w14:paraId="5ABA5A03" w14:textId="2E530525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EGSO:</w:t>
      </w:r>
    </w:p>
    <w:p w:rsidRPr="0096346D" w:rsidR="0096346D" w:rsidP="009A59C4" w:rsidRDefault="0096346D" w14:paraId="3A1C0200" w14:textId="77777777">
      <w:pPr>
        <w:numPr>
          <w:ilvl w:val="0"/>
          <w:numId w:val="41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bCs/>
          <w:iCs/>
        </w:rPr>
      </w:pPr>
      <w:r>
        <w:t>ističe potrebu za regulatornim pojednostavnjenjem i značajkama digitalnih alata kao što su umjetna inteligencija i platforme e-uprave kako bi se povećala transparentnost, učinkovitost i odgovornost u izradi zakonodavstva EU-a;</w:t>
      </w:r>
    </w:p>
    <w:p w:rsidRPr="0096346D" w:rsidR="0096346D" w:rsidP="009A59C4" w:rsidRDefault="0096346D" w14:paraId="5F859CD4" w14:textId="77777777">
      <w:pPr>
        <w:numPr>
          <w:ilvl w:val="0"/>
          <w:numId w:val="41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bCs/>
          <w:iCs/>
        </w:rPr>
      </w:pPr>
      <w:r>
        <w:t>preporučuje da propisi na europskoj, nacionalnoj, regionalnoj i lokalnoj razini postanu dostupniji tako da se svakom novom pravnom aktu priloži jasan sažetak pravnih obveza te da se to učini i za već doneseno zakonodavstvo;</w:t>
      </w:r>
    </w:p>
    <w:p w:rsidRPr="0096346D" w:rsidR="0096346D" w:rsidP="009A59C4" w:rsidRDefault="0096346D" w14:paraId="23DE6143" w14:textId="77777777">
      <w:pPr>
        <w:numPr>
          <w:ilvl w:val="0"/>
          <w:numId w:val="41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bCs/>
          <w:iCs/>
        </w:rPr>
      </w:pPr>
      <w:r>
        <w:t xml:space="preserve">naglašava potrebu za jedinstvenom i </w:t>
      </w:r>
      <w:proofErr w:type="spellStart"/>
      <w:r>
        <w:t>interoperabilnom</w:t>
      </w:r>
      <w:proofErr w:type="spellEnd"/>
      <w:r>
        <w:t xml:space="preserve"> digitalnom platformom EU-a za izradu zakonodavstva koja bi omogućavala centralizaciju tekstova i </w:t>
      </w:r>
      <w:proofErr w:type="spellStart"/>
      <w:r>
        <w:t>metapodataka</w:t>
      </w:r>
      <w:proofErr w:type="spellEnd"/>
      <w:r>
        <w:t>, obavljanje provjera dosljednosti u stvarnom vremenu, procjenu pravnih međuovisnosti i upotrebu usklađenog jezika;</w:t>
      </w:r>
    </w:p>
    <w:p w:rsidRPr="0096346D" w:rsidR="0096346D" w:rsidP="009A59C4" w:rsidRDefault="0096346D" w14:paraId="2545FE90" w14:textId="77777777">
      <w:pPr>
        <w:numPr>
          <w:ilvl w:val="0"/>
          <w:numId w:val="41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bCs/>
          <w:iCs/>
        </w:rPr>
      </w:pPr>
      <w:r>
        <w:t>u samom mišljenju predlaže institucijama EU-a model za uključivanje digitalnih alata i sažetaka obveza u zakonodavni postupak;</w:t>
      </w:r>
    </w:p>
    <w:p w:rsidRPr="0096346D" w:rsidR="0096346D" w:rsidP="009A59C4" w:rsidRDefault="0096346D" w14:paraId="0943AF23" w14:textId="77777777">
      <w:pPr>
        <w:numPr>
          <w:ilvl w:val="0"/>
          <w:numId w:val="41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bCs/>
          <w:iCs/>
        </w:rPr>
      </w:pPr>
      <w:r>
        <w:t>potiče institucije EU-a da se koriste umjetnom inteligencijom za analizu podataka kao što su gospodarski trendovi i doprinosi dionika, čime bi se omogućilo proaktivno utvrđivanje područja koja je potrebno regulirati i utvrđivanje zakonodavnih prioriteta utemeljenih na dokazima;</w:t>
      </w:r>
    </w:p>
    <w:p w:rsidRPr="0096346D" w:rsidR="0096346D" w:rsidP="009A59C4" w:rsidRDefault="0096346D" w14:paraId="04A27682" w14:textId="77777777">
      <w:pPr>
        <w:numPr>
          <w:ilvl w:val="0"/>
          <w:numId w:val="41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rFonts w:ascii="Calibri" w:hAnsi="Calibri"/>
          <w:bCs/>
          <w:iCs/>
          <w:sz w:val="18"/>
          <w:szCs w:val="18"/>
        </w:rPr>
      </w:pPr>
      <w:r>
        <w:t>smatra da bi umjetna inteligencija trebala imati ulogu u provedbi pravila u smislu osiguravanja usklađenosti i usporedbe pristupa država članica provedbi prava EU-a te u utvrđivanju najboljih praksi i nedosljednosti.</w:t>
      </w:r>
    </w:p>
    <w:p w:rsidRPr="0096346D" w:rsidR="0096346D" w:rsidP="00D94D34" w:rsidRDefault="0096346D" w14:paraId="67A913D2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  <w:lang w:val="en-GB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1418"/>
        <w:gridCol w:w="7904"/>
      </w:tblGrid>
      <w:tr w:rsidRPr="0096346D" w:rsidR="0096346D" w:rsidTr="004F25B2" w14:paraId="1014DE62" w14:textId="77777777">
        <w:tc>
          <w:tcPr>
            <w:tcW w:w="1418" w:type="dxa"/>
          </w:tcPr>
          <w:p w:rsidRPr="0096346D" w:rsidR="0096346D" w:rsidP="00D94D34" w:rsidRDefault="0096346D" w14:paraId="5C6A3AC6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b/>
                <w:i/>
              </w:rPr>
              <w:t>Kontakt</w:t>
            </w:r>
          </w:p>
        </w:tc>
        <w:tc>
          <w:tcPr>
            <w:tcW w:w="7904" w:type="dxa"/>
          </w:tcPr>
          <w:p w:rsidRPr="0096346D" w:rsidR="0096346D" w:rsidP="00D94D34" w:rsidRDefault="0096346D" w14:paraId="725DB5D0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 xml:space="preserve">Marco </w:t>
            </w:r>
            <w:proofErr w:type="spellStart"/>
            <w:r>
              <w:rPr>
                <w:i/>
              </w:rPr>
              <w:t>Manfroni</w:t>
            </w:r>
            <w:proofErr w:type="spellEnd"/>
          </w:p>
        </w:tc>
      </w:tr>
      <w:tr w:rsidRPr="0096346D" w:rsidR="0096346D" w:rsidTr="004F25B2" w14:paraId="4A253E63" w14:textId="77777777">
        <w:tc>
          <w:tcPr>
            <w:tcW w:w="1418" w:type="dxa"/>
          </w:tcPr>
          <w:p w:rsidRPr="0096346D" w:rsidR="0096346D" w:rsidP="00D94D34" w:rsidRDefault="0096346D" w14:paraId="0BA405C9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7904" w:type="dxa"/>
          </w:tcPr>
          <w:p w:rsidRPr="0096346D" w:rsidR="0096346D" w:rsidP="00D94D34" w:rsidRDefault="0096346D" w14:paraId="2E7E9BA1" w14:textId="0A3D16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+32 25469140</w:t>
            </w:r>
          </w:p>
        </w:tc>
      </w:tr>
      <w:tr w:rsidRPr="0096346D" w:rsidR="0096346D" w:rsidTr="004F25B2" w14:paraId="68E78CA2" w14:textId="77777777">
        <w:tc>
          <w:tcPr>
            <w:tcW w:w="1418" w:type="dxa"/>
          </w:tcPr>
          <w:p w:rsidRPr="0096346D" w:rsidR="0096346D" w:rsidP="00D94D34" w:rsidRDefault="00CC1EC8" w14:paraId="11D74012" w14:textId="79B82E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E-pošta</w:t>
            </w:r>
            <w:r>
              <w:rPr>
                <w:i/>
                <w:iCs/>
              </w:rPr>
              <w:t>:</w:t>
            </w:r>
          </w:p>
        </w:tc>
        <w:tc>
          <w:tcPr>
            <w:tcW w:w="7904" w:type="dxa"/>
          </w:tcPr>
          <w:p w:rsidRPr="0096346D" w:rsidR="0096346D" w:rsidP="00D94D34" w:rsidRDefault="00342135" w14:paraId="09C1BFCB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</w:rPr>
            </w:pPr>
            <w:hyperlink w:history="1" r:id="rId47">
              <w:r w:rsidR="00CB5DFF">
                <w:rPr>
                  <w:i/>
                  <w:color w:val="0000FF"/>
                  <w:u w:val="single"/>
                </w:rPr>
                <w:t>Marco.Manfroni@eesc.europa.eu</w:t>
              </w:r>
            </w:hyperlink>
          </w:p>
        </w:tc>
      </w:tr>
    </w:tbl>
    <w:p w:rsidR="0096346D" w:rsidP="00D94D34" w:rsidRDefault="0096346D" w14:paraId="4982DE1D" w14:textId="637981BF">
      <w:pPr>
        <w:pStyle w:val="ListParagraph"/>
        <w:ind w:left="0"/>
        <w:rPr>
          <w:lang w:val="en-GB"/>
        </w:rPr>
      </w:pPr>
    </w:p>
    <w:p w:rsidR="0096346D" w:rsidP="00D94D34" w:rsidRDefault="0096346D" w14:paraId="10E35076" w14:textId="77777777">
      <w:pPr>
        <w:jc w:val="left"/>
      </w:pPr>
      <w:r>
        <w:br w:type="page"/>
      </w:r>
    </w:p>
    <w:p w:rsidRPr="001B2117" w:rsidR="001B2117" w:rsidP="00D94D34" w:rsidRDefault="00342135" w14:paraId="20FBBCB7" w14:textId="29D739CB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0"/>
          <w:szCs w:val="20"/>
        </w:rPr>
      </w:pPr>
      <w:hyperlink w:history="1" r:id="rId48">
        <w:r w:rsidR="00CB5DFF">
          <w:rPr>
            <w:b/>
            <w:i/>
            <w:color w:val="0000FF"/>
            <w:sz w:val="28"/>
            <w:u w:val="single"/>
          </w:rPr>
          <w:t>Kako pri oblikovanju politika voditi računa o lancima vrijednosti</w:t>
        </w:r>
      </w:hyperlink>
    </w:p>
    <w:p w:rsidRPr="001B2117" w:rsidR="001B2117" w:rsidP="00D94D34" w:rsidRDefault="001B2117" w14:paraId="74838834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829"/>
        <w:gridCol w:w="7460"/>
      </w:tblGrid>
      <w:tr w:rsidRPr="001B2117" w:rsidR="00FD3512" w:rsidTr="006433AA" w14:paraId="640014A4" w14:textId="77777777">
        <w:trPr>
          <w:trHeight w:val="406"/>
        </w:trPr>
        <w:tc>
          <w:tcPr>
            <w:tcW w:w="934" w:type="pct"/>
          </w:tcPr>
          <w:p w:rsidRPr="001B2117" w:rsidR="001B2117" w:rsidP="00D94D34" w:rsidRDefault="001B2117" w14:paraId="750D16EB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Izvjestitelj/ica:</w:t>
            </w:r>
          </w:p>
          <w:p w:rsidRPr="001B2117" w:rsidR="001B2117" w:rsidP="00D94D34" w:rsidRDefault="001B2117" w14:paraId="12352218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Suizvjestitelj/ica:</w:t>
            </w:r>
          </w:p>
        </w:tc>
        <w:tc>
          <w:tcPr>
            <w:tcW w:w="4066" w:type="pct"/>
          </w:tcPr>
          <w:p w:rsidRPr="001B2117" w:rsidR="001B2117" w:rsidP="00D94D34" w:rsidRDefault="001B2117" w14:paraId="1B69BBC7" w14:textId="40D0E767">
            <w:pPr>
              <w:tabs>
                <w:tab w:val="center" w:pos="0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Andrea MONE (Skupina radnika – IT)</w:t>
            </w:r>
          </w:p>
          <w:p w:rsidRPr="001B2117" w:rsidR="001B2117" w:rsidP="00D94D34" w:rsidRDefault="001B2117" w14:paraId="42557897" w14:textId="294A3F46">
            <w:pPr>
              <w:tabs>
                <w:tab w:val="center" w:pos="0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proofErr w:type="spellStart"/>
            <w:r>
              <w:t>Gonçalo</w:t>
            </w:r>
            <w:proofErr w:type="spellEnd"/>
            <w:r>
              <w:t xml:space="preserve"> LOBO XAVIER (Skupina poslodavaca – PT)</w:t>
            </w:r>
          </w:p>
        </w:tc>
      </w:tr>
      <w:tr w:rsidRPr="001B2117" w:rsidR="00FD3512" w:rsidTr="006433AA" w14:paraId="717BDF28" w14:textId="77777777">
        <w:tc>
          <w:tcPr>
            <w:tcW w:w="934" w:type="pct"/>
          </w:tcPr>
          <w:p w:rsidRPr="001B2117" w:rsidR="001B2117" w:rsidP="00D94D34" w:rsidRDefault="001B2117" w14:paraId="5781EF7B" w14:textId="603039E6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Referentni dokument/i:</w:t>
            </w:r>
          </w:p>
        </w:tc>
        <w:tc>
          <w:tcPr>
            <w:tcW w:w="4066" w:type="pct"/>
          </w:tcPr>
          <w:p w:rsidRPr="001B2117" w:rsidR="001B2117" w:rsidP="009A59C4" w:rsidRDefault="001B2117" w14:paraId="2ECD3167" w14:textId="1E4A0838">
            <w:pPr>
              <w:tabs>
                <w:tab w:val="center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proofErr w:type="spellStart"/>
            <w:r>
              <w:t>razmatračko</w:t>
            </w:r>
            <w:proofErr w:type="spellEnd"/>
            <w:r>
              <w:t xml:space="preserve"> mišljenje na zahtjev danskog predsjedništva Vijeća EU-a</w:t>
            </w:r>
          </w:p>
          <w:p w:rsidRPr="001B2117" w:rsidR="001B2117" w:rsidP="009A59C4" w:rsidRDefault="001B2117" w14:paraId="10ED0F97" w14:textId="77777777">
            <w:pPr>
              <w:tabs>
                <w:tab w:val="center" w:pos="0"/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EESC-2025-00994-00-00-AC</w:t>
            </w:r>
          </w:p>
        </w:tc>
      </w:tr>
    </w:tbl>
    <w:p w:rsidRPr="001B2117" w:rsidR="001B2117" w:rsidP="00D94D34" w:rsidRDefault="001B2117" w14:paraId="382CF06D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:rsidRPr="001B2117" w:rsidR="001B2117" w:rsidP="00D94D34" w:rsidRDefault="001B2117" w14:paraId="2F1058D8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Ključne točke</w:t>
      </w:r>
    </w:p>
    <w:p w:rsidRPr="001B2117" w:rsidR="001B2117" w:rsidP="00D94D34" w:rsidRDefault="001B2117" w14:paraId="212D28BE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Cs/>
          <w:lang w:val="en-GB"/>
        </w:rPr>
      </w:pPr>
    </w:p>
    <w:p w:rsidRPr="001B2117" w:rsidR="001B2117" w:rsidP="00D94D34" w:rsidRDefault="001B2117" w14:paraId="532306F1" w14:textId="352A0A71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EGSO:</w:t>
      </w:r>
    </w:p>
    <w:p w:rsidRPr="001B2117" w:rsidR="001B2117" w:rsidP="009A59C4" w:rsidRDefault="001B2117" w14:paraId="01CE40AB" w14:textId="77777777">
      <w:pPr>
        <w:numPr>
          <w:ilvl w:val="0"/>
          <w:numId w:val="42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bCs/>
          <w:iCs/>
        </w:rPr>
      </w:pPr>
      <w:r>
        <w:t xml:space="preserve">smatra da je vrlo važno </w:t>
      </w:r>
      <w:r>
        <w:rPr>
          <w:b/>
        </w:rPr>
        <w:t>ojačati sudjelovanje europskih poduzeća u lancima opskrbe</w:t>
      </w:r>
      <w:r>
        <w:t>, među ostalim i na vodećim položajima, kako bi se potaknuo konkurentan i održiv model proizvodnje u cijelom lancu, s pozitivnim učinkom na regije, poduzeća i radnike;</w:t>
      </w:r>
    </w:p>
    <w:p w:rsidRPr="001B2117" w:rsidR="001B2117" w:rsidP="009A59C4" w:rsidRDefault="001B2117" w14:paraId="60938FEC" w14:textId="77777777">
      <w:pPr>
        <w:numPr>
          <w:ilvl w:val="0"/>
          <w:numId w:val="42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bCs/>
          <w:iCs/>
        </w:rPr>
      </w:pPr>
      <w:r>
        <w:t xml:space="preserve">preporučuje razvoj hitnih i učinkovitih mjera za jačanje europskog unutarnjeg tržišta, pritom osiguravajući stratešku autonomiju i proizvodne kapacitete. To konkretno podrazumijeva </w:t>
      </w:r>
      <w:r>
        <w:rPr>
          <w:b/>
        </w:rPr>
        <w:t>unapređenje europskih industrijskih politika i politika tržišnog natjecanja</w:t>
      </w:r>
      <w:r>
        <w:t xml:space="preserve"> koje se temelje na održivoj konkurentnosti i inovacijama;</w:t>
      </w:r>
    </w:p>
    <w:p w:rsidRPr="001B2117" w:rsidR="001B2117" w:rsidP="009A59C4" w:rsidRDefault="001B2117" w14:paraId="18054C99" w14:textId="77777777">
      <w:pPr>
        <w:numPr>
          <w:ilvl w:val="0"/>
          <w:numId w:val="42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bCs/>
          <w:iCs/>
        </w:rPr>
      </w:pPr>
      <w:r>
        <w:t xml:space="preserve">naglašava potrebu za </w:t>
      </w:r>
      <w:r>
        <w:rPr>
          <w:b/>
        </w:rPr>
        <w:t>mapiranjem lanaca opskrbe</w:t>
      </w:r>
      <w:r>
        <w:t xml:space="preserve"> kroz detaljnu procjenu i analizu pojedinačnih sektora i razina uključenosti poduzeća kako bi se osmislile </w:t>
      </w:r>
      <w:r>
        <w:rPr>
          <w:b/>
        </w:rPr>
        <w:t>ciljane politike koje se bave sektorskim izazovima</w:t>
      </w:r>
      <w:r>
        <w:t xml:space="preserve"> i mogućnostima razvoja, među ostalim na </w:t>
      </w:r>
      <w:r>
        <w:rPr>
          <w:b/>
        </w:rPr>
        <w:t>regionalnoj razini</w:t>
      </w:r>
      <w:r>
        <w:t>;</w:t>
      </w:r>
    </w:p>
    <w:p w:rsidRPr="001B2117" w:rsidR="001B2117" w:rsidP="009A59C4" w:rsidRDefault="001B2117" w14:paraId="1E58375E" w14:textId="77777777">
      <w:pPr>
        <w:numPr>
          <w:ilvl w:val="0"/>
          <w:numId w:val="42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bCs/>
          <w:iCs/>
        </w:rPr>
      </w:pPr>
      <w:r>
        <w:t xml:space="preserve">preporučuje poticanje razvoja </w:t>
      </w:r>
      <w:r>
        <w:rPr>
          <w:b/>
        </w:rPr>
        <w:t>integriranih industrijskih ekosustava kako bi se pružila potpora zajednicama i poduzećima</w:t>
      </w:r>
      <w:r>
        <w:t xml:space="preserve"> u globalnim lancima vrijednosti. To uključuje poticanje osnivanja poduzeća, sudjelovanja i vodstva u tim lancima kako bi se unaprijedio </w:t>
      </w:r>
      <w:r>
        <w:rPr>
          <w:b/>
        </w:rPr>
        <w:t>model proizvodnje usmjeren na europske vrijednosti i kapacitete</w:t>
      </w:r>
      <w:r>
        <w:t>;</w:t>
      </w:r>
    </w:p>
    <w:p w:rsidRPr="001B2117" w:rsidR="001B2117" w:rsidP="009A59C4" w:rsidRDefault="001B2117" w14:paraId="3950C3F3" w14:textId="77777777">
      <w:pPr>
        <w:numPr>
          <w:ilvl w:val="0"/>
          <w:numId w:val="42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bCs/>
          <w:iCs/>
        </w:rPr>
      </w:pPr>
      <w:r>
        <w:t>predlaže bolje iskorištavanje kohezijskih fondova kako bi se osiguralo da države članice imaju infrastrukturu potrebnu za izbjegavanje poremećaja u lancima vrijednosti u područjima prometa, otpornosti, informiranja građana, cesta, informatičke infrastrukture, zaštite hrane, kibernetičke sigurnosti, sustava opskrbe energijom, pristupa pouzdanim informacijama i zaštite podataka.</w:t>
      </w:r>
    </w:p>
    <w:p w:rsidRPr="001B2117" w:rsidR="001B2117" w:rsidP="00D94D34" w:rsidRDefault="001B2117" w14:paraId="6A7A20F5" w14:textId="77777777">
      <w:pPr>
        <w:ind w:left="567"/>
        <w:contextualSpacing/>
        <w:rPr>
          <w:bCs/>
          <w:iCs/>
          <w:lang w:val="en-GB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84"/>
        <w:gridCol w:w="7905"/>
      </w:tblGrid>
      <w:tr w:rsidRPr="001B2117" w:rsidR="001B2117" w:rsidTr="006433AA" w14:paraId="76AF22F8" w14:textId="77777777">
        <w:tc>
          <w:tcPr>
            <w:tcW w:w="745" w:type="pct"/>
          </w:tcPr>
          <w:p w:rsidRPr="001B2117" w:rsidR="001B2117" w:rsidP="00D94D34" w:rsidRDefault="001B2117" w14:paraId="008F40E8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b/>
                <w:i/>
              </w:rPr>
              <w:t>Kontakt:</w:t>
            </w:r>
          </w:p>
        </w:tc>
        <w:tc>
          <w:tcPr>
            <w:tcW w:w="4255" w:type="pct"/>
          </w:tcPr>
          <w:p w:rsidRPr="001B2117" w:rsidR="001B2117" w:rsidP="00D94D34" w:rsidRDefault="001B2117" w14:paraId="12B9A301" w14:textId="6EDC59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 xml:space="preserve">Silvia </w:t>
            </w:r>
            <w:proofErr w:type="spellStart"/>
            <w:r>
              <w:rPr>
                <w:i/>
              </w:rPr>
              <w:t>Staffa</w:t>
            </w:r>
            <w:proofErr w:type="spellEnd"/>
          </w:p>
        </w:tc>
      </w:tr>
      <w:tr w:rsidRPr="001B2117" w:rsidR="001B2117" w:rsidTr="006433AA" w14:paraId="1F534706" w14:textId="77777777">
        <w:tc>
          <w:tcPr>
            <w:tcW w:w="745" w:type="pct"/>
          </w:tcPr>
          <w:p w:rsidRPr="001B2117" w:rsidR="001B2117" w:rsidP="00D94D34" w:rsidRDefault="001B2117" w14:paraId="37DD85FC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4255" w:type="pct"/>
          </w:tcPr>
          <w:p w:rsidRPr="001B2117" w:rsidR="001B2117" w:rsidP="00D94D34" w:rsidRDefault="001B2117" w14:paraId="4869D669" w14:textId="206A26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+32 25468378</w:t>
            </w:r>
          </w:p>
        </w:tc>
      </w:tr>
      <w:tr w:rsidRPr="001B2117" w:rsidR="001B2117" w:rsidTr="006433AA" w14:paraId="5A8C8C71" w14:textId="77777777">
        <w:tc>
          <w:tcPr>
            <w:tcW w:w="745" w:type="pct"/>
          </w:tcPr>
          <w:p w:rsidRPr="001B2117" w:rsidR="001B2117" w:rsidP="00D94D34" w:rsidRDefault="001B2117" w14:paraId="58D87297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E-pošta:</w:t>
            </w:r>
          </w:p>
        </w:tc>
        <w:tc>
          <w:tcPr>
            <w:tcW w:w="4255" w:type="pct"/>
          </w:tcPr>
          <w:p w:rsidRPr="001B2117" w:rsidR="001B2117" w:rsidP="00D94D34" w:rsidRDefault="00342135" w14:paraId="02B0FAA7" w14:textId="44F4AB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</w:rPr>
            </w:pPr>
            <w:hyperlink w:history="1" r:id="rId49">
              <w:r w:rsidR="00CB5DFF">
                <w:rPr>
                  <w:i/>
                  <w:color w:val="0000FF"/>
                  <w:u w:val="single"/>
                </w:rPr>
                <w:t>Silvia.Staffa@eesc.europa.eu</w:t>
              </w:r>
            </w:hyperlink>
          </w:p>
        </w:tc>
      </w:tr>
    </w:tbl>
    <w:p w:rsidR="0096346D" w:rsidP="00D94D34" w:rsidRDefault="0096346D" w14:paraId="47736FB4" w14:textId="1EE9F832">
      <w:pPr>
        <w:jc w:val="left"/>
      </w:pPr>
      <w:r>
        <w:br w:type="page"/>
      </w:r>
    </w:p>
    <w:p w:rsidR="004D7AC0" w:rsidP="00D94D34" w:rsidRDefault="004D7AC0" w14:paraId="4982DE1F" w14:textId="77777777">
      <w:pPr>
        <w:pStyle w:val="Heading1"/>
        <w:rPr>
          <w:b/>
        </w:rPr>
      </w:pPr>
      <w:bookmarkStart w:name="_Toc204261495" w:id="60"/>
      <w:bookmarkStart w:name="_Toc204268759" w:id="61"/>
      <w:bookmarkStart w:name="_Toc204268924" w:id="62"/>
      <w:bookmarkStart w:name="_Toc204269058" w:id="63"/>
      <w:bookmarkStart w:name="_Toc204269163" w:id="64"/>
      <w:bookmarkStart w:name="_Toc204269268" w:id="65"/>
      <w:bookmarkStart w:name="_Toc204269364" w:id="66"/>
      <w:bookmarkStart w:name="_Toc204269452" w:id="67"/>
      <w:bookmarkStart w:name="_Toc204269540" w:id="68"/>
      <w:bookmarkStart w:name="_Toc204269620" w:id="69"/>
      <w:bookmarkStart w:name="_Toc204269692" w:id="70"/>
      <w:bookmarkStart w:name="_Toc204269752" w:id="71"/>
      <w:bookmarkStart w:name="_Toc204269799" w:id="72"/>
      <w:bookmarkStart w:name="_Toc204269968" w:id="73"/>
      <w:bookmarkStart w:name="_Toc204271414" w:id="74"/>
      <w:bookmarkStart w:name="_Toc70322234" w:id="75"/>
      <w:bookmarkStart w:name="_Toc75527084" w:id="76"/>
      <w:bookmarkStart w:name="_Toc205373408" w:id="77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r>
        <w:rPr>
          <w:b/>
        </w:rPr>
        <w:lastRenderedPageBreak/>
        <w:t>STRUČNA SKUPINA ZA POLJOPRIVREDU, RURALNI RAZVOJ I OKOLIŠ</w:t>
      </w:r>
      <w:bookmarkEnd w:id="75"/>
      <w:bookmarkEnd w:id="76"/>
      <w:bookmarkEnd w:id="77"/>
    </w:p>
    <w:p w:rsidRPr="000F00DC" w:rsidR="004D7AC0" w:rsidP="00D94D34" w:rsidRDefault="004D7AC0" w14:paraId="4982DE20" w14:textId="77777777">
      <w:pPr>
        <w:rPr>
          <w:sz w:val="18"/>
          <w:szCs w:val="18"/>
        </w:rPr>
      </w:pPr>
    </w:p>
    <w:p w:rsidRPr="009A59C4" w:rsidR="00491CD4" w:rsidP="00D94D34" w:rsidRDefault="00342135" w14:paraId="5EAC8503" w14:textId="70272083">
      <w:pPr>
        <w:numPr>
          <w:ilvl w:val="0"/>
          <w:numId w:val="19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i/>
          <w:iCs/>
        </w:rPr>
      </w:pPr>
      <w:hyperlink w:history="1" r:id="rId50">
        <w:r w:rsidR="00CB5DFF">
          <w:rPr>
            <w:b/>
            <w:i/>
            <w:color w:val="0000FF"/>
            <w:sz w:val="28"/>
            <w:u w:val="single"/>
          </w:rPr>
          <w:t>Izmjene propisa o međunarodnom ribarstvu (NAFO, SPRFMO, IOTC, WCPFC, IATTC i ICCAT)</w:t>
        </w:r>
      </w:hyperlink>
    </w:p>
    <w:p w:rsidRPr="000F00DC" w:rsidR="00205F46" w:rsidP="009A59C4" w:rsidRDefault="00205F46" w14:paraId="06F70FB1" w14:textId="77777777">
      <w:pPr>
        <w:overflowPunct w:val="0"/>
        <w:autoSpaceDE w:val="0"/>
        <w:autoSpaceDN w:val="0"/>
        <w:adjustRightInd w:val="0"/>
        <w:contextualSpacing/>
        <w:textAlignment w:val="baseline"/>
        <w:rPr>
          <w:i/>
          <w:iCs/>
          <w:sz w:val="18"/>
          <w:szCs w:val="18"/>
          <w:lang w:val="en-GB"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7479"/>
      </w:tblGrid>
      <w:tr w:rsidRPr="00491CD4" w:rsidR="00491CD4" w:rsidTr="006433AA" w14:paraId="498B42E8" w14:textId="77777777">
        <w:tc>
          <w:tcPr>
            <w:tcW w:w="1701" w:type="dxa"/>
          </w:tcPr>
          <w:p w:rsidRPr="00491CD4" w:rsidR="00491CD4" w:rsidP="00D94D34" w:rsidRDefault="00491CD4" w14:paraId="58CFAFAA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Izvjestitelj/ica:</w:t>
            </w:r>
          </w:p>
        </w:tc>
        <w:tc>
          <w:tcPr>
            <w:tcW w:w="7479" w:type="dxa"/>
          </w:tcPr>
          <w:p w:rsidRPr="00491CD4" w:rsidR="00491CD4" w:rsidP="00D94D34" w:rsidRDefault="00491CD4" w14:paraId="3292EC98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bCs/>
              </w:rPr>
            </w:pPr>
            <w:r>
              <w:t>Javier GARAT PÉREZ (Skupina organizacija civilnog društva – ES)</w:t>
            </w:r>
          </w:p>
        </w:tc>
      </w:tr>
      <w:tr w:rsidRPr="00491CD4" w:rsidR="00491CD4" w:rsidTr="006433AA" w14:paraId="2780E98C" w14:textId="77777777">
        <w:tc>
          <w:tcPr>
            <w:tcW w:w="1701" w:type="dxa"/>
          </w:tcPr>
          <w:p w:rsidRPr="00491CD4" w:rsidR="00491CD4" w:rsidP="00D94D34" w:rsidRDefault="00491CD4" w14:paraId="0EED6E22" w14:textId="6FA6D50F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Referentni dokument/i:</w:t>
            </w:r>
          </w:p>
        </w:tc>
        <w:tc>
          <w:tcPr>
            <w:tcW w:w="7479" w:type="dxa"/>
          </w:tcPr>
          <w:p w:rsidR="00116D45" w:rsidP="00D94D34" w:rsidRDefault="00116D45" w14:paraId="7F218E08" w14:textId="1FB4067F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 xml:space="preserve">COM(2025) 195 </w:t>
            </w:r>
            <w:proofErr w:type="spellStart"/>
            <w:r>
              <w:t>final</w:t>
            </w:r>
            <w:proofErr w:type="spellEnd"/>
          </w:p>
          <w:p w:rsidRPr="00491CD4" w:rsidR="00491CD4" w:rsidP="00D94D34" w:rsidRDefault="00491CD4" w14:paraId="45A6B52A" w14:textId="1CAEF60A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EESC-2025-00766-00-00-AC</w:t>
            </w:r>
          </w:p>
        </w:tc>
      </w:tr>
    </w:tbl>
    <w:p w:rsidRPr="00491CD4" w:rsidR="00491CD4" w:rsidP="00D94D34" w:rsidRDefault="00491CD4" w14:paraId="178C58CF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Cs/>
          <w:sz w:val="16"/>
          <w:szCs w:val="16"/>
          <w:lang w:val="en-GB"/>
        </w:rPr>
      </w:pPr>
    </w:p>
    <w:p w:rsidRPr="00491CD4" w:rsidR="00491CD4" w:rsidP="00D94D34" w:rsidRDefault="00491CD4" w14:paraId="7E37B278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Ključne točke</w:t>
      </w:r>
    </w:p>
    <w:p w:rsidRPr="00491CD4" w:rsidR="00491CD4" w:rsidP="00D94D34" w:rsidRDefault="00491CD4" w14:paraId="39C6AB6B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Cs/>
          <w:sz w:val="16"/>
          <w:szCs w:val="16"/>
          <w:lang w:val="en-GB"/>
        </w:rPr>
      </w:pPr>
    </w:p>
    <w:p w:rsidRPr="00491CD4" w:rsidR="002604F3" w:rsidP="00D94D34" w:rsidRDefault="00491CD4" w14:paraId="72244685" w14:textId="6E488F0A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EGSO:</w:t>
      </w:r>
    </w:p>
    <w:p w:rsidRPr="00491CD4" w:rsidR="00491CD4" w:rsidP="009A59C4" w:rsidRDefault="00491CD4" w14:paraId="590F1B96" w14:textId="77777777">
      <w:pPr>
        <w:numPr>
          <w:ilvl w:val="0"/>
          <w:numId w:val="42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spacing w:val="-4"/>
          <w:szCs w:val="20"/>
        </w:rPr>
      </w:pPr>
      <w:r>
        <w:rPr>
          <w:b/>
          <w:bCs/>
        </w:rPr>
        <w:t>smatra da je u pravo Unije potrebno prenijeti mjere očuvanja i kontrole</w:t>
      </w:r>
      <w:r>
        <w:t xml:space="preserve"> koje su donijele regionalne organizacije za upravljanje ribarstvom, uz poštovanje načela i ciljeva zajedničke </w:t>
      </w:r>
      <w:proofErr w:type="spellStart"/>
      <w:r>
        <w:t>ribarstvene</w:t>
      </w:r>
      <w:proofErr w:type="spellEnd"/>
      <w:r>
        <w:t xml:space="preserve"> politike i izbjegavanje regulatornih preklapanja i nedosljednosti. To regulatorno usklađivanje ključno je kako bi se osiguralo da mjere upravljanja u području međunarodnog ribarstva budu učinkovite;</w:t>
      </w:r>
    </w:p>
    <w:p w:rsidRPr="00491CD4" w:rsidR="00491CD4" w:rsidP="009A59C4" w:rsidRDefault="00491CD4" w14:paraId="33A22B93" w14:textId="77777777">
      <w:pPr>
        <w:numPr>
          <w:ilvl w:val="0"/>
          <w:numId w:val="42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szCs w:val="20"/>
        </w:rPr>
      </w:pPr>
      <w:r>
        <w:t>podržava prijedlog Komisije i podsjeća na svoju kontinuiranu potporu sličnim inicijativama u prethodnim mišljenjima;</w:t>
      </w:r>
    </w:p>
    <w:p w:rsidRPr="00491CD4" w:rsidR="00491CD4" w:rsidP="009A59C4" w:rsidRDefault="00491CD4" w14:paraId="6F6E7753" w14:textId="77777777">
      <w:pPr>
        <w:numPr>
          <w:ilvl w:val="0"/>
          <w:numId w:val="42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szCs w:val="20"/>
        </w:rPr>
      </w:pPr>
      <w:r>
        <w:t xml:space="preserve">snažno podupire potrebu za </w:t>
      </w:r>
      <w:r>
        <w:rPr>
          <w:b/>
        </w:rPr>
        <w:t>daljnjim regulatornim pojednostavnjenjem</w:t>
      </w:r>
      <w:r>
        <w:t>, učinkovitim smanjenjem administrativnog opterećenja i bržim postupcima. pozdravlja inicijativu prijedloga skupne uredbe kao korak u pravom smjeru;</w:t>
      </w:r>
    </w:p>
    <w:p w:rsidRPr="00491CD4" w:rsidR="00491CD4" w:rsidP="009A59C4" w:rsidRDefault="00491CD4" w14:paraId="7BE48B95" w14:textId="77777777">
      <w:pPr>
        <w:numPr>
          <w:ilvl w:val="0"/>
          <w:numId w:val="42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szCs w:val="20"/>
        </w:rPr>
      </w:pPr>
      <w:r>
        <w:t>smatra da se prenošenje mora provesti bez dodavanja novih obveza koje nisu dogovorene od strane EU-a u pogledu vlastite flote;</w:t>
      </w:r>
    </w:p>
    <w:p w:rsidRPr="00491CD4" w:rsidR="00491CD4" w:rsidP="009A59C4" w:rsidRDefault="00491CD4" w14:paraId="09CBCAA5" w14:textId="77777777">
      <w:pPr>
        <w:numPr>
          <w:ilvl w:val="0"/>
          <w:numId w:val="42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spacing w:val="-4"/>
          <w:szCs w:val="20"/>
        </w:rPr>
      </w:pPr>
      <w:r>
        <w:t>ističe da trenutačnom prijedlogu nedostaje prilagodljiv mehanizam za automatsko prenošenje određenih pravila koja su donijele regionalne organizacije za upravljanje ribarstvom. Postojeći sustav iziskuje redovite izmjene propisa u okviru dugotrajnih i složenih zakonodavnih postupaka, čime se usporava učinkovita integracija međunarodnih standarda;</w:t>
      </w:r>
    </w:p>
    <w:p w:rsidRPr="00491CD4" w:rsidR="00491CD4" w:rsidP="009A59C4" w:rsidRDefault="00491CD4" w14:paraId="6A29C4A0" w14:textId="77777777">
      <w:pPr>
        <w:numPr>
          <w:ilvl w:val="0"/>
          <w:numId w:val="42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szCs w:val="20"/>
        </w:rPr>
      </w:pPr>
      <w:r>
        <w:t xml:space="preserve">ponovno upozorava da </w:t>
      </w:r>
      <w:r>
        <w:rPr>
          <w:b/>
          <w:bCs/>
        </w:rPr>
        <w:t>donošenje Uredbe može dovesti do proturječnih pravila</w:t>
      </w:r>
      <w:r>
        <w:t xml:space="preserve"> ili, u najmanju ruku, do </w:t>
      </w:r>
      <w:r>
        <w:rPr>
          <w:b/>
          <w:bCs/>
        </w:rPr>
        <w:t>razdoblja pravne nesigurnosti</w:t>
      </w:r>
      <w:r>
        <w:t xml:space="preserve"> za uprave i sama poduzeća. Time se može poremetiti primjena mjera u odnosu na flote koje su izvan EU-a;</w:t>
      </w:r>
    </w:p>
    <w:p w:rsidRPr="00491CD4" w:rsidR="00491CD4" w:rsidP="009A59C4" w:rsidRDefault="00491CD4" w14:paraId="5F69202A" w14:textId="77777777">
      <w:pPr>
        <w:numPr>
          <w:ilvl w:val="0"/>
          <w:numId w:val="42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szCs w:val="20"/>
        </w:rPr>
      </w:pPr>
      <w:r>
        <w:t xml:space="preserve">ponavlja svoju preporuku da se </w:t>
      </w:r>
      <w:r>
        <w:rPr>
          <w:b/>
          <w:bCs/>
        </w:rPr>
        <w:t>razmotri izvedivost uvođenja ubrzanog postupka</w:t>
      </w:r>
      <w:r>
        <w:t xml:space="preserve"> koji bi omogućio da određene tehničke mjere koje su donijele regionalne organizacije za upravljanje ribarstvom izravno stupe na snagu s pomoću mehanizma uvjetnog automatskog prenošenja;</w:t>
      </w:r>
    </w:p>
    <w:p w:rsidRPr="00491CD4" w:rsidR="00491CD4" w:rsidP="009A59C4" w:rsidRDefault="00491CD4" w14:paraId="5F03D6A1" w14:textId="77777777">
      <w:pPr>
        <w:numPr>
          <w:ilvl w:val="0"/>
          <w:numId w:val="42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szCs w:val="20"/>
        </w:rPr>
      </w:pPr>
      <w:r>
        <w:t xml:space="preserve">potiče Komisiju da, u skladu s Konvencijom Ujedinjenih naroda o pravu mora (UNCLOS) i Sporazumom iz New Yorka o očuvanju i upravljanju pograničnim ribljim stokovima i </w:t>
      </w:r>
      <w:proofErr w:type="spellStart"/>
      <w:r>
        <w:t>visokomigracijskim</w:t>
      </w:r>
      <w:proofErr w:type="spellEnd"/>
      <w:r>
        <w:t xml:space="preserve"> ribljim stokovima, ojača suradnju i koordinaciju sa svim zemljama čije flote iskorištavaju te stokove, bilateralno ili u okviru regionalnih organizacija za upravljanje ribarstvom. naglašava da je </w:t>
      </w:r>
      <w:r>
        <w:rPr>
          <w:b/>
          <w:bCs/>
        </w:rPr>
        <w:t xml:space="preserve">važno osigurati jednake uvjete </w:t>
      </w:r>
      <w:r>
        <w:t>s pomoću ujednačene primjene pravila o očuvanju i upravljanju i pritom izbjegavati dvostruke standarde koji bi mogli naštetiti europskim subjektima koji poštuju međunarodne propise.</w:t>
      </w:r>
    </w:p>
    <w:p w:rsidRPr="000F00DC" w:rsidR="00491CD4" w:rsidP="00D94D34" w:rsidRDefault="00491CD4" w14:paraId="314DC37E" w14:textId="77777777">
      <w:pP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34"/>
        <w:gridCol w:w="7546"/>
      </w:tblGrid>
      <w:tr w:rsidRPr="00491CD4" w:rsidR="00491CD4" w:rsidTr="006433AA" w14:paraId="4D5A2374" w14:textId="77777777">
        <w:tc>
          <w:tcPr>
            <w:tcW w:w="1634" w:type="dxa"/>
          </w:tcPr>
          <w:p w:rsidRPr="00491CD4" w:rsidR="00491CD4" w:rsidP="00D94D34" w:rsidRDefault="00491CD4" w14:paraId="0F518CEC" w14:textId="77777777">
            <w:pPr>
              <w:overflowPunct w:val="0"/>
              <w:autoSpaceDE w:val="0"/>
              <w:autoSpaceDN w:val="0"/>
              <w:adjustRightInd w:val="0"/>
              <w:ind w:left="709" w:hanging="567"/>
              <w:textAlignment w:val="baseline"/>
              <w:rPr>
                <w:i/>
                <w:iCs/>
              </w:rPr>
            </w:pPr>
            <w:r>
              <w:rPr>
                <w:b/>
                <w:i/>
              </w:rPr>
              <w:t>Kontakt:</w:t>
            </w:r>
          </w:p>
        </w:tc>
        <w:tc>
          <w:tcPr>
            <w:tcW w:w="7546" w:type="dxa"/>
          </w:tcPr>
          <w:p w:rsidRPr="006433AA" w:rsidR="00491CD4" w:rsidP="00D94D34" w:rsidRDefault="00491CD4" w14:paraId="4697EC89" w14:textId="7248848B">
            <w:pPr>
              <w:overflowPunct w:val="0"/>
              <w:autoSpaceDE w:val="0"/>
              <w:autoSpaceDN w:val="0"/>
              <w:adjustRightInd w:val="0"/>
              <w:ind w:left="709" w:hanging="709"/>
              <w:textAlignment w:val="baseline"/>
              <w:rPr>
                <w:i/>
                <w:iCs/>
              </w:rPr>
            </w:pPr>
            <w:r>
              <w:rPr>
                <w:i/>
              </w:rPr>
              <w:t xml:space="preserve">Arturo </w:t>
            </w:r>
            <w:proofErr w:type="spellStart"/>
            <w:r>
              <w:rPr>
                <w:i/>
              </w:rPr>
              <w:t>Íñiguez</w:t>
            </w:r>
            <w:proofErr w:type="spellEnd"/>
          </w:p>
        </w:tc>
      </w:tr>
      <w:tr w:rsidRPr="00491CD4" w:rsidR="00491CD4" w:rsidTr="006433AA" w14:paraId="78E61F76" w14:textId="77777777">
        <w:tc>
          <w:tcPr>
            <w:tcW w:w="1634" w:type="dxa"/>
          </w:tcPr>
          <w:p w:rsidRPr="00491CD4" w:rsidR="00491CD4" w:rsidP="00D94D34" w:rsidRDefault="00491CD4" w14:paraId="160EF142" w14:textId="77777777">
            <w:pPr>
              <w:overflowPunct w:val="0"/>
              <w:autoSpaceDE w:val="0"/>
              <w:autoSpaceDN w:val="0"/>
              <w:adjustRightInd w:val="0"/>
              <w:ind w:left="709" w:hanging="567"/>
              <w:textAlignment w:val="baseline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7546" w:type="dxa"/>
          </w:tcPr>
          <w:p w:rsidRPr="00491CD4" w:rsidR="00491CD4" w:rsidP="00D94D34" w:rsidRDefault="00491CD4" w14:paraId="564A3BD4" w14:textId="19C282BD">
            <w:pPr>
              <w:overflowPunct w:val="0"/>
              <w:autoSpaceDE w:val="0"/>
              <w:autoSpaceDN w:val="0"/>
              <w:adjustRightInd w:val="0"/>
              <w:ind w:left="709" w:hanging="709"/>
              <w:textAlignment w:val="baseline"/>
              <w:rPr>
                <w:i/>
                <w:iCs/>
              </w:rPr>
            </w:pPr>
            <w:r>
              <w:rPr>
                <w:i/>
              </w:rPr>
              <w:t>+32 25468768</w:t>
            </w:r>
          </w:p>
        </w:tc>
      </w:tr>
      <w:tr w:rsidRPr="00491CD4" w:rsidR="00491CD4" w:rsidTr="006433AA" w14:paraId="24101866" w14:textId="77777777">
        <w:tc>
          <w:tcPr>
            <w:tcW w:w="1634" w:type="dxa"/>
          </w:tcPr>
          <w:p w:rsidRPr="00491CD4" w:rsidR="00491CD4" w:rsidP="00D94D34" w:rsidRDefault="00491CD4" w14:paraId="2F51DDD7" w14:textId="77777777">
            <w:pPr>
              <w:overflowPunct w:val="0"/>
              <w:autoSpaceDE w:val="0"/>
              <w:autoSpaceDN w:val="0"/>
              <w:adjustRightInd w:val="0"/>
              <w:ind w:left="709" w:hanging="567"/>
              <w:textAlignment w:val="baseline"/>
              <w:rPr>
                <w:i/>
              </w:rPr>
            </w:pPr>
            <w:r>
              <w:rPr>
                <w:i/>
              </w:rPr>
              <w:t>E-pošta</w:t>
            </w:r>
            <w:r>
              <w:rPr>
                <w:i/>
                <w:iCs/>
              </w:rPr>
              <w:t>:</w:t>
            </w:r>
          </w:p>
        </w:tc>
        <w:tc>
          <w:tcPr>
            <w:tcW w:w="7546" w:type="dxa"/>
          </w:tcPr>
          <w:p w:rsidRPr="00491CD4" w:rsidR="00491CD4" w:rsidP="00D94D34" w:rsidRDefault="00342135" w14:paraId="72B85133" w14:textId="77777777">
            <w:pPr>
              <w:overflowPunct w:val="0"/>
              <w:autoSpaceDE w:val="0"/>
              <w:autoSpaceDN w:val="0"/>
              <w:adjustRightInd w:val="0"/>
              <w:ind w:left="709" w:hanging="709"/>
              <w:textAlignment w:val="baseline"/>
              <w:rPr>
                <w:i/>
                <w:iCs/>
                <w:color w:val="0000FF"/>
                <w:u w:val="single"/>
              </w:rPr>
            </w:pPr>
            <w:hyperlink w:history="1" r:id="rId51">
              <w:r w:rsidR="00CB5DFF">
                <w:rPr>
                  <w:i/>
                  <w:color w:val="0000FF"/>
                  <w:u w:val="single"/>
                </w:rPr>
                <w:t>Arturo.Iniguez@eesc.europa.eu</w:t>
              </w:r>
            </w:hyperlink>
          </w:p>
        </w:tc>
      </w:tr>
    </w:tbl>
    <w:p w:rsidR="00491CD4" w:rsidP="00D94D34" w:rsidRDefault="00491CD4" w14:paraId="48C4E3E1" w14:textId="28174637">
      <w:pPr>
        <w:jc w:val="left"/>
        <w:rPr>
          <w:lang w:val="en-GB"/>
        </w:rPr>
      </w:pPr>
    </w:p>
    <w:p w:rsidRPr="00150BA4" w:rsidR="00150BA4" w:rsidP="00D94D34" w:rsidRDefault="00342135" w14:paraId="4D571A37" w14:textId="1FED72F1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hanging="567"/>
        <w:textAlignment w:val="baseline"/>
        <w:rPr>
          <w:b/>
          <w:bCs/>
          <w:i/>
          <w:iCs/>
          <w:sz w:val="28"/>
          <w:szCs w:val="28"/>
        </w:rPr>
      </w:pPr>
      <w:hyperlink w:history="1" r:id="rId52">
        <w:r w:rsidR="00CB5DFF">
          <w:rPr>
            <w:b/>
            <w:i/>
            <w:color w:val="0000FF"/>
            <w:sz w:val="28"/>
            <w:u w:val="single"/>
          </w:rPr>
          <w:t>Ratifikacija sporazuma o očuvanju i održivom korištenju morske bioraznolikosti na područjima izvan nacionalne jurisdikcije</w:t>
        </w:r>
      </w:hyperlink>
    </w:p>
    <w:p w:rsidR="00150BA4" w:rsidP="00D94D34" w:rsidRDefault="00150BA4" w14:paraId="21959151" w14:textId="2963298B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tbl>
      <w:tblPr>
        <w:tblStyle w:val="TableGrid"/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609"/>
        <w:gridCol w:w="7572"/>
      </w:tblGrid>
      <w:tr w:rsidRPr="000F00DC" w:rsidR="006433AA" w:rsidTr="000F00DC" w14:paraId="1B26FCFF" w14:textId="77777777">
        <w:tc>
          <w:tcPr>
            <w:tcW w:w="1560" w:type="dxa"/>
          </w:tcPr>
          <w:p w:rsidRPr="000F00DC" w:rsidR="006433AA" w:rsidP="00D94D34" w:rsidRDefault="006433AA" w14:paraId="67B36065" w14:textId="3937ACE6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>
              <w:rPr>
                <w:b/>
              </w:rPr>
              <w:t>Izvjestitelj/ica:</w:t>
            </w:r>
          </w:p>
        </w:tc>
        <w:tc>
          <w:tcPr>
            <w:tcW w:w="7621" w:type="dxa"/>
          </w:tcPr>
          <w:p w:rsidRPr="000F00DC" w:rsidR="006433AA" w:rsidP="00D94D34" w:rsidRDefault="006433AA" w14:paraId="678602D1" w14:textId="735F3B8C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>
              <w:t>Javier GARAT PÉREZ (Skupina organizacija civilnog društva – ES)</w:t>
            </w:r>
          </w:p>
        </w:tc>
      </w:tr>
      <w:tr w:rsidRPr="000F00DC" w:rsidR="006433AA" w:rsidTr="000F00DC" w14:paraId="5065F749" w14:textId="77777777">
        <w:tc>
          <w:tcPr>
            <w:tcW w:w="1560" w:type="dxa"/>
          </w:tcPr>
          <w:p w:rsidRPr="000F00DC" w:rsidR="006433AA" w:rsidP="00D94D34" w:rsidRDefault="006433AA" w14:paraId="41C479C9" w14:textId="792ABE52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>
              <w:rPr>
                <w:b/>
              </w:rPr>
              <w:t>Referentni dokumenti/i:</w:t>
            </w:r>
          </w:p>
        </w:tc>
        <w:tc>
          <w:tcPr>
            <w:tcW w:w="7621" w:type="dxa"/>
          </w:tcPr>
          <w:p w:rsidRPr="000F00DC" w:rsidR="006433AA" w:rsidP="00D94D34" w:rsidRDefault="006433AA" w14:paraId="2980E1DF" w14:textId="4A1FDB3B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>
              <w:t xml:space="preserve">COM(2025) 173 </w:t>
            </w:r>
            <w:proofErr w:type="spellStart"/>
            <w:r>
              <w:t>final</w:t>
            </w:r>
            <w:proofErr w:type="spellEnd"/>
          </w:p>
        </w:tc>
      </w:tr>
      <w:tr w:rsidRPr="000F00DC" w:rsidR="006433AA" w:rsidTr="000F00DC" w14:paraId="07436846" w14:textId="77777777">
        <w:tc>
          <w:tcPr>
            <w:tcW w:w="1560" w:type="dxa"/>
          </w:tcPr>
          <w:p w:rsidRPr="000F00DC" w:rsidR="006433AA" w:rsidP="00D94D34" w:rsidRDefault="006433AA" w14:paraId="72CC8C19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lang w:val="en-GB"/>
              </w:rPr>
            </w:pPr>
          </w:p>
        </w:tc>
        <w:tc>
          <w:tcPr>
            <w:tcW w:w="7621" w:type="dxa"/>
          </w:tcPr>
          <w:p w:rsidRPr="000F00DC" w:rsidR="006433AA" w:rsidP="00D94D34" w:rsidRDefault="006433AA" w14:paraId="2C27A075" w14:textId="277C6C50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>
              <w:t>EESC-2025-02043-00-00-AC</w:t>
            </w:r>
          </w:p>
        </w:tc>
      </w:tr>
    </w:tbl>
    <w:p w:rsidRPr="009A59C4" w:rsidR="00150BA4" w:rsidP="00D94D34" w:rsidRDefault="00150BA4" w14:paraId="0BAA50FC" w14:textId="6B53F5AD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sz w:val="20"/>
          <w:szCs w:val="20"/>
          <w:lang w:val="pt-PT"/>
        </w:rPr>
      </w:pPr>
    </w:p>
    <w:p w:rsidRPr="00150BA4" w:rsidR="00150BA4" w:rsidP="00D94D34" w:rsidRDefault="00150BA4" w14:paraId="1FF1890C" w14:textId="77777777">
      <w:pPr>
        <w:keepNext/>
        <w:keepLines/>
        <w:overflowPunct w:val="0"/>
        <w:autoSpaceDE w:val="0"/>
        <w:autoSpaceDN w:val="0"/>
        <w:adjustRightInd w:val="0"/>
        <w:textAlignment w:val="baseline"/>
        <w:rPr>
          <w:b/>
        </w:rPr>
      </w:pPr>
      <w:r>
        <w:rPr>
          <w:b/>
        </w:rPr>
        <w:t>Ključne točke</w:t>
      </w:r>
    </w:p>
    <w:p w:rsidRPr="00150BA4" w:rsidR="00150BA4" w:rsidP="00D94D34" w:rsidRDefault="00150BA4" w14:paraId="10235F5D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:rsidRPr="00150BA4" w:rsidR="00EC3512" w:rsidP="00D94D34" w:rsidRDefault="00150BA4" w14:paraId="5CB64910" w14:textId="63BC203D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EGSO:</w:t>
      </w:r>
    </w:p>
    <w:p w:rsidRPr="00150BA4" w:rsidR="00150BA4" w:rsidP="009A59C4" w:rsidRDefault="00150BA4" w14:paraId="12600432" w14:textId="77777777">
      <w:pPr>
        <w:numPr>
          <w:ilvl w:val="0"/>
          <w:numId w:val="42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szCs w:val="20"/>
        </w:rPr>
      </w:pPr>
      <w:r>
        <w:rPr>
          <w:b/>
          <w:bCs/>
        </w:rPr>
        <w:t>pozdravlja prijedlog direktive</w:t>
      </w:r>
      <w:r>
        <w:t xml:space="preserve"> kojom bi se međunarodni Sporazum o morskoj bioraznolikosti na područjima izvan nacionalne jurisdikcije (BBNJ) uključio u pravo EU-a;</w:t>
      </w:r>
    </w:p>
    <w:p w:rsidRPr="00150BA4" w:rsidR="00150BA4" w:rsidP="009A59C4" w:rsidRDefault="00150BA4" w14:paraId="088DAB90" w14:textId="77777777">
      <w:pPr>
        <w:numPr>
          <w:ilvl w:val="0"/>
          <w:numId w:val="42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color w:val="000000" w:themeColor="text1"/>
          <w:szCs w:val="20"/>
        </w:rPr>
      </w:pPr>
      <w:r>
        <w:t xml:space="preserve">podržava stajalište Europske komisije da se </w:t>
      </w:r>
      <w:r>
        <w:rPr>
          <w:b/>
          <w:bCs/>
        </w:rPr>
        <w:t xml:space="preserve">Sporazum o BBNJ-u dosljedno prenese </w:t>
      </w:r>
      <w:r>
        <w:t>u pravnu stečevinu EU-a i pritom očuvaju ujednačena provedba i jednaki uvjeti za sve aktere koji djeluju s teritorija EU-a;</w:t>
      </w:r>
    </w:p>
    <w:p w:rsidRPr="00150BA4" w:rsidR="00150BA4" w:rsidP="009A59C4" w:rsidRDefault="00150BA4" w14:paraId="3DFB6C09" w14:textId="77777777">
      <w:pPr>
        <w:numPr>
          <w:ilvl w:val="0"/>
          <w:numId w:val="42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szCs w:val="20"/>
        </w:rPr>
      </w:pPr>
      <w:r>
        <w:t xml:space="preserve">preporučuje da se osigura </w:t>
      </w:r>
      <w:r>
        <w:rPr>
          <w:b/>
        </w:rPr>
        <w:t>potpuna usklađenost Sporazuma o BBNJ-u s europskim okvirom</w:t>
      </w:r>
      <w:r>
        <w:t xml:space="preserve"> i procjenama utjecaja na okoliš, kao i s multilateralnim sporazumima o okolišu čije su stranke Europska unija i njezine države članice, čime se osigurava usklađenost i učinkovitost okolišnih politika na europskoj i međunarodnoj razini;</w:t>
      </w:r>
    </w:p>
    <w:p w:rsidRPr="00150BA4" w:rsidR="00150BA4" w:rsidP="009A59C4" w:rsidRDefault="00150BA4" w14:paraId="716C5C00" w14:textId="77777777">
      <w:pPr>
        <w:numPr>
          <w:ilvl w:val="0"/>
          <w:numId w:val="42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color w:val="000000" w:themeColor="text1"/>
          <w:szCs w:val="20"/>
        </w:rPr>
      </w:pPr>
      <w:r>
        <w:t xml:space="preserve">slaže se s Europskom komisijom da bi prenošenje Sporazuma o BBNJ-u u pravo EU-a trebalo uskladiti sa </w:t>
      </w:r>
      <w:r>
        <w:rPr>
          <w:b/>
        </w:rPr>
        <w:t>sektorskim pravilima i politikama EU-a</w:t>
      </w:r>
      <w:r>
        <w:t>;</w:t>
      </w:r>
    </w:p>
    <w:p w:rsidRPr="00150BA4" w:rsidR="00150BA4" w:rsidP="009A59C4" w:rsidRDefault="00150BA4" w14:paraId="651257D2" w14:textId="77777777">
      <w:pPr>
        <w:numPr>
          <w:ilvl w:val="0"/>
          <w:numId w:val="42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color w:val="000000" w:themeColor="text1"/>
          <w:szCs w:val="20"/>
        </w:rPr>
      </w:pPr>
      <w:r>
        <w:t xml:space="preserve">preporučuje da novi okvir Sporazuma o BBNJ-u bude </w:t>
      </w:r>
      <w:r>
        <w:rPr>
          <w:b/>
          <w:bCs/>
        </w:rPr>
        <w:t>koordiniran i komplementaran</w:t>
      </w:r>
      <w:r>
        <w:t xml:space="preserve"> s postojećim međunarodnim tijelima, kao što su regionalne organizacije za upravljanje ribarstvom, </w:t>
      </w:r>
      <w:r>
        <w:rPr>
          <w:b/>
          <w:bCs/>
        </w:rPr>
        <w:t>Organizacija za hranu i poljoprivredu Ujedinjenih naroda (FAO) i Međunarodna pomorska organizacija</w:t>
      </w:r>
      <w:r>
        <w:t>;</w:t>
      </w:r>
    </w:p>
    <w:p w:rsidRPr="00150BA4" w:rsidR="00150BA4" w:rsidP="009A59C4" w:rsidRDefault="00150BA4" w14:paraId="0BBFFBD1" w14:textId="77777777">
      <w:pPr>
        <w:numPr>
          <w:ilvl w:val="0"/>
          <w:numId w:val="42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color w:val="000000" w:themeColor="text1"/>
          <w:szCs w:val="20"/>
        </w:rPr>
      </w:pPr>
      <w:r>
        <w:t xml:space="preserve">u skladu s novim Globalnim okvirom za bioraznolikost iz </w:t>
      </w:r>
      <w:proofErr w:type="spellStart"/>
      <w:r>
        <w:t>Kunminga</w:t>
      </w:r>
      <w:proofErr w:type="spellEnd"/>
      <w:r>
        <w:t xml:space="preserve"> i Montreala poziva na to da se zajamči da će do 2030. barem </w:t>
      </w:r>
      <w:r>
        <w:rPr>
          <w:b/>
          <w:bCs/>
        </w:rPr>
        <w:t>30 % voda na otvorenom moru očuvati i da će se njima učinkovito upravljati</w:t>
      </w:r>
      <w:r>
        <w:t xml:space="preserve"> putem sustava ekološki reprezentativnih i dobro povezanih zaštićenih područja kojima se pravedno upravlja, kao i drugim djelotvornim lokaliziranim mjerama očuvanja;</w:t>
      </w:r>
    </w:p>
    <w:p w:rsidRPr="00150BA4" w:rsidR="00150BA4" w:rsidP="009A59C4" w:rsidRDefault="00150BA4" w14:paraId="5F2C4350" w14:textId="77777777">
      <w:pPr>
        <w:numPr>
          <w:ilvl w:val="0"/>
          <w:numId w:val="42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color w:val="000000" w:themeColor="text1"/>
          <w:szCs w:val="20"/>
        </w:rPr>
      </w:pPr>
      <w:r>
        <w:t xml:space="preserve">ističe da </w:t>
      </w:r>
      <w:r>
        <w:rPr>
          <w:b/>
          <w:bCs/>
        </w:rPr>
        <w:t>mnoge regionalne organizacije za upravljanje ribarstvom već provode</w:t>
      </w:r>
      <w:r>
        <w:t xml:space="preserve"> mjere prostornog upravljanja, uključujući one za </w:t>
      </w:r>
      <w:r>
        <w:rPr>
          <w:b/>
          <w:bCs/>
        </w:rPr>
        <w:t>zaštićena morska područja</w:t>
      </w:r>
      <w:r>
        <w:t xml:space="preserve">, i da su počele utvrđivati </w:t>
      </w:r>
      <w:r>
        <w:rPr>
          <w:b/>
          <w:bCs/>
        </w:rPr>
        <w:t>druge učinkovite lokalizirane mjere očuvanja</w:t>
      </w:r>
      <w:r>
        <w:t>, u skladu s ciljevima „30 x 30”;</w:t>
      </w:r>
    </w:p>
    <w:p w:rsidRPr="00150BA4" w:rsidR="00150BA4" w:rsidP="009A59C4" w:rsidRDefault="00150BA4" w14:paraId="401F2B5B" w14:textId="77777777">
      <w:pPr>
        <w:numPr>
          <w:ilvl w:val="0"/>
          <w:numId w:val="42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color w:val="000000" w:themeColor="text1"/>
          <w:szCs w:val="20"/>
        </w:rPr>
      </w:pPr>
      <w:r>
        <w:t>naglašava važnost učinkovite koordinacije među različitim institucijama koje sudjeluju u provedbi Sporazuma o BBNJ-u.</w:t>
      </w:r>
    </w:p>
    <w:p w:rsidRPr="00150BA4" w:rsidR="00150BA4" w:rsidP="00D94D34" w:rsidRDefault="00150BA4" w14:paraId="06CF0CFE" w14:textId="77777777">
      <w:pPr>
        <w:widowControl w:val="0"/>
        <w:overflowPunct w:val="0"/>
        <w:autoSpaceDE w:val="0"/>
        <w:autoSpaceDN w:val="0"/>
        <w:adjustRightInd w:val="0"/>
        <w:ind w:left="709"/>
        <w:textAlignment w:val="baseline"/>
        <w:rPr>
          <w:szCs w:val="20"/>
          <w:lang w:val="en-GB"/>
        </w:rPr>
      </w:pPr>
    </w:p>
    <w:tbl>
      <w:tblPr>
        <w:tblW w:w="4941" w:type="pct"/>
        <w:tblLook w:val="04A0" w:firstRow="1" w:lastRow="0" w:firstColumn="1" w:lastColumn="0" w:noHBand="0" w:noVBand="1"/>
      </w:tblPr>
      <w:tblGrid>
        <w:gridCol w:w="1384"/>
        <w:gridCol w:w="7795"/>
      </w:tblGrid>
      <w:tr w:rsidRPr="00150BA4" w:rsidR="00150BA4" w:rsidTr="006433AA" w14:paraId="7C441EBD" w14:textId="77777777">
        <w:tc>
          <w:tcPr>
            <w:tcW w:w="754" w:type="pct"/>
          </w:tcPr>
          <w:p w:rsidRPr="00150BA4" w:rsidR="00150BA4" w:rsidP="00D94D34" w:rsidRDefault="00150BA4" w14:paraId="503211F6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b/>
                <w:i/>
              </w:rPr>
              <w:t>Kontakt:</w:t>
            </w:r>
          </w:p>
        </w:tc>
        <w:tc>
          <w:tcPr>
            <w:tcW w:w="4246" w:type="pct"/>
          </w:tcPr>
          <w:p w:rsidRPr="006433AA" w:rsidR="00150BA4" w:rsidP="00D94D34" w:rsidRDefault="00150BA4" w14:paraId="2BE7F238" w14:textId="2E20A2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</w:rPr>
            </w:pPr>
            <w:r>
              <w:rPr>
                <w:i/>
              </w:rPr>
              <w:t xml:space="preserve">Arturo </w:t>
            </w:r>
            <w:proofErr w:type="spellStart"/>
            <w:r>
              <w:rPr>
                <w:i/>
              </w:rPr>
              <w:t>Iniguez</w:t>
            </w:r>
            <w:proofErr w:type="spellEnd"/>
          </w:p>
        </w:tc>
      </w:tr>
      <w:tr w:rsidRPr="00150BA4" w:rsidR="00150BA4" w:rsidTr="006433AA" w14:paraId="361442F8" w14:textId="77777777">
        <w:tc>
          <w:tcPr>
            <w:tcW w:w="754" w:type="pct"/>
          </w:tcPr>
          <w:p w:rsidRPr="00150BA4" w:rsidR="00150BA4" w:rsidP="00D94D34" w:rsidRDefault="00150BA4" w14:paraId="5C5C350A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4246" w:type="pct"/>
          </w:tcPr>
          <w:p w:rsidRPr="00150BA4" w:rsidR="00150BA4" w:rsidP="00D94D34" w:rsidRDefault="00150BA4" w14:paraId="586BAE8D" w14:textId="37B0B3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+32 25468768</w:t>
            </w:r>
          </w:p>
        </w:tc>
      </w:tr>
      <w:tr w:rsidRPr="00150BA4" w:rsidR="00150BA4" w:rsidTr="006433AA" w14:paraId="6F55915F" w14:textId="77777777">
        <w:tc>
          <w:tcPr>
            <w:tcW w:w="754" w:type="pct"/>
          </w:tcPr>
          <w:p w:rsidRPr="00150BA4" w:rsidR="00150BA4" w:rsidP="00D94D34" w:rsidRDefault="00EC3512" w14:paraId="425A0593" w14:textId="0F04EC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E-pošta</w:t>
            </w:r>
            <w:r>
              <w:rPr>
                <w:i/>
                <w:iCs/>
              </w:rPr>
              <w:t>:</w:t>
            </w:r>
          </w:p>
        </w:tc>
        <w:tc>
          <w:tcPr>
            <w:tcW w:w="4246" w:type="pct"/>
          </w:tcPr>
          <w:p w:rsidRPr="006433AA" w:rsidR="00150BA4" w:rsidP="00D94D34" w:rsidRDefault="00342135" w14:paraId="1294BE4F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</w:rPr>
            </w:pPr>
            <w:hyperlink w:history="1" r:id="rId53">
              <w:r w:rsidR="00CB5DFF">
                <w:rPr>
                  <w:i/>
                  <w:color w:val="0000FF"/>
                  <w:u w:val="single"/>
                </w:rPr>
                <w:t>Arturo.Iniguez@eesc.europa.eu</w:t>
              </w:r>
            </w:hyperlink>
          </w:p>
        </w:tc>
      </w:tr>
    </w:tbl>
    <w:p w:rsidR="00150BA4" w:rsidP="00D94D34" w:rsidRDefault="00150BA4" w14:paraId="69DBAC3F" w14:textId="77777777">
      <w:pPr>
        <w:jc w:val="left"/>
        <w:rPr>
          <w:lang w:val="en-GB"/>
        </w:rPr>
      </w:pPr>
    </w:p>
    <w:p w:rsidR="00150BA4" w:rsidP="00D94D34" w:rsidRDefault="00150BA4" w14:paraId="635720D9" w14:textId="77777777">
      <w:pPr>
        <w:jc w:val="left"/>
      </w:pPr>
      <w:r>
        <w:br w:type="page"/>
      </w:r>
    </w:p>
    <w:p w:rsidRPr="00150BA4" w:rsidR="00150BA4" w:rsidP="00D94D34" w:rsidRDefault="00342135" w14:paraId="76E1402D" w14:textId="2C4B2B6D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0"/>
          <w:szCs w:val="20"/>
        </w:rPr>
      </w:pPr>
      <w:hyperlink w:history="1" r:id="rId54">
        <w:r w:rsidR="00150BA4">
          <w:rPr>
            <w:b/>
            <w:i/>
            <w:color w:val="0000FF"/>
            <w:sz w:val="28"/>
            <w:u w:val="single"/>
          </w:rPr>
          <w:t>Ususret 2030. – Jačanje društvenog aspekta u okolišnoj politici EU-a – ocjena najvažnijih mjera u području okoliša za prilog Osmom programu djelovanja za okoliš</w:t>
        </w:r>
      </w:hyperlink>
    </w:p>
    <w:p w:rsidRPr="00150BA4" w:rsidR="00150BA4" w:rsidP="00D94D34" w:rsidRDefault="00150BA4" w14:paraId="3A67E96C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609"/>
        <w:gridCol w:w="7680"/>
      </w:tblGrid>
      <w:tr w:rsidRPr="00150BA4" w:rsidR="00150BA4" w:rsidTr="000E6823" w14:paraId="6F806D10" w14:textId="77777777">
        <w:tc>
          <w:tcPr>
            <w:tcW w:w="821" w:type="pct"/>
          </w:tcPr>
          <w:p w:rsidRPr="00150BA4" w:rsidR="00150BA4" w:rsidP="00D94D34" w:rsidRDefault="00150BA4" w14:paraId="3F729D71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Izvjestitelj/ica:</w:t>
            </w:r>
          </w:p>
        </w:tc>
        <w:tc>
          <w:tcPr>
            <w:tcW w:w="4179" w:type="pct"/>
          </w:tcPr>
          <w:p w:rsidRPr="00150BA4" w:rsidR="00150BA4" w:rsidP="00D94D34" w:rsidRDefault="00150BA4" w14:paraId="2B0EBD49" w14:textId="5A2A75CE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091" w:hanging="266"/>
              <w:textAlignment w:val="baseline"/>
            </w:pPr>
            <w:proofErr w:type="spellStart"/>
            <w:r>
              <w:t>Lutz</w:t>
            </w:r>
            <w:proofErr w:type="spellEnd"/>
            <w:r>
              <w:t xml:space="preserve"> RIBBE (Skupina organizacija civilnog društva – DE)</w:t>
            </w:r>
          </w:p>
        </w:tc>
      </w:tr>
      <w:tr w:rsidRPr="00150BA4" w:rsidR="00150BA4" w:rsidTr="000E6823" w14:paraId="2D9ECB1C" w14:textId="77777777">
        <w:tc>
          <w:tcPr>
            <w:tcW w:w="821" w:type="pct"/>
          </w:tcPr>
          <w:p w:rsidRPr="00150BA4" w:rsidR="00150BA4" w:rsidP="00D94D34" w:rsidRDefault="00150BA4" w14:paraId="2CE4ECF5" w14:textId="29F638C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Referentni dokument/i:</w:t>
            </w:r>
          </w:p>
        </w:tc>
        <w:tc>
          <w:tcPr>
            <w:tcW w:w="4179" w:type="pct"/>
          </w:tcPr>
          <w:p w:rsidR="0035596B" w:rsidP="00D94D34" w:rsidRDefault="0035596B" w14:paraId="008D570D" w14:textId="6AD55700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091" w:hanging="266"/>
              <w:textAlignment w:val="baseline"/>
            </w:pPr>
            <w:proofErr w:type="spellStart"/>
            <w:r>
              <w:t>razmatračko</w:t>
            </w:r>
            <w:proofErr w:type="spellEnd"/>
            <w:r>
              <w:t xml:space="preserve"> mišljenje na zahtjev danskog predsjedništva Vijeća EU-a</w:t>
            </w:r>
          </w:p>
          <w:p w:rsidRPr="00150BA4" w:rsidR="00150BA4" w:rsidP="00D94D34" w:rsidRDefault="00150BA4" w14:paraId="65634D71" w14:textId="0CCF1CB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091" w:hanging="266"/>
              <w:textAlignment w:val="baseline"/>
            </w:pPr>
            <w:r>
              <w:t>EESC-2025-00826-00-00-AC</w:t>
            </w:r>
          </w:p>
        </w:tc>
      </w:tr>
    </w:tbl>
    <w:p w:rsidRPr="00150BA4" w:rsidR="00150BA4" w:rsidP="00D94D34" w:rsidRDefault="00150BA4" w14:paraId="3FE2A998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:rsidRPr="00150BA4" w:rsidR="00150BA4" w:rsidP="00D94D34" w:rsidRDefault="00150BA4" w14:paraId="7590FD70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Ključne točke</w:t>
      </w:r>
    </w:p>
    <w:p w:rsidRPr="00150BA4" w:rsidR="00150BA4" w:rsidP="00D94D34" w:rsidRDefault="00150BA4" w14:paraId="5657ADFE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:rsidR="00150BA4" w:rsidP="00D94D34" w:rsidRDefault="00150BA4" w14:paraId="7CBAD04C" w14:textId="77777777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>
        <w:t>EGSO:</w:t>
      </w:r>
    </w:p>
    <w:p w:rsidRPr="00150BA4" w:rsidR="00150BA4" w:rsidP="009A59C4" w:rsidRDefault="00150BA4" w14:paraId="25D5EA73" w14:textId="77777777">
      <w:pPr>
        <w:numPr>
          <w:ilvl w:val="0"/>
          <w:numId w:val="46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</w:pPr>
      <w:r>
        <w:t>poziva na političku predanost i djelovanje, a ne na izradu novog priloga Osmom programu djelovanja za okoliš, naglašavajući da bi naglasak trebao biti na provedbi postojećih mjera i integraciji ekološke, socijalne i gospodarske dimenzije u dosljednu strategiju održivosti;</w:t>
      </w:r>
    </w:p>
    <w:p w:rsidRPr="00150BA4" w:rsidR="00150BA4" w:rsidP="009A59C4" w:rsidRDefault="00150BA4" w14:paraId="1A8FF48D" w14:textId="77777777">
      <w:pPr>
        <w:numPr>
          <w:ilvl w:val="0"/>
          <w:numId w:val="46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</w:pPr>
      <w:r>
        <w:t>ponavlja svoj zahtjev da se strategijom održivog razvoja EU-a do 2050. zamijeni fragmentirani pristup zelenog plana, koji se nedovoljno bavi socijalnom pravdom u tranziciji;</w:t>
      </w:r>
    </w:p>
    <w:p w:rsidRPr="00150BA4" w:rsidR="00150BA4" w:rsidP="009A59C4" w:rsidRDefault="00150BA4" w14:paraId="1FA59699" w14:textId="77777777">
      <w:pPr>
        <w:numPr>
          <w:ilvl w:val="0"/>
          <w:numId w:val="46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</w:pPr>
      <w:r>
        <w:t>upozorava da je politika održivosti i dalje previše apstraktna za mnoge i naglašava potrebu za jasnim informiranjem o tome što sustavne promjene konkretno znače za građane, radnike i poduzeća;</w:t>
      </w:r>
    </w:p>
    <w:p w:rsidRPr="00150BA4" w:rsidR="00150BA4" w:rsidP="009A59C4" w:rsidRDefault="00150BA4" w14:paraId="2E8F2919" w14:textId="77777777">
      <w:pPr>
        <w:numPr>
          <w:ilvl w:val="0"/>
          <w:numId w:val="46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</w:pPr>
      <w:r>
        <w:t>ističe da sama Europska komisija priznaje da su već premašene neke mogućnosti planeta, ali da su posljedice za većinu ljudi i dalje apstraktne. EGSO istodobno kritizira upotrebu cilja od 1,5°C kao političkog mjerila u klimatskoj politici, tvrdeći da je on izvan mogućnosti planeta i da bi mogao stvoriti pogrešan osjećaj sigurnosti i smanjiti hitnost djelovanja;</w:t>
      </w:r>
    </w:p>
    <w:p w:rsidRPr="00150BA4" w:rsidR="00150BA4" w:rsidP="009A59C4" w:rsidRDefault="00150BA4" w14:paraId="452882CB" w14:textId="77777777">
      <w:pPr>
        <w:numPr>
          <w:ilvl w:val="0"/>
          <w:numId w:val="46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</w:pPr>
      <w:r>
        <w:t>naglašava važnost znatnog povećanja javne i političke svijesti o mogućnostima planeta i njihovim posljedicama te važnost postavljanja klimatskih ciljeva u znanstvenim pragovima;</w:t>
      </w:r>
    </w:p>
    <w:p w:rsidRPr="00150BA4" w:rsidR="00150BA4" w:rsidP="009A59C4" w:rsidRDefault="00150BA4" w14:paraId="3E2E7000" w14:textId="77777777">
      <w:pPr>
        <w:numPr>
          <w:ilvl w:val="0"/>
          <w:numId w:val="46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</w:pPr>
      <w:r>
        <w:t>potiče EU da se odmakne od BDP-a kao mjere blagostanja i pokrene političku raspravu o načinima ocjenjivanja dobrobiti i dugoročne održivosti u kojoj će sudjelovati ministri gospodarstva i financija;</w:t>
      </w:r>
    </w:p>
    <w:p w:rsidRPr="00150BA4" w:rsidR="00150BA4" w:rsidP="009A59C4" w:rsidRDefault="00150BA4" w14:paraId="168B8A11" w14:textId="77777777">
      <w:pPr>
        <w:numPr>
          <w:ilvl w:val="0"/>
          <w:numId w:val="46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</w:pPr>
      <w:r>
        <w:t>ističe hitnu potrebu za postupnim ukidanjem subvencija štetnih za okoliš i zdravlje te poziva na bolje usmjeravanje financijskih poticaja, posebno u poljoprivredi, kako bi se nagradilo pružanje javnih dobara;</w:t>
      </w:r>
    </w:p>
    <w:p w:rsidRPr="00150BA4" w:rsidR="00150BA4" w:rsidP="009A59C4" w:rsidRDefault="00150BA4" w14:paraId="023C6E65" w14:textId="77777777">
      <w:pPr>
        <w:numPr>
          <w:ilvl w:val="0"/>
          <w:numId w:val="46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</w:pPr>
      <w:r>
        <w:t>naglašava da se postojeće zakonodavstvo EU-a u području okoliša često loše provodi i poziva na snažniju provedbu, bolju upotrebu postojećih alata te bolju dodjelu i praćenje financiranja;</w:t>
      </w:r>
    </w:p>
    <w:p w:rsidRPr="00150BA4" w:rsidR="00150BA4" w:rsidP="009A59C4" w:rsidRDefault="00150BA4" w14:paraId="6363BF5A" w14:textId="77777777">
      <w:pPr>
        <w:numPr>
          <w:ilvl w:val="0"/>
          <w:numId w:val="46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</w:pPr>
      <w:r>
        <w:t xml:space="preserve">ustraje na strukturiranom i </w:t>
      </w:r>
      <w:proofErr w:type="spellStart"/>
      <w:r>
        <w:t>uključivom</w:t>
      </w:r>
      <w:proofErr w:type="spellEnd"/>
      <w:r>
        <w:t xml:space="preserve"> sudjelovanju civilnog društva u oblikovanju politike zaštite okoliša kako bi se osigurale pravednost, legitimnost i snažnija javna potpora, posebno na lokalnoj razini;</w:t>
      </w:r>
    </w:p>
    <w:p w:rsidRPr="00150BA4" w:rsidR="00150BA4" w:rsidP="009A59C4" w:rsidRDefault="00150BA4" w14:paraId="04B0D56A" w14:textId="77777777">
      <w:pPr>
        <w:numPr>
          <w:ilvl w:val="0"/>
          <w:numId w:val="46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</w:pPr>
      <w:r>
        <w:t>kritizira sporo praćenje obveza EU-a u pogledu angažmana građana i poziva na brzu provedbu participativnih okvira kao što su energetski paket za građane i inicijative pod vodstvom zajednice;</w:t>
      </w:r>
    </w:p>
    <w:p w:rsidRPr="00150BA4" w:rsidR="00150BA4" w:rsidP="009A59C4" w:rsidRDefault="00150BA4" w14:paraId="0EF7F557" w14:textId="77777777">
      <w:pPr>
        <w:numPr>
          <w:ilvl w:val="0"/>
          <w:numId w:val="46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</w:pPr>
      <w:r>
        <w:t>preporučuje oslanjanje na uspješne primjere kao što su Platforma za kružno gospodarstvo i nacionalni strateški dijalozi kako bi se bolje integriralo znanje odozdo prema gore i premostio jaz između institucija i društva.</w:t>
      </w:r>
    </w:p>
    <w:p w:rsidRPr="00150BA4" w:rsidR="00150BA4" w:rsidP="00D94D34" w:rsidRDefault="00150BA4" w14:paraId="598BB610" w14:textId="77777777">
      <w:pPr>
        <w:widowControl w:val="0"/>
        <w:overflowPunct w:val="0"/>
        <w:autoSpaceDE w:val="0"/>
        <w:autoSpaceDN w:val="0"/>
        <w:adjustRightInd w:val="0"/>
        <w:ind w:left="709"/>
        <w:textAlignment w:val="baseline"/>
        <w:rPr>
          <w:szCs w:val="20"/>
          <w:lang w:val="en-GB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243"/>
        <w:gridCol w:w="8046"/>
      </w:tblGrid>
      <w:tr w:rsidRPr="00150BA4" w:rsidR="00150BA4" w:rsidTr="000E6823" w14:paraId="08D1D451" w14:textId="77777777">
        <w:tc>
          <w:tcPr>
            <w:tcW w:w="669" w:type="pct"/>
          </w:tcPr>
          <w:p w:rsidRPr="00150BA4" w:rsidR="00150BA4" w:rsidP="00D94D34" w:rsidRDefault="00150BA4" w14:paraId="5FD46B23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b/>
                <w:i/>
              </w:rPr>
              <w:lastRenderedPageBreak/>
              <w:t>Kontakt:</w:t>
            </w:r>
          </w:p>
        </w:tc>
        <w:tc>
          <w:tcPr>
            <w:tcW w:w="4331" w:type="pct"/>
          </w:tcPr>
          <w:p w:rsidRPr="00150BA4" w:rsidR="00150BA4" w:rsidP="00D94D34" w:rsidRDefault="00150BA4" w14:paraId="731F0A0F" w14:textId="5ACDB4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Nicolas Stenger</w:t>
            </w:r>
          </w:p>
        </w:tc>
      </w:tr>
      <w:tr w:rsidRPr="00150BA4" w:rsidR="00150BA4" w:rsidTr="000E6823" w14:paraId="6E6CC1A8" w14:textId="77777777">
        <w:tc>
          <w:tcPr>
            <w:tcW w:w="669" w:type="pct"/>
          </w:tcPr>
          <w:p w:rsidRPr="00150BA4" w:rsidR="00150BA4" w:rsidP="00D94D34" w:rsidRDefault="00150BA4" w14:paraId="74CAEC6F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4331" w:type="pct"/>
          </w:tcPr>
          <w:p w:rsidRPr="00150BA4" w:rsidR="00150BA4" w:rsidP="00D94D34" w:rsidRDefault="00150BA4" w14:paraId="27DD4354" w14:textId="2FE54E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+32 25468152</w:t>
            </w:r>
          </w:p>
        </w:tc>
      </w:tr>
      <w:tr w:rsidRPr="00150BA4" w:rsidR="00150BA4" w:rsidTr="000E6823" w14:paraId="136B28B6" w14:textId="77777777">
        <w:tc>
          <w:tcPr>
            <w:tcW w:w="669" w:type="pct"/>
          </w:tcPr>
          <w:p w:rsidRPr="00150BA4" w:rsidR="00150BA4" w:rsidP="00D94D34" w:rsidRDefault="00150BA4" w14:paraId="5D4E498F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E-pošta</w:t>
            </w:r>
            <w:r>
              <w:rPr>
                <w:i/>
                <w:iCs/>
              </w:rPr>
              <w:t>:</w:t>
            </w:r>
          </w:p>
        </w:tc>
        <w:tc>
          <w:tcPr>
            <w:tcW w:w="4331" w:type="pct"/>
          </w:tcPr>
          <w:p w:rsidRPr="00150BA4" w:rsidR="00150BA4" w:rsidP="00D94D34" w:rsidRDefault="00342135" w14:paraId="1F68D2C9" w14:textId="00038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hyperlink w:history="1" r:id="rId55">
              <w:r w:rsidR="00CB5DFF">
                <w:rPr>
                  <w:i/>
                  <w:color w:val="0000FF"/>
                  <w:u w:val="single"/>
                </w:rPr>
                <w:t>Nicolas.Stenger@eesc.europa.eu</w:t>
              </w:r>
            </w:hyperlink>
          </w:p>
        </w:tc>
      </w:tr>
    </w:tbl>
    <w:p w:rsidR="00150BA4" w:rsidP="00D94D34" w:rsidRDefault="00150BA4" w14:paraId="64FC7459" w14:textId="5AE4A6C7">
      <w:pPr>
        <w:jc w:val="left"/>
        <w:rPr>
          <w:lang w:val="en-GB"/>
        </w:rPr>
      </w:pPr>
    </w:p>
    <w:p w:rsidR="000F00DC" w:rsidP="00D94D34" w:rsidRDefault="000F00DC" w14:paraId="10DEF770" w14:textId="77777777">
      <w:pPr>
        <w:jc w:val="left"/>
        <w:rPr>
          <w:lang w:val="en-GB"/>
        </w:rPr>
      </w:pPr>
    </w:p>
    <w:p w:rsidRPr="00BC2C29" w:rsidR="00BC2C29" w:rsidP="00D94D34" w:rsidRDefault="00342135" w14:paraId="3E81FE9C" w14:textId="2092DD1C">
      <w:pPr>
        <w:numPr>
          <w:ilvl w:val="0"/>
          <w:numId w:val="19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i/>
          <w:iCs/>
        </w:rPr>
      </w:pPr>
      <w:hyperlink w:history="1" r:id="rId56">
        <w:r w:rsidR="00CB5DFF">
          <w:rPr>
            <w:b/>
            <w:i/>
            <w:color w:val="0000FF"/>
            <w:sz w:val="28"/>
            <w:u w:val="single"/>
          </w:rPr>
          <w:t>Paket mjera EU-a za vino</w:t>
        </w:r>
      </w:hyperlink>
    </w:p>
    <w:p w:rsidRPr="000F00DC" w:rsidR="00BC2C29" w:rsidP="00D94D34" w:rsidRDefault="00BC2C29" w14:paraId="1C1189E1" w14:textId="77777777">
      <w:pPr>
        <w:widowControl w:val="0"/>
        <w:overflowPunct w:val="0"/>
        <w:autoSpaceDE w:val="0"/>
        <w:autoSpaceDN w:val="0"/>
        <w:adjustRightInd w:val="0"/>
        <w:ind w:left="567"/>
        <w:textAlignment w:val="baseline"/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1701"/>
        <w:gridCol w:w="7621"/>
      </w:tblGrid>
      <w:tr w:rsidRPr="00BC2C29" w:rsidR="00BC2C29" w:rsidTr="000E6823" w14:paraId="3B273F81" w14:textId="77777777">
        <w:tc>
          <w:tcPr>
            <w:tcW w:w="1701" w:type="dxa"/>
          </w:tcPr>
          <w:p w:rsidRPr="00BC2C29" w:rsidR="00BC2C29" w:rsidP="00D94D34" w:rsidRDefault="00BC2C29" w14:paraId="67E34318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Izvjestitelj/ica:</w:t>
            </w:r>
          </w:p>
        </w:tc>
        <w:tc>
          <w:tcPr>
            <w:tcW w:w="7621" w:type="dxa"/>
          </w:tcPr>
          <w:p w:rsidRPr="00BC2C29" w:rsidR="00BC2C29" w:rsidP="00D94D34" w:rsidRDefault="00BC2C29" w14:paraId="1491DF11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bCs/>
              </w:rPr>
            </w:pPr>
            <w:proofErr w:type="spellStart"/>
            <w:r>
              <w:t>Josep</w:t>
            </w:r>
            <w:proofErr w:type="spellEnd"/>
            <w:r>
              <w:t xml:space="preserve"> PUXEU ROCAMORA (Skupina poslodavaca – ES)</w:t>
            </w:r>
          </w:p>
        </w:tc>
      </w:tr>
      <w:tr w:rsidRPr="00BC2C29" w:rsidR="00BC2C29" w:rsidTr="000E6823" w14:paraId="37A8BD6E" w14:textId="77777777">
        <w:tc>
          <w:tcPr>
            <w:tcW w:w="1701" w:type="dxa"/>
          </w:tcPr>
          <w:p w:rsidRPr="00BC2C29" w:rsidR="00BC2C29" w:rsidP="00D94D34" w:rsidRDefault="00BC2C29" w14:paraId="6323D86B" w14:textId="5F1528C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Referentni dokumenti/i:</w:t>
            </w:r>
          </w:p>
        </w:tc>
        <w:tc>
          <w:tcPr>
            <w:tcW w:w="7621" w:type="dxa"/>
          </w:tcPr>
          <w:p w:rsidR="008A7881" w:rsidP="00D94D34" w:rsidRDefault="008A7881" w14:paraId="1DBFD023" w14:textId="29184394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 xml:space="preserve">COM(2025) 137 </w:t>
            </w:r>
            <w:proofErr w:type="spellStart"/>
            <w:r>
              <w:t>final</w:t>
            </w:r>
            <w:proofErr w:type="spellEnd"/>
          </w:p>
          <w:p w:rsidRPr="00BC2C29" w:rsidR="00BC2C29" w:rsidP="00D94D34" w:rsidRDefault="00BC2C29" w14:paraId="71327468" w14:textId="48EBEBBF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EESC-2025-01257-00-00-AC</w:t>
            </w:r>
          </w:p>
        </w:tc>
      </w:tr>
    </w:tbl>
    <w:p w:rsidRPr="000F00DC" w:rsidR="00BC2C29" w:rsidP="00D94D34" w:rsidRDefault="00BC2C29" w14:paraId="5F780458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</w:pPr>
    </w:p>
    <w:p w:rsidRPr="00BC2C29" w:rsidR="00BC2C29" w:rsidP="00D94D34" w:rsidRDefault="00BC2C29" w14:paraId="1A4B8694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Ključne točke</w:t>
      </w:r>
    </w:p>
    <w:p w:rsidRPr="000F00DC" w:rsidR="00BC2C29" w:rsidP="00D94D34" w:rsidRDefault="00BC2C29" w14:paraId="5E7690BD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</w:pPr>
    </w:p>
    <w:p w:rsidR="00BC2C29" w:rsidP="00D94D34" w:rsidRDefault="00BC2C29" w14:paraId="059B8C9D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EGSO:</w:t>
      </w:r>
    </w:p>
    <w:p w:rsidRPr="00BC2C29" w:rsidR="00BC2C29" w:rsidP="009A59C4" w:rsidRDefault="00BC2C29" w14:paraId="3B6E105E" w14:textId="77777777">
      <w:pPr>
        <w:numPr>
          <w:ilvl w:val="0"/>
          <w:numId w:val="46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szCs w:val="20"/>
        </w:rPr>
      </w:pPr>
      <w:r>
        <w:t xml:space="preserve">naglašava </w:t>
      </w:r>
      <w:r>
        <w:rPr>
          <w:b/>
          <w:bCs/>
        </w:rPr>
        <w:t>socioekonomsku važnost sektora vina</w:t>
      </w:r>
      <w:r>
        <w:t xml:space="preserve"> za Europsku uniju, koji nudi ukupno 2,9 milijuna radnih mjesta i pokazuje </w:t>
      </w:r>
      <w:r>
        <w:rPr>
          <w:b/>
          <w:bCs/>
        </w:rPr>
        <w:t>iznimno veliku produktivnost</w:t>
      </w:r>
      <w:r>
        <w:t xml:space="preserve">. Osim toga, vinogradarska gospodarstva su 15 % </w:t>
      </w:r>
      <w:r>
        <w:rPr>
          <w:b/>
          <w:bCs/>
        </w:rPr>
        <w:t>profitabilnija</w:t>
      </w:r>
      <w:r>
        <w:t xml:space="preserve"> od prosječnog poljoprivrednog gospodarstva u EU-u i </w:t>
      </w:r>
      <w:r>
        <w:rPr>
          <w:b/>
          <w:bCs/>
        </w:rPr>
        <w:t>ljudima koji žive u ruralnim područjima nude održivu gospodarsku opciju</w:t>
      </w:r>
      <w:r>
        <w:t xml:space="preserve">, dok ujedno u društvu predstavljaju etabliranu </w:t>
      </w:r>
      <w:r>
        <w:rPr>
          <w:b/>
          <w:bCs/>
        </w:rPr>
        <w:t>kulturnu tradiciju</w:t>
      </w:r>
      <w:r>
        <w:t>;</w:t>
      </w:r>
    </w:p>
    <w:p w:rsidRPr="00BC2C29" w:rsidR="00BC2C29" w:rsidP="009A59C4" w:rsidRDefault="00BC2C29" w14:paraId="0876BBDF" w14:textId="77777777">
      <w:pPr>
        <w:numPr>
          <w:ilvl w:val="0"/>
          <w:numId w:val="46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szCs w:val="20"/>
        </w:rPr>
      </w:pPr>
      <w:r>
        <w:t xml:space="preserve">traži od Europske komisije da obrani vinsku kulturu pružanjem djelotvorne potpore provedbi programa za </w:t>
      </w:r>
      <w:r>
        <w:rPr>
          <w:b/>
          <w:bCs/>
        </w:rPr>
        <w:t>senzibilizaciju potrošača o informiranoj i odgovornoj konzumaciji vina</w:t>
      </w:r>
      <w:r>
        <w:t>;</w:t>
      </w:r>
    </w:p>
    <w:p w:rsidRPr="00BC2C29" w:rsidR="00BC2C29" w:rsidP="009A59C4" w:rsidRDefault="00BC2C29" w14:paraId="4E1205B2" w14:textId="77777777">
      <w:pPr>
        <w:numPr>
          <w:ilvl w:val="0"/>
          <w:numId w:val="46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szCs w:val="20"/>
        </w:rPr>
      </w:pPr>
      <w:r>
        <w:t xml:space="preserve">traži da potpora u vidu politika bude popraćena </w:t>
      </w:r>
      <w:r>
        <w:rPr>
          <w:b/>
          <w:bCs/>
        </w:rPr>
        <w:t>ambicioznim proračunom</w:t>
      </w:r>
      <w:r>
        <w:t xml:space="preserve"> za intervencije u sektoru vina;</w:t>
      </w:r>
    </w:p>
    <w:p w:rsidRPr="00BC2C29" w:rsidR="00BC2C29" w:rsidP="009A59C4" w:rsidRDefault="00BC2C29" w14:paraId="24715389" w14:textId="77777777">
      <w:pPr>
        <w:numPr>
          <w:ilvl w:val="0"/>
          <w:numId w:val="46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szCs w:val="20"/>
        </w:rPr>
      </w:pPr>
      <w:r>
        <w:t xml:space="preserve">naglašava važnost razvoja </w:t>
      </w:r>
      <w:r>
        <w:rPr>
          <w:b/>
          <w:bCs/>
        </w:rPr>
        <w:t>obrazovnih programa</w:t>
      </w:r>
      <w:r>
        <w:t xml:space="preserve"> i </w:t>
      </w:r>
      <w:r>
        <w:rPr>
          <w:b/>
          <w:bCs/>
        </w:rPr>
        <w:t>istraživačkih i razvojnih projekata</w:t>
      </w:r>
      <w:r>
        <w:t xml:space="preserve"> radi pružanja potpore poduzećima i radnicima u sektoru vina tijekom tranzicije kroz koju taj sektor prolazi;</w:t>
      </w:r>
    </w:p>
    <w:p w:rsidRPr="00BC2C29" w:rsidR="00BC2C29" w:rsidP="009A59C4" w:rsidRDefault="00BC2C29" w14:paraId="2A9E6864" w14:textId="77777777">
      <w:pPr>
        <w:numPr>
          <w:ilvl w:val="0"/>
          <w:numId w:val="46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szCs w:val="20"/>
        </w:rPr>
      </w:pPr>
      <w:r>
        <w:t>iako se slaže da bi buduće strategije sadnje trebale doprinositi prilagođavanju proizvodnog potencijala potražnji na tržištu, smatra da je popis ograničenja iz prijedloga Europske komisije previše restriktivan i možda ne odgovara svim situacijama;</w:t>
      </w:r>
    </w:p>
    <w:p w:rsidRPr="00BC2C29" w:rsidR="00BC2C29" w:rsidP="009A59C4" w:rsidRDefault="00BC2C29" w14:paraId="1A1791F5" w14:textId="77777777">
      <w:pPr>
        <w:numPr>
          <w:ilvl w:val="0"/>
          <w:numId w:val="46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szCs w:val="20"/>
        </w:rPr>
      </w:pPr>
      <w:r>
        <w:t xml:space="preserve">pozdravlja prijedlog Komisije da se </w:t>
      </w:r>
      <w:r>
        <w:rPr>
          <w:b/>
          <w:bCs/>
        </w:rPr>
        <w:t>produlji razdoblje valjanosti odobrenja za ponovnu sadnju</w:t>
      </w:r>
      <w:r>
        <w:t xml:space="preserve">, ali preporučuje da se ono ograniči na </w:t>
      </w:r>
      <w:r>
        <w:rPr>
          <w:b/>
          <w:bCs/>
        </w:rPr>
        <w:t>šest godina</w:t>
      </w:r>
      <w:r>
        <w:t xml:space="preserve"> i pozdravlja odobravanje nacionalnih plaćanja za dobrovoljnu zelenu berbu i dobrovoljno krčenje proizvodnih vinograda;</w:t>
      </w:r>
    </w:p>
    <w:p w:rsidRPr="00BC2C29" w:rsidR="00BC2C29" w:rsidP="009A59C4" w:rsidRDefault="00BC2C29" w14:paraId="15471E60" w14:textId="77777777">
      <w:pPr>
        <w:numPr>
          <w:ilvl w:val="0"/>
          <w:numId w:val="46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szCs w:val="20"/>
        </w:rPr>
      </w:pPr>
      <w:r>
        <w:t xml:space="preserve">ne podržava prijedlog da se u prezentaciji </w:t>
      </w:r>
      <w:proofErr w:type="spellStart"/>
      <w:r>
        <w:t>dealkoholiziranih</w:t>
      </w:r>
      <w:proofErr w:type="spellEnd"/>
      <w:r>
        <w:t xml:space="preserve"> i djelomično </w:t>
      </w:r>
      <w:proofErr w:type="spellStart"/>
      <w:r>
        <w:t>dealkoholiziranih</w:t>
      </w:r>
      <w:proofErr w:type="spellEnd"/>
      <w:r>
        <w:t xml:space="preserve"> vina obavezno koristi izraz „proizveden </w:t>
      </w:r>
      <w:proofErr w:type="spellStart"/>
      <w:r>
        <w:t>dealkoholizacijom</w:t>
      </w:r>
      <w:proofErr w:type="spellEnd"/>
      <w:r>
        <w:t>”;</w:t>
      </w:r>
    </w:p>
    <w:p w:rsidRPr="00BC2C29" w:rsidR="00BC2C29" w:rsidP="009A59C4" w:rsidRDefault="00BC2C29" w14:paraId="64650F75" w14:textId="77777777">
      <w:pPr>
        <w:numPr>
          <w:ilvl w:val="0"/>
          <w:numId w:val="46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szCs w:val="20"/>
        </w:rPr>
      </w:pPr>
      <w:r>
        <w:t>preporučuje</w:t>
      </w:r>
      <w:r>
        <w:rPr>
          <w:b/>
          <w:bCs/>
        </w:rPr>
        <w:t xml:space="preserve"> ukidanje obveznog navođenja popisa sastojaka</w:t>
      </w:r>
      <w:r>
        <w:t xml:space="preserve"> i nutritivne deklaracije </w:t>
      </w:r>
      <w:r>
        <w:rPr>
          <w:b/>
        </w:rPr>
        <w:t>kada se vina iz EU-a izvoze izvan EU-a</w:t>
      </w:r>
      <w:r>
        <w:t>;</w:t>
      </w:r>
    </w:p>
    <w:p w:rsidRPr="00BC2C29" w:rsidR="00BC2C29" w:rsidP="009A59C4" w:rsidRDefault="00BC2C29" w14:paraId="140ED964" w14:textId="77777777">
      <w:pPr>
        <w:numPr>
          <w:ilvl w:val="0"/>
          <w:numId w:val="46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szCs w:val="20"/>
        </w:rPr>
      </w:pPr>
      <w:r>
        <w:t xml:space="preserve">predlaže da se u mjere na koje se ta ograničenja odnose uključi i </w:t>
      </w:r>
      <w:r>
        <w:rPr>
          <w:b/>
          <w:bCs/>
        </w:rPr>
        <w:t>dobrovoljno krčenje</w:t>
      </w:r>
      <w:r>
        <w:t xml:space="preserve"> i da korisnici plaćanja za destilaciju u kriznom slučaju nemaju pravo ni na jedan drugi program potpore za vino u razdoblju od tri godine;</w:t>
      </w:r>
    </w:p>
    <w:p w:rsidRPr="00BC2C29" w:rsidR="00BC2C29" w:rsidP="009A59C4" w:rsidRDefault="00BC2C29" w14:paraId="18B69BA9" w14:textId="77777777">
      <w:pPr>
        <w:numPr>
          <w:ilvl w:val="0"/>
          <w:numId w:val="46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szCs w:val="20"/>
        </w:rPr>
      </w:pPr>
      <w:r>
        <w:t xml:space="preserve">pozdravlja prijedlog Europske komisije da se </w:t>
      </w:r>
      <w:r>
        <w:rPr>
          <w:b/>
          <w:bCs/>
        </w:rPr>
        <w:t>promiče vinski turizam</w:t>
      </w:r>
      <w:r>
        <w:t>;</w:t>
      </w:r>
    </w:p>
    <w:p w:rsidRPr="00BC2C29" w:rsidR="00BC2C29" w:rsidP="009A59C4" w:rsidRDefault="00BC2C29" w14:paraId="307E5D11" w14:textId="77777777">
      <w:pPr>
        <w:numPr>
          <w:ilvl w:val="0"/>
          <w:numId w:val="46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szCs w:val="20"/>
        </w:rPr>
      </w:pPr>
      <w:r>
        <w:t xml:space="preserve">pozdravlja moguće </w:t>
      </w:r>
      <w:r>
        <w:rPr>
          <w:b/>
          <w:bCs/>
        </w:rPr>
        <w:t>povećanje financijske pomoći EU-a</w:t>
      </w:r>
      <w:r>
        <w:t xml:space="preserve"> do 80 % za troškove ulaganja </w:t>
      </w:r>
      <w:r>
        <w:rPr>
          <w:b/>
          <w:bCs/>
        </w:rPr>
        <w:t>povezane s ublažavanjem i prilagodbom tim promjenama</w:t>
      </w:r>
      <w:r>
        <w:t>;</w:t>
      </w:r>
    </w:p>
    <w:p w:rsidRPr="00BC2C29" w:rsidR="00BC2C29" w:rsidP="009A59C4" w:rsidRDefault="00BC2C29" w14:paraId="7AC51144" w14:textId="77777777">
      <w:pPr>
        <w:numPr>
          <w:ilvl w:val="0"/>
          <w:numId w:val="46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szCs w:val="20"/>
        </w:rPr>
      </w:pPr>
      <w:r>
        <w:t>predlaže da se u slučaju iznimnih okolnosti na izvoznim tržištima ili u slučaju krize koja pogađa tržišta trećih zemalja na koja se izvozi više od 15 % vina iz EU-a financijska pomoć Unije za promidžbene i komunikacijske aktivnosti poveća na do 80 % prihvatljivih rashoda.</w:t>
      </w:r>
    </w:p>
    <w:p w:rsidRPr="00BC2C29" w:rsidR="00BC2C29" w:rsidP="00D94D34" w:rsidRDefault="00BC2C29" w14:paraId="75345177" w14:textId="77777777">
      <w:pPr>
        <w:overflowPunct w:val="0"/>
        <w:autoSpaceDE w:val="0"/>
        <w:autoSpaceDN w:val="0"/>
        <w:adjustRightInd w:val="0"/>
        <w:textAlignment w:val="baseline"/>
        <w:rPr>
          <w:sz w:val="16"/>
          <w:szCs w:val="16"/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34"/>
        <w:gridCol w:w="7546"/>
      </w:tblGrid>
      <w:tr w:rsidRPr="00BC2C29" w:rsidR="00BC2C29" w:rsidTr="000E6823" w14:paraId="1A959950" w14:textId="77777777">
        <w:tc>
          <w:tcPr>
            <w:tcW w:w="1634" w:type="dxa"/>
          </w:tcPr>
          <w:p w:rsidRPr="00BC2C29" w:rsidR="00BC2C29" w:rsidP="009A59C4" w:rsidRDefault="00BC2C29" w14:paraId="7326347E" w14:textId="77777777">
            <w:pPr>
              <w:overflowPunct w:val="0"/>
              <w:autoSpaceDE w:val="0"/>
              <w:autoSpaceDN w:val="0"/>
              <w:adjustRightInd w:val="0"/>
              <w:ind w:left="709" w:hanging="709"/>
              <w:textAlignment w:val="baseline"/>
              <w:rPr>
                <w:i/>
                <w:iCs/>
              </w:rPr>
            </w:pPr>
            <w:r>
              <w:rPr>
                <w:b/>
                <w:i/>
              </w:rPr>
              <w:t>Kontakt:</w:t>
            </w:r>
          </w:p>
        </w:tc>
        <w:tc>
          <w:tcPr>
            <w:tcW w:w="7546" w:type="dxa"/>
          </w:tcPr>
          <w:p w:rsidRPr="000E6823" w:rsidR="00BC2C29" w:rsidP="009A59C4" w:rsidRDefault="00BC2C29" w14:paraId="1BB8C621" w14:textId="77777777">
            <w:pPr>
              <w:overflowPunct w:val="0"/>
              <w:autoSpaceDE w:val="0"/>
              <w:autoSpaceDN w:val="0"/>
              <w:adjustRightInd w:val="0"/>
              <w:ind w:left="709" w:hanging="709"/>
              <w:textAlignment w:val="baseline"/>
              <w:rPr>
                <w:i/>
                <w:iCs/>
              </w:rPr>
            </w:pPr>
            <w:proofErr w:type="spellStart"/>
            <w:r>
              <w:rPr>
                <w:i/>
              </w:rPr>
              <w:t>Gaizka</w:t>
            </w:r>
            <w:proofErr w:type="spellEnd"/>
            <w:r>
              <w:rPr>
                <w:i/>
              </w:rPr>
              <w:t xml:space="preserve"> MALO, </w:t>
            </w:r>
            <w:proofErr w:type="spellStart"/>
            <w:r>
              <w:rPr>
                <w:i/>
              </w:rPr>
              <w:t>Myrto</w:t>
            </w:r>
            <w:proofErr w:type="spellEnd"/>
            <w:r>
              <w:rPr>
                <w:i/>
              </w:rPr>
              <w:t xml:space="preserve"> KOLYVA</w:t>
            </w:r>
          </w:p>
        </w:tc>
      </w:tr>
      <w:tr w:rsidRPr="00BC2C29" w:rsidR="00BC2C29" w:rsidTr="000E6823" w14:paraId="56A384D0" w14:textId="77777777">
        <w:tc>
          <w:tcPr>
            <w:tcW w:w="1634" w:type="dxa"/>
          </w:tcPr>
          <w:p w:rsidRPr="00BC2C29" w:rsidR="00BC2C29" w:rsidP="009A59C4" w:rsidRDefault="00BC2C29" w14:paraId="782743D0" w14:textId="77777777">
            <w:pPr>
              <w:overflowPunct w:val="0"/>
              <w:autoSpaceDE w:val="0"/>
              <w:autoSpaceDN w:val="0"/>
              <w:adjustRightInd w:val="0"/>
              <w:ind w:left="709" w:hanging="709"/>
              <w:textAlignment w:val="baseline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7546" w:type="dxa"/>
          </w:tcPr>
          <w:p w:rsidRPr="00BC2C29" w:rsidR="00BC2C29" w:rsidP="009A59C4" w:rsidRDefault="00BC2C29" w14:paraId="156173C8" w14:textId="3D3934A4">
            <w:pPr>
              <w:overflowPunct w:val="0"/>
              <w:autoSpaceDE w:val="0"/>
              <w:autoSpaceDN w:val="0"/>
              <w:adjustRightInd w:val="0"/>
              <w:ind w:left="709" w:hanging="709"/>
              <w:textAlignment w:val="baseline"/>
              <w:rPr>
                <w:i/>
                <w:iCs/>
              </w:rPr>
            </w:pPr>
            <w:r>
              <w:rPr>
                <w:i/>
              </w:rPr>
              <w:t>+32 25468526, +3225468718</w:t>
            </w:r>
          </w:p>
        </w:tc>
      </w:tr>
      <w:tr w:rsidRPr="00BC2C29" w:rsidR="00BC2C29" w:rsidTr="000E6823" w14:paraId="40B0FB1E" w14:textId="77777777">
        <w:tc>
          <w:tcPr>
            <w:tcW w:w="1634" w:type="dxa"/>
          </w:tcPr>
          <w:p w:rsidRPr="00BC2C29" w:rsidR="00BC2C29" w:rsidP="009A59C4" w:rsidRDefault="00BC2C29" w14:paraId="5A2B1280" w14:textId="7D127D43">
            <w:pPr>
              <w:overflowPunct w:val="0"/>
              <w:autoSpaceDE w:val="0"/>
              <w:autoSpaceDN w:val="0"/>
              <w:adjustRightInd w:val="0"/>
              <w:ind w:left="709" w:hanging="709"/>
              <w:textAlignment w:val="baseline"/>
              <w:rPr>
                <w:i/>
              </w:rPr>
            </w:pPr>
            <w:r>
              <w:rPr>
                <w:i/>
              </w:rPr>
              <w:t>E-pošta</w:t>
            </w:r>
            <w:r>
              <w:rPr>
                <w:i/>
                <w:iCs/>
              </w:rPr>
              <w:t>:</w:t>
            </w:r>
          </w:p>
        </w:tc>
        <w:tc>
          <w:tcPr>
            <w:tcW w:w="7546" w:type="dxa"/>
          </w:tcPr>
          <w:p w:rsidRPr="00BC2C29" w:rsidR="00BC2C29" w:rsidP="009A59C4" w:rsidRDefault="00342135" w14:paraId="4171AAC4" w14:textId="3F1496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color w:val="0000FF"/>
                <w:u w:val="single"/>
              </w:rPr>
            </w:pPr>
            <w:hyperlink w:history="1" r:id="rId57">
              <w:r w:rsidR="00BC2C29">
                <w:rPr>
                  <w:i/>
                  <w:color w:val="0000FF"/>
                  <w:u w:val="single"/>
                </w:rPr>
                <w:t>Gaizka.MaloElcoro-Iribe@eesc.europa.eu</w:t>
              </w:r>
            </w:hyperlink>
            <w:r w:rsidR="00BC2C29">
              <w:t xml:space="preserve">, </w:t>
            </w:r>
            <w:hyperlink w:history="1" r:id="rId58">
              <w:r w:rsidR="00BC2C29">
                <w:rPr>
                  <w:rStyle w:val="Hyperlink"/>
                  <w:i/>
                </w:rPr>
                <w:t>Myrto.Kolyva@eesc.europa.eu</w:t>
              </w:r>
            </w:hyperlink>
          </w:p>
        </w:tc>
      </w:tr>
    </w:tbl>
    <w:p w:rsidR="00BC2C29" w:rsidP="00D94D34" w:rsidRDefault="00BC2C29" w14:paraId="3F4C7A2B" w14:textId="54C740AE">
      <w:pPr>
        <w:jc w:val="left"/>
        <w:rPr>
          <w:lang w:val="en-GB"/>
        </w:rPr>
      </w:pPr>
    </w:p>
    <w:p w:rsidR="00BC2C29" w:rsidP="00D94D34" w:rsidRDefault="00D94D34" w14:paraId="7DDC23F9" w14:textId="2105D277">
      <w:pPr>
        <w:jc w:val="left"/>
      </w:pPr>
      <w:r>
        <w:br w:type="page"/>
      </w:r>
    </w:p>
    <w:p w:rsidR="007F5784" w:rsidP="00D94D34" w:rsidRDefault="007F5784" w14:paraId="14026A78" w14:textId="4FAE1588">
      <w:pPr>
        <w:pStyle w:val="Heading1"/>
        <w:rPr>
          <w:b/>
        </w:rPr>
      </w:pPr>
      <w:bookmarkStart w:name="_Toc205373409" w:id="78"/>
      <w:r>
        <w:rPr>
          <w:b/>
        </w:rPr>
        <w:lastRenderedPageBreak/>
        <w:t>STRUČNA SKUPINA ZA VANJSKE ODNOSE</w:t>
      </w:r>
      <w:bookmarkEnd w:id="78"/>
    </w:p>
    <w:p w:rsidR="004E7ED8" w:rsidP="00D94D34" w:rsidRDefault="004E7ED8" w14:paraId="49F341ED" w14:textId="77777777">
      <w:pPr>
        <w:jc w:val="left"/>
      </w:pPr>
    </w:p>
    <w:p w:rsidRPr="004E7ED8" w:rsidR="004E7ED8" w:rsidP="00D94D34" w:rsidRDefault="00342135" w14:paraId="78181CD1" w14:textId="7767E510">
      <w:pPr>
        <w:widowControl w:val="0"/>
        <w:numPr>
          <w:ilvl w:val="0"/>
          <w:numId w:val="58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/>
          <w:bCs/>
          <w:i/>
          <w:iCs/>
          <w:sz w:val="28"/>
          <w:szCs w:val="28"/>
        </w:rPr>
      </w:pPr>
      <w:hyperlink w:history="1" r:id="rId59">
        <w:r w:rsidR="00CB5DFF">
          <w:rPr>
            <w:b/>
            <w:i/>
            <w:color w:val="0000FF"/>
            <w:sz w:val="28"/>
            <w:u w:val="single"/>
          </w:rPr>
          <w:t>Budućnost odnosa EU-a i Ujedinjene Kraljevine: preispitivanje Sporazuma o trgovini i suradnji 2026. iz perspektive civilnog društva</w:t>
        </w:r>
      </w:hyperlink>
    </w:p>
    <w:p w:rsidRPr="004E7ED8" w:rsidR="004E7ED8" w:rsidP="00D94D34" w:rsidRDefault="004E7ED8" w14:paraId="5016791B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Cs/>
          <w:lang w:val="en-GB"/>
        </w:rPr>
      </w:pPr>
    </w:p>
    <w:tbl>
      <w:tblPr>
        <w:tblW w:w="4922" w:type="pct"/>
        <w:tblLook w:val="04A0" w:firstRow="1" w:lastRow="0" w:firstColumn="1" w:lastColumn="0" w:noHBand="0" w:noVBand="1"/>
      </w:tblPr>
      <w:tblGrid>
        <w:gridCol w:w="2032"/>
        <w:gridCol w:w="7112"/>
      </w:tblGrid>
      <w:tr w:rsidRPr="004E7ED8" w:rsidR="004E7ED8" w:rsidTr="00BA1E82" w14:paraId="2F7972D3" w14:textId="77777777">
        <w:trPr>
          <w:trHeight w:val="445"/>
        </w:trPr>
        <w:tc>
          <w:tcPr>
            <w:tcW w:w="1111" w:type="pct"/>
          </w:tcPr>
          <w:p w:rsidRPr="004E7ED8" w:rsidR="004E7ED8" w:rsidP="00D94D34" w:rsidRDefault="004E7ED8" w14:paraId="0930F254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Izvjestitelj/ica:</w:t>
            </w:r>
          </w:p>
          <w:p w:rsidRPr="004E7ED8" w:rsidR="004E7ED8" w:rsidP="00D94D34" w:rsidRDefault="004E7ED8" w14:paraId="35CD3B1C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Suizvjestitelj/ica:</w:t>
            </w:r>
          </w:p>
        </w:tc>
        <w:tc>
          <w:tcPr>
            <w:tcW w:w="3889" w:type="pct"/>
          </w:tcPr>
          <w:p w:rsidRPr="00086E35" w:rsidR="004E7ED8" w:rsidP="00D94D34" w:rsidRDefault="004E7ED8" w14:paraId="1D617CA9" w14:textId="67CB7BBD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Tanja BUZEK (Skupina radnika – DE)</w:t>
            </w:r>
          </w:p>
          <w:p w:rsidRPr="000E6823" w:rsidR="004E7ED8" w:rsidP="00D94D34" w:rsidRDefault="004E7ED8" w14:paraId="3FF830EB" w14:textId="0456F54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Peter BYRNE (Skupina poslodavaca – IE)</w:t>
            </w:r>
          </w:p>
        </w:tc>
      </w:tr>
      <w:tr w:rsidRPr="004E7ED8" w:rsidR="004E7ED8" w:rsidTr="00BA1E82" w14:paraId="3EC4CAB9" w14:textId="77777777">
        <w:tc>
          <w:tcPr>
            <w:tcW w:w="1111" w:type="pct"/>
          </w:tcPr>
          <w:p w:rsidRPr="004E7ED8" w:rsidR="004E7ED8" w:rsidP="00D94D34" w:rsidRDefault="004E7ED8" w14:paraId="6136DF1E" w14:textId="21C0311F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Referentni dokument/i:</w:t>
            </w:r>
          </w:p>
        </w:tc>
        <w:tc>
          <w:tcPr>
            <w:tcW w:w="3889" w:type="pct"/>
          </w:tcPr>
          <w:p w:rsidR="004E7ED8" w:rsidP="00D94D34" w:rsidRDefault="004E7ED8" w14:paraId="413269F4" w14:textId="164C68BB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samoinicijativno mišljenje</w:t>
            </w:r>
          </w:p>
          <w:p w:rsidRPr="004E7ED8" w:rsidR="004E7ED8" w:rsidP="00D94D34" w:rsidRDefault="004E7ED8" w14:paraId="111A7345" w14:textId="1F0941EA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EESC-2025-00856-00-00-AC</w:t>
            </w:r>
          </w:p>
        </w:tc>
      </w:tr>
    </w:tbl>
    <w:p w:rsidRPr="000F00DC" w:rsidR="004E7ED8" w:rsidP="00D94D34" w:rsidRDefault="004E7ED8" w14:paraId="1EA1FEF0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</w:pPr>
    </w:p>
    <w:p w:rsidRPr="004E7ED8" w:rsidR="004E7ED8" w:rsidP="00D94D34" w:rsidRDefault="004E7ED8" w14:paraId="47BE0DF6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Ključne točke</w:t>
      </w:r>
    </w:p>
    <w:p w:rsidRPr="000F00DC" w:rsidR="004E7ED8" w:rsidP="00D94D34" w:rsidRDefault="004E7ED8" w14:paraId="612A68DD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</w:pPr>
    </w:p>
    <w:p w:rsidR="004E7ED8" w:rsidP="00D94D34" w:rsidRDefault="004E7ED8" w14:paraId="3305BF9A" w14:textId="77777777">
      <w:p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>EGSO:</w:t>
      </w:r>
    </w:p>
    <w:p w:rsidRPr="004E7ED8" w:rsidR="004E7ED8" w:rsidP="009A59C4" w:rsidRDefault="004E7ED8" w14:paraId="7E943E33" w14:textId="77777777">
      <w:pPr>
        <w:widowControl w:val="0"/>
        <w:numPr>
          <w:ilvl w:val="0"/>
          <w:numId w:val="59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szCs w:val="20"/>
        </w:rPr>
      </w:pPr>
      <w:r>
        <w:t xml:space="preserve">ističe </w:t>
      </w:r>
      <w:r>
        <w:rPr>
          <w:b/>
        </w:rPr>
        <w:t>jedinstvenu prirodu odnosa EU-a i Ujedinjene Kraljevine</w:t>
      </w:r>
      <w:r>
        <w:t xml:space="preserve"> koji se temelji ne samo na činjenici da su drugi najveći trgovinski partneri na svijetu već i na njihovoj </w:t>
      </w:r>
      <w:r>
        <w:rPr>
          <w:b/>
        </w:rPr>
        <w:t>blizini, zajedničkim interesima i znatnoj prisutnosti Ujedinjene Kraljevine u velikim europskim organizacijama civilnog društva</w:t>
      </w:r>
      <w:r>
        <w:t>;</w:t>
      </w:r>
    </w:p>
    <w:p w:rsidRPr="004E7ED8" w:rsidR="004E7ED8" w:rsidP="009A59C4" w:rsidRDefault="004E7ED8" w14:paraId="182320C4" w14:textId="77777777">
      <w:pPr>
        <w:widowControl w:val="0"/>
        <w:numPr>
          <w:ilvl w:val="0"/>
          <w:numId w:val="59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szCs w:val="20"/>
        </w:rPr>
      </w:pPr>
      <w:r>
        <w:t xml:space="preserve">pozdravlja </w:t>
      </w:r>
      <w:r>
        <w:rPr>
          <w:b/>
        </w:rPr>
        <w:t>nove mogućnosti koje proizlaze iz političkog „redefiniranja” utvrđenog na prvom sastanku na vrhu EU-a i Ujedinjene Kraljevine</w:t>
      </w:r>
      <w:r>
        <w:t>, uključujući</w:t>
      </w:r>
      <w:r>
        <w:rPr>
          <w:b/>
        </w:rPr>
        <w:t xml:space="preserve"> dublju suradnju i dinamično usklađivanje standarda</w:t>
      </w:r>
      <w:r>
        <w:t>, te poziva na održavanje posebnog sastanka na vrhu o socijalnom dijalogu između EU-a i Ujedinjene Kraljevine na kojem bi se u rasprave uključili socijalni partneri;</w:t>
      </w:r>
    </w:p>
    <w:p w:rsidRPr="004E7ED8" w:rsidR="004E7ED8" w:rsidP="009A59C4" w:rsidRDefault="004E7ED8" w14:paraId="16ACCAF5" w14:textId="77777777">
      <w:pPr>
        <w:widowControl w:val="0"/>
        <w:numPr>
          <w:ilvl w:val="0"/>
          <w:numId w:val="59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szCs w:val="20"/>
        </w:rPr>
      </w:pPr>
      <w:r>
        <w:t xml:space="preserve">pruža smjernice za ambiciozno </w:t>
      </w:r>
      <w:r>
        <w:rPr>
          <w:b/>
        </w:rPr>
        <w:t>preispitivanje Sporazuma o trgovini i suradnji koje nadilazi puko utvrđivanje područja primjene</w:t>
      </w:r>
      <w:r>
        <w:t xml:space="preserve"> i preporučuje </w:t>
      </w:r>
      <w:r>
        <w:rPr>
          <w:b/>
        </w:rPr>
        <w:t>davanje važne uloge unutarnjim savjetodavnim skupinama EU-a i Ujedinjene Kraljevine</w:t>
      </w:r>
      <w:r>
        <w:t xml:space="preserve"> u tom procesu zbog njihova praktičnog uvida i iskustva u pogledu učinaka sporazuma;</w:t>
      </w:r>
    </w:p>
    <w:p w:rsidRPr="004E7ED8" w:rsidR="004E7ED8" w:rsidP="009A59C4" w:rsidRDefault="004E7ED8" w14:paraId="7DF2E4FA" w14:textId="77777777">
      <w:pPr>
        <w:widowControl w:val="0"/>
        <w:numPr>
          <w:ilvl w:val="0"/>
          <w:numId w:val="59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szCs w:val="20"/>
        </w:rPr>
      </w:pPr>
      <w:r>
        <w:t xml:space="preserve">zalaže se za </w:t>
      </w:r>
      <w:r>
        <w:rPr>
          <w:b/>
        </w:rPr>
        <w:t>pojačanu regulatornu suradnju u području necarinskih prepreka</w:t>
      </w:r>
      <w:r>
        <w:t xml:space="preserve"> putem sveobuhvatnog sanitarnog i </w:t>
      </w:r>
      <w:proofErr w:type="spellStart"/>
      <w:r>
        <w:t>fitosanitarnog</w:t>
      </w:r>
      <w:proofErr w:type="spellEnd"/>
      <w:r>
        <w:t xml:space="preserve"> sporazuma, </w:t>
      </w:r>
      <w:r>
        <w:rPr>
          <w:b/>
        </w:rPr>
        <w:t>poboljšanog ostvarivanja prava potrošača</w:t>
      </w:r>
      <w:r>
        <w:t xml:space="preserve"> i </w:t>
      </w:r>
      <w:r>
        <w:rPr>
          <w:b/>
        </w:rPr>
        <w:t>uzajamnog priznavanja stručnih kvalifikacija, kemijskih standarda i ocjenjivanja sukladnosti</w:t>
      </w:r>
      <w:r>
        <w:t>;</w:t>
      </w:r>
    </w:p>
    <w:p w:rsidRPr="004E7ED8" w:rsidR="004E7ED8" w:rsidP="009A59C4" w:rsidRDefault="004E7ED8" w14:paraId="6A475210" w14:textId="77777777">
      <w:pPr>
        <w:widowControl w:val="0"/>
        <w:numPr>
          <w:ilvl w:val="0"/>
          <w:numId w:val="59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szCs w:val="20"/>
        </w:rPr>
      </w:pPr>
      <w:r>
        <w:t xml:space="preserve">poziva na </w:t>
      </w:r>
      <w:r>
        <w:rPr>
          <w:b/>
        </w:rPr>
        <w:t>poboljšane odredbe o mobilnosti za pružatelje usluga</w:t>
      </w:r>
      <w:r>
        <w:t xml:space="preserve"> kako bi se uklonila trenutačna ograničenja i potaknulo pošteno tržišno natjecanje i bolji pristup tržištu, čime bi se zajamčili visoki standardi zapošljavanja;</w:t>
      </w:r>
    </w:p>
    <w:p w:rsidRPr="004E7ED8" w:rsidR="004E7ED8" w:rsidP="009A59C4" w:rsidRDefault="004E7ED8" w14:paraId="4D242AC5" w14:textId="77777777">
      <w:pPr>
        <w:widowControl w:val="0"/>
        <w:numPr>
          <w:ilvl w:val="0"/>
          <w:numId w:val="59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szCs w:val="20"/>
        </w:rPr>
      </w:pPr>
      <w:r>
        <w:rPr>
          <w:b/>
        </w:rPr>
        <w:t>podsjeća da veća usklađenost regulatornih sustava smanjuje tenzije</w:t>
      </w:r>
      <w:r>
        <w:t xml:space="preserve"> i donosi znatne koristi te poziva na uspostavu posebne jedinice za procjenu razlika i zajedničkog portala EU-a i Ujedinjene Kraljevine za regulatorne informacije, što bi posebno koristilo MSP-ovima;</w:t>
      </w:r>
    </w:p>
    <w:p w:rsidRPr="004E7ED8" w:rsidR="004E7ED8" w:rsidP="009A59C4" w:rsidRDefault="004E7ED8" w14:paraId="7F89A42D" w14:textId="77777777">
      <w:pPr>
        <w:widowControl w:val="0"/>
        <w:numPr>
          <w:ilvl w:val="0"/>
          <w:numId w:val="59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szCs w:val="20"/>
        </w:rPr>
      </w:pPr>
      <w:r>
        <w:t xml:space="preserve">naglašava </w:t>
      </w:r>
      <w:r>
        <w:rPr>
          <w:b/>
        </w:rPr>
        <w:t xml:space="preserve">važnost očuvanja prava Sjeverne Irske i provedbe klauzula o </w:t>
      </w:r>
      <w:proofErr w:type="spellStart"/>
      <w:r>
        <w:rPr>
          <w:b/>
        </w:rPr>
        <w:t>neregresiji</w:t>
      </w:r>
      <w:proofErr w:type="spellEnd"/>
      <w:r>
        <w:rPr>
          <w:b/>
        </w:rPr>
        <w:t xml:space="preserve"> i jednakim uvjetima u okviru Sporazuma o trgovini i suradnji</w:t>
      </w:r>
      <w:r>
        <w:t>, uz poticanje redovitog dijaloga i suradnje u pogledu prava radnika i prava u području okoliša radi kontinuiranog napretka i usklađenosti;</w:t>
      </w:r>
    </w:p>
    <w:p w:rsidRPr="004E7ED8" w:rsidR="004E7ED8" w:rsidP="009A59C4" w:rsidRDefault="004E7ED8" w14:paraId="5E6C3FAB" w14:textId="77777777">
      <w:pPr>
        <w:widowControl w:val="0"/>
        <w:numPr>
          <w:ilvl w:val="0"/>
          <w:numId w:val="59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szCs w:val="20"/>
        </w:rPr>
      </w:pPr>
      <w:r>
        <w:t xml:space="preserve">naglašava </w:t>
      </w:r>
      <w:r>
        <w:rPr>
          <w:b/>
        </w:rPr>
        <w:t>uključivanje perspektive mladih u buduće sporazume</w:t>
      </w:r>
      <w:r>
        <w:t xml:space="preserve"> te se </w:t>
      </w:r>
      <w:r>
        <w:rPr>
          <w:b/>
        </w:rPr>
        <w:t>zalaže za pridruživanje Ujedinjene Kraljevine programu Erasmus+ i inicijativama za strukovno učenje i naukovanje</w:t>
      </w:r>
      <w:r>
        <w:t>, kao i za osiguravanje pristojnih uvjeta i mogućnosti za mlade.</w:t>
      </w:r>
    </w:p>
    <w:p w:rsidRPr="004E7ED8" w:rsidR="004E7ED8" w:rsidP="00D94D34" w:rsidRDefault="004E7ED8" w14:paraId="79D35D8E" w14:textId="77777777">
      <w:pPr>
        <w:widowControl w:val="0"/>
        <w:overflowPunct w:val="0"/>
        <w:autoSpaceDE w:val="0"/>
        <w:autoSpaceDN w:val="0"/>
        <w:adjustRightInd w:val="0"/>
        <w:ind w:left="709"/>
        <w:textAlignment w:val="baseline"/>
        <w:rPr>
          <w:lang w:val="en-GB"/>
        </w:rPr>
      </w:pPr>
    </w:p>
    <w:tbl>
      <w:tblPr>
        <w:tblW w:w="4941" w:type="pct"/>
        <w:tblLook w:val="04A0" w:firstRow="1" w:lastRow="0" w:firstColumn="1" w:lastColumn="0" w:noHBand="0" w:noVBand="1"/>
      </w:tblPr>
      <w:tblGrid>
        <w:gridCol w:w="1241"/>
        <w:gridCol w:w="7938"/>
      </w:tblGrid>
      <w:tr w:rsidRPr="004E7ED8" w:rsidR="004E7ED8" w:rsidTr="000E6823" w14:paraId="19187DC5" w14:textId="77777777">
        <w:tc>
          <w:tcPr>
            <w:tcW w:w="676" w:type="pct"/>
          </w:tcPr>
          <w:p w:rsidRPr="004E7ED8" w:rsidR="004E7ED8" w:rsidP="00D94D34" w:rsidRDefault="004E7ED8" w14:paraId="3CB91A01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b/>
                <w:i/>
              </w:rPr>
              <w:t>Kontakt:</w:t>
            </w:r>
          </w:p>
        </w:tc>
        <w:tc>
          <w:tcPr>
            <w:tcW w:w="4324" w:type="pct"/>
          </w:tcPr>
          <w:p w:rsidRPr="000E6823" w:rsidR="004E7ED8" w:rsidP="00D94D34" w:rsidRDefault="004E7ED8" w14:paraId="2427774D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</w:rPr>
            </w:pPr>
            <w:r>
              <w:rPr>
                <w:i/>
              </w:rPr>
              <w:t xml:space="preserve">Marco </w:t>
            </w:r>
            <w:proofErr w:type="spellStart"/>
            <w:r>
              <w:rPr>
                <w:i/>
              </w:rPr>
              <w:t>Ristori</w:t>
            </w:r>
            <w:proofErr w:type="spellEnd"/>
          </w:p>
        </w:tc>
      </w:tr>
      <w:tr w:rsidRPr="004E7ED8" w:rsidR="004E7ED8" w:rsidTr="000E6823" w14:paraId="06B4AC3F" w14:textId="77777777">
        <w:tc>
          <w:tcPr>
            <w:tcW w:w="676" w:type="pct"/>
          </w:tcPr>
          <w:p w:rsidRPr="004E7ED8" w:rsidR="004E7ED8" w:rsidP="00D94D34" w:rsidRDefault="004E7ED8" w14:paraId="5B9DBC44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lastRenderedPageBreak/>
              <w:t>Tel.:</w:t>
            </w:r>
          </w:p>
        </w:tc>
        <w:tc>
          <w:tcPr>
            <w:tcW w:w="4324" w:type="pct"/>
          </w:tcPr>
          <w:p w:rsidRPr="000E6823" w:rsidR="004E7ED8" w:rsidP="00D94D34" w:rsidRDefault="004E7ED8" w14:paraId="4D4C6467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</w:rPr>
            </w:pPr>
            <w:r>
              <w:rPr>
                <w:i/>
              </w:rPr>
              <w:t>+32 25469969</w:t>
            </w:r>
          </w:p>
        </w:tc>
      </w:tr>
      <w:tr w:rsidRPr="004E7ED8" w:rsidR="004E7ED8" w:rsidTr="000E6823" w14:paraId="5B948671" w14:textId="77777777">
        <w:tc>
          <w:tcPr>
            <w:tcW w:w="676" w:type="pct"/>
          </w:tcPr>
          <w:p w:rsidRPr="004E7ED8" w:rsidR="004E7ED8" w:rsidP="00D94D34" w:rsidRDefault="004E7ED8" w14:paraId="5C40A4C8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E-pošta</w:t>
            </w:r>
            <w:r>
              <w:rPr>
                <w:i/>
                <w:iCs/>
              </w:rPr>
              <w:t>:</w:t>
            </w:r>
          </w:p>
        </w:tc>
        <w:tc>
          <w:tcPr>
            <w:tcW w:w="4324" w:type="pct"/>
          </w:tcPr>
          <w:p w:rsidRPr="004E7ED8" w:rsidR="004E7ED8" w:rsidP="00D94D34" w:rsidRDefault="00342135" w14:paraId="36FE79D4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hyperlink w:history="1" r:id="rId60">
              <w:r w:rsidR="00CB5DFF">
                <w:rPr>
                  <w:i/>
                  <w:color w:val="0000FF"/>
                  <w:u w:val="single"/>
                </w:rPr>
                <w:t>Marco.Ristori@eesc.europa.eu</w:t>
              </w:r>
            </w:hyperlink>
          </w:p>
        </w:tc>
      </w:tr>
    </w:tbl>
    <w:p w:rsidR="004E7ED8" w:rsidP="00D94D34" w:rsidRDefault="004E7ED8" w14:paraId="3BBB3E68" w14:textId="783CA783">
      <w:pPr>
        <w:jc w:val="left"/>
      </w:pPr>
      <w:r>
        <w:br w:type="page"/>
      </w:r>
    </w:p>
    <w:p w:rsidRPr="00441B86" w:rsidR="00441B86" w:rsidP="00D94D34" w:rsidRDefault="00342135" w14:paraId="2EBE5EB3" w14:textId="5132AEC3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ind w:left="567" w:hanging="567"/>
        <w:contextualSpacing/>
        <w:jc w:val="left"/>
        <w:textAlignment w:val="baseline"/>
        <w:rPr>
          <w:b/>
          <w:sz w:val="28"/>
          <w:szCs w:val="28"/>
        </w:rPr>
      </w:pPr>
      <w:hyperlink w:history="1" r:id="rId61">
        <w:r w:rsidR="00441B86">
          <w:rPr>
            <w:b/>
            <w:i/>
            <w:color w:val="0000FF"/>
            <w:sz w:val="28"/>
            <w:u w:val="single"/>
          </w:rPr>
          <w:t>Važnost institucionalizacije civilnog i socijalnog dijaloga u zemljama kandidatkinjama i partnerskim zemljama EU-a</w:t>
        </w:r>
      </w:hyperlink>
    </w:p>
    <w:p w:rsidRPr="00441B86" w:rsidR="00441B86" w:rsidP="00D94D34" w:rsidRDefault="00441B86" w14:paraId="5843C1EE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tbl>
      <w:tblPr>
        <w:tblW w:w="4941" w:type="pct"/>
        <w:tblLook w:val="04A0" w:firstRow="1" w:lastRow="0" w:firstColumn="1" w:lastColumn="0" w:noHBand="0" w:noVBand="1"/>
      </w:tblPr>
      <w:tblGrid>
        <w:gridCol w:w="2032"/>
        <w:gridCol w:w="7147"/>
      </w:tblGrid>
      <w:tr w:rsidRPr="00441B86" w:rsidR="00441B86" w:rsidTr="000E6823" w14:paraId="32CB5D05" w14:textId="77777777">
        <w:tc>
          <w:tcPr>
            <w:tcW w:w="1107" w:type="pct"/>
          </w:tcPr>
          <w:p w:rsidRPr="00441B86" w:rsidR="00441B86" w:rsidP="00D94D34" w:rsidRDefault="00441B86" w14:paraId="053B87E4" w14:textId="6E3DD3B5">
            <w:pPr>
              <w:tabs>
                <w:tab w:val="center" w:pos="0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Izvjestitelji/ice:</w:t>
            </w:r>
          </w:p>
        </w:tc>
        <w:tc>
          <w:tcPr>
            <w:tcW w:w="3893" w:type="pct"/>
          </w:tcPr>
          <w:p w:rsidRPr="00441B86" w:rsidR="00441B86" w:rsidP="00D94D34" w:rsidRDefault="00441B86" w14:paraId="57D8FC1C" w14:textId="77777777">
            <w:pPr>
              <w:tabs>
                <w:tab w:val="center" w:pos="0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proofErr w:type="spellStart"/>
            <w:r>
              <w:t>Decebal-Ștefăniță</w:t>
            </w:r>
            <w:proofErr w:type="spellEnd"/>
            <w:r>
              <w:t xml:space="preserve"> PADURE (Skupina poslodavaca – RO)</w:t>
            </w:r>
          </w:p>
          <w:p w:rsidRPr="00441B86" w:rsidR="00441B86" w:rsidP="00D94D34" w:rsidRDefault="00441B86" w14:paraId="3A4CA68C" w14:textId="77777777">
            <w:pPr>
              <w:tabs>
                <w:tab w:val="center" w:pos="0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proofErr w:type="spellStart"/>
            <w:r>
              <w:t>Dumitru</w:t>
            </w:r>
            <w:proofErr w:type="spellEnd"/>
            <w:r>
              <w:t xml:space="preserve"> FORNEA (Skupina radnika – RO)</w:t>
            </w:r>
          </w:p>
          <w:p w:rsidRPr="00441B86" w:rsidR="00441B86" w:rsidP="00D94D34" w:rsidRDefault="00441B86" w14:paraId="299E23AD" w14:textId="35AF6922">
            <w:pPr>
              <w:tabs>
                <w:tab w:val="center" w:pos="0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proofErr w:type="spellStart"/>
            <w:r>
              <w:t>Ionuţ</w:t>
            </w:r>
            <w:proofErr w:type="spellEnd"/>
            <w:r>
              <w:t xml:space="preserve"> SIBIAN (Skupina organizacija civilnog društva – RO)</w:t>
            </w:r>
          </w:p>
        </w:tc>
      </w:tr>
      <w:tr w:rsidRPr="00441B86" w:rsidR="00441B86" w:rsidTr="000E6823" w14:paraId="23829DBC" w14:textId="77777777">
        <w:tc>
          <w:tcPr>
            <w:tcW w:w="1107" w:type="pct"/>
          </w:tcPr>
          <w:p w:rsidRPr="00441B86" w:rsidR="00441B86" w:rsidP="00D94D34" w:rsidRDefault="00441B86" w14:paraId="086F97A3" w14:textId="68EADD7C">
            <w:pPr>
              <w:tabs>
                <w:tab w:val="center" w:pos="0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Referentni dokument/i:</w:t>
            </w:r>
          </w:p>
        </w:tc>
        <w:tc>
          <w:tcPr>
            <w:tcW w:w="3893" w:type="pct"/>
          </w:tcPr>
          <w:p w:rsidR="00FD2AA9" w:rsidP="00D94D34" w:rsidRDefault="00FD2AA9" w14:paraId="283152B1" w14:textId="2DDD6E45">
            <w:pPr>
              <w:tabs>
                <w:tab w:val="center" w:pos="0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samoinicijativno mišljenje</w:t>
            </w:r>
          </w:p>
          <w:p w:rsidRPr="00441B86" w:rsidR="00441B86" w:rsidP="00D94D34" w:rsidRDefault="00441B86" w14:paraId="3C18EE81" w14:textId="55D6B02B">
            <w:pPr>
              <w:tabs>
                <w:tab w:val="center" w:pos="0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EESC-2025-00494-00-00-AC</w:t>
            </w:r>
          </w:p>
        </w:tc>
      </w:tr>
    </w:tbl>
    <w:p w:rsidRPr="00441B86" w:rsidR="00441B86" w:rsidP="00D94D34" w:rsidRDefault="00441B86" w14:paraId="64EA0B16" w14:textId="77777777">
      <w:pPr>
        <w:keepNext/>
        <w:keepLines/>
        <w:tabs>
          <w:tab w:val="center" w:pos="0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:rsidR="00FD2AA9" w:rsidP="00D94D34" w:rsidRDefault="00FD2AA9" w14:paraId="5C99BBFC" w14:textId="4CD4589A">
      <w:pPr>
        <w:keepNext/>
        <w:keepLines/>
        <w:tabs>
          <w:tab w:val="center" w:pos="0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Ključne točke</w:t>
      </w:r>
    </w:p>
    <w:p w:rsidR="00FD2AA9" w:rsidP="00D94D34" w:rsidRDefault="00FD2AA9" w14:paraId="35FCAF58" w14:textId="77777777">
      <w:pPr>
        <w:keepNext/>
        <w:keepLines/>
        <w:tabs>
          <w:tab w:val="center" w:pos="0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:rsidRPr="000E6823" w:rsidR="00441B86" w:rsidP="00D94D34" w:rsidRDefault="00441B86" w14:paraId="1609F043" w14:textId="153FC573">
      <w:pPr>
        <w:keepNext/>
        <w:keepLines/>
        <w:tabs>
          <w:tab w:val="center" w:pos="0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Cs/>
        </w:rPr>
      </w:pPr>
      <w:r>
        <w:t>EGSO:</w:t>
      </w:r>
    </w:p>
    <w:p w:rsidRPr="00441B86" w:rsidR="00441B86" w:rsidP="009A59C4" w:rsidRDefault="00441B86" w14:paraId="1652F457" w14:textId="77777777">
      <w:pPr>
        <w:widowControl w:val="0"/>
        <w:numPr>
          <w:ilvl w:val="0"/>
          <w:numId w:val="59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szCs w:val="20"/>
        </w:rPr>
      </w:pPr>
      <w:r>
        <w:t xml:space="preserve">ponavlja </w:t>
      </w:r>
      <w:r>
        <w:rPr>
          <w:b/>
        </w:rPr>
        <w:t>važnost institucionalizacije civilnog i socijalnog dijaloga</w:t>
      </w:r>
      <w:r>
        <w:t xml:space="preserve"> u zemljama kandidatkinjama i partnerskim zemljama EU-a;</w:t>
      </w:r>
    </w:p>
    <w:p w:rsidRPr="00441B86" w:rsidR="00441B86" w:rsidP="009A59C4" w:rsidRDefault="00441B86" w14:paraId="17D407C2" w14:textId="77777777">
      <w:pPr>
        <w:widowControl w:val="0"/>
        <w:numPr>
          <w:ilvl w:val="0"/>
          <w:numId w:val="59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szCs w:val="20"/>
        </w:rPr>
      </w:pPr>
      <w:bookmarkStart w:name="_Toc204261527" w:id="79"/>
      <w:bookmarkStart w:name="_Toc204268791" w:id="80"/>
      <w:bookmarkStart w:name="_Toc204268956" w:id="81"/>
      <w:bookmarkStart w:name="_Toc204269090" w:id="82"/>
      <w:bookmarkStart w:name="_Toc204269195" w:id="83"/>
      <w:bookmarkStart w:name="_Toc204269300" w:id="84"/>
      <w:bookmarkStart w:name="_Toc204269396" w:id="85"/>
      <w:bookmarkStart w:name="_Toc204269484" w:id="86"/>
      <w:bookmarkStart w:name="_Toc204269564" w:id="87"/>
      <w:bookmarkStart w:name="_Toc204269636" w:id="88"/>
      <w:bookmarkStart w:name="_Toc204269696" w:id="89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r>
        <w:t>smatra da bi tu institucionalizaciju trebalo ostvariti sveobuhvatnim i poticajnim zakonodavnim okvirom kojim se osigurava istinsko sudjelovanje organizacija civilnog društva, socijalnih partnera i drugih relevantnih dionika u osmišljavanju, provedbi, praćenju i evaluaciji zakonodavnog rada i rada na politikama;</w:t>
      </w:r>
    </w:p>
    <w:p w:rsidRPr="00441B86" w:rsidR="00441B86" w:rsidP="009A59C4" w:rsidRDefault="00441B86" w14:paraId="2784ECAE" w14:textId="77777777">
      <w:pPr>
        <w:widowControl w:val="0"/>
        <w:numPr>
          <w:ilvl w:val="0"/>
          <w:numId w:val="59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szCs w:val="20"/>
        </w:rPr>
      </w:pPr>
      <w:bookmarkStart w:name="_Toc204261529" w:id="90"/>
      <w:bookmarkStart w:name="_Toc204268793" w:id="91"/>
      <w:bookmarkStart w:name="_Toc204268958" w:id="92"/>
      <w:bookmarkStart w:name="_Toc204269092" w:id="93"/>
      <w:bookmarkStart w:name="_Toc204269197" w:id="94"/>
      <w:bookmarkStart w:name="_Toc204269302" w:id="95"/>
      <w:bookmarkStart w:name="_Toc204269398" w:id="96"/>
      <w:bookmarkStart w:name="_Toc204269486" w:id="97"/>
      <w:bookmarkStart w:name="_Toc204269566" w:id="98"/>
      <w:bookmarkStart w:name="_Toc204269638" w:id="99"/>
      <w:bookmarkStart w:name="_Toc204269698" w:id="100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r>
        <w:t>predlaže usklađivanje institucijskog ustroja civilnog i socijalnog dijaloga u zemljama kandidatkinjama s načelima, standardima i dobrim praksama u Europskoj uniji i njegovo promicanje u partnerskim zemljama vodeći se pritom primjerom EGSO-a;</w:t>
      </w:r>
    </w:p>
    <w:p w:rsidRPr="00441B86" w:rsidR="00441B86" w:rsidP="009A59C4" w:rsidRDefault="00441B86" w14:paraId="7B6A9B5E" w14:textId="77777777">
      <w:pPr>
        <w:widowControl w:val="0"/>
        <w:numPr>
          <w:ilvl w:val="0"/>
          <w:numId w:val="59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szCs w:val="20"/>
        </w:rPr>
      </w:pPr>
      <w:bookmarkStart w:name="_Toc204261531" w:id="101"/>
      <w:bookmarkStart w:name="_Toc204268795" w:id="102"/>
      <w:bookmarkStart w:name="_Toc204268960" w:id="103"/>
      <w:bookmarkStart w:name="_Toc204269094" w:id="104"/>
      <w:bookmarkStart w:name="_Toc204269199" w:id="105"/>
      <w:bookmarkStart w:name="_Toc204269304" w:id="106"/>
      <w:bookmarkStart w:name="_Toc204269400" w:id="107"/>
      <w:bookmarkStart w:name="_Toc204269488" w:id="108"/>
      <w:bookmarkStart w:name="_Toc204269568" w:id="109"/>
      <w:bookmarkStart w:name="_Toc204269640" w:id="110"/>
      <w:bookmarkStart w:name="_Toc204269700" w:id="111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r>
        <w:t>promiče autentičan i strukturiran trostrani dijalog između vlada, sindikata i organizacija poslodavaca;</w:t>
      </w:r>
    </w:p>
    <w:p w:rsidRPr="00441B86" w:rsidR="00441B86" w:rsidP="009A59C4" w:rsidRDefault="00441B86" w14:paraId="38E224D2" w14:textId="77777777">
      <w:pPr>
        <w:widowControl w:val="0"/>
        <w:numPr>
          <w:ilvl w:val="0"/>
          <w:numId w:val="59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szCs w:val="20"/>
        </w:rPr>
      </w:pPr>
      <w:bookmarkStart w:name="_Toc204261533" w:id="112"/>
      <w:bookmarkStart w:name="_Toc204268797" w:id="113"/>
      <w:bookmarkStart w:name="_Toc204268962" w:id="114"/>
      <w:bookmarkStart w:name="_Toc204269096" w:id="115"/>
      <w:bookmarkStart w:name="_Toc204269201" w:id="116"/>
      <w:bookmarkStart w:name="_Toc204269306" w:id="117"/>
      <w:bookmarkStart w:name="_Toc204269402" w:id="118"/>
      <w:bookmarkStart w:name="_Toc204269490" w:id="119"/>
      <w:bookmarkStart w:name="_Toc204269570" w:id="120"/>
      <w:bookmarkStart w:name="_Toc204269642" w:id="121"/>
      <w:bookmarkStart w:name="_Toc204269702" w:id="122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r>
        <w:t>naglašava važnost financijske potpore, osposobljavanja, institucijskih partnerstava i operativne pomoći, ne dovodeći pritom u pitanje neovisnost od vlade;</w:t>
      </w:r>
    </w:p>
    <w:p w:rsidRPr="00441B86" w:rsidR="00441B86" w:rsidP="009A59C4" w:rsidRDefault="00441B86" w14:paraId="071281D4" w14:textId="77777777">
      <w:pPr>
        <w:widowControl w:val="0"/>
        <w:numPr>
          <w:ilvl w:val="0"/>
          <w:numId w:val="59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szCs w:val="20"/>
        </w:rPr>
      </w:pPr>
      <w:bookmarkStart w:name="_Toc204261535" w:id="123"/>
      <w:bookmarkStart w:name="_Toc204268799" w:id="124"/>
      <w:bookmarkStart w:name="_Toc204268964" w:id="125"/>
      <w:bookmarkStart w:name="_Toc204269098" w:id="126"/>
      <w:bookmarkStart w:name="_Toc204269203" w:id="127"/>
      <w:bookmarkStart w:name="_Toc204269308" w:id="128"/>
      <w:bookmarkStart w:name="_Toc204269404" w:id="129"/>
      <w:bookmarkStart w:name="_Toc204269492" w:id="130"/>
      <w:bookmarkStart w:name="_Toc204269572" w:id="131"/>
      <w:bookmarkStart w:name="_Toc204269644" w:id="132"/>
      <w:bookmarkStart w:name="_Toc204269704" w:id="133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r>
        <w:t>potiče relevantne institucije EU-a da promiču važnost uključenosti i djelotvornog sudjelovanja organiziranog civilnog društva u pregovaračkim procesima na transparentan i uključiv način i tako doprinose jačanju postojećih savjetodavnih struktura civilnog društva (kao što su zajednički savjetodavni odbori, platforma civilnog društva i unutarnje savjetodavne skupine);</w:t>
      </w:r>
    </w:p>
    <w:p w:rsidRPr="00441B86" w:rsidR="00441B86" w:rsidP="009A59C4" w:rsidRDefault="00441B86" w14:paraId="0C3FD8E7" w14:textId="77777777">
      <w:pPr>
        <w:widowControl w:val="0"/>
        <w:numPr>
          <w:ilvl w:val="0"/>
          <w:numId w:val="59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szCs w:val="20"/>
        </w:rPr>
      </w:pPr>
      <w:bookmarkStart w:name="_Toc204261537" w:id="134"/>
      <w:bookmarkStart w:name="_Toc204268801" w:id="135"/>
      <w:bookmarkStart w:name="_Toc204268966" w:id="136"/>
      <w:bookmarkStart w:name="_Toc204269100" w:id="137"/>
      <w:bookmarkStart w:name="_Toc204269205" w:id="138"/>
      <w:bookmarkStart w:name="_Toc204269310" w:id="139"/>
      <w:bookmarkStart w:name="_Toc204269406" w:id="140"/>
      <w:bookmarkStart w:name="_Toc204269494" w:id="141"/>
      <w:bookmarkStart w:name="_Toc204269574" w:id="142"/>
      <w:bookmarkStart w:name="_Toc204269646" w:id="143"/>
      <w:bookmarkStart w:name="_Toc204269706" w:id="144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r>
        <w:t>predlaže uključivanje civilnog i socijalnog dijaloga kao uvjeta za pregovore o pristupanju EU-u i programe suradnje.</w:t>
      </w:r>
    </w:p>
    <w:p w:rsidRPr="00441B86" w:rsidR="00441B86" w:rsidP="00D94D34" w:rsidRDefault="00441B86" w14:paraId="0870CD98" w14:textId="77777777">
      <w:pPr>
        <w:widowControl w:val="0"/>
        <w:overflowPunct w:val="0"/>
        <w:autoSpaceDE w:val="0"/>
        <w:autoSpaceDN w:val="0"/>
        <w:adjustRightInd w:val="0"/>
        <w:ind w:left="709"/>
        <w:textAlignment w:val="baseline"/>
        <w:rPr>
          <w:szCs w:val="20"/>
          <w:lang w:val="en-GB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84"/>
        <w:gridCol w:w="7905"/>
      </w:tblGrid>
      <w:tr w:rsidRPr="00441B86" w:rsidR="00441B86" w:rsidTr="000E6823" w14:paraId="10A89DEE" w14:textId="77777777">
        <w:tc>
          <w:tcPr>
            <w:tcW w:w="745" w:type="pct"/>
          </w:tcPr>
          <w:p w:rsidRPr="00441B86" w:rsidR="00441B86" w:rsidP="00D94D34" w:rsidRDefault="00441B86" w14:paraId="6A8BF21E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b/>
                <w:i/>
              </w:rPr>
              <w:t>Kontakt:</w:t>
            </w:r>
          </w:p>
        </w:tc>
        <w:tc>
          <w:tcPr>
            <w:tcW w:w="4255" w:type="pct"/>
          </w:tcPr>
          <w:p w:rsidRPr="00441B86" w:rsidR="00441B86" w:rsidP="009A59C4" w:rsidRDefault="00441B86" w14:paraId="15D4680E" w14:textId="44B8F20E">
            <w:pPr>
              <w:overflowPunct w:val="0"/>
              <w:autoSpaceDE w:val="0"/>
              <w:autoSpaceDN w:val="0"/>
              <w:adjustRightInd w:val="0"/>
              <w:ind w:left="-672" w:firstLine="672"/>
              <w:textAlignment w:val="baseline"/>
              <w:rPr>
                <w:i/>
              </w:rPr>
            </w:pPr>
            <w:r>
              <w:rPr>
                <w:i/>
              </w:rPr>
              <w:t xml:space="preserve">Katarína </w:t>
            </w:r>
            <w:proofErr w:type="spellStart"/>
            <w:r>
              <w:rPr>
                <w:i/>
              </w:rPr>
              <w:t>Grzeszczyk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Albrechtová</w:t>
            </w:r>
            <w:proofErr w:type="spellEnd"/>
          </w:p>
        </w:tc>
      </w:tr>
      <w:tr w:rsidRPr="00441B86" w:rsidR="00441B86" w:rsidTr="000E6823" w14:paraId="2C7BCBC3" w14:textId="77777777">
        <w:tc>
          <w:tcPr>
            <w:tcW w:w="745" w:type="pct"/>
          </w:tcPr>
          <w:p w:rsidRPr="00441B86" w:rsidR="00441B86" w:rsidP="00D94D34" w:rsidRDefault="00441B86" w14:paraId="2FBF79D2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4255" w:type="pct"/>
          </w:tcPr>
          <w:p w:rsidRPr="00441B86" w:rsidR="00441B86" w:rsidP="009A59C4" w:rsidRDefault="00441B86" w14:paraId="5FB13645" w14:textId="3EEA1B74">
            <w:pPr>
              <w:overflowPunct w:val="0"/>
              <w:autoSpaceDE w:val="0"/>
              <w:autoSpaceDN w:val="0"/>
              <w:adjustRightInd w:val="0"/>
              <w:ind w:left="-672" w:firstLine="672"/>
              <w:textAlignment w:val="baseline"/>
              <w:rPr>
                <w:i/>
              </w:rPr>
            </w:pPr>
            <w:r>
              <w:rPr>
                <w:i/>
              </w:rPr>
              <w:t>+32 25469460</w:t>
            </w:r>
          </w:p>
        </w:tc>
      </w:tr>
      <w:tr w:rsidRPr="00441B86" w:rsidR="00441B86" w:rsidTr="000E6823" w14:paraId="3C443CC2" w14:textId="77777777">
        <w:tc>
          <w:tcPr>
            <w:tcW w:w="745" w:type="pct"/>
          </w:tcPr>
          <w:p w:rsidRPr="00441B86" w:rsidR="00441B86" w:rsidP="00D94D34" w:rsidRDefault="00441B86" w14:paraId="2444B163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E-pošta</w:t>
            </w:r>
            <w:r>
              <w:rPr>
                <w:i/>
                <w:iCs/>
              </w:rPr>
              <w:t>:</w:t>
            </w:r>
          </w:p>
        </w:tc>
        <w:tc>
          <w:tcPr>
            <w:tcW w:w="4255" w:type="pct"/>
          </w:tcPr>
          <w:p w:rsidRPr="000E6823" w:rsidR="00441B86" w:rsidP="009A59C4" w:rsidRDefault="00342135" w14:paraId="4CF05D9D" w14:textId="24B4EF20">
            <w:pPr>
              <w:overflowPunct w:val="0"/>
              <w:autoSpaceDE w:val="0"/>
              <w:autoSpaceDN w:val="0"/>
              <w:adjustRightInd w:val="0"/>
              <w:ind w:left="-672" w:firstLine="672"/>
              <w:textAlignment w:val="baseline"/>
              <w:rPr>
                <w:i/>
                <w:iCs/>
              </w:rPr>
            </w:pPr>
            <w:hyperlink w:history="1" r:id="rId62">
              <w:r w:rsidR="00441B86">
                <w:rPr>
                  <w:i/>
                  <w:color w:val="0000FF"/>
                  <w:u w:val="single"/>
                </w:rPr>
                <w:t>Katarina.Albrechtova@eesc.europa.eu</w:t>
              </w:r>
            </w:hyperlink>
          </w:p>
        </w:tc>
      </w:tr>
    </w:tbl>
    <w:p w:rsidR="00441B86" w:rsidP="00D94D34" w:rsidRDefault="00441B86" w14:paraId="6A78A6C1" w14:textId="77777777">
      <w:pPr>
        <w:jc w:val="left"/>
      </w:pPr>
    </w:p>
    <w:p w:rsidR="00162A3E" w:rsidP="00D94D34" w:rsidRDefault="00162A3E" w14:paraId="32936735" w14:textId="77777777">
      <w:pPr>
        <w:jc w:val="left"/>
      </w:pPr>
    </w:p>
    <w:p w:rsidRPr="000417AB" w:rsidR="000417AB" w:rsidP="00D94D34" w:rsidRDefault="00342135" w14:paraId="317ABD12" w14:textId="1808ACE2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hanging="567"/>
        <w:textAlignment w:val="baseline"/>
        <w:rPr>
          <w:b/>
          <w:bCs/>
          <w:sz w:val="28"/>
          <w:szCs w:val="28"/>
        </w:rPr>
      </w:pPr>
      <w:hyperlink w:history="1" r:id="rId63">
        <w:r w:rsidR="000417AB">
          <w:rPr>
            <w:b/>
            <w:i/>
            <w:color w:val="0000FF"/>
            <w:sz w:val="28"/>
            <w:u w:val="single"/>
            <w:shd w:val="clear" w:color="auto" w:fill="FEFEFE"/>
          </w:rPr>
          <w:t>Međuovisnost mira i klimatskih promjena: potreba za novim naporima u globalnoj diplomaciji</w:t>
        </w:r>
      </w:hyperlink>
    </w:p>
    <w:p w:rsidRPr="000417AB" w:rsidR="000417AB" w:rsidP="00D94D34" w:rsidRDefault="000417AB" w14:paraId="4CB42412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25"/>
        <w:gridCol w:w="7264"/>
      </w:tblGrid>
      <w:tr w:rsidRPr="000417AB" w:rsidR="000417AB" w:rsidTr="000E6823" w14:paraId="0C76AB0B" w14:textId="77777777">
        <w:tc>
          <w:tcPr>
            <w:tcW w:w="1090" w:type="pct"/>
          </w:tcPr>
          <w:p w:rsidRPr="000417AB" w:rsidR="000417AB" w:rsidP="00D94D34" w:rsidRDefault="000417AB" w14:paraId="35D899C9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Izvjestitelj/ica:</w:t>
            </w:r>
          </w:p>
          <w:p w:rsidRPr="000417AB" w:rsidR="000417AB" w:rsidP="00D94D34" w:rsidRDefault="000417AB" w14:paraId="5190864A" w14:textId="07FD5F5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Suizvjestitelj/ica:</w:t>
            </w:r>
          </w:p>
        </w:tc>
        <w:tc>
          <w:tcPr>
            <w:tcW w:w="3910" w:type="pct"/>
          </w:tcPr>
          <w:p w:rsidRPr="000417AB" w:rsidR="000417AB" w:rsidP="00D94D34" w:rsidRDefault="000417AB" w14:paraId="307CAFA8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proofErr w:type="spellStart"/>
            <w:r>
              <w:t>Dimitris</w:t>
            </w:r>
            <w:proofErr w:type="spellEnd"/>
            <w:r>
              <w:t xml:space="preserve"> DIMITRIADIS (Skupina poslodavaca – EL)</w:t>
            </w:r>
          </w:p>
          <w:p w:rsidRPr="000417AB" w:rsidR="000417AB" w:rsidP="00D94D34" w:rsidRDefault="000417AB" w14:paraId="4C0C3C6B" w14:textId="2037BC8B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Peter SCHMIDT (Skupina radnika – DE)</w:t>
            </w:r>
          </w:p>
        </w:tc>
      </w:tr>
      <w:tr w:rsidRPr="000417AB" w:rsidR="000417AB" w:rsidTr="000E6823" w14:paraId="29AA8D15" w14:textId="77777777">
        <w:tc>
          <w:tcPr>
            <w:tcW w:w="1090" w:type="pct"/>
          </w:tcPr>
          <w:p w:rsidRPr="000417AB" w:rsidR="000417AB" w:rsidP="00D94D34" w:rsidRDefault="000417AB" w14:paraId="33637B38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Referentni dokumenti/i:</w:t>
            </w:r>
          </w:p>
        </w:tc>
        <w:tc>
          <w:tcPr>
            <w:tcW w:w="3910" w:type="pct"/>
          </w:tcPr>
          <w:p w:rsidR="00A7331B" w:rsidP="00D94D34" w:rsidRDefault="00A7331B" w14:paraId="001BB4D2" w14:textId="48A03F7C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samoinicijativno mišljenje</w:t>
            </w:r>
          </w:p>
          <w:p w:rsidRPr="000417AB" w:rsidR="000417AB" w:rsidP="00D94D34" w:rsidRDefault="000417AB" w14:paraId="0A7AF235" w14:textId="6EE27126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EESC-2025-01046-00-00-AC</w:t>
            </w:r>
          </w:p>
        </w:tc>
      </w:tr>
    </w:tbl>
    <w:p w:rsidRPr="000417AB" w:rsidR="000417AB" w:rsidP="00D94D34" w:rsidRDefault="000417AB" w14:paraId="0EF33074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:rsidRPr="000F00DC" w:rsidR="000417AB" w:rsidP="00D94D34" w:rsidRDefault="000417AB" w14:paraId="059638CC" w14:textId="62025DA4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Cs/>
        </w:rPr>
      </w:pPr>
      <w:r>
        <w:t>EGSO:</w:t>
      </w:r>
    </w:p>
    <w:p w:rsidRPr="000417AB" w:rsidR="000417AB" w:rsidP="009A59C4" w:rsidRDefault="000417AB" w14:paraId="6F0D903F" w14:textId="77777777">
      <w:pPr>
        <w:widowControl w:val="0"/>
        <w:numPr>
          <w:ilvl w:val="0"/>
          <w:numId w:val="59"/>
        </w:numPr>
        <w:overflowPunct w:val="0"/>
        <w:autoSpaceDE w:val="0"/>
        <w:autoSpaceDN w:val="0"/>
        <w:adjustRightInd w:val="0"/>
        <w:ind w:left="709" w:hanging="709"/>
        <w:textAlignment w:val="baseline"/>
        <w:rPr>
          <w:szCs w:val="20"/>
        </w:rPr>
      </w:pPr>
      <w:r>
        <w:t xml:space="preserve">smatra da je iznimno je važno s </w:t>
      </w:r>
      <w:r>
        <w:rPr>
          <w:b/>
          <w:bCs/>
        </w:rPr>
        <w:t>klimatskom i sigurnosnom politikom više ne postupati odvojeno</w:t>
      </w:r>
      <w:r>
        <w:t xml:space="preserve">, nego ih </w:t>
      </w:r>
      <w:r>
        <w:rPr>
          <w:b/>
          <w:bCs/>
        </w:rPr>
        <w:t>smatrati elementima održive i miroljubive globalne budućnosti koji se međusobno nadopunjuju</w:t>
      </w:r>
      <w:r>
        <w:t>;</w:t>
      </w:r>
    </w:p>
    <w:p w:rsidRPr="000417AB" w:rsidR="000417AB" w:rsidP="009A59C4" w:rsidRDefault="000417AB" w14:paraId="7663AC2E" w14:textId="77777777">
      <w:pPr>
        <w:widowControl w:val="0"/>
        <w:numPr>
          <w:ilvl w:val="0"/>
          <w:numId w:val="59"/>
        </w:numPr>
        <w:overflowPunct w:val="0"/>
        <w:autoSpaceDE w:val="0"/>
        <w:autoSpaceDN w:val="0"/>
        <w:adjustRightInd w:val="0"/>
        <w:ind w:left="709" w:hanging="709"/>
        <w:textAlignment w:val="baseline"/>
        <w:rPr>
          <w:szCs w:val="20"/>
        </w:rPr>
      </w:pPr>
      <w:r>
        <w:t>smatra da bi se EU bi u pogledu</w:t>
      </w:r>
      <w:r>
        <w:rPr>
          <w:b/>
          <w:bCs/>
        </w:rPr>
        <w:t xml:space="preserve"> vanjske politike</w:t>
      </w:r>
      <w:r>
        <w:t xml:space="preserve"> trebao zalagati za </w:t>
      </w:r>
      <w:r>
        <w:rPr>
          <w:b/>
          <w:bCs/>
        </w:rPr>
        <w:t>klimatsku diplomaciju kojom se okolišni ciljevi povezuju sa sprečavanjem sukoba i izgradnjom mira</w:t>
      </w:r>
      <w:r>
        <w:t>;</w:t>
      </w:r>
    </w:p>
    <w:p w:rsidRPr="000417AB" w:rsidR="000417AB" w:rsidP="009A59C4" w:rsidRDefault="000417AB" w14:paraId="68D1651B" w14:textId="77777777">
      <w:pPr>
        <w:widowControl w:val="0"/>
        <w:numPr>
          <w:ilvl w:val="0"/>
          <w:numId w:val="59"/>
        </w:numPr>
        <w:overflowPunct w:val="0"/>
        <w:autoSpaceDE w:val="0"/>
        <w:autoSpaceDN w:val="0"/>
        <w:adjustRightInd w:val="0"/>
        <w:ind w:left="709" w:hanging="709"/>
        <w:textAlignment w:val="baseline"/>
        <w:rPr>
          <w:szCs w:val="20"/>
        </w:rPr>
      </w:pPr>
      <w:r>
        <w:t xml:space="preserve">smatra da bi se EU trebao </w:t>
      </w:r>
      <w:r>
        <w:rPr>
          <w:b/>
          <w:bCs/>
        </w:rPr>
        <w:t>pozicionirati kao multiplikator vrijednosti</w:t>
      </w:r>
      <w:r>
        <w:t xml:space="preserve"> promicanjem djelovanja u području klime koje je u skladu s ciljevima održivog razvoja;</w:t>
      </w:r>
    </w:p>
    <w:p w:rsidRPr="000417AB" w:rsidR="000417AB" w:rsidP="009A59C4" w:rsidRDefault="000417AB" w14:paraId="4420BB83" w14:textId="77777777">
      <w:pPr>
        <w:widowControl w:val="0"/>
        <w:numPr>
          <w:ilvl w:val="0"/>
          <w:numId w:val="59"/>
        </w:numPr>
        <w:overflowPunct w:val="0"/>
        <w:autoSpaceDE w:val="0"/>
        <w:autoSpaceDN w:val="0"/>
        <w:adjustRightInd w:val="0"/>
        <w:ind w:left="709" w:hanging="709"/>
        <w:textAlignment w:val="baseline"/>
        <w:rPr>
          <w:szCs w:val="20"/>
        </w:rPr>
      </w:pPr>
      <w:r>
        <w:t xml:space="preserve">smatra da EU mora </w:t>
      </w:r>
      <w:r>
        <w:rPr>
          <w:b/>
          <w:bCs/>
        </w:rPr>
        <w:t>ubrzati provedbu europskog zelenog plana</w:t>
      </w:r>
      <w:r>
        <w:t xml:space="preserve"> putem nacionalnih akcijskih planova i akcijskih planova na razini Unije;</w:t>
      </w:r>
    </w:p>
    <w:p w:rsidRPr="000417AB" w:rsidR="000417AB" w:rsidP="009A59C4" w:rsidRDefault="000417AB" w14:paraId="36C67059" w14:textId="77777777">
      <w:pPr>
        <w:widowControl w:val="0"/>
        <w:numPr>
          <w:ilvl w:val="0"/>
          <w:numId w:val="59"/>
        </w:numPr>
        <w:overflowPunct w:val="0"/>
        <w:autoSpaceDE w:val="0"/>
        <w:autoSpaceDN w:val="0"/>
        <w:adjustRightInd w:val="0"/>
        <w:ind w:left="709" w:hanging="709"/>
        <w:textAlignment w:val="baseline"/>
        <w:rPr>
          <w:szCs w:val="20"/>
        </w:rPr>
      </w:pPr>
      <w:r>
        <w:t xml:space="preserve">je uvjeren da bi EU istodobno trebao </w:t>
      </w:r>
      <w:r>
        <w:rPr>
          <w:b/>
          <w:bCs/>
        </w:rPr>
        <w:t>intenzivirati svoju diplomaciju u području zelenog plana / ciljeva održivog razvoja</w:t>
      </w:r>
      <w:r>
        <w:t xml:space="preserve"> tako da iskoristi svoje stručno znanje o održivosti kako bi pružio potporu regijama u razvoju. To podrazumijeva jačanje partnerstava putem strukturirane suradnje s globalnim jugom;</w:t>
      </w:r>
    </w:p>
    <w:p w:rsidRPr="000417AB" w:rsidR="000417AB" w:rsidP="009A59C4" w:rsidRDefault="000417AB" w14:paraId="75D0E56A" w14:textId="77777777">
      <w:pPr>
        <w:widowControl w:val="0"/>
        <w:numPr>
          <w:ilvl w:val="0"/>
          <w:numId w:val="59"/>
        </w:numPr>
        <w:overflowPunct w:val="0"/>
        <w:autoSpaceDE w:val="0"/>
        <w:autoSpaceDN w:val="0"/>
        <w:adjustRightInd w:val="0"/>
        <w:ind w:left="709" w:hanging="709"/>
        <w:textAlignment w:val="baseline"/>
        <w:rPr>
          <w:szCs w:val="20"/>
        </w:rPr>
      </w:pPr>
      <w:r>
        <w:t xml:space="preserve">zalaže se za to da na multilateralnim forumima EU </w:t>
      </w:r>
      <w:r>
        <w:rPr>
          <w:b/>
          <w:bCs/>
        </w:rPr>
        <w:t>zadrži vodeću ulogu u globalnom zagovaranju djelovanja u području klime</w:t>
      </w:r>
      <w:r>
        <w:t>. Snažna multilateralna prisutnost posebno je bitna u kontekstu slabljenja angažmana SAD-a;</w:t>
      </w:r>
    </w:p>
    <w:p w:rsidRPr="00C470BA" w:rsidR="000417AB" w:rsidP="009A59C4" w:rsidRDefault="000417AB" w14:paraId="69FE009A" w14:textId="0E8E6FC9">
      <w:pPr>
        <w:widowControl w:val="0"/>
        <w:numPr>
          <w:ilvl w:val="0"/>
          <w:numId w:val="59"/>
        </w:numPr>
        <w:overflowPunct w:val="0"/>
        <w:autoSpaceDE w:val="0"/>
        <w:autoSpaceDN w:val="0"/>
        <w:adjustRightInd w:val="0"/>
        <w:ind w:left="709" w:hanging="709"/>
        <w:textAlignment w:val="baseline"/>
        <w:rPr>
          <w:szCs w:val="20"/>
        </w:rPr>
      </w:pPr>
      <w:r>
        <w:t xml:space="preserve">smatra da se </w:t>
      </w:r>
      <w:r>
        <w:rPr>
          <w:b/>
          <w:bCs/>
        </w:rPr>
        <w:t>obnovljena diplomatska strategija EU-a</w:t>
      </w:r>
      <w:r>
        <w:t xml:space="preserve"> mora temeljiti na </w:t>
      </w:r>
      <w:r>
        <w:rPr>
          <w:b/>
          <w:bCs/>
        </w:rPr>
        <w:t>trima vodećim načelima</w:t>
      </w:r>
      <w:r>
        <w:t>:</w:t>
      </w:r>
    </w:p>
    <w:p w:rsidRPr="000417AB" w:rsidR="000417AB" w:rsidP="00D94D34" w:rsidRDefault="000417AB" w14:paraId="5069FFC4" w14:textId="77777777">
      <w:pPr>
        <w:widowControl w:val="0"/>
        <w:numPr>
          <w:ilvl w:val="0"/>
          <w:numId w:val="59"/>
        </w:numPr>
        <w:overflowPunct w:val="0"/>
        <w:autoSpaceDE w:val="0"/>
        <w:autoSpaceDN w:val="0"/>
        <w:adjustRightInd w:val="0"/>
        <w:ind w:left="1134" w:hanging="283"/>
        <w:textAlignment w:val="baseline"/>
        <w:rPr>
          <w:szCs w:val="20"/>
        </w:rPr>
      </w:pPr>
      <w:r>
        <w:rPr>
          <w:b/>
          <w:bCs/>
        </w:rPr>
        <w:t>klimatska pitanja</w:t>
      </w:r>
      <w:r>
        <w:t xml:space="preserve"> trebala bi biti </w:t>
      </w:r>
      <w:r>
        <w:rPr>
          <w:b/>
          <w:bCs/>
        </w:rPr>
        <w:t>u potpunosti integrirana u strategije za sprečavanje sukoba</w:t>
      </w:r>
      <w:r>
        <w:t>,</w:t>
      </w:r>
    </w:p>
    <w:p w:rsidRPr="000417AB" w:rsidR="000417AB" w:rsidP="00D94D34" w:rsidRDefault="000417AB" w14:paraId="0D85EAA8" w14:textId="34E9F5FB">
      <w:pPr>
        <w:widowControl w:val="0"/>
        <w:numPr>
          <w:ilvl w:val="0"/>
          <w:numId w:val="59"/>
        </w:numPr>
        <w:overflowPunct w:val="0"/>
        <w:autoSpaceDE w:val="0"/>
        <w:autoSpaceDN w:val="0"/>
        <w:adjustRightInd w:val="0"/>
        <w:ind w:left="1134" w:hanging="283"/>
        <w:textAlignment w:val="baseline"/>
        <w:rPr>
          <w:szCs w:val="20"/>
        </w:rPr>
      </w:pPr>
      <w:r>
        <w:t xml:space="preserve">EU mora </w:t>
      </w:r>
      <w:r>
        <w:rPr>
          <w:b/>
          <w:bCs/>
        </w:rPr>
        <w:t>dati prednost regionalnoj i multilateralnoj suradnji</w:t>
      </w:r>
      <w:r>
        <w:t>,</w:t>
      </w:r>
    </w:p>
    <w:p w:rsidRPr="000417AB" w:rsidR="000417AB" w:rsidP="00D94D34" w:rsidRDefault="000417AB" w14:paraId="6587EA73" w14:textId="77777777">
      <w:pPr>
        <w:widowControl w:val="0"/>
        <w:numPr>
          <w:ilvl w:val="0"/>
          <w:numId w:val="59"/>
        </w:numPr>
        <w:overflowPunct w:val="0"/>
        <w:autoSpaceDE w:val="0"/>
        <w:autoSpaceDN w:val="0"/>
        <w:adjustRightInd w:val="0"/>
        <w:ind w:left="1134" w:hanging="283"/>
        <w:textAlignment w:val="baseline"/>
        <w:rPr>
          <w:szCs w:val="20"/>
        </w:rPr>
      </w:pPr>
      <w:r>
        <w:rPr>
          <w:b/>
          <w:bCs/>
        </w:rPr>
        <w:t>održivi razvoj</w:t>
      </w:r>
      <w:r>
        <w:t xml:space="preserve"> trebalo bi </w:t>
      </w:r>
      <w:r>
        <w:rPr>
          <w:b/>
          <w:bCs/>
        </w:rPr>
        <w:t>promicati kao mirovni mehanizam</w:t>
      </w:r>
      <w:r>
        <w:t>;</w:t>
      </w:r>
    </w:p>
    <w:p w:rsidRPr="000417AB" w:rsidR="000417AB" w:rsidP="009A59C4" w:rsidRDefault="000417AB" w14:paraId="2A3A1931" w14:textId="09631E15">
      <w:pPr>
        <w:widowControl w:val="0"/>
        <w:numPr>
          <w:ilvl w:val="0"/>
          <w:numId w:val="59"/>
        </w:numPr>
        <w:overflowPunct w:val="0"/>
        <w:autoSpaceDE w:val="0"/>
        <w:autoSpaceDN w:val="0"/>
        <w:adjustRightInd w:val="0"/>
        <w:ind w:left="709" w:hanging="709"/>
        <w:textAlignment w:val="baseline"/>
        <w:rPr>
          <w:szCs w:val="20"/>
        </w:rPr>
      </w:pPr>
      <w:r>
        <w:t xml:space="preserve">poziva EU da </w:t>
      </w:r>
      <w:r>
        <w:rPr>
          <w:b/>
          <w:bCs/>
        </w:rPr>
        <w:t>prevlada unutarnju rascjepkanost</w:t>
      </w:r>
      <w:r>
        <w:t xml:space="preserve"> i </w:t>
      </w:r>
      <w:r>
        <w:rPr>
          <w:b/>
          <w:bCs/>
        </w:rPr>
        <w:t>poduzme odvažne korake prema strateškoj autonomiji</w:t>
      </w:r>
      <w:r>
        <w:t>;</w:t>
      </w:r>
    </w:p>
    <w:p w:rsidRPr="009A59C4" w:rsidR="000417AB" w:rsidP="00D94D34" w:rsidRDefault="000417AB" w14:paraId="11E5375C" w14:textId="77777777">
      <w:pPr>
        <w:widowControl w:val="0"/>
        <w:numPr>
          <w:ilvl w:val="0"/>
          <w:numId w:val="59"/>
        </w:numPr>
        <w:overflowPunct w:val="0"/>
        <w:autoSpaceDE w:val="0"/>
        <w:autoSpaceDN w:val="0"/>
        <w:adjustRightInd w:val="0"/>
        <w:ind w:left="709" w:hanging="709"/>
        <w:textAlignment w:val="baseline"/>
        <w:rPr>
          <w:szCs w:val="20"/>
        </w:rPr>
      </w:pPr>
      <w:r>
        <w:t xml:space="preserve">je uvjeren da bi EU bi mogao </w:t>
      </w:r>
      <w:r>
        <w:rPr>
          <w:b/>
          <w:bCs/>
        </w:rPr>
        <w:t>iskoristiti svoju trgovinsku politiku kao alat odnosno instrument za poticanje održivog razvoja, rješavanje problema klimatskih promjena i postizanje mirnog gospodarskog rasta</w:t>
      </w:r>
      <w:r>
        <w:t>.</w:t>
      </w:r>
    </w:p>
    <w:p w:rsidRPr="000F5704" w:rsidR="000417AB" w:rsidP="00D94D34" w:rsidRDefault="000417AB" w14:paraId="21896DA2" w14:textId="77777777">
      <w:pPr>
        <w:widowControl w:val="0"/>
        <w:overflowPunct w:val="0"/>
        <w:autoSpaceDE w:val="0"/>
        <w:autoSpaceDN w:val="0"/>
        <w:adjustRightInd w:val="0"/>
        <w:ind w:left="284" w:hanging="284"/>
        <w:textAlignment w:val="baseline"/>
      </w:pPr>
    </w:p>
    <w:tbl>
      <w:tblPr>
        <w:tblW w:w="4941" w:type="pct"/>
        <w:tblLook w:val="04A0" w:firstRow="1" w:lastRow="0" w:firstColumn="1" w:lastColumn="0" w:noHBand="0" w:noVBand="1"/>
      </w:tblPr>
      <w:tblGrid>
        <w:gridCol w:w="1243"/>
        <w:gridCol w:w="7936"/>
      </w:tblGrid>
      <w:tr w:rsidRPr="000417AB" w:rsidR="000417AB" w:rsidTr="000E6823" w14:paraId="3A435750" w14:textId="77777777">
        <w:tc>
          <w:tcPr>
            <w:tcW w:w="677" w:type="pct"/>
          </w:tcPr>
          <w:p w:rsidRPr="009A59C4" w:rsidR="000417AB" w:rsidP="00D94D34" w:rsidRDefault="000417AB" w14:paraId="303FB5F2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i/>
              </w:rPr>
            </w:pPr>
            <w:r>
              <w:rPr>
                <w:b/>
                <w:i/>
              </w:rPr>
              <w:t>Kontakt:</w:t>
            </w:r>
          </w:p>
        </w:tc>
        <w:tc>
          <w:tcPr>
            <w:tcW w:w="4323" w:type="pct"/>
          </w:tcPr>
          <w:p w:rsidRPr="009A59C4" w:rsidR="000417AB" w:rsidP="00D94D34" w:rsidRDefault="000417AB" w14:paraId="1733D371" w14:textId="315736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Marie-</w:t>
            </w:r>
            <w:proofErr w:type="spellStart"/>
            <w:r>
              <w:rPr>
                <w:i/>
              </w:rPr>
              <w:t>Laurence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Drillon</w:t>
            </w:r>
            <w:proofErr w:type="spellEnd"/>
          </w:p>
        </w:tc>
      </w:tr>
      <w:tr w:rsidRPr="000417AB" w:rsidR="000417AB" w:rsidTr="000E6823" w14:paraId="580DC88B" w14:textId="77777777">
        <w:tc>
          <w:tcPr>
            <w:tcW w:w="677" w:type="pct"/>
          </w:tcPr>
          <w:p w:rsidRPr="000417AB" w:rsidR="000417AB" w:rsidP="00D94D34" w:rsidRDefault="000417AB" w14:paraId="447979EB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4323" w:type="pct"/>
          </w:tcPr>
          <w:p w:rsidRPr="000417AB" w:rsidR="000417AB" w:rsidP="00D94D34" w:rsidRDefault="000417AB" w14:paraId="03470EC2" w14:textId="52AC8A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+32 25468320</w:t>
            </w:r>
          </w:p>
        </w:tc>
      </w:tr>
      <w:tr w:rsidRPr="000417AB" w:rsidR="000417AB" w:rsidTr="000E6823" w14:paraId="49A27B25" w14:textId="77777777">
        <w:tc>
          <w:tcPr>
            <w:tcW w:w="677" w:type="pct"/>
          </w:tcPr>
          <w:p w:rsidRPr="000417AB" w:rsidR="000417AB" w:rsidP="00D94D34" w:rsidRDefault="000417AB" w14:paraId="23D372D0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E-pošta</w:t>
            </w:r>
            <w:r>
              <w:rPr>
                <w:i/>
                <w:iCs/>
              </w:rPr>
              <w:t>:</w:t>
            </w:r>
          </w:p>
        </w:tc>
        <w:tc>
          <w:tcPr>
            <w:tcW w:w="4323" w:type="pct"/>
          </w:tcPr>
          <w:p w:rsidRPr="000E6823" w:rsidR="000417AB" w:rsidP="00D94D34" w:rsidRDefault="00342135" w14:paraId="01E858C7" w14:textId="12B59D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</w:rPr>
            </w:pPr>
            <w:hyperlink w:history="1" r:id="rId64">
              <w:r w:rsidR="00CB5DFF">
                <w:rPr>
                  <w:i/>
                  <w:color w:val="0000FF"/>
                  <w:u w:val="single"/>
                </w:rPr>
                <w:t>Marie-Laurence.Drillon@eesc.europa.eu</w:t>
              </w:r>
            </w:hyperlink>
          </w:p>
        </w:tc>
      </w:tr>
    </w:tbl>
    <w:p w:rsidR="000417AB" w:rsidP="00D94D34" w:rsidRDefault="000417AB" w14:paraId="4CC2A2A3" w14:textId="77777777">
      <w:pPr>
        <w:jc w:val="left"/>
        <w:rPr>
          <w:lang w:val="en-GB"/>
        </w:rPr>
      </w:pPr>
    </w:p>
    <w:p w:rsidR="000417AB" w:rsidP="00D94D34" w:rsidRDefault="000417AB" w14:paraId="527B1FAF" w14:textId="77777777">
      <w:pPr>
        <w:jc w:val="left"/>
      </w:pPr>
      <w:r>
        <w:br w:type="page"/>
      </w:r>
    </w:p>
    <w:p w:rsidRPr="00682F1F" w:rsidR="00DD6A8D" w:rsidP="009A59C4" w:rsidRDefault="00342135" w14:paraId="4F6865B5" w14:textId="1FDD0C75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8"/>
          <w:szCs w:val="28"/>
        </w:rPr>
      </w:pPr>
      <w:hyperlink w:history="1" r:id="rId65">
        <w:r w:rsidR="00DD6A8D">
          <w:rPr>
            <w:b/>
            <w:i/>
            <w:color w:val="0000FF"/>
            <w:sz w:val="28"/>
            <w:u w:val="single"/>
          </w:rPr>
          <w:t>Zajednička bijela knjiga o europskoj obrambenoj spremnosti 2030.</w:t>
        </w:r>
      </w:hyperlink>
    </w:p>
    <w:p w:rsidRPr="000F00DC" w:rsidR="00DD6A8D" w:rsidP="00D94D34" w:rsidRDefault="00DD6A8D" w14:paraId="7312A3FF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25"/>
        <w:gridCol w:w="7264"/>
      </w:tblGrid>
      <w:tr w:rsidRPr="00DD6A8D" w:rsidR="00DD6A8D" w:rsidTr="000E6823" w14:paraId="1258D23D" w14:textId="77777777">
        <w:tc>
          <w:tcPr>
            <w:tcW w:w="1090" w:type="pct"/>
          </w:tcPr>
          <w:p w:rsidRPr="00DD6A8D" w:rsidR="00DD6A8D" w:rsidP="00D94D34" w:rsidRDefault="00DD6A8D" w14:paraId="2D2A6646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Izvjestitelj/ica:</w:t>
            </w:r>
          </w:p>
          <w:p w:rsidRPr="00DD6A8D" w:rsidR="00DD6A8D" w:rsidP="00D94D34" w:rsidRDefault="00DD6A8D" w14:paraId="4EA24FFD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Suizvjestitelj/ica:</w:t>
            </w:r>
          </w:p>
        </w:tc>
        <w:tc>
          <w:tcPr>
            <w:tcW w:w="3910" w:type="pct"/>
          </w:tcPr>
          <w:p w:rsidRPr="00DD6A8D" w:rsidR="00DD6A8D" w:rsidP="00D94D34" w:rsidRDefault="00DD6A8D" w14:paraId="43E37E78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proofErr w:type="spellStart"/>
            <w:r>
              <w:t>Marcin</w:t>
            </w:r>
            <w:proofErr w:type="spellEnd"/>
            <w:r>
              <w:t xml:space="preserve"> NOWACKI (Skupina poslodavaca – PL)</w:t>
            </w:r>
          </w:p>
          <w:p w:rsidRPr="00DD6A8D" w:rsidR="00DD6A8D" w:rsidP="00D94D34" w:rsidRDefault="00DD6A8D" w14:paraId="49AD245D" w14:textId="5C573312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Carlos TRINDADE (Skupina radnika – PT)</w:t>
            </w:r>
          </w:p>
        </w:tc>
      </w:tr>
      <w:tr w:rsidRPr="00DD6A8D" w:rsidR="00DD6A8D" w:rsidTr="000E6823" w14:paraId="50B1523E" w14:textId="77777777">
        <w:tc>
          <w:tcPr>
            <w:tcW w:w="1090" w:type="pct"/>
          </w:tcPr>
          <w:p w:rsidRPr="00DD6A8D" w:rsidR="00DD6A8D" w:rsidP="00D94D34" w:rsidRDefault="00DD6A8D" w14:paraId="549EF0FB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Referentni dokumenti/i:</w:t>
            </w:r>
          </w:p>
        </w:tc>
        <w:tc>
          <w:tcPr>
            <w:tcW w:w="3910" w:type="pct"/>
          </w:tcPr>
          <w:p w:rsidR="003425F4" w:rsidP="00D94D34" w:rsidRDefault="003425F4" w14:paraId="0952E3DD" w14:textId="303D02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 xml:space="preserve">JOIN(2025) 120 </w:t>
            </w:r>
            <w:proofErr w:type="spellStart"/>
            <w:r>
              <w:t>final</w:t>
            </w:r>
            <w:proofErr w:type="spellEnd"/>
          </w:p>
          <w:p w:rsidRPr="00DD6A8D" w:rsidR="00DD6A8D" w:rsidP="00D94D34" w:rsidRDefault="00DD6A8D" w14:paraId="708F9E1A" w14:textId="00C7BAB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EESC-2025-01136-00-00-AC</w:t>
            </w:r>
          </w:p>
        </w:tc>
      </w:tr>
    </w:tbl>
    <w:p w:rsidRPr="000E6823" w:rsidR="00DD6A8D" w:rsidP="00D94D34" w:rsidRDefault="00DD6A8D" w14:paraId="3DACE5AC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</w:pPr>
    </w:p>
    <w:p w:rsidRPr="000F00DC" w:rsidR="00DD6A8D" w:rsidP="00D94D34" w:rsidRDefault="00DD6A8D" w14:paraId="1F116194" w14:textId="3DF33CFA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EGSO:</w:t>
      </w:r>
    </w:p>
    <w:p w:rsidRPr="00DD6A8D" w:rsidR="00DD6A8D" w:rsidP="009A59C4" w:rsidRDefault="00DD6A8D" w14:paraId="78D933E4" w14:textId="77777777">
      <w:pPr>
        <w:widowControl w:val="0"/>
        <w:numPr>
          <w:ilvl w:val="0"/>
          <w:numId w:val="59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szCs w:val="20"/>
        </w:rPr>
      </w:pPr>
      <w:r>
        <w:t xml:space="preserve">podržava </w:t>
      </w:r>
      <w:r>
        <w:rPr>
          <w:b/>
          <w:bCs/>
        </w:rPr>
        <w:t xml:space="preserve">sveobuhvatnu i </w:t>
      </w:r>
      <w:proofErr w:type="spellStart"/>
      <w:r>
        <w:rPr>
          <w:b/>
          <w:bCs/>
        </w:rPr>
        <w:t>uključivu</w:t>
      </w:r>
      <w:proofErr w:type="spellEnd"/>
      <w:r>
        <w:rPr>
          <w:b/>
          <w:bCs/>
        </w:rPr>
        <w:t xml:space="preserve"> europsku obrambenu strategiju</w:t>
      </w:r>
      <w:r>
        <w:t xml:space="preserve"> kojom se vojna spremnost objedinjuje s civilnom pripravnošću, socijalnom otpornošću, diplomacijom, međunarodnim pravom i promicanjem mira, demokracije i ljudskih prava.</w:t>
      </w:r>
    </w:p>
    <w:p w:rsidRPr="00DD6A8D" w:rsidR="00DD6A8D" w:rsidP="009A59C4" w:rsidRDefault="00DD6A8D" w14:paraId="3FA8BCD2" w14:textId="77777777">
      <w:pPr>
        <w:widowControl w:val="0"/>
        <w:numPr>
          <w:ilvl w:val="0"/>
          <w:numId w:val="59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szCs w:val="20"/>
        </w:rPr>
      </w:pPr>
      <w:r>
        <w:t xml:space="preserve">EU mora hitno ukloniti </w:t>
      </w:r>
      <w:r>
        <w:rPr>
          <w:b/>
          <w:bCs/>
        </w:rPr>
        <w:t>hibridne i konvencionalne prijetnje, smanjiti ovisnost o vanjskim akterima i ojačati stratešku autonomiju</w:t>
      </w:r>
      <w:r>
        <w:t>.</w:t>
      </w:r>
    </w:p>
    <w:p w:rsidRPr="00DD6A8D" w:rsidR="00DD6A8D" w:rsidP="009A59C4" w:rsidRDefault="00DD6A8D" w14:paraId="47609C08" w14:textId="77777777">
      <w:pPr>
        <w:widowControl w:val="0"/>
        <w:numPr>
          <w:ilvl w:val="0"/>
          <w:numId w:val="59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szCs w:val="20"/>
        </w:rPr>
      </w:pPr>
      <w:r>
        <w:t xml:space="preserve">ističe </w:t>
      </w:r>
      <w:r>
        <w:rPr>
          <w:b/>
          <w:bCs/>
        </w:rPr>
        <w:t>potrebu za ciljanom potporom MSP-ovima i regionalnom razvoju</w:t>
      </w:r>
      <w:r>
        <w:t xml:space="preserve"> i pritom zagovara pojednostavljene postupke, pravedan pristup financiranju te snažniju integraciju u lance vrijednosti u području obrane;</w:t>
      </w:r>
    </w:p>
    <w:p w:rsidRPr="00DD6A8D" w:rsidR="00DD6A8D" w:rsidP="009A59C4" w:rsidRDefault="00DD6A8D" w14:paraId="604EAD48" w14:textId="77777777">
      <w:pPr>
        <w:widowControl w:val="0"/>
        <w:numPr>
          <w:ilvl w:val="0"/>
          <w:numId w:val="59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szCs w:val="20"/>
        </w:rPr>
      </w:pPr>
      <w:r>
        <w:t xml:space="preserve">podržava </w:t>
      </w:r>
      <w:r>
        <w:rPr>
          <w:b/>
          <w:bCs/>
        </w:rPr>
        <w:t>poziv na djelovanje iz zaključaka Europskog vijeća o europskoj obrani,</w:t>
      </w:r>
      <w:r>
        <w:t xml:space="preserve"> objavljen 6. ožujka 2025.</w:t>
      </w:r>
      <w:r w:rsidRPr="00DD6A8D">
        <w:rPr>
          <w:sz w:val="24"/>
          <w:vertAlign w:val="superscript"/>
          <w:lang w:val="en-GB"/>
        </w:rPr>
        <w:footnoteReference w:id="1"/>
      </w:r>
      <w:r>
        <w:t xml:space="preserve"> i uvjeren je da EU treba brzo djelovati kako bi uklonio nedostatke u ključnim sposobnostima i mobilizirati instrumente nužne za jačanje svoje sigurnosti i poboljšanje zaštite svojih građana i građanki;</w:t>
      </w:r>
    </w:p>
    <w:p w:rsidRPr="00DD6A8D" w:rsidR="00DD6A8D" w:rsidP="009A59C4" w:rsidRDefault="00DD6A8D" w14:paraId="455A7CD8" w14:textId="77777777">
      <w:pPr>
        <w:widowControl w:val="0"/>
        <w:numPr>
          <w:ilvl w:val="0"/>
          <w:numId w:val="59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szCs w:val="20"/>
        </w:rPr>
      </w:pPr>
      <w:r>
        <w:t xml:space="preserve">EGSO pozdravlja </w:t>
      </w:r>
      <w:r>
        <w:rPr>
          <w:b/>
          <w:bCs/>
        </w:rPr>
        <w:t>predložene mehanizme financiranja</w:t>
      </w:r>
      <w:r>
        <w:t xml:space="preserve">, međutim naglašava da je </w:t>
      </w:r>
      <w:r>
        <w:rPr>
          <w:b/>
          <w:bCs/>
        </w:rPr>
        <w:t>potrebno osigurati da svaka država članica ima jednak i transparentan pristup financiranju</w:t>
      </w:r>
      <w:r>
        <w:t>.</w:t>
      </w:r>
    </w:p>
    <w:p w:rsidRPr="00DD6A8D" w:rsidR="00DD6A8D" w:rsidP="009A59C4" w:rsidRDefault="00DD6A8D" w14:paraId="3B745491" w14:textId="77777777">
      <w:pPr>
        <w:widowControl w:val="0"/>
        <w:numPr>
          <w:ilvl w:val="0"/>
          <w:numId w:val="59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szCs w:val="20"/>
        </w:rPr>
      </w:pPr>
      <w:r>
        <w:t xml:space="preserve">podržava inicijative za </w:t>
      </w:r>
      <w:r>
        <w:rPr>
          <w:b/>
          <w:bCs/>
        </w:rPr>
        <w:t>procjenu izvedivosti rješenja</w:t>
      </w:r>
      <w:r>
        <w:t xml:space="preserve"> koja su države članice prihvatile za </w:t>
      </w:r>
      <w:r>
        <w:rPr>
          <w:b/>
          <w:bCs/>
        </w:rPr>
        <w:t>uspostavu trajnog mehanizma financiranja obrane</w:t>
      </w:r>
      <w:r>
        <w:t xml:space="preserve"> koji bi se mogao temeljiti na međuvladinom sporazumu i uključivati zemlje koje nisu članice EU-a.</w:t>
      </w:r>
    </w:p>
    <w:p w:rsidRPr="00DD6A8D" w:rsidR="00DD6A8D" w:rsidP="009A59C4" w:rsidRDefault="00DD6A8D" w14:paraId="78DD204E" w14:textId="77777777">
      <w:pPr>
        <w:widowControl w:val="0"/>
        <w:numPr>
          <w:ilvl w:val="0"/>
          <w:numId w:val="59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/>
          <w:bCs/>
          <w:szCs w:val="20"/>
        </w:rPr>
      </w:pPr>
      <w:r>
        <w:t xml:space="preserve">zabrinut je da </w:t>
      </w:r>
      <w:r>
        <w:rPr>
          <w:b/>
          <w:bCs/>
        </w:rPr>
        <w:t>ograničena fleksibilnost</w:t>
      </w:r>
      <w:r>
        <w:t xml:space="preserve"> koju je predložila Europska komisija i koja se sastoji od aktivacije nacionalnih zaštitnih klauzula za izdatke za obranu </w:t>
      </w:r>
      <w:r>
        <w:rPr>
          <w:b/>
          <w:bCs/>
        </w:rPr>
        <w:t>neće ukloniti rizik od kompromisa između izdataka za obranu i socijalnih izdataka</w:t>
      </w:r>
      <w:r>
        <w:t>;</w:t>
      </w:r>
    </w:p>
    <w:p w:rsidRPr="00DD6A8D" w:rsidR="00DD6A8D" w:rsidP="009A59C4" w:rsidRDefault="00DD6A8D" w14:paraId="562D442D" w14:textId="77777777">
      <w:pPr>
        <w:widowControl w:val="0"/>
        <w:numPr>
          <w:ilvl w:val="0"/>
          <w:numId w:val="59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/>
          <w:bCs/>
          <w:szCs w:val="20"/>
        </w:rPr>
      </w:pPr>
      <w:r>
        <w:t xml:space="preserve">ističe </w:t>
      </w:r>
      <w:r>
        <w:rPr>
          <w:b/>
          <w:bCs/>
        </w:rPr>
        <w:t>stratešku važnost istočnog krila Europe</w:t>
      </w:r>
      <w:r>
        <w:t xml:space="preserve"> i poziva na </w:t>
      </w:r>
      <w:r>
        <w:rPr>
          <w:b/>
          <w:bCs/>
        </w:rPr>
        <w:t>pojačanu suradnju s državama na prvoj liniji</w:t>
      </w:r>
      <w:r>
        <w:t xml:space="preserve"> i</w:t>
      </w:r>
    </w:p>
    <w:p w:rsidRPr="002B42AA" w:rsidR="00DD6A8D" w:rsidP="00D94D34" w:rsidRDefault="00DD6A8D" w14:paraId="219D454C" w14:textId="77777777">
      <w:pPr>
        <w:widowControl w:val="0"/>
        <w:numPr>
          <w:ilvl w:val="0"/>
          <w:numId w:val="59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szCs w:val="20"/>
        </w:rPr>
      </w:pPr>
      <w:r>
        <w:t>smatra da je nužna bliska suradnja s NATO-om, trećim zemljama i ključnim partnerima kao što je Ukrajina.</w:t>
      </w:r>
    </w:p>
    <w:p w:rsidRPr="00DD6A8D" w:rsidR="002B42AA" w:rsidP="009A59C4" w:rsidRDefault="002B42AA" w14:paraId="226143E7" w14:textId="77777777">
      <w:pPr>
        <w:overflowPunct w:val="0"/>
        <w:autoSpaceDE w:val="0"/>
        <w:autoSpaceDN w:val="0"/>
        <w:adjustRightInd w:val="0"/>
        <w:ind w:left="284"/>
        <w:textAlignment w:val="baseline"/>
        <w:outlineLvl w:val="1"/>
        <w:rPr>
          <w:szCs w:val="20"/>
          <w:lang w:val="en-GB"/>
        </w:rPr>
      </w:pPr>
    </w:p>
    <w:p w:rsidRPr="00DD6A8D" w:rsidR="00DD6A8D" w:rsidP="00D94D34" w:rsidRDefault="00DD6A8D" w14:paraId="29782B02" w14:textId="77777777">
      <w:pPr>
        <w:widowControl w:val="0"/>
        <w:overflowPunct w:val="0"/>
        <w:autoSpaceDE w:val="0"/>
        <w:autoSpaceDN w:val="0"/>
        <w:adjustRightInd w:val="0"/>
        <w:ind w:left="709"/>
        <w:textAlignment w:val="baseline"/>
        <w:rPr>
          <w:sz w:val="6"/>
          <w:szCs w:val="4"/>
          <w:lang w:val="en-GB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84"/>
        <w:gridCol w:w="7905"/>
      </w:tblGrid>
      <w:tr w:rsidRPr="00DD6A8D" w:rsidR="00DD6A8D" w:rsidTr="000E6823" w14:paraId="17996BF1" w14:textId="77777777">
        <w:tc>
          <w:tcPr>
            <w:tcW w:w="745" w:type="pct"/>
          </w:tcPr>
          <w:p w:rsidRPr="00DD6A8D" w:rsidR="00DD6A8D" w:rsidP="00D94D34" w:rsidRDefault="00DD6A8D" w14:paraId="0216C0A0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b/>
                <w:i/>
              </w:rPr>
              <w:t>Kontakt:</w:t>
            </w:r>
          </w:p>
        </w:tc>
        <w:tc>
          <w:tcPr>
            <w:tcW w:w="4255" w:type="pct"/>
          </w:tcPr>
          <w:p w:rsidRPr="00DD6A8D" w:rsidR="00DD6A8D" w:rsidP="00D94D34" w:rsidRDefault="00DD6A8D" w14:paraId="3DE865E2" w14:textId="45D890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Marie-</w:t>
            </w:r>
            <w:proofErr w:type="spellStart"/>
            <w:r>
              <w:rPr>
                <w:i/>
              </w:rPr>
              <w:t>Laurence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Drillon</w:t>
            </w:r>
            <w:proofErr w:type="spellEnd"/>
          </w:p>
        </w:tc>
      </w:tr>
      <w:tr w:rsidRPr="00DD6A8D" w:rsidR="00DD6A8D" w:rsidTr="000E6823" w14:paraId="332914DA" w14:textId="77777777">
        <w:tc>
          <w:tcPr>
            <w:tcW w:w="745" w:type="pct"/>
          </w:tcPr>
          <w:p w:rsidRPr="00DD6A8D" w:rsidR="00DD6A8D" w:rsidP="00D94D34" w:rsidRDefault="00DD6A8D" w14:paraId="73CEC90D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4255" w:type="pct"/>
          </w:tcPr>
          <w:p w:rsidRPr="00DD6A8D" w:rsidR="00DD6A8D" w:rsidP="00D94D34" w:rsidRDefault="00DD6A8D" w14:paraId="5F03E305" w14:textId="4981CA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+32 25468320</w:t>
            </w:r>
          </w:p>
        </w:tc>
      </w:tr>
      <w:tr w:rsidRPr="00DD6A8D" w:rsidR="00DD6A8D" w:rsidTr="000E6823" w14:paraId="3E275A3D" w14:textId="77777777">
        <w:tc>
          <w:tcPr>
            <w:tcW w:w="745" w:type="pct"/>
          </w:tcPr>
          <w:p w:rsidRPr="00DD6A8D" w:rsidR="00DD6A8D" w:rsidP="00D94D34" w:rsidRDefault="00DD6A8D" w14:paraId="4A11C776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E-pošta</w:t>
            </w:r>
            <w:r>
              <w:rPr>
                <w:i/>
                <w:iCs/>
              </w:rPr>
              <w:t>:</w:t>
            </w:r>
          </w:p>
        </w:tc>
        <w:tc>
          <w:tcPr>
            <w:tcW w:w="4255" w:type="pct"/>
          </w:tcPr>
          <w:p w:rsidRPr="00DD6A8D" w:rsidR="00DD6A8D" w:rsidP="00D94D34" w:rsidRDefault="00342135" w14:paraId="271DD2A9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hyperlink w:history="1" r:id="rId66">
              <w:r w:rsidR="00CB5DFF">
                <w:rPr>
                  <w:i/>
                  <w:color w:val="0000FF"/>
                  <w:u w:val="single"/>
                </w:rPr>
                <w:t>Marie-Laurence.Drillon@eesc.europa.eu</w:t>
              </w:r>
            </w:hyperlink>
          </w:p>
        </w:tc>
      </w:tr>
    </w:tbl>
    <w:p w:rsidR="006D2C8A" w:rsidP="00D94D34" w:rsidRDefault="006D2C8A" w14:paraId="4464305F" w14:textId="61E61331">
      <w:pPr>
        <w:jc w:val="left"/>
      </w:pPr>
      <w:r>
        <w:br w:type="page"/>
      </w:r>
    </w:p>
    <w:p w:rsidRPr="006D2C8A" w:rsidR="006D2C8A" w:rsidP="00D94D34" w:rsidRDefault="006D2C8A" w14:paraId="528C73AA" w14:textId="46DE726B">
      <w:pPr>
        <w:pStyle w:val="Heading1"/>
        <w:rPr>
          <w:b/>
        </w:rPr>
      </w:pPr>
      <w:bookmarkStart w:name="_Toc205373410" w:id="145"/>
      <w:r>
        <w:rPr>
          <w:b/>
          <w:color w:val="222A35" w:themeColor="text2" w:themeShade="80"/>
        </w:rPr>
        <w:lastRenderedPageBreak/>
        <w:t>SAVJETODAVNO POVJERENSTVO ZA INDUSTRIJSKE PROMJENE</w:t>
      </w:r>
      <w:bookmarkEnd w:id="145"/>
    </w:p>
    <w:p w:rsidRPr="00130741" w:rsidR="006D2C8A" w:rsidP="00D94D34" w:rsidRDefault="006D2C8A" w14:paraId="713E272F" w14:textId="77777777">
      <w:pPr>
        <w:rPr>
          <w:sz w:val="18"/>
          <w:szCs w:val="18"/>
        </w:rPr>
      </w:pPr>
    </w:p>
    <w:p w:rsidRPr="009A59C4" w:rsidR="00E007D4" w:rsidP="00D94D34" w:rsidRDefault="00342135" w14:paraId="63D76577" w14:textId="590CD609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ind w:left="567" w:hanging="567"/>
        <w:contextualSpacing/>
        <w:jc w:val="left"/>
        <w:textAlignment w:val="baseline"/>
        <w:rPr>
          <w:sz w:val="28"/>
          <w:szCs w:val="28"/>
        </w:rPr>
      </w:pPr>
      <w:hyperlink w:history="1" r:id="rId67">
        <w:r w:rsidR="00E007D4">
          <w:rPr>
            <w:b/>
            <w:i/>
            <w:color w:val="0000FF"/>
            <w:sz w:val="28"/>
            <w:u w:val="single"/>
          </w:rPr>
          <w:t>Akcijski plan za automobilsku industriju</w:t>
        </w:r>
      </w:hyperlink>
    </w:p>
    <w:p w:rsidRPr="00130741" w:rsidR="00DC6D3C" w:rsidP="009A59C4" w:rsidRDefault="00DC6D3C" w14:paraId="75F39825" w14:textId="77777777">
      <w:pPr>
        <w:widowControl w:val="0"/>
        <w:overflowPunct w:val="0"/>
        <w:autoSpaceDE w:val="0"/>
        <w:autoSpaceDN w:val="0"/>
        <w:adjustRightInd w:val="0"/>
        <w:ind w:left="360"/>
        <w:contextualSpacing/>
        <w:jc w:val="left"/>
        <w:textAlignment w:val="baseline"/>
        <w:rPr>
          <w:sz w:val="18"/>
          <w:szCs w:val="18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1829"/>
        <w:gridCol w:w="7385"/>
      </w:tblGrid>
      <w:tr w:rsidRPr="00E007D4" w:rsidR="00E007D4" w:rsidTr="00204A12" w14:paraId="6EA5CD1E" w14:textId="77777777">
        <w:tc>
          <w:tcPr>
            <w:tcW w:w="1701" w:type="dxa"/>
          </w:tcPr>
          <w:p w:rsidRPr="00E007D4" w:rsidR="00E007D4" w:rsidP="00D94D34" w:rsidRDefault="00E007D4" w14:paraId="595C6996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Izvjestitelj/ica:</w:t>
            </w:r>
          </w:p>
        </w:tc>
        <w:tc>
          <w:tcPr>
            <w:tcW w:w="7513" w:type="dxa"/>
          </w:tcPr>
          <w:p w:rsidRPr="00E007D4" w:rsidR="00E007D4" w:rsidP="00D94D34" w:rsidRDefault="00E007D4" w14:paraId="494B73C9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proofErr w:type="spellStart"/>
            <w:r>
              <w:t>Gonçalo</w:t>
            </w:r>
            <w:proofErr w:type="spellEnd"/>
            <w:r>
              <w:t xml:space="preserve"> LOBO XAVIER (Skupina poslodavaca – PT)</w:t>
            </w:r>
          </w:p>
        </w:tc>
      </w:tr>
      <w:tr w:rsidRPr="00E007D4" w:rsidR="00E007D4" w:rsidTr="00204A12" w14:paraId="37682EA8" w14:textId="77777777">
        <w:tc>
          <w:tcPr>
            <w:tcW w:w="1701" w:type="dxa"/>
          </w:tcPr>
          <w:p w:rsidRPr="00E007D4" w:rsidR="00E007D4" w:rsidP="00D94D34" w:rsidRDefault="00E007D4" w14:paraId="69BAF5B3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Suizvjestitelj/ica:</w:t>
            </w:r>
          </w:p>
        </w:tc>
        <w:tc>
          <w:tcPr>
            <w:tcW w:w="7513" w:type="dxa"/>
          </w:tcPr>
          <w:p w:rsidRPr="00E007D4" w:rsidR="00E007D4" w:rsidP="00D94D34" w:rsidRDefault="00E007D4" w14:paraId="4470D355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Guido NELISSEN (Cat. 2 – BE)</w:t>
            </w:r>
          </w:p>
        </w:tc>
      </w:tr>
      <w:tr w:rsidRPr="00E007D4" w:rsidR="00E007D4" w:rsidTr="00204A12" w14:paraId="08F5B028" w14:textId="77777777">
        <w:tc>
          <w:tcPr>
            <w:tcW w:w="1701" w:type="dxa"/>
          </w:tcPr>
          <w:p w:rsidRPr="00E007D4" w:rsidR="00E007D4" w:rsidP="00D94D34" w:rsidRDefault="00E007D4" w14:paraId="432B3770" w14:textId="7E6A7EC4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Referentni dokumenti/i:</w:t>
            </w:r>
          </w:p>
        </w:tc>
        <w:tc>
          <w:tcPr>
            <w:tcW w:w="7513" w:type="dxa"/>
          </w:tcPr>
          <w:p w:rsidR="00DC6D3C" w:rsidP="00D94D34" w:rsidRDefault="00DC6D3C" w14:paraId="2E8FFC95" w14:textId="556C110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 xml:space="preserve">COM(2025) 95 </w:t>
            </w:r>
            <w:proofErr w:type="spellStart"/>
            <w:r>
              <w:t>final</w:t>
            </w:r>
            <w:proofErr w:type="spellEnd"/>
          </w:p>
          <w:p w:rsidRPr="00E007D4" w:rsidR="00E007D4" w:rsidP="00D94D34" w:rsidRDefault="00E007D4" w14:paraId="6BFAA0BF" w14:textId="113B64A0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EESC-2025-01374-00-00-AC</w:t>
            </w:r>
          </w:p>
        </w:tc>
      </w:tr>
    </w:tbl>
    <w:p w:rsidRPr="00130741" w:rsidR="00E007D4" w:rsidP="00D94D34" w:rsidRDefault="00E007D4" w14:paraId="5473B03E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sz w:val="18"/>
          <w:szCs w:val="18"/>
          <w:lang w:val="en-GB"/>
        </w:rPr>
      </w:pPr>
    </w:p>
    <w:p w:rsidRPr="00E007D4" w:rsidR="00E007D4" w:rsidP="00D94D34" w:rsidRDefault="00E007D4" w14:paraId="753D1FD3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Ključne točke</w:t>
      </w:r>
    </w:p>
    <w:p w:rsidRPr="00130741" w:rsidR="00E007D4" w:rsidP="00D94D34" w:rsidRDefault="00E007D4" w14:paraId="44FAD1AC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sz w:val="18"/>
          <w:szCs w:val="18"/>
          <w:lang w:val="en-GB"/>
        </w:rPr>
      </w:pPr>
    </w:p>
    <w:p w:rsidRPr="00E007D4" w:rsidR="00DC6D3C" w:rsidP="00D94D34" w:rsidRDefault="00E007D4" w14:paraId="5929EB63" w14:textId="357A1D1F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Cs/>
        </w:rPr>
      </w:pPr>
      <w:r>
        <w:t>EGSO:</w:t>
      </w:r>
    </w:p>
    <w:p w:rsidRPr="00E007D4" w:rsidR="00E007D4" w:rsidP="009A59C4" w:rsidRDefault="00E007D4" w14:paraId="758D184F" w14:textId="77777777">
      <w:pPr>
        <w:widowControl w:val="0"/>
        <w:numPr>
          <w:ilvl w:val="0"/>
          <w:numId w:val="59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szCs w:val="20"/>
        </w:rPr>
      </w:pPr>
      <w:r>
        <w:t>prepoznaje ključnu važnost automobilske industrije kao strateškog stupa europskog gospodarstva, kako u pogledu zapošljavanja, tako i u pogledu industrijske dodane vrijednosti, i naglašava da treba osigurati konkretnu i održivu budućnost tog sektora;</w:t>
      </w:r>
    </w:p>
    <w:p w:rsidRPr="00E007D4" w:rsidR="00E007D4" w:rsidP="009A59C4" w:rsidRDefault="00E007D4" w14:paraId="40EA7AF9" w14:textId="77777777">
      <w:pPr>
        <w:widowControl w:val="0"/>
        <w:numPr>
          <w:ilvl w:val="0"/>
          <w:numId w:val="59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szCs w:val="20"/>
        </w:rPr>
      </w:pPr>
      <w:r>
        <w:t xml:space="preserve">poziva na donošenje sveobuhvatne </w:t>
      </w:r>
      <w:r>
        <w:rPr>
          <w:b/>
        </w:rPr>
        <w:t>europske strategije za pravednu i konkurentnu tranziciju</w:t>
      </w:r>
      <w:r>
        <w:t xml:space="preserve"> u automobilskom sektoru, koja bi se temeljila na ulaganju u vještine, inovacije, infrastrukturu i kružno gospodarstvo i bila posebno usredotočena na mala i srednja poduzeća (MSP);</w:t>
      </w:r>
    </w:p>
    <w:p w:rsidRPr="00E007D4" w:rsidR="00E007D4" w:rsidP="009A59C4" w:rsidRDefault="00E007D4" w14:paraId="7E7C6810" w14:textId="77777777">
      <w:pPr>
        <w:widowControl w:val="0"/>
        <w:numPr>
          <w:ilvl w:val="0"/>
          <w:numId w:val="59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szCs w:val="20"/>
        </w:rPr>
      </w:pPr>
      <w:r>
        <w:t xml:space="preserve">naglašava da treba pružiti potporu </w:t>
      </w:r>
      <w:proofErr w:type="spellStart"/>
      <w:r>
        <w:rPr>
          <w:b/>
        </w:rPr>
        <w:t>najpogođenijim</w:t>
      </w:r>
      <w:proofErr w:type="spellEnd"/>
      <w:r>
        <w:rPr>
          <w:b/>
        </w:rPr>
        <w:t xml:space="preserve"> regijama i najugroženijim radnicima</w:t>
      </w:r>
      <w:r>
        <w:t xml:space="preserve">, posebno onima u MSP-ovima i mrežama </w:t>
      </w:r>
      <w:proofErr w:type="spellStart"/>
      <w:r>
        <w:t>podugovaratelja</w:t>
      </w:r>
      <w:proofErr w:type="spellEnd"/>
      <w:r>
        <w:t xml:space="preserve"> u mnogim državama članicama, i u tu svrhu koristiti ciljane programe prekvalifikacije, javna i privatna ulaganja i mobilizaciju sredstava EU-a;</w:t>
      </w:r>
    </w:p>
    <w:p w:rsidRPr="00E007D4" w:rsidR="00E007D4" w:rsidP="009A59C4" w:rsidRDefault="00E007D4" w14:paraId="05B12434" w14:textId="77777777">
      <w:pPr>
        <w:widowControl w:val="0"/>
        <w:numPr>
          <w:ilvl w:val="0"/>
          <w:numId w:val="59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szCs w:val="20"/>
        </w:rPr>
      </w:pPr>
      <w:r>
        <w:t xml:space="preserve">poziva Europsku komisiju da osigura </w:t>
      </w:r>
      <w:r>
        <w:rPr>
          <w:b/>
          <w:bCs/>
        </w:rPr>
        <w:t>odgovarajuću ravnotežu između regulatorne stabilnosti/dosljednosti i ciljane fleksibilnosti</w:t>
      </w:r>
      <w:r>
        <w:t>, posebno u područjima poput ciljeva smanjenja CO2 i održivih goriva;</w:t>
      </w:r>
    </w:p>
    <w:p w:rsidRPr="00E007D4" w:rsidR="00E007D4" w:rsidP="009A59C4" w:rsidRDefault="00E007D4" w14:paraId="77C69210" w14:textId="77777777">
      <w:pPr>
        <w:widowControl w:val="0"/>
        <w:numPr>
          <w:ilvl w:val="0"/>
          <w:numId w:val="59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szCs w:val="20"/>
        </w:rPr>
      </w:pPr>
      <w:r>
        <w:t>naglašava da je za rješavanje strukturnih problema s kojima se suočava cijeli automobilski lanac opskrbe (npr. ovisnost o kritičnim sirovinama, nepošteno tržišno natjecanje Kine, koje se ne odnosi samo na programe izravnog uvoza vozila već i proizvodne sustave, i geopolitičke napetosti koje utječu na lance opskrbe) potrebna</w:t>
      </w:r>
      <w:r>
        <w:rPr>
          <w:b/>
        </w:rPr>
        <w:t xml:space="preserve"> koordinirana europska industrijska strategija</w:t>
      </w:r>
      <w:r>
        <w:t>;</w:t>
      </w:r>
    </w:p>
    <w:p w:rsidRPr="00E007D4" w:rsidR="00E007D4" w:rsidP="009A59C4" w:rsidRDefault="00E007D4" w14:paraId="17DE7257" w14:textId="77777777">
      <w:pPr>
        <w:widowControl w:val="0"/>
        <w:numPr>
          <w:ilvl w:val="0"/>
          <w:numId w:val="59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szCs w:val="20"/>
        </w:rPr>
      </w:pPr>
      <w:r>
        <w:t xml:space="preserve">preporučuje da se </w:t>
      </w:r>
      <w:r>
        <w:rPr>
          <w:b/>
        </w:rPr>
        <w:t>ubrza uvođenje infrastrukture za punjenje električnih vozila</w:t>
      </w:r>
      <w:r>
        <w:t xml:space="preserve"> kako bi se osigurala ravnomjerna pokrivenost u svim regijama EU-a i tako spriječile razlike u dostupnosti održivoj mobilnosti;</w:t>
      </w:r>
    </w:p>
    <w:p w:rsidRPr="00E007D4" w:rsidR="00E007D4" w:rsidP="009A59C4" w:rsidRDefault="00E007D4" w14:paraId="4BD53744" w14:textId="77777777">
      <w:pPr>
        <w:widowControl w:val="0"/>
        <w:numPr>
          <w:ilvl w:val="0"/>
          <w:numId w:val="59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szCs w:val="20"/>
        </w:rPr>
      </w:pPr>
      <w:r>
        <w:t xml:space="preserve">naglašava važnost </w:t>
      </w:r>
      <w:r>
        <w:rPr>
          <w:b/>
        </w:rPr>
        <w:t>ulaganja u obrazovanje i istraživanje i razvoj</w:t>
      </w:r>
      <w:r>
        <w:t>, pogotovo u tehnologije baterija i automobilski softver, kako bi se u tim ključnim područjima Europa vratila na vodeći položaj;</w:t>
      </w:r>
    </w:p>
    <w:p w:rsidRPr="00E007D4" w:rsidR="00E007D4" w:rsidP="009A59C4" w:rsidRDefault="00E007D4" w14:paraId="4DB6065E" w14:textId="77777777">
      <w:pPr>
        <w:widowControl w:val="0"/>
        <w:numPr>
          <w:ilvl w:val="0"/>
          <w:numId w:val="59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szCs w:val="20"/>
        </w:rPr>
      </w:pPr>
      <w:r>
        <w:t xml:space="preserve">poziva na usklađivanje normi i propisa o autonomnim i povezanim vozilima kako bi se </w:t>
      </w:r>
      <w:r>
        <w:rPr>
          <w:b/>
          <w:bCs/>
        </w:rPr>
        <w:t>poduprlo ispitivanje i uključivanje tih vozila u javni promet</w:t>
      </w:r>
      <w:r>
        <w:t xml:space="preserve"> i zajamčila sigurnost i povjerenje potrošača;</w:t>
      </w:r>
    </w:p>
    <w:p w:rsidRPr="00E007D4" w:rsidR="00E007D4" w:rsidP="009A59C4" w:rsidRDefault="00E007D4" w14:paraId="5B1F15BE" w14:textId="77777777">
      <w:pPr>
        <w:widowControl w:val="0"/>
        <w:numPr>
          <w:ilvl w:val="0"/>
          <w:numId w:val="59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szCs w:val="20"/>
        </w:rPr>
      </w:pPr>
      <w:r>
        <w:t xml:space="preserve">preporučuje da se </w:t>
      </w:r>
      <w:r>
        <w:rPr>
          <w:b/>
        </w:rPr>
        <w:t>uspostave ciljani programi potpore za MSP-ove</w:t>
      </w:r>
      <w:r>
        <w:t xml:space="preserve"> u automobilskom sektoru kako bi im se olakšao pristup financiranju, inovacijama i međunarodnim tržištima, kao i već spomenuta organizacija programa stjecanja vještina i prekvalifikacije.</w:t>
      </w:r>
    </w:p>
    <w:p w:rsidRPr="00130741" w:rsidR="00E007D4" w:rsidP="00D94D34" w:rsidRDefault="00E007D4" w14:paraId="529212CF" w14:textId="77777777">
      <w:pPr>
        <w:overflowPunct w:val="0"/>
        <w:autoSpaceDE w:val="0"/>
        <w:autoSpaceDN w:val="0"/>
        <w:adjustRightInd w:val="0"/>
        <w:textAlignment w:val="baseline"/>
        <w:rPr>
          <w:sz w:val="14"/>
          <w:szCs w:val="14"/>
          <w:lang w:val="en-GB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1418"/>
        <w:gridCol w:w="7796"/>
      </w:tblGrid>
      <w:tr w:rsidRPr="00E007D4" w:rsidR="00E007D4" w:rsidTr="00204A12" w14:paraId="26D00AA9" w14:textId="77777777">
        <w:tc>
          <w:tcPr>
            <w:tcW w:w="1418" w:type="dxa"/>
          </w:tcPr>
          <w:p w:rsidRPr="00E007D4" w:rsidR="00E007D4" w:rsidP="00D94D34" w:rsidRDefault="00E007D4" w14:paraId="48E8618C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b/>
                <w:i/>
              </w:rPr>
              <w:t>Kontakt:</w:t>
            </w:r>
          </w:p>
        </w:tc>
        <w:tc>
          <w:tcPr>
            <w:tcW w:w="7796" w:type="dxa"/>
          </w:tcPr>
          <w:p w:rsidRPr="00E007D4" w:rsidR="00E007D4" w:rsidP="00D94D34" w:rsidRDefault="00E007D4" w14:paraId="15F3033D" w14:textId="4D048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 xml:space="preserve">Ioannis </w:t>
            </w:r>
            <w:proofErr w:type="spellStart"/>
            <w:r>
              <w:rPr>
                <w:i/>
              </w:rPr>
              <w:t>Diamantopoulos</w:t>
            </w:r>
            <w:proofErr w:type="spellEnd"/>
          </w:p>
        </w:tc>
      </w:tr>
      <w:tr w:rsidRPr="00E007D4" w:rsidR="00E007D4" w:rsidTr="00204A12" w14:paraId="3082689F" w14:textId="77777777">
        <w:tc>
          <w:tcPr>
            <w:tcW w:w="1418" w:type="dxa"/>
          </w:tcPr>
          <w:p w:rsidRPr="00E007D4" w:rsidR="00E007D4" w:rsidP="00D94D34" w:rsidRDefault="00E007D4" w14:paraId="1635C486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7796" w:type="dxa"/>
          </w:tcPr>
          <w:p w:rsidRPr="00E007D4" w:rsidR="00E007D4" w:rsidP="00D94D34" w:rsidRDefault="00E007D4" w14:paraId="27C0F4F7" w14:textId="6E0AE9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+32 25469170 </w:t>
            </w:r>
          </w:p>
        </w:tc>
      </w:tr>
      <w:tr w:rsidRPr="00E007D4" w:rsidR="00E007D4" w:rsidTr="00204A12" w14:paraId="17057FEF" w14:textId="77777777">
        <w:trPr>
          <w:trHeight w:val="80"/>
        </w:trPr>
        <w:tc>
          <w:tcPr>
            <w:tcW w:w="1418" w:type="dxa"/>
          </w:tcPr>
          <w:p w:rsidRPr="00E007D4" w:rsidR="00E007D4" w:rsidP="00D94D34" w:rsidRDefault="00E007D4" w14:paraId="15F45AC8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E-pošta</w:t>
            </w:r>
            <w:r>
              <w:rPr>
                <w:i/>
                <w:iCs/>
              </w:rPr>
              <w:t>:</w:t>
            </w:r>
          </w:p>
        </w:tc>
        <w:tc>
          <w:tcPr>
            <w:tcW w:w="7796" w:type="dxa"/>
          </w:tcPr>
          <w:p w:rsidRPr="000E6823" w:rsidR="00E007D4" w:rsidP="00D94D34" w:rsidRDefault="00E007D4" w14:paraId="5A4B54EA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</w:rPr>
            </w:pPr>
            <w:r>
              <w:rPr>
                <w:i/>
              </w:rPr>
              <w:t>Ioannis.Diamantopoulos@eesc.europa.eu</w:t>
            </w:r>
          </w:p>
        </w:tc>
      </w:tr>
    </w:tbl>
    <w:p w:rsidRPr="00130741" w:rsidR="00E007D4" w:rsidP="00D94D34" w:rsidRDefault="00E007D4" w14:paraId="36EC85A5" w14:textId="5C7BEA37">
      <w:pPr>
        <w:jc w:val="left"/>
        <w:rPr>
          <w:sz w:val="10"/>
          <w:szCs w:val="10"/>
          <w:lang w:val="en-GB"/>
        </w:rPr>
      </w:pPr>
    </w:p>
    <w:p w:rsidRPr="009A59C4" w:rsidR="002A204A" w:rsidP="00D94D34" w:rsidRDefault="00342135" w14:paraId="1A510864" w14:textId="539DFE7E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ind w:left="567" w:hanging="567"/>
        <w:contextualSpacing/>
        <w:jc w:val="left"/>
        <w:textAlignment w:val="baseline"/>
        <w:rPr>
          <w:sz w:val="28"/>
          <w:szCs w:val="28"/>
        </w:rPr>
      </w:pPr>
      <w:hyperlink w:history="1" r:id="rId68">
        <w:r w:rsidR="002A204A">
          <w:rPr>
            <w:b/>
            <w:i/>
            <w:color w:val="0000FF"/>
            <w:sz w:val="28"/>
            <w:u w:val="single"/>
          </w:rPr>
          <w:t>Sigurnosne mjere za Europu (SAFE) putem Instrumenta za jačanje europske obrambene industrije</w:t>
        </w:r>
      </w:hyperlink>
    </w:p>
    <w:p w:rsidRPr="00130741" w:rsidR="00332ABE" w:rsidP="009A59C4" w:rsidRDefault="00332ABE" w14:paraId="2D96A214" w14:textId="77777777">
      <w:pPr>
        <w:widowControl w:val="0"/>
        <w:overflowPunct w:val="0"/>
        <w:autoSpaceDE w:val="0"/>
        <w:autoSpaceDN w:val="0"/>
        <w:adjustRightInd w:val="0"/>
        <w:ind w:left="360"/>
        <w:contextualSpacing/>
        <w:jc w:val="left"/>
        <w:textAlignment w:val="baseline"/>
        <w:rPr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29"/>
        <w:gridCol w:w="7460"/>
      </w:tblGrid>
      <w:tr w:rsidRPr="002A204A" w:rsidR="002A204A" w:rsidTr="00204A12" w14:paraId="37532D2C" w14:textId="77777777">
        <w:tc>
          <w:tcPr>
            <w:tcW w:w="1701" w:type="dxa"/>
          </w:tcPr>
          <w:p w:rsidRPr="002A204A" w:rsidR="002A204A" w:rsidP="00D94D34" w:rsidRDefault="002A204A" w14:paraId="31BBA5D1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Izvjestitelj/ica:</w:t>
            </w:r>
          </w:p>
        </w:tc>
        <w:tc>
          <w:tcPr>
            <w:tcW w:w="7479" w:type="dxa"/>
          </w:tcPr>
          <w:p w:rsidRPr="002A204A" w:rsidR="002A204A" w:rsidP="00D94D34" w:rsidRDefault="002A204A" w14:paraId="06D51354" w14:textId="7972B08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proofErr w:type="spellStart"/>
            <w:r>
              <w:t>Maurizio</w:t>
            </w:r>
            <w:proofErr w:type="spellEnd"/>
            <w:r>
              <w:t xml:space="preserve"> MENSI (Skupina organizacija civilnog društva – IT)</w:t>
            </w:r>
          </w:p>
        </w:tc>
      </w:tr>
      <w:tr w:rsidRPr="002A204A" w:rsidR="002A204A" w:rsidTr="00204A12" w14:paraId="0A39A639" w14:textId="77777777">
        <w:tc>
          <w:tcPr>
            <w:tcW w:w="1701" w:type="dxa"/>
          </w:tcPr>
          <w:p w:rsidRPr="002A204A" w:rsidR="002A204A" w:rsidP="00D94D34" w:rsidRDefault="002A204A" w14:paraId="0CF8B88B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Suizvjestitelj/ica:</w:t>
            </w:r>
          </w:p>
        </w:tc>
        <w:tc>
          <w:tcPr>
            <w:tcW w:w="7479" w:type="dxa"/>
          </w:tcPr>
          <w:p w:rsidRPr="002A204A" w:rsidR="002A204A" w:rsidP="00D94D34" w:rsidRDefault="002A204A" w14:paraId="3CCC71E1" w14:textId="3FEB45EC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Jan PIE (Cat. 1 – SE)</w:t>
            </w:r>
          </w:p>
        </w:tc>
      </w:tr>
      <w:tr w:rsidRPr="002A204A" w:rsidR="002A204A" w:rsidTr="00204A12" w14:paraId="5A7F1C7A" w14:textId="77777777">
        <w:tc>
          <w:tcPr>
            <w:tcW w:w="1701" w:type="dxa"/>
          </w:tcPr>
          <w:p w:rsidRPr="002A204A" w:rsidR="002A204A" w:rsidP="00130741" w:rsidRDefault="002A204A" w14:paraId="0194E92D" w14:textId="2F8E536E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66" w:hanging="266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Referentni dokumenti/i:</w:t>
            </w:r>
          </w:p>
        </w:tc>
        <w:tc>
          <w:tcPr>
            <w:tcW w:w="7479" w:type="dxa"/>
          </w:tcPr>
          <w:p w:rsidR="00332ABE" w:rsidP="00D94D34" w:rsidRDefault="00332ABE" w14:paraId="6650C353" w14:textId="3A0C18C6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 xml:space="preserve">COM(2025) 122 </w:t>
            </w:r>
            <w:proofErr w:type="spellStart"/>
            <w:r>
              <w:t>final</w:t>
            </w:r>
            <w:proofErr w:type="spellEnd"/>
          </w:p>
          <w:p w:rsidRPr="002A204A" w:rsidR="002A204A" w:rsidP="00D94D34" w:rsidRDefault="002A204A" w14:paraId="48C2212A" w14:textId="01459AD0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EESC-2025-00980-00-00-AC</w:t>
            </w:r>
          </w:p>
        </w:tc>
      </w:tr>
    </w:tbl>
    <w:p w:rsidRPr="00130741" w:rsidR="002A204A" w:rsidP="00D94D34" w:rsidRDefault="002A204A" w14:paraId="59745FEB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sz w:val="10"/>
          <w:szCs w:val="10"/>
          <w:lang w:val="en-GB"/>
        </w:rPr>
      </w:pPr>
    </w:p>
    <w:p w:rsidRPr="002A204A" w:rsidR="002A204A" w:rsidP="00D94D34" w:rsidRDefault="002A204A" w14:paraId="60908DEA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Ključne točke</w:t>
      </w:r>
    </w:p>
    <w:p w:rsidRPr="00130741" w:rsidR="002A204A" w:rsidP="00D94D34" w:rsidRDefault="002A204A" w14:paraId="24A13828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sz w:val="10"/>
          <w:szCs w:val="10"/>
          <w:lang w:val="en-GB"/>
        </w:rPr>
      </w:pPr>
    </w:p>
    <w:p w:rsidR="002A204A" w:rsidP="00D94D34" w:rsidRDefault="002A204A" w14:paraId="57F40A75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Cs/>
        </w:rPr>
      </w:pPr>
      <w:r>
        <w:t>EGSO:</w:t>
      </w:r>
    </w:p>
    <w:p w:rsidRPr="002A204A" w:rsidR="002A204A" w:rsidP="009A59C4" w:rsidRDefault="002A204A" w14:paraId="4841FF9F" w14:textId="77777777">
      <w:pPr>
        <w:widowControl w:val="0"/>
        <w:numPr>
          <w:ilvl w:val="0"/>
          <w:numId w:val="59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szCs w:val="20"/>
        </w:rPr>
      </w:pPr>
      <w:bookmarkStart w:name="_Toc204261570" w:id="146"/>
      <w:bookmarkStart w:name="_Toc204268834" w:id="147"/>
      <w:bookmarkStart w:name="_Toc204268999" w:id="148"/>
      <w:bookmarkStart w:name="_Toc204269133" w:id="149"/>
      <w:bookmarkStart w:name="_Toc204269238" w:id="150"/>
      <w:bookmarkStart w:name="_Toc204269343" w:id="151"/>
      <w:bookmarkStart w:name="_Toc204269439" w:id="152"/>
      <w:bookmarkStart w:name="_Toc204269527" w:id="153"/>
      <w:bookmarkStart w:name="_Toc204269607" w:id="154"/>
      <w:bookmarkStart w:name="_Toc204269679" w:id="155"/>
      <w:bookmarkStart w:name="_Toc204269739" w:id="156"/>
      <w:bookmarkStart w:name="_Toc204269786" w:id="157"/>
      <w:bookmarkStart w:name="_Toc204269821" w:id="158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r>
        <w:rPr>
          <w:b/>
        </w:rPr>
        <w:t>naglašava</w:t>
      </w:r>
      <w:r>
        <w:t xml:space="preserve"> da SAFE treba doprinijeti povećanju ulaganja u europsku obrambenu tehnološku i industrijsku bazu i smanjenju ovisnosti o trećim zemljama kako bi se ojačali europska sloboda djelovanja i sigurnost opskrbe u tom području;</w:t>
      </w:r>
    </w:p>
    <w:p w:rsidRPr="002A204A" w:rsidR="002A204A" w:rsidP="009A59C4" w:rsidRDefault="002A204A" w14:paraId="26F85DCA" w14:textId="77777777">
      <w:pPr>
        <w:widowControl w:val="0"/>
        <w:numPr>
          <w:ilvl w:val="0"/>
          <w:numId w:val="59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szCs w:val="20"/>
        </w:rPr>
      </w:pPr>
      <w:r>
        <w:rPr>
          <w:b/>
        </w:rPr>
        <w:t>preporučuje</w:t>
      </w:r>
      <w:r>
        <w:t xml:space="preserve"> da države članice hitno u najvećoj mogućoj mjeri iskoriste SAFE, koordinirano i u skladu sa svojim financijskim situacijama, imajući u vidu njegovo privlačno financiranje i popratne olakšice, kao i činjenicu da ulaganja u okviru SAFE-a (npr. za vojnu mobilnost) također mogu doprinijeti konkurentnosti i civilnim ciljevima;</w:t>
      </w:r>
    </w:p>
    <w:p w:rsidRPr="002A204A" w:rsidR="002A204A" w:rsidP="009A59C4" w:rsidRDefault="002A204A" w14:paraId="2132DEDC" w14:textId="77777777">
      <w:pPr>
        <w:widowControl w:val="0"/>
        <w:numPr>
          <w:ilvl w:val="0"/>
          <w:numId w:val="59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szCs w:val="20"/>
        </w:rPr>
      </w:pPr>
      <w:r>
        <w:rPr>
          <w:b/>
        </w:rPr>
        <w:t xml:space="preserve">naglašava </w:t>
      </w:r>
      <w:r>
        <w:t>da je važno ulaganja usmjeriti na potrebe u području ključnih kapaciteta koje su države članice utvrdile unutar okvira EU-a i na europsku obrambenu tehnološku i industrijsku bazu;</w:t>
      </w:r>
    </w:p>
    <w:p w:rsidRPr="002A204A" w:rsidR="002A204A" w:rsidP="009A59C4" w:rsidRDefault="002A204A" w14:paraId="379C548C" w14:textId="77777777">
      <w:pPr>
        <w:widowControl w:val="0"/>
        <w:numPr>
          <w:ilvl w:val="0"/>
          <w:numId w:val="59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szCs w:val="20"/>
        </w:rPr>
      </w:pPr>
      <w:r>
        <w:rPr>
          <w:b/>
        </w:rPr>
        <w:t>naglašava</w:t>
      </w:r>
      <w:r>
        <w:t xml:space="preserve"> da treba zadovoljiti hitne potrebe država članica, istodobno ojačati obrambenu spremnost EU-a i konkurentnost europske obrambene tehnološke i industrijske baze i zaštititi buduću slobodu djelovanja država članica;</w:t>
      </w:r>
    </w:p>
    <w:p w:rsidRPr="002A204A" w:rsidR="002A204A" w:rsidP="009A59C4" w:rsidRDefault="002A204A" w14:paraId="0364424D" w14:textId="77777777">
      <w:pPr>
        <w:widowControl w:val="0"/>
        <w:numPr>
          <w:ilvl w:val="0"/>
          <w:numId w:val="59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szCs w:val="20"/>
        </w:rPr>
      </w:pPr>
      <w:r>
        <w:rPr>
          <w:b/>
        </w:rPr>
        <w:t>odlučno podržava</w:t>
      </w:r>
      <w:r>
        <w:t xml:space="preserve"> ideju da se pri provedbi SAFE-a (npr. u slučaju prekomjernih prijava) strogo primjenjuje načelo davanja prednosti europskoj proizvodnji, odnosno zahtjev da znatan dio sadržaja bude iz EU-a i da se za složene proizvode (druga kategorija) može odlučivati o definiciji, prilagodbi i razvoju dizajna (načelo „nadležnosti za dizajn”) bez ograničenja od strane trećih zemalja i </w:t>
      </w:r>
      <w:r>
        <w:rPr>
          <w:b/>
        </w:rPr>
        <w:t>predlaže</w:t>
      </w:r>
      <w:r>
        <w:t xml:space="preserve"> da se za manje složene proizvode (prva kategorija) za koje je pitanje nadležnosti za dizajn relevantno osiguraju poticaji za nabavu onih proizvoda za koje je nadležna Europa;</w:t>
      </w:r>
    </w:p>
    <w:p w:rsidRPr="002A204A" w:rsidR="002A204A" w:rsidP="009A59C4" w:rsidRDefault="002A204A" w14:paraId="3850235E" w14:textId="77777777">
      <w:pPr>
        <w:widowControl w:val="0"/>
        <w:numPr>
          <w:ilvl w:val="0"/>
          <w:numId w:val="59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szCs w:val="20"/>
        </w:rPr>
      </w:pPr>
      <w:r>
        <w:rPr>
          <w:b/>
        </w:rPr>
        <w:t>izražava žaljenje</w:t>
      </w:r>
      <w:r>
        <w:t xml:space="preserve"> zbog toga što projektili, zaštita kritične infrastrukture i kibernetička pitanja nisu uključeni kao proizvodi druge kategorije, za koje bi nadležnost trebala biti u europskim rukama;</w:t>
      </w:r>
    </w:p>
    <w:p w:rsidRPr="002A204A" w:rsidR="002A204A" w:rsidP="009A59C4" w:rsidRDefault="002A204A" w14:paraId="7569AB1B" w14:textId="77777777">
      <w:pPr>
        <w:widowControl w:val="0"/>
        <w:numPr>
          <w:ilvl w:val="0"/>
          <w:numId w:val="59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szCs w:val="20"/>
        </w:rPr>
      </w:pPr>
      <w:r>
        <w:rPr>
          <w:b/>
        </w:rPr>
        <w:t>ukazuje na to</w:t>
      </w:r>
      <w:r>
        <w:t xml:space="preserve"> da sudjelovanje trećih zemalja i njihovih industrija (uz iznimku Ukrajine i zemalja EFTA-e koje su članice EGP-a) u SAFE-u mora biti omogućeno samo partnerima sličnih stavova koji su s EU-om potpisali partnerstvo u području sigurnosti i obrane i da sudjelovanje industrija trećih zemalja ne bi smjelo ugroziti glavni cilj instrumenta, odnosno jačanje europske obrambene tehnološke i industrijske baze i smanjenje ovisnosti o neeuropskim dobavljačima;</w:t>
      </w:r>
    </w:p>
    <w:p w:rsidR="002A204A" w:rsidP="00D94D34" w:rsidRDefault="002A204A" w14:paraId="71D62277" w14:textId="3A0E2C2A">
      <w:pPr>
        <w:widowControl w:val="0"/>
        <w:numPr>
          <w:ilvl w:val="0"/>
          <w:numId w:val="59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szCs w:val="20"/>
        </w:rPr>
      </w:pPr>
      <w:r>
        <w:rPr>
          <w:b/>
        </w:rPr>
        <w:t>naglašava</w:t>
      </w:r>
      <w:r>
        <w:t xml:space="preserve"> da bi instrument SAFE trebao poslužiti kao polazište za mobilizaciju dodatnih sredstava i poziva države članice da hitno poduzmu mjere u tom pogledu.</w:t>
      </w:r>
    </w:p>
    <w:p w:rsidRPr="00130741" w:rsidR="000F5704" w:rsidP="00D94D34" w:rsidRDefault="000F5704" w14:paraId="4CC111E3" w14:textId="77777777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284"/>
        <w:textAlignment w:val="baseline"/>
        <w:rPr>
          <w:sz w:val="10"/>
          <w:szCs w:val="10"/>
          <w:lang w:val="en-GB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1418"/>
        <w:gridCol w:w="7904"/>
      </w:tblGrid>
      <w:tr w:rsidRPr="002A204A" w:rsidR="002A204A" w:rsidTr="00204A12" w14:paraId="634E732C" w14:textId="77777777">
        <w:tc>
          <w:tcPr>
            <w:tcW w:w="1418" w:type="dxa"/>
          </w:tcPr>
          <w:p w:rsidRPr="002A204A" w:rsidR="002A204A" w:rsidP="00D94D34" w:rsidRDefault="002A204A" w14:paraId="5FA241A3" w14:textId="294D81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b/>
                <w:i/>
              </w:rPr>
              <w:t>Kontakt:</w:t>
            </w:r>
          </w:p>
        </w:tc>
        <w:tc>
          <w:tcPr>
            <w:tcW w:w="7904" w:type="dxa"/>
          </w:tcPr>
          <w:p w:rsidRPr="002A204A" w:rsidR="002A204A" w:rsidP="00D94D34" w:rsidRDefault="002A204A" w14:paraId="6EBCFD4D" w14:textId="567BAA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 xml:space="preserve">Ioannis </w:t>
            </w:r>
            <w:proofErr w:type="spellStart"/>
            <w:r>
              <w:rPr>
                <w:i/>
              </w:rPr>
              <w:t>Diamantopoulos</w:t>
            </w:r>
            <w:proofErr w:type="spellEnd"/>
          </w:p>
        </w:tc>
      </w:tr>
      <w:tr w:rsidRPr="002A204A" w:rsidR="002A204A" w:rsidTr="00204A12" w14:paraId="090E0D60" w14:textId="77777777">
        <w:tc>
          <w:tcPr>
            <w:tcW w:w="1418" w:type="dxa"/>
          </w:tcPr>
          <w:p w:rsidRPr="002A204A" w:rsidR="002A204A" w:rsidP="00D94D34" w:rsidRDefault="002A204A" w14:paraId="53A55718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7904" w:type="dxa"/>
          </w:tcPr>
          <w:p w:rsidRPr="002A204A" w:rsidR="002A204A" w:rsidP="00D94D34" w:rsidRDefault="002A204A" w14:paraId="090B1415" w14:textId="251DAE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+32 25469170</w:t>
            </w:r>
          </w:p>
        </w:tc>
      </w:tr>
      <w:tr w:rsidRPr="002A204A" w:rsidR="002A204A" w:rsidTr="00204A12" w14:paraId="16D81AA0" w14:textId="77777777">
        <w:trPr>
          <w:trHeight w:val="80"/>
        </w:trPr>
        <w:tc>
          <w:tcPr>
            <w:tcW w:w="1418" w:type="dxa"/>
          </w:tcPr>
          <w:p w:rsidRPr="002A204A" w:rsidR="002A204A" w:rsidP="00D94D34" w:rsidRDefault="002A204A" w14:paraId="7B23C1A3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E-pošta</w:t>
            </w:r>
            <w:r>
              <w:rPr>
                <w:i/>
                <w:iCs/>
              </w:rPr>
              <w:t>:</w:t>
            </w:r>
          </w:p>
        </w:tc>
        <w:tc>
          <w:tcPr>
            <w:tcW w:w="7904" w:type="dxa"/>
          </w:tcPr>
          <w:p w:rsidRPr="000E6823" w:rsidR="002A204A" w:rsidP="00D94D34" w:rsidRDefault="00342135" w14:paraId="25C87909" w14:textId="5EF2D6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</w:rPr>
            </w:pPr>
            <w:hyperlink w:history="1" r:id="rId69">
              <w:r w:rsidR="00CB5DFF">
                <w:rPr>
                  <w:rStyle w:val="Hyperlink"/>
                  <w:i/>
                </w:rPr>
                <w:t>Ioannis.Diamantopoulos@eesc.europa.eu</w:t>
              </w:r>
            </w:hyperlink>
          </w:p>
        </w:tc>
      </w:tr>
    </w:tbl>
    <w:p w:rsidRPr="00130741" w:rsidR="000D394D" w:rsidP="00D94D34" w:rsidRDefault="002A204A" w14:paraId="2E28EF19" w14:textId="7D562548">
      <w:pPr>
        <w:jc w:val="center"/>
        <w:rPr>
          <w:sz w:val="2"/>
          <w:szCs w:val="2"/>
        </w:rPr>
      </w:pPr>
      <w:r>
        <w:t>______________</w:t>
      </w:r>
    </w:p>
    <w:sectPr w:rsidRPr="00130741" w:rsidR="000D394D" w:rsidSect="00086E35">
      <w:headerReference w:type="even" r:id="rId70"/>
      <w:headerReference w:type="default" r:id="rId71"/>
      <w:footerReference w:type="even" r:id="rId72"/>
      <w:footerReference w:type="default" r:id="rId73"/>
      <w:headerReference w:type="first" r:id="rId74"/>
      <w:footerReference w:type="first" r:id="rId75"/>
      <w:pgSz w:w="11907" w:h="1683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30FBB" w14:textId="77777777" w:rsidR="001E391D" w:rsidRDefault="001E391D" w:rsidP="00B518C9">
      <w:pPr>
        <w:spacing w:line="240" w:lineRule="auto"/>
      </w:pPr>
      <w:r>
        <w:separator/>
      </w:r>
    </w:p>
  </w:endnote>
  <w:endnote w:type="continuationSeparator" w:id="0">
    <w:p w14:paraId="11583423" w14:textId="77777777" w:rsidR="001E391D" w:rsidRDefault="001E391D" w:rsidP="00B518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3EFC2" w14:textId="77777777" w:rsidR="002A26F0" w:rsidRPr="00086E35" w:rsidRDefault="002A26F0" w:rsidP="00086E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2DE51" w14:textId="20A01506" w:rsidR="00B518C9" w:rsidRPr="00086E35" w:rsidRDefault="00086E35" w:rsidP="00086E35">
    <w:pPr>
      <w:pStyle w:val="Footer"/>
    </w:pPr>
    <w:r>
      <w:t xml:space="preserve">EESC-2025-02211-00-00-TCD-TRA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9A59C4">
      <w:t>1</w:t>
    </w:r>
    <w:r>
      <w:fldChar w:fldCharType="end"/>
    </w:r>
    <w:r>
      <w:t>/</w:t>
    </w:r>
    <w:r w:rsidR="00342135">
      <w:fldChar w:fldCharType="begin"/>
    </w:r>
    <w:r w:rsidR="00342135">
      <w:instrText xml:space="preserve"> NUMPAGES </w:instrText>
    </w:r>
    <w:r w:rsidR="00342135">
      <w:fldChar w:fldCharType="separate"/>
    </w:r>
    <w:r w:rsidR="009A59C4">
      <w:t>1</w:t>
    </w:r>
    <w:r w:rsidR="00342135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39A25" w14:textId="77777777" w:rsidR="002A26F0" w:rsidRPr="00086E35" w:rsidRDefault="002A26F0" w:rsidP="00086E3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7C4C3" w14:textId="77777777" w:rsidR="00086E35" w:rsidRPr="00086E35" w:rsidRDefault="00086E35" w:rsidP="00086E3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C4D2F" w14:textId="64ABECC4" w:rsidR="00086E35" w:rsidRPr="00086E35" w:rsidRDefault="00086E35" w:rsidP="00086E35">
    <w:pPr>
      <w:pStyle w:val="Footer"/>
    </w:pPr>
    <w:r>
      <w:t xml:space="preserve">EESC-2025-02211-00-00-TCD-TRA (EN) </w:t>
    </w:r>
    <w:r>
      <w:fldChar w:fldCharType="begin"/>
    </w:r>
    <w:r>
      <w:instrText xml:space="preserve"> PAGE  \* Arabic  \* MERGEFORMAT </w:instrText>
    </w:r>
    <w:r>
      <w:fldChar w:fldCharType="separate"/>
    </w:r>
    <w:r>
      <w:t>35</w:t>
    </w:r>
    <w:r>
      <w:fldChar w:fldCharType="end"/>
    </w:r>
    <w:r>
      <w:t>/</w:t>
    </w:r>
    <w:r w:rsidR="00342135">
      <w:fldChar w:fldCharType="begin"/>
    </w:r>
    <w:r w:rsidR="00342135">
      <w:instrText xml:space="preserve"> NUMPAGES </w:instrText>
    </w:r>
    <w:r w:rsidR="00342135">
      <w:fldChar w:fldCharType="separate"/>
    </w:r>
    <w:r>
      <w:t>36</w:t>
    </w:r>
    <w:r w:rsidR="00342135"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7F902" w14:textId="77777777" w:rsidR="00086E35" w:rsidRPr="00086E35" w:rsidRDefault="00086E35" w:rsidP="00086E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2DB26" w14:textId="77777777" w:rsidR="001E391D" w:rsidRDefault="001E391D" w:rsidP="00B518C9">
      <w:pPr>
        <w:spacing w:line="240" w:lineRule="auto"/>
      </w:pPr>
      <w:r>
        <w:separator/>
      </w:r>
    </w:p>
  </w:footnote>
  <w:footnote w:type="continuationSeparator" w:id="0">
    <w:p w14:paraId="1175CF01" w14:textId="77777777" w:rsidR="001E391D" w:rsidRDefault="001E391D" w:rsidP="00B518C9">
      <w:pPr>
        <w:spacing w:line="240" w:lineRule="auto"/>
      </w:pPr>
      <w:r>
        <w:continuationSeparator/>
      </w:r>
    </w:p>
  </w:footnote>
  <w:footnote w:id="1">
    <w:p w14:paraId="7C30314C" w14:textId="77777777" w:rsidR="00DD6A8D" w:rsidRPr="0097670E" w:rsidRDefault="00DD6A8D" w:rsidP="00DD6A8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1" w:history="1">
        <w:r>
          <w:rPr>
            <w:rStyle w:val="Hyperlink"/>
          </w:rPr>
          <w:t>Zaključci Europskog vijeća o europskoj obrani</w:t>
        </w:r>
      </w:hyperlink>
      <w:r>
        <w:t>, 6. ožujka 2025.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5D93D" w14:textId="77777777" w:rsidR="002A26F0" w:rsidRPr="00086E35" w:rsidRDefault="002A26F0" w:rsidP="00086E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1C25A" w14:textId="1B1B455C" w:rsidR="002A26F0" w:rsidRPr="00086E35" w:rsidRDefault="002A26F0" w:rsidP="00086E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810C8" w14:textId="77777777" w:rsidR="002A26F0" w:rsidRPr="00086E35" w:rsidRDefault="002A26F0" w:rsidP="00086E3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B942D" w14:textId="77777777" w:rsidR="00086E35" w:rsidRPr="00086E35" w:rsidRDefault="00086E35" w:rsidP="00086E3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88730" w14:textId="4AFA5AE9" w:rsidR="00086E35" w:rsidRPr="00086E35" w:rsidRDefault="00086E35" w:rsidP="00086E3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9FB8F" w14:textId="77777777" w:rsidR="00086E35" w:rsidRPr="00086E35" w:rsidRDefault="00086E35" w:rsidP="00086E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8047256"/>
    <w:lvl w:ilvl="0">
      <w:start w:val="1"/>
      <w:numFmt w:val="decimal"/>
      <w:pStyle w:val="Heading1"/>
      <w:lvlText w:val="%1."/>
      <w:legacy w:legacy="1" w:legacySpace="0" w:legacyIndent="0"/>
      <w:lvlJc w:val="left"/>
      <w:rPr>
        <w:b w:val="0"/>
        <w:bCs/>
      </w:rPr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FFFFFFFE"/>
    <w:multiLevelType w:val="singleLevel"/>
    <w:tmpl w:val="FB7A0E80"/>
    <w:lvl w:ilvl="0">
      <w:numFmt w:val="decimal"/>
      <w:lvlText w:val="*"/>
      <w:lvlJc w:val="left"/>
    </w:lvl>
  </w:abstractNum>
  <w:abstractNum w:abstractNumId="2" w15:restartNumberingAfterBreak="0">
    <w:nsid w:val="0234321A"/>
    <w:multiLevelType w:val="hybridMultilevel"/>
    <w:tmpl w:val="BB043E52"/>
    <w:lvl w:ilvl="0" w:tplc="E0B41C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E0B41C9A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771200B"/>
    <w:multiLevelType w:val="hybridMultilevel"/>
    <w:tmpl w:val="14241D02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90A78"/>
    <w:multiLevelType w:val="hybridMultilevel"/>
    <w:tmpl w:val="AE02F050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C4870"/>
    <w:multiLevelType w:val="multilevel"/>
    <w:tmpl w:val="275418F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6" w15:restartNumberingAfterBreak="0">
    <w:nsid w:val="1129786E"/>
    <w:multiLevelType w:val="hybridMultilevel"/>
    <w:tmpl w:val="C24C817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BD151C"/>
    <w:multiLevelType w:val="hybridMultilevel"/>
    <w:tmpl w:val="EDF6962E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A682A"/>
    <w:multiLevelType w:val="hybridMultilevel"/>
    <w:tmpl w:val="28EE7D00"/>
    <w:lvl w:ilvl="0" w:tplc="8E864B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3653E0"/>
    <w:multiLevelType w:val="hybridMultilevel"/>
    <w:tmpl w:val="0A20DE26"/>
    <w:lvl w:ilvl="0" w:tplc="8E864B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93F2E58"/>
    <w:multiLevelType w:val="multilevel"/>
    <w:tmpl w:val="FFCE1FE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5C12D6"/>
    <w:multiLevelType w:val="hybridMultilevel"/>
    <w:tmpl w:val="7164AA0C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A517F5"/>
    <w:multiLevelType w:val="hybridMultilevel"/>
    <w:tmpl w:val="86981A9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143903"/>
    <w:multiLevelType w:val="hybridMultilevel"/>
    <w:tmpl w:val="CA548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E917FE"/>
    <w:multiLevelType w:val="hybridMultilevel"/>
    <w:tmpl w:val="66A431F0"/>
    <w:lvl w:ilvl="0" w:tplc="8E864B0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0E64D01"/>
    <w:multiLevelType w:val="multilevel"/>
    <w:tmpl w:val="E362D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091950"/>
    <w:multiLevelType w:val="hybridMultilevel"/>
    <w:tmpl w:val="13AC1F8C"/>
    <w:lvl w:ilvl="0" w:tplc="08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4D4110C"/>
    <w:multiLevelType w:val="multilevel"/>
    <w:tmpl w:val="858EFF8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8" w15:restartNumberingAfterBreak="0">
    <w:nsid w:val="257E04D4"/>
    <w:multiLevelType w:val="hybridMultilevel"/>
    <w:tmpl w:val="F5845442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6A2489C"/>
    <w:multiLevelType w:val="multilevel"/>
    <w:tmpl w:val="7B76C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799593B"/>
    <w:multiLevelType w:val="hybridMultilevel"/>
    <w:tmpl w:val="F034A1C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3C273A"/>
    <w:multiLevelType w:val="hybridMultilevel"/>
    <w:tmpl w:val="128E33FE"/>
    <w:lvl w:ilvl="0" w:tplc="8E864B0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2A942A0F"/>
    <w:multiLevelType w:val="hybridMultilevel"/>
    <w:tmpl w:val="8758D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C46573"/>
    <w:multiLevelType w:val="hybridMultilevel"/>
    <w:tmpl w:val="28AA78E8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D83E27"/>
    <w:multiLevelType w:val="hybridMultilevel"/>
    <w:tmpl w:val="1F4CEE8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650528"/>
    <w:multiLevelType w:val="hybridMultilevel"/>
    <w:tmpl w:val="8E48E11E"/>
    <w:lvl w:ilvl="0" w:tplc="8E864B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37865432"/>
    <w:multiLevelType w:val="hybridMultilevel"/>
    <w:tmpl w:val="9E0499D6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8BA6E58"/>
    <w:multiLevelType w:val="hybridMultilevel"/>
    <w:tmpl w:val="DA48B7A8"/>
    <w:lvl w:ilvl="0" w:tplc="8E864B0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3D4C4AC8"/>
    <w:multiLevelType w:val="multilevel"/>
    <w:tmpl w:val="CD68943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29" w15:restartNumberingAfterBreak="0">
    <w:nsid w:val="403C7B2A"/>
    <w:multiLevelType w:val="hybridMultilevel"/>
    <w:tmpl w:val="B89EFB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0B77B5C"/>
    <w:multiLevelType w:val="hybridMultilevel"/>
    <w:tmpl w:val="99666A66"/>
    <w:lvl w:ilvl="0" w:tplc="8E864B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27308B6"/>
    <w:multiLevelType w:val="hybridMultilevel"/>
    <w:tmpl w:val="B80E9486"/>
    <w:lvl w:ilvl="0" w:tplc="8E864B0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43457036"/>
    <w:multiLevelType w:val="hybridMultilevel"/>
    <w:tmpl w:val="0F8A7868"/>
    <w:lvl w:ilvl="0" w:tplc="E0B41C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CE2851"/>
    <w:multiLevelType w:val="hybridMultilevel"/>
    <w:tmpl w:val="D026DDBE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9D325C"/>
    <w:multiLevelType w:val="hybridMultilevel"/>
    <w:tmpl w:val="C79EA32E"/>
    <w:lvl w:ilvl="0" w:tplc="A69C55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7448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E6DB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92B2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BE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2C47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D44D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CAC8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C479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1E605A"/>
    <w:multiLevelType w:val="hybridMultilevel"/>
    <w:tmpl w:val="F0A46954"/>
    <w:lvl w:ilvl="0" w:tplc="8E864B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0F87430"/>
    <w:multiLevelType w:val="multilevel"/>
    <w:tmpl w:val="45869AB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34C4ACD"/>
    <w:multiLevelType w:val="hybridMultilevel"/>
    <w:tmpl w:val="D082B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5109E0"/>
    <w:multiLevelType w:val="hybridMultilevel"/>
    <w:tmpl w:val="EE6C3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EB57A4"/>
    <w:multiLevelType w:val="hybridMultilevel"/>
    <w:tmpl w:val="793ECC62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7C72E15"/>
    <w:multiLevelType w:val="hybridMultilevel"/>
    <w:tmpl w:val="49D49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94E770">
      <w:start w:val="1"/>
      <w:numFmt w:val="lowerLetter"/>
      <w:lvlText w:val="%2."/>
      <w:lvlJc w:val="left"/>
      <w:pPr>
        <w:ind w:left="1440" w:hanging="360"/>
      </w:pPr>
    </w:lvl>
    <w:lvl w:ilvl="2" w:tplc="48F2FBB0">
      <w:start w:val="1"/>
      <w:numFmt w:val="lowerRoman"/>
      <w:lvlText w:val="%3."/>
      <w:lvlJc w:val="right"/>
      <w:pPr>
        <w:ind w:left="2160" w:hanging="180"/>
      </w:pPr>
    </w:lvl>
    <w:lvl w:ilvl="3" w:tplc="194A9B02">
      <w:start w:val="1"/>
      <w:numFmt w:val="decimal"/>
      <w:lvlText w:val="%4."/>
      <w:lvlJc w:val="left"/>
      <w:pPr>
        <w:ind w:left="2880" w:hanging="360"/>
      </w:pPr>
    </w:lvl>
    <w:lvl w:ilvl="4" w:tplc="10E6AFD6">
      <w:start w:val="1"/>
      <w:numFmt w:val="lowerLetter"/>
      <w:lvlText w:val="%5."/>
      <w:lvlJc w:val="left"/>
      <w:pPr>
        <w:ind w:left="3600" w:hanging="360"/>
      </w:pPr>
    </w:lvl>
    <w:lvl w:ilvl="5" w:tplc="59546A76">
      <w:start w:val="1"/>
      <w:numFmt w:val="lowerRoman"/>
      <w:lvlText w:val="%6."/>
      <w:lvlJc w:val="right"/>
      <w:pPr>
        <w:ind w:left="4320" w:hanging="180"/>
      </w:pPr>
    </w:lvl>
    <w:lvl w:ilvl="6" w:tplc="B28879B6">
      <w:start w:val="1"/>
      <w:numFmt w:val="decimal"/>
      <w:lvlText w:val="%7."/>
      <w:lvlJc w:val="left"/>
      <w:pPr>
        <w:ind w:left="5040" w:hanging="360"/>
      </w:pPr>
    </w:lvl>
    <w:lvl w:ilvl="7" w:tplc="C930E540">
      <w:start w:val="1"/>
      <w:numFmt w:val="lowerLetter"/>
      <w:lvlText w:val="%8."/>
      <w:lvlJc w:val="left"/>
      <w:pPr>
        <w:ind w:left="5760" w:hanging="360"/>
      </w:pPr>
    </w:lvl>
    <w:lvl w:ilvl="8" w:tplc="766A47CC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9212CA"/>
    <w:multiLevelType w:val="hybridMultilevel"/>
    <w:tmpl w:val="2C4E3760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D434DD"/>
    <w:multiLevelType w:val="hybridMultilevel"/>
    <w:tmpl w:val="8A3EDDFE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2D2A59"/>
    <w:multiLevelType w:val="multilevel"/>
    <w:tmpl w:val="9BBE3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8FD7832"/>
    <w:multiLevelType w:val="hybridMultilevel"/>
    <w:tmpl w:val="E102B89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510430"/>
    <w:multiLevelType w:val="hybridMultilevel"/>
    <w:tmpl w:val="C728BCF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6801DB"/>
    <w:multiLevelType w:val="multilevel"/>
    <w:tmpl w:val="1038830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47" w15:restartNumberingAfterBreak="0">
    <w:nsid w:val="69E014D1"/>
    <w:multiLevelType w:val="hybridMultilevel"/>
    <w:tmpl w:val="84DED000"/>
    <w:lvl w:ilvl="0" w:tplc="4D645226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8" w15:restartNumberingAfterBreak="0">
    <w:nsid w:val="69FE104F"/>
    <w:multiLevelType w:val="hybridMultilevel"/>
    <w:tmpl w:val="2AAC4D66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A68717D"/>
    <w:multiLevelType w:val="hybridMultilevel"/>
    <w:tmpl w:val="2F6A426C"/>
    <w:lvl w:ilvl="0" w:tplc="8E864B0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0" w15:restartNumberingAfterBreak="0">
    <w:nsid w:val="6E951F21"/>
    <w:multiLevelType w:val="hybridMultilevel"/>
    <w:tmpl w:val="B87863C0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0053BEB"/>
    <w:multiLevelType w:val="multilevel"/>
    <w:tmpl w:val="53C65F8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52" w15:restartNumberingAfterBreak="0">
    <w:nsid w:val="726A1827"/>
    <w:multiLevelType w:val="hybridMultilevel"/>
    <w:tmpl w:val="1FE88E0A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3154246"/>
    <w:multiLevelType w:val="hybridMultilevel"/>
    <w:tmpl w:val="AE2EB4DC"/>
    <w:lvl w:ilvl="0" w:tplc="8E864B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 w15:restartNumberingAfterBreak="0">
    <w:nsid w:val="74B63A66"/>
    <w:multiLevelType w:val="hybridMultilevel"/>
    <w:tmpl w:val="979EE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5DA7D4E"/>
    <w:multiLevelType w:val="hybridMultilevel"/>
    <w:tmpl w:val="CE702D24"/>
    <w:lvl w:ilvl="0" w:tplc="8E864B0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6" w15:restartNumberingAfterBreak="0">
    <w:nsid w:val="767D7BDC"/>
    <w:multiLevelType w:val="hybridMultilevel"/>
    <w:tmpl w:val="193433BE"/>
    <w:lvl w:ilvl="0" w:tplc="89029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957D19"/>
    <w:multiLevelType w:val="hybridMultilevel"/>
    <w:tmpl w:val="AD2C0174"/>
    <w:lvl w:ilvl="0" w:tplc="8E864B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A376B1E"/>
    <w:multiLevelType w:val="hybridMultilevel"/>
    <w:tmpl w:val="B4EC4886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DF14DE0"/>
    <w:multiLevelType w:val="multilevel"/>
    <w:tmpl w:val="02803B6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60" w15:restartNumberingAfterBreak="0">
    <w:nsid w:val="7F3F722F"/>
    <w:multiLevelType w:val="hybridMultilevel"/>
    <w:tmpl w:val="DB5E4B64"/>
    <w:lvl w:ilvl="0" w:tplc="8E864B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7"/>
  </w:num>
  <w:num w:numId="3">
    <w:abstractNumId w:val="56"/>
  </w:num>
  <w:num w:numId="4">
    <w:abstractNumId w:val="24"/>
  </w:num>
  <w:num w:numId="5">
    <w:abstractNumId w:val="22"/>
  </w:num>
  <w:num w:numId="6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  <w:color w:val="auto"/>
          <w:sz w:val="28"/>
          <w:szCs w:val="28"/>
        </w:rPr>
      </w:lvl>
    </w:lvlOverride>
  </w:num>
  <w:num w:numId="7">
    <w:abstractNumId w:val="45"/>
  </w:num>
  <w:num w:numId="8">
    <w:abstractNumId w:val="26"/>
  </w:num>
  <w:num w:numId="9">
    <w:abstractNumId w:val="18"/>
  </w:num>
  <w:num w:numId="10">
    <w:abstractNumId w:val="50"/>
  </w:num>
  <w:num w:numId="11">
    <w:abstractNumId w:val="54"/>
  </w:num>
  <w:num w:numId="12">
    <w:abstractNumId w:val="43"/>
  </w:num>
  <w:num w:numId="13">
    <w:abstractNumId w:val="12"/>
  </w:num>
  <w:num w:numId="14">
    <w:abstractNumId w:val="7"/>
  </w:num>
  <w:num w:numId="15">
    <w:abstractNumId w:val="1"/>
    <w:lvlOverride w:ilvl="0">
      <w:lvl w:ilvl="0">
        <w:numFmt w:val="bullet"/>
        <w:lvlText w:val=""/>
        <w:lvlJc w:val="left"/>
        <w:pPr>
          <w:ind w:left="0" w:hanging="360"/>
        </w:pPr>
        <w:rPr>
          <w:rFonts w:ascii="Symbol" w:hAnsi="Symbol" w:hint="default"/>
          <w:color w:val="auto"/>
        </w:rPr>
      </w:lvl>
    </w:lvlOverride>
  </w:num>
  <w:num w:numId="16">
    <w:abstractNumId w:val="15"/>
  </w:num>
  <w:num w:numId="17">
    <w:abstractNumId w:val="20"/>
  </w:num>
  <w:num w:numId="18">
    <w:abstractNumId w:val="38"/>
  </w:num>
  <w:num w:numId="19">
    <w:abstractNumId w:val="29"/>
  </w:num>
  <w:num w:numId="20">
    <w:abstractNumId w:val="34"/>
  </w:num>
  <w:num w:numId="21">
    <w:abstractNumId w:val="16"/>
  </w:num>
  <w:num w:numId="22">
    <w:abstractNumId w:val="37"/>
  </w:num>
  <w:num w:numId="23">
    <w:abstractNumId w:val="2"/>
  </w:num>
  <w:num w:numId="24">
    <w:abstractNumId w:val="6"/>
  </w:num>
  <w:num w:numId="25">
    <w:abstractNumId w:val="52"/>
  </w:num>
  <w:num w:numId="26">
    <w:abstractNumId w:val="3"/>
  </w:num>
  <w:num w:numId="27">
    <w:abstractNumId w:val="35"/>
  </w:num>
  <w:num w:numId="28">
    <w:abstractNumId w:val="57"/>
  </w:num>
  <w:num w:numId="29">
    <w:abstractNumId w:val="8"/>
  </w:num>
  <w:num w:numId="30">
    <w:abstractNumId w:val="41"/>
  </w:num>
  <w:num w:numId="31">
    <w:abstractNumId w:val="10"/>
  </w:num>
  <w:num w:numId="32">
    <w:abstractNumId w:val="14"/>
  </w:num>
  <w:num w:numId="33">
    <w:abstractNumId w:val="48"/>
  </w:num>
  <w:num w:numId="34">
    <w:abstractNumId w:val="23"/>
  </w:num>
  <w:num w:numId="35">
    <w:abstractNumId w:val="55"/>
  </w:num>
  <w:num w:numId="36">
    <w:abstractNumId w:val="27"/>
  </w:num>
  <w:num w:numId="37">
    <w:abstractNumId w:val="21"/>
  </w:num>
  <w:num w:numId="38">
    <w:abstractNumId w:val="36"/>
  </w:num>
  <w:num w:numId="39">
    <w:abstractNumId w:val="31"/>
  </w:num>
  <w:num w:numId="40">
    <w:abstractNumId w:val="4"/>
  </w:num>
  <w:num w:numId="41">
    <w:abstractNumId w:val="11"/>
  </w:num>
  <w:num w:numId="42">
    <w:abstractNumId w:val="49"/>
  </w:num>
  <w:num w:numId="43">
    <w:abstractNumId w:val="28"/>
  </w:num>
  <w:num w:numId="44">
    <w:abstractNumId w:val="5"/>
  </w:num>
  <w:num w:numId="45">
    <w:abstractNumId w:val="46"/>
  </w:num>
  <w:num w:numId="46">
    <w:abstractNumId w:val="39"/>
  </w:num>
  <w:num w:numId="47">
    <w:abstractNumId w:val="51"/>
  </w:num>
  <w:num w:numId="48">
    <w:abstractNumId w:val="53"/>
  </w:num>
  <w:num w:numId="49">
    <w:abstractNumId w:val="60"/>
  </w:num>
  <w:num w:numId="50">
    <w:abstractNumId w:val="42"/>
  </w:num>
  <w:num w:numId="51">
    <w:abstractNumId w:val="9"/>
  </w:num>
  <w:num w:numId="52">
    <w:abstractNumId w:val="33"/>
  </w:num>
  <w:num w:numId="53">
    <w:abstractNumId w:val="44"/>
  </w:num>
  <w:num w:numId="54">
    <w:abstractNumId w:val="25"/>
  </w:num>
  <w:num w:numId="55">
    <w:abstractNumId w:val="17"/>
  </w:num>
  <w:num w:numId="56">
    <w:abstractNumId w:val="59"/>
  </w:num>
  <w:num w:numId="57">
    <w:abstractNumId w:val="40"/>
  </w:num>
  <w:num w:numId="58">
    <w:abstractNumId w:val="13"/>
  </w:num>
  <w:num w:numId="59">
    <w:abstractNumId w:val="58"/>
  </w:num>
  <w:num w:numId="60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  <w:color w:val="auto"/>
        </w:rPr>
      </w:lvl>
    </w:lvlOverride>
  </w:num>
  <w:num w:numId="61">
    <w:abstractNumId w:val="30"/>
  </w:num>
  <w:num w:numId="62">
    <w:abstractNumId w:val="32"/>
  </w:num>
  <w:num w:numId="63">
    <w:abstractNumId w:val="19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AC0"/>
    <w:rsid w:val="00010A4D"/>
    <w:rsid w:val="000130CB"/>
    <w:rsid w:val="00013E36"/>
    <w:rsid w:val="00023853"/>
    <w:rsid w:val="000417AB"/>
    <w:rsid w:val="00051625"/>
    <w:rsid w:val="00063DFF"/>
    <w:rsid w:val="00084A21"/>
    <w:rsid w:val="0008517E"/>
    <w:rsid w:val="00086E35"/>
    <w:rsid w:val="00096BED"/>
    <w:rsid w:val="000C040B"/>
    <w:rsid w:val="000C3C04"/>
    <w:rsid w:val="000D1800"/>
    <w:rsid w:val="000D394D"/>
    <w:rsid w:val="000E6823"/>
    <w:rsid w:val="000F00DC"/>
    <w:rsid w:val="000F5704"/>
    <w:rsid w:val="0011533E"/>
    <w:rsid w:val="00116D45"/>
    <w:rsid w:val="00117410"/>
    <w:rsid w:val="00121F5D"/>
    <w:rsid w:val="00123B12"/>
    <w:rsid w:val="00130741"/>
    <w:rsid w:val="00150BA4"/>
    <w:rsid w:val="00162A3E"/>
    <w:rsid w:val="00191898"/>
    <w:rsid w:val="00196E1D"/>
    <w:rsid w:val="001B2117"/>
    <w:rsid w:val="001D2CCD"/>
    <w:rsid w:val="001E391D"/>
    <w:rsid w:val="00205F46"/>
    <w:rsid w:val="00222699"/>
    <w:rsid w:val="00247A6F"/>
    <w:rsid w:val="002604F3"/>
    <w:rsid w:val="00270464"/>
    <w:rsid w:val="002769EF"/>
    <w:rsid w:val="002A204A"/>
    <w:rsid w:val="002A26F0"/>
    <w:rsid w:val="002A2B99"/>
    <w:rsid w:val="002A5636"/>
    <w:rsid w:val="002B42AA"/>
    <w:rsid w:val="002B7981"/>
    <w:rsid w:val="002D2FD2"/>
    <w:rsid w:val="002E45FD"/>
    <w:rsid w:val="00302621"/>
    <w:rsid w:val="003066BE"/>
    <w:rsid w:val="00317F69"/>
    <w:rsid w:val="003227CC"/>
    <w:rsid w:val="00332ABE"/>
    <w:rsid w:val="00333DD5"/>
    <w:rsid w:val="00342135"/>
    <w:rsid w:val="003425F4"/>
    <w:rsid w:val="00353A6B"/>
    <w:rsid w:val="0035596B"/>
    <w:rsid w:val="00373BB1"/>
    <w:rsid w:val="003E3542"/>
    <w:rsid w:val="003F326D"/>
    <w:rsid w:val="003F79EF"/>
    <w:rsid w:val="004024CF"/>
    <w:rsid w:val="0043191A"/>
    <w:rsid w:val="00441B86"/>
    <w:rsid w:val="00453951"/>
    <w:rsid w:val="004556DA"/>
    <w:rsid w:val="004604F4"/>
    <w:rsid w:val="00491CD4"/>
    <w:rsid w:val="004A5CD7"/>
    <w:rsid w:val="004D105B"/>
    <w:rsid w:val="004D7829"/>
    <w:rsid w:val="004D7AC0"/>
    <w:rsid w:val="004E7ED8"/>
    <w:rsid w:val="004F5FB2"/>
    <w:rsid w:val="004F6BB0"/>
    <w:rsid w:val="00511220"/>
    <w:rsid w:val="00522C69"/>
    <w:rsid w:val="00532089"/>
    <w:rsid w:val="00533BC5"/>
    <w:rsid w:val="005409C8"/>
    <w:rsid w:val="00540E3F"/>
    <w:rsid w:val="0054246C"/>
    <w:rsid w:val="00564BC0"/>
    <w:rsid w:val="00573D4F"/>
    <w:rsid w:val="00577C7B"/>
    <w:rsid w:val="00586B4B"/>
    <w:rsid w:val="00591C74"/>
    <w:rsid w:val="005A0BDA"/>
    <w:rsid w:val="005E7651"/>
    <w:rsid w:val="00625CA3"/>
    <w:rsid w:val="00626D86"/>
    <w:rsid w:val="00632D4D"/>
    <w:rsid w:val="00641262"/>
    <w:rsid w:val="006433AA"/>
    <w:rsid w:val="00682F1F"/>
    <w:rsid w:val="00687A52"/>
    <w:rsid w:val="006A1800"/>
    <w:rsid w:val="006A699F"/>
    <w:rsid w:val="006D2C8A"/>
    <w:rsid w:val="006D2D64"/>
    <w:rsid w:val="00754027"/>
    <w:rsid w:val="007664F1"/>
    <w:rsid w:val="00766B1A"/>
    <w:rsid w:val="00783A2C"/>
    <w:rsid w:val="007C4BA5"/>
    <w:rsid w:val="007D6DA3"/>
    <w:rsid w:val="007E0584"/>
    <w:rsid w:val="007E7D55"/>
    <w:rsid w:val="007F5784"/>
    <w:rsid w:val="007F7E43"/>
    <w:rsid w:val="008054B2"/>
    <w:rsid w:val="00812C74"/>
    <w:rsid w:val="00843940"/>
    <w:rsid w:val="00845F24"/>
    <w:rsid w:val="0088219D"/>
    <w:rsid w:val="008A7881"/>
    <w:rsid w:val="008F5288"/>
    <w:rsid w:val="00901554"/>
    <w:rsid w:val="00904AE5"/>
    <w:rsid w:val="00956A9F"/>
    <w:rsid w:val="0096346D"/>
    <w:rsid w:val="0097187B"/>
    <w:rsid w:val="0097548B"/>
    <w:rsid w:val="00982A06"/>
    <w:rsid w:val="00987844"/>
    <w:rsid w:val="009A59C4"/>
    <w:rsid w:val="009C6045"/>
    <w:rsid w:val="00A209D1"/>
    <w:rsid w:val="00A20E9D"/>
    <w:rsid w:val="00A21771"/>
    <w:rsid w:val="00A272B2"/>
    <w:rsid w:val="00A37508"/>
    <w:rsid w:val="00A37B74"/>
    <w:rsid w:val="00A41929"/>
    <w:rsid w:val="00A47988"/>
    <w:rsid w:val="00A50553"/>
    <w:rsid w:val="00A60D3A"/>
    <w:rsid w:val="00A71A96"/>
    <w:rsid w:val="00A7331B"/>
    <w:rsid w:val="00A85569"/>
    <w:rsid w:val="00A92E90"/>
    <w:rsid w:val="00AA7628"/>
    <w:rsid w:val="00AB2348"/>
    <w:rsid w:val="00AD201B"/>
    <w:rsid w:val="00AF3022"/>
    <w:rsid w:val="00AF59C7"/>
    <w:rsid w:val="00B0747C"/>
    <w:rsid w:val="00B203DA"/>
    <w:rsid w:val="00B3266A"/>
    <w:rsid w:val="00B518C9"/>
    <w:rsid w:val="00B5758B"/>
    <w:rsid w:val="00B80C75"/>
    <w:rsid w:val="00B84BC8"/>
    <w:rsid w:val="00BA5294"/>
    <w:rsid w:val="00BC2C29"/>
    <w:rsid w:val="00BD5229"/>
    <w:rsid w:val="00BE54B3"/>
    <w:rsid w:val="00C008B4"/>
    <w:rsid w:val="00C17ABD"/>
    <w:rsid w:val="00C21BCE"/>
    <w:rsid w:val="00C241C5"/>
    <w:rsid w:val="00C26C67"/>
    <w:rsid w:val="00C470BA"/>
    <w:rsid w:val="00C75972"/>
    <w:rsid w:val="00C8022C"/>
    <w:rsid w:val="00C821A5"/>
    <w:rsid w:val="00CB1799"/>
    <w:rsid w:val="00CB5DFF"/>
    <w:rsid w:val="00CC1EC8"/>
    <w:rsid w:val="00CF472D"/>
    <w:rsid w:val="00D33617"/>
    <w:rsid w:val="00D43613"/>
    <w:rsid w:val="00D7076A"/>
    <w:rsid w:val="00D7391E"/>
    <w:rsid w:val="00D81F5E"/>
    <w:rsid w:val="00D92269"/>
    <w:rsid w:val="00D94D34"/>
    <w:rsid w:val="00D96673"/>
    <w:rsid w:val="00DA787C"/>
    <w:rsid w:val="00DC6D3C"/>
    <w:rsid w:val="00DD6A8D"/>
    <w:rsid w:val="00DE176A"/>
    <w:rsid w:val="00DE1F66"/>
    <w:rsid w:val="00DE445F"/>
    <w:rsid w:val="00DF2DE9"/>
    <w:rsid w:val="00E007D4"/>
    <w:rsid w:val="00E00A6B"/>
    <w:rsid w:val="00E05051"/>
    <w:rsid w:val="00E34598"/>
    <w:rsid w:val="00E76EC9"/>
    <w:rsid w:val="00E77899"/>
    <w:rsid w:val="00E835E6"/>
    <w:rsid w:val="00EA4BC5"/>
    <w:rsid w:val="00EC3512"/>
    <w:rsid w:val="00EF79D0"/>
    <w:rsid w:val="00F02E15"/>
    <w:rsid w:val="00F0583F"/>
    <w:rsid w:val="00F83C17"/>
    <w:rsid w:val="00F96D7F"/>
    <w:rsid w:val="00FC456F"/>
    <w:rsid w:val="00FC4E50"/>
    <w:rsid w:val="00FD2AA9"/>
    <w:rsid w:val="00FD3512"/>
    <w:rsid w:val="00FE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982DD4D"/>
  <w15:chartTrackingRefBased/>
  <w15:docId w15:val="{CC2967CE-8393-4E48-B2BE-AAD929190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AC0"/>
    <w:pPr>
      <w:spacing w:after="0" w:line="288" w:lineRule="auto"/>
      <w:jc w:val="both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4D7AC0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4D7AC0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4D7AC0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4D7AC0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4D7AC0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4D7AC0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4D7AC0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4D7AC0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4D7AC0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D7AC0"/>
    <w:rPr>
      <w:rFonts w:ascii="Times New Roman" w:eastAsia="Times New Roman" w:hAnsi="Times New Roman" w:cs="Times New Roman"/>
      <w:kern w:val="28"/>
    </w:rPr>
  </w:style>
  <w:style w:type="character" w:customStyle="1" w:styleId="Heading2Char">
    <w:name w:val="Heading 2 Char"/>
    <w:basedOn w:val="DefaultParagraphFont"/>
    <w:link w:val="Heading2"/>
    <w:rsid w:val="004D7AC0"/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rsid w:val="004D7AC0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rsid w:val="004D7AC0"/>
    <w:rPr>
      <w:rFonts w:ascii="Times New Roman" w:eastAsia="Times New Roman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4D7AC0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rsid w:val="004D7AC0"/>
    <w:rPr>
      <w:rFonts w:ascii="Times New Roman" w:eastAsia="Times New Roman" w:hAnsi="Times New Roman" w:cs="Times New Roman"/>
    </w:rPr>
  </w:style>
  <w:style w:type="character" w:customStyle="1" w:styleId="Heading7Char">
    <w:name w:val="Heading 7 Char"/>
    <w:basedOn w:val="DefaultParagraphFont"/>
    <w:link w:val="Heading7"/>
    <w:rsid w:val="004D7AC0"/>
    <w:rPr>
      <w:rFonts w:ascii="Times New Roman" w:eastAsia="Times New Roman" w:hAnsi="Times New Roman" w:cs="Times New Roman"/>
    </w:rPr>
  </w:style>
  <w:style w:type="character" w:customStyle="1" w:styleId="Heading8Char">
    <w:name w:val="Heading 8 Char"/>
    <w:basedOn w:val="DefaultParagraphFont"/>
    <w:link w:val="Heading8"/>
    <w:rsid w:val="004D7AC0"/>
    <w:rPr>
      <w:rFonts w:ascii="Times New Roman" w:eastAsia="Times New Roman" w:hAnsi="Times New Roman" w:cs="Times New Roman"/>
    </w:rPr>
  </w:style>
  <w:style w:type="character" w:customStyle="1" w:styleId="Heading9Char">
    <w:name w:val="Heading 9 Char"/>
    <w:basedOn w:val="DefaultParagraphFont"/>
    <w:link w:val="Heading9"/>
    <w:rsid w:val="004D7AC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qFormat/>
    <w:rsid w:val="004D7AC0"/>
  </w:style>
  <w:style w:type="character" w:customStyle="1" w:styleId="FooterChar">
    <w:name w:val="Footer Char"/>
    <w:basedOn w:val="DefaultParagraphFont"/>
    <w:link w:val="Footer"/>
    <w:rsid w:val="004D7AC0"/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qFormat/>
    <w:rsid w:val="004D7AC0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4D7AC0"/>
    <w:rPr>
      <w:rFonts w:ascii="Times New Roman" w:eastAsia="Times New Roman" w:hAnsi="Times New Roman" w:cs="Times New Roman"/>
      <w:sz w:val="16"/>
    </w:rPr>
  </w:style>
  <w:style w:type="paragraph" w:styleId="Header">
    <w:name w:val="header"/>
    <w:basedOn w:val="Normal"/>
    <w:link w:val="HeaderChar"/>
    <w:qFormat/>
    <w:rsid w:val="004D7AC0"/>
  </w:style>
  <w:style w:type="character" w:customStyle="1" w:styleId="HeaderChar">
    <w:name w:val="Header Char"/>
    <w:basedOn w:val="DefaultParagraphFont"/>
    <w:link w:val="Header"/>
    <w:rsid w:val="004D7AC0"/>
    <w:rPr>
      <w:rFonts w:ascii="Times New Roman" w:eastAsia="Times New Roman" w:hAnsi="Times New Roman" w:cs="Times New Roman"/>
    </w:rPr>
  </w:style>
  <w:style w:type="paragraph" w:customStyle="1" w:styleId="quotes">
    <w:name w:val="quotes"/>
    <w:basedOn w:val="Normal"/>
    <w:next w:val="Normal"/>
    <w:rsid w:val="004D7AC0"/>
    <w:pPr>
      <w:ind w:left="720"/>
    </w:pPr>
    <w:rPr>
      <w:i/>
    </w:rPr>
  </w:style>
  <w:style w:type="character" w:styleId="FootnoteReference">
    <w:name w:val="footnote reference"/>
    <w:basedOn w:val="DefaultParagraphFont"/>
    <w:unhideWhenUsed/>
    <w:qFormat/>
    <w:rsid w:val="004D7AC0"/>
    <w:rPr>
      <w:sz w:val="24"/>
      <w:vertAlign w:val="superscript"/>
    </w:rPr>
  </w:style>
  <w:style w:type="character" w:styleId="Hyperlink">
    <w:name w:val="Hyperlink"/>
    <w:basedOn w:val="DefaultParagraphFont"/>
    <w:uiPriority w:val="99"/>
    <w:rsid w:val="004D7AC0"/>
    <w:rPr>
      <w:rFonts w:ascii="Times New Roman" w:hAnsi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D7AC0"/>
    <w:pPr>
      <w:ind w:left="720"/>
      <w:contextualSpacing/>
    </w:pPr>
  </w:style>
  <w:style w:type="table" w:styleId="TableGrid">
    <w:name w:val="Table Grid"/>
    <w:basedOn w:val="TableNormal"/>
    <w:uiPriority w:val="39"/>
    <w:rsid w:val="004D7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4D7AC0"/>
    <w:pPr>
      <w:keepNext/>
      <w:keepLines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4D7AC0"/>
    <w:pPr>
      <w:spacing w:after="100"/>
    </w:pPr>
  </w:style>
  <w:style w:type="character" w:styleId="FollowedHyperlink">
    <w:name w:val="FollowedHyperlink"/>
    <w:basedOn w:val="DefaultParagraphFont"/>
    <w:uiPriority w:val="99"/>
    <w:semiHidden/>
    <w:unhideWhenUsed/>
    <w:rsid w:val="00B518C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A47988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rsid w:val="00086E35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9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eesc.europa.eu/en/our-work/opinions-information-reports/opinions/recommendations-organised-civil-society-address-cost-living-crisis" TargetMode="External"/><Relationship Id="rId21" Type="http://schemas.openxmlformats.org/officeDocument/2006/relationships/hyperlink" Target="mailto:Sergio.LorencioMatallana@eesc.europa.eu" TargetMode="External"/><Relationship Id="rId42" Type="http://schemas.openxmlformats.org/officeDocument/2006/relationships/hyperlink" Target="https://www.eesc.europa.eu/en/our-work/opinions-information-reports/opinions/role-services-general-interest-sgi-competitiveness-social-cohesion-and-democracy-european-union" TargetMode="External"/><Relationship Id="rId47" Type="http://schemas.openxmlformats.org/officeDocument/2006/relationships/hyperlink" Target="mailto:Marco.Manfroni@eesc.europa.eu" TargetMode="External"/><Relationship Id="rId63" Type="http://schemas.openxmlformats.org/officeDocument/2006/relationships/hyperlink" Target="https://www.eesc.europa.eu/en/our-work/opinions-information-reports/opinions/addressing-interdependence-between-peace-and-climate-change-need-renewed-global-diplomacy" TargetMode="External"/><Relationship Id="rId68" Type="http://schemas.openxmlformats.org/officeDocument/2006/relationships/hyperlink" Target="https://www.eesc.europa.eu/en/our-work/opinions-information-reports/opinions/security-action-europe-safe-through-reinforcement-european-defence-industry-instrument" TargetMode="External"/><Relationship Id="rId16" Type="http://schemas.openxmlformats.org/officeDocument/2006/relationships/footer" Target="footer1.xml"/><Relationship Id="rId11" Type="http://schemas.openxmlformats.org/officeDocument/2006/relationships/image" Target="media/image1.jpeg"/><Relationship Id="rId24" Type="http://schemas.openxmlformats.org/officeDocument/2006/relationships/hyperlink" Target="https://www.eesc.europa.eu/en/our-work/opinions-information-reports/opinions/role-trade-unions-improving-productivity" TargetMode="External"/><Relationship Id="rId32" Type="http://schemas.openxmlformats.org/officeDocument/2006/relationships/hyperlink" Target="https://www.eesc.europa.eu/en/our-work/opinions-information-reports/opinions/tackling-inequalities-peoples-access-healthcare" TargetMode="External"/><Relationship Id="rId37" Type="http://schemas.openxmlformats.org/officeDocument/2006/relationships/hyperlink" Target="mailto:Valeria.Atzori@eesc.europa.eu" TargetMode="External"/><Relationship Id="rId40" Type="http://schemas.openxmlformats.org/officeDocument/2006/relationships/hyperlink" Target="https://www.eesc.europa.eu/en/our-work/opinions-information-reports/opinions/union-skills" TargetMode="External"/><Relationship Id="rId45" Type="http://schemas.openxmlformats.org/officeDocument/2006/relationships/hyperlink" Target="mailto:Jana.Valant@eesc.europa.eu" TargetMode="External"/><Relationship Id="rId53" Type="http://schemas.openxmlformats.org/officeDocument/2006/relationships/hyperlink" Target="mailto:Arturo.Iniguez@eesc.europa.eu" TargetMode="External"/><Relationship Id="rId58" Type="http://schemas.openxmlformats.org/officeDocument/2006/relationships/hyperlink" Target="mailto:Myrto.Kolyva@eesc.europa.eu" TargetMode="External"/><Relationship Id="rId66" Type="http://schemas.openxmlformats.org/officeDocument/2006/relationships/hyperlink" Target="mailto:Marie-Laurence.Drillon@eesc.europa.eu" TargetMode="External"/><Relationship Id="rId74" Type="http://schemas.openxmlformats.org/officeDocument/2006/relationships/header" Target="header6.xml"/><Relationship Id="rId79" Type="http://schemas.openxmlformats.org/officeDocument/2006/relationships/customXml" Target="../customXml/item2.xml"/><Relationship Id="rId5" Type="http://schemas.openxmlformats.org/officeDocument/2006/relationships/numbering" Target="numbering.xml"/><Relationship Id="rId61" Type="http://schemas.openxmlformats.org/officeDocument/2006/relationships/hyperlink" Target="https://www.eesc.europa.eu/en/our-work/opinions-information-reports/opinions/importance-institutionalizing-civic-and-social-dialogue-eu-candidate-and-partner-countries" TargetMode="External"/><Relationship Id="rId19" Type="http://schemas.openxmlformats.org/officeDocument/2006/relationships/footer" Target="footer3.xml"/><Relationship Id="rId14" Type="http://schemas.openxmlformats.org/officeDocument/2006/relationships/header" Target="header1.xml"/><Relationship Id="rId22" Type="http://schemas.openxmlformats.org/officeDocument/2006/relationships/hyperlink" Target="https://www.eesc.europa.eu/en/our-work/opinions-information-reports/opinions/economic-impact-implementation-eu-emissions-trading-system-ets" TargetMode="External"/><Relationship Id="rId27" Type="http://schemas.openxmlformats.org/officeDocument/2006/relationships/hyperlink" Target="mailto:Krisztina.PerlakyToth@eesc.europa.eu" TargetMode="External"/><Relationship Id="rId30" Type="http://schemas.openxmlformats.org/officeDocument/2006/relationships/hyperlink" Target="https://www.eesc.europa.eu/en/our-work/opinions-information-reports/opinions/financial-literacy-and-education-europeans-0" TargetMode="External"/><Relationship Id="rId35" Type="http://schemas.openxmlformats.org/officeDocument/2006/relationships/hyperlink" Target="mailto:June.Bedaton@eesc.europa.eu" TargetMode="External"/><Relationship Id="rId43" Type="http://schemas.openxmlformats.org/officeDocument/2006/relationships/hyperlink" Target="mailto:Aleksandra.Sarmangrilc@eesc.europa.eu" TargetMode="External"/><Relationship Id="rId48" Type="http://schemas.openxmlformats.org/officeDocument/2006/relationships/hyperlink" Target="https://www.eesc.europa.eu/en/our-work/opinions-information-reports/opinions/how-consider-value-chains-policymaking" TargetMode="External"/><Relationship Id="rId56" Type="http://schemas.openxmlformats.org/officeDocument/2006/relationships/hyperlink" Target="https://www.eesc.europa.eu/en/our-work/opinions-information-reports/opinions/eu-wine-policy-package" TargetMode="External"/><Relationship Id="rId64" Type="http://schemas.openxmlformats.org/officeDocument/2006/relationships/hyperlink" Target="mailto:Marie-Laurence.Drillon@eesc.europa.eu" TargetMode="External"/><Relationship Id="rId69" Type="http://schemas.openxmlformats.org/officeDocument/2006/relationships/hyperlink" Target="mailto:Ioannis.Diamantopoulos@eesc.europa.eu" TargetMode="External"/><Relationship Id="rId77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hyperlink" Target="mailto:Arturo.Iniguez@eesc.europa.eu" TargetMode="External"/><Relationship Id="rId72" Type="http://schemas.openxmlformats.org/officeDocument/2006/relationships/footer" Target="footer4.xml"/><Relationship Id="rId80" Type="http://schemas.openxmlformats.org/officeDocument/2006/relationships/customXml" Target="../customXml/item3.xml"/><Relationship Id="rId12" Type="http://schemas.openxmlformats.org/officeDocument/2006/relationships/hyperlink" Target="https://www.eesc.europa.eu/en/our-work/opinions-information-reports/plenary-session-summaries" TargetMode="External"/><Relationship Id="rId17" Type="http://schemas.openxmlformats.org/officeDocument/2006/relationships/footer" Target="footer2.xml"/><Relationship Id="rId25" Type="http://schemas.openxmlformats.org/officeDocument/2006/relationships/hyperlink" Target="mailto:Georgios.Meleas@eesc.europa.eu" TargetMode="External"/><Relationship Id="rId33" Type="http://schemas.openxmlformats.org/officeDocument/2006/relationships/hyperlink" Target="mailto:Valeria.Atzori@eesc.europa.eu" TargetMode="External"/><Relationship Id="rId38" Type="http://schemas.openxmlformats.org/officeDocument/2006/relationships/hyperlink" Target="https://www.eesc.europa.eu/en/our-work/opinions-information-reports/opinions/eu-strategy-support-protect-and-empower-civil-society" TargetMode="External"/><Relationship Id="rId46" Type="http://schemas.openxmlformats.org/officeDocument/2006/relationships/hyperlink" Target="https://www.eesc.europa.eu/en/our-work/opinions-information-reports/opinions/regulatory-simplification-use-digital-tools-better-law-making" TargetMode="External"/><Relationship Id="rId59" Type="http://schemas.openxmlformats.org/officeDocument/2006/relationships/hyperlink" Target="https://www.eesc.europa.eu/en/our-work/opinions-information-reports/opinions/looking-future-eu-uk-relations-2026-review-trade-and-cooperation-agreement-tca-civil-society-perspective" TargetMode="External"/><Relationship Id="rId67" Type="http://schemas.openxmlformats.org/officeDocument/2006/relationships/hyperlink" Target="https://www.eesc.europa.eu/en/our-work/opinions-information-reports/opinions/automotive-industry-action-plan" TargetMode="External"/><Relationship Id="rId20" Type="http://schemas.openxmlformats.org/officeDocument/2006/relationships/hyperlink" Target="https://www.eesc.europa.eu/en/our-work/opinions-information-reports/opinions/communication-savings-and-investments-union" TargetMode="External"/><Relationship Id="rId41" Type="http://schemas.openxmlformats.org/officeDocument/2006/relationships/hyperlink" Target="mailto:Ana.Dumitrache@eesc.europa.eu" TargetMode="External"/><Relationship Id="rId54" Type="http://schemas.openxmlformats.org/officeDocument/2006/relationships/hyperlink" Target="https://www.eesc.europa.eu/en/our-work/opinions-information-reports/opinions/towards-2030-assessment-key-environmental-actions-be-included-annex-8th-environmental-action-programme-better-anchor" TargetMode="External"/><Relationship Id="rId62" Type="http://schemas.openxmlformats.org/officeDocument/2006/relationships/hyperlink" Target="mailto:Katarina.Albrechtova@eesc.europa.eu" TargetMode="External"/><Relationship Id="rId70" Type="http://schemas.openxmlformats.org/officeDocument/2006/relationships/header" Target="header4.xml"/><Relationship Id="rId75" Type="http://schemas.openxmlformats.org/officeDocument/2006/relationships/footer" Target="footer6.xml"/><Relationship Id="rId6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mailto:Juri.Soosaar@eesc.europa.eu" TargetMode="External"/><Relationship Id="rId28" Type="http://schemas.openxmlformats.org/officeDocument/2006/relationships/hyperlink" Target="https://www.eesc.europa.eu/en/our-work/opinions-information-reports/opinions/affordable-housing-cohesion-policy-urban-agenda-and-civil-society" TargetMode="External"/><Relationship Id="rId36" Type="http://schemas.openxmlformats.org/officeDocument/2006/relationships/hyperlink" Target="https://www.eesc.europa.eu/en/our-work/opinions-information-reports/opinions/eu-anti-poverty-strategy" TargetMode="External"/><Relationship Id="rId49" Type="http://schemas.openxmlformats.org/officeDocument/2006/relationships/hyperlink" Target="mailto:Silvia.Staffa@eesc.europa.eu" TargetMode="External"/><Relationship Id="rId57" Type="http://schemas.openxmlformats.org/officeDocument/2006/relationships/hyperlink" Target="mailto:Gaizka.MaloElcoro-Iribe@eesc.europa.eu" TargetMode="External"/><Relationship Id="rId10" Type="http://schemas.openxmlformats.org/officeDocument/2006/relationships/endnotes" Target="endnotes.xml"/><Relationship Id="rId31" Type="http://schemas.openxmlformats.org/officeDocument/2006/relationships/hyperlink" Target="mailto:Sergio.LorencioMatallana@eesc.europa.eu" TargetMode="External"/><Relationship Id="rId44" Type="http://schemas.openxmlformats.org/officeDocument/2006/relationships/hyperlink" Target="https://www.eesc.europa.eu/en/our-work/opinions-information-reports/opinions/era-act-unlocking-fifth-freedom" TargetMode="External"/><Relationship Id="rId52" Type="http://schemas.openxmlformats.org/officeDocument/2006/relationships/hyperlink" Target="https://www.eesc.europa.eu/en/our-work/opinions-information-reports/opinions/conservation-and-sustainable-use-marine-biological-diversity-areas-beyond-national-jurisdiction-ratification-bbnj" TargetMode="External"/><Relationship Id="rId60" Type="http://schemas.openxmlformats.org/officeDocument/2006/relationships/hyperlink" Target="mailto:Marco.Ristori@eesc.europa.eu" TargetMode="External"/><Relationship Id="rId65" Type="http://schemas.openxmlformats.org/officeDocument/2006/relationships/hyperlink" Target="https://www.eesc.europa.eu/en/our-work/opinions-information-reports/opinions/joint-white-paper-european-defence-readiness-2030" TargetMode="External"/><Relationship Id="rId73" Type="http://schemas.openxmlformats.org/officeDocument/2006/relationships/footer" Target="footer5.xml"/><Relationship Id="rId78" Type="http://schemas.openxmlformats.org/officeDocument/2006/relationships/customXml" Target="../customXml/item1.xml"/><Relationship Id="rId81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dmsearch.eesc.europa.eu/search/opinion" TargetMode="External"/><Relationship Id="rId18" Type="http://schemas.openxmlformats.org/officeDocument/2006/relationships/header" Target="header3.xml"/><Relationship Id="rId39" Type="http://schemas.openxmlformats.org/officeDocument/2006/relationships/hyperlink" Target="mailto:June.Bedaton@eesc.europa.eu" TargetMode="External"/><Relationship Id="rId34" Type="http://schemas.openxmlformats.org/officeDocument/2006/relationships/hyperlink" Target="https://www.eesc.europa.eu/en/our-work/opinions-information-reports/opinions/good-practice-eu-civil-dialogue-light-participatory-processes" TargetMode="External"/><Relationship Id="rId50" Type="http://schemas.openxmlformats.org/officeDocument/2006/relationships/hyperlink" Target="https://www.eesc.europa.eu/en/our-work/opinions-information-reports/opinions/amendment-regulations-concerning-international-fisheries-nafo-sprfmo-iotc-wcpfc-iattc-and-iccat" TargetMode="External"/><Relationship Id="rId55" Type="http://schemas.openxmlformats.org/officeDocument/2006/relationships/hyperlink" Target="mailto:Nicolas.Stenger@eesc.europa.eu" TargetMode="External"/><Relationship Id="rId76" Type="http://schemas.openxmlformats.org/officeDocument/2006/relationships/fontTable" Target="fontTable.xml"/><Relationship Id="rId7" Type="http://schemas.openxmlformats.org/officeDocument/2006/relationships/settings" Target="settings.xml"/><Relationship Id="rId71" Type="http://schemas.openxmlformats.org/officeDocument/2006/relationships/header" Target="header5.xml"/><Relationship Id="rId29" Type="http://schemas.openxmlformats.org/officeDocument/2006/relationships/hyperlink" Target="mailto:Georgios.Meleas@eesc.europa.eu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ilium.europa.eu/en/press/press-releases/2025/03/06/european-council-conclusions-on-european-defen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4B94E0CD93B68F4F96D67EEBEC8A7176" ma:contentTypeVersion="4" ma:contentTypeDescription="Defines the documents for Document Manager V2" ma:contentTypeScope="" ma:versionID="56661591a508277d6262203e4557b8ae">
  <xsd:schema xmlns:xsd="http://www.w3.org/2001/XMLSchema" xmlns:xs="http://www.w3.org/2001/XMLSchema" xmlns:p="http://schemas.microsoft.com/office/2006/metadata/properties" xmlns:ns2="1a33af13-4045-4f88-9d7b-618e30f79918" xmlns:ns3="http://schemas.microsoft.com/sharepoint/v3/fields" xmlns:ns4="a3e83899-37aa-47c6-ba54-4ea80e9c17cf" targetNamespace="http://schemas.microsoft.com/office/2006/metadata/properties" ma:root="true" ma:fieldsID="1ddc428e300a307dc1c6e67e6931f8cc" ns2:_="" ns3:_="" ns4:_="">
    <xsd:import namespace="1a33af13-4045-4f88-9d7b-618e30f79918"/>
    <xsd:import namespace="http://schemas.microsoft.com/sharepoint/v3/fields"/>
    <xsd:import namespace="a3e83899-37aa-47c6-ba54-4ea80e9c17c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3af13-4045-4f88-9d7b-618e30f799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c795c8aa-ad9d-4177-b7c3-7e58e1f2dfdf}" ma:internalName="TaxCatchAll" ma:showField="CatchAllData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c795c8aa-ad9d-4177-b7c3-7e58e1f2dfdf}" ma:internalName="TaxCatchAllLabel" ma:readOnly="true" ma:showField="CatchAllDataLabel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83899-37aa-47c6-ba54-4ea80e9c17cf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a33af13-4045-4f88-9d7b-618e30f79918">A6WAAD5KZT2Q-235352946-2431</_dlc_DocId>
    <_dlc_DocIdUrl xmlns="1a33af13-4045-4f88-9d7b-618e30f79918">
      <Url>http://dm/eesc/2025/_layouts/15/DocIdRedir.aspx?ID=A6WAAD5KZT2Q-235352946-2431</Url>
      <Description>A6WAAD5KZT2Q-235352946-2431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TCD</TermName>
          <TermId xmlns="http://schemas.microsoft.com/office/infopath/2007/PartnerControls">cd9d6eb6-3f4f-424a-b2d1-57c9d450eaaf</TermId>
        </TermInfo>
      </Terms>
    </DocumentType_0>
    <Procedure xmlns="1a33af13-4045-4f88-9d7b-618e30f79918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1a33af13-4045-4f88-9d7b-618e30f79918">2025-08-06T12:00:00+00:00</ProductionDate>
    <DocumentNumber xmlns="a3e83899-37aa-47c6-ba54-4ea80e9c17cf">2211</DocumentNumber>
    <FicheYear xmlns="1a33af13-4045-4f88-9d7b-618e30f79918" xsi:nil="true"/>
    <DossierNumber xmlns="1a33af13-4045-4f88-9d7b-618e30f79918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1a33af13-4045-4f88-9d7b-618e30f79918">2025-09-17T12:00:00+00:00</MeetingDate>
    <TaxCatchAll xmlns="1a33af13-4045-4f88-9d7b-618e30f79918">
      <Value>67</Value>
      <Value>50</Value>
      <Value>47</Value>
      <Value>46</Value>
      <Value>42</Value>
      <Value>41</Value>
      <Value>40</Value>
      <Value>39</Value>
      <Value>37</Value>
      <Value>36</Value>
      <Value>35</Value>
      <Value>34</Value>
      <Value>33</Value>
      <Value>31</Value>
      <Value>30</Value>
      <Value>29</Value>
      <Value>28</Value>
      <Value>27</Value>
      <Value>24</Value>
      <Value>23</Value>
      <Value>19</Value>
      <Value>16</Value>
      <Value>15</Value>
      <Value>13</Value>
      <Value>12</Value>
      <Value>8</Value>
      <Value>5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1a33af13-4045-4f88-9d7b-618e30f79918" xsi:nil="true"/>
    <DocumentYear xmlns="1a33af13-4045-4f88-9d7b-618e30f79918">2025</DocumentYear>
    <FicheNumber xmlns="1a33af13-4045-4f88-9d7b-618e30f79918">7665</FicheNumber>
    <OriginalSender xmlns="1a33af13-4045-4f88-9d7b-618e30f79918">
      <UserInfo>
        <DisplayName>Bojanic Mario</DisplayName>
        <AccountId>1522</AccountId>
        <AccountType/>
      </UserInfo>
    </OriginalSender>
    <DocumentPart xmlns="1a33af13-4045-4f88-9d7b-618e30f79918">0</DocumentPart>
    <AdoptionDate xmlns="1a33af13-4045-4f88-9d7b-618e30f79918" xsi:nil="true"/>
    <RequestingService xmlns="1a33af13-4045-4f88-9d7b-618e30f79918">Greffe</RequestingService>
    <Meeting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SPL-CES</TermName>
          <TermId xmlns="http://schemas.microsoft.com/office/infopath/2007/PartnerControls">32d8cb1f-c9ec-4365-95c7-8385a18618ac</TermId>
        </TermInfo>
      </Terms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a3e83899-37aa-47c6-ba54-4ea80e9c17cf">599</MeetingNumber>
    <DossierName_0 xmlns="http://schemas.microsoft.com/sharepoint/v3/fields">
      <Terms xmlns="http://schemas.microsoft.com/office/infopath/2007/PartnerControls"/>
    </DossierName_0>
    <DocumentVersion xmlns="1a33af13-4045-4f88-9d7b-618e30f79918">0</DocumentVersion>
  </documentManagement>
</p:properties>
</file>

<file path=customXml/itemProps1.xml><?xml version="1.0" encoding="utf-8"?>
<ds:datastoreItem xmlns:ds="http://schemas.openxmlformats.org/officeDocument/2006/customXml" ds:itemID="{17E0D4D0-F500-43C1-BF7B-D6873AB49A94}"/>
</file>

<file path=customXml/itemProps2.xml><?xml version="1.0" encoding="utf-8"?>
<ds:datastoreItem xmlns:ds="http://schemas.openxmlformats.org/officeDocument/2006/customXml" ds:itemID="{320F4AC9-7BD4-4582-A6FB-10C600C38643}"/>
</file>

<file path=customXml/itemProps3.xml><?xml version="1.0" encoding="utf-8"?>
<ds:datastoreItem xmlns:ds="http://schemas.openxmlformats.org/officeDocument/2006/customXml" ds:itemID="{9D587B74-5D75-459E-A77E-FAD383793027}"/>
</file>

<file path=customXml/itemProps4.xml><?xml version="1.0" encoding="utf-8"?>
<ds:datastoreItem xmlns:ds="http://schemas.openxmlformats.org/officeDocument/2006/customXml" ds:itemID="{D5141658-A0AD-4C6B-9E9E-1B3D968F84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10327</Words>
  <Characters>58869</Characters>
  <Application>Microsoft Office Word</Application>
  <DocSecurity>0</DocSecurity>
  <Lines>490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opinions - EESC new model</vt:lpstr>
    </vt:vector>
  </TitlesOfParts>
  <Company>CESE-CdR</Company>
  <LinksUpToDate>false</LinksUpToDate>
  <CharactersWithSpaces>69058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mišljenja - 598. plenarno zasjedanje - srpanj 2025.</dc:title>
  <dc:subject>TCD</dc:subject>
  <dc:creator>Nieddu Emma</dc:creator>
  <cp:keywords>EESC-2025-02211-00-00-TCD-TRA-EN</cp:keywords>
  <dc:description>Rapporteur:  - Original language: EN - Date of document: 06/08/2025 - Date of meeting: 30/17/2025 14:30 - External documents:  - Administrator: Mme DAMYANOVA-KERESTELIEVA Ani Alexieva</dc:description>
  <cp:lastModifiedBy>Bojanic Mario</cp:lastModifiedBy>
  <cp:revision>12</cp:revision>
  <dcterms:created xsi:type="dcterms:W3CDTF">2025-07-24T15:56:00Z</dcterms:created>
  <dcterms:modified xsi:type="dcterms:W3CDTF">2025-08-06T09:53:00Z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24/07/2025, 02/05/2022, 02/05/2022, 28/06/2021</vt:lpwstr>
  </property>
  <property fmtid="{D5CDD505-2E9C-101B-9397-08002B2CF9AE}" pid="4" name="Pref_Time">
    <vt:lpwstr>14:55:27, 12:28:29, 12:25:37, 08:41:48</vt:lpwstr>
  </property>
  <property fmtid="{D5CDD505-2E9C-101B-9397-08002B2CF9AE}" pid="5" name="Pref_User">
    <vt:lpwstr>amett, enied, enied, enied</vt:lpwstr>
  </property>
  <property fmtid="{D5CDD505-2E9C-101B-9397-08002B2CF9AE}" pid="6" name="Pref_FileName">
    <vt:lpwstr>EESC-2025-02211-00-00-TCD-ORI.docx, Summary of opinions.docx, COR-EESC-2022-02370-00-00-ADMIN-ORI.docx, Synthese des avis Template.docx</vt:lpwstr>
  </property>
  <property fmtid="{D5CDD505-2E9C-101B-9397-08002B2CF9AE}" pid="7" name="ContentTypeId">
    <vt:lpwstr>0x010100EA97B91038054C99906057A708A1480A004B94E0CD93B68F4F96D67EEBEC8A7176</vt:lpwstr>
  </property>
  <property fmtid="{D5CDD505-2E9C-101B-9397-08002B2CF9AE}" pid="8" name="_dlc_DocIdItemGuid">
    <vt:lpwstr>d72b52f8-5d34-4464-a61e-f7ac6d6adb15</vt:lpwstr>
  </property>
  <property fmtid="{D5CDD505-2E9C-101B-9397-08002B2CF9AE}" pid="9" name="AvailableTranslations">
    <vt:lpwstr>16;#ES|e7a6b05b-ae16-40c8-add9-68b64b03aeba;#5;#EN|f2175f21-25d7-44a3-96da-d6a61b075e1b;#46;#SK|46d9fce0-ef79-4f71-b89b-cd6aa82426b8;#24;#PL|1e03da61-4678-4e07-b136-b5024ca9197b;#23;#DE|f6b31e5a-26fa-4935-b661-318e46daf27e;#47;#BG|1a1b3951-7821-4e6a-85f5-5673fc08bd2c;#36;#RO|feb747a2-64cd-4299-af12-4833ddc30497;#33;#PT|50ccc04a-eadd-42ae-a0cb-acaf45f812ba;#35;#FI|87606a43-d45f-42d6-b8c9-e1a3457db5b7;#37;#HU|6b229040-c589-4408-b4c1-4285663d20a8;#12;#FR|d2afafd3-4c81-4f60-8f52-ee33f2f54ff3;#41;#ET|ff6c3f4c-b02c-4c3c-ab07-2c37995a7a0a;#34;#IT|0774613c-01ed-4e5d-a25d-11d2388de825;#39;#LV|46f7e311-5d9f-4663-b433-18aeccb7ace7;#28;#SV|c2ed69e7-a339-43d7-8f22-d93680a92aa0;#42;#EL|6d4f4d51-af9b-4650-94b4-4276bee85c91;#31;#SL|98a412ae-eb01-49e9-ae3d-585a81724cfc;#40;#DA|5d49c027-8956-412b-aa16-e85a0f96ad0e;#29;#CS|72f9705b-0217-4fd3-bea2-cbc7ed80e26e;#27;#NL|55c6556c-b4f4-441d-9acf-c498d4f838bd;#30;#LT|a7ff5ce7-6123-4f68-865a-a57c31810414;#50;#HR|2f555653-ed1a-4fe6-8362-9082d95989e5</vt:lpwstr>
  </property>
  <property fmtid="{D5CDD505-2E9C-101B-9397-08002B2CF9AE}" pid="10" name="DocumentType_0">
    <vt:lpwstr>TCD|cd9d6eb6-3f4f-424a-b2d1-57c9d450eaaf</vt:lpwstr>
  </property>
  <property fmtid="{D5CDD505-2E9C-101B-9397-08002B2CF9AE}" pid="11" name="MeetingNumber">
    <vt:i4>599</vt:i4>
  </property>
  <property fmtid="{D5CDD505-2E9C-101B-9397-08002B2CF9AE}" pid="12" name="DossierName_0">
    <vt:lpwstr/>
  </property>
  <property fmtid="{D5CDD505-2E9C-101B-9397-08002B2CF9AE}" pid="13" name="DocumentSource_0">
    <vt:lpwstr>EESC|422833ec-8d7e-4e65-8e4e-8bed07ffb729</vt:lpwstr>
  </property>
  <property fmtid="{D5CDD505-2E9C-101B-9397-08002B2CF9AE}" pid="14" name="DocumentNumber">
    <vt:i4>2211</vt:i4>
  </property>
  <property fmtid="{D5CDD505-2E9C-101B-9397-08002B2CF9AE}" pid="15" name="DocumentVersion">
    <vt:i4>0</vt:i4>
  </property>
  <property fmtid="{D5CDD505-2E9C-101B-9397-08002B2CF9AE}" pid="16" name="DocumentStatus">
    <vt:lpwstr>13;#TRA|150d2a88-1431-44e6-a8ca-0bb753ab8672</vt:lpwstr>
  </property>
  <property fmtid="{D5CDD505-2E9C-101B-9397-08002B2CF9AE}" pid="17" name="DocumentPart">
    <vt:i4>0</vt:i4>
  </property>
  <property fmtid="{D5CDD505-2E9C-101B-9397-08002B2CF9AE}" pid="18" name="DossierName">
    <vt:lpwstr/>
  </property>
  <property fmtid="{D5CDD505-2E9C-101B-9397-08002B2CF9AE}" pid="19" name="DocumentSource">
    <vt:lpwstr>1;#EESC|422833ec-8d7e-4e65-8e4e-8bed07ffb729</vt:lpwstr>
  </property>
  <property fmtid="{D5CDD505-2E9C-101B-9397-08002B2CF9AE}" pid="21" name="DocumentType">
    <vt:lpwstr>19;#TCD|cd9d6eb6-3f4f-424a-b2d1-57c9d450eaaf</vt:lpwstr>
  </property>
  <property fmtid="{D5CDD505-2E9C-101B-9397-08002B2CF9AE}" pid="22" name="RequestingService">
    <vt:lpwstr>Greffe</vt:lpwstr>
  </property>
  <property fmtid="{D5CDD505-2E9C-101B-9397-08002B2CF9AE}" pid="23" name="Confidentiality">
    <vt:lpwstr>15;#Unrestricted|826e22d7-d029-4ec0-a450-0c28ff673572</vt:lpwstr>
  </property>
  <property fmtid="{D5CDD505-2E9C-101B-9397-08002B2CF9AE}" pid="24" name="MeetingName_0">
    <vt:lpwstr>SPL-CES|32d8cb1f-c9ec-4365-95c7-8385a18618ac</vt:lpwstr>
  </property>
  <property fmtid="{D5CDD505-2E9C-101B-9397-08002B2CF9AE}" pid="25" name="Confidentiality_0">
    <vt:lpwstr>Unrestricted|826e22d7-d029-4ec0-a450-0c28ff673572</vt:lpwstr>
  </property>
  <property fmtid="{D5CDD505-2E9C-101B-9397-08002B2CF9AE}" pid="26" name="OriginalLanguage">
    <vt:lpwstr>5;#EN|f2175f21-25d7-44a3-96da-d6a61b075e1b</vt:lpwstr>
  </property>
  <property fmtid="{D5CDD505-2E9C-101B-9397-08002B2CF9AE}" pid="27" name="MeetingName">
    <vt:lpwstr>67;#SPL-CES|32d8cb1f-c9ec-4365-95c7-8385a18618ac</vt:lpwstr>
  </property>
  <property fmtid="{D5CDD505-2E9C-101B-9397-08002B2CF9AE}" pid="28" name="MeetingDate">
    <vt:filetime>2025-09-17T12:00:00Z</vt:filetime>
  </property>
  <property fmtid="{D5CDD505-2E9C-101B-9397-08002B2CF9AE}" pid="29" name="AvailableTranslations_0">
    <vt:lpwstr>ES|e7a6b05b-ae16-40c8-add9-68b64b03aeba;EN|f2175f21-25d7-44a3-96da-d6a61b075e1b;SK|46d9fce0-ef79-4f71-b89b-cd6aa82426b8;PL|1e03da61-4678-4e07-b136-b5024ca9197b;DE|f6b31e5a-26fa-4935-b661-318e46daf27e;BG|1a1b3951-7821-4e6a-85f5-5673fc08bd2c;PT|50ccc04a-eadd-42ae-a0cb-acaf45f812ba;FI|87606a43-d45f-42d6-b8c9-e1a3457db5b7;FR|d2afafd3-4c81-4f60-8f52-ee33f2f54ff3;IT|0774613c-01ed-4e5d-a25d-11d2388de825;LV|46f7e311-5d9f-4663-b433-18aeccb7ace7;SV|c2ed69e7-a339-43d7-8f22-d93680a92aa0;SL|98a412ae-eb01-49e9-ae3d-585a81724cfc;DA|5d49c027-8956-412b-aa16-e85a0f96ad0e;NL|55c6556c-b4f4-441d-9acf-c498d4f838bd</vt:lpwstr>
  </property>
  <property fmtid="{D5CDD505-2E9C-101B-9397-08002B2CF9AE}" pid="30" name="DocumentStatus_0">
    <vt:lpwstr>TRA|150d2a88-1431-44e6-a8ca-0bb753ab8672</vt:lpwstr>
  </property>
  <property fmtid="{D5CDD505-2E9C-101B-9397-08002B2CF9AE}" pid="31" name="OriginalLanguage_0">
    <vt:lpwstr>EN|f2175f21-25d7-44a3-96da-d6a61b075e1b</vt:lpwstr>
  </property>
  <property fmtid="{D5CDD505-2E9C-101B-9397-08002B2CF9AE}" pid="32" name="TaxCatchAll">
    <vt:lpwstr>35;#FI|87606a43-d45f-42d6-b8c9-e1a3457db5b7;#34;#IT|0774613c-01ed-4e5d-a25d-11d2388de825;#33;#PT|50ccc04a-eadd-42ae-a0cb-acaf45f812ba;#31;#SL|98a412ae-eb01-49e9-ae3d-585a81724cfc;#67;#SPL-CES|32d8cb1f-c9ec-4365-95c7-8385a18618ac;#28;#SV|c2ed69e7-a339-43d7-8f22-d93680a92aa0;#27;#NL|55c6556c-b4f4-441d-9acf-c498d4f838bd;#24;#PL|1e03da61-4678-4e07-b136-b5024ca9197b;#23;#DE|f6b31e5a-26fa-4935-b661-318e46daf27e;#19;#TCD|cd9d6eb6-3f4f-424a-b2d1-57c9d450eaaf;#16;#ES|e7a6b05b-ae16-40c8-add9-68b64b03aeba;#15;#Unrestricted|826e22d7-d029-4ec0-a450-0c28ff673572;#13;#TRA|150d2a88-1431-44e6-a8ca-0bb753ab8672;#12;#FR|d2afafd3-4c81-4f60-8f52-ee33f2f54ff3;#47;#BG|1a1b3951-7821-4e6a-85f5-5673fc08bd2c;#46;#SK|46d9fce0-ef79-4f71-b89b-cd6aa82426b8;#8;#Final|ea5e6674-7b27-4bac-b091-73adbb394efe;#5;#EN|f2175f21-25d7-44a3-96da-d6a61b075e1b;#40;#DA|5d49c027-8956-412b-aa16-e85a0f96ad0e;#39;#LV|46f7e311-5d9f-4663-b433-18aeccb7ace7;#1;#EESC|422833ec-8d7e-4e65-8e4e-8bed07ffb729</vt:lpwstr>
  </property>
  <property fmtid="{D5CDD505-2E9C-101B-9397-08002B2CF9AE}" pid="33" name="VersionStatus_0">
    <vt:lpwstr>Final|ea5e6674-7b27-4bac-b091-73adbb394efe</vt:lpwstr>
  </property>
  <property fmtid="{D5CDD505-2E9C-101B-9397-08002B2CF9AE}" pid="34" name="VersionStatus">
    <vt:lpwstr>8;#Final|ea5e6674-7b27-4bac-b091-73adbb394efe</vt:lpwstr>
  </property>
  <property fmtid="{D5CDD505-2E9C-101B-9397-08002B2CF9AE}" pid="35" name="DocumentYear">
    <vt:i4>2025</vt:i4>
  </property>
  <property fmtid="{D5CDD505-2E9C-101B-9397-08002B2CF9AE}" pid="36" name="FicheNumber">
    <vt:i4>7665</vt:i4>
  </property>
  <property fmtid="{D5CDD505-2E9C-101B-9397-08002B2CF9AE}" pid="37" name="DocumentLanguage">
    <vt:lpwstr>50;#HR|2f555653-ed1a-4fe6-8362-9082d95989e5</vt:lpwstr>
  </property>
</Properties>
</file>