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FC310F" w14:paraId="4982DD4D" w14:textId="3550EE47">
      <w:pPr>
        <w:jc w:val="center"/>
      </w:pPr>
      <w:r>
        <w:rPr>
          <w:noProof/>
        </w:rPr>
        <w:drawing>
          <wp:inline distT="0" distB="0" distL="0" distR="0" wp14:anchorId="523160D2" wp14:editId="282F2FFE">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7CD1ECCF"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Bryssel, den 27 juni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597:e plenarsessionen</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den 18 och 19 juni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SAMMANFATTNING AV ANTAGNA YTTRANDEN, RESOLUTIONER OCH INFORMATIONS- OCH UTVÄRDERINGSRAPPORTER</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r>
              <w:br/>
            </w:r>
            <w:r>
              <w:br/>
            </w:r>
            <w:hyperlink w:history="1" r:id="rId13">
              <w:r>
                <w:rPr>
                  <w:rStyle w:val="Hyperlink"/>
                </w:rPr>
                <w:t>https://www.eesc.europa.eu/sv/our-work/opinions-information-reports/plenary-session-summaries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 xml:space="preserve">De yttranden som tas upp finns tillgängliga på internet via </w:t>
            </w:r>
            <w:proofErr w:type="spellStart"/>
            <w:r>
              <w:t>EESK:s</w:t>
            </w:r>
            <w:proofErr w:type="spellEnd"/>
            <w:r>
              <w:t xml:space="preserve"> sökmotor:</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Innehåll:</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4F3FAB" w:rsidRDefault="004D7AC0" w14:paraId="3557CD53" w14:textId="6028E781">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2357641">
            <w:r w:rsidRPr="00287EE8" w:rsidR="004F3FAB">
              <w:rPr>
                <w:rStyle w:val="Hyperlink"/>
                <w:b/>
                <w:noProof/>
              </w:rPr>
              <w:t>1.</w:t>
            </w:r>
            <w:r w:rsidR="004F3FAB">
              <w:rPr>
                <w:rFonts w:asciiTheme="minorHAnsi" w:hAnsiTheme="minorHAnsi" w:eastAsiaTheme="minorEastAsia" w:cstheme="minorBidi"/>
                <w:noProof/>
                <w:lang w:val="en-US"/>
              </w:rPr>
              <w:tab/>
            </w:r>
            <w:r w:rsidRPr="00287EE8" w:rsidR="004F3FAB">
              <w:rPr>
                <w:rStyle w:val="Hyperlink"/>
                <w:b/>
                <w:noProof/>
              </w:rPr>
              <w:t>RESOLUTION</w:t>
            </w:r>
            <w:r w:rsidR="004F3FAB">
              <w:rPr>
                <w:noProof/>
                <w:webHidden/>
              </w:rPr>
              <w:tab/>
            </w:r>
            <w:r w:rsidR="004F3FAB">
              <w:rPr>
                <w:noProof/>
                <w:webHidden/>
              </w:rPr>
              <w:fldChar w:fldCharType="begin"/>
            </w:r>
            <w:r w:rsidR="004F3FAB">
              <w:rPr>
                <w:noProof/>
                <w:webHidden/>
              </w:rPr>
              <w:instrText xml:space="preserve"> PAGEREF _Toc202357641 \h </w:instrText>
            </w:r>
            <w:r w:rsidR="004F3FAB">
              <w:rPr>
                <w:noProof/>
                <w:webHidden/>
              </w:rPr>
            </w:r>
            <w:r w:rsidR="004F3FAB">
              <w:rPr>
                <w:noProof/>
                <w:webHidden/>
              </w:rPr>
              <w:fldChar w:fldCharType="separate"/>
            </w:r>
            <w:r w:rsidR="004F3FAB">
              <w:rPr>
                <w:noProof/>
                <w:webHidden/>
              </w:rPr>
              <w:t>4</w:t>
            </w:r>
            <w:r w:rsidR="004F3FAB">
              <w:rPr>
                <w:noProof/>
                <w:webHidden/>
              </w:rPr>
              <w:fldChar w:fldCharType="end"/>
            </w:r>
          </w:hyperlink>
        </w:p>
        <w:p w:rsidR="004F3FAB" w:rsidRDefault="00EE17BB" w14:paraId="046CA912" w14:textId="4AC82D8B">
          <w:pPr>
            <w:pStyle w:val="TOC1"/>
            <w:tabs>
              <w:tab w:val="left" w:pos="440"/>
              <w:tab w:val="right" w:leader="dot" w:pos="9063"/>
            </w:tabs>
            <w:rPr>
              <w:rFonts w:asciiTheme="minorHAnsi" w:hAnsiTheme="minorHAnsi" w:eastAsiaTheme="minorEastAsia" w:cstheme="minorBidi"/>
              <w:noProof/>
              <w:lang w:val="en-US"/>
            </w:rPr>
          </w:pPr>
          <w:hyperlink w:history="1" w:anchor="_Toc202357642">
            <w:r w:rsidRPr="00287EE8" w:rsidR="004F3FAB">
              <w:rPr>
                <w:rStyle w:val="Hyperlink"/>
                <w:b/>
                <w:noProof/>
              </w:rPr>
              <w:t>2.</w:t>
            </w:r>
            <w:r w:rsidR="004F3FAB">
              <w:rPr>
                <w:rFonts w:asciiTheme="minorHAnsi" w:hAnsiTheme="minorHAnsi" w:eastAsiaTheme="minorEastAsia" w:cstheme="minorBidi"/>
                <w:noProof/>
                <w:lang w:val="en-US"/>
              </w:rPr>
              <w:tab/>
            </w:r>
            <w:r w:rsidRPr="00287EE8" w:rsidR="004F3FAB">
              <w:rPr>
                <w:rStyle w:val="Hyperlink"/>
                <w:b/>
                <w:noProof/>
              </w:rPr>
              <w:t>EKONOMISKA OCH MONETÄRA UNIONEN, EKONOMISK OCH SOCIAL SAMMANHÅLLNING</w:t>
            </w:r>
            <w:r w:rsidR="004F3FAB">
              <w:rPr>
                <w:noProof/>
                <w:webHidden/>
              </w:rPr>
              <w:tab/>
            </w:r>
            <w:r w:rsidR="004F3FAB">
              <w:rPr>
                <w:noProof/>
                <w:webHidden/>
              </w:rPr>
              <w:fldChar w:fldCharType="begin"/>
            </w:r>
            <w:r w:rsidR="004F3FAB">
              <w:rPr>
                <w:noProof/>
                <w:webHidden/>
              </w:rPr>
              <w:instrText xml:space="preserve"> PAGEREF _Toc202357642 \h </w:instrText>
            </w:r>
            <w:r w:rsidR="004F3FAB">
              <w:rPr>
                <w:noProof/>
                <w:webHidden/>
              </w:rPr>
            </w:r>
            <w:r w:rsidR="004F3FAB">
              <w:rPr>
                <w:noProof/>
                <w:webHidden/>
              </w:rPr>
              <w:fldChar w:fldCharType="separate"/>
            </w:r>
            <w:r w:rsidR="004F3FAB">
              <w:rPr>
                <w:noProof/>
                <w:webHidden/>
              </w:rPr>
              <w:t>7</w:t>
            </w:r>
            <w:r w:rsidR="004F3FAB">
              <w:rPr>
                <w:noProof/>
                <w:webHidden/>
              </w:rPr>
              <w:fldChar w:fldCharType="end"/>
            </w:r>
          </w:hyperlink>
        </w:p>
        <w:p w:rsidR="004F3FAB" w:rsidRDefault="00EE17BB" w14:paraId="579EC8B1" w14:textId="09B83ADF">
          <w:pPr>
            <w:pStyle w:val="TOC1"/>
            <w:tabs>
              <w:tab w:val="left" w:pos="440"/>
              <w:tab w:val="right" w:leader="dot" w:pos="9063"/>
            </w:tabs>
            <w:rPr>
              <w:rFonts w:asciiTheme="minorHAnsi" w:hAnsiTheme="minorHAnsi" w:eastAsiaTheme="minorEastAsia" w:cstheme="minorBidi"/>
              <w:noProof/>
              <w:lang w:val="en-US"/>
            </w:rPr>
          </w:pPr>
          <w:hyperlink w:history="1" w:anchor="_Toc202357643">
            <w:r w:rsidRPr="00287EE8" w:rsidR="004F3FAB">
              <w:rPr>
                <w:rStyle w:val="Hyperlink"/>
                <w:b/>
                <w:noProof/>
              </w:rPr>
              <w:t>3.</w:t>
            </w:r>
            <w:r w:rsidR="004F3FAB">
              <w:rPr>
                <w:rFonts w:asciiTheme="minorHAnsi" w:hAnsiTheme="minorHAnsi" w:eastAsiaTheme="minorEastAsia" w:cstheme="minorBidi"/>
                <w:noProof/>
                <w:lang w:val="en-US"/>
              </w:rPr>
              <w:tab/>
            </w:r>
            <w:r w:rsidRPr="00287EE8" w:rsidR="004F3FAB">
              <w:rPr>
                <w:rStyle w:val="Hyperlink"/>
                <w:b/>
                <w:noProof/>
              </w:rPr>
              <w:t>SYSSELSÄTTNING, SOCIALA FRÅGOR OCH MEDBORGARNA</w:t>
            </w:r>
            <w:r w:rsidR="004F3FAB">
              <w:rPr>
                <w:noProof/>
                <w:webHidden/>
              </w:rPr>
              <w:tab/>
            </w:r>
            <w:r w:rsidR="004F3FAB">
              <w:rPr>
                <w:noProof/>
                <w:webHidden/>
              </w:rPr>
              <w:fldChar w:fldCharType="begin"/>
            </w:r>
            <w:r w:rsidR="004F3FAB">
              <w:rPr>
                <w:noProof/>
                <w:webHidden/>
              </w:rPr>
              <w:instrText xml:space="preserve"> PAGEREF _Toc202357643 \h </w:instrText>
            </w:r>
            <w:r w:rsidR="004F3FAB">
              <w:rPr>
                <w:noProof/>
                <w:webHidden/>
              </w:rPr>
            </w:r>
            <w:r w:rsidR="004F3FAB">
              <w:rPr>
                <w:noProof/>
                <w:webHidden/>
              </w:rPr>
              <w:fldChar w:fldCharType="separate"/>
            </w:r>
            <w:r w:rsidR="004F3FAB">
              <w:rPr>
                <w:noProof/>
                <w:webHidden/>
              </w:rPr>
              <w:t>11</w:t>
            </w:r>
            <w:r w:rsidR="004F3FAB">
              <w:rPr>
                <w:noProof/>
                <w:webHidden/>
              </w:rPr>
              <w:fldChar w:fldCharType="end"/>
            </w:r>
          </w:hyperlink>
        </w:p>
        <w:p w:rsidR="004F3FAB" w:rsidRDefault="00EE17BB" w14:paraId="200FE522" w14:textId="4C49C306">
          <w:pPr>
            <w:pStyle w:val="TOC1"/>
            <w:tabs>
              <w:tab w:val="left" w:pos="440"/>
              <w:tab w:val="right" w:leader="dot" w:pos="9063"/>
            </w:tabs>
            <w:rPr>
              <w:rFonts w:asciiTheme="minorHAnsi" w:hAnsiTheme="minorHAnsi" w:eastAsiaTheme="minorEastAsia" w:cstheme="minorBidi"/>
              <w:noProof/>
              <w:lang w:val="en-US"/>
            </w:rPr>
          </w:pPr>
          <w:hyperlink w:history="1" w:anchor="_Toc202357649">
            <w:r w:rsidRPr="00287EE8" w:rsidR="004F3FAB">
              <w:rPr>
                <w:rStyle w:val="Hyperlink"/>
                <w:b/>
                <w:noProof/>
              </w:rPr>
              <w:t>4.</w:t>
            </w:r>
            <w:r w:rsidR="004F3FAB">
              <w:rPr>
                <w:rFonts w:asciiTheme="minorHAnsi" w:hAnsiTheme="minorHAnsi" w:eastAsiaTheme="minorEastAsia" w:cstheme="minorBidi"/>
                <w:noProof/>
                <w:lang w:val="en-US"/>
              </w:rPr>
              <w:tab/>
            </w:r>
            <w:r w:rsidRPr="00287EE8" w:rsidR="004F3FAB">
              <w:rPr>
                <w:rStyle w:val="Hyperlink"/>
                <w:b/>
                <w:noProof/>
              </w:rPr>
              <w:t>TRANSPORTER, ENERGI, INFRASTRUKTUR OCH INFORMATIONSSAMHÄLLET</w:t>
            </w:r>
            <w:r w:rsidR="004F3FAB">
              <w:rPr>
                <w:noProof/>
                <w:webHidden/>
              </w:rPr>
              <w:tab/>
            </w:r>
            <w:r w:rsidR="004F3FAB">
              <w:rPr>
                <w:noProof/>
                <w:webHidden/>
              </w:rPr>
              <w:fldChar w:fldCharType="begin"/>
            </w:r>
            <w:r w:rsidR="004F3FAB">
              <w:rPr>
                <w:noProof/>
                <w:webHidden/>
              </w:rPr>
              <w:instrText xml:space="preserve"> PAGEREF _Toc202357649 \h </w:instrText>
            </w:r>
            <w:r w:rsidR="004F3FAB">
              <w:rPr>
                <w:noProof/>
                <w:webHidden/>
              </w:rPr>
            </w:r>
            <w:r w:rsidR="004F3FAB">
              <w:rPr>
                <w:noProof/>
                <w:webHidden/>
              </w:rPr>
              <w:fldChar w:fldCharType="separate"/>
            </w:r>
            <w:r w:rsidR="004F3FAB">
              <w:rPr>
                <w:noProof/>
                <w:webHidden/>
              </w:rPr>
              <w:t>17</w:t>
            </w:r>
            <w:r w:rsidR="004F3FAB">
              <w:rPr>
                <w:noProof/>
                <w:webHidden/>
              </w:rPr>
              <w:fldChar w:fldCharType="end"/>
            </w:r>
          </w:hyperlink>
        </w:p>
        <w:p w:rsidR="004F3FAB" w:rsidRDefault="00EE17BB" w14:paraId="1CD6194D" w14:textId="32C5CAA3">
          <w:pPr>
            <w:pStyle w:val="TOC1"/>
            <w:tabs>
              <w:tab w:val="left" w:pos="440"/>
              <w:tab w:val="right" w:leader="dot" w:pos="9063"/>
            </w:tabs>
            <w:rPr>
              <w:rFonts w:asciiTheme="minorHAnsi" w:hAnsiTheme="minorHAnsi" w:eastAsiaTheme="minorEastAsia" w:cstheme="minorBidi"/>
              <w:noProof/>
              <w:lang w:val="en-US"/>
            </w:rPr>
          </w:pPr>
          <w:hyperlink w:history="1" w:anchor="_Toc202357650">
            <w:r w:rsidRPr="00287EE8" w:rsidR="004F3FAB">
              <w:rPr>
                <w:rStyle w:val="Hyperlink"/>
                <w:b/>
                <w:noProof/>
              </w:rPr>
              <w:t>5.</w:t>
            </w:r>
            <w:r w:rsidR="004F3FAB">
              <w:rPr>
                <w:rFonts w:asciiTheme="minorHAnsi" w:hAnsiTheme="minorHAnsi" w:eastAsiaTheme="minorEastAsia" w:cstheme="minorBidi"/>
                <w:noProof/>
                <w:lang w:val="en-US"/>
              </w:rPr>
              <w:tab/>
            </w:r>
            <w:r w:rsidRPr="00287EE8" w:rsidR="004F3FAB">
              <w:rPr>
                <w:rStyle w:val="Hyperlink"/>
                <w:b/>
                <w:noProof/>
              </w:rPr>
              <w:t>INRE MARKNADEN, PRODUKTION OCH KONSUMTION</w:t>
            </w:r>
            <w:r w:rsidR="004F3FAB">
              <w:rPr>
                <w:noProof/>
                <w:webHidden/>
              </w:rPr>
              <w:tab/>
            </w:r>
            <w:r w:rsidR="004F3FAB">
              <w:rPr>
                <w:noProof/>
                <w:webHidden/>
              </w:rPr>
              <w:fldChar w:fldCharType="begin"/>
            </w:r>
            <w:r w:rsidR="004F3FAB">
              <w:rPr>
                <w:noProof/>
                <w:webHidden/>
              </w:rPr>
              <w:instrText xml:space="preserve"> PAGEREF _Toc202357650 \h </w:instrText>
            </w:r>
            <w:r w:rsidR="004F3FAB">
              <w:rPr>
                <w:noProof/>
                <w:webHidden/>
              </w:rPr>
            </w:r>
            <w:r w:rsidR="004F3FAB">
              <w:rPr>
                <w:noProof/>
                <w:webHidden/>
              </w:rPr>
              <w:fldChar w:fldCharType="separate"/>
            </w:r>
            <w:r w:rsidR="004F3FAB">
              <w:rPr>
                <w:noProof/>
                <w:webHidden/>
              </w:rPr>
              <w:t>19</w:t>
            </w:r>
            <w:r w:rsidR="004F3FAB">
              <w:rPr>
                <w:noProof/>
                <w:webHidden/>
              </w:rPr>
              <w:fldChar w:fldCharType="end"/>
            </w:r>
          </w:hyperlink>
        </w:p>
        <w:p w:rsidR="004F3FAB" w:rsidRDefault="00EE17BB" w14:paraId="5C95718B" w14:textId="4D9261D2">
          <w:pPr>
            <w:pStyle w:val="TOC1"/>
            <w:tabs>
              <w:tab w:val="left" w:pos="440"/>
              <w:tab w:val="right" w:leader="dot" w:pos="9063"/>
            </w:tabs>
            <w:rPr>
              <w:rFonts w:asciiTheme="minorHAnsi" w:hAnsiTheme="minorHAnsi" w:eastAsiaTheme="minorEastAsia" w:cstheme="minorBidi"/>
              <w:noProof/>
              <w:lang w:val="en-US"/>
            </w:rPr>
          </w:pPr>
          <w:hyperlink w:history="1" w:anchor="_Toc202357651">
            <w:r w:rsidRPr="00287EE8" w:rsidR="004F3FAB">
              <w:rPr>
                <w:rStyle w:val="Hyperlink"/>
                <w:b/>
                <w:noProof/>
              </w:rPr>
              <w:t>6.</w:t>
            </w:r>
            <w:r w:rsidR="004F3FAB">
              <w:rPr>
                <w:rFonts w:asciiTheme="minorHAnsi" w:hAnsiTheme="minorHAnsi" w:eastAsiaTheme="minorEastAsia" w:cstheme="minorBidi"/>
                <w:noProof/>
                <w:lang w:val="en-US"/>
              </w:rPr>
              <w:tab/>
            </w:r>
            <w:r w:rsidRPr="00287EE8" w:rsidR="004F3FAB">
              <w:rPr>
                <w:rStyle w:val="Hyperlink"/>
                <w:b/>
                <w:noProof/>
              </w:rPr>
              <w:t>JORDBRUK, LANDSBYGDSUTVECKLING OCH MILJÖ</w:t>
            </w:r>
            <w:r w:rsidR="004F3FAB">
              <w:rPr>
                <w:noProof/>
                <w:webHidden/>
              </w:rPr>
              <w:tab/>
            </w:r>
            <w:r w:rsidR="004F3FAB">
              <w:rPr>
                <w:noProof/>
                <w:webHidden/>
              </w:rPr>
              <w:fldChar w:fldCharType="begin"/>
            </w:r>
            <w:r w:rsidR="004F3FAB">
              <w:rPr>
                <w:noProof/>
                <w:webHidden/>
              </w:rPr>
              <w:instrText xml:space="preserve"> PAGEREF _Toc202357651 \h </w:instrText>
            </w:r>
            <w:r w:rsidR="004F3FAB">
              <w:rPr>
                <w:noProof/>
                <w:webHidden/>
              </w:rPr>
            </w:r>
            <w:r w:rsidR="004F3FAB">
              <w:rPr>
                <w:noProof/>
                <w:webHidden/>
              </w:rPr>
              <w:fldChar w:fldCharType="separate"/>
            </w:r>
            <w:r w:rsidR="004F3FAB">
              <w:rPr>
                <w:noProof/>
                <w:webHidden/>
              </w:rPr>
              <w:t>21</w:t>
            </w:r>
            <w:r w:rsidR="004F3FAB">
              <w:rPr>
                <w:noProof/>
                <w:webHidden/>
              </w:rPr>
              <w:fldChar w:fldCharType="end"/>
            </w:r>
          </w:hyperlink>
        </w:p>
        <w:p w:rsidR="004F3FAB" w:rsidRDefault="00EE17BB" w14:paraId="6C31C1C7" w14:textId="7A62B86D">
          <w:pPr>
            <w:pStyle w:val="TOC1"/>
            <w:tabs>
              <w:tab w:val="left" w:pos="440"/>
              <w:tab w:val="right" w:leader="dot" w:pos="9063"/>
            </w:tabs>
            <w:rPr>
              <w:rFonts w:asciiTheme="minorHAnsi" w:hAnsiTheme="minorHAnsi" w:eastAsiaTheme="minorEastAsia" w:cstheme="minorBidi"/>
              <w:noProof/>
              <w:lang w:val="en-US"/>
            </w:rPr>
          </w:pPr>
          <w:hyperlink w:history="1" w:anchor="_Toc202357652">
            <w:r w:rsidRPr="00287EE8" w:rsidR="004F3FAB">
              <w:rPr>
                <w:rStyle w:val="Hyperlink"/>
                <w:b/>
                <w:noProof/>
              </w:rPr>
              <w:t>7.</w:t>
            </w:r>
            <w:r w:rsidR="004F3FAB">
              <w:rPr>
                <w:rFonts w:asciiTheme="minorHAnsi" w:hAnsiTheme="minorHAnsi" w:eastAsiaTheme="minorEastAsia" w:cstheme="minorBidi"/>
                <w:noProof/>
                <w:lang w:val="en-US"/>
              </w:rPr>
              <w:tab/>
            </w:r>
            <w:r w:rsidRPr="00287EE8" w:rsidR="004F3FAB">
              <w:rPr>
                <w:rStyle w:val="Hyperlink"/>
                <w:b/>
                <w:noProof/>
              </w:rPr>
              <w:t>YTTRE FÖRBINDELSER</w:t>
            </w:r>
            <w:r w:rsidR="004F3FAB">
              <w:rPr>
                <w:noProof/>
                <w:webHidden/>
              </w:rPr>
              <w:tab/>
            </w:r>
            <w:r w:rsidR="004F3FAB">
              <w:rPr>
                <w:noProof/>
                <w:webHidden/>
              </w:rPr>
              <w:fldChar w:fldCharType="begin"/>
            </w:r>
            <w:r w:rsidR="004F3FAB">
              <w:rPr>
                <w:noProof/>
                <w:webHidden/>
              </w:rPr>
              <w:instrText xml:space="preserve"> PAGEREF _Toc202357652 \h </w:instrText>
            </w:r>
            <w:r w:rsidR="004F3FAB">
              <w:rPr>
                <w:noProof/>
                <w:webHidden/>
              </w:rPr>
            </w:r>
            <w:r w:rsidR="004F3FAB">
              <w:rPr>
                <w:noProof/>
                <w:webHidden/>
              </w:rPr>
              <w:fldChar w:fldCharType="separate"/>
            </w:r>
            <w:r w:rsidR="004F3FAB">
              <w:rPr>
                <w:noProof/>
                <w:webHidden/>
              </w:rPr>
              <w:t>23</w:t>
            </w:r>
            <w:r w:rsidR="004F3FAB">
              <w:rPr>
                <w:noProof/>
                <w:webHidden/>
              </w:rPr>
              <w:fldChar w:fldCharType="end"/>
            </w:r>
          </w:hyperlink>
        </w:p>
        <w:p w:rsidR="004F3FAB" w:rsidRDefault="00EE17BB" w14:paraId="4BE3D8CB" w14:textId="06751494">
          <w:pPr>
            <w:pStyle w:val="TOC1"/>
            <w:tabs>
              <w:tab w:val="left" w:pos="440"/>
              <w:tab w:val="right" w:leader="dot" w:pos="9063"/>
            </w:tabs>
            <w:rPr>
              <w:rFonts w:asciiTheme="minorHAnsi" w:hAnsiTheme="minorHAnsi" w:eastAsiaTheme="minorEastAsia" w:cstheme="minorBidi"/>
              <w:noProof/>
              <w:lang w:val="en-US"/>
            </w:rPr>
          </w:pPr>
          <w:hyperlink w:history="1" w:anchor="_Toc202357653">
            <w:r w:rsidRPr="00287EE8" w:rsidR="004F3FAB">
              <w:rPr>
                <w:rStyle w:val="Hyperlink"/>
                <w:b/>
                <w:noProof/>
              </w:rPr>
              <w:t>8.</w:t>
            </w:r>
            <w:r w:rsidR="004F3FAB">
              <w:rPr>
                <w:rFonts w:asciiTheme="minorHAnsi" w:hAnsiTheme="minorHAnsi" w:eastAsiaTheme="minorEastAsia" w:cstheme="minorBidi"/>
                <w:noProof/>
                <w:lang w:val="en-US"/>
              </w:rPr>
              <w:tab/>
            </w:r>
            <w:r w:rsidRPr="00287EE8" w:rsidR="004F3FAB">
              <w:rPr>
                <w:rStyle w:val="Hyperlink"/>
                <w:b/>
                <w:noProof/>
              </w:rPr>
              <w:t>RÅDGIVANDE UTSKOTTET FÖR INDUSTRIELL OMVANDLING</w:t>
            </w:r>
            <w:r w:rsidR="004F3FAB">
              <w:rPr>
                <w:noProof/>
                <w:webHidden/>
              </w:rPr>
              <w:tab/>
            </w:r>
            <w:r w:rsidR="004F3FAB">
              <w:rPr>
                <w:noProof/>
                <w:webHidden/>
              </w:rPr>
              <w:fldChar w:fldCharType="begin"/>
            </w:r>
            <w:r w:rsidR="004F3FAB">
              <w:rPr>
                <w:noProof/>
                <w:webHidden/>
              </w:rPr>
              <w:instrText xml:space="preserve"> PAGEREF _Toc202357653 \h </w:instrText>
            </w:r>
            <w:r w:rsidR="004F3FAB">
              <w:rPr>
                <w:noProof/>
                <w:webHidden/>
              </w:rPr>
            </w:r>
            <w:r w:rsidR="004F3FAB">
              <w:rPr>
                <w:noProof/>
                <w:webHidden/>
              </w:rPr>
              <w:fldChar w:fldCharType="separate"/>
            </w:r>
            <w:r w:rsidR="004F3FAB">
              <w:rPr>
                <w:noProof/>
                <w:webHidden/>
              </w:rPr>
              <w:t>25</w:t>
            </w:r>
            <w:r w:rsidR="004F3FAB">
              <w:rPr>
                <w:noProof/>
                <w:webHidden/>
              </w:rPr>
              <w:fldChar w:fldCharType="end"/>
            </w:r>
          </w:hyperlink>
        </w:p>
        <w:p w:rsidR="004D7AC0" w:rsidP="004D7AC0" w:rsidRDefault="004D7AC0" w14:paraId="4982DD6A" w14:textId="33BDCFCE">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357641" w:id="0"/>
      <w:r>
        <w:rPr>
          <w:b/>
        </w:rPr>
        <w:lastRenderedPageBreak/>
        <w:t>RESOLUTION</w:t>
      </w:r>
      <w:bookmarkEnd w:id="0"/>
    </w:p>
    <w:p w:rsidR="006537CB" w:rsidP="006537CB" w:rsidRDefault="006537CB" w14:paraId="7567FD8E" w14:textId="77777777"/>
    <w:p w:rsidRPr="009F0605" w:rsidR="009F0605" w:rsidP="009F0605" w:rsidRDefault="00EE17BB"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009F0605">
          <w:rPr>
            <w:b/>
            <w:i/>
            <w:color w:val="0000FF"/>
            <w:sz w:val="28"/>
            <w:u w:val="single"/>
          </w:rPr>
          <w:t>Resolution om Europeiska ekonomiska och sociala kommitténs bidrag till Europeiska kommissionens arbetsprogram för 2026</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Föredragande:</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proofErr w:type="spellStart"/>
            <w:r>
              <w:t>María</w:t>
            </w:r>
            <w:proofErr w:type="spellEnd"/>
            <w:r>
              <w:t xml:space="preserve"> del Carmen Barrera Chamorro (Arbetstagargruppen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r>
              <w:t xml:space="preserve">Christa </w:t>
            </w:r>
            <w:proofErr w:type="spellStart"/>
            <w:r>
              <w:t>Schweng</w:t>
            </w:r>
            <w:proofErr w:type="spellEnd"/>
            <w:r>
              <w:t xml:space="preserve"> (Arbetsgivargruppen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r>
              <w:t xml:space="preserve">Krzysztof </w:t>
            </w:r>
            <w:proofErr w:type="spellStart"/>
            <w:r>
              <w:t>Stanisław</w:t>
            </w:r>
            <w:proofErr w:type="spellEnd"/>
            <w:r>
              <w:t xml:space="preserve"> </w:t>
            </w:r>
            <w:proofErr w:type="spellStart"/>
            <w:r>
              <w:t>Balon</w:t>
            </w:r>
            <w:proofErr w:type="spellEnd"/>
            <w:r>
              <w:t xml:space="preserve"> (Gruppen för civilsamhällesorganisationer – 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Pr>
                <w:b/>
              </w:rPr>
              <w:t>Referensdokument:</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77777777">
      <w:pPr>
        <w:overflowPunct w:val="0"/>
        <w:autoSpaceDE w:val="0"/>
        <w:autoSpaceDN w:val="0"/>
        <w:adjustRightInd w:val="0"/>
        <w:textAlignment w:val="baseline"/>
        <w:rPr>
          <w:bCs/>
          <w:iCs/>
        </w:rPr>
      </w:pPr>
      <w:r>
        <w:t>Europeiska ekonomiska och sociala kommittén (EESK) framför följande förslag/uppmaningar:</w:t>
      </w: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 xml:space="preserve">Med denna resolution bidrar EESK, i egenskap av det europeiska organiserade civila samhällets institutionella röst, till utformningen av kommissionens arbetsprogram för 2026. EU måste sätta demokrati, mänskliga rättigheter, hållbarhet, jämlikhet och social rättvisa i centrum. Arbetsmarknadens parter, det civila samhället och frivilligsektorn utgör kritisk infrastruktur för </w:t>
      </w:r>
      <w:proofErr w:type="spellStart"/>
      <w:r>
        <w:t>samhällsresiliensen</w:t>
      </w:r>
      <w:proofErr w:type="spellEnd"/>
      <w:r>
        <w:t xml:space="preserve"> och måste erkännas, skyddas och på ett meningsfullt sätt involveras i framsynsarbetet, beredskapen och återhämtningen i samband med alla kriser.</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 xml:space="preserve">För att upprätthålla sitt globala ledarskap i en värld som snabbt förändras måste EU anta en ny strategi för konkurrenskraft som integrerar industripolitik, klimatambitioner och geopolitisk strategi. Detta kräver ett starkt fokus på investeringar och främjande av innovation och social sammanhållning, samtidigt som man säkerställer att den ekonomiska tillväxten är hållbar, social, inkluderande och </w:t>
      </w:r>
      <w:proofErr w:type="spellStart"/>
      <w:r>
        <w:t>resilient</w:t>
      </w:r>
      <w:proofErr w:type="spellEnd"/>
      <w:r>
        <w:t>. Konkurrenskraft och ekonomisk tillväxt måste gå hand i hand med social delaktighet.</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 xml:space="preserve">En </w:t>
      </w:r>
      <w:proofErr w:type="spellStart"/>
      <w:r>
        <w:t>resilient</w:t>
      </w:r>
      <w:proofErr w:type="spellEnd"/>
      <w:r>
        <w:t xml:space="preserve"> industripolitik måste prioritera innovation, den gröna och den digitala omställningen och kompetensunionen, samtidigt som livslångt lärande och arbetstillfällen av hög kvalitet främjas. Den sociala och solidariska ekonomin måste stödjas som en drivkraft för rättvisa och sammanhållning. Eftersom försvarsberedskapen har blivit central i det nya säkerhetsläget måste den bli en gemensam prioritering, samtidigt som den förblir förankrad i rättigheter, transparens och rättsstatsprincipen.</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 xml:space="preserve">Investeringar i forskning, utveckling, kompetensutveckling och strategiska sektorer måste stå i centrum för denna industripolitik så att industriell </w:t>
      </w:r>
      <w:proofErr w:type="spellStart"/>
      <w:r>
        <w:t>resiliens</w:t>
      </w:r>
      <w:proofErr w:type="spellEnd"/>
      <w:r>
        <w:t xml:space="preserve"> och långsiktig ekonomisk tillväxt samt arbetstillfällen av hög kvalitet kan säkerställas. Genom att fokusera på teknik såsom människocentrerad artificiell intelligens och förnybar energi kan EU behålla en konkurrensfördel inom branscher med högt värde.</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Genomför en strategi för fattigdomsbekämpning som syftar till att utrota extrem fattigdom och ta itu med bostads-, energi- och transportfattigdom. Den måste också innehålla ett uttryckligt erkännande av kopplingen mellan ihållande fattigdom och demokratisk utestängning och sörja för att människor som själva upplevt fattigdom medverkar i </w:t>
      </w:r>
      <w:proofErr w:type="spellStart"/>
      <w:r>
        <w:t>policyuformningen</w:t>
      </w:r>
      <w:proofErr w:type="spellEnd"/>
      <w:r>
        <w:t xml:space="preserve"> och medborgardeltagandet samt att ingen berövas tillgång till grundläggande energiresurser.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t xml:space="preserve">Utveckla jämställdhetsstrategin efter 2025 i syfte att utrota könsrelaterat våld, överbrygga könsklyftorna på arbetsmarknaden, uppnå lika deltagande i olika sektorer av ekonomin, ta itu med </w:t>
      </w:r>
      <w:r>
        <w:lastRenderedPageBreak/>
        <w:t>könsbaserade löne- och pensionsklyftor, överbrygga könsklyftan inom omsorgsarbete, uppnå en jämn könsfördelning inom beslutsfattande och politik och bedöma de framsteg som hittills gjorts.</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Stärk demokratin i arbetslivet genom social dialog, kollektivförhandlingar och ett fullständigt genomförande av arbetstagarnas rätt till information, samråd och representation. EU-institutionerna bör ge lämpligt stöd till social dialog och kollektivförhandlingar på alla nivåer i syfte att ytterligare utveckla arbetsmarknadsparternas kapacitet och vidta relevanta genomförandeåtgärder, inbegripet finansiella åtgärder, för att öka kollektivavtalstäckningen, särskilt i länder och regioner där dess potential fortfarande är outnyttjad.</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Utvidgningsprocessen bör fortsätta i riktning mot fred, välstånd och demokrati och samtidigt skapa långsiktig stabilitet i vår världsdel med deltagande av sociala och civila aktörer. Detta bör på ett framträdande sätt involvera Ukraina, vars demokratiska </w:t>
      </w:r>
      <w:proofErr w:type="spellStart"/>
      <w:r>
        <w:t>resiliens</w:t>
      </w:r>
      <w:proofErr w:type="spellEnd"/>
      <w:r>
        <w:t xml:space="preserve"> under aggressionen exemplifierar försvaret av europeiska värden, samt Moldavien och västra Balkan.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Inrättandet av en europeisk fond för strategiska investeringar med inriktning på att finansiera europeiska prioriterade projekt. Dessutom bör den fleråriga budgetramen 2028–2034 avsevärt öka de resurser som öronmärkts för prioriterade investeringar, med beaktande av strikta sociala villkor.</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9F0605" w:rsidRDefault="009F0605" w14:paraId="1E635307" w14:textId="25A5B643">
            <w:pPr>
              <w:overflowPunct w:val="0"/>
              <w:autoSpaceDE w:val="0"/>
              <w:autoSpaceDN w:val="0"/>
              <w:adjustRightInd w:val="0"/>
              <w:textAlignment w:val="baseline"/>
              <w:rPr>
                <w:i/>
              </w:rPr>
            </w:pPr>
            <w:r>
              <w:rPr>
                <w:b/>
                <w:i/>
              </w:rPr>
              <w:t xml:space="preserve">Kontaktperson: </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r>
              <w:rPr>
                <w:i/>
              </w:rPr>
              <w:t xml:space="preserve">David </w:t>
            </w:r>
            <w:proofErr w:type="spellStart"/>
            <w:r>
              <w:rPr>
                <w:i/>
              </w:rPr>
              <w:t>Scuderi</w:t>
            </w:r>
            <w:proofErr w:type="spellEnd"/>
          </w:p>
        </w:tc>
      </w:tr>
      <w:tr w:rsidRPr="009F0605" w:rsidR="009F0605" w:rsidTr="001757A2" w14:paraId="769F8713" w14:textId="77777777">
        <w:tc>
          <w:tcPr>
            <w:tcW w:w="1556" w:type="pct"/>
          </w:tcPr>
          <w:p w:rsidRPr="009F0605" w:rsidR="009F0605" w:rsidP="009F0605" w:rsidRDefault="009F0605" w14:paraId="32EDA1F9" w14:textId="77777777">
            <w:pPr>
              <w:overflowPunct w:val="0"/>
              <w:autoSpaceDE w:val="0"/>
              <w:autoSpaceDN w:val="0"/>
              <w:adjustRightInd w:val="0"/>
              <w:textAlignment w:val="baseline"/>
              <w:rPr>
                <w:i/>
              </w:rPr>
            </w:pPr>
            <w:r>
              <w:rPr>
                <w:i/>
              </w:rPr>
              <w:t>Tfn</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7777777">
            <w:pPr>
              <w:overflowPunct w:val="0"/>
              <w:autoSpaceDE w:val="0"/>
              <w:autoSpaceDN w:val="0"/>
              <w:adjustRightInd w:val="0"/>
              <w:textAlignment w:val="baseline"/>
              <w:rPr>
                <w:i/>
              </w:rPr>
            </w:pPr>
            <w:r>
              <w:rPr>
                <w:i/>
              </w:rPr>
              <w:t>E-post:</w:t>
            </w:r>
          </w:p>
        </w:tc>
        <w:tc>
          <w:tcPr>
            <w:tcW w:w="3444" w:type="pct"/>
          </w:tcPr>
          <w:p w:rsidR="009F0605" w:rsidP="001B7DAA" w:rsidRDefault="00EE17BB" w14:paraId="32945AFA" w14:textId="614E00FA">
            <w:pPr>
              <w:overflowPunct w:val="0"/>
              <w:autoSpaceDE w:val="0"/>
              <w:autoSpaceDN w:val="0"/>
              <w:adjustRightInd w:val="0"/>
              <w:textAlignment w:val="baseline"/>
              <w:rPr>
                <w:i/>
              </w:rPr>
            </w:pPr>
            <w:hyperlink w:history="1" r:id="rId22">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08887275">
            <w:pPr>
              <w:overflowPunct w:val="0"/>
              <w:autoSpaceDE w:val="0"/>
              <w:autoSpaceDN w:val="0"/>
              <w:adjustRightInd w:val="0"/>
              <w:textAlignment w:val="baseline"/>
              <w:rPr>
                <w:i/>
              </w:rPr>
            </w:pPr>
            <w:r>
              <w:rPr>
                <w:b/>
                <w:i/>
              </w:rPr>
              <w:t xml:space="preserve">Kontaktperson: </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r>
              <w:rPr>
                <w:i/>
              </w:rPr>
              <w:t xml:space="preserve">Stefania </w:t>
            </w:r>
            <w:proofErr w:type="spellStart"/>
            <w:r>
              <w:rPr>
                <w:i/>
              </w:rPr>
              <w:t>Lopedote</w:t>
            </w:r>
            <w:proofErr w:type="spellEnd"/>
          </w:p>
        </w:tc>
      </w:tr>
      <w:tr w:rsidRPr="009F0605" w:rsidR="009F0605" w:rsidTr="001757A2" w14:paraId="059B6C18" w14:textId="77777777">
        <w:tc>
          <w:tcPr>
            <w:tcW w:w="1556" w:type="pct"/>
          </w:tcPr>
          <w:p w:rsidRPr="009F0605" w:rsidR="009F0605" w:rsidP="009F0605" w:rsidRDefault="009F0605" w14:paraId="20DC12C8" w14:textId="77777777">
            <w:pPr>
              <w:overflowPunct w:val="0"/>
              <w:autoSpaceDE w:val="0"/>
              <w:autoSpaceDN w:val="0"/>
              <w:adjustRightInd w:val="0"/>
              <w:textAlignment w:val="baseline"/>
              <w:rPr>
                <w:i/>
              </w:rPr>
            </w:pPr>
            <w:r>
              <w:rPr>
                <w:i/>
              </w:rPr>
              <w:t>Tfn</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77777777">
            <w:pPr>
              <w:overflowPunct w:val="0"/>
              <w:autoSpaceDE w:val="0"/>
              <w:autoSpaceDN w:val="0"/>
              <w:adjustRightInd w:val="0"/>
              <w:textAlignment w:val="baseline"/>
              <w:rPr>
                <w:i/>
              </w:rPr>
            </w:pPr>
            <w:r>
              <w:rPr>
                <w:i/>
              </w:rPr>
              <w:t>E-post:</w:t>
            </w:r>
          </w:p>
        </w:tc>
        <w:tc>
          <w:tcPr>
            <w:tcW w:w="3444" w:type="pct"/>
          </w:tcPr>
          <w:p w:rsidR="005275B5" w:rsidP="009F0605" w:rsidRDefault="00EE17BB" w14:paraId="32836B7B" w14:textId="7D224909">
            <w:pPr>
              <w:overflowPunct w:val="0"/>
              <w:autoSpaceDE w:val="0"/>
              <w:autoSpaceDN w:val="0"/>
              <w:adjustRightInd w:val="0"/>
              <w:textAlignment w:val="baseline"/>
              <w:rPr>
                <w:i/>
              </w:rPr>
            </w:pPr>
            <w:hyperlink w:history="1" r:id="rId23">
              <w:r w:rsidR="005275B5">
                <w:rPr>
                  <w:rStyle w:val="Hyperlink"/>
                  <w:i/>
                </w:rPr>
                <w:t>Stefania.Lopedote@eesc.europa.eu</w:t>
              </w:r>
            </w:hyperlink>
          </w:p>
          <w:p w:rsidRPr="009F0605" w:rsidR="009F0605" w:rsidP="009F0605" w:rsidRDefault="009F0605" w14:paraId="13CF8611" w14:textId="62AD6EE0">
            <w:pPr>
              <w:overflowPunct w:val="0"/>
              <w:autoSpaceDE w:val="0"/>
              <w:autoSpaceDN w:val="0"/>
              <w:adjustRightInd w:val="0"/>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EE17BB" w14:paraId="4CE812CD" w14:textId="36972259">
      <w:pPr>
        <w:widowControl w:val="0"/>
        <w:numPr>
          <w:ilvl w:val="0"/>
          <w:numId w:val="6"/>
        </w:numPr>
        <w:overflowPunct w:val="0"/>
        <w:autoSpaceDE w:val="0"/>
        <w:autoSpaceDN w:val="0"/>
        <w:adjustRightInd w:val="0"/>
        <w:ind w:hanging="567"/>
        <w:textAlignment w:val="baseline"/>
        <w:rPr>
          <w:sz w:val="24"/>
          <w:szCs w:val="24"/>
        </w:rPr>
      </w:pPr>
      <w:hyperlink w:history="1" r:id="rId24">
        <w:r w:rsidR="00E32C54">
          <w:rPr>
            <w:b/>
            <w:i/>
            <w:color w:val="0000FF"/>
            <w:sz w:val="28"/>
            <w:u w:val="single"/>
          </w:rPr>
          <w:t>Resolution – En färdplan för kvinnors rättigheter – stöd till förklaringen om principer för ett jämställt samhälle</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E11CA7" w:rsidR="00E32C54" w:rsidTr="00A94024"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r>
              <w:t>Sif Holst (Gruppen för civilsamhällesorganisationer – 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Referensdokument: </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COM (2025) 97 final</w:t>
            </w:r>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Huvudpunkter</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Vi bekräftar vårt orubbliga engagemang för </w:t>
      </w:r>
      <w:r>
        <w:rPr>
          <w:b/>
        </w:rPr>
        <w:t>jämställdhet och kvinnors rättigheter som grundläggande pelare för demokrati, social rättvisa och tillväxt för alla</w:t>
      </w:r>
      <w:r>
        <w:t xml:space="preserve"> och går beslutsamt sida vid sida med alla aktörer som strävar efter att </w:t>
      </w:r>
      <w:r>
        <w:rPr>
          <w:b/>
        </w:rPr>
        <w:t>främja jämställdhet för alla kvinnor och flickor, i all deras mångfald</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 xml:space="preserve">Vi stöder förklaringen om principer för ett jämställt samhälle, som ligger i linje med de värden och prioriteringar som upprepade gånger har uttryckts i </w:t>
      </w:r>
      <w:proofErr w:type="spellStart"/>
      <w:r>
        <w:t>EESK:s</w:t>
      </w:r>
      <w:proofErr w:type="spellEnd"/>
      <w:r>
        <w:t xml:space="preserve"> yttranden.</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Vi erkänner att genomförandet av dessa principer kräver samordnade och varaktiga åtgärder och vi är fast beslutna att</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främja jämställdhet genom en strukturerad social och civil dialog och inkluderande deltagande på alla nivåer,</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stärka ungdomarnas, civilsamhällesorganisationernas och arbetsmarknadsparternas roll i utformningen, övervakningen och genomförandet av jämställdhetspolitiken,</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 xml:space="preserve">stödja </w:t>
      </w:r>
      <w:proofErr w:type="spellStart"/>
      <w:r>
        <w:t>intersektionella</w:t>
      </w:r>
      <w:proofErr w:type="spellEnd"/>
      <w:r>
        <w:t xml:space="preserve"> strategier som tar itu med verkligheten för kvinnor som utsätts för flera och överlappande former av diskriminering,</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uppmuntra politik som garanterar sexuell och reproduktiv hälsa och rättigheter, rättvis tillgång till vård och säkra demokratiska utrymmen för alla, och</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främja jämställdhetsintegrering, jämställdhetsbudgetering och systematisk insamling och användning av könsuppdelade och </w:t>
      </w:r>
      <w:proofErr w:type="spellStart"/>
      <w:r>
        <w:t>intersektionella</w:t>
      </w:r>
      <w:proofErr w:type="spellEnd"/>
      <w:r>
        <w:t xml:space="preserve"> data.</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Vi står till förfogande för att aktivt bidra till genomförandet av denna färdplan och att samarbeta med EU-institutionerna och medlemsstaterna för att omsätta dessa principer i praktiken.</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11CA7" w:rsidR="00E32C54" w:rsidTr="00A94024" w14:paraId="139B1DD5" w14:textId="77777777">
        <w:tc>
          <w:tcPr>
            <w:tcW w:w="1418" w:type="dxa"/>
          </w:tcPr>
          <w:p w:rsidRPr="00E11CA7" w:rsidR="00E32C54" w:rsidP="00A94024" w:rsidRDefault="00E32C54" w14:paraId="0397B25F" w14:textId="54348C83">
            <w:pPr>
              <w:overflowPunct w:val="0"/>
              <w:autoSpaceDE w:val="0"/>
              <w:autoSpaceDN w:val="0"/>
              <w:adjustRightInd w:val="0"/>
              <w:spacing w:line="240" w:lineRule="auto"/>
              <w:textAlignment w:val="baseline"/>
              <w:rPr>
                <w:i/>
              </w:rPr>
            </w:pPr>
            <w:r>
              <w:rPr>
                <w:b/>
                <w:i/>
              </w:rPr>
              <w:t>Kontaktperson:</w:t>
            </w:r>
          </w:p>
        </w:tc>
        <w:tc>
          <w:tcPr>
            <w:tcW w:w="5670"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 xml:space="preserve">Gabriela </w:t>
            </w:r>
            <w:proofErr w:type="spellStart"/>
            <w:r>
              <w:rPr>
                <w:i/>
              </w:rPr>
              <w:t>Grasu</w:t>
            </w:r>
            <w:proofErr w:type="spellEnd"/>
          </w:p>
        </w:tc>
      </w:tr>
      <w:tr w:rsidRPr="00E11CA7" w:rsidR="00E32C54" w:rsidTr="00A94024" w14:paraId="338937A5" w14:textId="77777777">
        <w:tc>
          <w:tcPr>
            <w:tcW w:w="1418" w:type="dxa"/>
          </w:tcPr>
          <w:p w:rsidRPr="00E11CA7" w:rsidR="00E32C54" w:rsidP="00A94024" w:rsidRDefault="00E32C54" w14:paraId="40D437BD" w14:textId="7EFF5913">
            <w:pPr>
              <w:overflowPunct w:val="0"/>
              <w:autoSpaceDE w:val="0"/>
              <w:autoSpaceDN w:val="0"/>
              <w:adjustRightInd w:val="0"/>
              <w:spacing w:line="240" w:lineRule="auto"/>
              <w:textAlignment w:val="baseline"/>
              <w:rPr>
                <w:i/>
              </w:rPr>
            </w:pPr>
            <w:r>
              <w:rPr>
                <w:i/>
              </w:rPr>
              <w:t>Tfn</w:t>
            </w:r>
          </w:p>
        </w:tc>
        <w:tc>
          <w:tcPr>
            <w:tcW w:w="5670"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A94024" w14:paraId="559316EA" w14:textId="77777777">
        <w:tc>
          <w:tcPr>
            <w:tcW w:w="1418" w:type="dxa"/>
          </w:tcPr>
          <w:p w:rsidRPr="00E11CA7" w:rsidR="00E32C54" w:rsidP="00A94024" w:rsidRDefault="00BC7002" w14:paraId="322885DD" w14:textId="6AFB81D5">
            <w:pPr>
              <w:overflowPunct w:val="0"/>
              <w:autoSpaceDE w:val="0"/>
              <w:autoSpaceDN w:val="0"/>
              <w:adjustRightInd w:val="0"/>
              <w:spacing w:line="240" w:lineRule="auto"/>
              <w:textAlignment w:val="baseline"/>
              <w:rPr>
                <w:i/>
              </w:rPr>
            </w:pPr>
            <w:r>
              <w:rPr>
                <w:i/>
              </w:rPr>
              <w:t>E-post:</w:t>
            </w:r>
          </w:p>
        </w:tc>
        <w:tc>
          <w:tcPr>
            <w:tcW w:w="5670" w:type="dxa"/>
          </w:tcPr>
          <w:p w:rsidRPr="00E11CA7" w:rsidR="00E32C54" w:rsidP="00A94024" w:rsidRDefault="00EE17BB" w14:paraId="57A44FB7" w14:textId="77777777">
            <w:pPr>
              <w:overflowPunct w:val="0"/>
              <w:autoSpaceDE w:val="0"/>
              <w:autoSpaceDN w:val="0"/>
              <w:adjustRightInd w:val="0"/>
              <w:spacing w:line="240" w:lineRule="auto"/>
              <w:textAlignment w:val="baseline"/>
              <w:rPr>
                <w:i/>
                <w:iCs/>
              </w:rPr>
            </w:pPr>
            <w:hyperlink w:history="1" r:id="rId25">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357642" w:id="1"/>
      <w:r>
        <w:rPr>
          <w:b/>
        </w:rPr>
        <w:lastRenderedPageBreak/>
        <w:t>EKONOMISKA OCH MONETÄRA UNIONEN, EKONOMISK OCH SOCIAL SAMMANHÅLLNING</w:t>
      </w:r>
      <w:bookmarkEnd w:id="1"/>
    </w:p>
    <w:p w:rsidR="004D7AC0" w:rsidP="004D7AC0" w:rsidRDefault="004D7AC0" w14:paraId="4982DD6E" w14:textId="77777777"/>
    <w:p w:rsidRPr="00A174E9" w:rsidR="00A174E9" w:rsidP="00A174E9" w:rsidRDefault="00EE17BB"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6">
        <w:r w:rsidR="00381CCE">
          <w:rPr>
            <w:b/>
            <w:i/>
            <w:color w:val="0000FF"/>
            <w:sz w:val="28"/>
            <w:u w:val="single"/>
          </w:rPr>
          <w:t>Översyn av skatterapporteringsskyldigheterna i EU</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Föredragande:</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r>
              <w:t>Krister Andersson (Arbetsgivargruppen –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Pr>
                <w:b/>
              </w:rPr>
              <w:t>Referensdokument:</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Yttrande på eget initiativ</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EESK stöder kommissionens planer på att få till stånd en förenkling, minska den administrativa bördan och stärka konkurrenskraften för EU:s ekonomi.</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Skatteförenkling bör främja tillhandahållandet av kostnadseffektiv information och förbättra användningen och utbytet av information mellan skattemyndigheter men får inte leda till orättvisa eller oavsiktliga förändringar av skatteplikten eller skapa möjligheter till skatteundandragande eller skadlig skattekonkurrens.</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En omfattande förenkling kan också åstadkommas med hjälp av en harmonisering av liknande, men inte helt anpassade, rättsliga begrepp och rättslig terminologi i olika EU-direktiv om indirekt beskattning.</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En konsekvensbedömning bör göras av varje förslag, så att de konkreta konsekvenserna av nya lagstiftningsinitiativ för skattebetalare och företag ska kunna bedömas på ett korrekt sätt.</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Kommittén rekommenderar också att det genomförs en konkurrenskraftskontroll av nya lagstiftningsinitiativ på skatteområdet, även för små och medelstora företag, för att säkerställa att de nya reglerna verkligen stöder kommissionens planerade mål när det gäller förenkling, rationalisering och minskning av den administrativa bördan.</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EESK föreslår att ett system med förhandsbesked införs på EU-nivå. Inrättandet av ett rättsligt organ skulle ge klarhet i tolkningen av de direktiv och förordningar som genomförs i medlemsstaterna.</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Ett nytt gemensamt forum för internprissättning bör inrättas.</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174E9" w:rsidR="00A174E9" w:rsidTr="001757A2" w14:paraId="15FA655D" w14:textId="77777777">
        <w:tc>
          <w:tcPr>
            <w:tcW w:w="1556" w:type="pct"/>
          </w:tcPr>
          <w:p w:rsidRPr="00A174E9" w:rsidR="00A174E9" w:rsidP="00A174E9" w:rsidRDefault="00A174E9" w14:paraId="0BF0699F"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p>
        </w:tc>
      </w:tr>
      <w:tr w:rsidRPr="00A174E9" w:rsidR="00A174E9" w:rsidTr="001757A2" w14:paraId="497E6EC8" w14:textId="77777777">
        <w:tc>
          <w:tcPr>
            <w:tcW w:w="1556" w:type="pct"/>
          </w:tcPr>
          <w:p w:rsidRPr="00A174E9" w:rsidR="00A174E9" w:rsidP="00A174E9" w:rsidRDefault="00A174E9" w14:paraId="420F5C47" w14:textId="77777777">
            <w:pPr>
              <w:overflowPunct w:val="0"/>
              <w:autoSpaceDE w:val="0"/>
              <w:autoSpaceDN w:val="0"/>
              <w:adjustRightInd w:val="0"/>
              <w:spacing w:line="240" w:lineRule="auto"/>
              <w:textAlignment w:val="baseline"/>
              <w:rPr>
                <w:i/>
              </w:rPr>
            </w:pPr>
            <w:r>
              <w:rPr>
                <w:i/>
              </w:rPr>
              <w:t>Tfn</w:t>
            </w:r>
          </w:p>
        </w:tc>
        <w:tc>
          <w:tcPr>
            <w:tcW w:w="3444"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A174E9" w:rsidRDefault="00A174E9" w14:paraId="126CBE9C" w14:textId="77777777">
            <w:pPr>
              <w:overflowPunct w:val="0"/>
              <w:autoSpaceDE w:val="0"/>
              <w:autoSpaceDN w:val="0"/>
              <w:adjustRightInd w:val="0"/>
              <w:spacing w:line="240" w:lineRule="auto"/>
              <w:textAlignment w:val="baseline"/>
              <w:rPr>
                <w:i/>
              </w:rPr>
            </w:pPr>
            <w:r>
              <w:rPr>
                <w:i/>
              </w:rPr>
              <w:t>E-post:</w:t>
            </w:r>
          </w:p>
        </w:tc>
        <w:tc>
          <w:tcPr>
            <w:tcW w:w="3444" w:type="pct"/>
          </w:tcPr>
          <w:p w:rsidRPr="00A174E9" w:rsidR="00A174E9" w:rsidP="00A174E9" w:rsidRDefault="00EE17BB" w14:paraId="70D912E0" w14:textId="77777777">
            <w:pPr>
              <w:overflowPunct w:val="0"/>
              <w:autoSpaceDE w:val="0"/>
              <w:autoSpaceDN w:val="0"/>
              <w:adjustRightInd w:val="0"/>
              <w:spacing w:line="240" w:lineRule="auto"/>
              <w:textAlignment w:val="baseline"/>
              <w:rPr>
                <w:i/>
              </w:rPr>
            </w:pPr>
            <w:hyperlink w:history="1" r:id="rId27">
              <w:r w:rsidR="00381CCE">
                <w:rPr>
                  <w:i/>
                  <w:color w:val="0000FF"/>
                  <w:u w:val="single"/>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89162C" w:rsidR="0089162C" w:rsidP="00B60D9A" w:rsidRDefault="00EE17BB"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8">
        <w:r w:rsidR="0089162C">
          <w:rPr>
            <w:b/>
            <w:i/>
            <w:color w:val="0000FF"/>
            <w:sz w:val="28"/>
            <w:u w:val="single"/>
          </w:rPr>
          <w:t>Ytterligare stöd till de yttersta randområdena</w:t>
        </w:r>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3985"/>
        <w:gridCol w:w="3399"/>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Föredragande:</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proofErr w:type="spellStart"/>
            <w:r>
              <w:t>Joël</w:t>
            </w:r>
            <w:proofErr w:type="spellEnd"/>
            <w:r>
              <w:t xml:space="preserve"> </w:t>
            </w:r>
            <w:proofErr w:type="spellStart"/>
            <w:r>
              <w:t>Destom</w:t>
            </w:r>
            <w:proofErr w:type="spellEnd"/>
            <w:r>
              <w:t xml:space="preserve"> (Gruppen för civilsamhällesorganisationer – 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Referensdokument: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final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0089162C" w:rsidP="00B60D9A" w:rsidRDefault="0089162C" w14:paraId="14F2BAED" w14:textId="61BDCB13">
            <w:pPr>
              <w:tabs>
                <w:tab w:val="center" w:pos="284"/>
              </w:tabs>
              <w:overflowPunct w:val="0"/>
              <w:autoSpaceDE w:val="0"/>
              <w:autoSpaceDN w:val="0"/>
              <w:adjustRightInd w:val="0"/>
              <w:spacing w:line="276" w:lineRule="auto"/>
              <w:ind w:left="266" w:hanging="266"/>
              <w:textAlignment w:val="baseline"/>
            </w:pPr>
            <w:r>
              <w:t>EESC-2025-01633-00-00-AC</w:t>
            </w:r>
          </w:p>
          <w:p w:rsidRPr="0089162C" w:rsidR="00E661EA" w:rsidP="00B60D9A" w:rsidRDefault="00E661EA" w14:paraId="5282C408" w14:textId="04F017BC">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Pr="00F67691"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sz w:val="16"/>
          <w:szCs w:val="16"/>
          <w:lang w:val="en-GB"/>
        </w:rPr>
      </w:pPr>
    </w:p>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Huvudpunkter</w:t>
      </w:r>
    </w:p>
    <w:p w:rsidRPr="00F67691" w:rsidR="0089162C" w:rsidP="00B60D9A" w:rsidRDefault="0089162C" w14:paraId="37AB9561" w14:textId="77777777">
      <w:pPr>
        <w:overflowPunct w:val="0"/>
        <w:autoSpaceDE w:val="0"/>
        <w:autoSpaceDN w:val="0"/>
        <w:adjustRightInd w:val="0"/>
        <w:spacing w:line="276" w:lineRule="auto"/>
        <w:textAlignment w:val="baseline"/>
        <w:rPr>
          <w:bCs/>
          <w:iCs/>
          <w:sz w:val="16"/>
          <w:szCs w:val="16"/>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proofErr w:type="spellStart"/>
      <w:r>
        <w:t>EESK:s</w:t>
      </w:r>
      <w:proofErr w:type="spellEnd"/>
      <w:r>
        <w:t xml:space="preserve"> ståndpunkt:</w:t>
      </w:r>
    </w:p>
    <w:p w:rsidRPr="00F67691" w:rsidR="005D51A7" w:rsidP="00B60D9A" w:rsidRDefault="005D51A7" w14:paraId="3D056374" w14:textId="77777777">
      <w:pPr>
        <w:overflowPunct w:val="0"/>
        <w:autoSpaceDE w:val="0"/>
        <w:autoSpaceDN w:val="0"/>
        <w:adjustRightInd w:val="0"/>
        <w:spacing w:line="240" w:lineRule="auto"/>
        <w:textAlignment w:val="baseline"/>
        <w:rPr>
          <w:bCs/>
          <w:iCs/>
          <w:sz w:val="16"/>
          <w:szCs w:val="16"/>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EESK välkomnar kommissionens förslag, där de yttersta randområdenas strukturella sårbarhet för naturkatastrofer och klimatförändringar till fullo erkänns genom att flexibilitetsåtgärder övervägs för att ta hänsyn till klimatrelaterade och humanitära nödsituationer i dessa områden, i synnerhet på Mayotte.</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Kommittén stöder de riktade ändringarna av förordning (EU) nr 228/2013 som syftar till att</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 xml:space="preserve">säkerställa kontinuitet i stödet inom ramen för det särskilda programmet för vissa regioner beroende på dessa regioners avsides läge och </w:t>
      </w:r>
      <w:proofErr w:type="spellStart"/>
      <w:r>
        <w:t>ökaraktär</w:t>
      </w:r>
      <w:proofErr w:type="spellEnd"/>
      <w:r>
        <w:t xml:space="preserve"> (</w:t>
      </w:r>
      <w:proofErr w:type="spellStart"/>
      <w:r>
        <w:t>Posei</w:t>
      </w:r>
      <w:proofErr w:type="spellEnd"/>
      <w:r>
        <w:t>) under återställningsfasen, även utan produktiv verksamhet, samt</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t>avlägsna taket på 10 % för omfördelning av medel från Europeiska jordbruksfonden för landsbygdsutveckling (</w:t>
      </w:r>
      <w:proofErr w:type="spellStart"/>
      <w:r>
        <w:t>Ejflu</w:t>
      </w:r>
      <w:proofErr w:type="spellEnd"/>
      <w:r>
        <w:t>) till Mayotte, och förlänga tidsfristen för urvalet av stödmottagare till efter den 30 juni 2025.</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Vi uppmanar kommissionen och medlemsstaterna att säkerställa att omfördelningen av medel inte sker på bekostnad av strukturella projekt för landsbygdsutveckling. EESK uppmanar också till att det i förordningen införs en bestämmelse som uppmuntrar till användning av naturbaserade lösningar i återställningsfasen efter katastrofer, och till att en strikt och transparent årlig övervakning av stödmottagarnas åtaganden upprätthålls.</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t>Vi uppmanar kommissionen att arbeta nära samman med medlemsstaterna, de lokala myndigheterna och det civila samhällets organisationer för att så effektivt och snabbt som möjligt utnyttja möjligheterna att stödja de drabbade regionerna. Civilsamhällesorganisationer, arbetstagare, små och medelstora företag och icke-statliga organisationer har drabbats hårt av naturkatastroferna och en betydande del av medlen måste gå till dem.</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EESK rekommenderar dessutom följande:</w:t>
      </w:r>
    </w:p>
    <w:p w:rsidRPr="0089162C"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t>Att ett förfarande för snabbt erkännande av naturkatastrofer officiellt införs på EU-nivå.</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 xml:space="preserve">Att man överväger att inrätta en särskild EU-fond för klimatkatastrofer för att effektivt kunna reagera på större kriser utan att äventyra den </w:t>
      </w:r>
      <w:proofErr w:type="spellStart"/>
      <w:r>
        <w:t>strukturpolitik</w:t>
      </w:r>
      <w:proofErr w:type="spellEnd"/>
      <w:r>
        <w:t xml:space="preserve"> som finansieras genom </w:t>
      </w:r>
      <w:proofErr w:type="spellStart"/>
      <w:r>
        <w:t>Ejflu</w:t>
      </w:r>
      <w:proofErr w:type="spellEnd"/>
      <w:r>
        <w:t xml:space="preserve"> eller den gemensamma jordbrukspolitiken (GJP). Denna fond, som skulle komplettera Europeiska unionens solidaritetsfond, skulle säkerställa hållbarheten i framtida bistånd i en situation där stora risker blir allt mer överhängande.</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 xml:space="preserve">Anpassningarna av förordningen ingår i den bredare strategiska ramen för den långsiktiga visionen för EU:s landsbygdsområden och säkerställer samstämmighet mellan krisstöd, territoriell </w:t>
      </w:r>
      <w:proofErr w:type="spellStart"/>
      <w:r>
        <w:t>resiliens</w:t>
      </w:r>
      <w:proofErr w:type="spellEnd"/>
      <w:r>
        <w:t xml:space="preserve"> och hållbar landsbygdsutveckling.</w:t>
      </w:r>
    </w:p>
    <w:p w:rsidR="0089162C" w:rsidP="003F1917" w:rsidRDefault="0089162C" w14:paraId="2562625C" w14:textId="77777777">
      <w:pPr>
        <w:widowControl w:val="0"/>
        <w:numPr>
          <w:ilvl w:val="0"/>
          <w:numId w:val="31"/>
        </w:numPr>
        <w:overflowPunct w:val="0"/>
        <w:autoSpaceDE w:val="0"/>
        <w:autoSpaceDN w:val="0"/>
        <w:adjustRightInd w:val="0"/>
        <w:ind w:left="567" w:hanging="283"/>
        <w:textAlignment w:val="baseline"/>
        <w:rPr>
          <w:szCs w:val="20"/>
        </w:rPr>
      </w:pPr>
      <w:r>
        <w:t xml:space="preserve">EESK anser att EU behöver en ny, stabil och solid finansieringsmekanism som måste vara anpassningsbar, flexibel och redo att reagera på nya och framväxande kriser under de kommande åren. </w:t>
      </w:r>
    </w:p>
    <w:p w:rsidR="00055407" w:rsidRDefault="00055407" w14:paraId="3BCC5154" w14:textId="494AEB58">
      <w:pPr>
        <w:spacing w:after="160" w:line="259" w:lineRule="auto"/>
        <w:jc w:val="left"/>
        <w:rPr>
          <w:szCs w:val="20"/>
        </w:rPr>
      </w:pP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Slutligen efterlyser EESK en bättre samordning mellan de olika europeiska instrumenten för insatser vid katastrofer och att det inrättas en strukturerad ram för förebyggande, inbegripet en gemensam kontaktpunkt för de yttersta randområdena, en mekanism för tidig varning avseende klimatet för de yttersta randområdena samt förenklade administrativa förfaranden för beviljande av stöd.</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89162C" w:rsidR="0089162C" w:rsidTr="001757A2" w14:paraId="2AFA9E15" w14:textId="77777777">
        <w:tc>
          <w:tcPr>
            <w:tcW w:w="1418" w:type="dxa"/>
          </w:tcPr>
          <w:p w:rsidRPr="0089162C" w:rsidR="0089162C" w:rsidP="0089162C" w:rsidRDefault="0089162C" w14:paraId="3856C519" w14:textId="4B0C99D7">
            <w:pPr>
              <w:overflowPunct w:val="0"/>
              <w:autoSpaceDE w:val="0"/>
              <w:autoSpaceDN w:val="0"/>
              <w:adjustRightInd w:val="0"/>
              <w:spacing w:line="240" w:lineRule="auto"/>
              <w:textAlignment w:val="baseline"/>
              <w:rPr>
                <w:i/>
              </w:rPr>
            </w:pPr>
            <w:r>
              <w:rPr>
                <w:b/>
                <w:i/>
              </w:rPr>
              <w:t>Kontaktperson:</w:t>
            </w:r>
          </w:p>
        </w:tc>
        <w:tc>
          <w:tcPr>
            <w:tcW w:w="5670"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89162C" w:rsidR="0089162C" w:rsidTr="001757A2" w14:paraId="51D98A7C" w14:textId="77777777">
        <w:tc>
          <w:tcPr>
            <w:tcW w:w="1418" w:type="dxa"/>
          </w:tcPr>
          <w:p w:rsidRPr="0089162C" w:rsidR="0089162C" w:rsidP="0089162C" w:rsidRDefault="0089162C" w14:paraId="6B8F537C" w14:textId="3D76B63B">
            <w:pPr>
              <w:overflowPunct w:val="0"/>
              <w:autoSpaceDE w:val="0"/>
              <w:autoSpaceDN w:val="0"/>
              <w:adjustRightInd w:val="0"/>
              <w:spacing w:line="240" w:lineRule="auto"/>
              <w:textAlignment w:val="baseline"/>
              <w:rPr>
                <w:i/>
              </w:rPr>
            </w:pPr>
            <w:r>
              <w:rPr>
                <w:i/>
              </w:rPr>
              <w:t>Tfn</w:t>
            </w:r>
          </w:p>
        </w:tc>
        <w:tc>
          <w:tcPr>
            <w:tcW w:w="5670"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1757A2" w14:paraId="443155D9" w14:textId="77777777">
        <w:tc>
          <w:tcPr>
            <w:tcW w:w="1418" w:type="dxa"/>
          </w:tcPr>
          <w:p w:rsidRPr="0089162C" w:rsidR="0089162C" w:rsidP="0089162C" w:rsidRDefault="00C86ABE" w14:paraId="21A28619" w14:textId="4E3177B1">
            <w:pPr>
              <w:overflowPunct w:val="0"/>
              <w:autoSpaceDE w:val="0"/>
              <w:autoSpaceDN w:val="0"/>
              <w:adjustRightInd w:val="0"/>
              <w:spacing w:line="240" w:lineRule="auto"/>
              <w:textAlignment w:val="baseline"/>
              <w:rPr>
                <w:i/>
              </w:rPr>
            </w:pPr>
            <w:r>
              <w:rPr>
                <w:i/>
              </w:rPr>
              <w:t>E-post:</w:t>
            </w:r>
          </w:p>
        </w:tc>
        <w:tc>
          <w:tcPr>
            <w:tcW w:w="5670" w:type="dxa"/>
          </w:tcPr>
          <w:p w:rsidRPr="0089162C" w:rsidR="0089162C" w:rsidP="0089162C" w:rsidRDefault="00EE17BB" w14:paraId="72FF38C2" w14:textId="5AC9978B">
            <w:pPr>
              <w:overflowPunct w:val="0"/>
              <w:autoSpaceDE w:val="0"/>
              <w:autoSpaceDN w:val="0"/>
              <w:adjustRightInd w:val="0"/>
              <w:spacing w:line="240" w:lineRule="auto"/>
              <w:textAlignment w:val="baseline"/>
              <w:rPr>
                <w:i/>
                <w:iCs/>
              </w:rPr>
            </w:pPr>
            <w:hyperlink w:history="1" r:id="rId29">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357643" w:id="3"/>
      <w:r>
        <w:rPr>
          <w:b/>
        </w:rPr>
        <w:lastRenderedPageBreak/>
        <w:t>SYSSELSÄTTNING, SOCIALA FRÅGOR OCH MEDBORGARNA</w:t>
      </w:r>
      <w:bookmarkEnd w:id="2"/>
      <w:bookmarkEnd w:id="3"/>
    </w:p>
    <w:p w:rsidR="004D7AC0" w:rsidP="004D7AC0" w:rsidRDefault="004D7AC0" w14:paraId="4982DD9A" w14:textId="77777777"/>
    <w:p w:rsidRPr="00BE355C" w:rsidR="00BE355C" w:rsidP="00B60D9A" w:rsidRDefault="00EE17BB"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00BE355C">
          <w:rPr>
            <w:b/>
            <w:i/>
            <w:color w:val="0000FF"/>
            <w:sz w:val="28"/>
            <w:u w:val="single"/>
          </w:rPr>
          <w:t>Att stärka den lagliga och organiserade arbetskraftsmigrationen till EU</w:t>
        </w:r>
      </w:hyperlink>
    </w:p>
    <w:p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p w:rsidRPr="00BE355C"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Föredragande:</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 xml:space="preserve">Thomas </w:t>
            </w:r>
            <w:proofErr w:type="spellStart"/>
            <w:r>
              <w:t>Wagnsonner</w:t>
            </w:r>
            <w:proofErr w:type="spellEnd"/>
            <w:r>
              <w:t xml:space="preserve"> (Arbetstagargruppen – AT)</w:t>
            </w:r>
          </w:p>
        </w:tc>
      </w:tr>
      <w:tr w:rsidRPr="00BE355C" w:rsidR="00BE355C" w:rsidTr="001757A2" w14:paraId="54C7ED21" w14:textId="77777777">
        <w:tc>
          <w:tcPr>
            <w:tcW w:w="1701" w:type="dxa"/>
            <w:vMerge w:val="restart"/>
          </w:tcPr>
          <w:p w:rsidRPr="00BE355C"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Pr>
                <w:b/>
              </w:rPr>
              <w:t>Referensdokument:</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Yttrande på eget initiativ</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r w:rsidRPr="00BE355C" w:rsidR="00BE355C" w:rsidTr="001757A2" w14:paraId="73F38940" w14:textId="77777777">
        <w:tc>
          <w:tcPr>
            <w:tcW w:w="1701" w:type="dxa"/>
            <w:vMerge/>
          </w:tcPr>
          <w:p w:rsidRPr="00BE355C" w:rsidR="00BE355C" w:rsidP="00B60D9A" w:rsidRDefault="00BE355C" w14:paraId="14E0EFD8"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6237" w:type="dxa"/>
          </w:tcPr>
          <w:p w:rsidRPr="00BE355C" w:rsidR="00BE355C" w:rsidP="00B60D9A" w:rsidRDefault="00BE355C" w14:paraId="145DF7AE" w14:textId="77777777">
            <w:pPr>
              <w:tabs>
                <w:tab w:val="center" w:pos="284"/>
              </w:tabs>
              <w:overflowPunct w:val="0"/>
              <w:autoSpaceDE w:val="0"/>
              <w:autoSpaceDN w:val="0"/>
              <w:adjustRightInd w:val="0"/>
              <w:spacing w:line="276" w:lineRule="auto"/>
              <w:ind w:left="266" w:hanging="266"/>
              <w:textAlignment w:val="baseline"/>
              <w:rPr>
                <w:sz w:val="16"/>
                <w:szCs w:val="16"/>
                <w:lang w:val="en-GB"/>
              </w:rPr>
            </w:pPr>
          </w:p>
        </w:tc>
      </w:tr>
    </w:tbl>
    <w:p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E355C"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Pr>
          <w:b/>
        </w:rPr>
        <w:t>Huvudpunkter</w:t>
      </w:r>
    </w:p>
    <w:p w:rsidRPr="00BE355C" w:rsidR="00942860" w:rsidP="00B60D9A" w:rsidRDefault="00BE355C" w14:paraId="0E2FB7E6" w14:textId="74AF2860">
      <w:pPr>
        <w:spacing w:before="100" w:beforeAutospacing="1" w:after="100" w:afterAutospacing="1" w:line="276" w:lineRule="auto"/>
        <w:jc w:val="left"/>
      </w:pPr>
      <w:proofErr w:type="spellStart"/>
      <w:r>
        <w:t>EESK:s</w:t>
      </w:r>
      <w:proofErr w:type="spellEnd"/>
      <w:r>
        <w:t xml:space="preserve"> ståndpunkt:</w:t>
      </w:r>
    </w:p>
    <w:p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EESK understryker att </w:t>
      </w:r>
      <w:r>
        <w:rPr>
          <w:b/>
        </w:rPr>
        <w:t>främjandet av laglig och organiserad arbetskraftsmigration till EU</w:t>
      </w:r>
      <w:r>
        <w:t xml:space="preserve"> samt </w:t>
      </w:r>
      <w:r>
        <w:rPr>
          <w:b/>
        </w:rPr>
        <w:t>EU-politik och EU-instrument</w:t>
      </w:r>
      <w:r>
        <w:t xml:space="preserve"> som är kopplade till detta måste bygga på </w:t>
      </w:r>
      <w:r>
        <w:rPr>
          <w:b/>
        </w:rPr>
        <w:t>mänskliga rättigheter, rättsstatsprincipen, integrationen</w:t>
      </w:r>
      <w:r>
        <w:t xml:space="preserve"> av tredjelandsmedborgare på arbetsmarknaden, </w:t>
      </w:r>
      <w:r>
        <w:rPr>
          <w:b/>
        </w:rPr>
        <w:t>respekt för EU:s gemensamma värden</w:t>
      </w:r>
      <w:r>
        <w:t xml:space="preserve"> och </w:t>
      </w:r>
      <w:r>
        <w:rPr>
          <w:b/>
        </w:rPr>
        <w:t>efterlevnad</w:t>
      </w:r>
      <w:r>
        <w:t xml:space="preserve"> av </w:t>
      </w:r>
      <w:r>
        <w:rPr>
          <w:b/>
        </w:rPr>
        <w:t>bindande internationella rättsliga instrument</w:t>
      </w:r>
      <w:r>
        <w:t xml:space="preserve"> som är relevanta för migration och mänskliga rättigheter och arbetstagares rättigheter.</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Kommittén efterlyser en </w:t>
      </w:r>
      <w:r>
        <w:rPr>
          <w:b/>
        </w:rPr>
        <w:t>balanserad strategi</w:t>
      </w:r>
      <w:r>
        <w:t xml:space="preserve"> mellan </w:t>
      </w:r>
      <w:r>
        <w:rPr>
          <w:b/>
        </w:rPr>
        <w:t>EU och ursprungsländerna</w:t>
      </w:r>
      <w:r>
        <w:t xml:space="preserve"> inom alla nuvarande och framtida migrationsramar. Det är viktigt att </w:t>
      </w:r>
      <w:r>
        <w:rPr>
          <w:b/>
        </w:rPr>
        <w:t>minska risken för kompetensflykt</w:t>
      </w:r>
      <w:r>
        <w:t xml:space="preserve"> genom </w:t>
      </w:r>
      <w:r>
        <w:rPr>
          <w:b/>
        </w:rPr>
        <w:t>ekonomisk tillväxt och anständiga arbetstillfällen</w:t>
      </w:r>
      <w:r>
        <w:t xml:space="preserve"> i ursprungsländerna, med stöd av EU:s sammanhållningspolitik. </w:t>
      </w:r>
      <w:r>
        <w:rPr>
          <w:b/>
        </w:rPr>
        <w:t>Arbetsmarknadens parter</w:t>
      </w:r>
      <w:r>
        <w:t xml:space="preserve"> på båda sidor, i linje med nationella förhållanden och praxis, måste </w:t>
      </w:r>
      <w:r>
        <w:rPr>
          <w:b/>
        </w:rPr>
        <w:t>involveras institutionellt</w:t>
      </w:r>
      <w:r>
        <w:t xml:space="preserve">, för att </w:t>
      </w:r>
      <w:r>
        <w:rPr>
          <w:b/>
        </w:rPr>
        <w:t>identifiera möjligheter, risker och utmaningar</w:t>
      </w:r>
      <w:r>
        <w:t xml:space="preserve"> för de inhemska arbetsmarknaderna och för att dessa parter ska bli en del av en </w:t>
      </w:r>
      <w:r>
        <w:rPr>
          <w:b/>
        </w:rPr>
        <w:t>robust övervakningsram</w:t>
      </w:r>
      <w:r>
        <w:t xml:space="preserve"> för alla bilaterala avtal om arbetskraftsmigration.</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rPr>
          <w:b/>
        </w:rPr>
        <w:t>Ett effektivt sätt att minska risken för kompetensflykt</w:t>
      </w:r>
      <w:r>
        <w:t xml:space="preserve"> kan vara att införa utbildning </w:t>
      </w:r>
      <w:r>
        <w:rPr>
          <w:b/>
        </w:rPr>
        <w:t>före och efter avresan</w:t>
      </w:r>
      <w:r>
        <w:t>, genom program för social och yrkesmässig integration samt kompetensutveckling i ursprungsländerna, där platser kan erbjudas för en viss andel av de arbetstagare som stannar i sina hemländer i syfte att främja social och ekonomisk utveckling.</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rPr>
          <w:b/>
        </w:rPr>
        <w:t>Lika rättigheter</w:t>
      </w:r>
      <w:r>
        <w:t xml:space="preserve"> för </w:t>
      </w:r>
      <w:r>
        <w:rPr>
          <w:b/>
        </w:rPr>
        <w:t>migrerande arbetstagare från tredjeländer</w:t>
      </w:r>
      <w:r>
        <w:t xml:space="preserve"> måste </w:t>
      </w:r>
      <w:r>
        <w:rPr>
          <w:b/>
        </w:rPr>
        <w:t>främjas på alla kompetensnivåer</w:t>
      </w:r>
      <w:r>
        <w:t xml:space="preserve">. Åtgärderna bör stärka </w:t>
      </w:r>
      <w:r>
        <w:rPr>
          <w:b/>
        </w:rPr>
        <w:t>deras skydd under hela migrationscykeln</w:t>
      </w:r>
      <w:r>
        <w:t>, inbegripet tillgänglig information före avresa och efter ankomst, orientering och utbildning samt tillgång till rättsliga klagomåls- och prövningsmekanismer.</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rPr>
          <w:b/>
        </w:rPr>
        <w:t>Internationella partnerskap för kompetens och rörlighet</w:t>
      </w:r>
      <w:r>
        <w:t xml:space="preserve"> kan </w:t>
      </w:r>
      <w:r>
        <w:rPr>
          <w:b/>
        </w:rPr>
        <w:t>stärka de inhemska arbetsmarknaderna</w:t>
      </w:r>
      <w:r>
        <w:t>, matcha utbud och efterfrågan på arbetskraft, överföra kompetens på alla nivåer och maximera kompetensinflöde, samtidigt som man motverkar kompetensflykt och ökar konkurrenskraften och tillväxten för ursprungsländer och destinationsländer.</w:t>
      </w:r>
    </w:p>
    <w:p w:rsidR="00055407" w:rsidP="00942860" w:rsidRDefault="00BE355C" w14:paraId="4D8A1DB8" w14:textId="6508B008">
      <w:pPr>
        <w:numPr>
          <w:ilvl w:val="0"/>
          <w:numId w:val="32"/>
        </w:numPr>
        <w:overflowPunct w:val="0"/>
        <w:autoSpaceDE w:val="0"/>
        <w:autoSpaceDN w:val="0"/>
        <w:adjustRightInd w:val="0"/>
        <w:spacing w:before="100" w:beforeAutospacing="1" w:after="100" w:afterAutospacing="1"/>
        <w:ind w:left="284" w:hanging="284"/>
        <w:textAlignment w:val="baseline"/>
      </w:pPr>
      <w:r>
        <w:t xml:space="preserve">För närvarande </w:t>
      </w:r>
      <w:r>
        <w:rPr>
          <w:b/>
        </w:rPr>
        <w:t>saknas</w:t>
      </w:r>
      <w:r>
        <w:t xml:space="preserve"> det en </w:t>
      </w:r>
      <w:r>
        <w:rPr>
          <w:b/>
        </w:rPr>
        <w:t>gemensam ram</w:t>
      </w:r>
      <w:r>
        <w:t xml:space="preserve"> och </w:t>
      </w:r>
      <w:r>
        <w:rPr>
          <w:b/>
        </w:rPr>
        <w:t>insyn i förhandlingarna</w:t>
      </w:r>
      <w:r>
        <w:t xml:space="preserve"> om </w:t>
      </w:r>
      <w:r>
        <w:rPr>
          <w:b/>
        </w:rPr>
        <w:t>talangpartnerskapen</w:t>
      </w:r>
      <w:r>
        <w:t xml:space="preserve">, och vi uppmanar </w:t>
      </w:r>
      <w:r>
        <w:rPr>
          <w:b/>
        </w:rPr>
        <w:t>kommissionen</w:t>
      </w:r>
      <w:r>
        <w:t xml:space="preserve"> att </w:t>
      </w:r>
      <w:r>
        <w:rPr>
          <w:b/>
        </w:rPr>
        <w:t>lägga fram en handlingsplan</w:t>
      </w:r>
      <w:r>
        <w:t xml:space="preserve"> med </w:t>
      </w:r>
      <w:r>
        <w:rPr>
          <w:b/>
        </w:rPr>
        <w:t>nästa steg</w:t>
      </w:r>
      <w:r>
        <w:t xml:space="preserve"> för talangpartnerskapen, lärdomar från pågående och tidigare projekt och politiska åtgärder för att öka samstämmigheten och underlätta smidig rörlighet.</w:t>
      </w:r>
    </w:p>
    <w:p w:rsidR="00055407" w:rsidRDefault="00055407" w14:paraId="19560E5B" w14:textId="77777777">
      <w:pPr>
        <w:spacing w:after="160" w:line="259" w:lineRule="auto"/>
        <w:jc w:val="left"/>
      </w:pPr>
      <w:r>
        <w:br w:type="page"/>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rPr>
          <w:b/>
        </w:rPr>
        <w:lastRenderedPageBreak/>
        <w:t>EU måste mobilisera all tillgänglig arbetskraft</w:t>
      </w:r>
      <w:r>
        <w:t xml:space="preserve"> samtidigt som </w:t>
      </w:r>
      <w:r>
        <w:rPr>
          <w:b/>
        </w:rPr>
        <w:t>migrationspolitiken förbättras</w:t>
      </w:r>
      <w:r>
        <w:t xml:space="preserve"> för att attrahera och behålla kvalificerad arbetskraft på ett kompletterande sätt. Man bör </w:t>
      </w:r>
      <w:r>
        <w:rPr>
          <w:b/>
        </w:rPr>
        <w:t>prioritera</w:t>
      </w:r>
      <w:r>
        <w:t xml:space="preserve"> att </w:t>
      </w:r>
      <w:r>
        <w:rPr>
          <w:b/>
        </w:rPr>
        <w:t>EU:s inhemska arbetskraft utnyttjas</w:t>
      </w:r>
      <w:r>
        <w:t xml:space="preserve"> för att tillgodose långsiktiga behov och brister på arbetsmarknaden. Fokus bör ligga på grupper med låg förvärvsfrekvens, samtidigt som </w:t>
      </w:r>
      <w:r>
        <w:rPr>
          <w:b/>
        </w:rPr>
        <w:t>företagens intresse</w:t>
      </w:r>
      <w:r>
        <w:t xml:space="preserve"> av att </w:t>
      </w:r>
      <w:r>
        <w:rPr>
          <w:b/>
        </w:rPr>
        <w:t>tillsätta brådskande lediga tjänster</w:t>
      </w:r>
      <w:r>
        <w:t xml:space="preserve"> med </w:t>
      </w:r>
      <w:r>
        <w:rPr>
          <w:b/>
        </w:rPr>
        <w:t>migrerande arbetstagare i särskilda fall måste respekteras</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493"/>
      </w:tblGrid>
      <w:tr w:rsidRPr="00BE355C" w:rsidR="00BE355C" w:rsidTr="001757A2" w14:paraId="526B6215" w14:textId="77777777">
        <w:tc>
          <w:tcPr>
            <w:tcW w:w="1210" w:type="dxa"/>
          </w:tcPr>
          <w:p w:rsidRPr="00BE355C" w:rsidR="00BE355C" w:rsidP="00BE355C" w:rsidRDefault="00BE355C" w14:paraId="730E9F62" w14:textId="77777777">
            <w:pPr>
              <w:overflowPunct w:val="0"/>
              <w:autoSpaceDE w:val="0"/>
              <w:autoSpaceDN w:val="0"/>
              <w:adjustRightInd w:val="0"/>
              <w:textAlignment w:val="baseline"/>
              <w:rPr>
                <w:i/>
              </w:rPr>
            </w:pPr>
            <w:r>
              <w:rPr>
                <w:b/>
                <w:i/>
              </w:rPr>
              <w:t>Kontaktperson:</w:t>
            </w:r>
          </w:p>
        </w:tc>
        <w:tc>
          <w:tcPr>
            <w:tcW w:w="4493" w:type="dxa"/>
          </w:tcPr>
          <w:p w:rsidRPr="00BE355C" w:rsidR="00BE355C" w:rsidP="00BE355C" w:rsidRDefault="00BE355C" w14:paraId="13056E76" w14:textId="77777777">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BE355C" w:rsidR="00BE355C" w:rsidTr="001757A2" w14:paraId="6C936FC0" w14:textId="77777777">
        <w:tc>
          <w:tcPr>
            <w:tcW w:w="1210" w:type="dxa"/>
          </w:tcPr>
          <w:p w:rsidRPr="00BE355C" w:rsidR="00BE355C" w:rsidP="00BE355C" w:rsidRDefault="00BE355C" w14:paraId="7C9EA8D3" w14:textId="77777777">
            <w:pPr>
              <w:overflowPunct w:val="0"/>
              <w:autoSpaceDE w:val="0"/>
              <w:autoSpaceDN w:val="0"/>
              <w:adjustRightInd w:val="0"/>
              <w:textAlignment w:val="baseline"/>
              <w:rPr>
                <w:i/>
              </w:rPr>
            </w:pPr>
            <w:r>
              <w:rPr>
                <w:i/>
              </w:rPr>
              <w:t>Tfn</w:t>
            </w:r>
          </w:p>
        </w:tc>
        <w:tc>
          <w:tcPr>
            <w:tcW w:w="4493"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1757A2" w14:paraId="67ED56F5" w14:textId="77777777">
        <w:tc>
          <w:tcPr>
            <w:tcW w:w="1210" w:type="dxa"/>
          </w:tcPr>
          <w:p w:rsidRPr="00BE355C" w:rsidR="00BE355C" w:rsidP="00BE355C" w:rsidRDefault="00BE355C" w14:paraId="6F331474" w14:textId="77777777">
            <w:pPr>
              <w:overflowPunct w:val="0"/>
              <w:autoSpaceDE w:val="0"/>
              <w:autoSpaceDN w:val="0"/>
              <w:adjustRightInd w:val="0"/>
              <w:textAlignment w:val="baseline"/>
              <w:rPr>
                <w:i/>
              </w:rPr>
            </w:pPr>
            <w:r>
              <w:rPr>
                <w:i/>
              </w:rPr>
              <w:t>E-post:</w:t>
            </w:r>
          </w:p>
        </w:tc>
        <w:tc>
          <w:tcPr>
            <w:tcW w:w="4493" w:type="dxa"/>
          </w:tcPr>
          <w:p w:rsidRPr="00BE355C" w:rsidR="00BE355C" w:rsidP="00BE355C" w:rsidRDefault="00EE17BB" w14:paraId="15A4A226" w14:textId="77777777">
            <w:pPr>
              <w:overflowPunct w:val="0"/>
              <w:autoSpaceDE w:val="0"/>
              <w:autoSpaceDN w:val="0"/>
              <w:adjustRightInd w:val="0"/>
              <w:textAlignment w:val="baseline"/>
              <w:rPr>
                <w:i/>
              </w:rPr>
            </w:pPr>
            <w:hyperlink w:history="1" r:id="rId31">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B60D9A" w:rsidRDefault="00EE17BB" w14:paraId="58CDD314" w14:textId="3D002FD0">
      <w:pPr>
        <w:pStyle w:val="ListParagraph"/>
        <w:numPr>
          <w:ilvl w:val="0"/>
          <w:numId w:val="35"/>
        </w:numPr>
        <w:spacing w:after="160" w:line="259" w:lineRule="auto"/>
        <w:ind w:hanging="720"/>
        <w:jc w:val="left"/>
        <w:rPr>
          <w:b/>
          <w:bCs/>
          <w:i/>
          <w:iCs/>
          <w:color w:val="0000FF"/>
          <w:sz w:val="28"/>
          <w:szCs w:val="28"/>
          <w:u w:val="single"/>
        </w:rPr>
      </w:pPr>
      <w:hyperlink w:history="1" r:id="rId32">
        <w:r w:rsidR="00AC3821">
          <w:rPr>
            <w:b/>
            <w:i/>
            <w:color w:val="0000FF"/>
            <w:sz w:val="28"/>
            <w:u w:val="single"/>
          </w:rPr>
          <w:t>Ny handlingsplan för genomförandet av den europeiska pelaren för sociala rättigheter</w:t>
        </w:r>
      </w:hyperlink>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Föredragande:</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r>
              <w:t xml:space="preserve">Sophia </w:t>
            </w:r>
            <w:proofErr w:type="spellStart"/>
            <w:r>
              <w:t>Reisecker</w:t>
            </w:r>
            <w:proofErr w:type="spellEnd"/>
            <w:r>
              <w:t xml:space="preserve"> (Arbetstagargruppen – 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4B3714CE">
            <w:pPr>
              <w:overflowPunct w:val="0"/>
              <w:autoSpaceDE w:val="0"/>
              <w:autoSpaceDN w:val="0"/>
              <w:adjustRightInd w:val="0"/>
              <w:ind w:left="-113"/>
              <w:textAlignment w:val="baseline"/>
              <w:rPr>
                <w:b/>
              </w:rPr>
            </w:pPr>
            <w:r>
              <w:rPr>
                <w:b/>
              </w:rPr>
              <w:t>Referensdokument:</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1BFFE555">
            <w:pPr>
              <w:tabs>
                <w:tab w:val="left" w:pos="4430"/>
              </w:tabs>
              <w:overflowPunct w:val="0"/>
              <w:autoSpaceDE w:val="0"/>
              <w:autoSpaceDN w:val="0"/>
              <w:adjustRightInd w:val="0"/>
              <w:ind w:left="-113" w:right="-823"/>
              <w:textAlignment w:val="baseline"/>
            </w:pPr>
            <w:r>
              <w:t>Yttrande på eget initiativ</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proofErr w:type="spellStart"/>
      <w:r>
        <w:t>EESK:s</w:t>
      </w:r>
      <w:proofErr w:type="spellEnd"/>
      <w:r>
        <w:t xml:space="preserve"> ståndpunkt:</w:t>
      </w:r>
    </w:p>
    <w:p w:rsidRPr="00AC3821"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B60D9A" w:rsidRDefault="00AC3821" w14:paraId="64F046FA"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6" w:id="4"/>
      <w:bookmarkStart w:name="_Toc202357644" w:id="5"/>
      <w:r>
        <w:t>EESK efterlyser en grundlig utvärdering av 2021 års handlingsplan för den europeiska pelaren för sociala rättigheter som underlag för en robust och framåtblickande ny handlingsplan för den europeiska pelaren för sociala rättigheter, med förbättrad integrering av den sociala resultattavlan och ramen för social konvergens i den europeiska planeringsterminen.</w:t>
      </w:r>
      <w:bookmarkEnd w:id="4"/>
      <w:bookmarkEnd w:id="5"/>
    </w:p>
    <w:p w:rsidRPr="00C2185C" w:rsidR="00AC3821" w:rsidP="00B60D9A" w:rsidRDefault="00AC3821" w14:paraId="70DFDA9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7" w:id="6"/>
      <w:bookmarkStart w:name="_Toc202357645" w:id="7"/>
      <w:r>
        <w:t>EESK stöder ett mål för arbetstillfällen av hög kvalitet på EU-nivå, miniminormer för att bekämpa fattigdom och osäkerhet bland förvärvsarbetande, förbättrade arbetsvillkor inom vård- och omsorgssektorn och starkare skydd för ungdomar, inbegripet rättvisa praktikplatser och därmed sammanhängande sysselsättningsstöd.</w:t>
      </w:r>
      <w:bookmarkEnd w:id="6"/>
      <w:bookmarkEnd w:id="7"/>
    </w:p>
    <w:p w:rsidRPr="00C2185C" w:rsidR="00AC3821" w:rsidP="00B60D9A" w:rsidRDefault="00AC3821" w14:paraId="56D25AD4"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8" w:id="8"/>
      <w:bookmarkStart w:name="_Toc202357646" w:id="9"/>
      <w:r>
        <w:t>EESK efterlyser ambitiösa EU-omfattande standarder för arbetslöshetsförsäkring, ett direktiv om psykosociala risker och rätten att inte vara uppkopplad samt en ”gyllene regel” för sociala investeringar i finanspolitiken, med öronmärkt EU-finansiering och nationell finansiering.</w:t>
      </w:r>
      <w:bookmarkEnd w:id="8"/>
      <w:bookmarkEnd w:id="9"/>
    </w:p>
    <w:p w:rsidRPr="00C2185C" w:rsidR="00AC3821" w:rsidP="00B60D9A" w:rsidRDefault="00AC3821" w14:paraId="5EF34DD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9" w:id="10"/>
      <w:bookmarkStart w:name="_Toc202357647" w:id="11"/>
      <w:r>
        <w:t>EESK förespråkar att livslångt lärande erkänns som en rättighet, att offentliga och privata utbildningsinvesteringar främjas, att sociala mål och jämställdhet integreras och prioriteras i hela den europeiska pelaren för sociala rättigheter, att ungdomskontroller införs och att handlingsplanen för den sociala ekonomin och en ram för en rättvis omställning genomförs fullt ut.</w:t>
      </w:r>
      <w:bookmarkEnd w:id="10"/>
      <w:bookmarkEnd w:id="11"/>
    </w:p>
    <w:p w:rsidRPr="00C2185C" w:rsidR="00AC3821" w:rsidP="00B60D9A" w:rsidRDefault="00AC3821" w14:paraId="36FEB868"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900" w:id="12"/>
      <w:bookmarkStart w:name="_Toc202357648" w:id="13"/>
      <w:r>
        <w:t>EESK efterlyser en starkare social dialog, ett aktivt deltagande av det civila samhället, obligatoriska sociala kriterier i samband med offentlig upphandling och utveckling av indikatorer för ”bortom BNP” för att bättre återspegla medborgarnas välbefinnande och tillväxt för alla.</w:t>
      </w:r>
      <w:bookmarkEnd w:id="12"/>
      <w:bookmarkEnd w:id="13"/>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C3821" w:rsidR="00AC3821" w:rsidTr="001757A2" w14:paraId="33DE2F7F" w14:textId="77777777">
        <w:tc>
          <w:tcPr>
            <w:tcW w:w="1556" w:type="pct"/>
          </w:tcPr>
          <w:p w:rsidRPr="00AC3821" w:rsidR="00AC3821" w:rsidP="00AC3821" w:rsidRDefault="00AC3821" w14:paraId="2CAD5FC5"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AC3821" w:rsidR="00AC3821" w:rsidTr="001757A2" w14:paraId="43E87E3E" w14:textId="77777777">
        <w:tc>
          <w:tcPr>
            <w:tcW w:w="1556" w:type="pct"/>
          </w:tcPr>
          <w:p w:rsidRPr="00AC3821" w:rsidR="00AC3821" w:rsidP="00AC3821" w:rsidRDefault="00AC3821" w14:paraId="6DD0D774" w14:textId="77777777">
            <w:pPr>
              <w:overflowPunct w:val="0"/>
              <w:autoSpaceDE w:val="0"/>
              <w:autoSpaceDN w:val="0"/>
              <w:adjustRightInd w:val="0"/>
              <w:spacing w:line="240" w:lineRule="auto"/>
              <w:textAlignment w:val="baseline"/>
              <w:rPr>
                <w:i/>
              </w:rPr>
            </w:pPr>
            <w:r>
              <w:rPr>
                <w:i/>
              </w:rPr>
              <w:t>Tfn</w:t>
            </w:r>
          </w:p>
        </w:tc>
        <w:tc>
          <w:tcPr>
            <w:tcW w:w="3444"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AC3821" w:rsidRDefault="00AC3821" w14:paraId="493FE4AB" w14:textId="77777777">
            <w:pPr>
              <w:overflowPunct w:val="0"/>
              <w:autoSpaceDE w:val="0"/>
              <w:autoSpaceDN w:val="0"/>
              <w:adjustRightInd w:val="0"/>
              <w:spacing w:line="240" w:lineRule="auto"/>
              <w:textAlignment w:val="baseline"/>
              <w:rPr>
                <w:i/>
              </w:rPr>
            </w:pPr>
            <w:r>
              <w:rPr>
                <w:i/>
              </w:rPr>
              <w:t>E-post:</w:t>
            </w:r>
          </w:p>
        </w:tc>
        <w:tc>
          <w:tcPr>
            <w:tcW w:w="3444" w:type="pct"/>
          </w:tcPr>
          <w:p w:rsidRPr="00AC3821" w:rsidR="00AC3821" w:rsidP="00AC3821" w:rsidRDefault="00EE17BB" w14:paraId="33344D49" w14:textId="77777777">
            <w:pPr>
              <w:overflowPunct w:val="0"/>
              <w:autoSpaceDE w:val="0"/>
              <w:autoSpaceDN w:val="0"/>
              <w:adjustRightInd w:val="0"/>
              <w:spacing w:line="240" w:lineRule="auto"/>
              <w:textAlignment w:val="baseline"/>
              <w:rPr>
                <w:i/>
                <w:iCs/>
                <w:color w:val="0000FF"/>
                <w:u w:val="single"/>
              </w:rPr>
            </w:pPr>
            <w:hyperlink w:history="1" r:id="rId33">
              <w:r w:rsidR="00381CCE">
                <w:rPr>
                  <w:i/>
                  <w:color w:val="0000FF"/>
                  <w:u w:val="single"/>
                </w:rPr>
                <w:t>Bartek.Bednarowicz@eesc.europa.eu</w:t>
              </w:r>
            </w:hyperlink>
          </w:p>
          <w:p w:rsidRPr="00AC3821" w:rsidR="00AC3821" w:rsidP="00AC3821" w:rsidRDefault="00AC3821" w14:paraId="7885C933" w14:textId="77777777">
            <w:pPr>
              <w:overflowPunct w:val="0"/>
              <w:autoSpaceDE w:val="0"/>
              <w:autoSpaceDN w:val="0"/>
              <w:adjustRightInd w:val="0"/>
              <w:spacing w:line="240" w:lineRule="auto"/>
              <w:textAlignment w:val="baseline"/>
              <w:rPr>
                <w:color w:val="0000FF"/>
                <w:u w:val="single"/>
                <w:lang w:val="en-GB"/>
              </w:rPr>
            </w:pPr>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783D73" w:rsidR="00783D73" w:rsidP="00783D73" w:rsidRDefault="00EE17BB"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34">
        <w:r w:rsidR="00783D73">
          <w:rPr>
            <w:b/>
            <w:i/>
            <w:color w:val="0000FF"/>
            <w:sz w:val="28"/>
            <w:u w:val="single"/>
          </w:rPr>
          <w:t>Framtiden för EU:s strategi för rättigheter för personer med funktionsnedsättning efter 2025</w:t>
        </w:r>
      </w:hyperlink>
      <w:r w:rsidR="00783D73">
        <w:rPr>
          <w:b/>
          <w:i/>
          <w:sz w:val="28"/>
        </w:rPr>
        <w:t xml:space="preserve"> </w:t>
      </w:r>
    </w:p>
    <w:p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p w:rsidRPr="00783D73"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Föredragande:</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proofErr w:type="spellStart"/>
            <w:r>
              <w:t>Ioannis</w:t>
            </w:r>
            <w:proofErr w:type="spellEnd"/>
            <w:r>
              <w:t xml:space="preserve"> </w:t>
            </w:r>
            <w:proofErr w:type="spellStart"/>
            <w:r>
              <w:t>Vardakastanis</w:t>
            </w:r>
            <w:proofErr w:type="spellEnd"/>
            <w:r>
              <w:t xml:space="preserve"> (Gruppen för civilsamhällesorganisationer – 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Pr>
                <w:b/>
              </w:rPr>
              <w:t>Referensdokument:</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Yttrande på eget initiativ</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783D73"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Huvudpunkter</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proofErr w:type="spellStart"/>
      <w:r>
        <w:rPr>
          <w:b/>
        </w:rPr>
        <w:t>EESK:s</w:t>
      </w:r>
      <w:proofErr w:type="spellEnd"/>
      <w:r>
        <w:rPr>
          <w:b/>
        </w:rPr>
        <w:t xml:space="preserve"> ståndpunkt:</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Europeiska ekonomiska och sociala kommittén (EESK) välkomnar kommissionens åtagande att utarbeta nya åtgärder för den andra hälften av EU:s strategi för rättigheter för personer med funktionsnedsättning 2021–2030 och understryker vikten av den översyn av EU som FN:s kommitté för rättigheter för personer med funktionsnedsättning nyligen gjorde, där man begär att åtgärderna ska fortsätta efter halva tiden.</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EESK konstaterar att flera viktiga framsteg har gjorts mellan 2021 och 2025 men noterar också kvarstående brister. I detta yttrande anger vi prioriterade åtgärder och flaggskeppsinitiativ för perioden 2025–2030.</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Kommittén uppmanar kommissionen att så snart som möjligt påbörja utarbetandet av sin nästa handlingsplan, med meningsfulla samråd med personer med funktionsnedsättning och deras organisationer.</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Vi efterlyser starkare och mer bindande åtgärder än de som föreslogs mellan 2021 och 2025 och som har en direkt effekt samt särskild finansiering i nästa fleråriga budgetram för att säkerställa effektivt genomförande och stöd.</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Huvudsakliga föreslagna åtgärder:</w:t>
      </w:r>
    </w:p>
    <w:p w:rsidRPr="00783D73" w:rsidR="00783D73" w:rsidP="00783D73" w:rsidRDefault="00783D73" w14:paraId="1D49C7E7" w14:textId="77777777">
      <w:pPr>
        <w:spacing w:line="276" w:lineRule="auto"/>
        <w:jc w:val="left"/>
        <w:rPr>
          <w:lang w:val="fr-BE" w:eastAsia="fr-BE"/>
        </w:rPr>
      </w:pPr>
    </w:p>
    <w:p w:rsidRPr="00783D73"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Utveckla ett genomförbart alternativ till det övergripande direktivet om likabehandling</w:t>
      </w:r>
    </w:p>
    <w:p w:rsidRPr="00783D73"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Bygga vidare på sysselsättningspaketet för personer med funktionsnedsättning</w:t>
      </w:r>
    </w:p>
    <w:p w:rsidRPr="00783D73"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Åtgärda brister i EU-intyget om funktionsnedsättning och den fria rörligheten</w:t>
      </w:r>
    </w:p>
    <w:p w:rsidRPr="00783D73"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Stärka tillgänglighetsfokuset och inte stanna vid </w:t>
      </w:r>
      <w:proofErr w:type="spellStart"/>
      <w:r>
        <w:t>AccessibleEU</w:t>
      </w:r>
      <w:proofErr w:type="spellEnd"/>
      <w:r>
        <w:t>-centrumet</w:t>
      </w:r>
    </w:p>
    <w:p w:rsidRPr="00783D73"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Skydda kvinnor och flickor med funktionsnedsättning</w:t>
      </w:r>
    </w:p>
    <w:p w:rsidRPr="00783D73"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Ta itu med bostadskrisen för personer med funktionsnedsättning</w:t>
      </w:r>
    </w:p>
    <w:p w:rsidRPr="00783D73"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Inrätta en gemensam mekanism för certifiering av tekniska hjälpmedel</w:t>
      </w:r>
    </w:p>
    <w:p w:rsidRPr="00783D73" w:rsidR="00783D73" w:rsidP="00B60D9A"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Ta itu med de hinder som personer med funktionsnedsättning möter när de reser</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Främja </w:t>
      </w:r>
      <w:proofErr w:type="spellStart"/>
      <w:r>
        <w:t>avinstitutionalisering</w:t>
      </w:r>
      <w:proofErr w:type="spellEnd"/>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Förebygga AI-baserad diskriminering</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Säkerställa koherens i EU:s yttre åtgärder</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238"/>
        <w:gridCol w:w="4507"/>
      </w:tblGrid>
      <w:tr w:rsidRPr="00783D73" w:rsidR="00783D73" w:rsidTr="001757A2" w14:paraId="6EAB4FDA" w14:textId="77777777">
        <w:tc>
          <w:tcPr>
            <w:tcW w:w="1238" w:type="dxa"/>
          </w:tcPr>
          <w:p w:rsidRPr="00783D73" w:rsidR="00783D73" w:rsidP="00783D73" w:rsidRDefault="00783D73" w14:paraId="320C4915" w14:textId="75EAB5C8">
            <w:pPr>
              <w:overflowPunct w:val="0"/>
              <w:autoSpaceDE w:val="0"/>
              <w:autoSpaceDN w:val="0"/>
              <w:adjustRightInd w:val="0"/>
              <w:spacing w:line="240" w:lineRule="auto"/>
              <w:textAlignment w:val="baseline"/>
              <w:rPr>
                <w:i/>
              </w:rPr>
            </w:pPr>
            <w:r>
              <w:rPr>
                <w:b/>
                <w:i/>
              </w:rPr>
              <w:t>Kontaktperson:</w:t>
            </w:r>
          </w:p>
        </w:tc>
        <w:tc>
          <w:tcPr>
            <w:tcW w:w="238" w:type="dxa"/>
          </w:tcPr>
          <w:p w:rsidRPr="00783D73" w:rsidR="00783D73" w:rsidP="00783D73" w:rsidRDefault="00783D73" w14:paraId="1C5C7A5B"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22CEB2BA" w14:textId="594A1D2C">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783D73" w:rsidR="00783D73" w:rsidTr="001757A2" w14:paraId="152A8D02" w14:textId="77777777">
        <w:tc>
          <w:tcPr>
            <w:tcW w:w="1238" w:type="dxa"/>
          </w:tcPr>
          <w:p w:rsidRPr="00783D73" w:rsidR="00783D73" w:rsidP="00783D73" w:rsidRDefault="00783D73" w14:paraId="3D234692" w14:textId="484CB224">
            <w:pPr>
              <w:overflowPunct w:val="0"/>
              <w:autoSpaceDE w:val="0"/>
              <w:autoSpaceDN w:val="0"/>
              <w:adjustRightInd w:val="0"/>
              <w:spacing w:line="240" w:lineRule="auto"/>
              <w:textAlignment w:val="baseline"/>
              <w:rPr>
                <w:i/>
              </w:rPr>
            </w:pPr>
            <w:r>
              <w:rPr>
                <w:i/>
              </w:rPr>
              <w:t>Tfn</w:t>
            </w:r>
          </w:p>
        </w:tc>
        <w:tc>
          <w:tcPr>
            <w:tcW w:w="238" w:type="dxa"/>
          </w:tcPr>
          <w:p w:rsidRPr="00783D73" w:rsidR="00783D73" w:rsidP="00783D73" w:rsidRDefault="00783D73" w14:paraId="0D5729EE"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63F04F99" w14:textId="50DFEAE8">
            <w:pPr>
              <w:overflowPunct w:val="0"/>
              <w:autoSpaceDE w:val="0"/>
              <w:autoSpaceDN w:val="0"/>
              <w:adjustRightInd w:val="0"/>
              <w:spacing w:line="240" w:lineRule="auto"/>
              <w:textAlignment w:val="baseline"/>
              <w:rPr>
                <w:i/>
              </w:rPr>
            </w:pPr>
            <w:r>
              <w:rPr>
                <w:i/>
              </w:rPr>
              <w:t>32 2 5468774</w:t>
            </w:r>
          </w:p>
        </w:tc>
      </w:tr>
      <w:tr w:rsidRPr="00783D73" w:rsidR="00783D73" w:rsidTr="001757A2" w14:paraId="0E945862" w14:textId="77777777">
        <w:tc>
          <w:tcPr>
            <w:tcW w:w="1238" w:type="dxa"/>
          </w:tcPr>
          <w:p w:rsidRPr="00783D73" w:rsidR="00783D73" w:rsidP="00783D73" w:rsidRDefault="00783D73" w14:paraId="1C7032D6" w14:textId="415AEBEA">
            <w:pPr>
              <w:overflowPunct w:val="0"/>
              <w:autoSpaceDE w:val="0"/>
              <w:autoSpaceDN w:val="0"/>
              <w:adjustRightInd w:val="0"/>
              <w:spacing w:line="240" w:lineRule="auto"/>
              <w:textAlignment w:val="baseline"/>
              <w:rPr>
                <w:i/>
              </w:rPr>
            </w:pPr>
            <w:r>
              <w:rPr>
                <w:i/>
              </w:rPr>
              <w:t>E-post:</w:t>
            </w:r>
          </w:p>
        </w:tc>
        <w:tc>
          <w:tcPr>
            <w:tcW w:w="238" w:type="dxa"/>
          </w:tcPr>
          <w:p w:rsidRPr="00783D73" w:rsidR="00783D73" w:rsidP="00783D73" w:rsidRDefault="00783D73" w14:paraId="175AFC8F" w14:textId="77777777">
            <w:pPr>
              <w:overflowPunct w:val="0"/>
              <w:autoSpaceDE w:val="0"/>
              <w:autoSpaceDN w:val="0"/>
              <w:adjustRightInd w:val="0"/>
              <w:spacing w:line="240" w:lineRule="auto"/>
              <w:textAlignment w:val="baseline"/>
              <w:rPr>
                <w:lang w:val="en-GB"/>
              </w:rPr>
            </w:pPr>
          </w:p>
        </w:tc>
        <w:tc>
          <w:tcPr>
            <w:tcW w:w="4507" w:type="dxa"/>
          </w:tcPr>
          <w:p w:rsidRPr="00783D73" w:rsidR="00783D73" w:rsidP="00783D73" w:rsidRDefault="00EE17BB" w14:paraId="1897B200" w14:textId="77777777">
            <w:pPr>
              <w:overflowPunct w:val="0"/>
              <w:autoSpaceDE w:val="0"/>
              <w:autoSpaceDN w:val="0"/>
              <w:adjustRightInd w:val="0"/>
              <w:spacing w:line="240" w:lineRule="auto"/>
              <w:textAlignment w:val="baseline"/>
              <w:rPr>
                <w:i/>
                <w:iCs/>
              </w:rPr>
            </w:pPr>
            <w:hyperlink w:history="1" r:id="rId35">
              <w:r w:rsidR="00381CCE">
                <w:rPr>
                  <w:i/>
                  <w:color w:val="0000FF"/>
                  <w:u w:val="single"/>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D04355" w:rsidR="00D04355" w:rsidP="00D04355" w:rsidRDefault="00EE17BB" w14:paraId="06040395" w14:textId="6C469ED2">
      <w:pPr>
        <w:widowControl w:val="0"/>
        <w:numPr>
          <w:ilvl w:val="0"/>
          <w:numId w:val="11"/>
        </w:numPr>
        <w:overflowPunct w:val="0"/>
        <w:autoSpaceDE w:val="0"/>
        <w:autoSpaceDN w:val="0"/>
        <w:adjustRightInd w:val="0"/>
        <w:ind w:left="567" w:hanging="567"/>
        <w:textAlignment w:val="baseline"/>
        <w:rPr>
          <w:b/>
          <w:color w:val="0000FF"/>
          <w:u w:val="single"/>
        </w:rPr>
      </w:pPr>
      <w:hyperlink w:history="1" r:id="rId36">
        <w:r w:rsidR="00D04355">
          <w:rPr>
            <w:b/>
            <w:i/>
            <w:color w:val="0000FF"/>
            <w:sz w:val="28"/>
            <w:u w:val="single"/>
          </w:rPr>
          <w:t>Hur hanterar vi förlusten av köpkraft och risken för ökad ojämlikhet, utestängning och marginalisering?</w:t>
        </w:r>
      </w:hyperlink>
    </w:p>
    <w:p w:rsidRPr="00D04355" w:rsidR="00D04355" w:rsidP="00D04355" w:rsidRDefault="00D04355" w14:paraId="630A1D08" w14:textId="77777777">
      <w:pPr>
        <w:tabs>
          <w:tab w:val="center" w:pos="284"/>
        </w:tabs>
        <w:overflowPunct w:val="0"/>
        <w:autoSpaceDE w:val="0"/>
        <w:autoSpaceDN w:val="0"/>
        <w:adjustRightInd w:val="0"/>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237"/>
      </w:tblGrid>
      <w:tr w:rsidRPr="00D04355" w:rsidR="00D04355" w:rsidTr="001757A2"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Föredragande:</w:t>
            </w:r>
          </w:p>
          <w:p w:rsidRPr="00D04355" w:rsidR="00D04355" w:rsidP="00D04355" w:rsidRDefault="00D04355" w14:paraId="623D53DE" w14:textId="77777777">
            <w:pPr>
              <w:tabs>
                <w:tab w:val="center" w:pos="284"/>
              </w:tabs>
              <w:overflowPunct w:val="0"/>
              <w:autoSpaceDE w:val="0"/>
              <w:autoSpaceDN w:val="0"/>
              <w:adjustRightInd w:val="0"/>
              <w:ind w:left="567" w:hanging="567"/>
              <w:textAlignment w:val="baseline"/>
              <w:rPr>
                <w:b/>
              </w:rPr>
            </w:pPr>
          </w:p>
        </w:tc>
        <w:tc>
          <w:tcPr>
            <w:tcW w:w="6237" w:type="dxa"/>
          </w:tcPr>
          <w:p w:rsidRPr="00D04355" w:rsidR="00D04355" w:rsidP="00D04355" w:rsidRDefault="00D04355" w14:paraId="65C7585E" w14:textId="77777777">
            <w:pPr>
              <w:overflowPunct w:val="0"/>
              <w:autoSpaceDE w:val="0"/>
              <w:autoSpaceDN w:val="0"/>
              <w:adjustRightInd w:val="0"/>
              <w:ind w:left="567" w:hanging="567"/>
              <w:textAlignment w:val="baseline"/>
            </w:pPr>
            <w:proofErr w:type="spellStart"/>
            <w:r>
              <w:t>María</w:t>
            </w:r>
            <w:proofErr w:type="spellEnd"/>
            <w:r>
              <w:t xml:space="preserve"> del Carmen Barrera Chamorro (Arbetstagargruppen – ES)</w:t>
            </w:r>
          </w:p>
        </w:tc>
      </w:tr>
      <w:tr w:rsidRPr="00D04355" w:rsidR="00D04355" w:rsidTr="001757A2" w14:paraId="116D55BD" w14:textId="77777777">
        <w:tc>
          <w:tcPr>
            <w:tcW w:w="1701" w:type="dxa"/>
            <w:vMerge w:val="restart"/>
          </w:tcPr>
          <w:p w:rsidRPr="00D04355" w:rsidR="00D04355" w:rsidP="00D04355" w:rsidRDefault="00D04355" w14:paraId="342AA177" w14:textId="6C47BD5F">
            <w:pPr>
              <w:tabs>
                <w:tab w:val="center" w:pos="284"/>
              </w:tabs>
              <w:overflowPunct w:val="0"/>
              <w:autoSpaceDE w:val="0"/>
              <w:autoSpaceDN w:val="0"/>
              <w:adjustRightInd w:val="0"/>
              <w:ind w:left="567" w:hanging="567"/>
              <w:textAlignment w:val="baseline"/>
              <w:rPr>
                <w:b/>
              </w:rPr>
            </w:pPr>
            <w:r>
              <w:rPr>
                <w:b/>
              </w:rPr>
              <w:t>Referensdokument:</w:t>
            </w:r>
          </w:p>
        </w:tc>
        <w:tc>
          <w:tcPr>
            <w:tcW w:w="6237"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Yttrande på eget initiativ</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r w:rsidRPr="00D04355" w:rsidR="00D04355" w:rsidTr="001757A2" w14:paraId="58A8AC48" w14:textId="77777777">
        <w:tc>
          <w:tcPr>
            <w:tcW w:w="1701" w:type="dxa"/>
            <w:vMerge/>
          </w:tcPr>
          <w:p w:rsidRPr="00B60D9A" w:rsidR="00D04355" w:rsidP="00D04355" w:rsidRDefault="00D04355" w14:paraId="2A7EF227" w14:textId="77777777">
            <w:pPr>
              <w:tabs>
                <w:tab w:val="center" w:pos="284"/>
              </w:tabs>
              <w:overflowPunct w:val="0"/>
              <w:autoSpaceDE w:val="0"/>
              <w:autoSpaceDN w:val="0"/>
              <w:adjustRightInd w:val="0"/>
              <w:ind w:left="266" w:hanging="266"/>
              <w:textAlignment w:val="baseline"/>
              <w:rPr>
                <w:b/>
              </w:rPr>
            </w:pPr>
          </w:p>
        </w:tc>
        <w:tc>
          <w:tcPr>
            <w:tcW w:w="6237" w:type="dxa"/>
          </w:tcPr>
          <w:p w:rsidRPr="00B60D9A" w:rsidR="00D04355" w:rsidP="00D04355" w:rsidRDefault="00D04355" w14:paraId="631C8860" w14:textId="77777777">
            <w:pPr>
              <w:tabs>
                <w:tab w:val="center" w:pos="284"/>
              </w:tabs>
              <w:overflowPunct w:val="0"/>
              <w:autoSpaceDE w:val="0"/>
              <w:autoSpaceDN w:val="0"/>
              <w:adjustRightInd w:val="0"/>
              <w:ind w:left="266" w:hanging="266"/>
              <w:textAlignment w:val="baseline"/>
              <w:rPr>
                <w:sz w:val="16"/>
                <w:szCs w:val="16"/>
              </w:rPr>
            </w:pPr>
          </w:p>
        </w:tc>
      </w:tr>
    </w:tbl>
    <w:p w:rsidRPr="00D04355" w:rsidR="00D04355" w:rsidP="00D04355" w:rsidRDefault="00D04355" w14:paraId="59E6251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D04355" w:rsidR="00D04355" w:rsidP="00D04355" w:rsidRDefault="00D04355" w14:paraId="6D29C283" w14:textId="77777777">
      <w:pPr>
        <w:overflowPunct w:val="0"/>
        <w:autoSpaceDE w:val="0"/>
        <w:autoSpaceDN w:val="0"/>
        <w:adjustRightInd w:val="0"/>
        <w:textAlignment w:val="baseline"/>
        <w:rPr>
          <w:szCs w:val="20"/>
          <w:lang w:val="en-GB"/>
        </w:rPr>
      </w:pPr>
    </w:p>
    <w:p w:rsidRPr="00B60D9A" w:rsidR="00D04355" w:rsidP="00D04355" w:rsidRDefault="00D04355" w14:paraId="76180FA7" w14:textId="77777777">
      <w:pPr>
        <w:spacing w:before="100" w:beforeAutospacing="1" w:after="100" w:afterAutospacing="1" w:line="240" w:lineRule="auto"/>
        <w:jc w:val="left"/>
      </w:pPr>
      <w:proofErr w:type="spellStart"/>
      <w:r>
        <w:rPr>
          <w:b/>
        </w:rPr>
        <w:t>EESK:s</w:t>
      </w:r>
      <w:proofErr w:type="spellEnd"/>
      <w:r>
        <w:rPr>
          <w:b/>
        </w:rPr>
        <w:t xml:space="preserve"> ståndpunkt:</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Investeringar i människor och ekonomi, rättvis beskattning, offentliga tjänster av god kvalitet och till överkomlig kostnad samt riktat stöd till de mest utsatta, vid sidan av en kort- och långsiktig industripolitik inklusive ansträngningar för ökad konkurrenskraft, är avgörande för att mildra levnadskostnadskrisen och skapa ett skydd mot framtida chocker.</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Kommittén rekommenderar en utökad användning av social dialog, kollektivförhandlingar och civil dialog för att ta itu med utmaningar på arbetsmarknaden och förbättra lönerna och det sociala skyddet för arbetstagare, i samstämmighet med produktivitetsutvecklingen.</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Vi erkänner vikten av löne- och minimilöneökningar, och framhåller de positiva effekterna av direktivet om tillräckliga minimilöner när det gäller att driva på löneökningar.</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EU måste stärka sin kapacitet att förebygga och reagera på framtida kriser, bland annat genom att anta ett permanent finansiellt instrument för att stabilisera medlemsstaternas utgifter i händelse av externa ekonomiska chocker. Kommittén rekommenderar också att man antar en lämplig prispolitik, såsom energipristak, vid sidan av medlemsstaternas genomförande av en politik för överkomliga bostäder och en övergripande europeisk strategi för att bekämpa hemlöshet.</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Utbildningens roll som ett kraftfullt förebyggande verktyg mot utestängning, marginalisering och ojämlikhet är viktig. EU och medlemsstaterna uppmanas att öka investeringarna på detta område.</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Grundläggande och sociala tjänster, inbegripet sådana som tillhandahålls av enheter inom den sociala ekonomin, bör utvecklas på ett sätt som undanröjer hindren för tillgång.</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Användningen av fördelningskonsekvensbedömningar inom den europeiska planeringsterminen och dess ram för social konvergens behöver förstärkas med målet att säkerställa att politiken på alla områden inte förvärrar fattigdom eller ojämlikhet.</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EU uppmanas med kraft att uppmuntra medlemsstaterna att bibehålla tillräckliga offentliga utgifter för sociala trygghetssystem, utbildning, hälso- och sjukvård och samhällsbaserad vård.</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493"/>
      </w:tblGrid>
      <w:tr w:rsidRPr="00D04355" w:rsidR="00D04355" w:rsidTr="001757A2" w14:paraId="154968C7" w14:textId="77777777">
        <w:tc>
          <w:tcPr>
            <w:tcW w:w="1210"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Kontaktperson:</w:t>
            </w:r>
          </w:p>
        </w:tc>
        <w:tc>
          <w:tcPr>
            <w:tcW w:w="4493"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r>
              <w:rPr>
                <w:i/>
              </w:rPr>
              <w:t xml:space="preserve">Valeria </w:t>
            </w:r>
            <w:proofErr w:type="spellStart"/>
            <w:r>
              <w:rPr>
                <w:i/>
              </w:rPr>
              <w:t>Atzori</w:t>
            </w:r>
            <w:proofErr w:type="spellEnd"/>
          </w:p>
        </w:tc>
      </w:tr>
      <w:tr w:rsidRPr="00D04355" w:rsidR="00D04355" w:rsidTr="001757A2" w14:paraId="2B72ECEF" w14:textId="77777777">
        <w:tc>
          <w:tcPr>
            <w:tcW w:w="1210"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Tfn</w:t>
            </w:r>
          </w:p>
        </w:tc>
        <w:tc>
          <w:tcPr>
            <w:tcW w:w="4493"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1757A2" w14:paraId="6C3F5A3C" w14:textId="77777777">
        <w:tc>
          <w:tcPr>
            <w:tcW w:w="1210"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E-post:</w:t>
            </w:r>
          </w:p>
        </w:tc>
        <w:tc>
          <w:tcPr>
            <w:tcW w:w="4493" w:type="dxa"/>
          </w:tcPr>
          <w:p w:rsidRPr="00D04355" w:rsidR="00D04355" w:rsidP="00D04355" w:rsidRDefault="00EE17BB" w14:paraId="39D2EF9E" w14:textId="77777777">
            <w:pPr>
              <w:overflowPunct w:val="0"/>
              <w:autoSpaceDE w:val="0"/>
              <w:autoSpaceDN w:val="0"/>
              <w:adjustRightInd w:val="0"/>
              <w:spacing w:line="240" w:lineRule="auto"/>
              <w:textAlignment w:val="baseline"/>
              <w:rPr>
                <w:i/>
              </w:rPr>
            </w:pPr>
            <w:hyperlink w:history="1" r:id="rId37">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9A3B12" w:rsidR="009A3B12" w:rsidP="002950A0" w:rsidRDefault="00EE17BB" w14:paraId="140E663D" w14:textId="50248690">
      <w:pPr>
        <w:widowControl w:val="0"/>
        <w:numPr>
          <w:ilvl w:val="0"/>
          <w:numId w:val="6"/>
        </w:numPr>
        <w:overflowPunct w:val="0"/>
        <w:autoSpaceDE w:val="0"/>
        <w:autoSpaceDN w:val="0"/>
        <w:adjustRightInd w:val="0"/>
        <w:ind w:left="284" w:hanging="426"/>
        <w:textAlignment w:val="baseline"/>
        <w:rPr>
          <w:b/>
        </w:rPr>
      </w:pPr>
      <w:hyperlink w:history="1" r:id="rId38">
        <w:r w:rsidR="009A3B12">
          <w:rPr>
            <w:b/>
            <w:i/>
            <w:color w:val="0000FF"/>
            <w:sz w:val="28"/>
            <w:u w:val="single"/>
          </w:rPr>
          <w:t>Stöd till arbetstagare som förväntas bli uppsagda inom kort i företag som genomgår omstrukturering</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Huvudföredragande</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t xml:space="preserve">Tatjana </w:t>
            </w:r>
            <w:proofErr w:type="spellStart"/>
            <w:r>
              <w:t>Babrauskienė</w:t>
            </w:r>
            <w:proofErr w:type="spellEnd"/>
            <w:r>
              <w:t xml:space="preserve"> (Arbetstagargruppen – 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Pr>
                <w:b/>
              </w:rPr>
              <w:t xml:space="preserve">Referensdokument: </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Yttrande på eget initiativ</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Huvudpunkter</w:t>
      </w:r>
    </w:p>
    <w:p w:rsidRPr="009A3B12" w:rsidR="009A3B12" w:rsidP="009A3B12" w:rsidRDefault="009A3B12" w14:paraId="1E0FEC0B" w14:textId="77777777">
      <w:pPr>
        <w:spacing w:before="100" w:beforeAutospacing="1" w:after="100" w:afterAutospacing="1"/>
        <w:jc w:val="left"/>
      </w:pPr>
      <w:proofErr w:type="spellStart"/>
      <w:r>
        <w:rPr>
          <w:b/>
        </w:rPr>
        <w:t>EESK:s</w:t>
      </w:r>
      <w:proofErr w:type="spellEnd"/>
      <w:r>
        <w:rPr>
          <w:b/>
        </w:rPr>
        <w:t xml:space="preserve"> ståndpunkt:</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Europeiska ekonomiska och sociala kommittén (EESK) välkomnar kommissionens förslag om ändring av förordning (EU) 2021/691 för att öka stödet till arbetstagare som inom kort förväntas bli uppsagda på grund av omstruktureringar och för att stärka effektiviteten hos Europeiska fonden för justering för globaliseringseffekter (EGF).</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Kommittén betonar behovet av att snabbt kunna ge skräddarsytt stöd, inbegripet kompetenshöjning, återanställningsstöd, inkomststöd och tjänster för psykisk hälsa. Särskild uppmärksamhet bör ägnas åt digital och grön kompetens.</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EESK efterlyser fortsatt stödberättigande för arbetstagare efter det att deras anställningsförhållande har upphört, efterföljande ansökningar och inkludering av utsatta eller annars uteslutna grupper såsom arbetstagare hos små och medelstora företag och underleverantörer, äldre arbetstagare, arbetstagare med funktionsnedsättning och lågkvalificerade arbetstagare samt att aktörer inom den sociala ekonomin integreras.</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Vi rekommenderar skräddarsytt stöd till de regioner som påverkas mest av omstruktureringar och ökat deltagande av lokala myndigheter och arbetsmarknadens parter.</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EESK efterlyser tillräcklig finansiering för tekniskt stöd, förbättrad samordning mellan EU:s instrument (EGF, ESF+, FRO), robusta övervaknings- och utvärderingsramar där kvalitativa och kvantitativa data samt informationskampanjer används för att säkerställa en rättvis och effektiv användning av fonden.</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Kommittén betonar vikten av en meningsfull social dialog i ett tidigt skede, obligatoriska omställningsplaner från stödmottagande företags sida och fullständig efterlevnad av EU:s direktiv om information, samråd och kollektiva uppsägningar.</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238"/>
        <w:gridCol w:w="4507"/>
      </w:tblGrid>
      <w:tr w:rsidRPr="009A3B12" w:rsidR="009A3B12" w:rsidTr="001757A2" w14:paraId="15A1BCBA" w14:textId="77777777">
        <w:tc>
          <w:tcPr>
            <w:tcW w:w="1238" w:type="dxa"/>
          </w:tcPr>
          <w:p w:rsidRPr="009A3B12" w:rsidR="009A3B12" w:rsidP="009A3B12" w:rsidRDefault="009A3B12" w14:paraId="3569A840" w14:textId="2F2850CB">
            <w:pPr>
              <w:overflowPunct w:val="0"/>
              <w:autoSpaceDE w:val="0"/>
              <w:autoSpaceDN w:val="0"/>
              <w:adjustRightInd w:val="0"/>
              <w:textAlignment w:val="baseline"/>
              <w:rPr>
                <w:i/>
              </w:rPr>
            </w:pPr>
            <w:r>
              <w:rPr>
                <w:b/>
                <w:i/>
              </w:rPr>
              <w:t>Kontaktperson:</w:t>
            </w:r>
          </w:p>
        </w:tc>
        <w:tc>
          <w:tcPr>
            <w:tcW w:w="238" w:type="dxa"/>
          </w:tcPr>
          <w:p w:rsidRPr="009A3B12" w:rsidR="009A3B12" w:rsidP="009A3B12" w:rsidRDefault="009A3B12" w14:paraId="31686B87"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0DF1F070" w14:textId="4487F88B">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9A3B12" w:rsidR="009A3B12" w:rsidTr="001757A2" w14:paraId="18B66F47" w14:textId="77777777">
        <w:tc>
          <w:tcPr>
            <w:tcW w:w="1238" w:type="dxa"/>
          </w:tcPr>
          <w:p w:rsidRPr="009A3B12" w:rsidR="009A3B12" w:rsidP="009A3B12" w:rsidRDefault="009A3B12" w14:paraId="78D1DC58" w14:textId="38B0379D">
            <w:pPr>
              <w:overflowPunct w:val="0"/>
              <w:autoSpaceDE w:val="0"/>
              <w:autoSpaceDN w:val="0"/>
              <w:adjustRightInd w:val="0"/>
              <w:textAlignment w:val="baseline"/>
              <w:rPr>
                <w:i/>
              </w:rPr>
            </w:pPr>
            <w:r>
              <w:rPr>
                <w:i/>
              </w:rPr>
              <w:t>Tfn</w:t>
            </w:r>
          </w:p>
        </w:tc>
        <w:tc>
          <w:tcPr>
            <w:tcW w:w="238" w:type="dxa"/>
          </w:tcPr>
          <w:p w:rsidRPr="009A3B12" w:rsidR="009A3B12" w:rsidP="009A3B12" w:rsidRDefault="009A3B12" w14:paraId="25FF25B0"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4855A562" w14:textId="74692B7B">
            <w:pPr>
              <w:overflowPunct w:val="0"/>
              <w:autoSpaceDE w:val="0"/>
              <w:autoSpaceDN w:val="0"/>
              <w:adjustRightInd w:val="0"/>
              <w:textAlignment w:val="baseline"/>
              <w:rPr>
                <w:i/>
              </w:rPr>
            </w:pPr>
            <w:r>
              <w:rPr>
                <w:i/>
              </w:rPr>
              <w:t>+32 2 5469229</w:t>
            </w:r>
          </w:p>
        </w:tc>
      </w:tr>
      <w:tr w:rsidRPr="009A3B12" w:rsidR="009A3B12" w:rsidTr="001757A2" w14:paraId="7B9461F8" w14:textId="77777777">
        <w:tc>
          <w:tcPr>
            <w:tcW w:w="1238" w:type="dxa"/>
          </w:tcPr>
          <w:p w:rsidRPr="009A3B12" w:rsidR="009A3B12" w:rsidP="009A3B12" w:rsidRDefault="009A3B12" w14:paraId="29D7C5FE" w14:textId="5B5260E5">
            <w:pPr>
              <w:overflowPunct w:val="0"/>
              <w:autoSpaceDE w:val="0"/>
              <w:autoSpaceDN w:val="0"/>
              <w:adjustRightInd w:val="0"/>
              <w:textAlignment w:val="baseline"/>
              <w:rPr>
                <w:i/>
              </w:rPr>
            </w:pPr>
            <w:r>
              <w:rPr>
                <w:i/>
              </w:rPr>
              <w:t>E-post:</w:t>
            </w:r>
          </w:p>
        </w:tc>
        <w:tc>
          <w:tcPr>
            <w:tcW w:w="238" w:type="dxa"/>
          </w:tcPr>
          <w:p w:rsidRPr="009A3B12" w:rsidR="009A3B12" w:rsidP="009A3B12" w:rsidRDefault="009A3B12" w14:paraId="55D37AE3" w14:textId="77777777">
            <w:pPr>
              <w:overflowPunct w:val="0"/>
              <w:autoSpaceDE w:val="0"/>
              <w:autoSpaceDN w:val="0"/>
              <w:adjustRightInd w:val="0"/>
              <w:textAlignment w:val="baseline"/>
              <w:rPr>
                <w:lang w:val="en-GB"/>
              </w:rPr>
            </w:pPr>
          </w:p>
        </w:tc>
        <w:tc>
          <w:tcPr>
            <w:tcW w:w="4507" w:type="dxa"/>
          </w:tcPr>
          <w:p w:rsidRPr="009A3B12" w:rsidR="009A3B12" w:rsidP="009A3B12" w:rsidRDefault="00EE17BB" w14:paraId="2D1E3999" w14:textId="77777777">
            <w:pPr>
              <w:overflowPunct w:val="0"/>
              <w:autoSpaceDE w:val="0"/>
              <w:autoSpaceDN w:val="0"/>
              <w:adjustRightInd w:val="0"/>
              <w:textAlignment w:val="baseline"/>
              <w:rPr>
                <w:i/>
                <w:iCs/>
              </w:rPr>
            </w:pPr>
            <w:hyperlink w:history="1" r:id="rId39">
              <w:r w:rsidR="00381CCE">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14"/>
      <w:bookmarkStart w:name="_Toc75527082" w:id="15"/>
      <w:bookmarkStart w:name="_Toc202357649" w:id="16"/>
      <w:r>
        <w:rPr>
          <w:b/>
        </w:rPr>
        <w:lastRenderedPageBreak/>
        <w:t>TRANSPORTER, ENERGI, INFRASTRUKTUR OCH INFORMATIONSSAMHÄLLET</w:t>
      </w:r>
      <w:bookmarkEnd w:id="14"/>
      <w:bookmarkEnd w:id="15"/>
      <w:bookmarkEnd w:id="16"/>
    </w:p>
    <w:p w:rsidR="004D7AC0" w:rsidP="004D7AC0" w:rsidRDefault="004D7AC0" w14:paraId="4982DDC7" w14:textId="77777777"/>
    <w:p w:rsidRPr="00240FD7" w:rsidR="00240FD7" w:rsidP="00240FD7" w:rsidRDefault="00EE17BB"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40">
        <w:r w:rsidR="00381CCE">
          <w:rPr>
            <w:b/>
            <w:i/>
            <w:color w:val="0000FF"/>
            <w:sz w:val="28"/>
            <w:u w:val="single"/>
          </w:rPr>
          <w:t>Mot ett balanserat europeiskt energisystem</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240FD7" w:rsidR="00240FD7" w:rsidTr="001757A2" w14:paraId="42A3F122" w14:textId="77777777">
        <w:tc>
          <w:tcPr>
            <w:tcW w:w="1321"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proofErr w:type="spellStart"/>
            <w:r>
              <w:t>Zsolt</w:t>
            </w:r>
            <w:proofErr w:type="spellEnd"/>
            <w:r>
              <w:t xml:space="preserve"> </w:t>
            </w:r>
            <w:proofErr w:type="spellStart"/>
            <w:r>
              <w:t>Kükedi</w:t>
            </w:r>
            <w:proofErr w:type="spellEnd"/>
            <w:r>
              <w:t xml:space="preserve"> (Gruppen för civilsamhällesorganisationer – 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Medföredragande:</w:t>
            </w:r>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 xml:space="preserve">Philippe </w:t>
            </w:r>
            <w:proofErr w:type="spellStart"/>
            <w:r>
              <w:t>Charry</w:t>
            </w:r>
            <w:proofErr w:type="spellEnd"/>
            <w:r>
              <w:t xml:space="preserve"> (Arbetstagargruppen – 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vMerge w:val="restart"/>
          </w:tcPr>
          <w:p w:rsidRPr="00240FD7"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Pr>
                <w:b/>
              </w:rPr>
              <w:t>Referensdokument:</w:t>
            </w:r>
          </w:p>
        </w:tc>
        <w:tc>
          <w:tcPr>
            <w:tcW w:w="3679"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Yttrande på eget initiativ</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r w:rsidRPr="00240FD7" w:rsidR="00240FD7" w:rsidTr="001757A2" w14:paraId="683AC6FA" w14:textId="77777777">
        <w:tc>
          <w:tcPr>
            <w:tcW w:w="1321" w:type="pct"/>
            <w:vMerge/>
          </w:tcPr>
          <w:p w:rsidRPr="00240FD7"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679" w:type="pct"/>
          </w:tcPr>
          <w:p w:rsidRPr="00240FD7"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40FD7"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06017352"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240FD7" w:rsidR="00240FD7" w:rsidP="00240FD7" w:rsidRDefault="00240FD7" w14:paraId="00B1CC70" w14:textId="77777777">
      <w:pPr>
        <w:widowControl w:val="0"/>
        <w:overflowPunct w:val="0"/>
        <w:autoSpaceDE w:val="0"/>
        <w:autoSpaceDN w:val="0"/>
        <w:adjustRightInd w:val="0"/>
        <w:ind w:left="709"/>
        <w:textAlignment w:val="baseline"/>
        <w:rPr>
          <w:bCs/>
          <w:iCs/>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Kommittén anser att överkomliga energipriser, koldioxidneutralitet och energitrygghet är de centrala målen för ett balanserat energisystem.</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EESK betonar behovet av att upprätthålla baslastproduktionen och en diversifierad ren energimix för att balansera tillgång och efterfrågan, inbegripet intermittent och konstant produktion, kontrollerbara och icke-kontrollerbara källor samt regionala energiskillnader.</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Vi stöder kommissionens uppmaning att rekommendera medlemsstaterna att tillfälligt sänka skatter och avgifter för att hålla de höga kostnaderna i schack i enlighet med handlingsplanen för överkomliga energipriser.</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EESK föreslår en flexibel men fast färdplan för medlemsstater som är beroende av fossila bränslen, med samarbete på EU-nivå och nationell nivå.</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Kommittén noterar behovet av att öka flexibiliteten och effektiviteten, betonar den roll som efterfrågeflexibilitet och smart konsumtion spelar, och efterlyser informationskampanjer, effektivitetshöjande lösningar och affärsmodeller som främjar sammanslagning av små konsumenters och producenters resurser.</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Vi efterlyser snabbare gränsöverskridande sammanlänkningar och modernisering av infrastrukturen för att fullborda energiunionen och stärka de interna energiflödena, särskilt efter det nyligen inträffade strömavbrottet i Spanien och Portugal.</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Det bör undersökas hur man bättre kan utnyttja underutnyttjade källor (t.ex. geotermisk energi för el, biogas för lokal produktion) och påskynda innovation (effektivitet, digitalisering, nätflexibilitet, sektorsintegration).</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Vi rekommenderar att man gör decentraliserad produktion av förnybar energi (</w:t>
      </w:r>
      <w:proofErr w:type="spellStart"/>
      <w:r>
        <w:t>prosumenter</w:t>
      </w:r>
      <w:proofErr w:type="spellEnd"/>
      <w:r>
        <w:t xml:space="preserve"> och energigemenskaper) mer tillgänglig genom att undanröja luckor i lagstiftningen och ta itu med intressekonflikter.</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 xml:space="preserve">EESK föreslår att det utarbetas en europeisk handlingsplan för </w:t>
      </w:r>
      <w:proofErr w:type="spellStart"/>
      <w:r>
        <w:t>transient</w:t>
      </w:r>
      <w:proofErr w:type="spellEnd"/>
      <w:r>
        <w:t xml:space="preserve"> stabilitet som omfattar obligatoriska standarder för syntetisk tröghet, </w:t>
      </w:r>
      <w:proofErr w:type="spellStart"/>
      <w:r>
        <w:t>transienta</w:t>
      </w:r>
      <w:proofErr w:type="spellEnd"/>
      <w:r>
        <w:t xml:space="preserve"> frekvenssvarstester och årliga bedömningar av elsystemets motståndskraft mot snabba störningar för att förhindra utbredda </w:t>
      </w:r>
      <w:proofErr w:type="spellStart"/>
      <w:r>
        <w:t>nätfel</w:t>
      </w:r>
      <w:proofErr w:type="spellEnd"/>
      <w:r>
        <w:t>.</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7F5A586D" w14:textId="77777777">
        <w:tc>
          <w:tcPr>
            <w:tcW w:w="1556" w:type="pct"/>
          </w:tcPr>
          <w:p w:rsidRPr="00240FD7" w:rsidR="00240FD7" w:rsidP="00240FD7" w:rsidRDefault="00240FD7" w14:paraId="5E40EB11"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240FD7" w:rsidR="00240FD7" w:rsidTr="001757A2" w14:paraId="3717A876" w14:textId="77777777">
        <w:tc>
          <w:tcPr>
            <w:tcW w:w="1556" w:type="pct"/>
          </w:tcPr>
          <w:p w:rsidRPr="00240FD7" w:rsidR="00240FD7" w:rsidP="00240FD7" w:rsidRDefault="00240FD7" w14:paraId="47FF5AFD" w14:textId="77777777">
            <w:pPr>
              <w:overflowPunct w:val="0"/>
              <w:autoSpaceDE w:val="0"/>
              <w:autoSpaceDN w:val="0"/>
              <w:adjustRightInd w:val="0"/>
              <w:spacing w:line="240" w:lineRule="auto"/>
              <w:textAlignment w:val="baseline"/>
              <w:rPr>
                <w:i/>
              </w:rPr>
            </w:pPr>
            <w:r>
              <w:rPr>
                <w:i/>
              </w:rPr>
              <w:t>Tfn</w:t>
            </w:r>
          </w:p>
        </w:tc>
        <w:tc>
          <w:tcPr>
            <w:tcW w:w="3444"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240FD7" w:rsidRDefault="00BD4876" w14:paraId="21A6762F" w14:textId="79A0E54C">
            <w:pPr>
              <w:overflowPunct w:val="0"/>
              <w:autoSpaceDE w:val="0"/>
              <w:autoSpaceDN w:val="0"/>
              <w:adjustRightInd w:val="0"/>
              <w:spacing w:line="240" w:lineRule="auto"/>
              <w:textAlignment w:val="baseline"/>
              <w:rPr>
                <w:i/>
              </w:rPr>
            </w:pPr>
            <w:r>
              <w:rPr>
                <w:i/>
              </w:rPr>
              <w:t>E-post:</w:t>
            </w:r>
          </w:p>
        </w:tc>
        <w:tc>
          <w:tcPr>
            <w:tcW w:w="3444" w:type="pct"/>
          </w:tcPr>
          <w:p w:rsidRPr="00240FD7" w:rsidR="00240FD7" w:rsidP="00240FD7" w:rsidRDefault="00EE17BB" w14:paraId="0A10AF36" w14:textId="77777777">
            <w:pPr>
              <w:overflowPunct w:val="0"/>
              <w:autoSpaceDE w:val="0"/>
              <w:autoSpaceDN w:val="0"/>
              <w:adjustRightInd w:val="0"/>
              <w:spacing w:line="240" w:lineRule="auto"/>
              <w:textAlignment w:val="baseline"/>
              <w:rPr>
                <w:i/>
              </w:rPr>
            </w:pPr>
            <w:hyperlink w:history="1" r:id="rId41">
              <w:r w:rsidR="00381CCE">
                <w:rPr>
                  <w:i/>
                  <w:color w:val="0000FF"/>
                  <w:u w:val="single"/>
                </w:rPr>
                <w:t>GiorgiaAndrea.Bordignon@eesc.europa.eu</w:t>
              </w:r>
            </w:hyperlink>
            <w:r w:rsidR="00381CCE">
              <w:rPr>
                <w:i/>
              </w:rPr>
              <w:t xml:space="preserve"> </w:t>
            </w:r>
          </w:p>
        </w:tc>
      </w:tr>
    </w:tbl>
    <w:p w:rsidR="00055407" w:rsidRDefault="00055407" w14:paraId="6037CC93" w14:textId="4CD819A3">
      <w:pPr>
        <w:spacing w:after="160" w:line="259" w:lineRule="auto"/>
        <w:jc w:val="left"/>
      </w:pPr>
      <w:r>
        <w:br w:type="page"/>
      </w:r>
    </w:p>
    <w:p w:rsidRPr="00240FD7" w:rsidR="00240FD7" w:rsidP="00240FD7" w:rsidRDefault="00EE17BB"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42">
        <w:r w:rsidR="00381CCE">
          <w:rPr>
            <w:b/>
            <w:i/>
            <w:color w:val="0000FF"/>
            <w:sz w:val="28"/>
            <w:u w:val="single"/>
          </w:rPr>
          <w:t>Planering av hållbar mobilitet i städer i EU</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240FD7" w:rsidR="00240FD7" w:rsidTr="001757A2" w14:paraId="37155882" w14:textId="77777777">
        <w:tc>
          <w:tcPr>
            <w:tcW w:w="1186"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proofErr w:type="spellStart"/>
            <w:r>
              <w:t>Lidija</w:t>
            </w:r>
            <w:proofErr w:type="spellEnd"/>
            <w:r>
              <w:t xml:space="preserve"> </w:t>
            </w:r>
            <w:proofErr w:type="spellStart"/>
            <w:r>
              <w:t>Pavić-Rogošić</w:t>
            </w:r>
            <w:proofErr w:type="spellEnd"/>
            <w:r>
              <w:t xml:space="preserve"> (Gruppen för civilsamhällesorganisationer – 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Medföredragande:</w:t>
            </w:r>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w:t>
            </w:r>
            <w:proofErr w:type="spellStart"/>
            <w:r>
              <w:t>Szymański</w:t>
            </w:r>
            <w:proofErr w:type="spellEnd"/>
            <w:r>
              <w:t xml:space="preserve"> (Arbetstagargruppen – 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vMerge w:val="restart"/>
          </w:tcPr>
          <w:p w:rsidRPr="00240FD7"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Pr>
                <w:b/>
              </w:rPr>
              <w:t>Referensdokument:</w:t>
            </w:r>
          </w:p>
        </w:tc>
        <w:tc>
          <w:tcPr>
            <w:tcW w:w="3814"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Yttrande på eget initiativ</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r w:rsidRPr="00240FD7" w:rsidR="00240FD7" w:rsidTr="001757A2" w14:paraId="1B9C8807" w14:textId="77777777">
        <w:tc>
          <w:tcPr>
            <w:tcW w:w="1186" w:type="pct"/>
            <w:vMerge/>
          </w:tcPr>
          <w:p w:rsidRPr="00240FD7"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14" w:type="pct"/>
          </w:tcPr>
          <w:p w:rsidRPr="00240FD7"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77777777">
      <w:pPr>
        <w:keepNext/>
        <w:keepLines/>
        <w:tabs>
          <w:tab w:val="center" w:pos="284"/>
        </w:tabs>
        <w:overflowPunct w:val="0"/>
        <w:autoSpaceDE w:val="0"/>
        <w:autoSpaceDN w:val="0"/>
        <w:adjustRightInd w:val="0"/>
        <w:ind w:left="266" w:hanging="266"/>
        <w:textAlignment w:val="baseline"/>
        <w:rPr>
          <w:b/>
        </w:rPr>
      </w:pPr>
      <w:r>
        <w:rPr>
          <w:b/>
        </w:rPr>
        <w:t xml:space="preserve"> Huvudpunkter</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 xml:space="preserve">EESK rekommenderar att man utarbetar planer för hållbar mobilitet i städer för att förbättra mobiliteten i städer och minska dess miljöpåverkan. EESK uppmanar alla medlemsstater att utarbeta nationella program för att hjälpa lokala och regionala myndigheter att utveckla och genomföra planer för hållbar mobilitet i städer genom vägledning, kapacitetsuppbyggnad och finansiering. Kommissionen uppmanas att stödja en fortsättning och utvidgning av </w:t>
      </w:r>
      <w:proofErr w:type="spellStart"/>
      <w:r>
        <w:t>Civinet</w:t>
      </w:r>
      <w:proofErr w:type="spellEnd"/>
      <w:r>
        <w:t>.</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Vi understryker att planer för hållbar mobilitet i städer är avgörande för en balanserad regional utveckling. Att mobilisera regionens kreativitet och sociala kapital är ett viktigt steg. Arbetsgivar-, arbetstagar- och civilsamhällesorganisationer har en nyckelroll och måste uppmuntras att bidra till denna dialog. Det är viktigt att involvera alla berörda parter på lokal, nationell och europeisk nivå i planeringen, inbegripet när det gäller gränsöverskridande frågor.</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När vi planerar för mobilitet i städer måste vi väga in att det sociala och ekonomiska livet i våra stadsområden sträcker sig ända ut till förorter, stadsnära områden och landsbygdsområden, och att deras åsikter och behov måste beaktas. Avsaknad av effektivitet i mobilitetssystemet ger upphov till och vidmakthåller en klyfta mellan stad och landsbygd och därmed sammanhängande ekonomiska, sociala och politiska problem. Rättvisa i mobilitetssystemet innebär att mobiliteten är överkomlig och inte leder till privilegier som gynnar dem som redan befinner sig i en bättre situation.</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p w:rsidRPr="00240FD7" w:rsidR="00240FD7" w:rsidP="00240FD7" w:rsidRDefault="00240FD7" w14:paraId="34211ABA"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240FD7" w:rsidRDefault="00240FD7" w14:paraId="750B1407"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240FD7" w:rsidR="00240FD7" w:rsidTr="001757A2" w14:paraId="60E956CE" w14:textId="77777777">
        <w:tc>
          <w:tcPr>
            <w:tcW w:w="1556" w:type="pct"/>
          </w:tcPr>
          <w:p w:rsidRPr="00240FD7" w:rsidR="00240FD7" w:rsidP="00240FD7" w:rsidRDefault="00240FD7" w14:paraId="07DE1D22" w14:textId="77777777">
            <w:pPr>
              <w:overflowPunct w:val="0"/>
              <w:autoSpaceDE w:val="0"/>
              <w:autoSpaceDN w:val="0"/>
              <w:adjustRightInd w:val="0"/>
              <w:spacing w:line="240" w:lineRule="auto"/>
              <w:textAlignment w:val="baseline"/>
              <w:rPr>
                <w:i/>
              </w:rPr>
            </w:pPr>
            <w:r>
              <w:rPr>
                <w:i/>
              </w:rPr>
              <w:t>Tfn</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77777777">
            <w:pPr>
              <w:overflowPunct w:val="0"/>
              <w:autoSpaceDE w:val="0"/>
              <w:autoSpaceDN w:val="0"/>
              <w:adjustRightInd w:val="0"/>
              <w:spacing w:line="240" w:lineRule="auto"/>
              <w:textAlignment w:val="baseline"/>
              <w:rPr>
                <w:i/>
              </w:rPr>
            </w:pPr>
            <w:r>
              <w:rPr>
                <w:i/>
              </w:rPr>
              <w:t>E-post:</w:t>
            </w:r>
          </w:p>
        </w:tc>
        <w:tc>
          <w:tcPr>
            <w:tcW w:w="3444" w:type="pct"/>
          </w:tcPr>
          <w:p w:rsidRPr="00240FD7" w:rsidR="00240FD7" w:rsidP="00240FD7" w:rsidRDefault="00EE17BB" w14:paraId="0171E9D4" w14:textId="77777777">
            <w:pPr>
              <w:overflowPunct w:val="0"/>
              <w:autoSpaceDE w:val="0"/>
              <w:autoSpaceDN w:val="0"/>
              <w:adjustRightInd w:val="0"/>
              <w:spacing w:line="240" w:lineRule="auto"/>
              <w:textAlignment w:val="baseline"/>
              <w:rPr>
                <w:i/>
                <w:iCs/>
              </w:rPr>
            </w:pPr>
            <w:hyperlink w:history="1" r:id="rId43">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7"/>
      <w:bookmarkStart w:name="_Toc202357650" w:id="18"/>
      <w:r>
        <w:rPr>
          <w:b/>
        </w:rPr>
        <w:lastRenderedPageBreak/>
        <w:t>INRE MARKNADEN, PRODUKTION OCH KONSUMTION</w:t>
      </w:r>
      <w:bookmarkEnd w:id="17"/>
      <w:bookmarkEnd w:id="18"/>
    </w:p>
    <w:p w:rsidR="004D7AC0" w:rsidP="004D7AC0" w:rsidRDefault="004D7AC0" w14:paraId="4982DDF4" w14:textId="77777777"/>
    <w:p w:rsidRPr="00254761" w:rsidR="00254761" w:rsidP="00254761" w:rsidRDefault="00EE17BB"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00381CCE">
          <w:rPr>
            <w:b/>
            <w:i/>
            <w:color w:val="0000FF"/>
            <w:sz w:val="28"/>
            <w:u w:val="single"/>
          </w:rPr>
          <w:t>Policyer för tillbörlig aktsamhet avseende batterier</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42"/>
        <w:gridCol w:w="7053"/>
      </w:tblGrid>
      <w:tr w:rsidRPr="00254761" w:rsidR="00254761" w:rsidTr="001757A2" w14:paraId="76A2A133" w14:textId="77777777">
        <w:tc>
          <w:tcPr>
            <w:tcW w:w="2127" w:type="dxa"/>
            <w:gridSpan w:val="2"/>
          </w:tcPr>
          <w:p w:rsidRPr="00254761" w:rsidR="00254761" w:rsidP="00254761" w:rsidRDefault="00254761" w14:paraId="63C9E4E3" w14:textId="1BAAF12F">
            <w:pPr>
              <w:tabs>
                <w:tab w:val="center" w:pos="284"/>
              </w:tabs>
              <w:overflowPunct w:val="0"/>
              <w:autoSpaceDE w:val="0"/>
              <w:autoSpaceDN w:val="0"/>
              <w:adjustRightInd w:val="0"/>
              <w:ind w:left="266" w:hanging="266"/>
              <w:jc w:val="left"/>
              <w:textAlignment w:val="baseline"/>
              <w:rPr>
                <w:b/>
              </w:rPr>
            </w:pPr>
          </w:p>
        </w:tc>
        <w:tc>
          <w:tcPr>
            <w:tcW w:w="7053" w:type="dxa"/>
          </w:tcPr>
          <w:p w:rsidRPr="00254761" w:rsidR="00254761" w:rsidP="00254761" w:rsidRDefault="00254761" w14:paraId="535ECB1B" w14:textId="77777777">
            <w:pPr>
              <w:tabs>
                <w:tab w:val="center" w:pos="284"/>
              </w:tabs>
              <w:overflowPunct w:val="0"/>
              <w:autoSpaceDE w:val="0"/>
              <w:autoSpaceDN w:val="0"/>
              <w:adjustRightInd w:val="0"/>
              <w:ind w:left="266" w:hanging="266"/>
              <w:jc w:val="left"/>
              <w:textAlignment w:val="baseline"/>
            </w:pPr>
          </w:p>
        </w:tc>
      </w:tr>
      <w:tr w:rsidRPr="00254761" w:rsidR="00254761" w:rsidTr="001757A2" w14:paraId="54495A3D" w14:textId="77777777">
        <w:tc>
          <w:tcPr>
            <w:tcW w:w="9180" w:type="dxa"/>
            <w:gridSpan w:val="3"/>
          </w:tcPr>
          <w:p w:rsidRPr="00254761" w:rsidR="00254761" w:rsidP="00254761" w:rsidRDefault="00254761" w14:paraId="580F0BED" w14:textId="77777777">
            <w:pPr>
              <w:tabs>
                <w:tab w:val="center" w:pos="284"/>
              </w:tabs>
              <w:overflowPunct w:val="0"/>
              <w:autoSpaceDE w:val="0"/>
              <w:autoSpaceDN w:val="0"/>
              <w:adjustRightInd w:val="0"/>
              <w:spacing w:line="160" w:lineRule="exact"/>
              <w:ind w:left="266" w:hanging="266"/>
              <w:textAlignment w:val="baseline"/>
            </w:pPr>
          </w:p>
        </w:tc>
      </w:tr>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Referensdokument:</w:t>
            </w:r>
          </w:p>
        </w:tc>
        <w:tc>
          <w:tcPr>
            <w:tcW w:w="7195" w:type="dxa"/>
            <w:gridSpan w:val="2"/>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kategori C-yttrande</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COM(2025) 258 final</w:t>
            </w:r>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gridSpan w:val="2"/>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EESK stöder förslaget, som inte föranleder några särskilda kommentarer.</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7762"/>
      </w:tblGrid>
      <w:tr w:rsidRPr="00254761" w:rsidR="00254761" w:rsidTr="001757A2" w14:paraId="4DF7D8AB" w14:textId="77777777">
        <w:tc>
          <w:tcPr>
            <w:tcW w:w="1418" w:type="dxa"/>
          </w:tcPr>
          <w:p w:rsidRPr="00254761" w:rsidR="00254761" w:rsidP="00254761" w:rsidRDefault="00254761" w14:paraId="6CE53A83" w14:textId="77777777">
            <w:pPr>
              <w:overflowPunct w:val="0"/>
              <w:autoSpaceDE w:val="0"/>
              <w:autoSpaceDN w:val="0"/>
              <w:adjustRightInd w:val="0"/>
              <w:spacing w:line="240" w:lineRule="auto"/>
              <w:textAlignment w:val="baseline"/>
              <w:rPr>
                <w:i/>
              </w:rPr>
            </w:pPr>
            <w:r>
              <w:rPr>
                <w:b/>
                <w:i/>
              </w:rPr>
              <w:t>Kontaktperson:</w:t>
            </w:r>
          </w:p>
        </w:tc>
        <w:tc>
          <w:tcPr>
            <w:tcW w:w="7762"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254761" w:rsidR="00254761" w:rsidTr="001757A2" w14:paraId="1A08D712" w14:textId="77777777">
        <w:tc>
          <w:tcPr>
            <w:tcW w:w="1418" w:type="dxa"/>
          </w:tcPr>
          <w:p w:rsidRPr="00254761" w:rsidR="00254761" w:rsidP="00254761" w:rsidRDefault="00254761" w14:paraId="383FEF30" w14:textId="3CED3DF6">
            <w:pPr>
              <w:overflowPunct w:val="0"/>
              <w:autoSpaceDE w:val="0"/>
              <w:autoSpaceDN w:val="0"/>
              <w:adjustRightInd w:val="0"/>
              <w:spacing w:line="240" w:lineRule="auto"/>
              <w:textAlignment w:val="baseline"/>
              <w:rPr>
                <w:i/>
              </w:rPr>
            </w:pPr>
            <w:r>
              <w:rPr>
                <w:i/>
              </w:rPr>
              <w:t>Tfn</w:t>
            </w:r>
          </w:p>
        </w:tc>
        <w:tc>
          <w:tcPr>
            <w:tcW w:w="7762"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1757A2" w14:paraId="5AABF235" w14:textId="77777777">
        <w:tc>
          <w:tcPr>
            <w:tcW w:w="1418" w:type="dxa"/>
          </w:tcPr>
          <w:p w:rsidRPr="00254761" w:rsidR="00254761" w:rsidP="00254761" w:rsidRDefault="00254761" w14:paraId="602F8DE7" w14:textId="77777777">
            <w:pPr>
              <w:overflowPunct w:val="0"/>
              <w:autoSpaceDE w:val="0"/>
              <w:autoSpaceDN w:val="0"/>
              <w:adjustRightInd w:val="0"/>
              <w:spacing w:line="240" w:lineRule="auto"/>
              <w:textAlignment w:val="baseline"/>
              <w:rPr>
                <w:i/>
              </w:rPr>
            </w:pPr>
            <w:r>
              <w:rPr>
                <w:i/>
              </w:rPr>
              <w:t>E-post:</w:t>
            </w:r>
          </w:p>
        </w:tc>
        <w:tc>
          <w:tcPr>
            <w:tcW w:w="7762" w:type="dxa"/>
          </w:tcPr>
          <w:p w:rsidRPr="00254761" w:rsidR="00254761" w:rsidP="00254761" w:rsidRDefault="00EE17BB" w14:paraId="1B63B1E2" w14:textId="77777777">
            <w:pPr>
              <w:overflowPunct w:val="0"/>
              <w:autoSpaceDE w:val="0"/>
              <w:autoSpaceDN w:val="0"/>
              <w:adjustRightInd w:val="0"/>
              <w:spacing w:line="240" w:lineRule="auto"/>
              <w:textAlignment w:val="baseline"/>
              <w:rPr>
                <w:i/>
              </w:rPr>
            </w:pPr>
            <w:hyperlink w:history="1" r:id="rId45">
              <w:r w:rsidR="00381CCE">
                <w:rPr>
                  <w:i/>
                  <w:color w:val="0000FF"/>
                  <w:u w:val="single"/>
                </w:rPr>
                <w:t>Alice.Tetu@eesc.europa.eu</w:t>
              </w:r>
            </w:hyperlink>
          </w:p>
        </w:tc>
      </w:tr>
    </w:tbl>
    <w:p w:rsidR="00254761" w:rsidRDefault="00254761" w14:paraId="603D0B54" w14:textId="77777777">
      <w:pPr>
        <w:spacing w:after="160" w:line="259" w:lineRule="auto"/>
        <w:jc w:val="left"/>
        <w:rPr>
          <w:b/>
          <w:i/>
          <w:sz w:val="28"/>
          <w:szCs w:val="28"/>
          <w:lang w:val="en-GB"/>
        </w:rPr>
      </w:pPr>
    </w:p>
    <w:p w:rsidR="00254761" w:rsidRDefault="00254761" w14:paraId="13016555" w14:textId="77777777">
      <w:pPr>
        <w:spacing w:after="160" w:line="259" w:lineRule="auto"/>
        <w:jc w:val="left"/>
        <w:rPr>
          <w:b/>
          <w:i/>
          <w:sz w:val="28"/>
          <w:szCs w:val="28"/>
        </w:rPr>
      </w:pPr>
      <w:r>
        <w:br w:type="page"/>
      </w:r>
    </w:p>
    <w:p w:rsidRPr="0026311A" w:rsidR="0026311A" w:rsidP="0026311A" w:rsidRDefault="00EE17BB"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6">
        <w:r w:rsidR="00381CCE">
          <w:rPr>
            <w:b/>
            <w:i/>
            <w:color w:val="0000FF"/>
            <w:sz w:val="28"/>
            <w:u w:val="single"/>
          </w:rPr>
          <w:t>Första omnibuspaketet om hållbarhet</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r>
              <w:t xml:space="preserve">Matteo Carlo </w:t>
            </w:r>
            <w:proofErr w:type="spellStart"/>
            <w:r>
              <w:t>Borsani</w:t>
            </w:r>
            <w:proofErr w:type="spellEnd"/>
            <w:r>
              <w:t xml:space="preserve"> (Arbetsgivargruppen –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COM(2025) 81 final</w:t>
            </w:r>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6311A"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26311A" w:rsidRDefault="0026311A" w14:paraId="04E1A8BB"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EESK uppmanar medlagstiftarna att </w:t>
      </w:r>
      <w:r>
        <w:rPr>
          <w:b/>
        </w:rPr>
        <w:t>avsätta tillräckligt med tid för inkluderande samråd med berörda parter och arbetsmarknadens parter.</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Kommittén konstaterar att </w:t>
      </w:r>
      <w:r>
        <w:rPr>
          <w:b/>
        </w:rPr>
        <w:t>i synnerhet små och medelstora företag har svårt att genomföra hållbarhets- och insynsprocesser.</w:t>
      </w:r>
      <w:r>
        <w:t xml:space="preserve"> Såväl små och medelstora företag som revisorer behöver mer stöd för att kunna uppfylla kraven, vilket är avgörande eftersom det är ytterst viktigt att skydda europeiska värden och sociala modeller.</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EESK understryker att företagens tillbörliga aktsamhet är avgörande för att säkerställa </w:t>
      </w:r>
      <w:r>
        <w:rPr>
          <w:b/>
        </w:rPr>
        <w:t>ansvarsfullt företagande och främja hållbara värdekedjor</w:t>
      </w:r>
      <w:r>
        <w:t xml:space="preserve">, och efterlyser </w:t>
      </w:r>
      <w:r>
        <w:rPr>
          <w:b/>
        </w:rPr>
        <w:t>tydliga och proportionella regler och sanktioner</w:t>
      </w:r>
      <w:r>
        <w:t xml:space="preserve">, vilka är avgörande för att företagen ska kunna fullgöra sina skyldigheter på ett ändamålsenligt sätt.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EESK erinrar om kommissionens avsikt att skifta fokus när det gäller vissa skyldigheter avseende tillbörlig aktsamhet, till företagens egen verksamhet samt deras dotterföretags och direkta affärspartners verksamhet, men anser att man bör </w:t>
      </w:r>
      <w:r>
        <w:rPr>
          <w:b/>
        </w:rPr>
        <w:t>överväga ett undantag för företag med färre än 500 anställda som är verksamma i högrisksektorer</w:t>
      </w:r>
      <w:r>
        <w:t xml:space="preserve">, samtidigt som det bör beaktas att </w:t>
      </w:r>
      <w:r>
        <w:rPr>
          <w:b/>
        </w:rPr>
        <w:t>alla företag är skyldiga att respektera de mänskliga rättigheterna</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Kommittén uppmanar lagstiftarna att klargöra att företagen bör vidta </w:t>
      </w:r>
      <w:r>
        <w:rPr>
          <w:b/>
        </w:rPr>
        <w:t>lämpliga åtgärder för att genomföra djupgående bedömningar, på basis av en riskbaserad strategi</w:t>
      </w:r>
      <w:r>
        <w:t xml:space="preserve"> och med vägledning av deras egen kartläggningsverksamhet. EESK uppmanar dessutom medlagstiftarna att ompröva valet av begreppet ”</w:t>
      </w:r>
      <w:r>
        <w:rPr>
          <w:b/>
        </w:rPr>
        <w:t>trovärdig information</w:t>
      </w:r>
      <w:r>
        <w:t>” för att säkerställa större rättssäkerhet.</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EESK beklagar att </w:t>
      </w:r>
      <w:r>
        <w:rPr>
          <w:b/>
        </w:rPr>
        <w:t>de drabbades möjlighet att företrädas av icke-statliga organisationer</w:t>
      </w:r>
      <w:r>
        <w:t xml:space="preserve"> eller fackföreningar i rättsprocesser har tagits bort och uttrycker oro över att detta kan begränsa tillgången till rättslig prövning för berörda individer. EESK uppmuntrar till ytterligare diskussioner om hur man kan säkerställa ett ändamålsenligt rättsligt stöd till de drabbade, särskilt de som har strukturella hinder för att få tillgång till rättsmedel.</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26311A" w:rsidR="0026311A" w:rsidTr="001757A2" w14:paraId="3BE180F7" w14:textId="77777777">
        <w:tc>
          <w:tcPr>
            <w:tcW w:w="1418" w:type="dxa"/>
          </w:tcPr>
          <w:p w:rsidRPr="0026311A" w:rsidR="0026311A" w:rsidP="0026311A" w:rsidRDefault="0026311A" w14:paraId="11A46046"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26311A" w:rsidR="0026311A" w:rsidTr="001757A2" w14:paraId="174E0FA4" w14:textId="77777777">
        <w:tc>
          <w:tcPr>
            <w:tcW w:w="1418" w:type="dxa"/>
          </w:tcPr>
          <w:p w:rsidRPr="0026311A" w:rsidR="0026311A" w:rsidP="0026311A" w:rsidRDefault="0026311A" w14:paraId="551D67C2" w14:textId="77777777">
            <w:pPr>
              <w:overflowPunct w:val="0"/>
              <w:autoSpaceDE w:val="0"/>
              <w:autoSpaceDN w:val="0"/>
              <w:adjustRightInd w:val="0"/>
              <w:spacing w:line="240" w:lineRule="auto"/>
              <w:textAlignment w:val="baseline"/>
              <w:rPr>
                <w:i/>
              </w:rPr>
            </w:pPr>
            <w:r>
              <w:rPr>
                <w:i/>
              </w:rPr>
              <w:t>Tfn</w:t>
            </w:r>
          </w:p>
        </w:tc>
        <w:tc>
          <w:tcPr>
            <w:tcW w:w="5670"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1757A2" w14:paraId="2F97E083" w14:textId="77777777">
        <w:tc>
          <w:tcPr>
            <w:tcW w:w="1418" w:type="dxa"/>
          </w:tcPr>
          <w:p w:rsidRPr="0026311A" w:rsidR="0026311A" w:rsidP="0026311A" w:rsidRDefault="009770F1" w14:paraId="28BABB08" w14:textId="5E7FEE2D">
            <w:pPr>
              <w:overflowPunct w:val="0"/>
              <w:autoSpaceDE w:val="0"/>
              <w:autoSpaceDN w:val="0"/>
              <w:adjustRightInd w:val="0"/>
              <w:spacing w:line="240" w:lineRule="auto"/>
              <w:textAlignment w:val="baseline"/>
              <w:rPr>
                <w:i/>
              </w:rPr>
            </w:pPr>
            <w:r>
              <w:rPr>
                <w:i/>
              </w:rPr>
              <w:t>E-post:</w:t>
            </w:r>
          </w:p>
        </w:tc>
        <w:tc>
          <w:tcPr>
            <w:tcW w:w="5670" w:type="dxa"/>
          </w:tcPr>
          <w:p w:rsidRPr="0026311A" w:rsidR="0026311A" w:rsidP="0026311A" w:rsidRDefault="00EE17BB" w14:paraId="1EA5DB14" w14:textId="77777777">
            <w:pPr>
              <w:overflowPunct w:val="0"/>
              <w:autoSpaceDE w:val="0"/>
              <w:autoSpaceDN w:val="0"/>
              <w:adjustRightInd w:val="0"/>
              <w:spacing w:line="240" w:lineRule="auto"/>
              <w:textAlignment w:val="baseline"/>
              <w:rPr>
                <w:i/>
                <w:iCs/>
              </w:rPr>
            </w:pPr>
            <w:hyperlink w:history="1" r:id="rId47">
              <w:r w:rsidR="00381CCE">
                <w:rPr>
                  <w:i/>
                  <w:color w:val="0000FF"/>
                  <w:u w:val="single"/>
                </w:rPr>
                <w:t>Silvia.Staffa@eesc.europa.eu</w:t>
              </w:r>
            </w:hyperlink>
          </w:p>
          <w:p w:rsidRPr="0026311A"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9"/>
      <w:bookmarkStart w:name="_Toc75527084" w:id="20"/>
      <w:bookmarkStart w:name="_Toc202357651" w:id="21"/>
      <w:r>
        <w:rPr>
          <w:b/>
        </w:rPr>
        <w:lastRenderedPageBreak/>
        <w:t>JORDBRUK, LANDSBYGDSUTVECKLING OCH MILJÖ</w:t>
      </w:r>
      <w:bookmarkEnd w:id="19"/>
      <w:bookmarkEnd w:id="20"/>
      <w:bookmarkEnd w:id="21"/>
    </w:p>
    <w:p w:rsidR="004D7AC0" w:rsidP="004D7AC0" w:rsidRDefault="004D7AC0" w14:paraId="4982DE20" w14:textId="77777777"/>
    <w:p w:rsidRPr="00B60D9A" w:rsidR="006179EF" w:rsidP="006179EF" w:rsidRDefault="00EE17BB" w14:paraId="36F81ECC" w14:textId="6CE12629">
      <w:pPr>
        <w:widowControl w:val="0"/>
        <w:numPr>
          <w:ilvl w:val="0"/>
          <w:numId w:val="18"/>
        </w:numPr>
        <w:overflowPunct w:val="0"/>
        <w:autoSpaceDE w:val="0"/>
        <w:autoSpaceDN w:val="0"/>
        <w:adjustRightInd w:val="0"/>
        <w:ind w:hanging="567"/>
        <w:textAlignment w:val="baseline"/>
        <w:rPr>
          <w:sz w:val="26"/>
          <w:szCs w:val="26"/>
        </w:rPr>
      </w:pPr>
      <w:hyperlink w:history="1" r:id="rId48">
        <w:r w:rsidR="00381CCE">
          <w:rPr>
            <w:b/>
            <w:i/>
            <w:color w:val="0000FF"/>
            <w:sz w:val="26"/>
            <w:u w:val="single"/>
          </w:rPr>
          <w:t>Regenerativt jordbruk som ett mål för att främja hållbar livsmedelsproduktion och ett stöd till klimatmålen och målen för biologisk mångfald</w:t>
        </w:r>
      </w:hyperlink>
    </w:p>
    <w:p w:rsidRPr="006179EF" w:rsidR="000959E6" w:rsidP="00B60D9A" w:rsidRDefault="000959E6" w14:paraId="0DF78EE1" w14:textId="77777777">
      <w:pPr>
        <w:widowControl w:val="0"/>
        <w:overflowPunct w:val="0"/>
        <w:autoSpaceDE w:val="0"/>
        <w:autoSpaceDN w:val="0"/>
        <w:adjustRightInd w:val="0"/>
        <w:ind w:left="284"/>
        <w:textAlignment w:val="baseline"/>
        <w:rPr>
          <w:sz w:val="26"/>
          <w:szCs w:val="26"/>
          <w:lang w:val="en-GB"/>
        </w:rPr>
      </w:pPr>
    </w:p>
    <w:p w:rsidRPr="006179EF" w:rsidR="006179EF" w:rsidP="006179EF" w:rsidRDefault="006179EF" w14:paraId="67C253BF" w14:textId="77777777">
      <w:pPr>
        <w:tabs>
          <w:tab w:val="center" w:pos="284"/>
        </w:tabs>
        <w:overflowPunct w:val="0"/>
        <w:autoSpaceDE w:val="0"/>
        <w:autoSpaceDN w:val="0"/>
        <w:adjustRightInd w:val="0"/>
        <w:ind w:left="266" w:hanging="266"/>
        <w:textAlignment w:val="baseline"/>
        <w:rPr>
          <w:b/>
          <w:sz w:val="12"/>
          <w:szCs w:val="12"/>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179EF" w:rsidR="006179EF" w:rsidTr="001757A2" w14:paraId="6B6F3236" w14:textId="77777777">
        <w:tc>
          <w:tcPr>
            <w:tcW w:w="1148"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(Gruppen för civilsamhällesorganisationer – 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vMerge w:val="restart"/>
          </w:tcPr>
          <w:p w:rsidRPr="006179EF"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Pr>
                <w:b/>
              </w:rPr>
              <w:t>Referensdokument:</w:t>
            </w:r>
          </w:p>
        </w:tc>
        <w:tc>
          <w:tcPr>
            <w:tcW w:w="3852"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Yttrande på eget initiativ</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1757A2" w14:paraId="45A33472" w14:textId="77777777">
        <w:tc>
          <w:tcPr>
            <w:tcW w:w="1148"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6179EF"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419DA6CE"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6179EF" w:rsidR="006D5AE4" w:rsidP="006179EF" w:rsidRDefault="006D5AE4" w14:paraId="76129185" w14:textId="77777777">
      <w:pPr>
        <w:overflowPunct w:val="0"/>
        <w:autoSpaceDE w:val="0"/>
        <w:autoSpaceDN w:val="0"/>
        <w:adjustRightInd w:val="0"/>
        <w:textAlignment w:val="baseline"/>
        <w:rPr>
          <w:bCs/>
          <w:iCs/>
          <w:lang w:val="en-GB"/>
        </w:rPr>
      </w:pPr>
    </w:p>
    <w:p w:rsidRPr="006179EF"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t xml:space="preserve">Regenerativa former av jordbruk kan bidra till en hållbar livsmedelsproduktion och stödja klimatmålen, målen för markhälsa och målen för biologisk mångfald, samtidigt som både jordbrukarnas inkomster och jordbrukets produktivitet och </w:t>
      </w:r>
      <w:proofErr w:type="spellStart"/>
      <w:r>
        <w:t>resiliens</w:t>
      </w:r>
      <w:proofErr w:type="spellEnd"/>
      <w:r>
        <w:t xml:space="preserve"> med avseende på extrema klimathändelser ökar.</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Den nuvarande EU-ramen främjar inte i tillräcklig utsträckning regenerativa former av jordbruk, framför allt inte när det handlar om markhälsa, som måste ses som en kollektiv nyttighet.</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Regenerativt jordbruk kan bidra till ett nytt narrativ för jordbruket som kan stimulera en förnyelse av sektorn, locka ungdomar och nya aktörer och stödja hållbara affärsmodeller och hållbar finansiering.</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EESK efterlyser därför en samsyn på begreppet ”regenerativt jordbruk” och på fördelarna med sådana metoder för samhället som helhet. Vi efterlyser också en anpassning av EU:s regelverk, så att dessa metoder erkänns och ges stöd.</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 xml:space="preserve">Kommittén föreslår en definition som belyser de positiva resultaten av regenerativt jordbruk med avseende på de tre hållbarhetspelarna: ”Regenerativt jordbruk är en anpassningsbar, resultatbaserad jordbruksmetod som tillämpar i praktiken beprövade och vetenskapligt underbyggda metoder med positiva effekter på miljön, jordbrukarnas försörjningsmöjligheter och folkhälsan och som säkerställer </w:t>
      </w:r>
      <w:proofErr w:type="spellStart"/>
      <w:r>
        <w:t>resiliens</w:t>
      </w:r>
      <w:proofErr w:type="spellEnd"/>
      <w:r>
        <w:t xml:space="preserve"> med avseende på avkastning, konkurrenskraft och effektivitet samt sociala resultat.”</w:t>
      </w:r>
    </w:p>
    <w:p w:rsidR="006179EF" w:rsidP="00B60D9A" w:rsidRDefault="006179EF" w14:paraId="04A485E9" w14:textId="5A33661C">
      <w:pPr>
        <w:numPr>
          <w:ilvl w:val="0"/>
          <w:numId w:val="44"/>
        </w:numPr>
        <w:overflowPunct w:val="0"/>
        <w:autoSpaceDE w:val="0"/>
        <w:autoSpaceDN w:val="0"/>
        <w:adjustRightInd w:val="0"/>
        <w:spacing w:line="276" w:lineRule="auto"/>
        <w:ind w:left="284" w:hanging="284"/>
        <w:contextualSpacing/>
        <w:textAlignment w:val="baseline"/>
      </w:pPr>
      <w:r>
        <w:t>Vi föreslår även att resultat- och prestationsbaserade indikatorer på kort och lång sikt som bygger på befintliga kontroll- eller mätsystem används för att anpassa de politiska instrumenten, de finansiella mekanismerna, regelverket och standarderna för leveranskedjor.</w:t>
      </w:r>
    </w:p>
    <w:p w:rsidRPr="00B60D9A" w:rsidR="006179EF" w:rsidP="006D5AE4" w:rsidRDefault="006179EF" w14:paraId="4BAA0B87" w14:textId="77777777">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t>Kommittén uppmanar därför kommissionen och EU:s medlemsstater att skala upp regenerativa former av jordbruk genom att anpassa finansieringen (den gemensamma jordbrukspolitiken, men också andra områden). Det krävs fler åtgärder för markhälsa/marktäckning i de strategiska planerna inom den gemensamma jordbrukspolitiken. Kommissionen och EU:s medlemsstater uppmanas också att förbättra eller aktivera oberoende rådgivningstjänster och nätverk för inbördes stöd, verka för attitydförändringar, genomföra specialinriktade forsknings- och innovationsprojekt, öka investeringsstödet, främja offentlig-privat samarbete, förenkla och anpassa befintliga regelverk och lägga grunden till ett gynnsamt klimat för stimulansåtgärder (särskilt under de första åren av omställningen), stödja kontextspecifika omställningsförsäkringar, säkerställa rättvisa priser för kvalitetsprodukter tack vare en större andel av värdet i den jordbruksbaserade livsmedelskedjan och förbättra villkoren för överlåtelse av mark.</w:t>
      </w:r>
    </w:p>
    <w:p w:rsidRPr="00B60D9A" w:rsidR="004F6E52" w:rsidP="00B60D9A" w:rsidRDefault="004F6E52" w14:paraId="7FF3E47F"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tbl>
      <w:tblPr>
        <w:tblStyle w:val="TableGrid15"/>
        <w:tblpPr w:leftFromText="180" w:rightFromText="180" w:vertAnchor="text" w:horzAnchor="page" w:tblpX="1331" w:tblpY="2728"/>
        <w:tblW w:w="27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6"/>
        <w:gridCol w:w="3788"/>
      </w:tblGrid>
      <w:tr w:rsidRPr="006179EF" w:rsidR="00F67691" w:rsidTr="00B93AAC" w14:paraId="2924A2C9" w14:textId="77777777">
        <w:tc>
          <w:tcPr>
            <w:tcW w:w="1282" w:type="pct"/>
          </w:tcPr>
          <w:p w:rsidRPr="00B60D9A" w:rsidR="00F67691" w:rsidP="00B93AAC" w:rsidRDefault="00F67691" w14:paraId="3670C4F9" w14:textId="77777777">
            <w:pPr>
              <w:overflowPunct w:val="0"/>
              <w:autoSpaceDE w:val="0"/>
              <w:autoSpaceDN w:val="0"/>
              <w:adjustRightInd w:val="0"/>
              <w:spacing w:line="240" w:lineRule="auto"/>
              <w:ind w:left="-536" w:firstLine="536"/>
              <w:textAlignment w:val="baseline"/>
              <w:rPr>
                <w:i/>
              </w:rPr>
            </w:pPr>
            <w:r>
              <w:rPr>
                <w:b/>
                <w:i/>
              </w:rPr>
              <w:lastRenderedPageBreak/>
              <w:t xml:space="preserve">Kontaktperson: </w:t>
            </w:r>
          </w:p>
        </w:tc>
        <w:tc>
          <w:tcPr>
            <w:tcW w:w="3718" w:type="pct"/>
          </w:tcPr>
          <w:p w:rsidRPr="00B60D9A" w:rsidR="00F67691" w:rsidP="00B93AAC" w:rsidRDefault="00F67691" w14:paraId="1F4159F4" w14:textId="77777777">
            <w:pPr>
              <w:overflowPunct w:val="0"/>
              <w:autoSpaceDE w:val="0"/>
              <w:autoSpaceDN w:val="0"/>
              <w:adjustRightInd w:val="0"/>
              <w:spacing w:line="240" w:lineRule="auto"/>
              <w:ind w:left="-536" w:firstLine="536"/>
              <w:textAlignment w:val="baseline"/>
              <w:rPr>
                <w:i/>
              </w:rPr>
            </w:pPr>
            <w:r>
              <w:rPr>
                <w:i/>
              </w:rPr>
              <w:t xml:space="preserve">Martine </w:t>
            </w:r>
            <w:proofErr w:type="spellStart"/>
            <w:r>
              <w:rPr>
                <w:i/>
              </w:rPr>
              <w:t>Delanoy</w:t>
            </w:r>
            <w:proofErr w:type="spellEnd"/>
          </w:p>
        </w:tc>
      </w:tr>
      <w:tr w:rsidRPr="006179EF" w:rsidR="00F67691" w:rsidTr="00B93AAC" w14:paraId="00B2137F" w14:textId="77777777">
        <w:tc>
          <w:tcPr>
            <w:tcW w:w="1282" w:type="pct"/>
          </w:tcPr>
          <w:p w:rsidRPr="00B60D9A" w:rsidR="00F67691" w:rsidP="00B93AAC" w:rsidRDefault="00F67691" w14:paraId="7D85B4E2" w14:textId="77777777">
            <w:pPr>
              <w:overflowPunct w:val="0"/>
              <w:autoSpaceDE w:val="0"/>
              <w:autoSpaceDN w:val="0"/>
              <w:adjustRightInd w:val="0"/>
              <w:spacing w:line="240" w:lineRule="auto"/>
              <w:ind w:left="-536" w:firstLine="536"/>
              <w:textAlignment w:val="baseline"/>
              <w:rPr>
                <w:i/>
              </w:rPr>
            </w:pPr>
            <w:r>
              <w:rPr>
                <w:i/>
              </w:rPr>
              <w:t>Tfn</w:t>
            </w:r>
          </w:p>
        </w:tc>
        <w:tc>
          <w:tcPr>
            <w:tcW w:w="3718" w:type="pct"/>
          </w:tcPr>
          <w:p w:rsidRPr="00B60D9A" w:rsidR="00F67691" w:rsidP="00B93AAC" w:rsidRDefault="00F67691" w14:paraId="0D794754" w14:textId="77777777">
            <w:pPr>
              <w:overflowPunct w:val="0"/>
              <w:autoSpaceDE w:val="0"/>
              <w:autoSpaceDN w:val="0"/>
              <w:adjustRightInd w:val="0"/>
              <w:spacing w:line="240" w:lineRule="auto"/>
              <w:ind w:left="-536" w:firstLine="536"/>
              <w:textAlignment w:val="baseline"/>
              <w:rPr>
                <w:i/>
              </w:rPr>
            </w:pPr>
            <w:r>
              <w:rPr>
                <w:i/>
              </w:rPr>
              <w:t>+32 25469802</w:t>
            </w:r>
          </w:p>
        </w:tc>
      </w:tr>
      <w:tr w:rsidRPr="006179EF" w:rsidR="00F67691" w:rsidTr="00B93AAC" w14:paraId="6D71DBF8" w14:textId="77777777">
        <w:tc>
          <w:tcPr>
            <w:tcW w:w="1282" w:type="pct"/>
          </w:tcPr>
          <w:p w:rsidRPr="00B60D9A" w:rsidR="00F67691" w:rsidP="00B93AAC" w:rsidRDefault="00F67691" w14:paraId="4AA2A888" w14:textId="77777777">
            <w:pPr>
              <w:overflowPunct w:val="0"/>
              <w:autoSpaceDE w:val="0"/>
              <w:autoSpaceDN w:val="0"/>
              <w:adjustRightInd w:val="0"/>
              <w:spacing w:line="240" w:lineRule="auto"/>
              <w:ind w:left="-536" w:firstLine="536"/>
              <w:textAlignment w:val="baseline"/>
              <w:rPr>
                <w:i/>
              </w:rPr>
            </w:pPr>
            <w:r>
              <w:rPr>
                <w:i/>
              </w:rPr>
              <w:t>E-post:</w:t>
            </w:r>
          </w:p>
        </w:tc>
        <w:tc>
          <w:tcPr>
            <w:tcW w:w="3718" w:type="pct"/>
          </w:tcPr>
          <w:p w:rsidRPr="006D5AE4" w:rsidR="00F67691" w:rsidP="00B93AAC" w:rsidRDefault="00EE17BB" w14:paraId="5D28487D" w14:textId="77777777">
            <w:pPr>
              <w:overflowPunct w:val="0"/>
              <w:autoSpaceDE w:val="0"/>
              <w:autoSpaceDN w:val="0"/>
              <w:adjustRightInd w:val="0"/>
              <w:spacing w:line="240" w:lineRule="auto"/>
              <w:ind w:left="-536" w:firstLine="536"/>
              <w:textAlignment w:val="baseline"/>
              <w:rPr>
                <w:i/>
              </w:rPr>
            </w:pPr>
            <w:hyperlink w:history="1" r:id="rId49">
              <w:r w:rsidR="00F67691">
                <w:rPr>
                  <w:i/>
                  <w:color w:val="0000FF"/>
                  <w:u w:val="single"/>
                </w:rPr>
                <w:t>Martine.Delanoy@eesc.europa.eu</w:t>
              </w:r>
            </w:hyperlink>
            <w:r w:rsidR="00F67691">
              <w:rPr>
                <w:i/>
              </w:rPr>
              <w:t xml:space="preserve"> </w:t>
            </w:r>
          </w:p>
        </w:tc>
      </w:tr>
    </w:tbl>
    <w:p w:rsidR="00055407" w:rsidRDefault="00055407" w14:paraId="20B8A69F" w14:textId="7F6D1EF8">
      <w:pPr>
        <w:spacing w:after="160" w:line="259" w:lineRule="auto"/>
        <w:jc w:val="left"/>
        <w:rPr>
          <w:rFonts w:ascii="Calibri" w:hAnsi="Calibri"/>
        </w:rPr>
      </w:pPr>
      <w:r>
        <w:br w:type="page"/>
      </w:r>
    </w:p>
    <w:p w:rsidR="006179EF" w:rsidRDefault="006179EF" w14:paraId="4982DE45" w14:textId="57D67DB9">
      <w:pPr>
        <w:spacing w:after="160" w:line="259" w:lineRule="auto"/>
        <w:jc w:val="left"/>
      </w:pPr>
    </w:p>
    <w:p w:rsidR="007F5784" w:rsidP="007F5784" w:rsidRDefault="007F5784" w14:paraId="14026A78" w14:textId="4FAE1588">
      <w:pPr>
        <w:pStyle w:val="Heading1"/>
        <w:rPr>
          <w:b/>
        </w:rPr>
      </w:pPr>
      <w:bookmarkStart w:name="_Toc202357652" w:id="22"/>
      <w:r>
        <w:rPr>
          <w:b/>
        </w:rPr>
        <w:t>YTTRE FÖRBINDELSER</w:t>
      </w:r>
      <w:bookmarkEnd w:id="22"/>
    </w:p>
    <w:p w:rsidR="007F5784" w:rsidP="007F5784" w:rsidRDefault="007F5784" w14:paraId="3BBB3E68" w14:textId="77777777"/>
    <w:p w:rsidRPr="006179EF" w:rsidR="006179EF" w:rsidP="006179EF" w:rsidRDefault="006179EF" w14:paraId="276A5E66" w14:textId="5AA2032A">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"https://www.eesc.europa.eu/sv/our-work/opinions-information-reports/opinions/fragmentation-supply-chains-and-impact-cost-living"</w:instrText>
      </w:r>
      <w:r w:rsidRPr="006179EF">
        <w:rPr>
          <w:b/>
          <w:i/>
          <w:sz w:val="28"/>
        </w:rPr>
        <w:fldChar w:fldCharType="separate"/>
      </w:r>
      <w:r>
        <w:rPr>
          <w:b/>
          <w:i/>
          <w:color w:val="0000FF"/>
          <w:sz w:val="28"/>
          <w:u w:val="single"/>
        </w:rPr>
        <w:t>Fragmentering av försörjningskedjorna och konsekvenserna för levnadskostnaderna</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Föredragande:</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Pr>
                <w:b/>
              </w:rPr>
              <w:t>Medföredragande:</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r>
              <w:t xml:space="preserve">Dimitris </w:t>
            </w:r>
            <w:proofErr w:type="spellStart"/>
            <w:r>
              <w:t>Dimitriadis</w:t>
            </w:r>
            <w:proofErr w:type="spellEnd"/>
            <w:r>
              <w:t xml:space="preserve"> (Arbetsgivargruppen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proofErr w:type="spellStart"/>
            <w:r>
              <w:t>Anastasis</w:t>
            </w:r>
            <w:proofErr w:type="spellEnd"/>
            <w:r>
              <w:t xml:space="preserve"> </w:t>
            </w:r>
            <w:proofErr w:type="spellStart"/>
            <w:r>
              <w:t>Yiapanis</w:t>
            </w:r>
            <w:proofErr w:type="spellEnd"/>
            <w:r>
              <w:t xml:space="preserve"> (Gruppen för civilsamhällesorganisationer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Pr>
                <w:b/>
              </w:rPr>
              <w:t>Referensdokument:</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Yttrande på eget initiativ</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Vi betonar att </w:t>
      </w:r>
      <w:r>
        <w:rPr>
          <w:b/>
        </w:rPr>
        <w:t>EU måste minska importberoendet</w:t>
      </w:r>
      <w:r>
        <w:t xml:space="preserve">, särskilt när det gäller kritiska varor som läkemedel och halvledare, och </w:t>
      </w:r>
      <w:r>
        <w:rPr>
          <w:b/>
        </w:rPr>
        <w:t>diversifiera leveranskedjorna</w:t>
      </w:r>
      <w:r>
        <w:t xml:space="preserve"> genom att öka antalet </w:t>
      </w:r>
      <w:r>
        <w:rPr>
          <w:b/>
        </w:rPr>
        <w:t>internationella partnerskap</w:t>
      </w:r>
      <w:r>
        <w:t>.</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Vi betonar det akuta behovet av </w:t>
      </w:r>
      <w:r>
        <w:rPr>
          <w:b/>
        </w:rPr>
        <w:t>riktade investeringar i strategisk industri och infrastruktur</w:t>
      </w:r>
      <w:r>
        <w:t xml:space="preserve"> för att stärka den ekonomiska </w:t>
      </w:r>
      <w:proofErr w:type="spellStart"/>
      <w:r>
        <w:t>resiliensen</w:t>
      </w:r>
      <w:proofErr w:type="spellEnd"/>
      <w:r>
        <w:t xml:space="preserve"> och </w:t>
      </w:r>
      <w:r>
        <w:rPr>
          <w:b/>
        </w:rPr>
        <w:t>överbrygga produktivitetsklyftorna</w:t>
      </w:r>
      <w:r>
        <w:t xml:space="preserve"> bland europeiska producenter. Sådana investeringar bör ingå i en väl samordnad och omfattande industripolitik med lämplig finansiering.</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Vi rekommenderar att </w:t>
      </w:r>
      <w:r>
        <w:rPr>
          <w:b/>
        </w:rPr>
        <w:t>utvidga handelsavtalen</w:t>
      </w:r>
      <w:r>
        <w:t xml:space="preserve"> till nya och tillförlitliga partner, särskilt i det globala Syd, och förespråkar att </w:t>
      </w:r>
      <w:r>
        <w:rPr>
          <w:b/>
        </w:rPr>
        <w:t>höja lagstiftningens effektivitet</w:t>
      </w:r>
      <w:r>
        <w:t xml:space="preserve"> genom att harmonisera EU:s komplexa ramar och samtidigt </w:t>
      </w:r>
      <w:r>
        <w:rPr>
          <w:b/>
        </w:rPr>
        <w:t>upprätthålla höga standarder</w:t>
      </w:r>
      <w:r>
        <w: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EU måste därför fortsätta främja </w:t>
      </w:r>
      <w:r>
        <w:rPr>
          <w:b/>
        </w:rPr>
        <w:t>bindande och genomförbara kapitel om handel och hållbar utveckling</w:t>
      </w:r>
      <w:r>
        <w:t xml:space="preserve"> för att skydda EU:s marknader mot illojal konkurrens till följd av lägre globala produktionsstandarder.</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Vi efterlyser </w:t>
      </w:r>
      <w:r>
        <w:rPr>
          <w:b/>
        </w:rPr>
        <w:t>bättre mekanismer för ekonomiskt och tekniskt stöd för att hjälpa mikroföretag och små och medelstora företag</w:t>
      </w:r>
      <w:r>
        <w:t xml:space="preserve"> att diversifiera sina leverantörer, införa hållbara affärsmodeller och effektivt hantera komplexiteten i lagstiftningen.</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Vi betonar vikten av </w:t>
      </w:r>
      <w:r>
        <w:rPr>
          <w:b/>
        </w:rPr>
        <w:t>ökade investeringar i FoU</w:t>
      </w:r>
      <w:r>
        <w:t xml:space="preserve"> för högteknologiska industrier och hållbar tillverkning, inbegripet </w:t>
      </w:r>
      <w:r>
        <w:rPr>
          <w:b/>
        </w:rPr>
        <w:t>ökad användning av artificiell intelligens</w:t>
      </w:r>
      <w:r>
        <w:t xml:space="preserve"> och blockkedjeteknik för att optimera hanteringen av leveranskedjorna.</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 xml:space="preserve">Vi understryker behovet av </w:t>
      </w:r>
      <w:r>
        <w:rPr>
          <w:b/>
        </w:rPr>
        <w:t>riktade utbildnings- och fortbildningsprogram</w:t>
      </w:r>
      <w:r>
        <w:t xml:space="preserve"> för att främja kompetenshöjning, </w:t>
      </w:r>
      <w:r>
        <w:rPr>
          <w:b/>
        </w:rPr>
        <w:t>uppmuntra arbetskraftens rörlighet</w:t>
      </w:r>
      <w:r>
        <w:t xml:space="preserve"> på den inre marknaden och </w:t>
      </w:r>
      <w:r>
        <w:rPr>
          <w:b/>
        </w:rPr>
        <w:t>locka till sig och behålla talanger</w:t>
      </w:r>
      <w:r>
        <w:t xml:space="preserve">, i syfte att </w:t>
      </w:r>
      <w:r>
        <w:rPr>
          <w:b/>
        </w:rPr>
        <w:t>stärka innovationsförmågan</w:t>
      </w:r>
      <w:r>
        <w:t>.</w:t>
      </w:r>
    </w:p>
    <w:p w:rsidRPr="006179EF" w:rsidR="006179EF" w:rsidP="006179EF" w:rsidRDefault="006179EF" w14:paraId="296C56EB" w14:textId="77777777">
      <w:pPr>
        <w:widowControl w:val="0"/>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6179EF" w:rsidTr="001757A2" w14:paraId="679F4C15" w14:textId="77777777">
        <w:tc>
          <w:tcPr>
            <w:tcW w:w="1556" w:type="pct"/>
          </w:tcPr>
          <w:p w:rsidRPr="006179EF" w:rsidR="006179EF" w:rsidP="006179EF" w:rsidRDefault="006179EF" w14:paraId="3C4F2FD1"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 xml:space="preserve">Marco </w:t>
            </w:r>
            <w:proofErr w:type="spellStart"/>
            <w:r>
              <w:rPr>
                <w:i/>
              </w:rPr>
              <w:t>Ristori</w:t>
            </w:r>
            <w:proofErr w:type="spellEnd"/>
          </w:p>
        </w:tc>
      </w:tr>
      <w:tr w:rsidRPr="006179EF" w:rsidR="006179EF" w:rsidTr="001757A2" w14:paraId="7E487032" w14:textId="77777777">
        <w:tc>
          <w:tcPr>
            <w:tcW w:w="1556" w:type="pct"/>
          </w:tcPr>
          <w:p w:rsidRPr="006179EF" w:rsidR="006179EF" w:rsidP="006179EF" w:rsidRDefault="006179EF" w14:paraId="6536B2B2" w14:textId="77777777">
            <w:pPr>
              <w:overflowPunct w:val="0"/>
              <w:autoSpaceDE w:val="0"/>
              <w:autoSpaceDN w:val="0"/>
              <w:adjustRightInd w:val="0"/>
              <w:spacing w:line="240" w:lineRule="auto"/>
              <w:textAlignment w:val="baseline"/>
              <w:rPr>
                <w:i/>
              </w:rPr>
            </w:pPr>
            <w:r>
              <w:rPr>
                <w:i/>
              </w:rPr>
              <w:t>Tfn</w:t>
            </w:r>
          </w:p>
        </w:tc>
        <w:tc>
          <w:tcPr>
            <w:tcW w:w="3444"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E-post:</w:t>
            </w:r>
          </w:p>
        </w:tc>
        <w:tc>
          <w:tcPr>
            <w:tcW w:w="3444" w:type="pct"/>
          </w:tcPr>
          <w:p w:rsidRPr="006179EF" w:rsidR="006179EF" w:rsidP="006179EF" w:rsidRDefault="00EE17BB" w14:paraId="2C3E3001" w14:textId="77777777">
            <w:pPr>
              <w:overflowPunct w:val="0"/>
              <w:autoSpaceDE w:val="0"/>
              <w:autoSpaceDN w:val="0"/>
              <w:adjustRightInd w:val="0"/>
              <w:spacing w:line="240" w:lineRule="auto"/>
              <w:textAlignment w:val="baseline"/>
              <w:rPr>
                <w:i/>
              </w:rPr>
            </w:pPr>
            <w:hyperlink w:history="1" r:id="rId50">
              <w:r w:rsidR="00381CCE">
                <w:rPr>
                  <w:i/>
                  <w:color w:val="0000FF"/>
                  <w:u w:val="single"/>
                </w:rPr>
                <w:t>Marco.Ristori@eesc.europa.eu</w:t>
              </w:r>
            </w:hyperlink>
          </w:p>
        </w:tc>
      </w:tr>
    </w:tbl>
    <w:p w:rsidR="00055407" w:rsidP="006179EF" w:rsidRDefault="00055407" w14:paraId="1955FA32" w14:textId="0F805188">
      <w:pPr>
        <w:ind w:left="710"/>
        <w:rPr>
          <w:b/>
          <w:i/>
          <w:sz w:val="28"/>
          <w:szCs w:val="28"/>
          <w:lang w:val="en-GB"/>
        </w:rPr>
      </w:pPr>
    </w:p>
    <w:p w:rsidR="00055407" w:rsidRDefault="00055407" w14:paraId="48C49104" w14:textId="77777777">
      <w:pPr>
        <w:spacing w:after="160" w:line="259" w:lineRule="auto"/>
        <w:jc w:val="left"/>
        <w:rPr>
          <w:b/>
          <w:i/>
          <w:sz w:val="28"/>
          <w:szCs w:val="28"/>
        </w:rPr>
      </w:pPr>
      <w:r>
        <w:br w:type="page"/>
      </w:r>
    </w:p>
    <w:p w:rsidR="00AE7912" w:rsidRDefault="00AE7912" w14:paraId="3ADE613E" w14:textId="682BD48C">
      <w:pPr>
        <w:spacing w:after="160" w:line="259" w:lineRule="auto"/>
        <w:jc w:val="left"/>
      </w:pPr>
    </w:p>
    <w:p w:rsidRPr="00AE7912" w:rsidR="00AE7912" w:rsidP="00AE7912" w:rsidRDefault="00EE17BB"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1">
        <w:r w:rsidR="00381CCE">
          <w:rPr>
            <w:b/>
            <w:i/>
            <w:color w:val="0000FF"/>
            <w:sz w:val="28"/>
            <w:u w:val="single"/>
          </w:rPr>
          <w:t>Situationen för det civila samhällets organisationer i Aseanländerna</w:t>
        </w:r>
      </w:hyperlink>
    </w:p>
    <w:p w:rsidRPr="00AE7912" w:rsidR="00AE7912" w:rsidP="00AE7912" w:rsidRDefault="00AE7912" w14:paraId="5975EE80" w14:textId="77777777">
      <w:pPr>
        <w:widowControl w:val="0"/>
        <w:overflowPunct w:val="0"/>
        <w:autoSpaceDE w:val="0"/>
        <w:autoSpaceDN w:val="0"/>
        <w:adjustRightInd w:val="0"/>
        <w:ind w:left="567"/>
        <w:jc w:val="left"/>
        <w:textAlignment w:val="baseline"/>
        <w:rPr>
          <w:sz w:val="20"/>
          <w:szCs w:val="20"/>
          <w:lang w:val="en-GB"/>
        </w:rPr>
      </w:pPr>
    </w:p>
    <w:p w:rsidRPr="00AE7912" w:rsidR="00AE7912" w:rsidP="00AE7912" w:rsidRDefault="00AE7912" w14:paraId="1C4B8C34" w14:textId="77777777">
      <w:pPr>
        <w:widowControl w:val="0"/>
        <w:overflowPunct w:val="0"/>
        <w:autoSpaceDE w:val="0"/>
        <w:autoSpaceDN w:val="0"/>
        <w:adjustRightInd w:val="0"/>
        <w:jc w:val="left"/>
        <w:textAlignment w:val="baseline"/>
        <w:rPr>
          <w:sz w:val="20"/>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Föredragande:</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Erika Koller (Arbetstagargruppen – HU)</w:t>
            </w:r>
          </w:p>
          <w:p w:rsidRPr="00AE7912" w:rsidR="004F6E52" w:rsidP="00AE7912" w:rsidRDefault="004F6E52" w14:paraId="702C7FF4" w14:textId="5C863D55">
            <w:pPr>
              <w:tabs>
                <w:tab w:val="center" w:pos="2585"/>
              </w:tabs>
              <w:overflowPunct w:val="0"/>
              <w:autoSpaceDE w:val="0"/>
              <w:autoSpaceDN w:val="0"/>
              <w:adjustRightInd w:val="0"/>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Pr>
                <w:b/>
              </w:rPr>
              <w:t>Referensdokument:</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Informationsrapport</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 xml:space="preserve">Syftet med denna rapport är att belysa utvecklingen av förbindelserna mellan Sydostasiatiska nationers förbund (Asean) och Europeiska unionen (EU), särskilt när det gäller rollen för det civila samhället och hållbar utveckling inom ramen för handel och politiskt samarbete.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De båda regionerna har mer gemensamt än vad som ofta erkänns. Ett meningsfullt partnerskap mellan EU och Asean, som bygger på principbaserat samarbete och respekt för varandras politiska synsätt, fungerar som en stabiliserande kraft i en alltmer instabil global miljö. Gemensamt stöd för den regelbaserade multilaterala ordningen förenar dem, liksom ett åtagande för fred och utveckling.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Förbindelserna mellan EU och Asean följer en etablerad rytm med årliga möten och arbetsgrupper, inklusive en gemensam kommitté som bidrar till ministerdialoger på högre nivå och industriellt samarbete via specialiserade forum.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Det civila samhället spelar en avgörande roll för att främja interregionalt samarbete, särskilt när det gäller att uppmuntra deltagandebaserade politiska processer och stödja konsolideringsinsatser mellan regionerna. För likasinnade länder är det viktigt att erkänna Sydostasiens invecklade politiska, sociala och kulturella förhållanden, som kan skilja sig avsevärt från de europeiska förväntningarna. Att överbrygga dessa skillnader är avgörande för att skapa en institutionaliserad, öppen och inkluderande dialog med ett meningsfullt deltagande av det civila samhället. En sådan dialog innebär att man omprövar strategier för engagemang och lokala förhållanden och ser till att marginaliserade röster inkluderas, särskilt gräsrotsorganisationer, kvinnor, etniska minoriteter, urfolk och ungdomar. Den förutsätter dock också en noggrann bedömning när man ingår partnerskap med organisationer i det civila samhället.</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AE7912" w:rsidR="00AE7912" w:rsidTr="001757A2" w14:paraId="17A93B18" w14:textId="77777777">
        <w:tc>
          <w:tcPr>
            <w:tcW w:w="1418" w:type="dxa"/>
          </w:tcPr>
          <w:p w:rsidRPr="00AE7912" w:rsidR="00AE7912" w:rsidP="00AE7912" w:rsidRDefault="00AE7912" w14:paraId="65FD52C7" w14:textId="77777777">
            <w:pPr>
              <w:overflowPunct w:val="0"/>
              <w:autoSpaceDE w:val="0"/>
              <w:autoSpaceDN w:val="0"/>
              <w:adjustRightInd w:val="0"/>
              <w:textAlignment w:val="baseline"/>
              <w:rPr>
                <w:i/>
                <w:szCs w:val="24"/>
              </w:rPr>
            </w:pPr>
            <w:r>
              <w:rPr>
                <w:b/>
                <w:i/>
              </w:rPr>
              <w:t>Kontaktperson:</w:t>
            </w:r>
          </w:p>
        </w:tc>
        <w:tc>
          <w:tcPr>
            <w:tcW w:w="5670" w:type="dxa"/>
          </w:tcPr>
          <w:p w:rsidRPr="00B60D9A" w:rsidR="00AE7912" w:rsidP="00AE7912" w:rsidRDefault="00AE7912" w14:paraId="425D7DA0" w14:textId="77777777">
            <w:pPr>
              <w:overflowPunct w:val="0"/>
              <w:autoSpaceDE w:val="0"/>
              <w:autoSpaceDN w:val="0"/>
              <w:adjustRightInd w:val="0"/>
              <w:textAlignment w:val="baseline"/>
              <w:rPr>
                <w:i/>
                <w:szCs w:val="24"/>
              </w:rPr>
            </w:pPr>
            <w:r>
              <w:rPr>
                <w:i/>
              </w:rPr>
              <w:t xml:space="preserve">Gunilla </w:t>
            </w:r>
            <w:proofErr w:type="spellStart"/>
            <w:r>
              <w:rPr>
                <w:i/>
              </w:rPr>
              <w:t>Fèvre-Burdy</w:t>
            </w:r>
            <w:proofErr w:type="spellEnd"/>
          </w:p>
        </w:tc>
      </w:tr>
      <w:tr w:rsidRPr="00AE7912" w:rsidR="00AE7912" w:rsidTr="001757A2" w14:paraId="053D8F5C" w14:textId="77777777">
        <w:tc>
          <w:tcPr>
            <w:tcW w:w="1418" w:type="dxa"/>
          </w:tcPr>
          <w:p w:rsidRPr="00AE7912" w:rsidR="00AE7912" w:rsidP="00AE7912" w:rsidRDefault="00AE7912" w14:paraId="524CC4A2" w14:textId="77777777">
            <w:pPr>
              <w:overflowPunct w:val="0"/>
              <w:autoSpaceDE w:val="0"/>
              <w:autoSpaceDN w:val="0"/>
              <w:adjustRightInd w:val="0"/>
              <w:textAlignment w:val="baseline"/>
              <w:rPr>
                <w:i/>
                <w:szCs w:val="24"/>
              </w:rPr>
            </w:pPr>
            <w:r>
              <w:rPr>
                <w:i/>
              </w:rPr>
              <w:t>Tfn</w:t>
            </w:r>
          </w:p>
        </w:tc>
        <w:tc>
          <w:tcPr>
            <w:tcW w:w="5670"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1757A2" w14:paraId="782EE881" w14:textId="77777777">
        <w:tc>
          <w:tcPr>
            <w:tcW w:w="1418"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E-post:</w:t>
            </w:r>
          </w:p>
        </w:tc>
        <w:tc>
          <w:tcPr>
            <w:tcW w:w="5670" w:type="dxa"/>
          </w:tcPr>
          <w:p w:rsidRPr="00AE7912" w:rsidR="00AE7912" w:rsidP="00AE7912" w:rsidRDefault="00EE17BB" w14:paraId="22B44104" w14:textId="77777777">
            <w:pPr>
              <w:overflowPunct w:val="0"/>
              <w:autoSpaceDE w:val="0"/>
              <w:autoSpaceDN w:val="0"/>
              <w:adjustRightInd w:val="0"/>
              <w:textAlignment w:val="baseline"/>
              <w:rPr>
                <w:i/>
                <w:color w:val="0000FF"/>
                <w:szCs w:val="24"/>
                <w:u w:val="single"/>
              </w:rPr>
            </w:pPr>
            <w:hyperlink w:history="1" r:id="rId52">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357653" w:id="23"/>
      <w:r>
        <w:rPr>
          <w:b/>
          <w:color w:val="222A35" w:themeColor="text2" w:themeShade="80"/>
        </w:rPr>
        <w:lastRenderedPageBreak/>
        <w:t>RÅDGIVANDE UTSKOTTET FÖR INDUSTRIELL OMVANDLING</w:t>
      </w:r>
      <w:bookmarkEnd w:id="23"/>
    </w:p>
    <w:p w:rsidRPr="00B60D9A" w:rsidR="006D2C8A" w:rsidP="006D2C8A" w:rsidRDefault="006D2C8A" w14:paraId="713E272F" w14:textId="77777777">
      <w:pPr>
        <w:rPr>
          <w:sz w:val="18"/>
          <w:szCs w:val="18"/>
        </w:rPr>
      </w:pPr>
    </w:p>
    <w:p w:rsidRPr="001E19E2" w:rsidR="001E19E2" w:rsidP="001E19E2" w:rsidRDefault="00EE17BB"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3">
        <w:r w:rsidR="001E19E2">
          <w:rPr>
            <w:b/>
            <w:i/>
            <w:color w:val="0000FF"/>
            <w:sz w:val="28"/>
            <w:u w:val="single"/>
          </w:rPr>
          <w:t>Återindustrialisering av EU – en möjlighet för företag, anställda och medborgare mot bakgrund av krisen med ökade levnadskostnader</w:t>
        </w:r>
      </w:hyperlink>
    </w:p>
    <w:p w:rsidRPr="00B60D9A"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Föredragande:</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 xml:space="preserve">Andrés </w:t>
            </w:r>
            <w:proofErr w:type="spellStart"/>
            <w:r>
              <w:t>Barceló</w:t>
            </w:r>
            <w:proofErr w:type="spellEnd"/>
            <w:r>
              <w:t xml:space="preserve"> Delgado (Arbetsgivargruppen–ES)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Pr>
                <w:b/>
              </w:rPr>
              <w:t>Medföredragande:</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r>
              <w:t>Monika </w:t>
            </w:r>
            <w:proofErr w:type="spellStart"/>
            <w:r>
              <w:t>Sitárová</w:t>
            </w:r>
            <w:proofErr w:type="spellEnd"/>
            <w:r>
              <w:t xml:space="preserve"> (Kat. 2–SK)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Pr>
                <w:b/>
              </w:rPr>
              <w:t>Referensdokument:</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Yttrande på eget initiativ</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E19E2"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EE17BB" w14:paraId="531504B8" w14:textId="77777777">
      <w:pPr>
        <w:keepNext/>
        <w:keepLines/>
        <w:tabs>
          <w:tab w:val="center" w:pos="0"/>
        </w:tabs>
        <w:overflowPunct w:val="0"/>
        <w:autoSpaceDE w:val="0"/>
        <w:autoSpaceDN w:val="0"/>
        <w:adjustRightInd w:val="0"/>
        <w:textAlignment w:val="baseline"/>
        <w:rPr>
          <w:b/>
        </w:rPr>
      </w:pPr>
      <w:hyperlink w:history="1" r:id="rId54">
        <w:r w:rsidR="001E19E2">
          <w:rPr>
            <w:color w:val="0000FF"/>
            <w:u w:val="single"/>
          </w:rPr>
          <w:t xml:space="preserve">EU:s </w:t>
        </w:r>
        <w:proofErr w:type="spellStart"/>
        <w:r w:rsidR="001E19E2">
          <w:rPr>
            <w:color w:val="0000FF"/>
            <w:u w:val="single"/>
          </w:rPr>
          <w:t>ungdomstest</w:t>
        </w:r>
        <w:proofErr w:type="spellEnd"/>
        <w:r w:rsidR="001E19E2">
          <w:rPr>
            <w:color w:val="0000FF"/>
            <w:u w:val="single"/>
          </w:rPr>
          <w:t xml:space="preserve"> vid EESK</w:t>
        </w:r>
      </w:hyperlink>
      <w:r w:rsidR="001E19E2">
        <w:t xml:space="preserve"> tillämpades på detta yttrande. Ungdomsforumet för Östersjöregionen valdes ut av en grupp intresserade ungdomsorganisationer för att företräda dem i samband med utarbetandet av yttrandet.</w:t>
      </w:r>
    </w:p>
    <w:p w:rsidRPr="001E19E2"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 xml:space="preserve">Europeiska ekonomiska och sociala kommittén (EESK) välkomnar </w:t>
      </w:r>
      <w:r>
        <w:rPr>
          <w:b/>
        </w:rPr>
        <w:t>kommissionens initiativ ”konkurrenskraftskompassen”</w:t>
      </w:r>
      <w:r>
        <w:t xml:space="preserve">, som är inriktat på att </w:t>
      </w:r>
      <w:r>
        <w:rPr>
          <w:b/>
        </w:rPr>
        <w:t>förbättra EU-ekonomins konkurrenskraft i syfte att minska avståndet till USA och Asien i detta avseende</w:t>
      </w:r>
      <w:r>
        <w:t>. Utvecklingen av kompassen måste inbegripa tydliga resultatmått för att göra det möjligt för EU:s institutioner och intressenter att övervaka uppnåendet av varje uppgift som ingår i kompassen.</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EESK vill </w:t>
      </w:r>
      <w:r>
        <w:rPr>
          <w:b/>
        </w:rPr>
        <w:t>att kommissionen garanterar att handlingsplanen för överkomliga energipriser leder till en tryggad elförsörjning med stabila, konkurrenskraftiga och förutsägbara priser.</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 xml:space="preserve">Kommittén betonar att </w:t>
      </w:r>
      <w:r>
        <w:rPr>
          <w:b/>
        </w:rPr>
        <w:t>öppet strategiskt oberoende måste stå i centrum för återindustrialiseringsprocessen</w:t>
      </w:r>
      <w:r>
        <w:t xml:space="preserve">, med säkrad </w:t>
      </w:r>
      <w:r>
        <w:rPr>
          <w:b/>
        </w:rPr>
        <w:t xml:space="preserve">tillgång till råvaror, diversifiering av källorna och en mer </w:t>
      </w:r>
      <w:proofErr w:type="spellStart"/>
      <w:r>
        <w:rPr>
          <w:b/>
        </w:rPr>
        <w:t>resilient</w:t>
      </w:r>
      <w:proofErr w:type="spellEnd"/>
      <w:r>
        <w:rPr>
          <w:b/>
        </w:rPr>
        <w:t xml:space="preserve"> EU-ekonomi.</w:t>
      </w:r>
      <w:r>
        <w:t xml:space="preserve"> För att uppmuntra företag </w:t>
      </w:r>
      <w:r>
        <w:rPr>
          <w:b/>
        </w:rPr>
        <w:t>att förlägga sin produktion till EU</w:t>
      </w:r>
      <w:r>
        <w:t xml:space="preserve"> rekommenderar EESK </w:t>
      </w:r>
      <w:r>
        <w:rPr>
          <w:b/>
        </w:rPr>
        <w:t>en industripolitik som bygger på en värdekedjestrategi</w:t>
      </w:r>
      <w:r>
        <w:t>.</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EESK understryker att EU:s lagstiftare måste utnyttja den kommande </w:t>
      </w:r>
      <w:r>
        <w:rPr>
          <w:b/>
        </w:rPr>
        <w:t>rättsakten om påskyndad utfasning av fossila bränslen i industrin för att säkerställa hållbarheten för alternativa och cirkulära affärsmodeller</w:t>
      </w:r>
      <w:r>
        <w:t xml:space="preserve"> genom att erbjuda </w:t>
      </w:r>
      <w:r>
        <w:rPr>
          <w:b/>
        </w:rPr>
        <w:t>påskyndad tillståndsgivning, ekonomiskt stöd och politiskt stöd</w:t>
      </w:r>
      <w:r>
        <w:t xml:space="preserve"> till företag som är engagerade i omställningen. Förslaget till </w:t>
      </w:r>
      <w:r>
        <w:rPr>
          <w:b/>
        </w:rPr>
        <w:t>rättsakt om den cirkulära ekonomin</w:t>
      </w:r>
      <w:r>
        <w:t xml:space="preserve"> bör sända en tydlig signal om </w:t>
      </w:r>
      <w:r>
        <w:rPr>
          <w:b/>
        </w:rPr>
        <w:t>stöd till cirkulära företag och försäkra investerarna om att EU är den idealiska miljön för att utveckla miljövänliga lösningar.</w:t>
      </w:r>
    </w:p>
    <w:p w:rsidRPr="001E19E2"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Pr>
          <w:b/>
          <w:bCs/>
        </w:rPr>
        <w:t>Kommittén påpekar att det för återindustrialisering krävs ett särskilt innovationsprogram</w:t>
      </w:r>
      <w:r>
        <w:t xml:space="preserve"> med specifika mål som omfattar både befintliga industrier och ny utveckling samt som bygger på social dialog. </w:t>
      </w:r>
    </w:p>
    <w:p w:rsidRPr="001E19E2" w:rsidR="001E19E2" w:rsidP="00B60D9A"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t xml:space="preserve">EESK föreslår att </w:t>
      </w:r>
      <w:r>
        <w:rPr>
          <w:b/>
        </w:rPr>
        <w:t xml:space="preserve">EU främjar program för offentlig-privata partnerskap i syfte att stimulera industriella investeringar, med en särskild del ägnad åt att främja unga företagare inom tillverkningssektorn. </w:t>
      </w:r>
    </w:p>
    <w:p w:rsidRPr="00E1573A" w:rsidR="001E19E2" w:rsidP="00F67691" w:rsidRDefault="001E19E2" w14:paraId="40794AEF" w14:textId="77777777">
      <w:pPr>
        <w:pStyle w:val="ListParagraph"/>
        <w:widowControl w:val="0"/>
        <w:numPr>
          <w:ilvl w:val="0"/>
          <w:numId w:val="47"/>
        </w:numPr>
        <w:overflowPunct w:val="0"/>
        <w:autoSpaceDE w:val="0"/>
        <w:autoSpaceDN w:val="0"/>
        <w:adjustRightInd w:val="0"/>
        <w:spacing w:line="240" w:lineRule="auto"/>
        <w:ind w:left="284" w:hanging="284"/>
        <w:textAlignment w:val="baseline"/>
        <w:rPr>
          <w:rFonts w:asciiTheme="minorHAnsi" w:hAnsiTheme="minorHAnsi"/>
          <w:b/>
          <w:bCs/>
          <w:szCs w:val="20"/>
        </w:rPr>
      </w:pPr>
      <w:r>
        <w:t xml:space="preserve">Kommittén efterfrågar i </w:t>
      </w:r>
      <w:r>
        <w:rPr>
          <w:b/>
        </w:rPr>
        <w:t>kommissionens kommande förslag om en kompetensunion ett direkt erkännande och validering av arbetstagarnas kompetens i hela EU</w:t>
      </w:r>
      <w:r>
        <w:t xml:space="preserve"> när de väl har erkänts av de offentliga myndigheterna i en medlemsstat, vilket skulle minska de byråkratiska bördorna. Kommissionen måste lansera </w:t>
      </w:r>
      <w:r>
        <w:rPr>
          <w:b/>
        </w:rPr>
        <w:t xml:space="preserve">ett EU-omfattande program för att främja skäligt avlönade lärlingsutbildningar inom industrin för de yngre, som ett sätt att stödja en mer </w:t>
      </w:r>
      <w:proofErr w:type="spellStart"/>
      <w:r>
        <w:rPr>
          <w:b/>
        </w:rPr>
        <w:t>resilient</w:t>
      </w:r>
      <w:proofErr w:type="spellEnd"/>
      <w:r>
        <w:rPr>
          <w:b/>
        </w:rPr>
        <w:t xml:space="preserve"> arbetskraft. </w:t>
      </w:r>
    </w:p>
    <w:p w:rsidRPr="001E19E2" w:rsidR="001E19E2" w:rsidP="001E19E2"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1E19E2" w:rsidR="001E19E2" w:rsidTr="001757A2" w14:paraId="31E7420E" w14:textId="77777777">
        <w:tc>
          <w:tcPr>
            <w:tcW w:w="1418" w:type="dxa"/>
          </w:tcPr>
          <w:p w:rsidRPr="001E19E2" w:rsidR="001E19E2" w:rsidP="001E19E2" w:rsidRDefault="001E19E2" w14:paraId="1817EE79"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1E19E2" w:rsidR="001E19E2" w:rsidTr="001757A2" w14:paraId="02FDC2A9" w14:textId="77777777">
        <w:tc>
          <w:tcPr>
            <w:tcW w:w="1418" w:type="dxa"/>
          </w:tcPr>
          <w:p w:rsidRPr="001E19E2" w:rsidR="001E19E2" w:rsidP="001E19E2" w:rsidRDefault="001E19E2" w14:paraId="0FDDE9B5" w14:textId="77777777">
            <w:pPr>
              <w:overflowPunct w:val="0"/>
              <w:autoSpaceDE w:val="0"/>
              <w:autoSpaceDN w:val="0"/>
              <w:adjustRightInd w:val="0"/>
              <w:spacing w:line="240" w:lineRule="auto"/>
              <w:textAlignment w:val="baseline"/>
              <w:rPr>
                <w:i/>
              </w:rPr>
            </w:pPr>
            <w:r>
              <w:rPr>
                <w:i/>
              </w:rPr>
              <w:t>Tfn</w:t>
            </w:r>
          </w:p>
        </w:tc>
        <w:tc>
          <w:tcPr>
            <w:tcW w:w="5670"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1757A2" w14:paraId="14B73272" w14:textId="77777777">
        <w:trPr>
          <w:trHeight w:val="80"/>
        </w:trPr>
        <w:tc>
          <w:tcPr>
            <w:tcW w:w="1418"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E-post:</w:t>
            </w:r>
          </w:p>
        </w:tc>
        <w:tc>
          <w:tcPr>
            <w:tcW w:w="5670" w:type="dxa"/>
          </w:tcPr>
          <w:p w:rsidRPr="001E19E2" w:rsidR="001E19E2" w:rsidP="001E19E2" w:rsidRDefault="00EE17BB" w14:paraId="0DF1EA53" w14:textId="77777777">
            <w:pPr>
              <w:overflowPunct w:val="0"/>
              <w:autoSpaceDE w:val="0"/>
              <w:autoSpaceDN w:val="0"/>
              <w:adjustRightInd w:val="0"/>
              <w:spacing w:line="240" w:lineRule="auto"/>
              <w:textAlignment w:val="baseline"/>
              <w:rPr>
                <w:i/>
              </w:rPr>
            </w:pPr>
            <w:hyperlink w:history="1" r:id="rId55">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001E19E2" w:rsidRDefault="001E19E2" w14:paraId="4956BBE0" w14:textId="12811758">
      <w:pPr>
        <w:spacing w:after="160" w:line="259" w:lineRule="auto"/>
        <w:jc w:val="left"/>
        <w:rPr>
          <w:lang w:val="en-GB"/>
        </w:rPr>
      </w:pPr>
    </w:p>
    <w:p w:rsidRPr="00B60D9A" w:rsidR="00E34939" w:rsidP="00E34939" w:rsidRDefault="00EE17BB"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6">
        <w:r w:rsidR="00E34939">
          <w:rPr>
            <w:b/>
            <w:i/>
            <w:color w:val="0000FF"/>
            <w:sz w:val="28"/>
            <w:u w:val="single"/>
          </w:rPr>
          <w:t>Rättsakt om kritiska läkemedel</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Föredragande:</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r>
              <w:t xml:space="preserve">Veselin </w:t>
            </w:r>
            <w:proofErr w:type="spellStart"/>
            <w:r>
              <w:t>Mitov</w:t>
            </w:r>
            <w:proofErr w:type="spellEnd"/>
            <w:r>
              <w:t xml:space="preserve"> (Arbetstagargruppen – 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Pr>
                <w:b/>
              </w:rPr>
              <w:t>Medföredragande:</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proofErr w:type="spellStart"/>
            <w:r>
              <w:t>Elžbieta</w:t>
            </w:r>
            <w:proofErr w:type="spellEnd"/>
            <w:r>
              <w:t xml:space="preserve"> </w:t>
            </w:r>
            <w:proofErr w:type="spellStart"/>
            <w:r>
              <w:t>Szadzińska</w:t>
            </w:r>
            <w:proofErr w:type="spellEnd"/>
            <w:r>
              <w:t xml:space="preserve"> (Kat. 3–PL)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Referensdokument:</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COM(2025) 102 final</w:t>
            </w:r>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4B7430" w:rsidR="00E34939" w:rsidP="00B60D9A" w:rsidRDefault="00E34939" w14:paraId="5021408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6" w:id="24"/>
      <w:bookmarkStart w:name="_Toc202357654" w:id="25"/>
      <w:r>
        <w:t xml:space="preserve">Europeiska ekonomiska och sociala kommittén (EESK) rekommenderar en </w:t>
      </w:r>
      <w:r>
        <w:rPr>
          <w:b/>
          <w:bCs/>
        </w:rPr>
        <w:t>avsevärd ökning av finansieringen</w:t>
      </w:r>
      <w:r>
        <w:t xml:space="preserve"> för att stödja målen i rättsakten om kritiska läkemedel. En </w:t>
      </w:r>
      <w:r>
        <w:rPr>
          <w:b/>
          <w:bCs/>
        </w:rPr>
        <w:t>särskild europeisk fond bör inrättas för utgångsmaterial, aktiva farmaceutiska substanser och kritiska läkemedel</w:t>
      </w:r>
      <w:r>
        <w:t>, med bidrag från medlemsstaterna, EIB och privata aktörer. Finansieringen bör stödja EU-baserad produktion, forskning och utveckling inom hållbar teknik och kompensera för kostnadsnackdelar gentemot producenter utanför EU.</w:t>
      </w:r>
      <w:bookmarkEnd w:id="24"/>
      <w:bookmarkEnd w:id="25"/>
    </w:p>
    <w:p w:rsidRPr="004B7430" w:rsidR="00E34939" w:rsidP="00B60D9A" w:rsidRDefault="00E34939" w14:paraId="79209AD6"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7" w:id="26"/>
      <w:bookmarkStart w:name="_Toc202357655" w:id="27"/>
      <w:r>
        <w:t xml:space="preserve">Kommittén efterlyser inrättandet av en </w:t>
      </w:r>
      <w:r>
        <w:rPr>
          <w:b/>
          <w:bCs/>
        </w:rPr>
        <w:t>fullt driftskompatibel EU-omfattande databas</w:t>
      </w:r>
      <w:r>
        <w:t xml:space="preserve"> där nationella system införlivas, sårbarheter i leveranskedjan synliggörs i realtid och cybersäkerhetsskydd säkerställs. Medel bör anslås till </w:t>
      </w:r>
      <w:r>
        <w:rPr>
          <w:b/>
          <w:bCs/>
        </w:rPr>
        <w:t>spårning i realtid, system för tidig varning och digital teknik</w:t>
      </w:r>
      <w:r>
        <w:t xml:space="preserve"> för att förutse brister och förbättra krishanteringen.</w:t>
      </w:r>
      <w:bookmarkEnd w:id="26"/>
      <w:bookmarkEnd w:id="27"/>
    </w:p>
    <w:p w:rsidRPr="004B7430" w:rsidR="00E34939" w:rsidP="00B60D9A" w:rsidRDefault="00E34939" w14:paraId="3B6A2338"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8" w:id="28"/>
      <w:bookmarkStart w:name="_Toc202357656" w:id="29"/>
      <w:r>
        <w:t xml:space="preserve">EESK framhåller behovet av en </w:t>
      </w:r>
      <w:r>
        <w:rPr>
          <w:b/>
          <w:bCs/>
        </w:rPr>
        <w:t>omfattande, evidensbaserad konsekvensbedömning</w:t>
      </w:r>
      <w:r>
        <w:t xml:space="preserve"> av rättsakten om kritiska läkemedel – parallellt med lagstiftningsarbetet och utan att försena antagandet av förordningen – som omfattar hela leveranskedjan och tar itu med de socioekonomiska konsekvenserna.</w:t>
      </w:r>
      <w:bookmarkEnd w:id="28"/>
      <w:bookmarkEnd w:id="29"/>
    </w:p>
    <w:p w:rsidRPr="004B7430" w:rsidR="00E34939" w:rsidP="00B60D9A" w:rsidRDefault="00E34939" w14:paraId="36F56BB7"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1570909" w:id="30"/>
      <w:bookmarkStart w:name="_Toc202357657" w:id="31"/>
      <w:r>
        <w:t xml:space="preserve">Kommittén anser att EU bör investera i </w:t>
      </w:r>
      <w:r>
        <w:rPr>
          <w:b/>
          <w:bCs/>
        </w:rPr>
        <w:t>storskaliga initiativ för omskolning och fortbildning</w:t>
      </w:r>
      <w:r>
        <w:t xml:space="preserve"> och inrätta kompetenscentrum, tillsammans med utökat finansiellt stöd till yrkesutbildning, lärlingsutbildning, universitetsprogram och branschanpassad utbildning.</w:t>
      </w:r>
      <w:bookmarkEnd w:id="30"/>
      <w:bookmarkEnd w:id="31"/>
    </w:p>
    <w:p w:rsidRPr="004B7430" w:rsidR="00E34939" w:rsidP="00B60D9A" w:rsidRDefault="00E34939" w14:paraId="1C78A75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0" w:id="32"/>
      <w:bookmarkStart w:name="_Toc202357658" w:id="33"/>
      <w:r>
        <w:t xml:space="preserve">EESK rekommenderar att en analys görs av förslaget om att </w:t>
      </w:r>
      <w:r>
        <w:rPr>
          <w:b/>
          <w:bCs/>
        </w:rPr>
        <w:t>integrera rättsakten om kritiska läkemedel i EU:s bredare ram för strategiskt oberoende och säkerhet</w:t>
      </w:r>
      <w:r>
        <w:t xml:space="preserve"> och att leveranskedjorna för läkemedel betraktas som en fråga om folkhälsa och europeisk säkerhet.</w:t>
      </w:r>
      <w:bookmarkEnd w:id="32"/>
      <w:bookmarkEnd w:id="33"/>
    </w:p>
    <w:p w:rsidRPr="004B7430" w:rsidR="00E34939" w:rsidP="00B60D9A" w:rsidRDefault="00E34939" w14:paraId="70E4EA69"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1" w:id="34"/>
      <w:bookmarkStart w:name="_Toc202357659" w:id="35"/>
      <w:r>
        <w:t xml:space="preserve">Kommittén efterlyser </w:t>
      </w:r>
      <w:r>
        <w:rPr>
          <w:b/>
          <w:bCs/>
        </w:rPr>
        <w:t>kraftfulla åtgärder för att garantera överkomliga priser på kritiska läkemedel, även för ovanliga sjukdomar</w:t>
      </w:r>
      <w:r>
        <w:t>, genom att införa mekanismer för att reglera prissättningen av läkemedel, öka transparensen och förhindra prisökningar för konsumenterna.</w:t>
      </w:r>
      <w:bookmarkEnd w:id="34"/>
      <w:bookmarkEnd w:id="35"/>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34939" w:rsidR="00E34939" w:rsidTr="001757A2" w14:paraId="0CBCFC05" w14:textId="77777777">
        <w:tc>
          <w:tcPr>
            <w:tcW w:w="1418" w:type="dxa"/>
          </w:tcPr>
          <w:p w:rsidRPr="00E34939" w:rsidR="00E34939" w:rsidP="00E34939" w:rsidRDefault="00E34939" w14:paraId="70A5C875"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proofErr w:type="spellStart"/>
            <w:r>
              <w:rPr>
                <w:i/>
              </w:rPr>
              <w:t>Jacopo</w:t>
            </w:r>
            <w:proofErr w:type="spellEnd"/>
            <w:r>
              <w:rPr>
                <w:i/>
              </w:rPr>
              <w:t xml:space="preserve"> Ernesto </w:t>
            </w:r>
            <w:proofErr w:type="spellStart"/>
            <w:r>
              <w:rPr>
                <w:i/>
              </w:rPr>
              <w:t>Caja</w:t>
            </w:r>
            <w:proofErr w:type="spellEnd"/>
          </w:p>
        </w:tc>
      </w:tr>
      <w:tr w:rsidRPr="00E34939" w:rsidR="00E34939" w:rsidTr="001757A2" w14:paraId="1259B2BE" w14:textId="77777777">
        <w:tc>
          <w:tcPr>
            <w:tcW w:w="1418" w:type="dxa"/>
          </w:tcPr>
          <w:p w:rsidRPr="00E34939" w:rsidR="00E34939" w:rsidP="00E34939" w:rsidRDefault="00E34939" w14:paraId="491CF507" w14:textId="77777777">
            <w:pPr>
              <w:overflowPunct w:val="0"/>
              <w:autoSpaceDE w:val="0"/>
              <w:autoSpaceDN w:val="0"/>
              <w:adjustRightInd w:val="0"/>
              <w:spacing w:line="240" w:lineRule="auto"/>
              <w:textAlignment w:val="baseline"/>
              <w:rPr>
                <w:i/>
              </w:rPr>
            </w:pPr>
            <w:r>
              <w:rPr>
                <w:i/>
              </w:rPr>
              <w:t>Tfn</w:t>
            </w:r>
          </w:p>
        </w:tc>
        <w:tc>
          <w:tcPr>
            <w:tcW w:w="5670"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1757A2" w14:paraId="29EF9342" w14:textId="77777777">
        <w:trPr>
          <w:trHeight w:val="80"/>
        </w:trPr>
        <w:tc>
          <w:tcPr>
            <w:tcW w:w="1418"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E-post:</w:t>
            </w:r>
          </w:p>
        </w:tc>
        <w:tc>
          <w:tcPr>
            <w:tcW w:w="5670" w:type="dxa"/>
          </w:tcPr>
          <w:p w:rsidRPr="00E34939" w:rsidR="00E34939" w:rsidP="00E34939" w:rsidRDefault="00EE17BB" w14:paraId="0684A661" w14:textId="77777777">
            <w:pPr>
              <w:overflowPunct w:val="0"/>
              <w:autoSpaceDE w:val="0"/>
              <w:autoSpaceDN w:val="0"/>
              <w:adjustRightInd w:val="0"/>
              <w:spacing w:line="240" w:lineRule="auto"/>
              <w:textAlignment w:val="baseline"/>
              <w:rPr>
                <w:i/>
                <w:iCs/>
              </w:rPr>
            </w:pPr>
            <w:hyperlink w:history="1" r:id="rId57">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EE17BB"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8">
        <w:r w:rsidR="000F397E">
          <w:rPr>
            <w:b/>
            <w:i/>
            <w:color w:val="0000FF"/>
            <w:sz w:val="28"/>
            <w:u w:val="single"/>
          </w:rPr>
          <w:t>Europeisk handlingsplan för cybersäkerhet för sjukhus och vårdgivare</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7384"/>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(Gruppen för civilsamhällesorganisationer – 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Pr>
                <w:b/>
              </w:rPr>
              <w:t>Medföredragande:</w:t>
            </w:r>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r>
              <w:t xml:space="preserve">Hervé </w:t>
            </w:r>
            <w:proofErr w:type="spellStart"/>
            <w:r>
              <w:t>Jeannin</w:t>
            </w:r>
            <w:proofErr w:type="spellEnd"/>
            <w:r>
              <w:t xml:space="preserve"> (Kategori 2 –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COM(2025) 10 final</w:t>
            </w:r>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B60D9A" w:rsidRDefault="000F397E" w14:paraId="1E06DD98"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36"/>
      <w:bookmarkStart w:name="_Toc202357660" w:id="37"/>
      <w:r>
        <w:t xml:space="preserve">EESK ser positivt på ambitionsnivån i den europeiska handlingsplanen för cybersäkerhet för sjukhus och vårdgivare och den uppmärksamhet som tillägnas denna fråga. En bättre cybersäkerhet inom hälso- och sjukvårdssektorn innebär en bättre allmän säkerhet och </w:t>
      </w:r>
      <w:proofErr w:type="spellStart"/>
      <w:r>
        <w:t>resiliens</w:t>
      </w:r>
      <w:proofErr w:type="spellEnd"/>
      <w:r>
        <w:t xml:space="preserve"> och bidrar till beredskapsunionen.</w:t>
      </w:r>
      <w:bookmarkEnd w:id="36"/>
      <w:bookmarkEnd w:id="37"/>
    </w:p>
    <w:p w:rsidRPr="002666A0" w:rsidR="000F397E" w:rsidP="00B60D9A" w:rsidRDefault="000F397E" w14:paraId="086FD83B"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38"/>
      <w:bookmarkStart w:name="_Toc202357661" w:id="39"/>
      <w:r>
        <w:t>EESK beklagar att frågan om ekonomiskt stöd till genomförandet av handlingsplanen hittills inte behandlats. EESK uppmanar kommissionen att säkerställa en tematisk koncentration för ekonomiskt stöd från sammanhållningsfonderna.</w:t>
      </w:r>
      <w:bookmarkEnd w:id="38"/>
      <w:bookmarkEnd w:id="39"/>
    </w:p>
    <w:p w:rsidRPr="002666A0" w:rsidR="000F397E" w:rsidP="00B60D9A" w:rsidRDefault="000F397E" w14:paraId="45C6F1E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40"/>
      <w:bookmarkStart w:name="_Toc202357662" w:id="41"/>
      <w:r>
        <w:t>EESK noterar stödet på 6 miljoner euro till Europeiska unionens cybersäkerhetsbyrå (</w:t>
      </w:r>
      <w:proofErr w:type="spellStart"/>
      <w:r>
        <w:t>Enisa</w:t>
      </w:r>
      <w:proofErr w:type="spellEnd"/>
      <w:r>
        <w:t>), men påpekar att denna finansiering är otillräcklig med tanke på omfattningen av vad som står på spel.</w:t>
      </w:r>
      <w:bookmarkEnd w:id="40"/>
      <w:bookmarkEnd w:id="41"/>
    </w:p>
    <w:p w:rsidRPr="002666A0" w:rsidR="000F397E" w:rsidP="00B60D9A" w:rsidRDefault="000F397E" w14:paraId="7C3AF3AC"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42"/>
      <w:bookmarkStart w:name="_Toc202357663" w:id="43"/>
      <w:r>
        <w:t xml:space="preserve">EESK rekommenderar att öka medvetenheten om grundläggande metoder för digital hygien, investera i digitala tvillingar för sjukhus, hälso- och sjukvårdssystem eller medicintekniska produkter för att säkerställa tillförlitlighet och testning, förse medicinska enheter utan </w:t>
      </w:r>
      <w:proofErr w:type="spellStart"/>
      <w:r>
        <w:t>it-tjänster</w:t>
      </w:r>
      <w:proofErr w:type="spellEnd"/>
      <w:r>
        <w:t xml:space="preserve"> med tekniskt stöd och investera i strategisk teknisk kapacitet.</w:t>
      </w:r>
      <w:bookmarkEnd w:id="42"/>
      <w:bookmarkEnd w:id="43"/>
    </w:p>
    <w:p w:rsidRPr="002666A0" w:rsidR="000F397E" w:rsidP="00B60D9A" w:rsidRDefault="000F397E" w14:paraId="7CA2F5A2"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44"/>
      <w:bookmarkStart w:name="_Toc202357664" w:id="45"/>
      <w:r>
        <w:t>EESK vill fästa uppmärksamhet på en rad försiktighetsåtgärder och förebyggande åtgärder som bör förbättra skyddsnivån i hälso- och sjukvårdssektorn och minska risken för it-angrepp: att utföra lämpliga tester, utveckla kontinuitetsplaner som uppdateras och ses över regelbundet, både internt och externt, av oberoende revisorer och bevaka bästa praxis för övervakning och sanering.</w:t>
      </w:r>
      <w:bookmarkEnd w:id="44"/>
      <w:bookmarkEnd w:id="45"/>
    </w:p>
    <w:p w:rsidRPr="002666A0" w:rsidR="000F397E" w:rsidP="00B60D9A" w:rsidRDefault="000F397E" w14:paraId="12B6344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46"/>
      <w:bookmarkStart w:name="_Toc202357665" w:id="47"/>
      <w:r>
        <w:t>EESK rekommenderar kontinuerliga planer för lärande och utbildning som utarbetas tillsammans med arbetsmarknadens parter, och mekanismer för kunskapsöverföring mellan olika enheter och intressenter som är verksamma på området för att ta itu med utmaningar inom cybersäkerhet, etik, integritet och AI.</w:t>
      </w:r>
      <w:bookmarkEnd w:id="46"/>
      <w:bookmarkEnd w:id="47"/>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0F397E" w:rsidR="000F397E" w:rsidTr="001757A2" w14:paraId="4456BAA8" w14:textId="77777777">
        <w:tc>
          <w:tcPr>
            <w:tcW w:w="985" w:type="pct"/>
          </w:tcPr>
          <w:p w:rsidRPr="000F397E" w:rsidR="000F397E" w:rsidP="000F397E" w:rsidRDefault="000F397E" w14:paraId="69FD2299" w14:textId="77777777">
            <w:pPr>
              <w:overflowPunct w:val="0"/>
              <w:autoSpaceDE w:val="0"/>
              <w:autoSpaceDN w:val="0"/>
              <w:adjustRightInd w:val="0"/>
              <w:spacing w:line="240" w:lineRule="auto"/>
              <w:textAlignment w:val="baseline"/>
              <w:rPr>
                <w:i/>
              </w:rPr>
            </w:pPr>
            <w:r>
              <w:rPr>
                <w:b/>
                <w:i/>
              </w:rPr>
              <w:t>Kontaktperson:</w:t>
            </w:r>
          </w:p>
        </w:tc>
        <w:tc>
          <w:tcPr>
            <w:tcW w:w="4015"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proofErr w:type="spellStart"/>
            <w:r>
              <w:rPr>
                <w:i/>
              </w:rPr>
              <w:t>Ioannis</w:t>
            </w:r>
            <w:proofErr w:type="spellEnd"/>
            <w:r>
              <w:rPr>
                <w:i/>
              </w:rPr>
              <w:t xml:space="preserve"> </w:t>
            </w:r>
            <w:proofErr w:type="spellStart"/>
            <w:r>
              <w:rPr>
                <w:i/>
              </w:rPr>
              <w:t>Diamantopoulos</w:t>
            </w:r>
            <w:proofErr w:type="spellEnd"/>
          </w:p>
        </w:tc>
      </w:tr>
      <w:tr w:rsidRPr="000F397E" w:rsidR="000F397E" w:rsidTr="001757A2" w14:paraId="084C83C0" w14:textId="77777777">
        <w:tc>
          <w:tcPr>
            <w:tcW w:w="985" w:type="pct"/>
          </w:tcPr>
          <w:p w:rsidRPr="000F397E" w:rsidR="000F397E" w:rsidP="000F397E" w:rsidRDefault="000F397E" w14:paraId="4E439DD1" w14:textId="77777777">
            <w:pPr>
              <w:overflowPunct w:val="0"/>
              <w:autoSpaceDE w:val="0"/>
              <w:autoSpaceDN w:val="0"/>
              <w:adjustRightInd w:val="0"/>
              <w:spacing w:line="240" w:lineRule="auto"/>
              <w:textAlignment w:val="baseline"/>
              <w:rPr>
                <w:i/>
              </w:rPr>
            </w:pPr>
            <w:r>
              <w:rPr>
                <w:i/>
              </w:rPr>
              <w:t>Tfn</w:t>
            </w:r>
          </w:p>
        </w:tc>
        <w:tc>
          <w:tcPr>
            <w:tcW w:w="4015"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0F397E" w:rsidRDefault="000F397E" w14:paraId="7A671D56" w14:textId="77777777">
            <w:pPr>
              <w:overflowPunct w:val="0"/>
              <w:autoSpaceDE w:val="0"/>
              <w:autoSpaceDN w:val="0"/>
              <w:adjustRightInd w:val="0"/>
              <w:spacing w:line="240" w:lineRule="auto"/>
              <w:textAlignment w:val="baseline"/>
              <w:rPr>
                <w:i/>
              </w:rPr>
            </w:pPr>
            <w:r>
              <w:rPr>
                <w:i/>
              </w:rPr>
              <w:t>E-post:</w:t>
            </w:r>
          </w:p>
        </w:tc>
        <w:tc>
          <w:tcPr>
            <w:tcW w:w="4015" w:type="pct"/>
          </w:tcPr>
          <w:p w:rsidR="000F397E" w:rsidP="000F397E" w:rsidRDefault="00EE17BB" w14:paraId="178AEB8A" w14:textId="77777777">
            <w:pPr>
              <w:overflowPunct w:val="0"/>
              <w:autoSpaceDE w:val="0"/>
              <w:autoSpaceDN w:val="0"/>
              <w:adjustRightInd w:val="0"/>
              <w:spacing w:line="240" w:lineRule="auto"/>
              <w:textAlignment w:val="baseline"/>
            </w:pPr>
            <w:hyperlink w:history="1" r:id="rId59">
              <w:r w:rsidR="00381CCE">
                <w:rPr>
                  <w:i/>
                  <w:color w:val="0000FF"/>
                  <w:u w:val="single"/>
                </w:rPr>
                <w:t>Ioannis.Diamantopoulos@eesc.europa.eu</w:t>
              </w:r>
            </w:hyperlink>
          </w:p>
          <w:p w:rsidRPr="000F397E"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FC61" w14:textId="77777777" w:rsidR="00FC310F" w:rsidRDefault="00FC3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(SV) </w:t>
    </w:r>
    <w:r>
      <w:fldChar w:fldCharType="begin"/>
    </w:r>
    <w:r>
      <w:instrText xml:space="preserve"> PAGE  \* Arabic  \* MERGEFORMAT </w:instrText>
    </w:r>
    <w:r>
      <w:fldChar w:fldCharType="separate"/>
    </w:r>
    <w:r w:rsidR="00381CCE">
      <w:t>1</w:t>
    </w:r>
    <w:r>
      <w:fldChar w:fldCharType="end"/>
    </w:r>
    <w:r>
      <w:t>/</w:t>
    </w:r>
    <w:r w:rsidR="00EE17BB">
      <w:fldChar w:fldCharType="begin"/>
    </w:r>
    <w:r w:rsidR="00EE17BB">
      <w:instrText xml:space="preserve"> NUMPAGES </w:instrText>
    </w:r>
    <w:r w:rsidR="00EE17BB">
      <w:fldChar w:fldCharType="separate"/>
    </w:r>
    <w:r w:rsidR="00381CCE">
      <w:t>2</w:t>
    </w:r>
    <w:r w:rsidR="00EE17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4085" w14:textId="77777777" w:rsidR="00FC310F" w:rsidRDefault="00FC3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EE17BB">
      <w:fldChar w:fldCharType="begin"/>
    </w:r>
    <w:r w:rsidR="00EE17BB">
      <w:instrText xml:space="preserve"> NUMPAGES </w:instrText>
    </w:r>
    <w:r w:rsidR="00EE17BB">
      <w:fldChar w:fldCharType="separate"/>
    </w:r>
    <w:r>
      <w:t>28</w:t>
    </w:r>
    <w:r w:rsidR="00EE17B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CD19" w14:textId="77777777" w:rsidR="00FC310F" w:rsidRDefault="00FC3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3F45" w14:textId="77777777" w:rsidR="00FC310F" w:rsidRDefault="00FC3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BDDC" w14:textId="77777777" w:rsidR="00FC310F" w:rsidRDefault="00FC3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3B"/>
    <w:rsid w:val="00010A4D"/>
    <w:rsid w:val="00043305"/>
    <w:rsid w:val="000435E2"/>
    <w:rsid w:val="00055407"/>
    <w:rsid w:val="00063DFF"/>
    <w:rsid w:val="00075030"/>
    <w:rsid w:val="000959E6"/>
    <w:rsid w:val="000A075F"/>
    <w:rsid w:val="000C63A4"/>
    <w:rsid w:val="000D394D"/>
    <w:rsid w:val="000E6568"/>
    <w:rsid w:val="000F323A"/>
    <w:rsid w:val="000F397E"/>
    <w:rsid w:val="001003AE"/>
    <w:rsid w:val="00123381"/>
    <w:rsid w:val="00156D53"/>
    <w:rsid w:val="00171B2B"/>
    <w:rsid w:val="0019737D"/>
    <w:rsid w:val="001A0F35"/>
    <w:rsid w:val="001B63A4"/>
    <w:rsid w:val="001B7DAA"/>
    <w:rsid w:val="001C720D"/>
    <w:rsid w:val="001E19E2"/>
    <w:rsid w:val="001E391D"/>
    <w:rsid w:val="0020025C"/>
    <w:rsid w:val="00212375"/>
    <w:rsid w:val="00231020"/>
    <w:rsid w:val="00240934"/>
    <w:rsid w:val="00240FD7"/>
    <w:rsid w:val="00254761"/>
    <w:rsid w:val="0026311A"/>
    <w:rsid w:val="002666A0"/>
    <w:rsid w:val="002950A0"/>
    <w:rsid w:val="002A5636"/>
    <w:rsid w:val="002B7981"/>
    <w:rsid w:val="002E1FD0"/>
    <w:rsid w:val="00303A9D"/>
    <w:rsid w:val="003066BE"/>
    <w:rsid w:val="003151D0"/>
    <w:rsid w:val="003161AA"/>
    <w:rsid w:val="00320FF5"/>
    <w:rsid w:val="003227CC"/>
    <w:rsid w:val="0034685F"/>
    <w:rsid w:val="00351E5A"/>
    <w:rsid w:val="003572EF"/>
    <w:rsid w:val="00381CCE"/>
    <w:rsid w:val="00382E57"/>
    <w:rsid w:val="003B35DF"/>
    <w:rsid w:val="003C2D04"/>
    <w:rsid w:val="003F1917"/>
    <w:rsid w:val="003F1EC7"/>
    <w:rsid w:val="003F326D"/>
    <w:rsid w:val="003F79EF"/>
    <w:rsid w:val="0043191A"/>
    <w:rsid w:val="00432B76"/>
    <w:rsid w:val="00450837"/>
    <w:rsid w:val="004721D7"/>
    <w:rsid w:val="004801BE"/>
    <w:rsid w:val="004A5CD7"/>
    <w:rsid w:val="004B7430"/>
    <w:rsid w:val="004B7C66"/>
    <w:rsid w:val="004D7AC0"/>
    <w:rsid w:val="004F3FAB"/>
    <w:rsid w:val="004F51B1"/>
    <w:rsid w:val="004F6E52"/>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249D"/>
    <w:rsid w:val="007C4222"/>
    <w:rsid w:val="007F5784"/>
    <w:rsid w:val="0080201B"/>
    <w:rsid w:val="00805E64"/>
    <w:rsid w:val="00844CF3"/>
    <w:rsid w:val="00845F24"/>
    <w:rsid w:val="00863217"/>
    <w:rsid w:val="0088219D"/>
    <w:rsid w:val="0089162C"/>
    <w:rsid w:val="008943CC"/>
    <w:rsid w:val="008B600E"/>
    <w:rsid w:val="00942860"/>
    <w:rsid w:val="009770F1"/>
    <w:rsid w:val="00993832"/>
    <w:rsid w:val="009964F4"/>
    <w:rsid w:val="009A3B12"/>
    <w:rsid w:val="009F0605"/>
    <w:rsid w:val="009F43C9"/>
    <w:rsid w:val="00A1625F"/>
    <w:rsid w:val="00A174E9"/>
    <w:rsid w:val="00A20E9D"/>
    <w:rsid w:val="00A272B2"/>
    <w:rsid w:val="00A50553"/>
    <w:rsid w:val="00A6461A"/>
    <w:rsid w:val="00A7158A"/>
    <w:rsid w:val="00A76CD8"/>
    <w:rsid w:val="00A9750A"/>
    <w:rsid w:val="00AC3348"/>
    <w:rsid w:val="00AC3821"/>
    <w:rsid w:val="00AE1A95"/>
    <w:rsid w:val="00AE7912"/>
    <w:rsid w:val="00AF27EF"/>
    <w:rsid w:val="00B203DA"/>
    <w:rsid w:val="00B518C9"/>
    <w:rsid w:val="00B52F62"/>
    <w:rsid w:val="00B56F4F"/>
    <w:rsid w:val="00B60D9A"/>
    <w:rsid w:val="00B71CD1"/>
    <w:rsid w:val="00B92D7E"/>
    <w:rsid w:val="00BC7002"/>
    <w:rsid w:val="00BD11E7"/>
    <w:rsid w:val="00BD4876"/>
    <w:rsid w:val="00BE355C"/>
    <w:rsid w:val="00BE54B3"/>
    <w:rsid w:val="00C008B4"/>
    <w:rsid w:val="00C17ABD"/>
    <w:rsid w:val="00C2185C"/>
    <w:rsid w:val="00C26C67"/>
    <w:rsid w:val="00C504F7"/>
    <w:rsid w:val="00C737A5"/>
    <w:rsid w:val="00C821A5"/>
    <w:rsid w:val="00C86ABE"/>
    <w:rsid w:val="00D04355"/>
    <w:rsid w:val="00D228C8"/>
    <w:rsid w:val="00D264E4"/>
    <w:rsid w:val="00D43613"/>
    <w:rsid w:val="00D5108B"/>
    <w:rsid w:val="00D7076A"/>
    <w:rsid w:val="00D81F5E"/>
    <w:rsid w:val="00D92269"/>
    <w:rsid w:val="00D95D71"/>
    <w:rsid w:val="00DE176A"/>
    <w:rsid w:val="00DF2F81"/>
    <w:rsid w:val="00E00A6B"/>
    <w:rsid w:val="00E11CA7"/>
    <w:rsid w:val="00E1573A"/>
    <w:rsid w:val="00E32C54"/>
    <w:rsid w:val="00E34939"/>
    <w:rsid w:val="00E449A3"/>
    <w:rsid w:val="00E661EA"/>
    <w:rsid w:val="00E77899"/>
    <w:rsid w:val="00E7797E"/>
    <w:rsid w:val="00E8520F"/>
    <w:rsid w:val="00EA5508"/>
    <w:rsid w:val="00EE17BB"/>
    <w:rsid w:val="00EE332D"/>
    <w:rsid w:val="00EE3630"/>
    <w:rsid w:val="00EF2D63"/>
    <w:rsid w:val="00F225C2"/>
    <w:rsid w:val="00F267B0"/>
    <w:rsid w:val="00F67691"/>
    <w:rsid w:val="00F837B3"/>
    <w:rsid w:val="00F83C17"/>
    <w:rsid w:val="00F96D7F"/>
    <w:rsid w:val="00FA598B"/>
    <w:rsid w:val="00FC310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v/our-work/opinions-information-reports/opinions/assessing-tax-reporting-obligations-eu" TargetMode="External"/><Relationship Id="rId21" Type="http://schemas.openxmlformats.org/officeDocument/2006/relationships/hyperlink" Target="https://www.eesc.europa.eu/sv/documents/resolution/eesc-contribution-2026-european-commission-work-programme" TargetMode="External"/><Relationship Id="rId34" Type="http://schemas.openxmlformats.org/officeDocument/2006/relationships/hyperlink" Target="https://www.eesc.europa.eu/sv/our-work/opinions-information-reports/opinions/future-eu-strategy-rights-persons-disabilities-post-2025" TargetMode="External"/><Relationship Id="rId42" Type="http://schemas.openxmlformats.org/officeDocument/2006/relationships/hyperlink" Target="https://www.eesc.europa.eu/sv/our-work/opinions-information-reports/opinions/planning-sustainable-urban-mobility-eu" TargetMode="External"/><Relationship Id="rId47" Type="http://schemas.openxmlformats.org/officeDocument/2006/relationships/hyperlink" Target="mailto:Silvia.Staffa@eesc.europa.eu" TargetMode="External"/><Relationship Id="rId50" Type="http://schemas.openxmlformats.org/officeDocument/2006/relationships/hyperlink" Target="mailto:Marco.Ristori@eesc.europa.eu" TargetMode="External"/><Relationship Id="rId55" Type="http://schemas.openxmlformats.org/officeDocument/2006/relationships/hyperlink" Target="mailto:Adam.Dorywalski@eesc.europa.eu" TargetMode="External"/><Relationship Id="rId63" Type="http://schemas.openxmlformats.org/officeDocument/2006/relationships/footer" Target="footer5.xml"/><Relationship Id="rId68"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customXml" Target="../customXml/item4.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en/our-work/opinions-information-reports/opinions/roadmap-womens-rights" TargetMode="External"/><Relationship Id="rId32" Type="http://schemas.openxmlformats.org/officeDocument/2006/relationships/hyperlink" Target="https://www.eesc.europa.eu/sv/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www.eesc.europa.eu/sv/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https://www.eesc.europa.eu/sv/our-work/opinions-information-reports/opinions/reindustrialisation-europe-opportunity-businesses-employees-and-citizens-context-cost-living-crisis" TargetMode="External"/><Relationship Id="rId58" Type="http://schemas.openxmlformats.org/officeDocument/2006/relationships/hyperlink" Target="https://www.eesc.europa.eu/sv/our-work/opinions-information-reports/opinions/european-action-plan-cybersecurity-hospitals-and-healthcare-providers" TargetMode="External"/><Relationship Id="rId66" Type="http://schemas.openxmlformats.org/officeDocument/2006/relationships/fontTable" Target="fontTable.xml"/><Relationship Id="rId61" Type="http://schemas.openxmlformats.org/officeDocument/2006/relationships/header" Target="head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sv/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https://www.eesc.europa.eu/sv/our-work/opinions-information-reports/opinions/regenerative-agriculture-target-towards-enhancing-sustainable-food-production-supporting-climate-and-biodiversity" TargetMode="External"/><Relationship Id="rId56" Type="http://schemas.openxmlformats.org/officeDocument/2006/relationships/hyperlink" Target="https://www.eesc.europa.eu/sv/our-work/opinions-information-reports/opinions/critical-medicines-act/related-links-ccmi-240" TargetMode="External"/><Relationship Id="rId64" Type="http://schemas.openxmlformats.org/officeDocument/2006/relationships/header" Target="header6.xml"/><Relationship Id="rId69"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sv/our-work/opinions-information-reports/information-reports/situation-civil-society-organisations-asean-countrie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sv/our-work/opinions-information-reports/opinions/support-workers-affected-imminent-job-displacement-enterprises-undergoing-restructuring" TargetMode="External"/><Relationship Id="rId46" Type="http://schemas.openxmlformats.org/officeDocument/2006/relationships/hyperlink" Target="https://www.eesc.europa.eu/sv/our-work/opinions-information-reports/opinions/first-omnibus-package-sustainability" TargetMode="External"/><Relationship Id="rId59" Type="http://schemas.openxmlformats.org/officeDocument/2006/relationships/hyperlink" Target="mailto:Ioannis.Diamantopoulos@eesc.europa.eu"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sv/initiatives/eu-youth-test-eesc" TargetMode="External"/><Relationship Id="rId62" Type="http://schemas.openxmlformats.org/officeDocument/2006/relationships/footer" Target="footer4.xml"/><Relationship Id="rId70"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sv/our-work/opinions-information-reports/opinions/additional-assistance-outermost-regions" TargetMode="External"/><Relationship Id="rId36" Type="http://schemas.openxmlformats.org/officeDocument/2006/relationships/hyperlink" Target="https://www.eesc.europa.eu/sv/our-work/opinions-information-reports/opinions/how-address-loss-purchasing-power-and-risk-rising-inequalities-exclusion-and-marginalization" TargetMode="External"/><Relationship Id="rId49" Type="http://schemas.openxmlformats.org/officeDocument/2006/relationships/hyperlink" Target="mailto:Martine.Delanoy@eesc.europa.eu" TargetMode="External"/><Relationship Id="rId57" Type="http://schemas.openxmlformats.org/officeDocument/2006/relationships/hyperlink" Target="mailto:JacopoErnesto.Caja@eesc.europa.eu"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sv/our-work/opinions-information-reports/opinions/battery-due-diligence-policies" TargetMode="External"/><Relationship Id="rId52" Type="http://schemas.openxmlformats.org/officeDocument/2006/relationships/hyperlink" Target="mailto:Gunilla.Sandberg@eesc.europa.eu" TargetMode="External"/><Relationship Id="rId60" Type="http://schemas.openxmlformats.org/officeDocument/2006/relationships/header" Target="header4.xml"/><Relationship Id="rId65" Type="http://schemas.openxmlformats.org/officeDocument/2006/relationships/footer" Target="footer6.xml"/><Relationship Id="rId9" Type="http://schemas.openxmlformats.org/officeDocument/2006/relationships/webSettings" Target="webSettings.xml"/><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A6WAAD5KZT2Q-293470456-8667</_dlc_DocId>
    <_dlc_DocIdUrl xmlns="1a33af13-4045-4f88-9d7b-618e30f79918">
      <Url>http://dm/eesc/2025/_layouts/15/DocIdRedir.aspx?ID=A6WAAD5KZT2Q-293470456-8667</Url>
      <Description>A6WAAD5KZT2Q-293470456-8667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2025-07-02T12:00:00+00:00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Eklund Lisa</DisplayName>
        <AccountId>1570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537DBED9-74FC-4799-9F5C-A23DF85A24FA}"/>
</file>

<file path=customXml/itemProps2.xml><?xml version="1.0" encoding="utf-8"?>
<ds:datastoreItem xmlns:ds="http://schemas.openxmlformats.org/officeDocument/2006/customXml" ds:itemID="{C90EFC57-BB81-4CF7-B623-A0A2FC2CE19C}"/>
</file>

<file path=customXml/itemProps3.xml><?xml version="1.0" encoding="utf-8"?>
<ds:datastoreItem xmlns:ds="http://schemas.openxmlformats.org/officeDocument/2006/customXml" ds:itemID="{B2649097-61CE-43F8-9425-B8CE9A2CD746}"/>
</file>

<file path=customXml/itemProps4.xml><?xml version="1.0" encoding="utf-8"?>
<ds:datastoreItem xmlns:ds="http://schemas.openxmlformats.org/officeDocument/2006/customXml" ds:itemID="{616CDA8B-71D0-41A0-A260-686484D65D49}"/>
</file>

<file path=docProps/app.xml><?xml version="1.0" encoding="utf-8"?>
<Properties xmlns="http://schemas.openxmlformats.org/officeDocument/2006/extended-properties" xmlns:vt="http://schemas.openxmlformats.org/officeDocument/2006/docPropsVTypes">
  <Template>Normal.dotm</Template>
  <TotalTime>0</TotalTime>
  <Pages>26</Pages>
  <Words>7647</Words>
  <Characters>43590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- 597:e plenarsessionen - juni 2025 </dc:title>
  <dc:subject>TCD</dc:subject>
  <dc:creator>Nieddu Emma</dc:creator>
  <cp:keywords>EESC-2025-01645-00-00-TCD-TRA-EN</cp:keywords>
  <dc:description>Rapporteur:  - Original language: EN - Date of document: 02/07/2025 - Date of meeting: 30/16/2025 14:30 - External documents:  - Administrator: MME TAMASAUSKIENE Julija</dc:description>
  <cp:lastModifiedBy>Eklund Lisa</cp:lastModifiedBy>
  <cp:revision>20</cp:revision>
  <dcterms:created xsi:type="dcterms:W3CDTF">2025-06-24T14:06:00Z</dcterms:created>
  <dcterms:modified xsi:type="dcterms:W3CDTF">2025-07-02T12:16:00Z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9f98aac0-7255-42a7-b31d-1fa2195c797f</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DA|5d49c027-8956-412b-aa16-e85a0f96ad0e;ES|e7a6b05b-ae16-40c8-add9-68b64b03aeba;PT|50ccc04a-eadd-42ae-a0cb-acaf45f812ba;CS|72f9705b-0217-4fd3-bea2-cbc7ed80e26e;EN|f2175f21-25d7-44a3-96da-d6a61b075e1b;PL|1e03da61-4678-4e07-b136-b5024ca9197b;SK|46d9fce0-ef79-4f71-b89b-cd6aa82426b8;RO|feb747a2-64cd-4299-af12-4833ddc30497;DE|f6b31e5a-26fa-4935-b661-318e46daf27e;NL|55c6556c-b4f4-441d-9acf-c498d4f838bd;SL|98a412ae-eb01-49e9-ae3d-585a81724cfc;BG|1a1b3951-7821-4e6a-85f5-5673fc08bd2c;HU|6b229040-c589-4408-b4c1-4285663d20a8;HR|2f555653-ed1a-4fe6-8362-9082d95989e5;IT|0774613c-01ed-4e5d-a25d-11d2388de825;LV|46f7e311-5d9f-4663-b433-18aeccb7ace7;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RO|feb747a2-64cd-4299-af12-4833ddc30497;#50;#HR|2f555653-ed1a-4fe6-8362-9082d95989e5;#34;#IT|0774613c-01ed-4e5d-a25d-11d2388de825;#33;#PT|50ccc04a-eadd-42ae-a0cb-acaf45f812ba;#31;#SL|98a412ae-eb01-49e9-ae3d-585a81724cfc;#67;#SPL-CES|32d8cb1f-c9ec-4365-95c7-8385a18618ac;#29;#CS|72f9705b-0217-4fd3-bea2-cbc7ed80e26e;#27;#NL|55c6556c-b4f4-441d-9acf-c498d4f838bd;#24;#PL|1e03da61-4678-4e07-b136-b5024ca9197b;#23;#DE|f6b31e5a-26fa-4935-b661-318e46daf27e;#19;#TCD|cd9d6eb6-3f4f-424a-b2d1-57c9d450eaaf;#16;#ES|e7a6b05b-ae16-40c8-add9-68b64b03aeba;#15;#Unrestricted|826e22d7-d029-4ec0-a450-0c28ff673572;#13;#TRA|150d2a88-1431-44e6-a8ca-0bb753ab8672;#47;#BG|1a1b3951-7821-4e6a-85f5-5673fc08bd2c;#46;#SK|46d9fce0-ef79-4f71-b89b-cd6aa82426b8;#8;#Final|ea5e6674-7b27-4bac-b091-73adbb394efe;#30;#LT|a7ff5ce7-6123-4f68-865a-a57c31810414;#5;#EN|f2175f21-25d7-44a3-96da-d6a61b075e1b;#40;#DA|5d49c027-8956-412b-aa16-e85a0f96ad0e;#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28;#SV|c2ed69e7-a339-43d7-8f22-d93680a92aa0</vt:lpwstr>
  </property>
</Properties>
</file>