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F0FBD" w:rsidR="004D7AC0" w:rsidP="004D7AC0" w:rsidRDefault="008661BF" w14:paraId="4982DD4D" w14:textId="43FB72E6">
      <w:pPr>
        <w:jc w:val="center"/>
        <w:rPr>
          <w:lang w:val="sl-SI"/>
        </w:rPr>
      </w:pPr>
      <w:r w:rsidRPr="009F0FBD">
        <w:rPr>
          <w:noProof/>
          <w:lang w:val="sl-SI" w:eastAsia="en-GB"/>
        </w:rPr>
        <w:drawing>
          <wp:inline distT="0" distB="0" distL="0" distR="0" wp14:anchorId="77043C9C" wp14:editId="789618DD">
            <wp:extent cx="1792800" cy="1242000"/>
            <wp:effectExtent l="0" t="0" r="0" b="0"/>
            <wp:docPr id="1" name="Picture 1" title="EESCLogo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sl-quadri_M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p>
    <w:p w:rsidRPr="009F0FBD" w:rsidR="004D7AC0" w:rsidP="004D7AC0" w:rsidRDefault="004D7AC0" w14:paraId="4982DD4E" w14:textId="473F0656">
      <w:pPr>
        <w:rPr>
          <w:lang w:val="sl-SI"/>
        </w:rPr>
      </w:pPr>
    </w:p>
    <w:p w:rsidRPr="009F0FBD" w:rsidR="00D519A4" w:rsidP="004D7AC0" w:rsidRDefault="00D519A4" w14:paraId="57E2EC47" w14:textId="77777777">
      <w:pPr>
        <w:rPr>
          <w:lang w:val="sl-SI"/>
        </w:rPr>
      </w:pPr>
    </w:p>
    <w:p w:rsidRPr="009F0FBD" w:rsidR="004D7AC0" w:rsidP="004D7AC0" w:rsidRDefault="004D7AC0" w14:paraId="4982DD4F" w14:textId="4C1DEEE6">
      <w:pPr>
        <w:jc w:val="right"/>
        <w:rPr>
          <w:lang w:val="sl-SI"/>
        </w:rPr>
      </w:pPr>
      <w:r w:rsidRPr="009F0FBD">
        <w:rPr>
          <w:lang w:val="sl-SI"/>
        </w:rPr>
        <w:t>Bru</w:t>
      </w:r>
      <w:r w:rsidRPr="009F0FBD" w:rsidR="008661BF">
        <w:rPr>
          <w:lang w:val="sl-SI"/>
        </w:rPr>
        <w:t>selj</w:t>
      </w:r>
      <w:r w:rsidRPr="009F0FBD">
        <w:rPr>
          <w:lang w:val="sl-SI"/>
        </w:rPr>
        <w:t xml:space="preserve">, </w:t>
      </w:r>
      <w:r w:rsidRPr="009F0FBD" w:rsidR="0019737D">
        <w:rPr>
          <w:lang w:val="sl-SI"/>
        </w:rPr>
        <w:t>27</w:t>
      </w:r>
      <w:r w:rsidRPr="009F0FBD" w:rsidR="008661BF">
        <w:rPr>
          <w:lang w:val="sl-SI"/>
        </w:rPr>
        <w:t>. junij</w:t>
      </w:r>
      <w:r w:rsidRPr="009F0FBD" w:rsidR="00432B76">
        <w:rPr>
          <w:lang w:val="sl-SI"/>
        </w:rPr>
        <w:t xml:space="preserve"> 2025</w:t>
      </w:r>
    </w:p>
    <w:p w:rsidRPr="009F0FBD" w:rsidR="004D7AC0" w:rsidP="004D7AC0" w:rsidRDefault="009951C1" w14:paraId="4982DD50" w14:textId="69FAF363">
      <w:pPr>
        <w:rPr>
          <w:lang w:val="sl-SI"/>
        </w:rPr>
      </w:pPr>
      <w:r w:rsidRPr="009F0FBD">
        <w:rPr>
          <w:noProof/>
          <w:sz w:val="20"/>
          <w:lang w:val="sl-SI" w:eastAsia="en-GB"/>
        </w:rPr>
        <mc:AlternateContent>
          <mc:Choice Requires="wps">
            <w:drawing>
              <wp:anchor distT="0" distB="0" distL="114300" distR="114300" simplePos="0" relativeHeight="251659264" behindDoc="1" locked="0" layoutInCell="0" allowOverlap="1" wp14:editId="5E6C6BE7" wp14:anchorId="5B581D64">
                <wp:simplePos x="0" y="0"/>
                <wp:positionH relativeFrom="page">
                  <wp:posOffset>6769100</wp:posOffset>
                </wp:positionH>
                <wp:positionV relativeFrom="page">
                  <wp:posOffset>10081260</wp:posOffset>
                </wp:positionV>
                <wp:extent cx="647700" cy="396240"/>
                <wp:effectExtent l="0" t="3810" r="3175"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9951C1" w:rsidRDefault="009951C1" w14:paraId="2433957F" w14:textId="77777777">
                            <w:pPr>
                              <w:jc w:val="center"/>
                              <w:rPr>
                                <w:rFonts w:ascii="Arial" w:hAnsi="Arial" w:cs="Arial"/>
                                <w:b/>
                                <w:bCs/>
                                <w:sz w:val="48"/>
                                <w:lang w:val="nl-BE"/>
                              </w:rPr>
                            </w:pPr>
                            <w:r>
                              <w:rPr>
                                <w:rFonts w:ascii="Arial" w:hAnsi="Arial" w:cs="Arial"/>
                                <w:b/>
                                <w:bCs/>
                                <w:sz w:val="48"/>
                                <w:lang w:val="nl-BE"/>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581D64">
                <v:stroke joinstyle="miter"/>
                <v:path gradientshapeok="t" o:connecttype="rect"/>
              </v:shapetype>
              <v:shape id="Text Box 3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CbSNAe8gEAAMYDAAAOAAAAAAAAAAAAAAAAAC4CAABkcnMv&#10;ZTJvRG9jLnhtbFBLAQItABQABgAIAAAAIQDrVDFa3gAAAA8BAAAPAAAAAAAAAAAAAAAAAEwEAABk&#10;cnMvZG93bnJldi54bWxQSwUGAAAAAAQABADzAAAAVwUAAAAA&#10;">
                <v:textbox>
                  <w:txbxContent>
                    <w:p w:rsidRPr="00260E65" w:rsidR="009951C1" w:rsidRDefault="009951C1" w14:paraId="2433957F" w14:textId="77777777">
                      <w:pPr>
                        <w:jc w:val="center"/>
                        <w:rPr>
                          <w:rFonts w:ascii="Arial" w:hAnsi="Arial" w:cs="Arial"/>
                          <w:b/>
                          <w:bCs/>
                          <w:sz w:val="48"/>
                          <w:lang w:val="nl-BE"/>
                        </w:rPr>
                      </w:pPr>
                      <w:r>
                        <w:rPr>
                          <w:rFonts w:ascii="Arial" w:hAnsi="Arial" w:cs="Arial"/>
                          <w:b/>
                          <w:bCs/>
                          <w:sz w:val="48"/>
                          <w:lang w:val="nl-BE"/>
                        </w:rPr>
                        <w:t>SL</w:t>
                      </w:r>
                    </w:p>
                  </w:txbxContent>
                </v:textbox>
                <w10:wrap anchorx="page" anchory="page"/>
              </v:shape>
            </w:pict>
          </mc:Fallback>
        </mc:AlternateContent>
      </w:r>
    </w:p>
    <w:p w:rsidRPr="009F0FBD" w:rsidR="004D7AC0" w:rsidP="004D7AC0" w:rsidRDefault="004D7AC0" w14:paraId="4982DD51" w14:textId="0564214B">
      <w:pPr>
        <w:rPr>
          <w:lang w:val="sl-SI"/>
        </w:rPr>
      </w:pPr>
    </w:p>
    <w:p w:rsidRPr="009F0FBD" w:rsidR="00D519A4" w:rsidP="004D7AC0" w:rsidRDefault="00D519A4" w14:paraId="6D5DEC4C" w14:textId="77777777">
      <w:pPr>
        <w:rPr>
          <w:lang w:val="sl-SI"/>
        </w:rPr>
      </w:pPr>
    </w:p>
    <w:p w:rsidRPr="009F0FBD" w:rsidR="004D7AC0" w:rsidP="004D7AC0" w:rsidRDefault="004D7AC0" w14:paraId="4982DD52" w14:textId="77777777">
      <w:pPr>
        <w:rPr>
          <w:lang w:val="sl-SI"/>
        </w:rPr>
      </w:pPr>
    </w:p>
    <w:tbl>
      <w:tblPr>
        <w:tblW w:w="0" w:type="auto"/>
        <w:tblLook w:val="04A0" w:firstRow="1" w:lastRow="0" w:firstColumn="1" w:lastColumn="0" w:noHBand="0" w:noVBand="1"/>
      </w:tblPr>
      <w:tblGrid>
        <w:gridCol w:w="9073"/>
      </w:tblGrid>
      <w:tr w:rsidRPr="0084110F" w:rsidR="004D7AC0" w:rsidTr="00600C84" w14:paraId="4982DD59" w14:textId="77777777">
        <w:tc>
          <w:tcPr>
            <w:tcW w:w="9289" w:type="dxa"/>
            <w:tcBorders>
              <w:bottom w:val="double" w:color="auto" w:sz="4" w:space="0"/>
            </w:tcBorders>
          </w:tcPr>
          <w:p w:rsidRPr="009F0FBD" w:rsidR="004D7AC0" w:rsidP="009951C1" w:rsidRDefault="006537CB" w14:paraId="4982DD58" w14:textId="06C13EE4">
            <w:pPr>
              <w:snapToGrid w:val="0"/>
              <w:jc w:val="center"/>
              <w:rPr>
                <w:b/>
                <w:sz w:val="32"/>
                <w:szCs w:val="32"/>
                <w:lang w:val="sl-SI"/>
              </w:rPr>
            </w:pPr>
            <w:r w:rsidRPr="009F0FBD">
              <w:rPr>
                <w:b/>
                <w:sz w:val="32"/>
                <w:szCs w:val="32"/>
                <w:lang w:val="sl-SI"/>
              </w:rPr>
              <w:t>597</w:t>
            </w:r>
            <w:r w:rsidRPr="009F0FBD" w:rsidR="008661BF">
              <w:rPr>
                <w:b/>
                <w:sz w:val="32"/>
                <w:szCs w:val="32"/>
                <w:lang w:val="sl-SI"/>
              </w:rPr>
              <w:t>.</w:t>
            </w:r>
            <w:r w:rsidRPr="009F0FBD" w:rsidR="008661BF">
              <w:rPr>
                <w:b/>
                <w:sz w:val="32"/>
                <w:lang w:val="sl-SI"/>
              </w:rPr>
              <w:t> PLENARNO ZASEDANJE</w:t>
            </w:r>
            <w:r w:rsidRPr="009F0FBD" w:rsidR="008661BF">
              <w:rPr>
                <w:b/>
                <w:sz w:val="32"/>
                <w:lang w:val="sl-SI"/>
              </w:rPr>
              <w:br/>
            </w:r>
            <w:r w:rsidRPr="009F0FBD" w:rsidR="008661BF">
              <w:rPr>
                <w:b/>
                <w:sz w:val="32"/>
                <w:szCs w:val="32"/>
                <w:lang w:val="sl-SI"/>
              </w:rPr>
              <w:br/>
            </w:r>
            <w:r w:rsidRPr="009F0FBD" w:rsidR="00D228C8">
              <w:rPr>
                <w:b/>
                <w:sz w:val="32"/>
                <w:szCs w:val="32"/>
                <w:lang w:val="sl-SI"/>
              </w:rPr>
              <w:t>18</w:t>
            </w:r>
            <w:r w:rsidRPr="009F0FBD" w:rsidR="008661BF">
              <w:rPr>
                <w:b/>
                <w:sz w:val="32"/>
                <w:szCs w:val="32"/>
                <w:lang w:val="sl-SI"/>
              </w:rPr>
              <w:t>. in</w:t>
            </w:r>
            <w:r w:rsidRPr="009F0FBD" w:rsidR="00D228C8">
              <w:rPr>
                <w:b/>
                <w:sz w:val="32"/>
                <w:szCs w:val="32"/>
                <w:lang w:val="sl-SI"/>
              </w:rPr>
              <w:t xml:space="preserve"> 19</w:t>
            </w:r>
            <w:r w:rsidRPr="009F0FBD" w:rsidR="008661BF">
              <w:rPr>
                <w:b/>
                <w:sz w:val="32"/>
                <w:szCs w:val="32"/>
                <w:lang w:val="sl-SI"/>
              </w:rPr>
              <w:t xml:space="preserve">. </w:t>
            </w:r>
            <w:r w:rsidRPr="009F0FBD" w:rsidR="0084110F">
              <w:rPr>
                <w:b/>
                <w:sz w:val="32"/>
                <w:szCs w:val="32"/>
                <w:lang w:val="sl-SI"/>
              </w:rPr>
              <w:t xml:space="preserve">junij </w:t>
            </w:r>
            <w:r w:rsidRPr="009F0FBD" w:rsidR="00D228C8">
              <w:rPr>
                <w:b/>
                <w:sz w:val="32"/>
                <w:szCs w:val="32"/>
                <w:lang w:val="sl-SI"/>
              </w:rPr>
              <w:t>2025</w:t>
            </w:r>
            <w:r w:rsidRPr="009F0FBD" w:rsidR="008661BF">
              <w:rPr>
                <w:b/>
                <w:sz w:val="32"/>
                <w:szCs w:val="32"/>
                <w:lang w:val="sl-SI"/>
              </w:rPr>
              <w:br/>
            </w:r>
            <w:r w:rsidRPr="009F0FBD" w:rsidR="008661BF">
              <w:rPr>
                <w:b/>
                <w:sz w:val="32"/>
                <w:szCs w:val="32"/>
                <w:lang w:val="sl-SI"/>
              </w:rPr>
              <w:br/>
            </w:r>
            <w:r w:rsidRPr="009F0FBD" w:rsidR="00D519A4">
              <w:rPr>
                <w:b/>
                <w:sz w:val="32"/>
                <w:lang w:val="sl-SI"/>
              </w:rPr>
              <w:t>POVZETEK SPREJETIH MNENJ, RESOLUCIJ IN INFORMATIVNIH POROČIL TER POROČIL O OCENI</w:t>
            </w:r>
            <w:r w:rsidRPr="009F0FBD" w:rsidR="009951C1">
              <w:rPr>
                <w:b/>
                <w:sz w:val="32"/>
                <w:lang w:val="sl-SI"/>
              </w:rPr>
              <w:br/>
            </w:r>
            <w:r w:rsidRPr="009F0FBD" w:rsidR="009951C1">
              <w:rPr>
                <w:b/>
                <w:sz w:val="32"/>
                <w:lang w:val="sl-SI"/>
              </w:rPr>
              <w:br/>
            </w:r>
          </w:p>
        </w:tc>
      </w:tr>
      <w:tr w:rsidRPr="0084110F"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9F0FBD" w:rsidR="009951C1" w:rsidP="009951C1" w:rsidRDefault="009951C1" w14:paraId="3E04D302" w14:textId="77777777">
            <w:pPr>
              <w:jc w:val="center"/>
              <w:rPr>
                <w:lang w:val="sl-SI"/>
              </w:rPr>
            </w:pPr>
          </w:p>
          <w:p w:rsidRPr="009F0FBD" w:rsidR="009951C1" w:rsidP="009951C1" w:rsidRDefault="009951C1" w14:paraId="5A1FD668" w14:textId="77777777">
            <w:pPr>
              <w:jc w:val="center"/>
              <w:rPr>
                <w:spacing w:val="-2"/>
                <w:lang w:val="sl-SI"/>
              </w:rPr>
            </w:pPr>
            <w:r w:rsidRPr="009F0FBD">
              <w:rPr>
                <w:lang w:val="sl-SI"/>
              </w:rPr>
              <w:t>Dokument je v vseh uradnih jezikih Evropske unije na voljo na spletni strani EESO:</w:t>
            </w:r>
            <w:r w:rsidRPr="009F0FBD">
              <w:rPr>
                <w:lang w:val="sl-SI"/>
              </w:rPr>
              <w:br/>
            </w:r>
            <w:r w:rsidRPr="009F0FBD">
              <w:rPr>
                <w:lang w:val="sl-SI"/>
              </w:rPr>
              <w:br/>
            </w:r>
            <w:hyperlink w:history="1" r:id="rId13">
              <w:r w:rsidRPr="009F0FBD">
                <w:rPr>
                  <w:rStyle w:val="Hyperlink"/>
                  <w:rFonts w:eastAsiaTheme="majorEastAsia"/>
                  <w:spacing w:val="-2"/>
                  <w:lang w:val="sl-SI"/>
                </w:rPr>
                <w:t>https://www.eesc.europa.eu/sl/our-work/opinions-information-reports/plenary-session-summaries</w:t>
              </w:r>
            </w:hyperlink>
          </w:p>
          <w:p w:rsidRPr="009F0FBD" w:rsidR="009951C1" w:rsidP="009951C1" w:rsidRDefault="009951C1" w14:paraId="12713617" w14:textId="77777777">
            <w:pPr>
              <w:jc w:val="center"/>
              <w:rPr>
                <w:lang w:val="sl-SI"/>
              </w:rPr>
            </w:pPr>
          </w:p>
          <w:p w:rsidRPr="009F0FBD" w:rsidR="009951C1" w:rsidP="009951C1" w:rsidRDefault="009951C1" w14:paraId="1C34CFD2" w14:textId="77777777">
            <w:pPr>
              <w:jc w:val="center"/>
              <w:rPr>
                <w:lang w:val="sl-SI"/>
              </w:rPr>
            </w:pPr>
          </w:p>
          <w:p w:rsidRPr="009F0FBD" w:rsidR="009951C1" w:rsidP="009951C1" w:rsidRDefault="009951C1" w14:paraId="31157F5C" w14:textId="77777777">
            <w:pPr>
              <w:jc w:val="center"/>
              <w:rPr>
                <w:lang w:val="sl-SI"/>
              </w:rPr>
            </w:pPr>
            <w:r w:rsidRPr="009F0FBD">
              <w:rPr>
                <w:lang w:val="sl-SI"/>
              </w:rPr>
              <w:t>Navedena mnenja so na spletu dostopna prek iskalnika Odbora:</w:t>
            </w:r>
            <w:r w:rsidRPr="009F0FBD">
              <w:rPr>
                <w:lang w:val="sl-SI"/>
              </w:rPr>
              <w:br/>
            </w:r>
            <w:r w:rsidRPr="009F0FBD">
              <w:rPr>
                <w:lang w:val="sl-SI"/>
              </w:rPr>
              <w:br/>
            </w:r>
            <w:hyperlink w:history="1" r:id="rId14">
              <w:r w:rsidRPr="009F0FBD">
                <w:rPr>
                  <w:rStyle w:val="Hyperlink"/>
                  <w:rFonts w:eastAsiaTheme="majorEastAsia"/>
                  <w:lang w:val="sl-SI"/>
                </w:rPr>
                <w:t>https://dmsearch.eesc.europa.eu/search/opinion</w:t>
              </w:r>
            </w:hyperlink>
          </w:p>
          <w:p w:rsidRPr="009F0FBD" w:rsidR="004D7AC0" w:rsidP="00600C84" w:rsidRDefault="004D7AC0" w14:paraId="4982DD5E" w14:textId="77777777">
            <w:pPr>
              <w:snapToGrid w:val="0"/>
              <w:jc w:val="center"/>
              <w:rPr>
                <w:lang w:val="sl-SI"/>
              </w:rPr>
            </w:pPr>
          </w:p>
        </w:tc>
      </w:tr>
    </w:tbl>
    <w:p w:rsidRPr="009F0FBD" w:rsidR="004D7AC0" w:rsidP="004D7AC0" w:rsidRDefault="004D7AC0" w14:paraId="4982DD60" w14:textId="77777777">
      <w:pPr>
        <w:rPr>
          <w:lang w:val="sl-SI"/>
        </w:rPr>
      </w:pPr>
    </w:p>
    <w:p w:rsidRPr="009F0FBD" w:rsidR="004D7AC0" w:rsidP="004D7AC0" w:rsidRDefault="004D7AC0" w14:paraId="4982DD61" w14:textId="77777777">
      <w:pPr>
        <w:rPr>
          <w:lang w:val="sl-SI"/>
        </w:rPr>
      </w:pPr>
    </w:p>
    <w:p w:rsidRPr="009F0FBD" w:rsidR="004D7AC0" w:rsidP="004D7AC0" w:rsidRDefault="004D7AC0" w14:paraId="4982DD62" w14:textId="77777777">
      <w:pPr>
        <w:rPr>
          <w:lang w:val="sl-SI"/>
        </w:rPr>
        <w:sectPr w:rsidRPr="009F0FBD" w:rsidR="004D7AC0" w:rsidSect="00055407">
          <w:footerReference w:type="default" r:id="rId15"/>
          <w:pgSz w:w="11907" w:h="16839"/>
          <w:pgMar w:top="1417" w:right="1417" w:bottom="1417" w:left="1417" w:header="709" w:footer="709" w:gutter="0"/>
          <w:pgNumType w:start="1"/>
          <w:cols w:space="708"/>
          <w:docGrid w:linePitch="360"/>
        </w:sectPr>
      </w:pPr>
    </w:p>
    <w:p w:rsidRPr="009F0FBD" w:rsidR="004D7AC0" w:rsidP="004D7AC0" w:rsidRDefault="00C67785" w14:paraId="4982DD63" w14:textId="1BBA8A90">
      <w:pPr>
        <w:rPr>
          <w:b/>
          <w:lang w:val="sl-SI"/>
        </w:rPr>
      </w:pPr>
      <w:r w:rsidRPr="009F0FBD">
        <w:rPr>
          <w:b/>
          <w:lang w:val="sl-SI"/>
        </w:rPr>
        <w:lastRenderedPageBreak/>
        <w:t>Vsebina:</w:t>
      </w:r>
    </w:p>
    <w:p w:rsidRPr="009F0FBD" w:rsidR="00CD2BF4" w:rsidP="004D7AC0" w:rsidRDefault="00CD2BF4" w14:paraId="5E627999" w14:textId="77777777">
      <w:pPr>
        <w:rPr>
          <w:b/>
          <w:lang w:val="sl-SI"/>
        </w:rPr>
      </w:pPr>
    </w:p>
    <w:sdt>
      <w:sdtPr>
        <w:rPr>
          <w:rFonts w:ascii="Times New Roman" w:hAnsi="Times New Roman" w:eastAsia="Times New Roman" w:cs="Times New Roman"/>
          <w:color w:val="auto"/>
          <w:sz w:val="22"/>
          <w:szCs w:val="22"/>
          <w:lang w:val="sl-SI"/>
        </w:rPr>
        <w:id w:val="-17007477"/>
        <w:docPartObj>
          <w:docPartGallery w:val="Table of Contents"/>
          <w:docPartUnique/>
        </w:docPartObj>
      </w:sdtPr>
      <w:sdtEndPr>
        <w:rPr>
          <w:b/>
          <w:bCs/>
          <w:noProof/>
        </w:rPr>
      </w:sdtEndPr>
      <w:sdtContent>
        <w:p w:rsidRPr="009F0FBD" w:rsidR="004D7AC0" w:rsidP="004D7AC0" w:rsidRDefault="004D7AC0" w14:paraId="4982DD64" w14:textId="77777777">
          <w:pPr>
            <w:pStyle w:val="TOCHeading"/>
            <w:rPr>
              <w:rFonts w:ascii="Times New Roman" w:hAnsi="Times New Roman" w:cs="Times New Roman"/>
              <w:color w:val="auto"/>
              <w:sz w:val="22"/>
              <w:szCs w:val="22"/>
              <w:lang w:val="sl-SI"/>
            </w:rPr>
          </w:pPr>
        </w:p>
        <w:p w:rsidRPr="009F0FBD" w:rsidR="004449AE" w:rsidRDefault="004D7AC0" w14:paraId="3004D1A7" w14:textId="45817B16">
          <w:pPr>
            <w:pStyle w:val="TOC1"/>
            <w:tabs>
              <w:tab w:val="left" w:pos="440"/>
              <w:tab w:val="right" w:leader="dot" w:pos="9063"/>
            </w:tabs>
            <w:rPr>
              <w:rFonts w:eastAsiaTheme="minorEastAsia"/>
              <w:noProof/>
              <w:lang w:val="sl-SI"/>
            </w:rPr>
          </w:pPr>
          <w:r w:rsidRPr="009F0FBD">
            <w:rPr>
              <w:lang w:val="sl-SI"/>
            </w:rPr>
            <w:fldChar w:fldCharType="begin"/>
          </w:r>
          <w:r w:rsidRPr="009F0FBD">
            <w:rPr>
              <w:lang w:val="sl-SI"/>
            </w:rPr>
            <w:instrText xml:space="preserve"> TOC \o "1-3" \h \z \u </w:instrText>
          </w:r>
          <w:r w:rsidRPr="009F0FBD">
            <w:rPr>
              <w:lang w:val="sl-SI"/>
            </w:rPr>
            <w:fldChar w:fldCharType="separate"/>
          </w:r>
          <w:hyperlink w:history="1" w:anchor="_Toc201837062">
            <w:r w:rsidRPr="009F0FBD" w:rsidR="00076362">
              <w:rPr>
                <w:rStyle w:val="Hyperlink"/>
                <w:bCs/>
                <w:noProof/>
                <w:lang w:val="sl-SI"/>
              </w:rPr>
              <w:t>1.</w:t>
            </w:r>
            <w:r w:rsidRPr="009F0FBD" w:rsidR="00076362">
              <w:rPr>
                <w:rFonts w:eastAsiaTheme="minorEastAsia"/>
                <w:noProof/>
                <w:lang w:val="sl-SI"/>
              </w:rPr>
              <w:tab/>
            </w:r>
            <w:r w:rsidRPr="009F0FBD" w:rsidR="00076362">
              <w:rPr>
                <w:rStyle w:val="Hyperlink"/>
                <w:b/>
                <w:noProof/>
                <w:lang w:val="sl-SI"/>
              </w:rPr>
              <w:t>RESOLUCIJA</w:t>
            </w:r>
            <w:r w:rsidRPr="009F0FBD" w:rsidR="00076362">
              <w:rPr>
                <w:noProof/>
                <w:webHidden/>
                <w:lang w:val="sl-SI"/>
              </w:rPr>
              <w:tab/>
            </w:r>
            <w:r w:rsidRPr="009F0FBD" w:rsidR="004449AE">
              <w:rPr>
                <w:noProof/>
                <w:webHidden/>
                <w:lang w:val="sl-SI"/>
              </w:rPr>
              <w:fldChar w:fldCharType="begin"/>
            </w:r>
            <w:r w:rsidRPr="009F0FBD" w:rsidR="004449AE">
              <w:rPr>
                <w:noProof/>
                <w:webHidden/>
                <w:lang w:val="sl-SI"/>
              </w:rPr>
              <w:instrText xml:space="preserve"> PAGEREF _Toc201837062 \h </w:instrText>
            </w:r>
            <w:r w:rsidRPr="009F0FBD" w:rsidR="004449AE">
              <w:rPr>
                <w:noProof/>
                <w:webHidden/>
                <w:lang w:val="sl-SI"/>
              </w:rPr>
            </w:r>
            <w:r w:rsidRPr="009F0FBD" w:rsidR="004449AE">
              <w:rPr>
                <w:noProof/>
                <w:webHidden/>
                <w:lang w:val="sl-SI"/>
              </w:rPr>
              <w:fldChar w:fldCharType="separate"/>
            </w:r>
            <w:r w:rsidR="00BB7F42">
              <w:rPr>
                <w:noProof/>
                <w:webHidden/>
                <w:lang w:val="sl-SI"/>
              </w:rPr>
              <w:t>3</w:t>
            </w:r>
            <w:r w:rsidRPr="009F0FBD" w:rsidR="004449AE">
              <w:rPr>
                <w:noProof/>
                <w:webHidden/>
                <w:lang w:val="sl-SI"/>
              </w:rPr>
              <w:fldChar w:fldCharType="end"/>
            </w:r>
          </w:hyperlink>
        </w:p>
        <w:p w:rsidRPr="009F0FBD" w:rsidR="004449AE" w:rsidRDefault="00C14021" w14:paraId="43EBCC02" w14:textId="2243CA6F">
          <w:pPr>
            <w:pStyle w:val="TOC1"/>
            <w:tabs>
              <w:tab w:val="left" w:pos="440"/>
              <w:tab w:val="right" w:leader="dot" w:pos="9063"/>
            </w:tabs>
            <w:rPr>
              <w:rFonts w:eastAsiaTheme="minorEastAsia"/>
              <w:noProof/>
              <w:lang w:val="sl-SI"/>
            </w:rPr>
          </w:pPr>
          <w:hyperlink w:history="1" w:anchor="_Toc201837063">
            <w:r w:rsidRPr="009F0FBD" w:rsidR="00076362">
              <w:rPr>
                <w:rStyle w:val="Hyperlink"/>
                <w:bCs/>
                <w:noProof/>
                <w:lang w:val="sl-SI"/>
              </w:rPr>
              <w:t>2.</w:t>
            </w:r>
            <w:r w:rsidRPr="009F0FBD" w:rsidR="00076362">
              <w:rPr>
                <w:rFonts w:eastAsiaTheme="minorEastAsia"/>
                <w:noProof/>
                <w:lang w:val="sl-SI"/>
              </w:rPr>
              <w:tab/>
            </w:r>
            <w:r w:rsidRPr="009F0FBD" w:rsidR="00076362">
              <w:rPr>
                <w:rStyle w:val="Hyperlink"/>
                <w:b/>
                <w:noProof/>
                <w:lang w:val="sl-SI"/>
              </w:rPr>
              <w:t>EKONOMSKA IN MONETARNA UNIJA TER EKONOMSKA IN SOCIALNA KOHEZIJA</w:t>
            </w:r>
            <w:r w:rsidRPr="009F0FBD" w:rsidR="00076362">
              <w:rPr>
                <w:noProof/>
                <w:webHidden/>
                <w:lang w:val="sl-SI"/>
              </w:rPr>
              <w:tab/>
            </w:r>
            <w:r w:rsidRPr="009F0FBD" w:rsidR="004449AE">
              <w:rPr>
                <w:noProof/>
                <w:webHidden/>
                <w:lang w:val="sl-SI"/>
              </w:rPr>
              <w:fldChar w:fldCharType="begin"/>
            </w:r>
            <w:r w:rsidRPr="009F0FBD" w:rsidR="004449AE">
              <w:rPr>
                <w:noProof/>
                <w:webHidden/>
                <w:lang w:val="sl-SI"/>
              </w:rPr>
              <w:instrText xml:space="preserve"> PAGEREF _Toc201837063 \h </w:instrText>
            </w:r>
            <w:r w:rsidRPr="009F0FBD" w:rsidR="004449AE">
              <w:rPr>
                <w:noProof/>
                <w:webHidden/>
                <w:lang w:val="sl-SI"/>
              </w:rPr>
            </w:r>
            <w:r w:rsidRPr="009F0FBD" w:rsidR="004449AE">
              <w:rPr>
                <w:noProof/>
                <w:webHidden/>
                <w:lang w:val="sl-SI"/>
              </w:rPr>
              <w:fldChar w:fldCharType="separate"/>
            </w:r>
            <w:r w:rsidR="00BB7F42">
              <w:rPr>
                <w:noProof/>
                <w:webHidden/>
                <w:lang w:val="sl-SI"/>
              </w:rPr>
              <w:t>6</w:t>
            </w:r>
            <w:r w:rsidRPr="009F0FBD" w:rsidR="004449AE">
              <w:rPr>
                <w:noProof/>
                <w:webHidden/>
                <w:lang w:val="sl-SI"/>
              </w:rPr>
              <w:fldChar w:fldCharType="end"/>
            </w:r>
          </w:hyperlink>
        </w:p>
        <w:p w:rsidRPr="009F0FBD" w:rsidR="004449AE" w:rsidP="004449AE" w:rsidRDefault="00C14021" w14:paraId="2577F301" w14:textId="7E2DFE32">
          <w:pPr>
            <w:pStyle w:val="TOC1"/>
            <w:tabs>
              <w:tab w:val="left" w:pos="440"/>
              <w:tab w:val="right" w:leader="dot" w:pos="9063"/>
            </w:tabs>
            <w:rPr>
              <w:rFonts w:eastAsiaTheme="minorEastAsia"/>
              <w:noProof/>
              <w:lang w:val="sl-SI"/>
            </w:rPr>
          </w:pPr>
          <w:hyperlink w:history="1" w:anchor="_Toc201837064">
            <w:r w:rsidRPr="009F0FBD" w:rsidR="00076362">
              <w:rPr>
                <w:rStyle w:val="Hyperlink"/>
                <w:bCs/>
                <w:noProof/>
                <w:lang w:val="sl-SI"/>
              </w:rPr>
              <w:t>3.</w:t>
            </w:r>
            <w:r w:rsidRPr="009F0FBD" w:rsidR="00076362">
              <w:rPr>
                <w:rFonts w:eastAsiaTheme="minorEastAsia"/>
                <w:noProof/>
                <w:lang w:val="sl-SI"/>
              </w:rPr>
              <w:tab/>
            </w:r>
            <w:r w:rsidRPr="009F0FBD" w:rsidR="00076362">
              <w:rPr>
                <w:rStyle w:val="Hyperlink"/>
                <w:b/>
                <w:noProof/>
                <w:lang w:val="sl-SI"/>
              </w:rPr>
              <w:t>ZAPOSLOVANJE, SOCIALNE ZADEVE IN DRŽAVLJANSTVO</w:t>
            </w:r>
            <w:r w:rsidRPr="009F0FBD" w:rsidR="00076362">
              <w:rPr>
                <w:noProof/>
                <w:webHidden/>
                <w:lang w:val="sl-SI"/>
              </w:rPr>
              <w:tab/>
            </w:r>
            <w:r w:rsidRPr="009F0FBD" w:rsidR="004449AE">
              <w:rPr>
                <w:noProof/>
                <w:webHidden/>
                <w:lang w:val="sl-SI"/>
              </w:rPr>
              <w:fldChar w:fldCharType="begin"/>
            </w:r>
            <w:r w:rsidRPr="009F0FBD" w:rsidR="004449AE">
              <w:rPr>
                <w:noProof/>
                <w:webHidden/>
                <w:lang w:val="sl-SI"/>
              </w:rPr>
              <w:instrText xml:space="preserve"> PAGEREF _Toc201837064 \h </w:instrText>
            </w:r>
            <w:r w:rsidRPr="009F0FBD" w:rsidR="004449AE">
              <w:rPr>
                <w:noProof/>
                <w:webHidden/>
                <w:lang w:val="sl-SI"/>
              </w:rPr>
            </w:r>
            <w:r w:rsidRPr="009F0FBD" w:rsidR="004449AE">
              <w:rPr>
                <w:noProof/>
                <w:webHidden/>
                <w:lang w:val="sl-SI"/>
              </w:rPr>
              <w:fldChar w:fldCharType="separate"/>
            </w:r>
            <w:r w:rsidR="00BB7F42">
              <w:rPr>
                <w:noProof/>
                <w:webHidden/>
                <w:lang w:val="sl-SI"/>
              </w:rPr>
              <w:t>8</w:t>
            </w:r>
            <w:r w:rsidRPr="009F0FBD" w:rsidR="004449AE">
              <w:rPr>
                <w:noProof/>
                <w:webHidden/>
                <w:lang w:val="sl-SI"/>
              </w:rPr>
              <w:fldChar w:fldCharType="end"/>
            </w:r>
          </w:hyperlink>
        </w:p>
        <w:p w:rsidRPr="009F0FBD" w:rsidR="004449AE" w:rsidRDefault="00C14021" w14:paraId="05B222F1" w14:textId="0698083E">
          <w:pPr>
            <w:pStyle w:val="TOC1"/>
            <w:tabs>
              <w:tab w:val="left" w:pos="440"/>
              <w:tab w:val="right" w:leader="dot" w:pos="9063"/>
            </w:tabs>
            <w:rPr>
              <w:rFonts w:eastAsiaTheme="minorEastAsia"/>
              <w:noProof/>
              <w:lang w:val="sl-SI"/>
            </w:rPr>
          </w:pPr>
          <w:hyperlink w:history="1" w:anchor="_Toc201837070">
            <w:r w:rsidRPr="009F0FBD" w:rsidR="00076362">
              <w:rPr>
                <w:rStyle w:val="Hyperlink"/>
                <w:bCs/>
                <w:noProof/>
                <w:lang w:val="sl-SI"/>
              </w:rPr>
              <w:t>4.</w:t>
            </w:r>
            <w:r w:rsidRPr="009F0FBD" w:rsidR="00076362">
              <w:rPr>
                <w:rFonts w:eastAsiaTheme="minorEastAsia"/>
                <w:noProof/>
                <w:lang w:val="sl-SI"/>
              </w:rPr>
              <w:tab/>
            </w:r>
            <w:r w:rsidRPr="009F0FBD" w:rsidR="00076362">
              <w:rPr>
                <w:rStyle w:val="Hyperlink"/>
                <w:b/>
                <w:noProof/>
                <w:lang w:val="sl-SI"/>
              </w:rPr>
              <w:t>PROMET, ENERGIJA, INFRASTRUKTURA IN INFORMACIJSKA DRUŽBA</w:t>
            </w:r>
            <w:r w:rsidRPr="009F0FBD" w:rsidR="00076362">
              <w:rPr>
                <w:noProof/>
                <w:webHidden/>
                <w:lang w:val="sl-SI"/>
              </w:rPr>
              <w:tab/>
            </w:r>
            <w:r w:rsidRPr="009F0FBD" w:rsidR="004449AE">
              <w:rPr>
                <w:noProof/>
                <w:webHidden/>
                <w:lang w:val="sl-SI"/>
              </w:rPr>
              <w:fldChar w:fldCharType="begin"/>
            </w:r>
            <w:r w:rsidRPr="009F0FBD" w:rsidR="004449AE">
              <w:rPr>
                <w:noProof/>
                <w:webHidden/>
                <w:lang w:val="sl-SI"/>
              </w:rPr>
              <w:instrText xml:space="preserve"> PAGEREF _Toc201837070 \h </w:instrText>
            </w:r>
            <w:r w:rsidRPr="009F0FBD" w:rsidR="004449AE">
              <w:rPr>
                <w:noProof/>
                <w:webHidden/>
                <w:lang w:val="sl-SI"/>
              </w:rPr>
            </w:r>
            <w:r w:rsidRPr="009F0FBD" w:rsidR="004449AE">
              <w:rPr>
                <w:noProof/>
                <w:webHidden/>
                <w:lang w:val="sl-SI"/>
              </w:rPr>
              <w:fldChar w:fldCharType="separate"/>
            </w:r>
            <w:r w:rsidR="00BB7F42">
              <w:rPr>
                <w:noProof/>
                <w:webHidden/>
                <w:lang w:val="sl-SI"/>
              </w:rPr>
              <w:t>14</w:t>
            </w:r>
            <w:r w:rsidRPr="009F0FBD" w:rsidR="004449AE">
              <w:rPr>
                <w:noProof/>
                <w:webHidden/>
                <w:lang w:val="sl-SI"/>
              </w:rPr>
              <w:fldChar w:fldCharType="end"/>
            </w:r>
          </w:hyperlink>
        </w:p>
        <w:p w:rsidRPr="009F0FBD" w:rsidR="004449AE" w:rsidRDefault="00C14021" w14:paraId="1DF32629" w14:textId="181B8A26">
          <w:pPr>
            <w:pStyle w:val="TOC1"/>
            <w:tabs>
              <w:tab w:val="left" w:pos="440"/>
              <w:tab w:val="right" w:leader="dot" w:pos="9063"/>
            </w:tabs>
            <w:rPr>
              <w:rFonts w:eastAsiaTheme="minorEastAsia"/>
              <w:noProof/>
              <w:lang w:val="sl-SI"/>
            </w:rPr>
          </w:pPr>
          <w:hyperlink w:history="1" w:anchor="_Toc201837071">
            <w:r w:rsidRPr="009F0FBD" w:rsidR="00076362">
              <w:rPr>
                <w:rStyle w:val="Hyperlink"/>
                <w:bCs/>
                <w:noProof/>
                <w:lang w:val="sl-SI"/>
              </w:rPr>
              <w:t>5.</w:t>
            </w:r>
            <w:r w:rsidRPr="009F0FBD" w:rsidR="00076362">
              <w:rPr>
                <w:rFonts w:eastAsiaTheme="minorEastAsia"/>
                <w:noProof/>
                <w:lang w:val="sl-SI"/>
              </w:rPr>
              <w:tab/>
            </w:r>
            <w:r w:rsidRPr="009F0FBD" w:rsidR="00076362">
              <w:rPr>
                <w:rStyle w:val="Hyperlink"/>
                <w:b/>
                <w:noProof/>
                <w:lang w:val="sl-SI"/>
              </w:rPr>
              <w:t>ENOTNI TRG, PROIZVODNJA IN POTROŠNJA</w:t>
            </w:r>
            <w:r w:rsidRPr="009F0FBD" w:rsidR="00076362">
              <w:rPr>
                <w:noProof/>
                <w:webHidden/>
                <w:lang w:val="sl-SI"/>
              </w:rPr>
              <w:tab/>
            </w:r>
            <w:r w:rsidRPr="009F0FBD" w:rsidR="004449AE">
              <w:rPr>
                <w:noProof/>
                <w:webHidden/>
                <w:lang w:val="sl-SI"/>
              </w:rPr>
              <w:fldChar w:fldCharType="begin"/>
            </w:r>
            <w:r w:rsidRPr="009F0FBD" w:rsidR="004449AE">
              <w:rPr>
                <w:noProof/>
                <w:webHidden/>
                <w:lang w:val="sl-SI"/>
              </w:rPr>
              <w:instrText xml:space="preserve"> PAGEREF _Toc201837071 \h </w:instrText>
            </w:r>
            <w:r w:rsidRPr="009F0FBD" w:rsidR="004449AE">
              <w:rPr>
                <w:noProof/>
                <w:webHidden/>
                <w:lang w:val="sl-SI"/>
              </w:rPr>
            </w:r>
            <w:r w:rsidRPr="009F0FBD" w:rsidR="004449AE">
              <w:rPr>
                <w:noProof/>
                <w:webHidden/>
                <w:lang w:val="sl-SI"/>
              </w:rPr>
              <w:fldChar w:fldCharType="separate"/>
            </w:r>
            <w:r w:rsidR="00BB7F42">
              <w:rPr>
                <w:noProof/>
                <w:webHidden/>
                <w:lang w:val="sl-SI"/>
              </w:rPr>
              <w:t>16</w:t>
            </w:r>
            <w:r w:rsidRPr="009F0FBD" w:rsidR="004449AE">
              <w:rPr>
                <w:noProof/>
                <w:webHidden/>
                <w:lang w:val="sl-SI"/>
              </w:rPr>
              <w:fldChar w:fldCharType="end"/>
            </w:r>
          </w:hyperlink>
        </w:p>
        <w:p w:rsidRPr="009F0FBD" w:rsidR="004449AE" w:rsidRDefault="00C14021" w14:paraId="140BA5A0" w14:textId="683C592D">
          <w:pPr>
            <w:pStyle w:val="TOC1"/>
            <w:tabs>
              <w:tab w:val="left" w:pos="440"/>
              <w:tab w:val="right" w:leader="dot" w:pos="9063"/>
            </w:tabs>
            <w:rPr>
              <w:rFonts w:eastAsiaTheme="minorEastAsia"/>
              <w:noProof/>
              <w:lang w:val="sl-SI"/>
            </w:rPr>
          </w:pPr>
          <w:hyperlink w:history="1" w:anchor="_Toc201837072">
            <w:r w:rsidRPr="009F0FBD" w:rsidR="00076362">
              <w:rPr>
                <w:rStyle w:val="Hyperlink"/>
                <w:bCs/>
                <w:noProof/>
                <w:lang w:val="sl-SI"/>
              </w:rPr>
              <w:t>6.</w:t>
            </w:r>
            <w:r w:rsidRPr="009F0FBD" w:rsidR="00076362">
              <w:rPr>
                <w:rFonts w:eastAsiaTheme="minorEastAsia"/>
                <w:noProof/>
                <w:lang w:val="sl-SI"/>
              </w:rPr>
              <w:tab/>
            </w:r>
            <w:r w:rsidRPr="009F0FBD" w:rsidR="00076362">
              <w:rPr>
                <w:rStyle w:val="Hyperlink"/>
                <w:b/>
                <w:noProof/>
                <w:lang w:val="sl-SI"/>
              </w:rPr>
              <w:t>KMETIJSTVO, RAZVOJ PODEŽELJA IN OKOLJE</w:t>
            </w:r>
            <w:r w:rsidRPr="009F0FBD" w:rsidR="00076362">
              <w:rPr>
                <w:noProof/>
                <w:webHidden/>
                <w:lang w:val="sl-SI"/>
              </w:rPr>
              <w:tab/>
            </w:r>
            <w:r w:rsidRPr="009F0FBD" w:rsidR="004449AE">
              <w:rPr>
                <w:noProof/>
                <w:webHidden/>
                <w:lang w:val="sl-SI"/>
              </w:rPr>
              <w:fldChar w:fldCharType="begin"/>
            </w:r>
            <w:r w:rsidRPr="009F0FBD" w:rsidR="004449AE">
              <w:rPr>
                <w:noProof/>
                <w:webHidden/>
                <w:lang w:val="sl-SI"/>
              </w:rPr>
              <w:instrText xml:space="preserve"> PAGEREF _Toc201837072 \h </w:instrText>
            </w:r>
            <w:r w:rsidRPr="009F0FBD" w:rsidR="004449AE">
              <w:rPr>
                <w:noProof/>
                <w:webHidden/>
                <w:lang w:val="sl-SI"/>
              </w:rPr>
            </w:r>
            <w:r w:rsidRPr="009F0FBD" w:rsidR="004449AE">
              <w:rPr>
                <w:noProof/>
                <w:webHidden/>
                <w:lang w:val="sl-SI"/>
              </w:rPr>
              <w:fldChar w:fldCharType="separate"/>
            </w:r>
            <w:r w:rsidR="00BB7F42">
              <w:rPr>
                <w:noProof/>
                <w:webHidden/>
                <w:lang w:val="sl-SI"/>
              </w:rPr>
              <w:t>18</w:t>
            </w:r>
            <w:r w:rsidRPr="009F0FBD" w:rsidR="004449AE">
              <w:rPr>
                <w:noProof/>
                <w:webHidden/>
                <w:lang w:val="sl-SI"/>
              </w:rPr>
              <w:fldChar w:fldCharType="end"/>
            </w:r>
          </w:hyperlink>
        </w:p>
        <w:p w:rsidRPr="009F0FBD" w:rsidR="004449AE" w:rsidRDefault="00C14021" w14:paraId="1DDD9D7B" w14:textId="26409775">
          <w:pPr>
            <w:pStyle w:val="TOC1"/>
            <w:tabs>
              <w:tab w:val="left" w:pos="440"/>
              <w:tab w:val="right" w:leader="dot" w:pos="9063"/>
            </w:tabs>
            <w:rPr>
              <w:rFonts w:eastAsiaTheme="minorEastAsia"/>
              <w:noProof/>
              <w:lang w:val="sl-SI"/>
            </w:rPr>
          </w:pPr>
          <w:hyperlink w:history="1" w:anchor="_Toc201837073">
            <w:r w:rsidRPr="009F0FBD" w:rsidR="00076362">
              <w:rPr>
                <w:rStyle w:val="Hyperlink"/>
                <w:bCs/>
                <w:noProof/>
                <w:lang w:val="sl-SI"/>
              </w:rPr>
              <w:t>7.</w:t>
            </w:r>
            <w:r w:rsidRPr="009F0FBD" w:rsidR="00076362">
              <w:rPr>
                <w:rFonts w:eastAsiaTheme="minorEastAsia"/>
                <w:noProof/>
                <w:lang w:val="sl-SI"/>
              </w:rPr>
              <w:tab/>
            </w:r>
            <w:r w:rsidRPr="009F0FBD" w:rsidR="00076362">
              <w:rPr>
                <w:rStyle w:val="Hyperlink"/>
                <w:b/>
                <w:noProof/>
                <w:lang w:val="sl-SI"/>
              </w:rPr>
              <w:t>ZUNANJI ODNOSI</w:t>
            </w:r>
            <w:r w:rsidRPr="009F0FBD" w:rsidR="00076362">
              <w:rPr>
                <w:noProof/>
                <w:webHidden/>
                <w:lang w:val="sl-SI"/>
              </w:rPr>
              <w:tab/>
            </w:r>
            <w:r w:rsidRPr="009F0FBD" w:rsidR="004449AE">
              <w:rPr>
                <w:noProof/>
                <w:webHidden/>
                <w:lang w:val="sl-SI"/>
              </w:rPr>
              <w:fldChar w:fldCharType="begin"/>
            </w:r>
            <w:r w:rsidRPr="009F0FBD" w:rsidR="004449AE">
              <w:rPr>
                <w:noProof/>
                <w:webHidden/>
                <w:lang w:val="sl-SI"/>
              </w:rPr>
              <w:instrText xml:space="preserve"> PAGEREF _Toc201837073 \h </w:instrText>
            </w:r>
            <w:r w:rsidRPr="009F0FBD" w:rsidR="004449AE">
              <w:rPr>
                <w:noProof/>
                <w:webHidden/>
                <w:lang w:val="sl-SI"/>
              </w:rPr>
            </w:r>
            <w:r w:rsidRPr="009F0FBD" w:rsidR="004449AE">
              <w:rPr>
                <w:noProof/>
                <w:webHidden/>
                <w:lang w:val="sl-SI"/>
              </w:rPr>
              <w:fldChar w:fldCharType="separate"/>
            </w:r>
            <w:r w:rsidR="00BB7F42">
              <w:rPr>
                <w:noProof/>
                <w:webHidden/>
                <w:lang w:val="sl-SI"/>
              </w:rPr>
              <w:t>19</w:t>
            </w:r>
            <w:r w:rsidRPr="009F0FBD" w:rsidR="004449AE">
              <w:rPr>
                <w:noProof/>
                <w:webHidden/>
                <w:lang w:val="sl-SI"/>
              </w:rPr>
              <w:fldChar w:fldCharType="end"/>
            </w:r>
          </w:hyperlink>
        </w:p>
        <w:p w:rsidRPr="009F0FBD" w:rsidR="004D7AC0" w:rsidP="002F25F9" w:rsidRDefault="00C14021" w14:paraId="4982DD6A" w14:textId="53D96494">
          <w:pPr>
            <w:pStyle w:val="TOC1"/>
            <w:tabs>
              <w:tab w:val="left" w:pos="440"/>
              <w:tab w:val="right" w:leader="dot" w:pos="9063"/>
            </w:tabs>
            <w:rPr>
              <w:rFonts w:eastAsiaTheme="minorEastAsia"/>
              <w:noProof/>
              <w:lang w:val="sl-SI"/>
            </w:rPr>
          </w:pPr>
          <w:hyperlink w:history="1" w:anchor="_Toc201837074">
            <w:r w:rsidRPr="009F0FBD" w:rsidR="00076362">
              <w:rPr>
                <w:rStyle w:val="Hyperlink"/>
                <w:bCs/>
                <w:noProof/>
                <w:lang w:val="sl-SI"/>
              </w:rPr>
              <w:t>8.</w:t>
            </w:r>
            <w:r w:rsidRPr="009F0FBD" w:rsidR="00076362">
              <w:rPr>
                <w:rStyle w:val="Hyperlink"/>
                <w:rFonts w:eastAsiaTheme="minorEastAsia"/>
                <w:noProof/>
                <w:lang w:val="sl-SI"/>
              </w:rPr>
              <w:tab/>
            </w:r>
            <w:r w:rsidRPr="009F0FBD" w:rsidR="00076362">
              <w:rPr>
                <w:rStyle w:val="Hyperlink"/>
                <w:b/>
                <w:noProof/>
                <w:lang w:val="sl-SI"/>
              </w:rPr>
              <w:t>POSVETOVALNA KOMISIJA ZA SPREMEMBE V INDUSTRIJI</w:t>
            </w:r>
            <w:r w:rsidRPr="009F0FBD" w:rsidR="00076362">
              <w:rPr>
                <w:rStyle w:val="Hyperlink"/>
                <w:noProof/>
                <w:webHidden/>
                <w:lang w:val="sl-SI"/>
              </w:rPr>
              <w:tab/>
            </w:r>
            <w:r w:rsidRPr="009F0FBD" w:rsidR="004449AE">
              <w:rPr>
                <w:rStyle w:val="Hyperlink"/>
                <w:noProof/>
                <w:webHidden/>
                <w:lang w:val="sl-SI"/>
              </w:rPr>
              <w:fldChar w:fldCharType="begin"/>
            </w:r>
            <w:r w:rsidRPr="009F0FBD" w:rsidR="004449AE">
              <w:rPr>
                <w:rStyle w:val="Hyperlink"/>
                <w:noProof/>
                <w:webHidden/>
                <w:lang w:val="sl-SI"/>
              </w:rPr>
              <w:instrText xml:space="preserve"> PAGEREF _Toc201837074 \h </w:instrText>
            </w:r>
            <w:r w:rsidRPr="009F0FBD" w:rsidR="004449AE">
              <w:rPr>
                <w:rStyle w:val="Hyperlink"/>
                <w:noProof/>
                <w:webHidden/>
                <w:lang w:val="sl-SI"/>
              </w:rPr>
            </w:r>
            <w:r w:rsidRPr="009F0FBD" w:rsidR="004449AE">
              <w:rPr>
                <w:rStyle w:val="Hyperlink"/>
                <w:noProof/>
                <w:webHidden/>
                <w:lang w:val="sl-SI"/>
              </w:rPr>
              <w:fldChar w:fldCharType="separate"/>
            </w:r>
            <w:r w:rsidR="00BB7F42">
              <w:rPr>
                <w:rStyle w:val="Hyperlink"/>
                <w:noProof/>
                <w:webHidden/>
                <w:lang w:val="sl-SI"/>
              </w:rPr>
              <w:t>21</w:t>
            </w:r>
            <w:r w:rsidRPr="009F0FBD" w:rsidR="004449AE">
              <w:rPr>
                <w:rStyle w:val="Hyperlink"/>
                <w:noProof/>
                <w:webHidden/>
                <w:lang w:val="sl-SI"/>
              </w:rPr>
              <w:fldChar w:fldCharType="end"/>
            </w:r>
          </w:hyperlink>
          <w:r w:rsidRPr="009F0FBD" w:rsidR="004D7AC0">
            <w:rPr>
              <w:b/>
              <w:bCs/>
              <w:noProof/>
              <w:lang w:val="sl-SI"/>
            </w:rPr>
            <w:fldChar w:fldCharType="end"/>
          </w:r>
        </w:p>
      </w:sdtContent>
    </w:sdt>
    <w:p w:rsidRPr="009F0FBD" w:rsidR="004D7AC0" w:rsidP="004D7AC0" w:rsidRDefault="004D7AC0" w14:paraId="4982DD6B" w14:textId="77777777">
      <w:pPr>
        <w:rPr>
          <w:lang w:val="sl-SI"/>
        </w:rPr>
      </w:pPr>
    </w:p>
    <w:p w:rsidRPr="009F0FBD" w:rsidR="004D7AC0" w:rsidP="004D7AC0" w:rsidRDefault="004D7AC0" w14:paraId="4982DD6C" w14:textId="77777777">
      <w:pPr>
        <w:spacing w:after="160" w:line="259" w:lineRule="auto"/>
        <w:jc w:val="left"/>
        <w:rPr>
          <w:lang w:val="sl-SI"/>
        </w:rPr>
      </w:pPr>
      <w:r w:rsidRPr="009F0FBD">
        <w:rPr>
          <w:lang w:val="sl-SI"/>
        </w:rPr>
        <w:br w:type="page"/>
      </w:r>
    </w:p>
    <w:p w:rsidRPr="009F0FBD" w:rsidR="006537CB" w:rsidP="004D7AC0" w:rsidRDefault="006537CB" w14:paraId="3BC52F64" w14:textId="0954DDB2">
      <w:pPr>
        <w:pStyle w:val="Heading1"/>
        <w:rPr>
          <w:b/>
          <w:lang w:val="sl-SI"/>
        </w:rPr>
      </w:pPr>
      <w:bookmarkStart w:name="_Toc201837062" w:id="0"/>
      <w:r w:rsidRPr="009F0FBD">
        <w:rPr>
          <w:b/>
          <w:lang w:val="sl-SI"/>
        </w:rPr>
        <w:lastRenderedPageBreak/>
        <w:t>RESOLU</w:t>
      </w:r>
      <w:r w:rsidRPr="009F0FBD" w:rsidR="00104970">
        <w:rPr>
          <w:b/>
          <w:lang w:val="sl-SI"/>
        </w:rPr>
        <w:t>CIJA</w:t>
      </w:r>
      <w:bookmarkEnd w:id="0"/>
    </w:p>
    <w:p w:rsidRPr="009F0FBD" w:rsidR="006537CB" w:rsidP="006537CB" w:rsidRDefault="006537CB" w14:paraId="7567FD8E" w14:textId="77777777">
      <w:pPr>
        <w:rPr>
          <w:lang w:val="sl-SI"/>
        </w:rPr>
      </w:pPr>
    </w:p>
    <w:p w:rsidRPr="009F0FBD" w:rsidR="009F0605" w:rsidP="00611089" w:rsidRDefault="00E47EFC" w14:paraId="377664B8" w14:textId="43FD9AD3">
      <w:pPr>
        <w:widowControl w:val="0"/>
        <w:numPr>
          <w:ilvl w:val="0"/>
          <w:numId w:val="2"/>
        </w:numPr>
        <w:overflowPunct w:val="0"/>
        <w:autoSpaceDE w:val="0"/>
        <w:autoSpaceDN w:val="0"/>
        <w:adjustRightInd w:val="0"/>
        <w:ind w:left="567" w:hanging="567"/>
        <w:textAlignment w:val="baseline"/>
        <w:rPr>
          <w:b/>
          <w:bCs/>
          <w:i/>
          <w:iCs/>
          <w:sz w:val="28"/>
          <w:szCs w:val="28"/>
          <w:lang w:val="sl-SI"/>
        </w:rPr>
      </w:pPr>
      <w:hyperlink w:history="1" r:id="rId16">
        <w:r w:rsidRPr="009F0FBD" w:rsidR="001B7F40">
          <w:rPr>
            <w:rStyle w:val="Hyperlink"/>
            <w:b/>
            <w:i/>
            <w:sz w:val="28"/>
            <w:lang w:val="sl-SI"/>
          </w:rPr>
          <w:t>Resolucija – Prispevek k delovnemu programu Evropske komisije za leto 2026</w:t>
        </w:r>
      </w:hyperlink>
    </w:p>
    <w:p w:rsidRPr="009F0FBD" w:rsidR="009F0605" w:rsidP="009F0605" w:rsidRDefault="009F0605" w14:paraId="5402C002" w14:textId="77777777">
      <w:pPr>
        <w:widowControl w:val="0"/>
        <w:overflowPunct w:val="0"/>
        <w:autoSpaceDE w:val="0"/>
        <w:autoSpaceDN w:val="0"/>
        <w:adjustRightInd w:val="0"/>
        <w:ind w:left="266"/>
        <w:textAlignment w:val="baseline"/>
        <w:rPr>
          <w:bCs/>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805"/>
      </w:tblGrid>
      <w:tr w:rsidRPr="0084110F" w:rsidR="001B7F40" w:rsidTr="002775CC" w14:paraId="452A8145" w14:textId="77777777">
        <w:tc>
          <w:tcPr>
            <w:tcW w:w="1250" w:type="pct"/>
          </w:tcPr>
          <w:p w:rsidRPr="009F0FBD" w:rsidR="001B7F40" w:rsidP="002775CC" w:rsidRDefault="001B7F40" w14:paraId="3404456E" w14:textId="77777777">
            <w:pPr>
              <w:tabs>
                <w:tab w:val="center" w:pos="284"/>
              </w:tabs>
              <w:ind w:left="266" w:hanging="266"/>
              <w:rPr>
                <w:b/>
                <w:lang w:val="sl-SI"/>
              </w:rPr>
            </w:pPr>
            <w:r w:rsidRPr="009F0FBD">
              <w:rPr>
                <w:b/>
                <w:lang w:val="sl-SI"/>
              </w:rPr>
              <w:t>Poročevalci</w:t>
            </w:r>
          </w:p>
        </w:tc>
        <w:tc>
          <w:tcPr>
            <w:tcW w:w="3750" w:type="pct"/>
          </w:tcPr>
          <w:p w:rsidRPr="009F0FBD" w:rsidR="001B7F40" w:rsidP="002775CC" w:rsidRDefault="001B7F40" w14:paraId="22E84EFA" w14:textId="77777777">
            <w:pPr>
              <w:tabs>
                <w:tab w:val="center" w:pos="284"/>
              </w:tabs>
              <w:ind w:left="266" w:hanging="266"/>
              <w:rPr>
                <w:lang w:val="sl-SI"/>
              </w:rPr>
            </w:pPr>
            <w:r w:rsidRPr="009F0FBD">
              <w:rPr>
                <w:lang w:val="sl-SI"/>
              </w:rPr>
              <w:t>María del Carmen BARRERA CHAMORRO (skupina delojemalcev – ES)</w:t>
            </w:r>
          </w:p>
        </w:tc>
      </w:tr>
      <w:tr w:rsidRPr="0084110F" w:rsidR="001B7F40" w:rsidTr="002775CC" w14:paraId="5DC12FB8" w14:textId="77777777">
        <w:tc>
          <w:tcPr>
            <w:tcW w:w="1250" w:type="pct"/>
          </w:tcPr>
          <w:p w:rsidRPr="009F0FBD" w:rsidR="001B7F40" w:rsidP="002775CC" w:rsidRDefault="001B7F40" w14:paraId="0AAE139B" w14:textId="77777777">
            <w:pPr>
              <w:tabs>
                <w:tab w:val="center" w:pos="284"/>
              </w:tabs>
              <w:ind w:left="266" w:hanging="266"/>
              <w:rPr>
                <w:b/>
                <w:lang w:val="sl-SI"/>
              </w:rPr>
            </w:pPr>
          </w:p>
        </w:tc>
        <w:tc>
          <w:tcPr>
            <w:tcW w:w="3750" w:type="pct"/>
          </w:tcPr>
          <w:p w:rsidRPr="009F0FBD" w:rsidR="001B7F40" w:rsidP="002775CC" w:rsidRDefault="001B7F40" w14:paraId="5332C520" w14:textId="77777777">
            <w:pPr>
              <w:tabs>
                <w:tab w:val="center" w:pos="284"/>
              </w:tabs>
              <w:ind w:left="266" w:hanging="266"/>
              <w:rPr>
                <w:lang w:val="sl-SI"/>
              </w:rPr>
            </w:pPr>
            <w:r w:rsidRPr="009F0FBD">
              <w:rPr>
                <w:lang w:val="sl-SI"/>
              </w:rPr>
              <w:t>Christa SCHWENG (skupina delodajalcev – AT)</w:t>
            </w:r>
          </w:p>
        </w:tc>
      </w:tr>
      <w:tr w:rsidRPr="0084110F" w:rsidR="001B7F40" w:rsidTr="002775CC" w14:paraId="6CC111AC" w14:textId="77777777">
        <w:tc>
          <w:tcPr>
            <w:tcW w:w="1250" w:type="pct"/>
          </w:tcPr>
          <w:p w:rsidRPr="009F0FBD" w:rsidR="001B7F40" w:rsidP="002775CC" w:rsidRDefault="001B7F40" w14:paraId="5750908A" w14:textId="77777777">
            <w:pPr>
              <w:tabs>
                <w:tab w:val="center" w:pos="284"/>
              </w:tabs>
              <w:ind w:left="266" w:hanging="266"/>
              <w:rPr>
                <w:b/>
                <w:lang w:val="sl-SI"/>
              </w:rPr>
            </w:pPr>
          </w:p>
        </w:tc>
        <w:tc>
          <w:tcPr>
            <w:tcW w:w="3750" w:type="pct"/>
          </w:tcPr>
          <w:p w:rsidRPr="009F0FBD" w:rsidR="001B7F40" w:rsidP="002775CC" w:rsidRDefault="001B7F40" w14:paraId="48C5F126" w14:textId="5AD25D15">
            <w:pPr>
              <w:tabs>
                <w:tab w:val="center" w:pos="284"/>
              </w:tabs>
              <w:ind w:left="266" w:hanging="266"/>
              <w:rPr>
                <w:lang w:val="sl-SI"/>
              </w:rPr>
            </w:pPr>
            <w:proofErr w:type="spellStart"/>
            <w:r w:rsidRPr="009F0FBD">
              <w:rPr>
                <w:lang w:val="sl-SI"/>
              </w:rPr>
              <w:t>Krzysztof</w:t>
            </w:r>
            <w:proofErr w:type="spellEnd"/>
            <w:r w:rsidRPr="009F0FBD">
              <w:rPr>
                <w:lang w:val="sl-SI"/>
              </w:rPr>
              <w:t xml:space="preserve"> </w:t>
            </w:r>
            <w:proofErr w:type="spellStart"/>
            <w:r w:rsidRPr="00243149" w:rsidR="0084110F">
              <w:rPr>
                <w:lang w:val="sl-SI"/>
              </w:rPr>
              <w:t>Stanisław</w:t>
            </w:r>
            <w:proofErr w:type="spellEnd"/>
            <w:r w:rsidRPr="00243149" w:rsidR="0084110F">
              <w:rPr>
                <w:lang w:val="sl-SI"/>
              </w:rPr>
              <w:t xml:space="preserve"> </w:t>
            </w:r>
            <w:r w:rsidRPr="009F0FBD">
              <w:rPr>
                <w:lang w:val="sl-SI"/>
              </w:rPr>
              <w:t>BALON (skupina organizacij civilne družbe – PL)</w:t>
            </w:r>
          </w:p>
        </w:tc>
      </w:tr>
      <w:tr w:rsidRPr="0084110F" w:rsidR="004F5634" w:rsidTr="002775CC" w14:paraId="4AD4A521" w14:textId="77777777">
        <w:tc>
          <w:tcPr>
            <w:tcW w:w="1250" w:type="pct"/>
          </w:tcPr>
          <w:p w:rsidRPr="009F0FBD" w:rsidR="004F5634" w:rsidP="002775CC" w:rsidRDefault="004F5634" w14:paraId="32B95849" w14:textId="77777777">
            <w:pPr>
              <w:tabs>
                <w:tab w:val="center" w:pos="284"/>
              </w:tabs>
              <w:ind w:left="266" w:hanging="266"/>
              <w:rPr>
                <w:b/>
                <w:lang w:val="sl-SI"/>
              </w:rPr>
            </w:pPr>
          </w:p>
        </w:tc>
        <w:tc>
          <w:tcPr>
            <w:tcW w:w="3750" w:type="pct"/>
          </w:tcPr>
          <w:p w:rsidRPr="009F0FBD" w:rsidR="004F5634" w:rsidP="002775CC" w:rsidRDefault="004F5634" w14:paraId="0B7CB912" w14:textId="77777777">
            <w:pPr>
              <w:tabs>
                <w:tab w:val="center" w:pos="284"/>
              </w:tabs>
              <w:ind w:left="266" w:hanging="266"/>
              <w:rPr>
                <w:lang w:val="sl-SI"/>
              </w:rPr>
            </w:pPr>
          </w:p>
        </w:tc>
      </w:tr>
      <w:tr w:rsidRPr="009F0FBD" w:rsidR="001B7F40" w:rsidTr="002775CC" w14:paraId="2A7C5BD6" w14:textId="77777777">
        <w:tc>
          <w:tcPr>
            <w:tcW w:w="1250" w:type="pct"/>
          </w:tcPr>
          <w:p w:rsidRPr="009F0FBD" w:rsidR="001B7F40" w:rsidP="002775CC" w:rsidRDefault="001B7F40" w14:paraId="45CFEFA4" w14:textId="77777777">
            <w:pPr>
              <w:tabs>
                <w:tab w:val="center" w:pos="284"/>
              </w:tabs>
              <w:ind w:left="266" w:hanging="266"/>
              <w:rPr>
                <w:b/>
                <w:lang w:val="sl-SI"/>
              </w:rPr>
            </w:pPr>
            <w:r w:rsidRPr="009F0FBD">
              <w:rPr>
                <w:b/>
                <w:lang w:val="sl-SI"/>
              </w:rPr>
              <w:t>Referenčni dokument</w:t>
            </w:r>
          </w:p>
        </w:tc>
        <w:tc>
          <w:tcPr>
            <w:tcW w:w="3750" w:type="pct"/>
          </w:tcPr>
          <w:p w:rsidRPr="009F0FBD" w:rsidR="001B7F40" w:rsidP="002775CC" w:rsidRDefault="001B7F40" w14:paraId="55293FAB" w14:textId="77777777">
            <w:pPr>
              <w:tabs>
                <w:tab w:val="center" w:pos="284"/>
              </w:tabs>
              <w:ind w:left="266" w:hanging="266"/>
              <w:rPr>
                <w:lang w:val="sl-SI"/>
              </w:rPr>
            </w:pPr>
            <w:r w:rsidRPr="009F0FBD">
              <w:rPr>
                <w:lang w:val="sl-SI"/>
              </w:rPr>
              <w:t>EESC-2025-01179-00-00-RES</w:t>
            </w:r>
          </w:p>
        </w:tc>
      </w:tr>
    </w:tbl>
    <w:p w:rsidRPr="009F0FBD" w:rsidR="009F0605" w:rsidP="009F0605" w:rsidRDefault="009F0605" w14:paraId="304A3F66" w14:textId="77777777">
      <w:pPr>
        <w:keepNext/>
        <w:keepLines/>
        <w:tabs>
          <w:tab w:val="center" w:pos="284"/>
        </w:tabs>
        <w:overflowPunct w:val="0"/>
        <w:autoSpaceDE w:val="0"/>
        <w:autoSpaceDN w:val="0"/>
        <w:adjustRightInd w:val="0"/>
        <w:ind w:left="266" w:hanging="266"/>
        <w:textAlignment w:val="baseline"/>
        <w:rPr>
          <w:b/>
          <w:lang w:val="sl-SI"/>
        </w:rPr>
      </w:pPr>
    </w:p>
    <w:p w:rsidRPr="009F0FBD" w:rsidR="001B7F40" w:rsidP="001B7F40" w:rsidRDefault="001B7F40" w14:paraId="37B20261" w14:textId="77777777">
      <w:pPr>
        <w:keepNext/>
        <w:keepLines/>
        <w:tabs>
          <w:tab w:val="center" w:pos="284"/>
        </w:tabs>
        <w:ind w:left="266" w:hanging="266"/>
        <w:rPr>
          <w:b/>
          <w:lang w:val="sl-SI"/>
        </w:rPr>
      </w:pPr>
      <w:r w:rsidRPr="009F0FBD">
        <w:rPr>
          <w:b/>
          <w:lang w:val="sl-SI"/>
        </w:rPr>
        <w:t>Glavne točke</w:t>
      </w:r>
    </w:p>
    <w:p w:rsidRPr="009F0FBD" w:rsidR="001B7F40" w:rsidP="001B7F40" w:rsidRDefault="001B7F40" w14:paraId="43121B8B" w14:textId="77777777">
      <w:pPr>
        <w:keepNext/>
        <w:keepLines/>
        <w:tabs>
          <w:tab w:val="center" w:pos="284"/>
        </w:tabs>
        <w:ind w:left="266" w:hanging="266"/>
        <w:rPr>
          <w:b/>
          <w:lang w:val="sl-SI"/>
        </w:rPr>
      </w:pPr>
    </w:p>
    <w:p w:rsidRPr="009F0FBD" w:rsidR="001B7F40" w:rsidP="001B7F40" w:rsidRDefault="001B7F40" w14:paraId="28B76CA1" w14:textId="77777777">
      <w:pPr>
        <w:rPr>
          <w:bCs/>
          <w:iCs/>
          <w:lang w:val="sl-SI"/>
        </w:rPr>
      </w:pPr>
      <w:r w:rsidRPr="009F0FBD">
        <w:rPr>
          <w:lang w:val="sl-SI"/>
        </w:rPr>
        <w:t>Predlogi in zahteve EESO:</w:t>
      </w:r>
    </w:p>
    <w:p w:rsidRPr="009F0FBD" w:rsidR="001B7F40" w:rsidP="001B7F40" w:rsidRDefault="001B7F40" w14:paraId="1FCF1AC2" w14:textId="77777777">
      <w:pPr>
        <w:rPr>
          <w:bCs/>
          <w:iCs/>
          <w:lang w:val="sl-SI"/>
        </w:rPr>
      </w:pPr>
    </w:p>
    <w:p w:rsidRPr="009F0FBD" w:rsidR="001B7F40" w:rsidP="004F5634" w:rsidRDefault="001B7F40" w14:paraId="674235C7" w14:textId="77777777">
      <w:pPr>
        <w:numPr>
          <w:ilvl w:val="0"/>
          <w:numId w:val="26"/>
        </w:numPr>
        <w:overflowPunct w:val="0"/>
        <w:autoSpaceDE w:val="0"/>
        <w:autoSpaceDN w:val="0"/>
        <w:adjustRightInd w:val="0"/>
        <w:ind w:left="284" w:hanging="284"/>
        <w:textAlignment w:val="baseline"/>
        <w:rPr>
          <w:bCs/>
          <w:iCs/>
          <w:lang w:val="sl-SI"/>
        </w:rPr>
      </w:pPr>
      <w:r w:rsidRPr="009F0FBD">
        <w:rPr>
          <w:lang w:val="sl-SI"/>
        </w:rPr>
        <w:t>EESO kot institucionalni glasnik evropske organizirane civilne družbe s to resolucijo prispeva k oblikovanju delovnega programa Evropske komisije za leto 2026. EU mora v središče svojega delovanja postaviti demokracijo, človekove pravice, trajnostnost, enakost in socialno pravičnost. Socialni partnerji, civilna družba in prostovoljske organizacije so ključna infrastruktura za odpornost družbe in jih je treba priznati, zaščititi ter smiselno vključiti v predvidevanje, pripravljenost in okrevanje v vseh krizah.</w:t>
      </w:r>
    </w:p>
    <w:p w:rsidRPr="009F0FBD" w:rsidR="001B7F40" w:rsidP="004F5634" w:rsidRDefault="001B7F40" w14:paraId="7216010F" w14:textId="77777777">
      <w:pPr>
        <w:numPr>
          <w:ilvl w:val="0"/>
          <w:numId w:val="26"/>
        </w:numPr>
        <w:overflowPunct w:val="0"/>
        <w:autoSpaceDE w:val="0"/>
        <w:autoSpaceDN w:val="0"/>
        <w:adjustRightInd w:val="0"/>
        <w:ind w:left="284" w:hanging="284"/>
        <w:textAlignment w:val="baseline"/>
        <w:rPr>
          <w:bCs/>
          <w:iCs/>
          <w:lang w:val="sl-SI"/>
        </w:rPr>
      </w:pPr>
      <w:r w:rsidRPr="009F0FBD">
        <w:rPr>
          <w:lang w:val="sl-SI"/>
        </w:rPr>
        <w:t>Da bi EU ohranila vodilno vlogo v hitro spreminjajočem se svetu, mora sprejeti nov pristop h konkurenčnosti, ki združuje industrijsko politiko, podnebne ambicije in geopolitično strategijo. Za to je potreben močan poudarek na naložbah ter spodbujanju inovacij in socialne kohezije, hkrati pa je treba zagotoviti, da je gospodarska rast trajnostna, socialna, vključujoča in odporna. Konkurenčnost in gospodarska rast morata potekati skupaj s socialnim vključevanjem.</w:t>
      </w:r>
    </w:p>
    <w:p w:rsidRPr="009F0FBD" w:rsidR="001B7F40" w:rsidP="004F5634" w:rsidRDefault="001B7F40" w14:paraId="5133A09F" w14:textId="77777777">
      <w:pPr>
        <w:numPr>
          <w:ilvl w:val="0"/>
          <w:numId w:val="26"/>
        </w:numPr>
        <w:overflowPunct w:val="0"/>
        <w:autoSpaceDE w:val="0"/>
        <w:autoSpaceDN w:val="0"/>
        <w:adjustRightInd w:val="0"/>
        <w:ind w:left="284" w:hanging="284"/>
        <w:textAlignment w:val="baseline"/>
        <w:rPr>
          <w:bCs/>
          <w:iCs/>
          <w:lang w:val="sl-SI"/>
        </w:rPr>
      </w:pPr>
      <w:r w:rsidRPr="009F0FBD">
        <w:rPr>
          <w:lang w:val="sl-SI"/>
        </w:rPr>
        <w:t>Odporna industrijska politika mora dajati prednost inovacijam, zelenemu in digitalnemu prehodu ter uniji spretnosti, hkrati pa spodbujati vseživljenjsko učenje in kakovostna delovna mesta. Podpirati je treba socialno ekonomijo in solidarnostno gospodarstvo kot gonilo pravičnosti in kohezije. Ker je obrambna pripravljenost v novi varnostni situaciji postala ključna, mora postati skupna prednostna naloga, hkrati pa temeljiti na pravicah, preglednosti in pravni državi.</w:t>
      </w:r>
    </w:p>
    <w:p w:rsidRPr="009F0FBD" w:rsidR="001B7F40" w:rsidP="004F5634" w:rsidRDefault="001B7F40" w14:paraId="44A5DD7C" w14:textId="77777777">
      <w:pPr>
        <w:numPr>
          <w:ilvl w:val="0"/>
          <w:numId w:val="26"/>
        </w:numPr>
        <w:overflowPunct w:val="0"/>
        <w:autoSpaceDE w:val="0"/>
        <w:autoSpaceDN w:val="0"/>
        <w:adjustRightInd w:val="0"/>
        <w:ind w:left="284" w:hanging="284"/>
        <w:textAlignment w:val="baseline"/>
        <w:rPr>
          <w:bCs/>
          <w:iCs/>
          <w:lang w:val="sl-SI"/>
        </w:rPr>
      </w:pPr>
      <w:r w:rsidRPr="009F0FBD">
        <w:rPr>
          <w:lang w:val="sl-SI"/>
        </w:rPr>
        <w:t>Naložbe v raziskave, razvoj, spretnosti in strateške sektorje morajo biti v središču te industrijske politike, da se zagotovijo industrijska odpornost, dolgoročna gospodarska rast ter kakovostna delovna mesta. Z osredotočanjem na tehnologije, kot sta humanocentrična umetna inteligenca in energija iz obnovljivih virov, lahko EU ohrani konkurenčno prednost v panogah z visoko dodano vrednostjo.</w:t>
      </w:r>
    </w:p>
    <w:p w:rsidRPr="009F0FBD" w:rsidR="001B7F40" w:rsidP="004F5634" w:rsidRDefault="001B7F40" w14:paraId="2A2EC334" w14:textId="77777777">
      <w:pPr>
        <w:keepNext/>
        <w:keepLines/>
        <w:numPr>
          <w:ilvl w:val="0"/>
          <w:numId w:val="26"/>
        </w:numPr>
        <w:overflowPunct w:val="0"/>
        <w:autoSpaceDE w:val="0"/>
        <w:autoSpaceDN w:val="0"/>
        <w:adjustRightInd w:val="0"/>
        <w:ind w:left="284" w:hanging="284"/>
        <w:textAlignment w:val="baseline"/>
        <w:rPr>
          <w:bCs/>
          <w:iCs/>
          <w:lang w:val="sl-SI"/>
        </w:rPr>
      </w:pPr>
      <w:r w:rsidRPr="009F0FBD">
        <w:rPr>
          <w:lang w:val="sl-SI"/>
        </w:rPr>
        <w:t xml:space="preserve">Izvesti strategijo za boj proti revščini, da bi izkoreninili skrajno revščino in odgovorili na problem stanovanjske, energetske in mobilnostne revščine. Izrecno priznati povezavo med trajno revščino in izključenostjo iz demokratičnih procesov ter zagotoviti, da so ljudje, ki so izkusili revščino, vključeni v soustvarjanje politik in državljansko udeležbo ter da nihče ni prikrajšan za dostop do osnovnih virov energije. </w:t>
      </w:r>
    </w:p>
    <w:p w:rsidRPr="009F0FBD" w:rsidR="001B7F40" w:rsidP="004F5634" w:rsidRDefault="001B7F40" w14:paraId="5F035D9B" w14:textId="77777777">
      <w:pPr>
        <w:numPr>
          <w:ilvl w:val="0"/>
          <w:numId w:val="26"/>
        </w:numPr>
        <w:overflowPunct w:val="0"/>
        <w:autoSpaceDE w:val="0"/>
        <w:autoSpaceDN w:val="0"/>
        <w:adjustRightInd w:val="0"/>
        <w:ind w:left="284" w:hanging="284"/>
        <w:textAlignment w:val="baseline"/>
        <w:rPr>
          <w:bCs/>
          <w:iCs/>
          <w:lang w:val="sl-SI"/>
        </w:rPr>
      </w:pPr>
      <w:r w:rsidRPr="009F0FBD">
        <w:rPr>
          <w:lang w:val="sl-SI"/>
        </w:rPr>
        <w:t xml:space="preserve">Pripraviti strategijo za enakost spolov po letu 2025 z namenom izkoreninjenja nasilja na podlagi spola, odprave razlik med spoloma na trgu dela, doseganja enakopravne udeležbe v različnih sektorjih gospodarstva, obravnavanja razlik v plačah in pokojninah na podlagi spola, odprave razlik </w:t>
      </w:r>
      <w:r w:rsidRPr="009F0FBD">
        <w:rPr>
          <w:lang w:val="sl-SI"/>
        </w:rPr>
        <w:lastRenderedPageBreak/>
        <w:t>med spoloma pri skrbstvenem delu, doseganja uravnotežene zastopanosti spolov pri odločanju in v politiki ter oceniti dosedanji napredek.</w:t>
      </w:r>
    </w:p>
    <w:p w:rsidRPr="009F0FBD" w:rsidR="001B7F40" w:rsidP="004F5634" w:rsidRDefault="001B7F40" w14:paraId="1F2AFA99" w14:textId="77777777">
      <w:pPr>
        <w:numPr>
          <w:ilvl w:val="0"/>
          <w:numId w:val="26"/>
        </w:numPr>
        <w:overflowPunct w:val="0"/>
        <w:autoSpaceDE w:val="0"/>
        <w:autoSpaceDN w:val="0"/>
        <w:adjustRightInd w:val="0"/>
        <w:ind w:left="284" w:hanging="284"/>
        <w:textAlignment w:val="baseline"/>
        <w:rPr>
          <w:bCs/>
          <w:iCs/>
          <w:lang w:val="sl-SI"/>
        </w:rPr>
      </w:pPr>
      <w:r w:rsidRPr="009F0FBD">
        <w:rPr>
          <w:lang w:val="sl-SI"/>
        </w:rPr>
        <w:t>Okrepiti demokracijo na delovnem mestu prek socialnega dialoga, kolektivnih pogajanj in celovitega izvajanja pravic delavcev do obveščenosti, posvetovanja in zastopanja. Institucije EU bi morale zagotoviti ustrezno podporo socialnemu dialogu in kolektivnim pogajanjem na vseh ravneh z namenom nadaljnjega razvoja zmogljivosti socialnih partnerjev in sprejetja ustreznih izvedbenih ukrepov, vključno s finančnimi ukrepi, za povečanje obsega kolektivnih pogajanj, zlasti v državah in regijah, kjer njihov potencial ostaja neizkoriščen.</w:t>
      </w:r>
    </w:p>
    <w:p w:rsidRPr="009F0FBD" w:rsidR="001B7F40" w:rsidP="004F5634" w:rsidRDefault="001B7F40" w14:paraId="4EDC79A7" w14:textId="77777777">
      <w:pPr>
        <w:numPr>
          <w:ilvl w:val="0"/>
          <w:numId w:val="26"/>
        </w:numPr>
        <w:overflowPunct w:val="0"/>
        <w:autoSpaceDE w:val="0"/>
        <w:autoSpaceDN w:val="0"/>
        <w:adjustRightInd w:val="0"/>
        <w:ind w:left="284" w:hanging="284"/>
        <w:textAlignment w:val="baseline"/>
        <w:rPr>
          <w:bCs/>
          <w:iCs/>
          <w:lang w:val="sl-SI"/>
        </w:rPr>
      </w:pPr>
      <w:r w:rsidRPr="009F0FBD">
        <w:rPr>
          <w:lang w:val="sl-SI"/>
        </w:rPr>
        <w:t xml:space="preserve">Proces širitve bi se moral nadaljevati v smeri miru, blaginje in demokracije, hkrati pa bi bilo treba z vključitvijo socialnih in civilnih akterjev ustvariti dolgoročno stabilnost na naši celini. Pri tem bi morala imeti pomembno vlogo Ukrajina, katere demokratična odpornost v času agresije je zgled obrambe evropskih vrednot, skupaj z Moldavijo in Zahodnim Balkanom. </w:t>
      </w:r>
    </w:p>
    <w:p w:rsidRPr="009F0FBD" w:rsidR="001B7F40" w:rsidP="004F5634" w:rsidRDefault="001B7F40" w14:paraId="7B33CCBD" w14:textId="77777777">
      <w:pPr>
        <w:numPr>
          <w:ilvl w:val="0"/>
          <w:numId w:val="26"/>
        </w:numPr>
        <w:overflowPunct w:val="0"/>
        <w:autoSpaceDE w:val="0"/>
        <w:autoSpaceDN w:val="0"/>
        <w:adjustRightInd w:val="0"/>
        <w:ind w:left="284" w:hanging="284"/>
        <w:textAlignment w:val="baseline"/>
        <w:rPr>
          <w:bCs/>
          <w:iCs/>
          <w:lang w:val="sl-SI"/>
        </w:rPr>
      </w:pPr>
      <w:r w:rsidRPr="009F0FBD">
        <w:rPr>
          <w:lang w:val="sl-SI"/>
        </w:rPr>
        <w:t>Ustanoviti Evropski sklad za strateške naložbe, ki bo osredotočen na financiranje prednostnih evropskih projektov. Poleg tega bi se morala na podlagi večletnega finančnega okvira za obdobje 2028–2034 znatno povečati sredstva, namenjena naložbenim prednostnim nalogam, ob upoštevanju stroge socialne pogojenosti.</w:t>
      </w:r>
    </w:p>
    <w:p w:rsidRPr="009F0FBD" w:rsidR="001B7F40" w:rsidP="001B7F40" w:rsidRDefault="001B7F40" w14:paraId="0D425D08" w14:textId="77777777">
      <w:pPr>
        <w:widowControl w:val="0"/>
        <w:ind w:left="644"/>
        <w:rPr>
          <w:bCs/>
          <w:iCs/>
          <w:lang w:val="sl-SI"/>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7"/>
        <w:gridCol w:w="4113"/>
      </w:tblGrid>
      <w:tr w:rsidRPr="009F0FBD" w:rsidR="001B7F40" w:rsidTr="002775CC" w14:paraId="1890E78D" w14:textId="77777777">
        <w:tc>
          <w:tcPr>
            <w:tcW w:w="1777" w:type="pct"/>
          </w:tcPr>
          <w:p w:rsidRPr="009F0FBD" w:rsidR="001B7F40" w:rsidP="002775CC" w:rsidRDefault="001B7F40" w14:paraId="45F7C4D0" w14:textId="093ABA12">
            <w:pPr>
              <w:rPr>
                <w:i/>
                <w:lang w:val="sl-SI"/>
              </w:rPr>
            </w:pPr>
            <w:r w:rsidRPr="009F0FBD">
              <w:rPr>
                <w:b/>
                <w:i/>
                <w:lang w:val="sl-SI"/>
              </w:rPr>
              <w:t>Kontaktna oseba</w:t>
            </w:r>
          </w:p>
        </w:tc>
        <w:tc>
          <w:tcPr>
            <w:tcW w:w="3223" w:type="pct"/>
          </w:tcPr>
          <w:p w:rsidRPr="009F0FBD" w:rsidR="001B7F40" w:rsidP="002775CC" w:rsidRDefault="001B7F40" w14:paraId="4D462F49" w14:textId="77777777">
            <w:pPr>
              <w:rPr>
                <w:i/>
                <w:lang w:val="sl-SI"/>
              </w:rPr>
            </w:pPr>
            <w:r w:rsidRPr="009F0FBD">
              <w:rPr>
                <w:i/>
                <w:lang w:val="sl-SI"/>
              </w:rPr>
              <w:t>David SCUDERI</w:t>
            </w:r>
          </w:p>
        </w:tc>
      </w:tr>
      <w:tr w:rsidRPr="009F0FBD" w:rsidR="001B7F40" w:rsidTr="002775CC" w14:paraId="015009FA" w14:textId="77777777">
        <w:tc>
          <w:tcPr>
            <w:tcW w:w="1777" w:type="pct"/>
          </w:tcPr>
          <w:p w:rsidRPr="009F0FBD" w:rsidR="001B7F40" w:rsidP="002775CC" w:rsidRDefault="001B7F40" w14:paraId="0A0FD282" w14:textId="77777777">
            <w:pPr>
              <w:rPr>
                <w:i/>
                <w:lang w:val="sl-SI"/>
              </w:rPr>
            </w:pPr>
            <w:r w:rsidRPr="009F0FBD">
              <w:rPr>
                <w:i/>
                <w:lang w:val="sl-SI"/>
              </w:rPr>
              <w:t>Telefon</w:t>
            </w:r>
          </w:p>
        </w:tc>
        <w:tc>
          <w:tcPr>
            <w:tcW w:w="3223" w:type="pct"/>
          </w:tcPr>
          <w:p w:rsidRPr="009F0FBD" w:rsidR="001B7F40" w:rsidP="002775CC" w:rsidRDefault="001B7F40" w14:paraId="1C0B873E" w14:textId="77777777">
            <w:pPr>
              <w:rPr>
                <w:i/>
                <w:lang w:val="sl-SI"/>
              </w:rPr>
            </w:pPr>
            <w:r w:rsidRPr="009F0FBD">
              <w:rPr>
                <w:i/>
                <w:lang w:val="sl-SI"/>
              </w:rPr>
              <w:t>+3225468122</w:t>
            </w:r>
          </w:p>
        </w:tc>
      </w:tr>
      <w:tr w:rsidRPr="0084110F" w:rsidR="001B7F40" w:rsidTr="002775CC" w14:paraId="79A586C6" w14:textId="77777777">
        <w:tc>
          <w:tcPr>
            <w:tcW w:w="1777" w:type="pct"/>
          </w:tcPr>
          <w:p w:rsidRPr="009F0FBD" w:rsidR="001B7F40" w:rsidP="002775CC" w:rsidRDefault="001B7F40" w14:paraId="769B74FD" w14:textId="77777777">
            <w:pPr>
              <w:rPr>
                <w:i/>
                <w:lang w:val="sl-SI"/>
              </w:rPr>
            </w:pPr>
            <w:r w:rsidRPr="009F0FBD">
              <w:rPr>
                <w:i/>
                <w:lang w:val="sl-SI"/>
              </w:rPr>
              <w:t>E-naslov</w:t>
            </w:r>
          </w:p>
        </w:tc>
        <w:tc>
          <w:tcPr>
            <w:tcW w:w="3223" w:type="pct"/>
          </w:tcPr>
          <w:p w:rsidRPr="009F0FBD" w:rsidR="001B7F40" w:rsidP="002775CC" w:rsidRDefault="00E47EFC" w14:paraId="44E3FE74" w14:textId="77777777">
            <w:pPr>
              <w:rPr>
                <w:i/>
                <w:lang w:val="sl-SI"/>
              </w:rPr>
            </w:pPr>
            <w:hyperlink w:history="1" r:id="rId17">
              <w:r w:rsidRPr="009F0FBD" w:rsidR="001B7F40">
                <w:rPr>
                  <w:rStyle w:val="Hyperlink"/>
                  <w:i/>
                  <w:lang w:val="sl-SI"/>
                </w:rPr>
                <w:t>David.Scuderi@eesc.europa.eu</w:t>
              </w:r>
            </w:hyperlink>
            <w:r w:rsidRPr="009F0FBD" w:rsidR="001B7F40">
              <w:rPr>
                <w:i/>
                <w:lang w:val="sl-SI"/>
              </w:rPr>
              <w:t xml:space="preserve"> </w:t>
            </w:r>
          </w:p>
        </w:tc>
      </w:tr>
      <w:tr w:rsidRPr="009F0FBD" w:rsidR="001B7F40" w:rsidTr="002775CC" w14:paraId="3CEFAA39" w14:textId="77777777">
        <w:tc>
          <w:tcPr>
            <w:tcW w:w="1777" w:type="pct"/>
          </w:tcPr>
          <w:p w:rsidRPr="009F0FBD" w:rsidR="001B7F40" w:rsidP="002775CC" w:rsidRDefault="001B7F40" w14:paraId="5E304394" w14:textId="2D00FCD0">
            <w:pPr>
              <w:rPr>
                <w:i/>
                <w:lang w:val="sl-SI"/>
              </w:rPr>
            </w:pPr>
            <w:r w:rsidRPr="009F0FBD">
              <w:rPr>
                <w:b/>
                <w:i/>
                <w:lang w:val="sl-SI"/>
              </w:rPr>
              <w:t>Kontaktna oseba</w:t>
            </w:r>
          </w:p>
        </w:tc>
        <w:tc>
          <w:tcPr>
            <w:tcW w:w="3223" w:type="pct"/>
          </w:tcPr>
          <w:p w:rsidRPr="009F0FBD" w:rsidR="001B7F40" w:rsidP="002775CC" w:rsidRDefault="001B7F40" w14:paraId="7C9D6319" w14:textId="77777777">
            <w:pPr>
              <w:rPr>
                <w:i/>
                <w:lang w:val="sl-SI"/>
              </w:rPr>
            </w:pPr>
            <w:r w:rsidRPr="009F0FBD">
              <w:rPr>
                <w:i/>
                <w:lang w:val="sl-SI"/>
              </w:rPr>
              <w:t>Stefania LOPEDOTE</w:t>
            </w:r>
          </w:p>
        </w:tc>
      </w:tr>
      <w:tr w:rsidRPr="009F0FBD" w:rsidR="001B7F40" w:rsidTr="002775CC" w14:paraId="40FE362A" w14:textId="77777777">
        <w:tc>
          <w:tcPr>
            <w:tcW w:w="1777" w:type="pct"/>
          </w:tcPr>
          <w:p w:rsidRPr="009F0FBD" w:rsidR="001B7F40" w:rsidP="002775CC" w:rsidRDefault="001B7F40" w14:paraId="51621529" w14:textId="77777777">
            <w:pPr>
              <w:rPr>
                <w:i/>
                <w:lang w:val="sl-SI"/>
              </w:rPr>
            </w:pPr>
            <w:r w:rsidRPr="009F0FBD">
              <w:rPr>
                <w:i/>
                <w:lang w:val="sl-SI"/>
              </w:rPr>
              <w:t>Telefon</w:t>
            </w:r>
          </w:p>
        </w:tc>
        <w:tc>
          <w:tcPr>
            <w:tcW w:w="3223" w:type="pct"/>
          </w:tcPr>
          <w:p w:rsidRPr="009F0FBD" w:rsidR="001B7F40" w:rsidP="002775CC" w:rsidRDefault="001B7F40" w14:paraId="3AD2B889" w14:textId="77777777">
            <w:pPr>
              <w:rPr>
                <w:i/>
                <w:lang w:val="sl-SI"/>
              </w:rPr>
            </w:pPr>
            <w:r w:rsidRPr="009F0FBD">
              <w:rPr>
                <w:i/>
                <w:lang w:val="sl-SI"/>
              </w:rPr>
              <w:t>+3225468829</w:t>
            </w:r>
          </w:p>
        </w:tc>
      </w:tr>
      <w:tr w:rsidRPr="0084110F" w:rsidR="001B7F40" w:rsidTr="002775CC" w14:paraId="6C03D264" w14:textId="77777777">
        <w:tc>
          <w:tcPr>
            <w:tcW w:w="1777" w:type="pct"/>
          </w:tcPr>
          <w:p w:rsidRPr="009F0FBD" w:rsidR="001B7F40" w:rsidP="002775CC" w:rsidRDefault="001B7F40" w14:paraId="7370AD4A" w14:textId="77777777">
            <w:pPr>
              <w:rPr>
                <w:i/>
                <w:lang w:val="sl-SI"/>
              </w:rPr>
            </w:pPr>
            <w:r w:rsidRPr="009F0FBD">
              <w:rPr>
                <w:i/>
                <w:lang w:val="sl-SI"/>
              </w:rPr>
              <w:t>E-naslov</w:t>
            </w:r>
          </w:p>
        </w:tc>
        <w:tc>
          <w:tcPr>
            <w:tcW w:w="3223" w:type="pct"/>
          </w:tcPr>
          <w:p w:rsidRPr="009F0FBD" w:rsidR="001B7F40" w:rsidP="002775CC" w:rsidRDefault="00E47EFC" w14:paraId="44B4ED63" w14:textId="77777777">
            <w:pPr>
              <w:rPr>
                <w:i/>
                <w:lang w:val="sl-SI"/>
              </w:rPr>
            </w:pPr>
            <w:hyperlink w:history="1" r:id="rId18">
              <w:r w:rsidRPr="009F0FBD" w:rsidR="001B7F40">
                <w:rPr>
                  <w:rStyle w:val="Hyperlink"/>
                  <w:i/>
                  <w:lang w:val="sl-SI"/>
                </w:rPr>
                <w:t>Stefania.Lopedote@eesc.europa.eu</w:t>
              </w:r>
            </w:hyperlink>
            <w:r w:rsidRPr="009F0FBD" w:rsidR="001B7F40">
              <w:rPr>
                <w:i/>
                <w:lang w:val="sl-SI"/>
              </w:rPr>
              <w:t xml:space="preserve"> </w:t>
            </w:r>
          </w:p>
        </w:tc>
      </w:tr>
    </w:tbl>
    <w:p w:rsidRPr="009F0FBD" w:rsidR="001B7F40" w:rsidP="001B7F40" w:rsidRDefault="001B7F40" w14:paraId="69AB47F4" w14:textId="77777777">
      <w:pPr>
        <w:jc w:val="center"/>
        <w:rPr>
          <w:lang w:val="sl-SI"/>
        </w:rPr>
      </w:pPr>
    </w:p>
    <w:p w:rsidRPr="009F0FBD" w:rsidR="00E32C54" w:rsidRDefault="00E32C54" w14:paraId="68CEF362" w14:textId="77777777">
      <w:pPr>
        <w:spacing w:after="160" w:line="259" w:lineRule="auto"/>
        <w:jc w:val="left"/>
        <w:rPr>
          <w:lang w:val="sl-SI"/>
        </w:rPr>
      </w:pPr>
      <w:r w:rsidRPr="009F0FBD">
        <w:rPr>
          <w:lang w:val="sl-SI"/>
        </w:rPr>
        <w:br w:type="page"/>
      </w:r>
    </w:p>
    <w:p w:rsidRPr="009F0FBD" w:rsidR="001B7F40" w:rsidP="00611089" w:rsidRDefault="001B7F40" w14:paraId="2D6B0935" w14:textId="41CD25CE">
      <w:pPr>
        <w:numPr>
          <w:ilvl w:val="0"/>
          <w:numId w:val="16"/>
        </w:numPr>
        <w:suppressAutoHyphens/>
        <w:overflowPunct w:val="0"/>
        <w:autoSpaceDE w:val="0"/>
        <w:autoSpaceDN w:val="0"/>
        <w:adjustRightInd w:val="0"/>
        <w:ind w:hanging="567"/>
        <w:textAlignment w:val="baseline"/>
        <w:rPr>
          <w:sz w:val="24"/>
          <w:szCs w:val="24"/>
          <w:lang w:val="sl-SI"/>
        </w:rPr>
      </w:pPr>
      <w:r w:rsidRPr="009F0FBD">
        <w:rPr>
          <w:b/>
          <w:i/>
          <w:sz w:val="28"/>
          <w:lang w:val="sl-SI"/>
        </w:rPr>
        <w:lastRenderedPageBreak/>
        <w:t xml:space="preserve">Resolucija </w:t>
      </w:r>
      <w:r w:rsidR="0084110F">
        <w:rPr>
          <w:b/>
          <w:i/>
          <w:sz w:val="28"/>
          <w:lang w:val="sl-SI"/>
        </w:rPr>
        <w:t>–</w:t>
      </w:r>
      <w:r w:rsidRPr="009F0FBD">
        <w:rPr>
          <w:b/>
          <w:i/>
          <w:sz w:val="28"/>
          <w:lang w:val="sl-SI"/>
        </w:rPr>
        <w:t xml:space="preserve">- </w:t>
      </w:r>
      <w:r w:rsidRPr="0084110F" w:rsidR="0084110F">
        <w:rPr>
          <w:b/>
          <w:i/>
          <w:sz w:val="28"/>
          <w:lang w:val="sl-SI"/>
        </w:rPr>
        <w:t>Načrt za pravice žensk –</w:t>
      </w:r>
      <w:r w:rsidR="0084110F">
        <w:rPr>
          <w:b/>
          <w:i/>
          <w:sz w:val="28"/>
          <w:lang w:val="sl-SI"/>
        </w:rPr>
        <w:t xml:space="preserve"> </w:t>
      </w:r>
      <w:hyperlink w:history="1" r:id="rId19">
        <w:r w:rsidRPr="009F0FBD">
          <w:rPr>
            <w:rStyle w:val="Hyperlink"/>
            <w:b/>
            <w:i/>
            <w:sz w:val="28"/>
            <w:lang w:val="sl-SI"/>
          </w:rPr>
          <w:t xml:space="preserve">Podpora deklaraciji o načelih za </w:t>
        </w:r>
        <w:proofErr w:type="spellStart"/>
        <w:r w:rsidRPr="009F0FBD">
          <w:rPr>
            <w:rStyle w:val="Hyperlink"/>
            <w:b/>
            <w:i/>
            <w:sz w:val="28"/>
            <w:lang w:val="sl-SI"/>
          </w:rPr>
          <w:t>spolsko</w:t>
        </w:r>
        <w:proofErr w:type="spellEnd"/>
        <w:r w:rsidRPr="009F0FBD">
          <w:rPr>
            <w:rStyle w:val="Hyperlink"/>
            <w:b/>
            <w:i/>
            <w:sz w:val="28"/>
            <w:lang w:val="sl-SI"/>
          </w:rPr>
          <w:t xml:space="preserve"> enakostno družbo</w:t>
        </w:r>
      </w:hyperlink>
    </w:p>
    <w:p w:rsidRPr="009F0FBD" w:rsidR="00E32C54" w:rsidP="00E32C54" w:rsidRDefault="00E32C54" w14:paraId="7E2617BD" w14:textId="3F188D01">
      <w:pPr>
        <w:tabs>
          <w:tab w:val="center" w:pos="284"/>
        </w:tabs>
        <w:overflowPunct w:val="0"/>
        <w:autoSpaceDE w:val="0"/>
        <w:autoSpaceDN w:val="0"/>
        <w:adjustRightInd w:val="0"/>
        <w:ind w:left="266" w:hanging="266"/>
        <w:textAlignment w:val="baseline"/>
        <w:rPr>
          <w:b/>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80"/>
        <w:gridCol w:w="6293"/>
      </w:tblGrid>
      <w:tr w:rsidRPr="0084110F" w:rsidR="001B7F40" w:rsidTr="002775CC" w14:paraId="2BA1874E" w14:textId="77777777">
        <w:tc>
          <w:tcPr>
            <w:tcW w:w="2802" w:type="dxa"/>
          </w:tcPr>
          <w:p w:rsidRPr="009F0FBD" w:rsidR="001B7F40" w:rsidP="002775CC" w:rsidRDefault="001B7F40" w14:paraId="56FA2BBE" w14:textId="77777777">
            <w:pPr>
              <w:tabs>
                <w:tab w:val="center" w:pos="284"/>
              </w:tabs>
              <w:suppressAutoHyphens/>
              <w:ind w:left="266" w:hanging="266"/>
              <w:rPr>
                <w:b/>
                <w:lang w:val="sl-SI"/>
              </w:rPr>
            </w:pPr>
            <w:r w:rsidRPr="009F0FBD">
              <w:rPr>
                <w:b/>
                <w:lang w:val="sl-SI"/>
              </w:rPr>
              <w:t>Poročevalka</w:t>
            </w:r>
          </w:p>
        </w:tc>
        <w:tc>
          <w:tcPr>
            <w:tcW w:w="6378" w:type="dxa"/>
          </w:tcPr>
          <w:p w:rsidRPr="009F0FBD" w:rsidR="001B7F40" w:rsidP="002775CC" w:rsidRDefault="001B7F40" w14:paraId="566CEBDE" w14:textId="77777777">
            <w:pPr>
              <w:tabs>
                <w:tab w:val="center" w:pos="284"/>
              </w:tabs>
              <w:suppressAutoHyphens/>
              <w:ind w:left="266" w:hanging="266"/>
              <w:rPr>
                <w:lang w:val="sl-SI"/>
              </w:rPr>
            </w:pPr>
            <w:r w:rsidRPr="009F0FBD">
              <w:rPr>
                <w:lang w:val="sl-SI"/>
              </w:rPr>
              <w:t>Sif HOLST (skupina organizacij civilne družbe – DK)</w:t>
            </w:r>
          </w:p>
        </w:tc>
      </w:tr>
      <w:tr w:rsidRPr="0084110F" w:rsidR="001B7F40" w:rsidTr="002775CC" w14:paraId="50908CB2" w14:textId="77777777">
        <w:tc>
          <w:tcPr>
            <w:tcW w:w="9180" w:type="dxa"/>
            <w:gridSpan w:val="2"/>
          </w:tcPr>
          <w:p w:rsidRPr="009F0FBD" w:rsidR="001B7F40" w:rsidP="002775CC" w:rsidRDefault="001B7F40" w14:paraId="6ED08523" w14:textId="77777777">
            <w:pPr>
              <w:tabs>
                <w:tab w:val="center" w:pos="284"/>
              </w:tabs>
              <w:suppressAutoHyphens/>
              <w:spacing w:line="240" w:lineRule="auto"/>
              <w:ind w:left="266" w:hanging="266"/>
              <w:rPr>
                <w:sz w:val="16"/>
                <w:szCs w:val="16"/>
                <w:lang w:val="sl-SI"/>
              </w:rPr>
            </w:pPr>
          </w:p>
        </w:tc>
      </w:tr>
      <w:tr w:rsidRPr="009F0FBD" w:rsidR="001B7F40" w:rsidTr="002775CC" w14:paraId="6E4F2A78" w14:textId="77777777">
        <w:tc>
          <w:tcPr>
            <w:tcW w:w="2802" w:type="dxa"/>
            <w:vMerge w:val="restart"/>
          </w:tcPr>
          <w:p w:rsidRPr="009F0FBD" w:rsidR="001B7F40" w:rsidP="002775CC" w:rsidRDefault="001B7F40" w14:paraId="5472619A" w14:textId="77777777">
            <w:pPr>
              <w:tabs>
                <w:tab w:val="center" w:pos="284"/>
              </w:tabs>
              <w:suppressAutoHyphens/>
              <w:ind w:left="266" w:hanging="266"/>
              <w:rPr>
                <w:b/>
                <w:lang w:val="sl-SI"/>
              </w:rPr>
            </w:pPr>
            <w:r w:rsidRPr="009F0FBD">
              <w:rPr>
                <w:b/>
                <w:lang w:val="sl-SI"/>
              </w:rPr>
              <w:t>Referenčna dokumenta</w:t>
            </w:r>
          </w:p>
        </w:tc>
        <w:tc>
          <w:tcPr>
            <w:tcW w:w="6378" w:type="dxa"/>
          </w:tcPr>
          <w:p w:rsidRPr="009F0FBD" w:rsidR="001B7F40" w:rsidP="002775CC" w:rsidRDefault="001B7F40" w14:paraId="43174216" w14:textId="77777777">
            <w:pPr>
              <w:tabs>
                <w:tab w:val="center" w:pos="284"/>
              </w:tabs>
              <w:suppressAutoHyphens/>
              <w:ind w:left="266" w:hanging="266"/>
              <w:rPr>
                <w:lang w:val="sl-SI"/>
              </w:rPr>
            </w:pPr>
            <w:r w:rsidRPr="009F0FBD">
              <w:rPr>
                <w:lang w:val="sl-SI"/>
              </w:rPr>
              <w:t>COM (2025) 97 final</w:t>
            </w:r>
          </w:p>
        </w:tc>
      </w:tr>
      <w:tr w:rsidRPr="009F0FBD" w:rsidR="001B7F40" w:rsidTr="002775CC" w14:paraId="5B7ABFA0" w14:textId="77777777">
        <w:tc>
          <w:tcPr>
            <w:tcW w:w="2802" w:type="dxa"/>
            <w:vMerge/>
          </w:tcPr>
          <w:p w:rsidRPr="009F0FBD" w:rsidR="001B7F40" w:rsidP="002775CC" w:rsidRDefault="001B7F40" w14:paraId="6E1D2DAF" w14:textId="77777777">
            <w:pPr>
              <w:tabs>
                <w:tab w:val="center" w:pos="284"/>
              </w:tabs>
              <w:suppressAutoHyphens/>
              <w:ind w:left="266" w:hanging="266"/>
              <w:rPr>
                <w:b/>
                <w:lang w:val="sl-SI"/>
              </w:rPr>
            </w:pPr>
          </w:p>
        </w:tc>
        <w:tc>
          <w:tcPr>
            <w:tcW w:w="6378" w:type="dxa"/>
          </w:tcPr>
          <w:p w:rsidRPr="009F0FBD" w:rsidR="001B7F40" w:rsidP="002775CC" w:rsidRDefault="001B7F40" w14:paraId="706E8895" w14:textId="77777777">
            <w:pPr>
              <w:tabs>
                <w:tab w:val="center" w:pos="284"/>
              </w:tabs>
              <w:suppressAutoHyphens/>
              <w:ind w:left="266" w:hanging="266"/>
              <w:rPr>
                <w:lang w:val="sl-SI"/>
              </w:rPr>
            </w:pPr>
            <w:r w:rsidRPr="009F0FBD">
              <w:rPr>
                <w:lang w:val="sl-SI"/>
              </w:rPr>
              <w:t>EESC-2025-01814-00-00-RES-TRA</w:t>
            </w:r>
          </w:p>
        </w:tc>
      </w:tr>
    </w:tbl>
    <w:p w:rsidRPr="009F0FBD" w:rsidR="00E32C54" w:rsidP="00E32C54" w:rsidRDefault="00E32C54" w14:paraId="55AAEBD0" w14:textId="77777777">
      <w:pPr>
        <w:tabs>
          <w:tab w:val="center" w:pos="284"/>
        </w:tabs>
        <w:overflowPunct w:val="0"/>
        <w:autoSpaceDE w:val="0"/>
        <w:autoSpaceDN w:val="0"/>
        <w:adjustRightInd w:val="0"/>
        <w:ind w:left="266" w:hanging="266"/>
        <w:textAlignment w:val="baseline"/>
        <w:rPr>
          <w:lang w:val="sl-SI"/>
        </w:rPr>
      </w:pPr>
    </w:p>
    <w:p w:rsidRPr="009F0FBD" w:rsidR="001B7F40" w:rsidP="001B7F40" w:rsidRDefault="001B7F40" w14:paraId="355A2E94" w14:textId="77777777">
      <w:pPr>
        <w:tabs>
          <w:tab w:val="center" w:pos="284"/>
        </w:tabs>
        <w:suppressAutoHyphens/>
        <w:ind w:left="266" w:hanging="266"/>
        <w:rPr>
          <w:b/>
          <w:lang w:val="sl-SI"/>
        </w:rPr>
      </w:pPr>
      <w:r w:rsidRPr="009F0FBD">
        <w:rPr>
          <w:b/>
          <w:lang w:val="sl-SI"/>
        </w:rPr>
        <w:t>Glavne točke</w:t>
      </w:r>
    </w:p>
    <w:p w:rsidRPr="009F0FBD" w:rsidR="001B7F40" w:rsidP="001B7F40" w:rsidRDefault="001B7F40" w14:paraId="5FB9BC1B" w14:textId="77777777">
      <w:pPr>
        <w:tabs>
          <w:tab w:val="center" w:pos="284"/>
        </w:tabs>
        <w:suppressAutoHyphens/>
        <w:ind w:left="266" w:hanging="266"/>
        <w:rPr>
          <w:bCs/>
          <w:lang w:val="sl-SI"/>
        </w:rPr>
      </w:pPr>
    </w:p>
    <w:p w:rsidRPr="009F0FBD" w:rsidR="001B7F40" w:rsidP="001B7F40" w:rsidRDefault="001B7F40" w14:paraId="73723790" w14:textId="77777777">
      <w:pPr>
        <w:suppressAutoHyphens/>
        <w:rPr>
          <w:lang w:val="sl-SI"/>
        </w:rPr>
      </w:pPr>
      <w:r w:rsidRPr="009F0FBD">
        <w:rPr>
          <w:lang w:val="sl-SI"/>
        </w:rPr>
        <w:t>EESO:</w:t>
      </w:r>
    </w:p>
    <w:p w:rsidRPr="009F0FBD" w:rsidR="001B7F40" w:rsidP="001B7F40" w:rsidRDefault="001B7F40" w14:paraId="7FCA94C2" w14:textId="77777777">
      <w:pPr>
        <w:suppressAutoHyphens/>
        <w:rPr>
          <w:bCs/>
          <w:iCs/>
          <w:lang w:val="sl-SI"/>
        </w:rPr>
      </w:pPr>
    </w:p>
    <w:p w:rsidRPr="009F0FBD" w:rsidR="001B7F40" w:rsidP="004F5634" w:rsidRDefault="001B7F40" w14:paraId="19B9C3A6" w14:textId="77777777">
      <w:pPr>
        <w:numPr>
          <w:ilvl w:val="0"/>
          <w:numId w:val="27"/>
        </w:numPr>
        <w:suppressAutoHyphens/>
        <w:overflowPunct w:val="0"/>
        <w:autoSpaceDE w:val="0"/>
        <w:autoSpaceDN w:val="0"/>
        <w:adjustRightInd w:val="0"/>
        <w:ind w:left="284" w:hanging="284"/>
        <w:textAlignment w:val="baseline"/>
        <w:rPr>
          <w:lang w:val="sl-SI"/>
        </w:rPr>
      </w:pPr>
      <w:r w:rsidRPr="009F0FBD">
        <w:rPr>
          <w:lang w:val="sl-SI"/>
        </w:rPr>
        <w:t xml:space="preserve">ponovno potrjuje svojo neomajno zavezanost </w:t>
      </w:r>
      <w:r w:rsidRPr="009F0FBD">
        <w:rPr>
          <w:b/>
          <w:lang w:val="sl-SI"/>
        </w:rPr>
        <w:t>enakosti spolov in pravicam žensk, ki sta temelja demokracije, socialne pravičnosti in vključujoče rasti</w:t>
      </w:r>
      <w:r w:rsidRPr="009F0FBD">
        <w:rPr>
          <w:lang w:val="sl-SI"/>
        </w:rPr>
        <w:t xml:space="preserve">, ter trdno podpira vse akterje, ki skušajo </w:t>
      </w:r>
      <w:r w:rsidRPr="009F0FBD">
        <w:rPr>
          <w:b/>
          <w:lang w:val="sl-SI"/>
        </w:rPr>
        <w:t>doseči več enakosti za vse ženske in dekleta v vsej njihovi raznolikosti</w:t>
      </w:r>
      <w:r w:rsidRPr="009F0FBD">
        <w:rPr>
          <w:lang w:val="sl-SI"/>
        </w:rPr>
        <w:t>;</w:t>
      </w:r>
    </w:p>
    <w:p w:rsidRPr="009F0FBD" w:rsidR="001B7F40" w:rsidP="004F5634" w:rsidRDefault="001B7F40" w14:paraId="069383CF" w14:textId="77777777">
      <w:pPr>
        <w:numPr>
          <w:ilvl w:val="0"/>
          <w:numId w:val="27"/>
        </w:numPr>
        <w:suppressAutoHyphens/>
        <w:overflowPunct w:val="0"/>
        <w:autoSpaceDE w:val="0"/>
        <w:autoSpaceDN w:val="0"/>
        <w:adjustRightInd w:val="0"/>
        <w:ind w:left="284" w:hanging="284"/>
        <w:textAlignment w:val="baseline"/>
        <w:rPr>
          <w:lang w:val="sl-SI"/>
        </w:rPr>
      </w:pPr>
      <w:r w:rsidRPr="009F0FBD">
        <w:rPr>
          <w:lang w:val="sl-SI"/>
        </w:rPr>
        <w:t>podpira deklaracijo o načelih za spolsko enakostno družbo. Ta je tesno usklajena z vrednotami in prednostnimi nalogami, ki jih je večkrat navedel v svojih mnenjih;</w:t>
      </w:r>
    </w:p>
    <w:p w:rsidRPr="009F0FBD" w:rsidR="001B7F40" w:rsidP="004F5634" w:rsidRDefault="001B7F40" w14:paraId="64346122" w14:textId="77777777">
      <w:pPr>
        <w:numPr>
          <w:ilvl w:val="0"/>
          <w:numId w:val="27"/>
        </w:numPr>
        <w:suppressAutoHyphens/>
        <w:overflowPunct w:val="0"/>
        <w:autoSpaceDE w:val="0"/>
        <w:autoSpaceDN w:val="0"/>
        <w:adjustRightInd w:val="0"/>
        <w:ind w:left="284" w:hanging="284"/>
        <w:textAlignment w:val="baseline"/>
        <w:rPr>
          <w:lang w:val="sl-SI"/>
        </w:rPr>
      </w:pPr>
      <w:r w:rsidRPr="009F0FBD">
        <w:rPr>
          <w:lang w:val="sl-SI"/>
        </w:rPr>
        <w:t>se zaveda, da bo mogoče ta načela udejanjiti le z usklajenim in vztrajnim delovanjem, ter se zavezuje, da bo:</w:t>
      </w:r>
    </w:p>
    <w:p w:rsidRPr="009F0FBD" w:rsidR="001B7F40" w:rsidP="004F5634" w:rsidRDefault="001B7F40" w14:paraId="487F3363" w14:textId="77777777">
      <w:pPr>
        <w:numPr>
          <w:ilvl w:val="0"/>
          <w:numId w:val="29"/>
        </w:numPr>
        <w:suppressAutoHyphens/>
        <w:overflowPunct w:val="0"/>
        <w:autoSpaceDE w:val="0"/>
        <w:autoSpaceDN w:val="0"/>
        <w:adjustRightInd w:val="0"/>
        <w:ind w:left="567" w:hanging="283"/>
        <w:textAlignment w:val="baseline"/>
        <w:rPr>
          <w:lang w:val="sl-SI"/>
        </w:rPr>
      </w:pPr>
      <w:r w:rsidRPr="009F0FBD">
        <w:rPr>
          <w:lang w:val="sl-SI"/>
        </w:rPr>
        <w:t>spodbujal enakost spolov s strukturiranim socialnim in civilnim dialogom ter vključujočim sodelovanjem na vseh ravneh;</w:t>
      </w:r>
    </w:p>
    <w:p w:rsidRPr="009F0FBD" w:rsidR="001B7F40" w:rsidP="004F5634" w:rsidRDefault="001B7F40" w14:paraId="52E3353B" w14:textId="77777777">
      <w:pPr>
        <w:numPr>
          <w:ilvl w:val="0"/>
          <w:numId w:val="29"/>
        </w:numPr>
        <w:suppressAutoHyphens/>
        <w:overflowPunct w:val="0"/>
        <w:autoSpaceDE w:val="0"/>
        <w:autoSpaceDN w:val="0"/>
        <w:adjustRightInd w:val="0"/>
        <w:ind w:left="567" w:hanging="283"/>
        <w:textAlignment w:val="baseline"/>
        <w:rPr>
          <w:lang w:val="sl-SI"/>
        </w:rPr>
      </w:pPr>
      <w:r w:rsidRPr="009F0FBD">
        <w:rPr>
          <w:lang w:val="sl-SI"/>
        </w:rPr>
        <w:t>krepil vlogo mladih, organizacij civilne družbe in socialnih partnerjev pri oblikovanju, spremljanju in izvajanju politik enakosti;</w:t>
      </w:r>
    </w:p>
    <w:p w:rsidRPr="009F0FBD" w:rsidR="001B7F40" w:rsidP="004F5634" w:rsidRDefault="001B7F40" w14:paraId="717DF139" w14:textId="77777777">
      <w:pPr>
        <w:numPr>
          <w:ilvl w:val="0"/>
          <w:numId w:val="29"/>
        </w:numPr>
        <w:suppressAutoHyphens/>
        <w:overflowPunct w:val="0"/>
        <w:autoSpaceDE w:val="0"/>
        <w:autoSpaceDN w:val="0"/>
        <w:adjustRightInd w:val="0"/>
        <w:ind w:left="567" w:hanging="283"/>
        <w:textAlignment w:val="baseline"/>
        <w:rPr>
          <w:lang w:val="sl-SI"/>
        </w:rPr>
      </w:pPr>
      <w:r w:rsidRPr="009F0FBD">
        <w:rPr>
          <w:lang w:val="sl-SI"/>
        </w:rPr>
        <w:t>podpiral presečne pristope, s katerimi se obravnava položaj žensk, ki se soočajo z različnimi in prekrivajočimi se oblikami diskriminacije;</w:t>
      </w:r>
    </w:p>
    <w:p w:rsidRPr="009F0FBD" w:rsidR="001B7F40" w:rsidP="004F5634" w:rsidRDefault="001B7F40" w14:paraId="079BFAEA" w14:textId="77777777">
      <w:pPr>
        <w:numPr>
          <w:ilvl w:val="0"/>
          <w:numId w:val="29"/>
        </w:numPr>
        <w:suppressAutoHyphens/>
        <w:overflowPunct w:val="0"/>
        <w:autoSpaceDE w:val="0"/>
        <w:autoSpaceDN w:val="0"/>
        <w:adjustRightInd w:val="0"/>
        <w:ind w:left="567" w:hanging="283"/>
        <w:textAlignment w:val="baseline"/>
        <w:rPr>
          <w:lang w:val="sl-SI"/>
        </w:rPr>
      </w:pPr>
      <w:r w:rsidRPr="009F0FBD">
        <w:rPr>
          <w:lang w:val="sl-SI"/>
        </w:rPr>
        <w:t>spodbujal politike za spolno in reproduktivno zdravje ter pravice, enakopraven dostop do oskrbe ter varne in vključujoče demokratične prostore;</w:t>
      </w:r>
    </w:p>
    <w:p w:rsidRPr="009F0FBD" w:rsidR="001B7F40" w:rsidP="004F5634" w:rsidRDefault="001B7F40" w14:paraId="05F5A95F" w14:textId="77777777">
      <w:pPr>
        <w:numPr>
          <w:ilvl w:val="0"/>
          <w:numId w:val="29"/>
        </w:numPr>
        <w:suppressAutoHyphens/>
        <w:overflowPunct w:val="0"/>
        <w:autoSpaceDE w:val="0"/>
        <w:autoSpaceDN w:val="0"/>
        <w:adjustRightInd w:val="0"/>
        <w:ind w:left="567" w:hanging="283"/>
        <w:textAlignment w:val="baseline"/>
        <w:rPr>
          <w:lang w:val="sl-SI"/>
        </w:rPr>
      </w:pPr>
      <w:r w:rsidRPr="009F0FBD">
        <w:rPr>
          <w:lang w:val="sl-SI"/>
        </w:rPr>
        <w:t>spodbujal vključevanje vidika spola, pripravo proračuna, ki upošteva vidik spola, ter sistematično zbiranje in uporabo podatkov, razčlenjenih po spolu, in presečnih podatkov;</w:t>
      </w:r>
    </w:p>
    <w:p w:rsidRPr="009F0FBD" w:rsidR="001B7F40" w:rsidP="004F5634" w:rsidRDefault="001B7F40" w14:paraId="3C6F4421" w14:textId="77777777">
      <w:pPr>
        <w:numPr>
          <w:ilvl w:val="0"/>
          <w:numId w:val="28"/>
        </w:numPr>
        <w:suppressAutoHyphens/>
        <w:overflowPunct w:val="0"/>
        <w:autoSpaceDE w:val="0"/>
        <w:autoSpaceDN w:val="0"/>
        <w:adjustRightInd w:val="0"/>
        <w:ind w:left="284" w:hanging="284"/>
        <w:textAlignment w:val="baseline"/>
        <w:rPr>
          <w:lang w:val="sl-SI"/>
        </w:rPr>
      </w:pPr>
      <w:r w:rsidRPr="009F0FBD">
        <w:rPr>
          <w:lang w:val="sl-SI"/>
        </w:rPr>
        <w:t xml:space="preserve">je pripravljen </w:t>
      </w:r>
      <w:r w:rsidRPr="009F0FBD">
        <w:rPr>
          <w:b/>
          <w:lang w:val="sl-SI"/>
        </w:rPr>
        <w:t>dejavno prispevati k uresničevanju tega načrta</w:t>
      </w:r>
      <w:r w:rsidRPr="009F0FBD">
        <w:rPr>
          <w:lang w:val="sl-SI"/>
        </w:rPr>
        <w:t xml:space="preserve"> ter v sodelovanju z evropskimi institucijami in državami članicami prenesti ta načela v prakso.</w:t>
      </w:r>
    </w:p>
    <w:p w:rsidRPr="009F0FBD" w:rsidR="001B7F40" w:rsidP="001B7F40" w:rsidRDefault="001B7F40" w14:paraId="13957CAF" w14:textId="77777777">
      <w:pPr>
        <w:rPr>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4"/>
        <w:gridCol w:w="7139"/>
      </w:tblGrid>
      <w:tr w:rsidRPr="009F0FBD" w:rsidR="001B7F40" w:rsidTr="002775CC" w14:paraId="452D3239" w14:textId="77777777">
        <w:tc>
          <w:tcPr>
            <w:tcW w:w="1951" w:type="dxa"/>
          </w:tcPr>
          <w:p w:rsidRPr="009F0FBD" w:rsidR="001B7F40" w:rsidP="002775CC" w:rsidRDefault="001B7F40" w14:paraId="68DCFF1E" w14:textId="77777777">
            <w:pPr>
              <w:suppressAutoHyphens/>
              <w:rPr>
                <w:i/>
                <w:lang w:val="sl-SI"/>
              </w:rPr>
            </w:pPr>
            <w:r w:rsidRPr="009F0FBD">
              <w:rPr>
                <w:b/>
                <w:i/>
                <w:lang w:val="sl-SI"/>
              </w:rPr>
              <w:t>Kontaktna oseba</w:t>
            </w:r>
          </w:p>
        </w:tc>
        <w:tc>
          <w:tcPr>
            <w:tcW w:w="7229" w:type="dxa"/>
          </w:tcPr>
          <w:p w:rsidRPr="009F0FBD" w:rsidR="001B7F40" w:rsidP="002775CC" w:rsidRDefault="001B7F40" w14:paraId="01340EEC" w14:textId="77777777">
            <w:pPr>
              <w:suppressAutoHyphens/>
              <w:rPr>
                <w:i/>
                <w:lang w:val="sl-SI"/>
              </w:rPr>
            </w:pPr>
            <w:r w:rsidRPr="009F0FBD">
              <w:rPr>
                <w:i/>
                <w:lang w:val="sl-SI"/>
              </w:rPr>
              <w:t>Gabriela GRASU</w:t>
            </w:r>
          </w:p>
        </w:tc>
      </w:tr>
      <w:tr w:rsidRPr="009F0FBD" w:rsidR="001B7F40" w:rsidTr="002775CC" w14:paraId="36BD09C0" w14:textId="77777777">
        <w:tc>
          <w:tcPr>
            <w:tcW w:w="1951" w:type="dxa"/>
          </w:tcPr>
          <w:p w:rsidRPr="009F0FBD" w:rsidR="001B7F40" w:rsidP="002775CC" w:rsidRDefault="001B7F40" w14:paraId="71ECA147" w14:textId="77777777">
            <w:pPr>
              <w:suppressAutoHyphens/>
              <w:rPr>
                <w:i/>
                <w:lang w:val="sl-SI"/>
              </w:rPr>
            </w:pPr>
            <w:r w:rsidRPr="009F0FBD">
              <w:rPr>
                <w:i/>
                <w:lang w:val="sl-SI"/>
              </w:rPr>
              <w:t>Telefon</w:t>
            </w:r>
          </w:p>
        </w:tc>
        <w:tc>
          <w:tcPr>
            <w:tcW w:w="7229" w:type="dxa"/>
          </w:tcPr>
          <w:p w:rsidRPr="009F0FBD" w:rsidR="001B7F40" w:rsidP="002775CC" w:rsidRDefault="001B7F40" w14:paraId="1DF40DAB" w14:textId="77777777">
            <w:pPr>
              <w:suppressAutoHyphens/>
              <w:rPr>
                <w:i/>
                <w:lang w:val="sl-SI"/>
              </w:rPr>
            </w:pPr>
            <w:r w:rsidRPr="009F0FBD">
              <w:rPr>
                <w:i/>
                <w:lang w:val="sl-SI"/>
              </w:rPr>
              <w:t>+32 25469162</w:t>
            </w:r>
          </w:p>
        </w:tc>
      </w:tr>
      <w:tr w:rsidRPr="0084110F" w:rsidR="001B7F40" w:rsidTr="002775CC" w14:paraId="2A7D1AE3" w14:textId="77777777">
        <w:tc>
          <w:tcPr>
            <w:tcW w:w="1951" w:type="dxa"/>
          </w:tcPr>
          <w:p w:rsidRPr="009F0FBD" w:rsidR="001B7F40" w:rsidP="002775CC" w:rsidRDefault="001B7F40" w14:paraId="0D2BE02C" w14:textId="77777777">
            <w:pPr>
              <w:suppressAutoHyphens/>
              <w:rPr>
                <w:i/>
                <w:lang w:val="sl-SI"/>
              </w:rPr>
            </w:pPr>
            <w:r w:rsidRPr="009F0FBD">
              <w:rPr>
                <w:i/>
                <w:lang w:val="sl-SI"/>
              </w:rPr>
              <w:t>E-naslov</w:t>
            </w:r>
          </w:p>
        </w:tc>
        <w:tc>
          <w:tcPr>
            <w:tcW w:w="7229" w:type="dxa"/>
          </w:tcPr>
          <w:p w:rsidRPr="009F0FBD" w:rsidR="001B7F40" w:rsidP="002775CC" w:rsidRDefault="00E47EFC" w14:paraId="6743AE28" w14:textId="77777777">
            <w:pPr>
              <w:suppressAutoHyphens/>
              <w:rPr>
                <w:i/>
                <w:iCs/>
                <w:lang w:val="sl-SI"/>
              </w:rPr>
            </w:pPr>
            <w:hyperlink w:history="1" r:id="rId20">
              <w:r w:rsidRPr="009F0FBD" w:rsidR="001B7F40">
                <w:rPr>
                  <w:rStyle w:val="Hyperlink"/>
                  <w:i/>
                  <w:lang w:val="sl-SI"/>
                </w:rPr>
                <w:t>Gabriela.Grasu@eesc.europa.eu</w:t>
              </w:r>
            </w:hyperlink>
          </w:p>
        </w:tc>
      </w:tr>
    </w:tbl>
    <w:p w:rsidRPr="009F0FBD" w:rsidR="001B7F40" w:rsidP="001B7F40" w:rsidRDefault="001B7F40" w14:paraId="1C7D2E97" w14:textId="77777777">
      <w:pPr>
        <w:rPr>
          <w:lang w:val="sl-SI"/>
        </w:rPr>
      </w:pPr>
    </w:p>
    <w:p w:rsidRPr="009F0FBD" w:rsidR="009F0605" w:rsidRDefault="009F0605" w14:paraId="288E6860" w14:textId="1F285198">
      <w:pPr>
        <w:spacing w:after="160" w:line="259" w:lineRule="auto"/>
        <w:jc w:val="left"/>
        <w:rPr>
          <w:lang w:val="sl-SI"/>
        </w:rPr>
      </w:pPr>
      <w:r w:rsidRPr="009F0FBD">
        <w:rPr>
          <w:lang w:val="sl-SI"/>
        </w:rPr>
        <w:br w:type="page"/>
      </w:r>
    </w:p>
    <w:p w:rsidRPr="009F0FBD" w:rsidR="004D7AC0" w:rsidP="004D7AC0" w:rsidRDefault="00104970" w14:paraId="4982DD6E" w14:textId="2128B1C2">
      <w:pPr>
        <w:pStyle w:val="Heading1"/>
        <w:rPr>
          <w:b/>
          <w:lang w:val="sl-SI"/>
        </w:rPr>
      </w:pPr>
      <w:bookmarkStart w:name="_Toc76390233" w:id="1"/>
      <w:bookmarkStart w:name="_Toc103071391" w:id="2"/>
      <w:bookmarkStart w:name="_Toc198569534" w:id="3"/>
      <w:bookmarkStart w:name="_Toc201837063" w:id="4"/>
      <w:r w:rsidRPr="009F0FBD">
        <w:rPr>
          <w:b/>
          <w:lang w:val="sl-SI"/>
        </w:rPr>
        <w:lastRenderedPageBreak/>
        <w:t>EKONOMSKA IN MONETARNA UNIJA TER EKONOMSKA IN SOCIALNA KOHEZIJA</w:t>
      </w:r>
      <w:bookmarkEnd w:id="1"/>
      <w:bookmarkEnd w:id="2"/>
      <w:bookmarkEnd w:id="3"/>
      <w:bookmarkEnd w:id="4"/>
    </w:p>
    <w:p w:rsidRPr="009F0FBD" w:rsidR="001B7F40" w:rsidP="001B7F40" w:rsidRDefault="001B7F40" w14:paraId="3138284F" w14:textId="77777777">
      <w:pPr>
        <w:rPr>
          <w:lang w:val="sl-SI"/>
        </w:rPr>
      </w:pPr>
    </w:p>
    <w:p w:rsidRPr="009F0FBD" w:rsidR="00A174E9" w:rsidP="00611089" w:rsidRDefault="00C14021" w14:paraId="33A5C04E" w14:textId="234174C0">
      <w:pPr>
        <w:widowControl w:val="0"/>
        <w:numPr>
          <w:ilvl w:val="0"/>
          <w:numId w:val="4"/>
        </w:numPr>
        <w:overflowPunct w:val="0"/>
        <w:autoSpaceDE w:val="0"/>
        <w:autoSpaceDN w:val="0"/>
        <w:adjustRightInd w:val="0"/>
        <w:ind w:hanging="567"/>
        <w:textAlignment w:val="baseline"/>
        <w:rPr>
          <w:sz w:val="20"/>
          <w:szCs w:val="20"/>
          <w:lang w:val="sl-SI"/>
        </w:rPr>
      </w:pPr>
      <w:hyperlink w:history="1" r:id="rId21">
        <w:r w:rsidRPr="009F0FBD" w:rsidR="001B7F40">
          <w:rPr>
            <w:rStyle w:val="Hyperlink"/>
            <w:b/>
            <w:i/>
            <w:sz w:val="28"/>
            <w:lang w:val="sl-SI"/>
          </w:rPr>
          <w:t>Ocena obveznosti davčnega poročanja v EU</w:t>
        </w:r>
      </w:hyperlink>
    </w:p>
    <w:p w:rsidRPr="009F0FBD" w:rsidR="00A174E9" w:rsidP="00A174E9" w:rsidRDefault="00A174E9" w14:paraId="78CF4860" w14:textId="526F2774">
      <w:pPr>
        <w:tabs>
          <w:tab w:val="center" w:pos="284"/>
        </w:tabs>
        <w:overflowPunct w:val="0"/>
        <w:autoSpaceDE w:val="0"/>
        <w:autoSpaceDN w:val="0"/>
        <w:adjustRightInd w:val="0"/>
        <w:ind w:left="266" w:hanging="266"/>
        <w:textAlignment w:val="baseline"/>
        <w:rPr>
          <w:b/>
          <w:lang w:val="sl-SI"/>
        </w:rPr>
      </w:pPr>
    </w:p>
    <w:tbl>
      <w:tblPr>
        <w:tblStyle w:val="TableGrid"/>
        <w:tblW w:w="49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3"/>
        <w:gridCol w:w="6518"/>
      </w:tblGrid>
      <w:tr w:rsidRPr="0084110F" w:rsidR="001B7F40" w:rsidTr="002775CC" w14:paraId="53841B5B" w14:textId="77777777">
        <w:tc>
          <w:tcPr>
            <w:tcW w:w="1407" w:type="pct"/>
          </w:tcPr>
          <w:p w:rsidRPr="009F0FBD" w:rsidR="001B7F40" w:rsidP="002775CC" w:rsidRDefault="001B7F40" w14:paraId="0F3171A8" w14:textId="77777777">
            <w:pPr>
              <w:tabs>
                <w:tab w:val="center" w:pos="284"/>
              </w:tabs>
              <w:ind w:left="266" w:hanging="266"/>
              <w:rPr>
                <w:b/>
                <w:lang w:val="sl-SI"/>
              </w:rPr>
            </w:pPr>
            <w:r w:rsidRPr="009F0FBD">
              <w:rPr>
                <w:b/>
                <w:lang w:val="sl-SI"/>
              </w:rPr>
              <w:t>Poročevalec</w:t>
            </w:r>
          </w:p>
        </w:tc>
        <w:tc>
          <w:tcPr>
            <w:tcW w:w="3593" w:type="pct"/>
          </w:tcPr>
          <w:p w:rsidRPr="009F0FBD" w:rsidR="001B7F40" w:rsidP="002775CC" w:rsidRDefault="001B7F40" w14:paraId="76E1E7BC" w14:textId="77777777">
            <w:pPr>
              <w:tabs>
                <w:tab w:val="center" w:pos="284"/>
              </w:tabs>
              <w:ind w:left="266" w:hanging="266"/>
              <w:rPr>
                <w:bCs/>
                <w:lang w:val="sl-SI"/>
              </w:rPr>
            </w:pPr>
            <w:r w:rsidRPr="009F0FBD">
              <w:rPr>
                <w:lang w:val="sl-SI"/>
              </w:rPr>
              <w:t>Krister ANDERSSON (skupina delodajalcev – SE)</w:t>
            </w:r>
          </w:p>
        </w:tc>
      </w:tr>
      <w:tr w:rsidRPr="0084110F" w:rsidR="001B7F40" w:rsidTr="002775CC" w14:paraId="25931D8D" w14:textId="77777777">
        <w:tc>
          <w:tcPr>
            <w:tcW w:w="5000" w:type="pct"/>
            <w:gridSpan w:val="2"/>
          </w:tcPr>
          <w:p w:rsidRPr="009F0FBD" w:rsidR="001B7F40" w:rsidP="002775CC" w:rsidRDefault="001B7F40" w14:paraId="0E1A64A1" w14:textId="77777777">
            <w:pPr>
              <w:tabs>
                <w:tab w:val="center" w:pos="284"/>
              </w:tabs>
              <w:ind w:left="266" w:hanging="266"/>
              <w:rPr>
                <w:lang w:val="sl-SI"/>
              </w:rPr>
            </w:pPr>
          </w:p>
        </w:tc>
      </w:tr>
      <w:tr w:rsidRPr="0084110F" w:rsidR="001B7F40" w:rsidTr="002775CC" w14:paraId="0B976010" w14:textId="77777777">
        <w:tc>
          <w:tcPr>
            <w:tcW w:w="1407" w:type="pct"/>
          </w:tcPr>
          <w:p w:rsidRPr="009F0FBD" w:rsidR="001B7F40" w:rsidP="002775CC" w:rsidRDefault="001B7F40" w14:paraId="17E17262" w14:textId="77777777">
            <w:pPr>
              <w:tabs>
                <w:tab w:val="center" w:pos="284"/>
              </w:tabs>
              <w:ind w:left="266" w:hanging="266"/>
              <w:rPr>
                <w:b/>
                <w:lang w:val="sl-SI"/>
              </w:rPr>
            </w:pPr>
            <w:r w:rsidRPr="009F0FBD">
              <w:rPr>
                <w:b/>
                <w:lang w:val="sl-SI"/>
              </w:rPr>
              <w:t>Referenčni dokument</w:t>
            </w:r>
          </w:p>
        </w:tc>
        <w:tc>
          <w:tcPr>
            <w:tcW w:w="3593" w:type="pct"/>
          </w:tcPr>
          <w:p w:rsidRPr="009F0FBD" w:rsidR="001B7F40" w:rsidP="002775CC" w:rsidRDefault="001B7F40" w14:paraId="3EEDCA01" w14:textId="77777777">
            <w:pPr>
              <w:tabs>
                <w:tab w:val="center" w:pos="284"/>
              </w:tabs>
              <w:ind w:left="266" w:hanging="266"/>
              <w:rPr>
                <w:lang w:val="sl-SI"/>
              </w:rPr>
            </w:pPr>
            <w:r w:rsidRPr="009F0FBD">
              <w:rPr>
                <w:lang w:val="sl-SI"/>
              </w:rPr>
              <w:t>mnenje na lastno pobudo</w:t>
            </w:r>
          </w:p>
          <w:p w:rsidRPr="009F0FBD" w:rsidR="001B7F40" w:rsidP="002775CC" w:rsidRDefault="001B7F40" w14:paraId="436B6F3D" w14:textId="77777777">
            <w:pPr>
              <w:tabs>
                <w:tab w:val="center" w:pos="284"/>
              </w:tabs>
              <w:ind w:left="266" w:hanging="266"/>
              <w:rPr>
                <w:lang w:val="sl-SI"/>
              </w:rPr>
            </w:pPr>
            <w:r w:rsidRPr="009F0FBD">
              <w:rPr>
                <w:lang w:val="sl-SI"/>
              </w:rPr>
              <w:t>EESC-2025-00462-00-00-AC</w:t>
            </w:r>
          </w:p>
        </w:tc>
      </w:tr>
    </w:tbl>
    <w:p w:rsidRPr="009F0FBD" w:rsidR="00A174E9" w:rsidP="00A174E9" w:rsidRDefault="00A174E9" w14:paraId="66B2E1BD" w14:textId="77777777">
      <w:pPr>
        <w:tabs>
          <w:tab w:val="center" w:pos="284"/>
        </w:tabs>
        <w:overflowPunct w:val="0"/>
        <w:autoSpaceDE w:val="0"/>
        <w:autoSpaceDN w:val="0"/>
        <w:adjustRightInd w:val="0"/>
        <w:ind w:left="266" w:hanging="266"/>
        <w:textAlignment w:val="baseline"/>
        <w:rPr>
          <w:bCs/>
          <w:lang w:val="sl-SI"/>
        </w:rPr>
      </w:pPr>
    </w:p>
    <w:p w:rsidRPr="009F0FBD" w:rsidR="001B7F40" w:rsidP="001B7F40" w:rsidRDefault="001B7F40" w14:paraId="09D92ABB" w14:textId="77777777">
      <w:pPr>
        <w:keepNext/>
        <w:keepLines/>
        <w:tabs>
          <w:tab w:val="center" w:pos="284"/>
        </w:tabs>
        <w:ind w:left="266" w:hanging="266"/>
        <w:rPr>
          <w:b/>
          <w:lang w:val="sl-SI"/>
        </w:rPr>
      </w:pPr>
      <w:r w:rsidRPr="009F0FBD">
        <w:rPr>
          <w:b/>
          <w:lang w:val="sl-SI"/>
        </w:rPr>
        <w:t>Glavne točke</w:t>
      </w:r>
    </w:p>
    <w:p w:rsidRPr="009F0FBD" w:rsidR="001B7F40" w:rsidP="001B7F40" w:rsidRDefault="001B7F40" w14:paraId="6B49024D" w14:textId="77777777">
      <w:pPr>
        <w:keepNext/>
        <w:keepLines/>
        <w:tabs>
          <w:tab w:val="center" w:pos="284"/>
        </w:tabs>
        <w:ind w:left="266" w:hanging="266"/>
        <w:rPr>
          <w:bCs/>
          <w:lang w:val="sl-SI"/>
        </w:rPr>
      </w:pPr>
    </w:p>
    <w:p w:rsidRPr="009F0FBD" w:rsidR="001B7F40" w:rsidP="001B7F40" w:rsidRDefault="001B7F40" w14:paraId="6AEA30EB" w14:textId="77777777">
      <w:pPr>
        <w:rPr>
          <w:lang w:val="sl-SI"/>
        </w:rPr>
      </w:pPr>
      <w:r w:rsidRPr="009F0FBD">
        <w:rPr>
          <w:lang w:val="sl-SI"/>
        </w:rPr>
        <w:t>EESO:</w:t>
      </w:r>
    </w:p>
    <w:p w:rsidRPr="009F0FBD" w:rsidR="001B7F40" w:rsidP="001B7F40" w:rsidRDefault="001B7F40" w14:paraId="35638568" w14:textId="77777777">
      <w:pPr>
        <w:rPr>
          <w:bCs/>
          <w:iCs/>
          <w:lang w:val="sl-SI"/>
        </w:rPr>
      </w:pPr>
    </w:p>
    <w:p w:rsidRPr="009F0FBD" w:rsidR="001B7F40" w:rsidP="004F5634" w:rsidRDefault="001B7F40" w14:paraId="4601BF1F" w14:textId="77777777">
      <w:pPr>
        <w:pStyle w:val="ListParagraph"/>
        <w:numPr>
          <w:ilvl w:val="0"/>
          <w:numId w:val="30"/>
        </w:numPr>
        <w:ind w:left="284" w:hanging="284"/>
        <w:contextualSpacing w:val="0"/>
        <w:rPr>
          <w:bCs/>
          <w:iCs/>
          <w:lang w:val="sl-SI"/>
        </w:rPr>
      </w:pPr>
      <w:r w:rsidRPr="009F0FBD">
        <w:rPr>
          <w:lang w:val="sl-SI"/>
        </w:rPr>
        <w:t>podpira načrte Komisije za poenostavitev pravil, zmanjšanje upravnega bremena in povečanje konkurenčnosti evropskega gospodarstva;</w:t>
      </w:r>
    </w:p>
    <w:p w:rsidRPr="009F0FBD" w:rsidR="001B7F40" w:rsidP="004F5634" w:rsidRDefault="001B7F40" w14:paraId="4C0DE805" w14:textId="77777777">
      <w:pPr>
        <w:pStyle w:val="ListParagraph"/>
        <w:numPr>
          <w:ilvl w:val="0"/>
          <w:numId w:val="30"/>
        </w:numPr>
        <w:ind w:left="284" w:hanging="284"/>
        <w:contextualSpacing w:val="0"/>
        <w:rPr>
          <w:bCs/>
          <w:iCs/>
          <w:lang w:val="sl-SI"/>
        </w:rPr>
      </w:pPr>
      <w:r w:rsidRPr="009F0FBD">
        <w:rPr>
          <w:lang w:val="sl-SI"/>
        </w:rPr>
        <w:t>meni, da bi morala poenostavitev davčnih pravil spodbujati posredovanje stroškovno učinkovitih informacij ter izboljšati njihovo rabo in izmenjavo med davčnimi organi, ne bi pa smela privesti do nepravičnih ali nenamernih sprememb davčnih obveznosti ali omogočiti davčne utaje ali nepošteno davčno konkurenco;</w:t>
      </w:r>
    </w:p>
    <w:p w:rsidRPr="009F0FBD" w:rsidR="001B7F40" w:rsidP="004F5634" w:rsidRDefault="001B7F40" w14:paraId="4C8AE6E6" w14:textId="77777777">
      <w:pPr>
        <w:pStyle w:val="ListParagraph"/>
        <w:numPr>
          <w:ilvl w:val="0"/>
          <w:numId w:val="30"/>
        </w:numPr>
        <w:ind w:left="284" w:hanging="284"/>
        <w:contextualSpacing w:val="0"/>
        <w:rPr>
          <w:bCs/>
          <w:iCs/>
          <w:lang w:val="sl-SI"/>
        </w:rPr>
      </w:pPr>
      <w:r w:rsidRPr="009F0FBD">
        <w:rPr>
          <w:lang w:val="sl-SI"/>
        </w:rPr>
        <w:t>poudarja, da bi bilo mogoče pravila bistveno poenostaviti tudi z uskladitvijo podobnih, a ne popolnoma enakih pravnih konceptov in terminologije iz različnih direktiv EU na področju posrednih davkov;</w:t>
      </w:r>
    </w:p>
    <w:p w:rsidRPr="009F0FBD" w:rsidR="001B7F40" w:rsidP="004F5634" w:rsidRDefault="001B7F40" w14:paraId="07C8F2A7" w14:textId="77777777">
      <w:pPr>
        <w:pStyle w:val="ListParagraph"/>
        <w:numPr>
          <w:ilvl w:val="0"/>
          <w:numId w:val="30"/>
        </w:numPr>
        <w:ind w:left="284" w:hanging="284"/>
        <w:contextualSpacing w:val="0"/>
        <w:rPr>
          <w:bCs/>
          <w:iCs/>
          <w:lang w:val="sl-SI"/>
        </w:rPr>
      </w:pPr>
      <w:r w:rsidRPr="009F0FBD">
        <w:rPr>
          <w:lang w:val="sl-SI"/>
        </w:rPr>
        <w:t>meni, da bi bilo treba za vsak predlog izvesti oceno učinka, da bi se pravilno ovrednotile konkretne posledice novih zakonodajnih pobud za davkoplačevalce in podjetja;</w:t>
      </w:r>
    </w:p>
    <w:p w:rsidRPr="009F0FBD" w:rsidR="001B7F40" w:rsidP="004F5634" w:rsidRDefault="001B7F40" w14:paraId="4311B620" w14:textId="77777777">
      <w:pPr>
        <w:pStyle w:val="ListParagraph"/>
        <w:numPr>
          <w:ilvl w:val="0"/>
          <w:numId w:val="30"/>
        </w:numPr>
        <w:ind w:left="284" w:hanging="284"/>
        <w:contextualSpacing w:val="0"/>
        <w:rPr>
          <w:bCs/>
          <w:iCs/>
          <w:lang w:val="sl-SI"/>
        </w:rPr>
      </w:pPr>
      <w:r w:rsidRPr="009F0FBD">
        <w:rPr>
          <w:lang w:val="sl-SI"/>
        </w:rPr>
        <w:t>priporoča tudi preverjanje konkurenčnosti novih zakonodajnih pobud na področju obdavčevanja, tudi pobud za mala in srednja podjetja (MSP), da bodo nova pravila dejansko podpirala načrtovane cilje Komisije z vidika poenostavitve, prečiščenja pravil in zmanjšanja upravnega bremena;</w:t>
      </w:r>
    </w:p>
    <w:p w:rsidRPr="009F0FBD" w:rsidR="001B7F40" w:rsidP="004F5634" w:rsidRDefault="001B7F40" w14:paraId="1984D214" w14:textId="77777777">
      <w:pPr>
        <w:pStyle w:val="ListParagraph"/>
        <w:numPr>
          <w:ilvl w:val="0"/>
          <w:numId w:val="30"/>
        </w:numPr>
        <w:ind w:left="284" w:hanging="284"/>
        <w:contextualSpacing w:val="0"/>
        <w:rPr>
          <w:bCs/>
          <w:iCs/>
          <w:lang w:val="sl-SI"/>
        </w:rPr>
      </w:pPr>
      <w:r w:rsidRPr="009F0FBD">
        <w:rPr>
          <w:lang w:val="sl-SI"/>
        </w:rPr>
        <w:t>predlaga uvedbo sistema vnaprejšnjih davčnih stališč na ravni EU, z vzpostavitvijo pravosodnega organa pa bi poskrbeli za jasno razlago direktiv in uredb, ki se izvajajo v državah članicah;</w:t>
      </w:r>
    </w:p>
    <w:p w:rsidRPr="009F0FBD" w:rsidR="001B7F40" w:rsidP="004F5634" w:rsidRDefault="001B7F40" w14:paraId="177C04B0" w14:textId="77777777">
      <w:pPr>
        <w:pStyle w:val="ListParagraph"/>
        <w:numPr>
          <w:ilvl w:val="0"/>
          <w:numId w:val="30"/>
        </w:numPr>
        <w:ind w:left="284" w:hanging="284"/>
        <w:contextualSpacing w:val="0"/>
        <w:rPr>
          <w:bCs/>
          <w:iCs/>
          <w:lang w:val="sl-SI"/>
        </w:rPr>
      </w:pPr>
      <w:r w:rsidRPr="009F0FBD">
        <w:rPr>
          <w:lang w:val="sl-SI"/>
        </w:rPr>
        <w:t>priporoča, da se vzpostavi nov Skupni forum za transferne cene.</w:t>
      </w:r>
    </w:p>
    <w:p w:rsidRPr="009F0FBD" w:rsidR="001B7F40" w:rsidP="001B7F40" w:rsidRDefault="001B7F40" w14:paraId="0BCC88FE" w14:textId="77777777">
      <w:pPr>
        <w:widowControl w:val="0"/>
        <w:ind w:left="709"/>
        <w:rPr>
          <w:lang w:val="sl-SI"/>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9F0FBD" w:rsidR="001B7F40" w:rsidTr="002775CC" w14:paraId="349744EE" w14:textId="77777777">
        <w:tc>
          <w:tcPr>
            <w:tcW w:w="1556" w:type="pct"/>
          </w:tcPr>
          <w:p w:rsidRPr="009F0FBD" w:rsidR="001B7F40" w:rsidP="002775CC" w:rsidRDefault="001B7F40" w14:paraId="40B01C77" w14:textId="77777777">
            <w:pPr>
              <w:rPr>
                <w:i/>
                <w:lang w:val="sl-SI"/>
              </w:rPr>
            </w:pPr>
            <w:r w:rsidRPr="009F0FBD">
              <w:rPr>
                <w:b/>
                <w:i/>
                <w:lang w:val="sl-SI"/>
              </w:rPr>
              <w:t>Kontaktna oseba</w:t>
            </w:r>
          </w:p>
        </w:tc>
        <w:tc>
          <w:tcPr>
            <w:tcW w:w="3444" w:type="pct"/>
          </w:tcPr>
          <w:p w:rsidRPr="009F0FBD" w:rsidR="001B7F40" w:rsidP="002775CC" w:rsidRDefault="001B7F40" w14:paraId="3F40D0CE" w14:textId="77777777">
            <w:pPr>
              <w:rPr>
                <w:i/>
                <w:lang w:val="sl-SI"/>
              </w:rPr>
            </w:pPr>
            <w:r w:rsidRPr="009F0FBD">
              <w:rPr>
                <w:i/>
                <w:lang w:val="sl-SI"/>
              </w:rPr>
              <w:t>Jüri SOOSAAR</w:t>
            </w:r>
          </w:p>
        </w:tc>
      </w:tr>
      <w:tr w:rsidRPr="009F0FBD" w:rsidR="001B7F40" w:rsidTr="002775CC" w14:paraId="6B9824D7" w14:textId="77777777">
        <w:tc>
          <w:tcPr>
            <w:tcW w:w="1556" w:type="pct"/>
          </w:tcPr>
          <w:p w:rsidRPr="009F0FBD" w:rsidR="001B7F40" w:rsidP="002775CC" w:rsidRDefault="001B7F40" w14:paraId="2A3C2CFD" w14:textId="77777777">
            <w:pPr>
              <w:rPr>
                <w:i/>
                <w:lang w:val="sl-SI"/>
              </w:rPr>
            </w:pPr>
            <w:r w:rsidRPr="009F0FBD">
              <w:rPr>
                <w:i/>
                <w:lang w:val="sl-SI"/>
              </w:rPr>
              <w:t>Telefon</w:t>
            </w:r>
          </w:p>
        </w:tc>
        <w:tc>
          <w:tcPr>
            <w:tcW w:w="3444" w:type="pct"/>
          </w:tcPr>
          <w:p w:rsidRPr="009F0FBD" w:rsidR="001B7F40" w:rsidP="002775CC" w:rsidRDefault="001B7F40" w14:paraId="6196A72C" w14:textId="77777777">
            <w:pPr>
              <w:rPr>
                <w:i/>
                <w:lang w:val="sl-SI"/>
              </w:rPr>
            </w:pPr>
            <w:r w:rsidRPr="009F0FBD">
              <w:rPr>
                <w:i/>
                <w:lang w:val="sl-SI"/>
              </w:rPr>
              <w:t>+32 25469628</w:t>
            </w:r>
          </w:p>
        </w:tc>
      </w:tr>
      <w:tr w:rsidRPr="0084110F" w:rsidR="001B7F40" w:rsidTr="002775CC" w14:paraId="4D7C094A" w14:textId="77777777">
        <w:tc>
          <w:tcPr>
            <w:tcW w:w="1556" w:type="pct"/>
          </w:tcPr>
          <w:p w:rsidRPr="009F0FBD" w:rsidR="001B7F40" w:rsidP="002775CC" w:rsidRDefault="001B7F40" w14:paraId="46CA2E7C" w14:textId="77777777">
            <w:pPr>
              <w:rPr>
                <w:i/>
                <w:lang w:val="sl-SI"/>
              </w:rPr>
            </w:pPr>
            <w:r w:rsidRPr="009F0FBD">
              <w:rPr>
                <w:i/>
                <w:lang w:val="sl-SI"/>
              </w:rPr>
              <w:t>E-naslov</w:t>
            </w:r>
          </w:p>
        </w:tc>
        <w:tc>
          <w:tcPr>
            <w:tcW w:w="3444" w:type="pct"/>
          </w:tcPr>
          <w:p w:rsidRPr="009F0FBD" w:rsidR="001B7F40" w:rsidP="002775CC" w:rsidRDefault="00E47EFC" w14:paraId="556637EB" w14:textId="77777777">
            <w:pPr>
              <w:rPr>
                <w:i/>
                <w:lang w:val="sl-SI"/>
              </w:rPr>
            </w:pPr>
            <w:hyperlink w:history="1" r:id="rId22">
              <w:r w:rsidRPr="009F0FBD" w:rsidR="001B7F40">
                <w:rPr>
                  <w:rStyle w:val="Hyperlink"/>
                  <w:i/>
                  <w:lang w:val="sl-SI"/>
                </w:rPr>
                <w:t>Juri.Soosaar@eesc.europa.eu</w:t>
              </w:r>
            </w:hyperlink>
          </w:p>
        </w:tc>
      </w:tr>
    </w:tbl>
    <w:p w:rsidRPr="009F0FBD" w:rsidR="001B7F40" w:rsidP="001B7F40" w:rsidRDefault="001B7F40" w14:paraId="2A7D2A56" w14:textId="77777777">
      <w:pPr>
        <w:jc w:val="center"/>
        <w:rPr>
          <w:lang w:val="sl-SI"/>
        </w:rPr>
      </w:pPr>
    </w:p>
    <w:p w:rsidRPr="009F0FBD" w:rsidR="00A174E9" w:rsidRDefault="00A174E9" w14:paraId="4982DD70" w14:textId="1D96BDFD">
      <w:pPr>
        <w:spacing w:after="160" w:line="259" w:lineRule="auto"/>
        <w:jc w:val="left"/>
        <w:rPr>
          <w:lang w:val="sl-SI"/>
        </w:rPr>
      </w:pPr>
      <w:r w:rsidRPr="009F0FBD">
        <w:rPr>
          <w:lang w:val="sl-SI"/>
        </w:rPr>
        <w:br w:type="page"/>
      </w:r>
    </w:p>
    <w:p w:rsidRPr="009F0FBD" w:rsidR="0089162C" w:rsidP="00611089" w:rsidRDefault="00E47EFC" w14:paraId="5CD8227E" w14:textId="22BDF1AF">
      <w:pPr>
        <w:widowControl w:val="0"/>
        <w:numPr>
          <w:ilvl w:val="0"/>
          <w:numId w:val="4"/>
        </w:numPr>
        <w:overflowPunct w:val="0"/>
        <w:autoSpaceDE w:val="0"/>
        <w:autoSpaceDN w:val="0"/>
        <w:adjustRightInd w:val="0"/>
        <w:spacing w:line="240" w:lineRule="auto"/>
        <w:ind w:hanging="567"/>
        <w:textAlignment w:val="baseline"/>
        <w:rPr>
          <w:sz w:val="24"/>
          <w:szCs w:val="24"/>
          <w:lang w:val="sl-SI"/>
        </w:rPr>
      </w:pPr>
      <w:hyperlink w:history="1" r:id="rId23">
        <w:r w:rsidRPr="009F0FBD" w:rsidR="00417328">
          <w:rPr>
            <w:rStyle w:val="Hyperlink"/>
            <w:b/>
            <w:i/>
            <w:sz w:val="28"/>
            <w:lang w:val="sl-SI"/>
          </w:rPr>
          <w:t>Dodatna pomoč za najbolj oddaljene regije</w:t>
        </w:r>
      </w:hyperlink>
    </w:p>
    <w:p w:rsidRPr="009F0FBD" w:rsidR="0089162C" w:rsidP="003838F1" w:rsidRDefault="0089162C" w14:paraId="6AB01B4E" w14:textId="2608DC88">
      <w:pPr>
        <w:widowControl w:val="0"/>
        <w:overflowPunct w:val="0"/>
        <w:autoSpaceDE w:val="0"/>
        <w:autoSpaceDN w:val="0"/>
        <w:adjustRightInd w:val="0"/>
        <w:spacing w:line="240" w:lineRule="auto"/>
        <w:ind w:left="567"/>
        <w:textAlignment w:val="baseline"/>
        <w:rPr>
          <w:sz w:val="24"/>
          <w:szCs w:val="24"/>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5953"/>
        <w:gridCol w:w="566"/>
      </w:tblGrid>
      <w:tr w:rsidRPr="0084110F" w:rsidR="003838F1" w:rsidTr="002775CC" w14:paraId="1864157F" w14:textId="77777777">
        <w:tc>
          <w:tcPr>
            <w:tcW w:w="2552" w:type="dxa"/>
          </w:tcPr>
          <w:p w:rsidRPr="009F0FBD" w:rsidR="003838F1" w:rsidP="003838F1" w:rsidRDefault="003838F1" w14:paraId="0945CA0C" w14:textId="77777777">
            <w:pPr>
              <w:tabs>
                <w:tab w:val="center" w:pos="284"/>
              </w:tabs>
              <w:spacing w:line="240" w:lineRule="auto"/>
              <w:ind w:left="266" w:hanging="266"/>
              <w:rPr>
                <w:b/>
                <w:lang w:val="sl-SI"/>
              </w:rPr>
            </w:pPr>
            <w:r w:rsidRPr="009F0FBD">
              <w:rPr>
                <w:b/>
                <w:lang w:val="sl-SI"/>
              </w:rPr>
              <w:t>Poročevalec</w:t>
            </w:r>
          </w:p>
        </w:tc>
        <w:tc>
          <w:tcPr>
            <w:tcW w:w="6519" w:type="dxa"/>
            <w:gridSpan w:val="2"/>
          </w:tcPr>
          <w:p w:rsidRPr="009F0FBD" w:rsidR="003838F1" w:rsidP="003838F1" w:rsidRDefault="003838F1" w14:paraId="5564D59F" w14:textId="77777777">
            <w:pPr>
              <w:tabs>
                <w:tab w:val="center" w:pos="284"/>
              </w:tabs>
              <w:spacing w:line="240" w:lineRule="auto"/>
              <w:ind w:left="266" w:hanging="266"/>
              <w:rPr>
                <w:lang w:val="sl-SI"/>
              </w:rPr>
            </w:pPr>
            <w:r w:rsidRPr="009F0FBD">
              <w:rPr>
                <w:lang w:val="sl-SI"/>
              </w:rPr>
              <w:t>Joël DESTOM (skupina organizacij civilne družbe – FR)</w:t>
            </w:r>
          </w:p>
        </w:tc>
      </w:tr>
      <w:tr w:rsidRPr="0084110F" w:rsidR="003838F1" w:rsidTr="002775CC" w14:paraId="6BE4A743" w14:textId="77777777">
        <w:tc>
          <w:tcPr>
            <w:tcW w:w="8505" w:type="dxa"/>
            <w:gridSpan w:val="2"/>
          </w:tcPr>
          <w:p w:rsidRPr="009F0FBD" w:rsidR="003838F1" w:rsidP="003838F1" w:rsidRDefault="003838F1" w14:paraId="52996FB8" w14:textId="77777777">
            <w:pPr>
              <w:tabs>
                <w:tab w:val="center" w:pos="284"/>
              </w:tabs>
              <w:spacing w:line="240" w:lineRule="auto"/>
              <w:ind w:left="266" w:hanging="266"/>
              <w:rPr>
                <w:lang w:val="sl-SI"/>
              </w:rPr>
            </w:pPr>
          </w:p>
        </w:tc>
        <w:tc>
          <w:tcPr>
            <w:tcW w:w="566" w:type="dxa"/>
          </w:tcPr>
          <w:p w:rsidRPr="009F0FBD" w:rsidR="003838F1" w:rsidP="003838F1" w:rsidRDefault="003838F1" w14:paraId="635FC3BA" w14:textId="77777777">
            <w:pPr>
              <w:tabs>
                <w:tab w:val="center" w:pos="284"/>
              </w:tabs>
              <w:spacing w:line="240" w:lineRule="auto"/>
              <w:ind w:left="266" w:hanging="266"/>
              <w:rPr>
                <w:lang w:val="sl-SI"/>
              </w:rPr>
            </w:pPr>
          </w:p>
        </w:tc>
      </w:tr>
      <w:tr w:rsidRPr="009F0FBD" w:rsidR="003838F1" w:rsidTr="002775CC" w14:paraId="198F7502" w14:textId="77777777">
        <w:tc>
          <w:tcPr>
            <w:tcW w:w="2552" w:type="dxa"/>
            <w:vMerge w:val="restart"/>
          </w:tcPr>
          <w:p w:rsidRPr="009F0FBD" w:rsidR="003838F1" w:rsidP="003838F1" w:rsidRDefault="003838F1" w14:paraId="3DF1965F" w14:textId="77777777">
            <w:pPr>
              <w:tabs>
                <w:tab w:val="center" w:pos="284"/>
              </w:tabs>
              <w:spacing w:line="240" w:lineRule="auto"/>
              <w:ind w:left="266" w:hanging="266"/>
              <w:rPr>
                <w:b/>
                <w:lang w:val="sl-SI"/>
              </w:rPr>
            </w:pPr>
            <w:r w:rsidRPr="009F0FBD">
              <w:rPr>
                <w:b/>
                <w:lang w:val="sl-SI"/>
              </w:rPr>
              <w:t>Referenčna dokumenta</w:t>
            </w:r>
          </w:p>
        </w:tc>
        <w:tc>
          <w:tcPr>
            <w:tcW w:w="5953" w:type="dxa"/>
          </w:tcPr>
          <w:p w:rsidRPr="009F0FBD" w:rsidR="003838F1" w:rsidP="003838F1" w:rsidRDefault="003838F1" w14:paraId="78229D0A" w14:textId="4D6B1856">
            <w:pPr>
              <w:tabs>
                <w:tab w:val="center" w:pos="284"/>
              </w:tabs>
              <w:spacing w:line="240" w:lineRule="auto"/>
              <w:ind w:left="266" w:hanging="266"/>
              <w:rPr>
                <w:lang w:val="sl-SI"/>
              </w:rPr>
            </w:pPr>
            <w:r w:rsidRPr="009F0FBD">
              <w:rPr>
                <w:lang w:val="sl-SI"/>
              </w:rPr>
              <w:t>COM(2025) 190 final</w:t>
            </w:r>
          </w:p>
        </w:tc>
        <w:tc>
          <w:tcPr>
            <w:tcW w:w="566" w:type="dxa"/>
          </w:tcPr>
          <w:p w:rsidRPr="009F0FBD" w:rsidR="003838F1" w:rsidP="003838F1" w:rsidRDefault="003838F1" w14:paraId="62EF835D" w14:textId="77777777">
            <w:pPr>
              <w:tabs>
                <w:tab w:val="center" w:pos="284"/>
              </w:tabs>
              <w:spacing w:line="240" w:lineRule="auto"/>
              <w:ind w:left="266" w:hanging="266"/>
              <w:rPr>
                <w:lang w:val="sl-SI"/>
              </w:rPr>
            </w:pPr>
          </w:p>
        </w:tc>
      </w:tr>
      <w:tr w:rsidRPr="009F0FBD" w:rsidR="003838F1" w:rsidTr="002775CC" w14:paraId="1D2765B1" w14:textId="77777777">
        <w:tc>
          <w:tcPr>
            <w:tcW w:w="2552" w:type="dxa"/>
            <w:vMerge/>
          </w:tcPr>
          <w:p w:rsidRPr="009F0FBD" w:rsidR="003838F1" w:rsidP="003838F1" w:rsidRDefault="003838F1" w14:paraId="2F88889F" w14:textId="77777777">
            <w:pPr>
              <w:tabs>
                <w:tab w:val="center" w:pos="284"/>
              </w:tabs>
              <w:spacing w:line="240" w:lineRule="auto"/>
              <w:ind w:left="266" w:hanging="266"/>
              <w:rPr>
                <w:b/>
                <w:lang w:val="sl-SI"/>
              </w:rPr>
            </w:pPr>
          </w:p>
        </w:tc>
        <w:tc>
          <w:tcPr>
            <w:tcW w:w="5953" w:type="dxa"/>
          </w:tcPr>
          <w:p w:rsidRPr="009F0FBD" w:rsidR="003838F1" w:rsidP="003838F1" w:rsidRDefault="003838F1" w14:paraId="23EE0CC3" w14:textId="77777777">
            <w:pPr>
              <w:tabs>
                <w:tab w:val="center" w:pos="284"/>
              </w:tabs>
              <w:spacing w:line="240" w:lineRule="auto"/>
              <w:ind w:left="266" w:hanging="266"/>
              <w:rPr>
                <w:lang w:val="sl-SI"/>
              </w:rPr>
            </w:pPr>
            <w:r w:rsidRPr="009F0FBD">
              <w:rPr>
                <w:lang w:val="sl-SI"/>
              </w:rPr>
              <w:t>EESC-2025-01633-00-00-AC-TRA</w:t>
            </w:r>
          </w:p>
        </w:tc>
        <w:tc>
          <w:tcPr>
            <w:tcW w:w="566" w:type="dxa"/>
          </w:tcPr>
          <w:p w:rsidRPr="009F0FBD" w:rsidR="003838F1" w:rsidP="003838F1" w:rsidRDefault="003838F1" w14:paraId="7E6C55E0" w14:textId="77777777">
            <w:pPr>
              <w:tabs>
                <w:tab w:val="center" w:pos="284"/>
              </w:tabs>
              <w:spacing w:line="240" w:lineRule="auto"/>
              <w:ind w:left="266" w:hanging="266"/>
              <w:rPr>
                <w:lang w:val="sl-SI"/>
              </w:rPr>
            </w:pPr>
          </w:p>
        </w:tc>
      </w:tr>
    </w:tbl>
    <w:p w:rsidRPr="009F0FBD" w:rsidR="005D51A7" w:rsidP="003838F1" w:rsidRDefault="005D51A7" w14:paraId="623C1502" w14:textId="77777777">
      <w:pPr>
        <w:keepNext/>
        <w:keepLines/>
        <w:tabs>
          <w:tab w:val="center" w:pos="284"/>
        </w:tabs>
        <w:overflowPunct w:val="0"/>
        <w:autoSpaceDE w:val="0"/>
        <w:autoSpaceDN w:val="0"/>
        <w:adjustRightInd w:val="0"/>
        <w:spacing w:line="240" w:lineRule="auto"/>
        <w:ind w:left="266" w:hanging="266"/>
        <w:textAlignment w:val="baseline"/>
        <w:rPr>
          <w:b/>
          <w:lang w:val="sl-SI"/>
        </w:rPr>
      </w:pPr>
    </w:p>
    <w:p w:rsidRPr="009F0FBD" w:rsidR="003838F1" w:rsidP="003838F1" w:rsidRDefault="003838F1" w14:paraId="62AB59D1" w14:textId="77777777">
      <w:pPr>
        <w:keepNext/>
        <w:keepLines/>
        <w:tabs>
          <w:tab w:val="center" w:pos="284"/>
        </w:tabs>
        <w:spacing w:line="240" w:lineRule="auto"/>
        <w:ind w:left="266" w:hanging="266"/>
        <w:rPr>
          <w:b/>
          <w:lang w:val="sl-SI"/>
        </w:rPr>
      </w:pPr>
      <w:r w:rsidRPr="009F0FBD">
        <w:rPr>
          <w:b/>
          <w:lang w:val="sl-SI"/>
        </w:rPr>
        <w:t>Glavne točke</w:t>
      </w:r>
    </w:p>
    <w:p w:rsidRPr="009F0FBD" w:rsidR="003838F1" w:rsidP="003838F1" w:rsidRDefault="003838F1" w14:paraId="62A185EF" w14:textId="77777777">
      <w:pPr>
        <w:spacing w:line="240" w:lineRule="auto"/>
        <w:rPr>
          <w:bCs/>
          <w:iCs/>
          <w:lang w:val="sl-SI"/>
        </w:rPr>
      </w:pPr>
    </w:p>
    <w:p w:rsidRPr="009F0FBD" w:rsidR="003838F1" w:rsidP="003838F1" w:rsidRDefault="003838F1" w14:paraId="699C07F3" w14:textId="77777777">
      <w:pPr>
        <w:spacing w:line="240" w:lineRule="auto"/>
        <w:rPr>
          <w:lang w:val="sl-SI"/>
        </w:rPr>
      </w:pPr>
      <w:r w:rsidRPr="009F0FBD">
        <w:rPr>
          <w:lang w:val="sl-SI"/>
        </w:rPr>
        <w:t>EESO:</w:t>
      </w:r>
    </w:p>
    <w:p w:rsidRPr="009F0FBD" w:rsidR="003838F1" w:rsidP="003838F1" w:rsidRDefault="003838F1" w14:paraId="21E9E539" w14:textId="77777777">
      <w:pPr>
        <w:spacing w:line="240" w:lineRule="auto"/>
        <w:rPr>
          <w:bCs/>
          <w:iCs/>
          <w:lang w:val="sl-SI"/>
        </w:rPr>
      </w:pPr>
    </w:p>
    <w:p w:rsidRPr="009F0FBD" w:rsidR="003838F1" w:rsidP="004F5634" w:rsidRDefault="003838F1" w14:paraId="250B7D6C" w14:textId="77777777">
      <w:pPr>
        <w:widowControl w:val="0"/>
        <w:numPr>
          <w:ilvl w:val="0"/>
          <w:numId w:val="31"/>
        </w:numPr>
        <w:overflowPunct w:val="0"/>
        <w:autoSpaceDE w:val="0"/>
        <w:autoSpaceDN w:val="0"/>
        <w:adjustRightInd w:val="0"/>
        <w:ind w:left="284" w:hanging="284"/>
        <w:textAlignment w:val="baseline"/>
        <w:rPr>
          <w:lang w:val="sl-SI"/>
        </w:rPr>
      </w:pPr>
      <w:r w:rsidRPr="009F0FBD">
        <w:rPr>
          <w:lang w:val="sl-SI"/>
        </w:rPr>
        <w:t>pozdravlja predlog Evropske komisije, ki v celoti priznava strukturno ranljivost najbolj oddaljenih regij za naravne nesreče in podnebne spremembe ter navaja ukrepe za prožnost, s katerimi bi upoštevali izredne podnebne in humanitarne razmere v teh regijah, zlasti na Mayottu;</w:t>
      </w:r>
    </w:p>
    <w:p w:rsidRPr="009F0FBD" w:rsidR="003838F1" w:rsidP="004F5634" w:rsidRDefault="003838F1" w14:paraId="44D7572D" w14:textId="77777777">
      <w:pPr>
        <w:widowControl w:val="0"/>
        <w:numPr>
          <w:ilvl w:val="0"/>
          <w:numId w:val="31"/>
        </w:numPr>
        <w:overflowPunct w:val="0"/>
        <w:autoSpaceDE w:val="0"/>
        <w:autoSpaceDN w:val="0"/>
        <w:adjustRightInd w:val="0"/>
        <w:ind w:left="284" w:hanging="284"/>
        <w:textAlignment w:val="baseline"/>
        <w:rPr>
          <w:lang w:val="sl-SI"/>
        </w:rPr>
      </w:pPr>
      <w:r w:rsidRPr="009F0FBD">
        <w:rPr>
          <w:lang w:val="sl-SI"/>
        </w:rPr>
        <w:t xml:space="preserve"> podpira usmerjene spremembe Uredbe (EU) št. 228/2013, katerih cilj je:</w:t>
      </w:r>
    </w:p>
    <w:p w:rsidRPr="009F0FBD" w:rsidR="003838F1" w:rsidP="004F5634" w:rsidRDefault="003838F1" w14:paraId="14382301" w14:textId="77777777">
      <w:pPr>
        <w:pStyle w:val="ListParagraph"/>
        <w:widowControl w:val="0"/>
        <w:numPr>
          <w:ilvl w:val="0"/>
          <w:numId w:val="8"/>
        </w:numPr>
        <w:ind w:left="567" w:hanging="283"/>
        <w:contextualSpacing w:val="0"/>
        <w:rPr>
          <w:lang w:val="sl-SI"/>
        </w:rPr>
      </w:pPr>
      <w:r w:rsidRPr="009F0FBD">
        <w:rPr>
          <w:lang w:val="sl-SI"/>
        </w:rPr>
        <w:t>zagotoviti neprekinjeno podporo v okviru programa možnosti za oddaljene in otoške regije (POSEI) v fazah obnove, tudi če ni proizvodne dejavnosti;</w:t>
      </w:r>
    </w:p>
    <w:p w:rsidRPr="009F0FBD" w:rsidR="003838F1" w:rsidP="004F5634" w:rsidRDefault="003838F1" w14:paraId="48A3A60B" w14:textId="77777777">
      <w:pPr>
        <w:pStyle w:val="ListParagraph"/>
        <w:widowControl w:val="0"/>
        <w:numPr>
          <w:ilvl w:val="0"/>
          <w:numId w:val="8"/>
        </w:numPr>
        <w:ind w:left="567" w:hanging="283"/>
        <w:contextualSpacing w:val="0"/>
        <w:rPr>
          <w:lang w:val="sl-SI"/>
        </w:rPr>
      </w:pPr>
      <w:r w:rsidRPr="009F0FBD">
        <w:rPr>
          <w:lang w:val="sl-SI"/>
        </w:rPr>
        <w:t>odpraviti 10-odstotno zgornjo mejo za prerazporeditev sredstev Evropskega kmetijskega sklada za razvoj podeželja (EKSRP) na Mayottu in podaljšati rok za izbiro upravičencev, ki je zaenkrat 30. junij 2025;</w:t>
      </w:r>
    </w:p>
    <w:p w:rsidRPr="009F0FBD" w:rsidR="003838F1" w:rsidP="004F5634" w:rsidRDefault="003838F1" w14:paraId="4925D52E" w14:textId="77777777">
      <w:pPr>
        <w:widowControl w:val="0"/>
        <w:numPr>
          <w:ilvl w:val="0"/>
          <w:numId w:val="32"/>
        </w:numPr>
        <w:overflowPunct w:val="0"/>
        <w:autoSpaceDE w:val="0"/>
        <w:autoSpaceDN w:val="0"/>
        <w:adjustRightInd w:val="0"/>
        <w:ind w:left="284" w:hanging="284"/>
        <w:textAlignment w:val="baseline"/>
        <w:rPr>
          <w:lang w:val="sl-SI"/>
        </w:rPr>
      </w:pPr>
      <w:r w:rsidRPr="009F0FBD">
        <w:rPr>
          <w:lang w:val="sl-SI"/>
        </w:rPr>
        <w:t>poziva Evropsko komisijo in države članice, naj zagotovijo, da se sredstva ne bodo prerazporedila v škodo strukturnih projektov razvoja podeželja. Poziva tudi, naj v uredbo vključijo določbo, ki spodbuja uporabo naravnih rešitev v fazi obnove po nesreči ter ohranijo strog in transparenten letni pregled obveznosti, ki so jih prevzeli upravičenci;</w:t>
      </w:r>
    </w:p>
    <w:p w:rsidRPr="009F0FBD" w:rsidR="003838F1" w:rsidP="004F5634" w:rsidRDefault="003838F1" w14:paraId="4B700FBD" w14:textId="77777777">
      <w:pPr>
        <w:widowControl w:val="0"/>
        <w:numPr>
          <w:ilvl w:val="0"/>
          <w:numId w:val="32"/>
        </w:numPr>
        <w:overflowPunct w:val="0"/>
        <w:autoSpaceDE w:val="0"/>
        <w:autoSpaceDN w:val="0"/>
        <w:adjustRightInd w:val="0"/>
        <w:ind w:left="284" w:hanging="284"/>
        <w:textAlignment w:val="baseline"/>
        <w:rPr>
          <w:lang w:val="sl-SI"/>
        </w:rPr>
      </w:pPr>
      <w:r w:rsidRPr="009F0FBD">
        <w:rPr>
          <w:lang w:val="sl-SI"/>
        </w:rPr>
        <w:t>poziva Evropsko komisijo, naj tesno sodeluje z državami članicami, lokalnimi oblastmi in organizacijami civilne družbe, da bi kar najbolj učinkovito in hitro izkoristili možnosti za podporo prizadetim regijam. Naravne nesreče so močno prizadele organizacije civilne družbe, delavce, MSP in nevladne organizacije, zato jim je treba nameniti znaten delež sredstev;</w:t>
      </w:r>
    </w:p>
    <w:p w:rsidRPr="009F0FBD" w:rsidR="003838F1" w:rsidP="004F5634" w:rsidRDefault="003838F1" w14:paraId="2518B12F" w14:textId="77777777">
      <w:pPr>
        <w:widowControl w:val="0"/>
        <w:numPr>
          <w:ilvl w:val="0"/>
          <w:numId w:val="32"/>
        </w:numPr>
        <w:overflowPunct w:val="0"/>
        <w:autoSpaceDE w:val="0"/>
        <w:autoSpaceDN w:val="0"/>
        <w:adjustRightInd w:val="0"/>
        <w:ind w:left="284" w:hanging="284"/>
        <w:textAlignment w:val="baseline"/>
        <w:rPr>
          <w:lang w:val="sl-SI"/>
        </w:rPr>
      </w:pPr>
      <w:r w:rsidRPr="009F0FBD">
        <w:rPr>
          <w:lang w:val="sl-SI"/>
        </w:rPr>
        <w:t>poleg tega priporoča, da se:</w:t>
      </w:r>
    </w:p>
    <w:p w:rsidRPr="009F0FBD" w:rsidR="003838F1" w:rsidP="004F5634" w:rsidRDefault="003838F1" w14:paraId="3F5224A7" w14:textId="77777777">
      <w:pPr>
        <w:widowControl w:val="0"/>
        <w:numPr>
          <w:ilvl w:val="0"/>
          <w:numId w:val="7"/>
        </w:numPr>
        <w:overflowPunct w:val="0"/>
        <w:autoSpaceDE w:val="0"/>
        <w:autoSpaceDN w:val="0"/>
        <w:adjustRightInd w:val="0"/>
        <w:ind w:left="567" w:hanging="283"/>
        <w:textAlignment w:val="baseline"/>
        <w:rPr>
          <w:lang w:val="sl-SI"/>
        </w:rPr>
      </w:pPr>
      <w:r w:rsidRPr="009F0FBD">
        <w:rPr>
          <w:lang w:val="sl-SI"/>
        </w:rPr>
        <w:t>na ravni EU formalizira postopek za hitro priznanje primerov naravnih nesreč;</w:t>
      </w:r>
    </w:p>
    <w:p w:rsidRPr="009F0FBD" w:rsidR="003838F1" w:rsidP="004F5634" w:rsidRDefault="003838F1" w14:paraId="4D54E692" w14:textId="77777777">
      <w:pPr>
        <w:widowControl w:val="0"/>
        <w:numPr>
          <w:ilvl w:val="0"/>
          <w:numId w:val="7"/>
        </w:numPr>
        <w:overflowPunct w:val="0"/>
        <w:autoSpaceDE w:val="0"/>
        <w:autoSpaceDN w:val="0"/>
        <w:adjustRightInd w:val="0"/>
        <w:ind w:left="567" w:hanging="283"/>
        <w:textAlignment w:val="baseline"/>
        <w:rPr>
          <w:lang w:val="sl-SI"/>
        </w:rPr>
      </w:pPr>
      <w:r w:rsidRPr="009F0FBD">
        <w:rPr>
          <w:lang w:val="sl-SI"/>
        </w:rPr>
        <w:t>ustanovi namenski sklad EU za nesreče, ki jih povzročajo podnebne spremembe. Ta sklad bi omogočil učinkovito odzivanje na večje krize brez ogrožanja strukturnih politik, ki se financirajo iz EKSRP ali skupne kmetijske politike (SKP). Dopolnjeval bi Solidarnostni sklad Evropske unije in zagotovil vzdržnost prihodnje pomoči kljub povečanju velikih tveganj;</w:t>
      </w:r>
    </w:p>
    <w:p w:rsidRPr="009F0FBD" w:rsidR="003838F1" w:rsidP="004F5634" w:rsidRDefault="003838F1" w14:paraId="4D1E48F4" w14:textId="77777777">
      <w:pPr>
        <w:widowControl w:val="0"/>
        <w:numPr>
          <w:ilvl w:val="0"/>
          <w:numId w:val="7"/>
        </w:numPr>
        <w:overflowPunct w:val="0"/>
        <w:autoSpaceDE w:val="0"/>
        <w:autoSpaceDN w:val="0"/>
        <w:adjustRightInd w:val="0"/>
        <w:ind w:left="567" w:hanging="283"/>
        <w:textAlignment w:val="baseline"/>
        <w:rPr>
          <w:lang w:val="sl-SI"/>
        </w:rPr>
      </w:pPr>
      <w:r w:rsidRPr="009F0FBD">
        <w:rPr>
          <w:lang w:val="sl-SI"/>
        </w:rPr>
        <w:t>prilagoditve Uredbe umestijo v širši strateški okvir dolgoročne vizije EU za podeželje, ki zagotavlja skladnost med nujno pomočjo, teritorialno odpornostjo in trajnostnim razvojem podeželja.</w:t>
      </w:r>
    </w:p>
    <w:p w:rsidRPr="009F0FBD" w:rsidR="003838F1" w:rsidP="004F5634" w:rsidRDefault="003838F1" w14:paraId="1DE19148" w14:textId="77777777">
      <w:pPr>
        <w:keepNext/>
        <w:keepLines/>
        <w:widowControl w:val="0"/>
        <w:numPr>
          <w:ilvl w:val="0"/>
          <w:numId w:val="33"/>
        </w:numPr>
        <w:overflowPunct w:val="0"/>
        <w:autoSpaceDE w:val="0"/>
        <w:autoSpaceDN w:val="0"/>
        <w:adjustRightInd w:val="0"/>
        <w:ind w:left="284" w:hanging="284"/>
        <w:textAlignment w:val="baseline"/>
        <w:rPr>
          <w:lang w:val="sl-SI"/>
        </w:rPr>
      </w:pPr>
      <w:r w:rsidRPr="009F0FBD">
        <w:rPr>
          <w:lang w:val="sl-SI"/>
        </w:rPr>
        <w:t xml:space="preserve">meni, da EU potrebuje nov stabilen in trden mehanizem financiranja, ki mora biti prilagodljiv, prožen in pripravljen za odzivanje na nove ter porajajoče se krize v prihodnjih letih; </w:t>
      </w:r>
    </w:p>
    <w:p w:rsidRPr="009F0FBD" w:rsidR="003838F1" w:rsidP="004F5634" w:rsidRDefault="003838F1" w14:paraId="718F4C6C" w14:textId="77777777">
      <w:pPr>
        <w:widowControl w:val="0"/>
        <w:numPr>
          <w:ilvl w:val="0"/>
          <w:numId w:val="33"/>
        </w:numPr>
        <w:overflowPunct w:val="0"/>
        <w:autoSpaceDE w:val="0"/>
        <w:autoSpaceDN w:val="0"/>
        <w:adjustRightInd w:val="0"/>
        <w:ind w:left="284" w:hanging="284"/>
        <w:textAlignment w:val="baseline"/>
        <w:rPr>
          <w:lang w:val="sl-SI"/>
        </w:rPr>
      </w:pPr>
      <w:r w:rsidRPr="009F0FBD">
        <w:rPr>
          <w:lang w:val="sl-SI"/>
        </w:rPr>
        <w:t>se zavzema tudi za večjo usklajenost različnih evropskih instrumentov za odzivanje na nesreče in za vzpostavitev strukturiranega okvira za preprečevanje, ki bi vključeval točko „vse na enem mestu“ za najbolj oddaljene regije, mehanizem zgodnjega opozarjanja o podnebju za najbolj oddaljene regije ter poenostavljene upravne postopke za dodelitev pomoči.</w:t>
      </w:r>
    </w:p>
    <w:p w:rsidRPr="009F0FBD" w:rsidR="003838F1" w:rsidP="003838F1" w:rsidRDefault="003838F1" w14:paraId="2173C033" w14:textId="77777777">
      <w:pPr>
        <w:widowControl w:val="0"/>
        <w:spacing w:line="240" w:lineRule="auto"/>
        <w:ind w:left="567"/>
        <w:rPr>
          <w:sz w:val="16"/>
          <w:szCs w:val="16"/>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03"/>
      </w:tblGrid>
      <w:tr w:rsidRPr="009F0FBD" w:rsidR="003838F1" w:rsidTr="002775CC" w14:paraId="613F2043" w14:textId="77777777">
        <w:tc>
          <w:tcPr>
            <w:tcW w:w="1985" w:type="dxa"/>
          </w:tcPr>
          <w:p w:rsidRPr="009F0FBD" w:rsidR="003838F1" w:rsidP="003838F1" w:rsidRDefault="003838F1" w14:paraId="70A12CD5" w14:textId="77777777">
            <w:pPr>
              <w:spacing w:line="240" w:lineRule="auto"/>
              <w:rPr>
                <w:i/>
                <w:lang w:val="sl-SI"/>
              </w:rPr>
            </w:pPr>
            <w:r w:rsidRPr="009F0FBD">
              <w:rPr>
                <w:b/>
                <w:i/>
                <w:lang w:val="sl-SI"/>
              </w:rPr>
              <w:t>Kontaktna oseba</w:t>
            </w:r>
          </w:p>
        </w:tc>
        <w:tc>
          <w:tcPr>
            <w:tcW w:w="5103" w:type="dxa"/>
          </w:tcPr>
          <w:p w:rsidRPr="009F0FBD" w:rsidR="003838F1" w:rsidP="003838F1" w:rsidRDefault="003838F1" w14:paraId="7241CC14" w14:textId="77777777">
            <w:pPr>
              <w:spacing w:line="240" w:lineRule="auto"/>
              <w:rPr>
                <w:i/>
                <w:lang w:val="sl-SI"/>
              </w:rPr>
            </w:pPr>
            <w:r w:rsidRPr="009F0FBD">
              <w:rPr>
                <w:i/>
                <w:lang w:val="sl-SI"/>
              </w:rPr>
              <w:t>Georgios MELEAS</w:t>
            </w:r>
          </w:p>
        </w:tc>
      </w:tr>
      <w:tr w:rsidRPr="009F0FBD" w:rsidR="003838F1" w:rsidTr="002775CC" w14:paraId="0F20FBD1" w14:textId="77777777">
        <w:tc>
          <w:tcPr>
            <w:tcW w:w="1985" w:type="dxa"/>
          </w:tcPr>
          <w:p w:rsidRPr="009F0FBD" w:rsidR="003838F1" w:rsidP="003838F1" w:rsidRDefault="003838F1" w14:paraId="4DC59410" w14:textId="77777777">
            <w:pPr>
              <w:spacing w:line="240" w:lineRule="auto"/>
              <w:rPr>
                <w:i/>
                <w:lang w:val="sl-SI"/>
              </w:rPr>
            </w:pPr>
            <w:r w:rsidRPr="009F0FBD">
              <w:rPr>
                <w:i/>
                <w:lang w:val="sl-SI"/>
              </w:rPr>
              <w:t>Telefon</w:t>
            </w:r>
          </w:p>
        </w:tc>
        <w:tc>
          <w:tcPr>
            <w:tcW w:w="5103" w:type="dxa"/>
          </w:tcPr>
          <w:p w:rsidRPr="009F0FBD" w:rsidR="003838F1" w:rsidP="003838F1" w:rsidRDefault="003838F1" w14:paraId="2FCE0EF8" w14:textId="77777777">
            <w:pPr>
              <w:spacing w:line="240" w:lineRule="auto"/>
              <w:rPr>
                <w:i/>
                <w:lang w:val="sl-SI"/>
              </w:rPr>
            </w:pPr>
            <w:r w:rsidRPr="009F0FBD">
              <w:rPr>
                <w:i/>
                <w:lang w:val="sl-SI"/>
              </w:rPr>
              <w:t>+32 2 5469795</w:t>
            </w:r>
          </w:p>
        </w:tc>
      </w:tr>
      <w:tr w:rsidRPr="009F0FBD" w:rsidR="003838F1" w:rsidTr="002775CC" w14:paraId="643C83D4" w14:textId="77777777">
        <w:tc>
          <w:tcPr>
            <w:tcW w:w="1985" w:type="dxa"/>
          </w:tcPr>
          <w:p w:rsidRPr="009F0FBD" w:rsidR="003838F1" w:rsidP="003838F1" w:rsidRDefault="003838F1" w14:paraId="7F692B7B" w14:textId="77777777">
            <w:pPr>
              <w:spacing w:line="240" w:lineRule="auto"/>
              <w:rPr>
                <w:i/>
                <w:lang w:val="sl-SI"/>
              </w:rPr>
            </w:pPr>
            <w:r w:rsidRPr="009F0FBD">
              <w:rPr>
                <w:i/>
                <w:lang w:val="sl-SI"/>
              </w:rPr>
              <w:t>E-naslov</w:t>
            </w:r>
          </w:p>
        </w:tc>
        <w:tc>
          <w:tcPr>
            <w:tcW w:w="5103" w:type="dxa"/>
          </w:tcPr>
          <w:p w:rsidRPr="009F0FBD" w:rsidR="003838F1" w:rsidP="003838F1" w:rsidRDefault="00C14021" w14:paraId="00B6147C" w14:textId="77777777">
            <w:pPr>
              <w:spacing w:line="240" w:lineRule="auto"/>
              <w:rPr>
                <w:i/>
                <w:iCs/>
                <w:lang w:val="sl-SI"/>
              </w:rPr>
            </w:pPr>
            <w:hyperlink w:history="1" r:id="rId24">
              <w:r w:rsidRPr="009F0FBD" w:rsidR="003838F1">
                <w:rPr>
                  <w:rStyle w:val="Hyperlink"/>
                  <w:i/>
                  <w:lang w:val="sl-SI"/>
                </w:rPr>
                <w:t>GeorgiosMeleas@eesc.europa.eu</w:t>
              </w:r>
            </w:hyperlink>
          </w:p>
        </w:tc>
      </w:tr>
    </w:tbl>
    <w:p w:rsidRPr="009F0FBD" w:rsidR="0089162C" w:rsidRDefault="0089162C" w14:paraId="76598F99" w14:textId="77777777">
      <w:pPr>
        <w:spacing w:after="160" w:line="259" w:lineRule="auto"/>
        <w:jc w:val="left"/>
        <w:rPr>
          <w:lang w:val="sl-SI"/>
        </w:rPr>
      </w:pPr>
      <w:r w:rsidRPr="009F0FBD">
        <w:rPr>
          <w:lang w:val="sl-SI"/>
        </w:rPr>
        <w:br w:type="page"/>
      </w:r>
    </w:p>
    <w:p w:rsidRPr="009F0FBD" w:rsidR="004D7AC0" w:rsidP="00FE74F4" w:rsidRDefault="003838F1" w14:paraId="4982DD99" w14:textId="57EA0475">
      <w:pPr>
        <w:pStyle w:val="Heading1"/>
        <w:rPr>
          <w:b/>
          <w:lang w:val="sl-SI"/>
        </w:rPr>
      </w:pPr>
      <w:bookmarkStart w:name="_Toc201837064" w:id="5"/>
      <w:r w:rsidRPr="009F0FBD">
        <w:rPr>
          <w:rFonts w:eastAsiaTheme="minorEastAsia"/>
          <w:b/>
          <w:lang w:val="sl-SI"/>
        </w:rPr>
        <w:lastRenderedPageBreak/>
        <w:t>ZAPOSLOVANJE, SOCIALNE ZADEVE IN DRŽAVLJANSTVO</w:t>
      </w:r>
      <w:bookmarkEnd w:id="5"/>
    </w:p>
    <w:p w:rsidRPr="009F0FBD" w:rsidR="004D7AC0" w:rsidP="00FE74F4" w:rsidRDefault="004D7AC0" w14:paraId="4982DD9A" w14:textId="77777777">
      <w:pPr>
        <w:rPr>
          <w:lang w:val="sl-SI"/>
        </w:rPr>
      </w:pPr>
    </w:p>
    <w:p w:rsidRPr="009F0FBD" w:rsidR="00BE355C" w:rsidP="00611089" w:rsidRDefault="00E47EFC" w14:paraId="36F6D783" w14:textId="26973CA6">
      <w:pPr>
        <w:widowControl w:val="0"/>
        <w:numPr>
          <w:ilvl w:val="0"/>
          <w:numId w:val="9"/>
        </w:numPr>
        <w:overflowPunct w:val="0"/>
        <w:autoSpaceDE w:val="0"/>
        <w:autoSpaceDN w:val="0"/>
        <w:adjustRightInd w:val="0"/>
        <w:ind w:left="567" w:hanging="567"/>
        <w:textAlignment w:val="baseline"/>
        <w:rPr>
          <w:b/>
          <w:lang w:val="sl-SI"/>
        </w:rPr>
      </w:pPr>
      <w:hyperlink w:history="1" r:id="rId25">
        <w:r w:rsidRPr="009F0FBD" w:rsidR="00AD7DF9">
          <w:rPr>
            <w:rStyle w:val="Hyperlink"/>
            <w:b/>
            <w:i/>
            <w:sz w:val="28"/>
            <w:lang w:val="sl-SI"/>
          </w:rPr>
          <w:t>Krepitev zakonitih in organiziranih delovnih migracij v EU</w:t>
        </w:r>
      </w:hyperlink>
    </w:p>
    <w:p w:rsidRPr="009F0FBD" w:rsidR="00BE355C" w:rsidP="00FE74F4" w:rsidRDefault="00BE355C" w14:paraId="36B699A7" w14:textId="77777777">
      <w:pPr>
        <w:tabs>
          <w:tab w:val="center" w:pos="284"/>
        </w:tabs>
        <w:overflowPunct w:val="0"/>
        <w:autoSpaceDE w:val="0"/>
        <w:autoSpaceDN w:val="0"/>
        <w:adjustRightInd w:val="0"/>
        <w:ind w:left="567" w:hanging="567"/>
        <w:textAlignment w:val="baseline"/>
        <w:rPr>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5836"/>
      </w:tblGrid>
      <w:tr w:rsidRPr="009F0FBD" w:rsidR="00B05C36" w:rsidTr="002775CC" w14:paraId="6E354165" w14:textId="77777777">
        <w:trPr>
          <w:trHeight w:val="668"/>
        </w:trPr>
        <w:tc>
          <w:tcPr>
            <w:tcW w:w="2410" w:type="dxa"/>
          </w:tcPr>
          <w:p w:rsidRPr="009F0FBD" w:rsidR="00B05C36" w:rsidP="00FE74F4" w:rsidRDefault="00B05C36" w14:paraId="6707085F" w14:textId="77777777">
            <w:pPr>
              <w:tabs>
                <w:tab w:val="center" w:pos="284"/>
              </w:tabs>
              <w:ind w:left="567" w:hanging="567"/>
              <w:rPr>
                <w:b/>
                <w:lang w:val="sl-SI"/>
              </w:rPr>
            </w:pPr>
            <w:r w:rsidRPr="009F0FBD">
              <w:rPr>
                <w:b/>
                <w:lang w:val="sl-SI"/>
              </w:rPr>
              <w:t>Poročevalec</w:t>
            </w:r>
          </w:p>
          <w:p w:rsidRPr="009F0FBD" w:rsidR="00B05C36" w:rsidP="00FE74F4" w:rsidRDefault="00B05C36" w14:paraId="13D91DF9" w14:textId="77777777">
            <w:pPr>
              <w:tabs>
                <w:tab w:val="center" w:pos="284"/>
              </w:tabs>
              <w:ind w:left="567" w:hanging="567"/>
              <w:rPr>
                <w:b/>
                <w:lang w:val="sl-SI"/>
              </w:rPr>
            </w:pPr>
          </w:p>
        </w:tc>
        <w:tc>
          <w:tcPr>
            <w:tcW w:w="5836" w:type="dxa"/>
          </w:tcPr>
          <w:p w:rsidRPr="009F0FBD" w:rsidR="00B05C36" w:rsidP="00FE74F4" w:rsidRDefault="00B05C36" w14:paraId="0B5F9DCC" w14:textId="19EF7ADA">
            <w:pPr>
              <w:ind w:left="567" w:hanging="567"/>
              <w:rPr>
                <w:lang w:val="sl-SI"/>
              </w:rPr>
            </w:pPr>
            <w:r w:rsidRPr="009F0FBD">
              <w:rPr>
                <w:lang w:val="sl-SI"/>
              </w:rPr>
              <w:t>Thomas WAGNSONNER (</w:t>
            </w:r>
            <w:r w:rsidR="0084110F">
              <w:rPr>
                <w:lang w:val="sl-SI"/>
              </w:rPr>
              <w:t xml:space="preserve">skupina </w:t>
            </w:r>
            <w:r w:rsidRPr="009F0FBD">
              <w:rPr>
                <w:lang w:val="sl-SI"/>
              </w:rPr>
              <w:t>delojemalc</w:t>
            </w:r>
            <w:r w:rsidR="0084110F">
              <w:rPr>
                <w:lang w:val="sl-SI"/>
              </w:rPr>
              <w:t>ev</w:t>
            </w:r>
            <w:r w:rsidRPr="009F0FBD">
              <w:rPr>
                <w:lang w:val="sl-SI"/>
              </w:rPr>
              <w:t xml:space="preserve"> – AT)</w:t>
            </w:r>
          </w:p>
        </w:tc>
      </w:tr>
      <w:tr w:rsidRPr="009F0FBD" w:rsidR="00B05C36" w:rsidTr="002775CC" w14:paraId="2BCD9096" w14:textId="77777777">
        <w:trPr>
          <w:trHeight w:val="329"/>
        </w:trPr>
        <w:tc>
          <w:tcPr>
            <w:tcW w:w="2410" w:type="dxa"/>
            <w:vMerge w:val="restart"/>
          </w:tcPr>
          <w:p w:rsidRPr="009F0FBD" w:rsidR="00B05C36" w:rsidP="00FE74F4" w:rsidRDefault="00B05C36" w14:paraId="0C1AB8EE" w14:textId="77777777">
            <w:pPr>
              <w:tabs>
                <w:tab w:val="center" w:pos="284"/>
              </w:tabs>
              <w:ind w:left="567" w:hanging="567"/>
              <w:rPr>
                <w:b/>
                <w:lang w:val="sl-SI"/>
              </w:rPr>
            </w:pPr>
            <w:r w:rsidRPr="009F0FBD">
              <w:rPr>
                <w:b/>
                <w:lang w:val="sl-SI"/>
              </w:rPr>
              <w:t>Referenčni dokument</w:t>
            </w:r>
          </w:p>
        </w:tc>
        <w:tc>
          <w:tcPr>
            <w:tcW w:w="5836" w:type="dxa"/>
          </w:tcPr>
          <w:p w:rsidRPr="009F0FBD" w:rsidR="00B05C36" w:rsidP="00FE74F4" w:rsidRDefault="00023F07" w14:paraId="7835320A" w14:textId="075C8A3E">
            <w:pPr>
              <w:tabs>
                <w:tab w:val="center" w:pos="284"/>
              </w:tabs>
              <w:ind w:left="567" w:hanging="567"/>
              <w:rPr>
                <w:lang w:val="sl-SI"/>
              </w:rPr>
            </w:pPr>
            <w:r w:rsidRPr="009F0FBD">
              <w:rPr>
                <w:lang w:val="sl-SI"/>
              </w:rPr>
              <w:t>mnenje na lastno pobudo</w:t>
            </w:r>
          </w:p>
        </w:tc>
      </w:tr>
      <w:tr w:rsidRPr="009F0FBD" w:rsidR="00023F07" w:rsidTr="002775CC" w14:paraId="6659FC3A" w14:textId="77777777">
        <w:trPr>
          <w:trHeight w:val="87"/>
        </w:trPr>
        <w:tc>
          <w:tcPr>
            <w:tcW w:w="2410" w:type="dxa"/>
            <w:vMerge/>
          </w:tcPr>
          <w:p w:rsidRPr="009F0FBD" w:rsidR="00023F07" w:rsidP="00023F07" w:rsidRDefault="00023F07" w14:paraId="08309427" w14:textId="77777777">
            <w:pPr>
              <w:tabs>
                <w:tab w:val="center" w:pos="284"/>
              </w:tabs>
              <w:ind w:left="266" w:hanging="266"/>
              <w:rPr>
                <w:b/>
                <w:lang w:val="sl-SI"/>
              </w:rPr>
            </w:pPr>
          </w:p>
        </w:tc>
        <w:tc>
          <w:tcPr>
            <w:tcW w:w="5836" w:type="dxa"/>
          </w:tcPr>
          <w:p w:rsidRPr="009F0FBD" w:rsidR="00023F07" w:rsidP="00023F07" w:rsidRDefault="00023F07" w14:paraId="4AB03E7C" w14:textId="695BB368">
            <w:pPr>
              <w:tabs>
                <w:tab w:val="center" w:pos="284"/>
              </w:tabs>
              <w:ind w:left="266" w:hanging="266"/>
              <w:rPr>
                <w:sz w:val="16"/>
                <w:szCs w:val="16"/>
                <w:lang w:val="sl-SI"/>
              </w:rPr>
            </w:pPr>
            <w:r w:rsidRPr="009F0FBD">
              <w:rPr>
                <w:lang w:val="sl-SI"/>
              </w:rPr>
              <w:t>EESC-2025-00142-00-00-AC-TRA</w:t>
            </w:r>
          </w:p>
        </w:tc>
      </w:tr>
    </w:tbl>
    <w:p w:rsidRPr="009F0FBD" w:rsidR="001C720D" w:rsidP="00FE74F4" w:rsidRDefault="001C720D" w14:paraId="5345CB05" w14:textId="77777777">
      <w:pPr>
        <w:keepNext/>
        <w:keepLines/>
        <w:tabs>
          <w:tab w:val="center" w:pos="284"/>
        </w:tabs>
        <w:overflowPunct w:val="0"/>
        <w:autoSpaceDE w:val="0"/>
        <w:autoSpaceDN w:val="0"/>
        <w:adjustRightInd w:val="0"/>
        <w:ind w:left="266" w:hanging="266"/>
        <w:textAlignment w:val="baseline"/>
        <w:rPr>
          <w:b/>
          <w:lang w:val="sl-SI"/>
        </w:rPr>
      </w:pPr>
    </w:p>
    <w:p w:rsidRPr="009F0FBD" w:rsidR="00B05C36" w:rsidP="00FE74F4" w:rsidRDefault="00B05C36" w14:paraId="0A0940D7" w14:textId="77777777">
      <w:pPr>
        <w:keepNext/>
        <w:keepLines/>
        <w:tabs>
          <w:tab w:val="center" w:pos="284"/>
        </w:tabs>
        <w:ind w:left="266" w:hanging="266"/>
        <w:rPr>
          <w:b/>
          <w:lang w:val="sl-SI"/>
        </w:rPr>
      </w:pPr>
      <w:r w:rsidRPr="009F0FBD">
        <w:rPr>
          <w:b/>
          <w:lang w:val="sl-SI"/>
        </w:rPr>
        <w:t>Glavne točke</w:t>
      </w:r>
    </w:p>
    <w:p w:rsidRPr="009F0FBD" w:rsidR="00B05C36" w:rsidP="00FE74F4" w:rsidRDefault="00B05C36" w14:paraId="2009230B" w14:textId="77777777">
      <w:pPr>
        <w:keepNext/>
        <w:keepLines/>
        <w:tabs>
          <w:tab w:val="center" w:pos="284"/>
        </w:tabs>
        <w:ind w:left="266" w:hanging="266"/>
        <w:rPr>
          <w:b/>
          <w:lang w:val="sl-SI"/>
        </w:rPr>
      </w:pPr>
    </w:p>
    <w:p w:rsidRPr="009F0FBD" w:rsidR="00B05C36" w:rsidP="00FE74F4" w:rsidRDefault="00B05C36" w14:paraId="1992138C" w14:textId="77777777">
      <w:pPr>
        <w:pStyle w:val="NormalWeb"/>
        <w:spacing w:before="0" w:beforeAutospacing="0" w:after="0" w:afterAutospacing="0" w:line="288" w:lineRule="auto"/>
        <w:rPr>
          <w:sz w:val="22"/>
        </w:rPr>
      </w:pPr>
      <w:r w:rsidRPr="009F0FBD">
        <w:rPr>
          <w:sz w:val="22"/>
        </w:rPr>
        <w:t>EESO:</w:t>
      </w:r>
    </w:p>
    <w:p w:rsidRPr="009F0FBD" w:rsidR="00B05C36" w:rsidP="00FE74F4" w:rsidRDefault="00B05C36" w14:paraId="14049E54" w14:textId="77777777">
      <w:pPr>
        <w:pStyle w:val="NormalWeb"/>
        <w:spacing w:before="0" w:beforeAutospacing="0" w:after="0" w:afterAutospacing="0" w:line="288" w:lineRule="auto"/>
        <w:rPr>
          <w:sz w:val="22"/>
          <w:szCs w:val="22"/>
        </w:rPr>
      </w:pPr>
    </w:p>
    <w:p w:rsidRPr="009F0FBD" w:rsidR="00B05C36" w:rsidP="004F5634" w:rsidRDefault="00B05C36" w14:paraId="103AC666" w14:textId="77777777">
      <w:pPr>
        <w:pStyle w:val="NormalWeb"/>
        <w:numPr>
          <w:ilvl w:val="0"/>
          <w:numId w:val="34"/>
        </w:numPr>
        <w:spacing w:before="0" w:beforeAutospacing="0" w:after="0" w:afterAutospacing="0" w:line="288" w:lineRule="auto"/>
        <w:ind w:left="284" w:hanging="284"/>
        <w:jc w:val="both"/>
        <w:rPr>
          <w:sz w:val="22"/>
          <w:szCs w:val="22"/>
        </w:rPr>
      </w:pPr>
      <w:r w:rsidRPr="009F0FBD">
        <w:rPr>
          <w:sz w:val="22"/>
        </w:rPr>
        <w:t xml:space="preserve">poudarja, da mora </w:t>
      </w:r>
      <w:r w:rsidRPr="009F0FBD">
        <w:rPr>
          <w:b/>
          <w:sz w:val="22"/>
        </w:rPr>
        <w:t>spodbujanje zakonitih in organiziranih delovnih migracij</w:t>
      </w:r>
      <w:r w:rsidRPr="009F0FBD">
        <w:rPr>
          <w:sz w:val="22"/>
        </w:rPr>
        <w:t xml:space="preserve"> v EU ter </w:t>
      </w:r>
      <w:r w:rsidRPr="009F0FBD">
        <w:rPr>
          <w:b/>
          <w:sz w:val="22"/>
        </w:rPr>
        <w:t>njenih s tem povezanih politik in instrumentov</w:t>
      </w:r>
      <w:r w:rsidRPr="009F0FBD">
        <w:rPr>
          <w:sz w:val="22"/>
        </w:rPr>
        <w:t xml:space="preserve"> temeljiti na</w:t>
      </w:r>
      <w:r w:rsidRPr="009F0FBD">
        <w:rPr>
          <w:b/>
          <w:sz w:val="22"/>
        </w:rPr>
        <w:t xml:space="preserve"> človekovih pravicah, pravni državi, vključevanju</w:t>
      </w:r>
      <w:r w:rsidRPr="009F0FBD">
        <w:rPr>
          <w:sz w:val="22"/>
        </w:rPr>
        <w:t xml:space="preserve"> državljanov tretjih držav na trg dela, spoštovanju</w:t>
      </w:r>
      <w:r w:rsidRPr="009F0FBD">
        <w:rPr>
          <w:b/>
          <w:sz w:val="22"/>
        </w:rPr>
        <w:t xml:space="preserve"> skupnih vrednot EU</w:t>
      </w:r>
      <w:r w:rsidRPr="009F0FBD">
        <w:rPr>
          <w:sz w:val="22"/>
        </w:rPr>
        <w:t xml:space="preserve"> in </w:t>
      </w:r>
      <w:r w:rsidRPr="009F0FBD">
        <w:rPr>
          <w:b/>
          <w:sz w:val="22"/>
        </w:rPr>
        <w:t>skladnosti z zavezujočimi mednarodnimi pravnimi instrumenti</w:t>
      </w:r>
      <w:r w:rsidRPr="009F0FBD">
        <w:rPr>
          <w:sz w:val="22"/>
        </w:rPr>
        <w:t>, ki se nanašajo na migracije, človekove pravice in pravice delavcev;</w:t>
      </w:r>
    </w:p>
    <w:p w:rsidRPr="009F0FBD" w:rsidR="00B05C36" w:rsidP="004F5634" w:rsidRDefault="00B05C36" w14:paraId="39D9EE47" w14:textId="77777777">
      <w:pPr>
        <w:pStyle w:val="NormalWeb"/>
        <w:numPr>
          <w:ilvl w:val="0"/>
          <w:numId w:val="34"/>
        </w:numPr>
        <w:spacing w:before="0" w:beforeAutospacing="0" w:after="0" w:afterAutospacing="0" w:line="288" w:lineRule="auto"/>
        <w:ind w:left="284" w:hanging="284"/>
        <w:jc w:val="both"/>
        <w:rPr>
          <w:sz w:val="22"/>
          <w:szCs w:val="22"/>
        </w:rPr>
      </w:pPr>
      <w:r w:rsidRPr="009F0FBD">
        <w:rPr>
          <w:sz w:val="22"/>
        </w:rPr>
        <w:t xml:space="preserve">poziva k </w:t>
      </w:r>
      <w:r w:rsidRPr="009F0FBD">
        <w:rPr>
          <w:b/>
          <w:sz w:val="22"/>
        </w:rPr>
        <w:t>uravnoteženemu pristopu EU in držav izvora</w:t>
      </w:r>
      <w:r w:rsidRPr="009F0FBD">
        <w:rPr>
          <w:sz w:val="22"/>
        </w:rPr>
        <w:t xml:space="preserve"> v vseh sedanjih in prihodnjih okvirih migracij. Poudarja, da je treba </w:t>
      </w:r>
      <w:r w:rsidRPr="009F0FBD">
        <w:rPr>
          <w:b/>
          <w:sz w:val="22"/>
        </w:rPr>
        <w:t>zmanjšati tveganje bega možganov</w:t>
      </w:r>
      <w:r w:rsidRPr="009F0FBD">
        <w:rPr>
          <w:sz w:val="22"/>
        </w:rPr>
        <w:t xml:space="preserve"> z </w:t>
      </w:r>
      <w:r w:rsidRPr="009F0FBD">
        <w:rPr>
          <w:b/>
          <w:sz w:val="22"/>
        </w:rPr>
        <w:t>gospodarsko rastjo in dostojnimi delovnimi mesti</w:t>
      </w:r>
      <w:r w:rsidRPr="009F0FBD">
        <w:rPr>
          <w:sz w:val="22"/>
        </w:rPr>
        <w:t xml:space="preserve"> v državah izvora ob podpori kohezijske politike EU. </w:t>
      </w:r>
      <w:r w:rsidRPr="009F0FBD">
        <w:rPr>
          <w:b/>
          <w:sz w:val="22"/>
        </w:rPr>
        <w:t>Socialni partnerji</w:t>
      </w:r>
      <w:r w:rsidRPr="009F0FBD">
        <w:rPr>
          <w:sz w:val="22"/>
        </w:rPr>
        <w:t xml:space="preserve"> na obeh straneh morajo biti v skladu z nacionalnimi posebnostmi in praksami na</w:t>
      </w:r>
      <w:r w:rsidRPr="009F0FBD">
        <w:rPr>
          <w:b/>
          <w:sz w:val="22"/>
        </w:rPr>
        <w:t xml:space="preserve"> institucionalen način</w:t>
      </w:r>
      <w:r w:rsidRPr="009F0FBD">
        <w:rPr>
          <w:sz w:val="22"/>
        </w:rPr>
        <w:t xml:space="preserve"> vključeni v dejavnosti, da bi </w:t>
      </w:r>
      <w:r w:rsidRPr="009F0FBD">
        <w:rPr>
          <w:b/>
          <w:sz w:val="22"/>
        </w:rPr>
        <w:t>opredelili priložnosti, tveganja in izzive</w:t>
      </w:r>
      <w:r w:rsidRPr="009F0FBD">
        <w:rPr>
          <w:sz w:val="22"/>
        </w:rPr>
        <w:t xml:space="preserve"> za domače trge dela ter da bi socialni partnerji postali del</w:t>
      </w:r>
      <w:r w:rsidRPr="009F0FBD">
        <w:rPr>
          <w:b/>
          <w:sz w:val="22"/>
        </w:rPr>
        <w:t xml:space="preserve"> trdnega okvira za spremljanje</w:t>
      </w:r>
      <w:r w:rsidRPr="009F0FBD">
        <w:rPr>
          <w:sz w:val="22"/>
        </w:rPr>
        <w:t xml:space="preserve"> vseh dvostranskih sporazumov o delovnih migracijah;</w:t>
      </w:r>
    </w:p>
    <w:p w:rsidRPr="009F0FBD" w:rsidR="00B05C36" w:rsidP="004F5634" w:rsidRDefault="00B05C36" w14:paraId="7896EE9C" w14:textId="77777777">
      <w:pPr>
        <w:pStyle w:val="NormalWeb"/>
        <w:numPr>
          <w:ilvl w:val="0"/>
          <w:numId w:val="34"/>
        </w:numPr>
        <w:spacing w:before="0" w:beforeAutospacing="0" w:after="0" w:afterAutospacing="0" w:line="288" w:lineRule="auto"/>
        <w:ind w:left="284" w:hanging="284"/>
        <w:jc w:val="both"/>
        <w:rPr>
          <w:sz w:val="22"/>
          <w:szCs w:val="22"/>
        </w:rPr>
      </w:pPr>
      <w:r w:rsidRPr="009F0FBD">
        <w:rPr>
          <w:sz w:val="22"/>
        </w:rPr>
        <w:t xml:space="preserve">poudarja, da bi lahko </w:t>
      </w:r>
      <w:r w:rsidRPr="009F0FBD">
        <w:rPr>
          <w:b/>
          <w:sz w:val="22"/>
        </w:rPr>
        <w:t>kot še en učinkovit način za zmanjšanje tveganja bega možganov</w:t>
      </w:r>
      <w:r w:rsidRPr="009F0FBD">
        <w:rPr>
          <w:sz w:val="22"/>
        </w:rPr>
        <w:t xml:space="preserve"> v državah izvora uvedli </w:t>
      </w:r>
      <w:r w:rsidRPr="009F0FBD">
        <w:rPr>
          <w:b/>
          <w:sz w:val="22"/>
        </w:rPr>
        <w:t>usposabljanje pred odhodom in po njem</w:t>
      </w:r>
      <w:r w:rsidRPr="009F0FBD">
        <w:rPr>
          <w:sz w:val="22"/>
        </w:rPr>
        <w:t>, in sicer s programi za družbeno in poklicno vključevanje ter razvoj znanj in spretnosti. Na ta način bi določen odstotek delavcev ostal v domači državi, s čimer bi lahko spodbudili socialni in gospodarski razvoj;</w:t>
      </w:r>
    </w:p>
    <w:p w:rsidRPr="009F0FBD" w:rsidR="00B05C36" w:rsidP="004F5634" w:rsidRDefault="00B05C36" w14:paraId="514CC830" w14:textId="77777777">
      <w:pPr>
        <w:pStyle w:val="NormalWeb"/>
        <w:numPr>
          <w:ilvl w:val="0"/>
          <w:numId w:val="34"/>
        </w:numPr>
        <w:spacing w:before="0" w:beforeAutospacing="0" w:after="0" w:afterAutospacing="0" w:line="288" w:lineRule="auto"/>
        <w:ind w:left="284" w:hanging="284"/>
        <w:jc w:val="both"/>
        <w:rPr>
          <w:sz w:val="22"/>
          <w:szCs w:val="22"/>
        </w:rPr>
      </w:pPr>
      <w:r w:rsidRPr="009F0FBD">
        <w:rPr>
          <w:sz w:val="22"/>
        </w:rPr>
        <w:t xml:space="preserve">poudarja, da je treba </w:t>
      </w:r>
      <w:r w:rsidRPr="009F0FBD">
        <w:rPr>
          <w:b/>
          <w:sz w:val="22"/>
        </w:rPr>
        <w:t>na vseh ravneh usposobljenosti spodbujati enake pravice delavcev migrantov iz tretjih držav</w:t>
      </w:r>
      <w:r w:rsidRPr="009F0FBD">
        <w:rPr>
          <w:sz w:val="22"/>
        </w:rPr>
        <w:t xml:space="preserve">. Z ukrepi bi morali okrepiti njihovo </w:t>
      </w:r>
      <w:r w:rsidRPr="009F0FBD">
        <w:rPr>
          <w:b/>
          <w:sz w:val="22"/>
        </w:rPr>
        <w:t>zaščito v celotnem migracijskem ciklu</w:t>
      </w:r>
      <w:r w:rsidRPr="009F0FBD">
        <w:rPr>
          <w:sz w:val="22"/>
        </w:rPr>
        <w:t>, vključno z dostopnimi informacijami pred odhodom in po prihodu, usmerjanjem in usposabljanjem ter zakonskimi možnostmi vlaganja pritožb in uveljavljanja pravnih sredstev;</w:t>
      </w:r>
    </w:p>
    <w:p w:rsidRPr="009F0FBD" w:rsidR="00B05C36" w:rsidP="004F5634" w:rsidRDefault="00B05C36" w14:paraId="09A8BA79" w14:textId="77777777">
      <w:pPr>
        <w:pStyle w:val="NormalWeb"/>
        <w:numPr>
          <w:ilvl w:val="0"/>
          <w:numId w:val="34"/>
        </w:numPr>
        <w:spacing w:before="0" w:beforeAutospacing="0" w:after="0" w:afterAutospacing="0" w:line="288" w:lineRule="auto"/>
        <w:ind w:left="284" w:hanging="284"/>
        <w:jc w:val="both"/>
        <w:rPr>
          <w:sz w:val="22"/>
          <w:szCs w:val="22"/>
        </w:rPr>
      </w:pPr>
      <w:r w:rsidRPr="009F0FBD">
        <w:rPr>
          <w:sz w:val="22"/>
        </w:rPr>
        <w:t xml:space="preserve">ugotavlja, da lahko </w:t>
      </w:r>
      <w:r w:rsidRPr="009F0FBD">
        <w:rPr>
          <w:b/>
          <w:sz w:val="22"/>
        </w:rPr>
        <w:t>mednarodna partnerstva za znanja in spretnosti ter mobilnost krepijo domače trge dela</w:t>
      </w:r>
      <w:r w:rsidRPr="009F0FBD">
        <w:rPr>
          <w:sz w:val="22"/>
        </w:rPr>
        <w:t>, saj usklajujejo ponudbo delovne sile in povpraševanje po njej, prenašajo znanja in spretnosti na vseh ravneh, povečujejo „priliv možganov“ ob hkratnem obravnavanju bega možganov ter krepijo konkurenčnost in rast tako v državah izvora kot namembnih državah;</w:t>
      </w:r>
    </w:p>
    <w:p w:rsidRPr="009F0FBD" w:rsidR="00B05C36" w:rsidP="004F5634" w:rsidRDefault="00B05C36" w14:paraId="2906700D" w14:textId="77777777">
      <w:pPr>
        <w:pStyle w:val="NormalWeb"/>
        <w:numPr>
          <w:ilvl w:val="0"/>
          <w:numId w:val="34"/>
        </w:numPr>
        <w:spacing w:before="0" w:beforeAutospacing="0" w:after="0" w:afterAutospacing="0" w:line="288" w:lineRule="auto"/>
        <w:ind w:left="284" w:hanging="284"/>
        <w:jc w:val="both"/>
        <w:rPr>
          <w:sz w:val="22"/>
          <w:szCs w:val="22"/>
        </w:rPr>
      </w:pPr>
      <w:r w:rsidRPr="009F0FBD">
        <w:rPr>
          <w:sz w:val="22"/>
        </w:rPr>
        <w:t xml:space="preserve">opozarja, da pri </w:t>
      </w:r>
      <w:r w:rsidRPr="009F0FBD">
        <w:rPr>
          <w:b/>
          <w:sz w:val="22"/>
        </w:rPr>
        <w:t>pogajanjih o partnerstvih za privabljanje talentov trenutno ni skupnega okvira in preglednosti</w:t>
      </w:r>
      <w:r w:rsidRPr="009F0FBD">
        <w:rPr>
          <w:sz w:val="22"/>
        </w:rPr>
        <w:t xml:space="preserve">, in poziva </w:t>
      </w:r>
      <w:r w:rsidRPr="009F0FBD">
        <w:rPr>
          <w:b/>
          <w:sz w:val="22"/>
        </w:rPr>
        <w:t>Komisijo, naj predstavi akcijski načrt z naslednjimi koraki</w:t>
      </w:r>
      <w:r w:rsidRPr="009F0FBD">
        <w:rPr>
          <w:sz w:val="22"/>
        </w:rPr>
        <w:t xml:space="preserve"> za ta partnerstva ob upoštevanju izkušenj iz tekočih in preteklih projektov in politik, da bi povečali skladnost in olajšali nemoteno mobilnost;</w:t>
      </w:r>
    </w:p>
    <w:p w:rsidRPr="009F0FBD" w:rsidR="00B05C36" w:rsidP="004F5634" w:rsidRDefault="00B05C36" w14:paraId="7705701F" w14:textId="77777777">
      <w:pPr>
        <w:pStyle w:val="NormalWeb"/>
        <w:keepNext/>
        <w:keepLines/>
        <w:numPr>
          <w:ilvl w:val="0"/>
          <w:numId w:val="34"/>
        </w:numPr>
        <w:spacing w:before="0" w:beforeAutospacing="0" w:after="0" w:afterAutospacing="0" w:line="288" w:lineRule="auto"/>
        <w:ind w:left="284" w:hanging="284"/>
        <w:jc w:val="both"/>
        <w:rPr>
          <w:sz w:val="22"/>
          <w:szCs w:val="22"/>
        </w:rPr>
      </w:pPr>
      <w:r w:rsidRPr="009F0FBD">
        <w:rPr>
          <w:sz w:val="22"/>
        </w:rPr>
        <w:lastRenderedPageBreak/>
        <w:t xml:space="preserve">poudarja, da </w:t>
      </w:r>
      <w:r w:rsidRPr="009F0FBD">
        <w:rPr>
          <w:b/>
          <w:sz w:val="22"/>
        </w:rPr>
        <w:t>mora EU mobilizirati vso razpoložljivo delovno silo</w:t>
      </w:r>
      <w:r w:rsidRPr="009F0FBD">
        <w:rPr>
          <w:sz w:val="22"/>
        </w:rPr>
        <w:t xml:space="preserve">, hkrati pa </w:t>
      </w:r>
      <w:r w:rsidRPr="009F0FBD">
        <w:rPr>
          <w:b/>
          <w:sz w:val="22"/>
        </w:rPr>
        <w:t>okrepiti migracijsko politiko</w:t>
      </w:r>
      <w:r w:rsidRPr="009F0FBD">
        <w:rPr>
          <w:sz w:val="22"/>
        </w:rPr>
        <w:t xml:space="preserve">, da bi privabila in zadržala kvalificirane delavce na dopolnjujoč način. Da bi zadostili dolgoročnim potrebam in pomanjkanju na trgu dela, bi bilo treba dati prednost </w:t>
      </w:r>
      <w:r w:rsidRPr="009F0FBD">
        <w:rPr>
          <w:b/>
          <w:sz w:val="22"/>
        </w:rPr>
        <w:t>aktiviranju domače delovne sile EU</w:t>
      </w:r>
      <w:r w:rsidRPr="009F0FBD">
        <w:rPr>
          <w:sz w:val="22"/>
        </w:rPr>
        <w:t xml:space="preserve"> s poudarkom na premalo aktivnih skupinah, </w:t>
      </w:r>
      <w:r w:rsidRPr="009F0FBD">
        <w:rPr>
          <w:b/>
          <w:sz w:val="22"/>
        </w:rPr>
        <w:t>v posebnih primerih</w:t>
      </w:r>
      <w:r w:rsidRPr="009F0FBD">
        <w:rPr>
          <w:sz w:val="22"/>
        </w:rPr>
        <w:t xml:space="preserve"> pa bi bilo treba spoštovati </w:t>
      </w:r>
      <w:r w:rsidRPr="009F0FBD">
        <w:rPr>
          <w:b/>
          <w:sz w:val="22"/>
        </w:rPr>
        <w:t>interese podjetij</w:t>
      </w:r>
      <w:r w:rsidRPr="009F0FBD">
        <w:rPr>
          <w:sz w:val="22"/>
        </w:rPr>
        <w:t xml:space="preserve">, da </w:t>
      </w:r>
      <w:r w:rsidRPr="009F0FBD">
        <w:rPr>
          <w:b/>
          <w:sz w:val="22"/>
        </w:rPr>
        <w:t>zapolnijo nujna prosta delovna mesta z delavci migranti</w:t>
      </w:r>
      <w:r w:rsidRPr="009F0FBD">
        <w:rPr>
          <w:sz w:val="22"/>
        </w:rPr>
        <w:t xml:space="preserve">. </w:t>
      </w:r>
    </w:p>
    <w:p w:rsidRPr="009F0FBD" w:rsidR="00B05C36" w:rsidP="00FE74F4" w:rsidRDefault="00B05C36" w14:paraId="26AB4774" w14:textId="77777777">
      <w:pPr>
        <w:pStyle w:val="NormalWeb"/>
        <w:spacing w:before="0" w:beforeAutospacing="0" w:after="0" w:afterAutospacing="0" w:line="288" w:lineRule="auto"/>
        <w:ind w:left="567"/>
        <w:jc w:val="both"/>
        <w:rPr>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3860"/>
      </w:tblGrid>
      <w:tr w:rsidRPr="009F0FBD" w:rsidR="00B05C36" w:rsidTr="002775CC" w14:paraId="0EA14903" w14:textId="77777777">
        <w:tc>
          <w:tcPr>
            <w:tcW w:w="1843" w:type="dxa"/>
          </w:tcPr>
          <w:p w:rsidRPr="009F0FBD" w:rsidR="00B05C36" w:rsidP="00FE74F4" w:rsidRDefault="00B05C36" w14:paraId="13E10017" w14:textId="77777777">
            <w:pPr>
              <w:rPr>
                <w:i/>
                <w:lang w:val="sl-SI"/>
              </w:rPr>
            </w:pPr>
            <w:r w:rsidRPr="009F0FBD">
              <w:rPr>
                <w:b/>
                <w:i/>
                <w:lang w:val="sl-SI"/>
              </w:rPr>
              <w:t>Kontaktna oseba</w:t>
            </w:r>
          </w:p>
        </w:tc>
        <w:tc>
          <w:tcPr>
            <w:tcW w:w="3860" w:type="dxa"/>
          </w:tcPr>
          <w:p w:rsidRPr="009F0FBD" w:rsidR="00B05C36" w:rsidP="00FE74F4" w:rsidRDefault="00B05C36" w14:paraId="39CD28C1" w14:textId="77777777">
            <w:pPr>
              <w:ind w:hanging="12"/>
              <w:rPr>
                <w:i/>
                <w:lang w:val="sl-SI"/>
              </w:rPr>
            </w:pPr>
            <w:r w:rsidRPr="009F0FBD">
              <w:rPr>
                <w:i/>
                <w:lang w:val="sl-SI"/>
              </w:rPr>
              <w:t>Triin AASMAA GOMES</w:t>
            </w:r>
          </w:p>
        </w:tc>
      </w:tr>
      <w:tr w:rsidRPr="009F0FBD" w:rsidR="00B05C36" w:rsidTr="002775CC" w14:paraId="7AA9B3FB" w14:textId="77777777">
        <w:tc>
          <w:tcPr>
            <w:tcW w:w="1843" w:type="dxa"/>
          </w:tcPr>
          <w:p w:rsidRPr="009F0FBD" w:rsidR="00B05C36" w:rsidP="00FE74F4" w:rsidRDefault="00B05C36" w14:paraId="5C7AA3D9" w14:textId="77777777">
            <w:pPr>
              <w:rPr>
                <w:i/>
                <w:lang w:val="sl-SI"/>
              </w:rPr>
            </w:pPr>
            <w:r w:rsidRPr="009F0FBD">
              <w:rPr>
                <w:i/>
                <w:lang w:val="sl-SI"/>
              </w:rPr>
              <w:t>Telefon</w:t>
            </w:r>
          </w:p>
        </w:tc>
        <w:tc>
          <w:tcPr>
            <w:tcW w:w="3860" w:type="dxa"/>
          </w:tcPr>
          <w:p w:rsidRPr="009F0FBD" w:rsidR="00B05C36" w:rsidP="00FE74F4" w:rsidRDefault="00B05C36" w14:paraId="67EC98AB" w14:textId="77777777">
            <w:pPr>
              <w:rPr>
                <w:i/>
                <w:lang w:val="sl-SI"/>
              </w:rPr>
            </w:pPr>
            <w:r w:rsidRPr="009F0FBD">
              <w:rPr>
                <w:i/>
                <w:lang w:val="sl-SI"/>
              </w:rPr>
              <w:t>+32 25469524</w:t>
            </w:r>
          </w:p>
        </w:tc>
      </w:tr>
      <w:tr w:rsidRPr="0084110F" w:rsidR="00B05C36" w:rsidTr="002775CC" w14:paraId="5D573AC0" w14:textId="77777777">
        <w:tc>
          <w:tcPr>
            <w:tcW w:w="1843" w:type="dxa"/>
          </w:tcPr>
          <w:p w:rsidRPr="009F0FBD" w:rsidR="00B05C36" w:rsidP="00FE74F4" w:rsidRDefault="00B05C36" w14:paraId="5B6A988C" w14:textId="77777777">
            <w:pPr>
              <w:rPr>
                <w:i/>
                <w:lang w:val="sl-SI"/>
              </w:rPr>
            </w:pPr>
            <w:r w:rsidRPr="009F0FBD">
              <w:rPr>
                <w:i/>
                <w:lang w:val="sl-SI"/>
              </w:rPr>
              <w:t>E-naslov</w:t>
            </w:r>
          </w:p>
        </w:tc>
        <w:tc>
          <w:tcPr>
            <w:tcW w:w="3860" w:type="dxa"/>
          </w:tcPr>
          <w:p w:rsidRPr="009F0FBD" w:rsidR="00B05C36" w:rsidP="00FE74F4" w:rsidRDefault="00E47EFC" w14:paraId="236B1026" w14:textId="77777777">
            <w:pPr>
              <w:rPr>
                <w:i/>
                <w:lang w:val="sl-SI"/>
              </w:rPr>
            </w:pPr>
            <w:hyperlink w:history="1" r:id="rId26">
              <w:r w:rsidRPr="009F0FBD" w:rsidR="00B05C36">
                <w:rPr>
                  <w:rStyle w:val="Hyperlink"/>
                  <w:i/>
                  <w:lang w:val="sl-SI"/>
                </w:rPr>
                <w:t>Triin.AasmaaGomes@eesc.europa.eu</w:t>
              </w:r>
            </w:hyperlink>
          </w:p>
        </w:tc>
      </w:tr>
    </w:tbl>
    <w:p w:rsidRPr="009F0FBD" w:rsidR="001C720D" w:rsidP="00B05C36" w:rsidRDefault="001C720D" w14:paraId="59780EB9" w14:textId="77777777">
      <w:pPr>
        <w:spacing w:after="160" w:line="240" w:lineRule="auto"/>
        <w:jc w:val="left"/>
        <w:rPr>
          <w:lang w:val="sl-SI"/>
        </w:rPr>
      </w:pPr>
      <w:r w:rsidRPr="009F0FBD">
        <w:rPr>
          <w:lang w:val="sl-SI"/>
        </w:rPr>
        <w:br w:type="page"/>
      </w:r>
    </w:p>
    <w:p w:rsidRPr="009F0FBD" w:rsidR="00AC3821" w:rsidP="00611089" w:rsidRDefault="00C14021" w14:paraId="58CDD314" w14:textId="06A2D587">
      <w:pPr>
        <w:pStyle w:val="ListParagraph"/>
        <w:numPr>
          <w:ilvl w:val="0"/>
          <w:numId w:val="22"/>
        </w:numPr>
        <w:spacing w:after="160" w:line="259" w:lineRule="auto"/>
        <w:ind w:hanging="720"/>
        <w:jc w:val="left"/>
        <w:rPr>
          <w:b/>
          <w:bCs/>
          <w:i/>
          <w:iCs/>
          <w:color w:val="0000FF"/>
          <w:sz w:val="28"/>
          <w:szCs w:val="28"/>
          <w:u w:val="single"/>
          <w:lang w:val="sl-SI"/>
        </w:rPr>
      </w:pPr>
      <w:hyperlink w:history="1" r:id="rId27">
        <w:r w:rsidRPr="009F0FBD" w:rsidR="00FE74F4">
          <w:rPr>
            <w:rStyle w:val="Hyperlink"/>
            <w:b/>
            <w:i/>
            <w:sz w:val="28"/>
            <w:lang w:val="sl-SI"/>
          </w:rPr>
          <w:t>Novi akcijski načrt za izvajanje evropskega stebra socialnih pravic</w:t>
        </w:r>
      </w:hyperlink>
      <w:r w:rsidRPr="009F0FBD" w:rsidR="00AC3821">
        <w:rPr>
          <w:b/>
          <w:bCs/>
          <w:i/>
          <w:iCs/>
          <w:sz w:val="28"/>
          <w:szCs w:val="28"/>
          <w:lang w:val="sl-SI"/>
        </w:rPr>
        <w:fldChar w:fldCharType="begin"/>
      </w:r>
      <w:r w:rsidRPr="009F0FBD" w:rsidR="00AC3821">
        <w:rPr>
          <w:b/>
          <w:bCs/>
          <w:i/>
          <w:iCs/>
          <w:sz w:val="28"/>
          <w:szCs w:val="28"/>
          <w:lang w:val="sl-SI"/>
        </w:rPr>
        <w:instrText>HYPERLINK "https://www.eesc.europa.eu/en/our-work/opinions-information-reports/opinions/new-action-plan-implementation-european-pillar-social-rights"</w:instrText>
      </w:r>
      <w:r w:rsidRPr="009F0FBD" w:rsidR="00AC3821">
        <w:rPr>
          <w:b/>
          <w:bCs/>
          <w:i/>
          <w:iCs/>
          <w:sz w:val="28"/>
          <w:szCs w:val="28"/>
          <w:lang w:val="sl-SI"/>
        </w:rPr>
        <w:fldChar w:fldCharType="separate"/>
      </w:r>
    </w:p>
    <w:p w:rsidRPr="009F0FBD" w:rsidR="00FE74F4" w:rsidP="00AC3821" w:rsidRDefault="00AC3821" w14:paraId="3182931E" w14:textId="030CF262">
      <w:pPr>
        <w:widowControl w:val="0"/>
        <w:overflowPunct w:val="0"/>
        <w:autoSpaceDE w:val="0"/>
        <w:autoSpaceDN w:val="0"/>
        <w:adjustRightInd w:val="0"/>
        <w:ind w:left="567"/>
        <w:textAlignment w:val="baseline"/>
        <w:rPr>
          <w:b/>
          <w:bCs/>
          <w:i/>
          <w:iCs/>
          <w:lang w:val="sl-SI"/>
        </w:rPr>
      </w:pPr>
      <w:r w:rsidRPr="009F0FBD">
        <w:rPr>
          <w:b/>
          <w:bCs/>
          <w:i/>
          <w:iCs/>
          <w:sz w:val="28"/>
          <w:szCs w:val="28"/>
          <w:lang w:val="sl-SI"/>
        </w:rPr>
        <w:fldChar w:fldCharType="end"/>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59"/>
        <w:gridCol w:w="6614"/>
      </w:tblGrid>
      <w:tr w:rsidRPr="0084110F" w:rsidR="00FE74F4" w:rsidTr="002775CC" w14:paraId="0CF431B3" w14:textId="77777777">
        <w:tc>
          <w:tcPr>
            <w:tcW w:w="1355" w:type="pct"/>
          </w:tcPr>
          <w:p w:rsidRPr="009F0FBD" w:rsidR="00FE74F4" w:rsidP="002775CC" w:rsidRDefault="00FE74F4" w14:paraId="3DC7CC6F" w14:textId="77777777">
            <w:pPr>
              <w:ind w:left="-113"/>
              <w:rPr>
                <w:b/>
                <w:lang w:val="sl-SI"/>
              </w:rPr>
            </w:pPr>
            <w:r w:rsidRPr="009F0FBD">
              <w:rPr>
                <w:b/>
                <w:lang w:val="sl-SI"/>
              </w:rPr>
              <w:t>Poročevalka</w:t>
            </w:r>
          </w:p>
        </w:tc>
        <w:tc>
          <w:tcPr>
            <w:tcW w:w="3645" w:type="pct"/>
          </w:tcPr>
          <w:p w:rsidRPr="009F0FBD" w:rsidR="00FE74F4" w:rsidP="00FE74F4" w:rsidRDefault="00FE74F4" w14:paraId="34FA9A0A" w14:textId="77777777">
            <w:pPr>
              <w:tabs>
                <w:tab w:val="left" w:pos="4572"/>
              </w:tabs>
              <w:ind w:right="-823"/>
              <w:rPr>
                <w:lang w:val="sl-SI"/>
              </w:rPr>
            </w:pPr>
            <w:r w:rsidRPr="009F0FBD">
              <w:rPr>
                <w:lang w:val="sl-SI"/>
              </w:rPr>
              <w:t>Sophia REISECKER (skupina delojemalcev – AT)</w:t>
            </w:r>
          </w:p>
        </w:tc>
      </w:tr>
      <w:tr w:rsidRPr="009F0FBD" w:rsidR="00FE74F4" w:rsidTr="002775CC" w14:paraId="64187736" w14:textId="77777777">
        <w:tc>
          <w:tcPr>
            <w:tcW w:w="1355" w:type="pct"/>
            <w:vMerge w:val="restart"/>
          </w:tcPr>
          <w:p w:rsidRPr="009F0FBD" w:rsidR="00FE74F4" w:rsidP="002775CC" w:rsidRDefault="00FE74F4" w14:paraId="0F235F1F" w14:textId="77777777">
            <w:pPr>
              <w:ind w:left="-113"/>
              <w:rPr>
                <w:b/>
                <w:lang w:val="sl-SI"/>
              </w:rPr>
            </w:pPr>
            <w:r w:rsidRPr="009F0FBD">
              <w:rPr>
                <w:b/>
                <w:lang w:val="sl-SI"/>
              </w:rPr>
              <w:t>Referenčni dokument</w:t>
            </w:r>
          </w:p>
        </w:tc>
        <w:tc>
          <w:tcPr>
            <w:tcW w:w="3645" w:type="pct"/>
          </w:tcPr>
          <w:p w:rsidRPr="009F0FBD" w:rsidR="00FE74F4" w:rsidP="00FE74F4" w:rsidRDefault="00013330" w14:paraId="5B04D97D" w14:textId="3ED6F5E4">
            <w:pPr>
              <w:tabs>
                <w:tab w:val="left" w:pos="4430"/>
              </w:tabs>
              <w:ind w:left="-10" w:right="-823"/>
              <w:rPr>
                <w:lang w:val="sl-SI"/>
              </w:rPr>
            </w:pPr>
            <w:r w:rsidRPr="009F0FBD">
              <w:rPr>
                <w:lang w:val="sl-SI"/>
              </w:rPr>
              <w:t>m</w:t>
            </w:r>
            <w:r w:rsidRPr="009F0FBD" w:rsidR="00FE74F4">
              <w:rPr>
                <w:lang w:val="sl-SI"/>
              </w:rPr>
              <w:t>nenje na lastno pobudo</w:t>
            </w:r>
          </w:p>
        </w:tc>
      </w:tr>
      <w:tr w:rsidRPr="009F0FBD" w:rsidR="00FE74F4" w:rsidTr="002775CC" w14:paraId="2AFB81EE" w14:textId="77777777">
        <w:tc>
          <w:tcPr>
            <w:tcW w:w="1355" w:type="pct"/>
            <w:vMerge/>
          </w:tcPr>
          <w:p w:rsidRPr="009F0FBD" w:rsidR="00FE74F4" w:rsidP="002775CC" w:rsidRDefault="00FE74F4" w14:paraId="19A2348D" w14:textId="77777777">
            <w:pPr>
              <w:tabs>
                <w:tab w:val="center" w:pos="284"/>
              </w:tabs>
              <w:ind w:left="266" w:hanging="266"/>
              <w:rPr>
                <w:b/>
                <w:lang w:val="sl-SI"/>
              </w:rPr>
            </w:pPr>
          </w:p>
        </w:tc>
        <w:tc>
          <w:tcPr>
            <w:tcW w:w="3645" w:type="pct"/>
          </w:tcPr>
          <w:p w:rsidRPr="009F0FBD" w:rsidR="00FE74F4" w:rsidP="002775CC" w:rsidRDefault="00FE74F4" w14:paraId="7EC6C834" w14:textId="4899A58A">
            <w:pPr>
              <w:tabs>
                <w:tab w:val="center" w:pos="284"/>
                <w:tab w:val="left" w:pos="4430"/>
              </w:tabs>
              <w:ind w:left="266" w:right="-823" w:hanging="266"/>
              <w:rPr>
                <w:lang w:val="sl-SI"/>
              </w:rPr>
            </w:pPr>
            <w:r w:rsidRPr="009F0FBD">
              <w:rPr>
                <w:lang w:val="sl-SI"/>
              </w:rPr>
              <w:t>EESC-2025-00103-00-00-AC</w:t>
            </w:r>
          </w:p>
        </w:tc>
      </w:tr>
    </w:tbl>
    <w:p w:rsidRPr="009F0FBD" w:rsidR="00FE74F4" w:rsidP="00AC3821" w:rsidRDefault="00FE74F4" w14:paraId="771F60FE" w14:textId="77777777">
      <w:pPr>
        <w:widowControl w:val="0"/>
        <w:overflowPunct w:val="0"/>
        <w:autoSpaceDE w:val="0"/>
        <w:autoSpaceDN w:val="0"/>
        <w:adjustRightInd w:val="0"/>
        <w:ind w:left="567"/>
        <w:textAlignment w:val="baseline"/>
        <w:rPr>
          <w:b/>
          <w:bCs/>
          <w:i/>
          <w:iCs/>
          <w:lang w:val="sl-SI"/>
        </w:rPr>
      </w:pPr>
    </w:p>
    <w:p w:rsidRPr="009F0FBD" w:rsidR="00FE74F4" w:rsidP="00FE74F4" w:rsidRDefault="00FE74F4" w14:paraId="753915A5" w14:textId="77777777">
      <w:pPr>
        <w:keepNext/>
        <w:keepLines/>
        <w:tabs>
          <w:tab w:val="center" w:pos="284"/>
        </w:tabs>
        <w:ind w:left="266" w:hanging="266"/>
        <w:rPr>
          <w:b/>
          <w:lang w:val="sl-SI"/>
        </w:rPr>
      </w:pPr>
      <w:r w:rsidRPr="009F0FBD">
        <w:rPr>
          <w:b/>
          <w:lang w:val="sl-SI"/>
        </w:rPr>
        <w:t>Glavne točke</w:t>
      </w:r>
    </w:p>
    <w:p w:rsidRPr="009F0FBD" w:rsidR="00FE74F4" w:rsidP="00FE74F4" w:rsidRDefault="00FE74F4" w14:paraId="2A0049D6" w14:textId="77777777">
      <w:pPr>
        <w:keepNext/>
        <w:keepLines/>
        <w:tabs>
          <w:tab w:val="center" w:pos="284"/>
        </w:tabs>
        <w:ind w:left="266" w:hanging="266"/>
        <w:rPr>
          <w:b/>
          <w:lang w:val="sl-SI"/>
        </w:rPr>
      </w:pPr>
    </w:p>
    <w:p w:rsidRPr="009F0FBD" w:rsidR="00FE74F4" w:rsidP="00FE74F4" w:rsidRDefault="00FE74F4" w14:paraId="681D69FC" w14:textId="77777777">
      <w:pPr>
        <w:keepNext/>
        <w:keepLines/>
        <w:tabs>
          <w:tab w:val="center" w:pos="284"/>
        </w:tabs>
        <w:ind w:left="266" w:hanging="266"/>
        <w:rPr>
          <w:lang w:val="sl-SI"/>
        </w:rPr>
      </w:pPr>
      <w:r w:rsidRPr="009F0FBD">
        <w:rPr>
          <w:lang w:val="sl-SI"/>
        </w:rPr>
        <w:t>EESO:</w:t>
      </w:r>
    </w:p>
    <w:p w:rsidRPr="009F0FBD" w:rsidR="00FE74F4" w:rsidP="00FE74F4" w:rsidRDefault="00FE74F4" w14:paraId="4B77E12E" w14:textId="77777777">
      <w:pPr>
        <w:keepNext/>
        <w:keepLines/>
        <w:tabs>
          <w:tab w:val="center" w:pos="284"/>
        </w:tabs>
        <w:ind w:left="266" w:hanging="266"/>
        <w:rPr>
          <w:lang w:val="sl-SI"/>
        </w:rPr>
      </w:pPr>
    </w:p>
    <w:p w:rsidRPr="009F0FBD" w:rsidR="00FE74F4" w:rsidP="004F5634" w:rsidRDefault="00FE74F4" w14:paraId="51068C7C" w14:textId="77777777">
      <w:pPr>
        <w:pStyle w:val="Heading2"/>
        <w:numPr>
          <w:ilvl w:val="0"/>
          <w:numId w:val="35"/>
        </w:numPr>
        <w:ind w:left="284" w:hanging="284"/>
        <w:rPr>
          <w:lang w:val="sl-SI"/>
        </w:rPr>
      </w:pPr>
      <w:r w:rsidRPr="009F0FBD">
        <w:rPr>
          <w:lang w:val="sl-SI"/>
        </w:rPr>
        <w:t>poziva k temeljiti oceni akcijskega načrta za evropski steber socialnih pravic iz leta 2021, da bi oblikovali nov trden in v prihodnost usmerjen akcijski načrt za evropski steber socialnih pravic ter v evropski semester bolje vključili pregled socialnih kazalnikov in okvir za socialno konvergenco;</w:t>
      </w:r>
    </w:p>
    <w:p w:rsidRPr="009F0FBD" w:rsidR="00FE74F4" w:rsidP="004F5634" w:rsidRDefault="00FE74F4" w14:paraId="034844AC" w14:textId="77777777">
      <w:pPr>
        <w:pStyle w:val="Heading2"/>
        <w:numPr>
          <w:ilvl w:val="0"/>
          <w:numId w:val="35"/>
        </w:numPr>
        <w:ind w:left="284" w:hanging="284"/>
        <w:rPr>
          <w:lang w:val="sl-SI"/>
        </w:rPr>
      </w:pPr>
      <w:r w:rsidRPr="009F0FBD">
        <w:rPr>
          <w:lang w:val="sl-SI"/>
        </w:rPr>
        <w:t>podpira cilj glede kakovostnih delovnih mest na ravni EU, minimalne standarde za boj proti revščini zaposlenih in negotovosti zaposlitve, izboljšanje delovnih pogojev v sektorju nege in boljšo zaščito za mlade, vključno s pravičnimi pripravništvi in naknadno podporo zaposlovanju;</w:t>
      </w:r>
    </w:p>
    <w:p w:rsidRPr="009F0FBD" w:rsidR="00FE74F4" w:rsidP="004F5634" w:rsidRDefault="00FE74F4" w14:paraId="067F22E0" w14:textId="77777777">
      <w:pPr>
        <w:pStyle w:val="Heading2"/>
        <w:numPr>
          <w:ilvl w:val="0"/>
          <w:numId w:val="35"/>
        </w:numPr>
        <w:ind w:left="284" w:hanging="284"/>
        <w:rPr>
          <w:lang w:val="sl-SI"/>
        </w:rPr>
      </w:pPr>
      <w:r w:rsidRPr="009F0FBD">
        <w:rPr>
          <w:lang w:val="sl-SI"/>
        </w:rPr>
        <w:t>poziva k uvedbi ambicioznih vseevropskih standardov za zavarovanje za primer brezposelnosti, pripravi direktive o psihosocialnih tveganjih, uveljavljanju pravice do odklopa in „zlatega pravila“ o socialnih naložbah v okviru fiskalne politike ter dodelitvi namenskih sredstev EU in nacionalnih sredstev;</w:t>
      </w:r>
    </w:p>
    <w:p w:rsidRPr="009F0FBD" w:rsidR="00FE74F4" w:rsidP="004F5634" w:rsidRDefault="00FE74F4" w14:paraId="56699B2E" w14:textId="77777777">
      <w:pPr>
        <w:pStyle w:val="Heading2"/>
        <w:numPr>
          <w:ilvl w:val="0"/>
          <w:numId w:val="35"/>
        </w:numPr>
        <w:ind w:left="284" w:hanging="284"/>
        <w:rPr>
          <w:lang w:val="sl-SI"/>
        </w:rPr>
      </w:pPr>
      <w:r w:rsidRPr="009F0FBD">
        <w:rPr>
          <w:lang w:val="sl-SI"/>
        </w:rPr>
        <w:t>se zavzema za priznanje pravice do vseživljenjskega učenja, spodbujanje javnih in zasebnih naložb v usposabljanje, vključevanje in prednostno obravnavo socialnih ciljev in enakosti spolov v evropskem stebru socialnih pravic, uvedbo preverjanja z vidika mladih ter dosledno izvajanje akcijskega načrta za socialno gospodarstvo in okvira za pravični prehod;</w:t>
      </w:r>
    </w:p>
    <w:p w:rsidRPr="009F0FBD" w:rsidR="00FE74F4" w:rsidP="004F5634" w:rsidRDefault="00FE74F4" w14:paraId="2C732033" w14:textId="77777777">
      <w:pPr>
        <w:pStyle w:val="Heading2"/>
        <w:numPr>
          <w:ilvl w:val="0"/>
          <w:numId w:val="35"/>
        </w:numPr>
        <w:ind w:left="284" w:hanging="284"/>
        <w:rPr>
          <w:lang w:val="sl-SI"/>
        </w:rPr>
      </w:pPr>
      <w:r w:rsidRPr="009F0FBD">
        <w:rPr>
          <w:lang w:val="sl-SI"/>
        </w:rPr>
        <w:t>poziva k okrepljenemu socialnemu dialogu, dejavnemu vključevanju civilne družbe, obvezni uporabi socialnih meril pri javnih naročilih in razvoju kazalnikov, ki presegajo BDP, da bi bolje merili blaginjo državljanov in vključujočo rast.</w:t>
      </w:r>
    </w:p>
    <w:p w:rsidRPr="009F0FBD" w:rsidR="00FE74F4" w:rsidP="00FE74F4" w:rsidRDefault="00FE74F4" w14:paraId="57A70FAE" w14:textId="77777777">
      <w:pPr>
        <w:rPr>
          <w:lang w:val="sl-SI"/>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9F0FBD" w:rsidR="00FE74F4" w:rsidTr="002775CC" w14:paraId="0536DBB3" w14:textId="77777777">
        <w:tc>
          <w:tcPr>
            <w:tcW w:w="1556" w:type="pct"/>
          </w:tcPr>
          <w:p w:rsidRPr="009F0FBD" w:rsidR="00FE74F4" w:rsidP="002775CC" w:rsidRDefault="00FE74F4" w14:paraId="3F11672B" w14:textId="77777777">
            <w:pPr>
              <w:rPr>
                <w:i/>
                <w:lang w:val="sl-SI"/>
              </w:rPr>
            </w:pPr>
            <w:r w:rsidRPr="009F0FBD">
              <w:rPr>
                <w:b/>
                <w:i/>
                <w:lang w:val="sl-SI"/>
              </w:rPr>
              <w:t>Kontaktna oseba</w:t>
            </w:r>
          </w:p>
        </w:tc>
        <w:tc>
          <w:tcPr>
            <w:tcW w:w="3444" w:type="pct"/>
          </w:tcPr>
          <w:p w:rsidRPr="009F0FBD" w:rsidR="00FE74F4" w:rsidP="002775CC" w:rsidRDefault="00FE74F4" w14:paraId="19AFB81C" w14:textId="77777777">
            <w:pPr>
              <w:rPr>
                <w:i/>
                <w:lang w:val="sl-SI"/>
              </w:rPr>
            </w:pPr>
            <w:r w:rsidRPr="009F0FBD">
              <w:rPr>
                <w:i/>
                <w:lang w:val="sl-SI"/>
              </w:rPr>
              <w:t>Bartek BEDNAROWICZ</w:t>
            </w:r>
          </w:p>
        </w:tc>
      </w:tr>
      <w:tr w:rsidRPr="009F0FBD" w:rsidR="00FE74F4" w:rsidTr="002775CC" w14:paraId="76C44126" w14:textId="77777777">
        <w:tc>
          <w:tcPr>
            <w:tcW w:w="1556" w:type="pct"/>
          </w:tcPr>
          <w:p w:rsidRPr="009F0FBD" w:rsidR="00FE74F4" w:rsidP="002775CC" w:rsidRDefault="00FE74F4" w14:paraId="2497071E" w14:textId="77777777">
            <w:pPr>
              <w:rPr>
                <w:i/>
                <w:lang w:val="sl-SI"/>
              </w:rPr>
            </w:pPr>
            <w:r w:rsidRPr="009F0FBD">
              <w:rPr>
                <w:i/>
                <w:lang w:val="sl-SI"/>
              </w:rPr>
              <w:t>Telefon</w:t>
            </w:r>
          </w:p>
        </w:tc>
        <w:tc>
          <w:tcPr>
            <w:tcW w:w="3444" w:type="pct"/>
          </w:tcPr>
          <w:p w:rsidRPr="009F0FBD" w:rsidR="00FE74F4" w:rsidP="002775CC" w:rsidRDefault="00FE74F4" w14:paraId="50F8E05D" w14:textId="77777777">
            <w:pPr>
              <w:rPr>
                <w:i/>
                <w:lang w:val="sl-SI"/>
              </w:rPr>
            </w:pPr>
            <w:r w:rsidRPr="009F0FBD">
              <w:rPr>
                <w:i/>
                <w:lang w:val="sl-SI"/>
              </w:rPr>
              <w:t>+32 25469229</w:t>
            </w:r>
          </w:p>
        </w:tc>
      </w:tr>
      <w:tr w:rsidRPr="0084110F" w:rsidR="00FE74F4" w:rsidTr="002775CC" w14:paraId="43016B65" w14:textId="77777777">
        <w:tc>
          <w:tcPr>
            <w:tcW w:w="1556" w:type="pct"/>
          </w:tcPr>
          <w:p w:rsidRPr="009F0FBD" w:rsidR="00FE74F4" w:rsidP="002775CC" w:rsidRDefault="00FE74F4" w14:paraId="62044830" w14:textId="77777777">
            <w:pPr>
              <w:rPr>
                <w:i/>
                <w:lang w:val="sl-SI"/>
              </w:rPr>
            </w:pPr>
            <w:r w:rsidRPr="009F0FBD">
              <w:rPr>
                <w:i/>
                <w:lang w:val="sl-SI"/>
              </w:rPr>
              <w:t>E-naslov</w:t>
            </w:r>
          </w:p>
        </w:tc>
        <w:tc>
          <w:tcPr>
            <w:tcW w:w="3444" w:type="pct"/>
          </w:tcPr>
          <w:p w:rsidRPr="009F0FBD" w:rsidR="00FE74F4" w:rsidP="002775CC" w:rsidRDefault="00E47EFC" w14:paraId="59523D2A" w14:textId="77777777">
            <w:pPr>
              <w:rPr>
                <w:rStyle w:val="Hyperlink"/>
                <w:i/>
                <w:iCs/>
                <w:lang w:val="sl-SI"/>
              </w:rPr>
            </w:pPr>
            <w:hyperlink w:history="1" r:id="rId28">
              <w:r w:rsidRPr="009F0FBD" w:rsidR="00FE74F4">
                <w:rPr>
                  <w:rStyle w:val="Hyperlink"/>
                  <w:i/>
                  <w:lang w:val="sl-SI"/>
                </w:rPr>
                <w:t>Bartek.Bednarowicz@eesc.europa.eu</w:t>
              </w:r>
            </w:hyperlink>
          </w:p>
        </w:tc>
      </w:tr>
    </w:tbl>
    <w:p w:rsidRPr="009F0FBD" w:rsidR="00FE74F4" w:rsidP="00FE74F4" w:rsidRDefault="00FE74F4" w14:paraId="2881D430" w14:textId="77777777">
      <w:pPr>
        <w:jc w:val="center"/>
        <w:rPr>
          <w:lang w:val="sl-SI"/>
        </w:rPr>
      </w:pPr>
    </w:p>
    <w:p w:rsidRPr="009F0FBD" w:rsidR="00AC3821" w:rsidRDefault="00AC3821" w14:paraId="0C045A87" w14:textId="77777777">
      <w:pPr>
        <w:spacing w:after="160" w:line="259" w:lineRule="auto"/>
        <w:jc w:val="left"/>
        <w:rPr>
          <w:lang w:val="sl-SI"/>
        </w:rPr>
      </w:pPr>
      <w:r w:rsidRPr="009F0FBD">
        <w:rPr>
          <w:lang w:val="sl-SI"/>
        </w:rPr>
        <w:br w:type="page"/>
      </w:r>
    </w:p>
    <w:p w:rsidRPr="009F0FBD" w:rsidR="00783D73" w:rsidP="00611089" w:rsidRDefault="00E47EFC" w14:paraId="0928B101" w14:textId="1348B505">
      <w:pPr>
        <w:widowControl w:val="0"/>
        <w:numPr>
          <w:ilvl w:val="0"/>
          <w:numId w:val="4"/>
        </w:numPr>
        <w:overflowPunct w:val="0"/>
        <w:autoSpaceDE w:val="0"/>
        <w:autoSpaceDN w:val="0"/>
        <w:adjustRightInd w:val="0"/>
        <w:ind w:hanging="567"/>
        <w:textAlignment w:val="baseline"/>
        <w:rPr>
          <w:sz w:val="24"/>
          <w:szCs w:val="24"/>
          <w:lang w:val="sl-SI"/>
        </w:rPr>
      </w:pPr>
      <w:hyperlink w:history="1" r:id="rId29">
        <w:r w:rsidRPr="00243149" w:rsidR="0084110F">
          <w:rPr>
            <w:lang w:val="pt-PT"/>
          </w:rPr>
          <w:t xml:space="preserve"> </w:t>
        </w:r>
        <w:r w:rsidRPr="0084110F" w:rsidR="0084110F">
          <w:rPr>
            <w:rStyle w:val="Hyperlink"/>
            <w:b/>
            <w:i/>
            <w:sz w:val="28"/>
            <w:lang w:val="sl-SI"/>
          </w:rPr>
          <w:t xml:space="preserve">Prihodnost strategije </w:t>
        </w:r>
        <w:r w:rsidRPr="009F0FBD" w:rsidR="00FE74F4">
          <w:rPr>
            <w:rStyle w:val="Hyperlink"/>
            <w:b/>
            <w:i/>
            <w:sz w:val="28"/>
            <w:lang w:val="sl-SI"/>
          </w:rPr>
          <w:t>EU o pravicah invalidov</w:t>
        </w:r>
      </w:hyperlink>
      <w:hyperlink w:history="1" r:id="rId30"/>
    </w:p>
    <w:p w:rsidRPr="009F0FBD" w:rsidR="00783D73" w:rsidP="00783D73" w:rsidRDefault="00783D73" w14:paraId="791B33A6" w14:textId="77777777">
      <w:pPr>
        <w:tabs>
          <w:tab w:val="center" w:pos="284"/>
        </w:tabs>
        <w:overflowPunct w:val="0"/>
        <w:autoSpaceDE w:val="0"/>
        <w:autoSpaceDN w:val="0"/>
        <w:adjustRightInd w:val="0"/>
        <w:spacing w:line="240" w:lineRule="auto"/>
        <w:ind w:left="266" w:hanging="266"/>
        <w:textAlignment w:val="baseline"/>
        <w:rPr>
          <w:b/>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662"/>
      </w:tblGrid>
      <w:tr w:rsidRPr="009F0FBD" w:rsidR="00FE74F4" w:rsidTr="002775CC" w14:paraId="48D5280E" w14:textId="77777777">
        <w:tc>
          <w:tcPr>
            <w:tcW w:w="2410" w:type="dxa"/>
          </w:tcPr>
          <w:p w:rsidRPr="009F0FBD" w:rsidR="00FE74F4" w:rsidP="002775CC" w:rsidRDefault="00FE74F4" w14:paraId="19676994" w14:textId="77777777">
            <w:pPr>
              <w:tabs>
                <w:tab w:val="center" w:pos="284"/>
              </w:tabs>
              <w:spacing w:line="264" w:lineRule="auto"/>
              <w:ind w:left="266" w:hanging="266"/>
              <w:rPr>
                <w:b/>
                <w:lang w:val="sl-SI"/>
              </w:rPr>
            </w:pPr>
            <w:r w:rsidRPr="009F0FBD">
              <w:rPr>
                <w:b/>
                <w:lang w:val="sl-SI"/>
              </w:rPr>
              <w:t>Poročevalec</w:t>
            </w:r>
          </w:p>
        </w:tc>
        <w:tc>
          <w:tcPr>
            <w:tcW w:w="6662" w:type="dxa"/>
          </w:tcPr>
          <w:p w:rsidRPr="009F0FBD" w:rsidR="00FE74F4" w:rsidP="002775CC" w:rsidRDefault="00FE74F4" w14:paraId="2F4A1A06" w14:textId="77777777">
            <w:pPr>
              <w:tabs>
                <w:tab w:val="center" w:pos="284"/>
              </w:tabs>
              <w:spacing w:line="264" w:lineRule="auto"/>
              <w:ind w:left="266" w:right="-529" w:hanging="266"/>
              <w:rPr>
                <w:lang w:val="sl-SI"/>
              </w:rPr>
            </w:pPr>
            <w:r w:rsidRPr="009F0FBD">
              <w:rPr>
                <w:lang w:val="sl-SI"/>
              </w:rPr>
              <w:t>Ioannis VARDAKASTANIS (skupina organizacij civilne družbe – EL)</w:t>
            </w:r>
          </w:p>
        </w:tc>
      </w:tr>
      <w:tr w:rsidRPr="009F0FBD" w:rsidR="00FE74F4" w:rsidTr="002775CC" w14:paraId="10E472BC" w14:textId="77777777">
        <w:tc>
          <w:tcPr>
            <w:tcW w:w="2410" w:type="dxa"/>
          </w:tcPr>
          <w:p w:rsidRPr="009F0FBD" w:rsidR="00FE74F4" w:rsidP="002775CC" w:rsidRDefault="00FE74F4" w14:paraId="346E6CB1" w14:textId="77777777">
            <w:pPr>
              <w:tabs>
                <w:tab w:val="center" w:pos="284"/>
              </w:tabs>
              <w:spacing w:line="264" w:lineRule="auto"/>
              <w:ind w:left="266" w:hanging="266"/>
              <w:rPr>
                <w:b/>
                <w:lang w:val="sl-SI"/>
              </w:rPr>
            </w:pPr>
          </w:p>
        </w:tc>
        <w:tc>
          <w:tcPr>
            <w:tcW w:w="6662" w:type="dxa"/>
          </w:tcPr>
          <w:p w:rsidRPr="009F0FBD" w:rsidR="00FE74F4" w:rsidP="002775CC" w:rsidRDefault="00FE74F4" w14:paraId="0B4C8058" w14:textId="77777777">
            <w:pPr>
              <w:tabs>
                <w:tab w:val="center" w:pos="284"/>
              </w:tabs>
              <w:spacing w:line="264" w:lineRule="auto"/>
              <w:ind w:left="266" w:hanging="266"/>
              <w:rPr>
                <w:lang w:val="sl-SI"/>
              </w:rPr>
            </w:pPr>
          </w:p>
        </w:tc>
      </w:tr>
      <w:tr w:rsidRPr="009F0FBD" w:rsidR="00FE74F4" w:rsidTr="002775CC" w14:paraId="081A2632" w14:textId="77777777">
        <w:tc>
          <w:tcPr>
            <w:tcW w:w="2410" w:type="dxa"/>
            <w:vMerge w:val="restart"/>
          </w:tcPr>
          <w:p w:rsidRPr="009F0FBD" w:rsidR="00FE74F4" w:rsidP="00A56C8B" w:rsidRDefault="00FE74F4" w14:paraId="271243B5" w14:textId="77777777">
            <w:pPr>
              <w:tabs>
                <w:tab w:val="center" w:pos="284"/>
              </w:tabs>
              <w:ind w:left="266" w:hanging="266"/>
              <w:rPr>
                <w:b/>
                <w:lang w:val="sl-SI"/>
              </w:rPr>
            </w:pPr>
            <w:r w:rsidRPr="009F0FBD">
              <w:rPr>
                <w:b/>
                <w:lang w:val="sl-SI"/>
              </w:rPr>
              <w:t>Referenčni dokument</w:t>
            </w:r>
          </w:p>
        </w:tc>
        <w:tc>
          <w:tcPr>
            <w:tcW w:w="6662" w:type="dxa"/>
          </w:tcPr>
          <w:p w:rsidRPr="009F0FBD" w:rsidR="00FE74F4" w:rsidP="00A56C8B" w:rsidRDefault="00FE74F4" w14:paraId="02BC2D15" w14:textId="77777777">
            <w:pPr>
              <w:tabs>
                <w:tab w:val="center" w:pos="284"/>
              </w:tabs>
              <w:ind w:left="266" w:hanging="266"/>
              <w:rPr>
                <w:lang w:val="sl-SI"/>
              </w:rPr>
            </w:pPr>
            <w:r w:rsidRPr="009F0FBD">
              <w:rPr>
                <w:lang w:val="sl-SI"/>
              </w:rPr>
              <w:t>mnenje na lastno pobudo</w:t>
            </w:r>
          </w:p>
        </w:tc>
      </w:tr>
      <w:tr w:rsidRPr="009F0FBD" w:rsidR="00FE74F4" w:rsidTr="002775CC" w14:paraId="7D229A3F" w14:textId="77777777">
        <w:tc>
          <w:tcPr>
            <w:tcW w:w="2410" w:type="dxa"/>
            <w:vMerge/>
          </w:tcPr>
          <w:p w:rsidRPr="009F0FBD" w:rsidR="00FE74F4" w:rsidP="00A56C8B" w:rsidRDefault="00FE74F4" w14:paraId="6E37FC0B" w14:textId="77777777">
            <w:pPr>
              <w:tabs>
                <w:tab w:val="center" w:pos="284"/>
              </w:tabs>
              <w:ind w:left="266" w:hanging="266"/>
              <w:rPr>
                <w:b/>
                <w:lang w:val="sl-SI"/>
              </w:rPr>
            </w:pPr>
          </w:p>
        </w:tc>
        <w:tc>
          <w:tcPr>
            <w:tcW w:w="6662" w:type="dxa"/>
          </w:tcPr>
          <w:p w:rsidRPr="009F0FBD" w:rsidR="00FE74F4" w:rsidP="00A56C8B" w:rsidRDefault="00FE74F4" w14:paraId="74CD2573" w14:textId="77777777">
            <w:pPr>
              <w:tabs>
                <w:tab w:val="center" w:pos="284"/>
              </w:tabs>
              <w:ind w:left="266" w:hanging="266"/>
              <w:rPr>
                <w:lang w:val="sl-SI"/>
              </w:rPr>
            </w:pPr>
            <w:r w:rsidRPr="009F0FBD">
              <w:rPr>
                <w:lang w:val="sl-SI"/>
              </w:rPr>
              <w:t>EESC-2025-00909-00-00-AC-TRA</w:t>
            </w:r>
          </w:p>
        </w:tc>
      </w:tr>
    </w:tbl>
    <w:p w:rsidRPr="009F0FBD" w:rsidR="00FE74F4" w:rsidP="00A56C8B" w:rsidRDefault="00FE74F4" w14:paraId="0FEF304B" w14:textId="77777777">
      <w:pPr>
        <w:keepNext/>
        <w:keepLines/>
        <w:tabs>
          <w:tab w:val="center" w:pos="284"/>
        </w:tabs>
        <w:overflowPunct w:val="0"/>
        <w:autoSpaceDE w:val="0"/>
        <w:autoSpaceDN w:val="0"/>
        <w:adjustRightInd w:val="0"/>
        <w:ind w:left="266" w:hanging="266"/>
        <w:textAlignment w:val="baseline"/>
        <w:rPr>
          <w:b/>
          <w:lang w:val="sl-SI"/>
        </w:rPr>
      </w:pPr>
    </w:p>
    <w:p w:rsidRPr="009F0FBD" w:rsidR="00FE74F4" w:rsidP="00A56C8B" w:rsidRDefault="00FE74F4" w14:paraId="09B914E5" w14:textId="77777777">
      <w:pPr>
        <w:keepNext/>
        <w:keepLines/>
        <w:tabs>
          <w:tab w:val="center" w:pos="284"/>
        </w:tabs>
        <w:ind w:left="266" w:hanging="266"/>
        <w:rPr>
          <w:b/>
          <w:lang w:val="sl-SI"/>
        </w:rPr>
      </w:pPr>
      <w:r w:rsidRPr="009F0FBD">
        <w:rPr>
          <w:b/>
          <w:lang w:val="sl-SI"/>
        </w:rPr>
        <w:t>Glavne točke</w:t>
      </w:r>
    </w:p>
    <w:p w:rsidRPr="009F0FBD" w:rsidR="00FE74F4" w:rsidP="00A56C8B" w:rsidRDefault="00FE74F4" w14:paraId="1C6356AE" w14:textId="77777777">
      <w:pPr>
        <w:keepNext/>
        <w:keepLines/>
        <w:tabs>
          <w:tab w:val="center" w:pos="284"/>
        </w:tabs>
        <w:ind w:left="266" w:hanging="266"/>
        <w:rPr>
          <w:b/>
          <w:lang w:val="sl-SI"/>
        </w:rPr>
      </w:pPr>
    </w:p>
    <w:p w:rsidRPr="009F0FBD" w:rsidR="00FE74F4" w:rsidP="00A56C8B" w:rsidRDefault="00FE74F4" w14:paraId="2A01219C" w14:textId="77777777">
      <w:pPr>
        <w:pStyle w:val="NormalWeb"/>
        <w:spacing w:before="0" w:beforeAutospacing="0" w:after="0" w:afterAutospacing="0" w:line="288" w:lineRule="auto"/>
        <w:rPr>
          <w:rStyle w:val="Strong"/>
          <w:sz w:val="22"/>
          <w:szCs w:val="22"/>
        </w:rPr>
      </w:pPr>
      <w:r w:rsidRPr="009F0FBD">
        <w:rPr>
          <w:rStyle w:val="Strong"/>
          <w:sz w:val="22"/>
          <w:szCs w:val="22"/>
        </w:rPr>
        <w:t>EESO:</w:t>
      </w:r>
    </w:p>
    <w:p w:rsidRPr="009F0FBD" w:rsidR="00FE74F4" w:rsidP="00A56C8B" w:rsidRDefault="00FE74F4" w14:paraId="087333B1" w14:textId="77777777">
      <w:pPr>
        <w:pStyle w:val="NormalWeb"/>
        <w:spacing w:before="0" w:beforeAutospacing="0" w:after="0" w:afterAutospacing="0" w:line="288" w:lineRule="auto"/>
        <w:rPr>
          <w:sz w:val="22"/>
          <w:szCs w:val="22"/>
        </w:rPr>
      </w:pPr>
    </w:p>
    <w:p w:rsidRPr="009F0FBD" w:rsidR="00FE74F4" w:rsidP="004F5634" w:rsidRDefault="00FE74F4" w14:paraId="4692D4DB" w14:textId="77777777">
      <w:pPr>
        <w:pStyle w:val="NormalWeb"/>
        <w:numPr>
          <w:ilvl w:val="0"/>
          <w:numId w:val="36"/>
        </w:numPr>
        <w:tabs>
          <w:tab w:val="clear" w:pos="720"/>
          <w:tab w:val="num" w:pos="426"/>
        </w:tabs>
        <w:spacing w:before="0" w:beforeAutospacing="0" w:after="0" w:afterAutospacing="0" w:line="288" w:lineRule="auto"/>
        <w:ind w:left="284" w:hanging="284"/>
        <w:jc w:val="both"/>
        <w:rPr>
          <w:sz w:val="22"/>
          <w:szCs w:val="22"/>
        </w:rPr>
      </w:pPr>
      <w:r w:rsidRPr="009F0FBD">
        <w:rPr>
          <w:sz w:val="22"/>
        </w:rPr>
        <w:t>pozdravlja zavezo Evropske komisije, da bo pripravila nove ukrepe za drugo polovico obdobja izvajanja strategije EU o pravicah invalidov 2021–2030, in poudarja pomen nedavnega pregleda EU, ki ga je opravil Odbor OZN za pravice invalidov, pri čemer ta poziva k nadaljevanju ukrepov tudi v drugi polovici obdobja izvajanja strategije;</w:t>
      </w:r>
    </w:p>
    <w:p w:rsidRPr="009F0FBD" w:rsidR="00FE74F4" w:rsidP="004F5634" w:rsidRDefault="00FE74F4" w14:paraId="09FCC14F" w14:textId="77777777">
      <w:pPr>
        <w:pStyle w:val="NormalWeb"/>
        <w:numPr>
          <w:ilvl w:val="0"/>
          <w:numId w:val="36"/>
        </w:numPr>
        <w:tabs>
          <w:tab w:val="clear" w:pos="720"/>
          <w:tab w:val="num" w:pos="426"/>
        </w:tabs>
        <w:spacing w:before="0" w:beforeAutospacing="0" w:after="0" w:afterAutospacing="0" w:line="288" w:lineRule="auto"/>
        <w:ind w:left="284" w:hanging="284"/>
        <w:jc w:val="both"/>
        <w:rPr>
          <w:sz w:val="22"/>
          <w:szCs w:val="22"/>
        </w:rPr>
      </w:pPr>
      <w:r w:rsidRPr="009F0FBD">
        <w:rPr>
          <w:sz w:val="22"/>
        </w:rPr>
        <w:t>priznava ključne dosežke iz obdobja 2021–2025, vendar hkrati ugotavlja, da nekatere pomanjkljivosti še niso bile odpravljene. V mnenju so predstavljeni prednostni ukrepi in vodilne pobude za obdobje 2025–2030;</w:t>
      </w:r>
    </w:p>
    <w:p w:rsidRPr="009F0FBD" w:rsidR="00FE74F4" w:rsidP="004F5634" w:rsidRDefault="00FE74F4" w14:paraId="4090AED1" w14:textId="77777777">
      <w:pPr>
        <w:pStyle w:val="NormalWeb"/>
        <w:numPr>
          <w:ilvl w:val="0"/>
          <w:numId w:val="36"/>
        </w:numPr>
        <w:tabs>
          <w:tab w:val="clear" w:pos="720"/>
          <w:tab w:val="num" w:pos="426"/>
        </w:tabs>
        <w:spacing w:before="0" w:beforeAutospacing="0" w:after="0" w:afterAutospacing="0" w:line="288" w:lineRule="auto"/>
        <w:ind w:left="284" w:hanging="284"/>
        <w:jc w:val="both"/>
        <w:rPr>
          <w:sz w:val="22"/>
          <w:szCs w:val="22"/>
        </w:rPr>
      </w:pPr>
      <w:r w:rsidRPr="009F0FBD">
        <w:rPr>
          <w:sz w:val="22"/>
        </w:rPr>
        <w:t>poziva Komisijo, naj hitro oblikuje naslednji akcijski načrt ter opravi vsebinsko posvetovanje z invalidi in njihovimi organizacijami;</w:t>
      </w:r>
    </w:p>
    <w:p w:rsidRPr="009F0FBD" w:rsidR="00FE74F4" w:rsidP="004F5634" w:rsidRDefault="00FE74F4" w14:paraId="098F6DD5" w14:textId="77777777">
      <w:pPr>
        <w:pStyle w:val="NormalWeb"/>
        <w:numPr>
          <w:ilvl w:val="0"/>
          <w:numId w:val="36"/>
        </w:numPr>
        <w:tabs>
          <w:tab w:val="clear" w:pos="720"/>
          <w:tab w:val="num" w:pos="426"/>
        </w:tabs>
        <w:spacing w:before="0" w:beforeAutospacing="0" w:after="0" w:afterAutospacing="0" w:line="288" w:lineRule="auto"/>
        <w:ind w:left="284" w:hanging="284"/>
        <w:jc w:val="both"/>
        <w:rPr>
          <w:sz w:val="22"/>
          <w:szCs w:val="22"/>
        </w:rPr>
      </w:pPr>
      <w:r w:rsidRPr="009F0FBD">
        <w:rPr>
          <w:sz w:val="22"/>
        </w:rPr>
        <w:t>poziva k ukrepom, ki bodo v primerjavi s tistimi iz obdobja 2021–2025 trdnejši in bolj zavezujoči ter bodo imeli neposredni učinek, in k namenskim proračunskim sredstvom v naslednjem proračunskem okviru, da bi bilo mogoče zagotoviti dobro izvajanje in podporo.</w:t>
      </w:r>
    </w:p>
    <w:p w:rsidRPr="009F0FBD" w:rsidR="00FE74F4" w:rsidP="004F5634" w:rsidRDefault="00FE74F4" w14:paraId="5E75390D" w14:textId="77777777">
      <w:pPr>
        <w:pStyle w:val="NormalWeb"/>
        <w:tabs>
          <w:tab w:val="num" w:pos="426"/>
        </w:tabs>
        <w:spacing w:before="0" w:beforeAutospacing="0" w:after="0" w:afterAutospacing="0" w:line="288" w:lineRule="auto"/>
        <w:ind w:left="284" w:hanging="284"/>
        <w:jc w:val="both"/>
        <w:rPr>
          <w:sz w:val="22"/>
          <w:szCs w:val="22"/>
        </w:rPr>
      </w:pPr>
    </w:p>
    <w:p w:rsidRPr="009F0FBD" w:rsidR="00FE74F4" w:rsidP="00A56C8B" w:rsidRDefault="00FE74F4" w14:paraId="521A9C29" w14:textId="77777777">
      <w:pPr>
        <w:pStyle w:val="NormalWeb"/>
        <w:spacing w:before="0" w:beforeAutospacing="0" w:after="0" w:afterAutospacing="0" w:line="288" w:lineRule="auto"/>
        <w:rPr>
          <w:rStyle w:val="Strong"/>
          <w:sz w:val="22"/>
          <w:szCs w:val="22"/>
        </w:rPr>
      </w:pPr>
      <w:r w:rsidRPr="009F0FBD">
        <w:rPr>
          <w:rStyle w:val="Strong"/>
          <w:sz w:val="22"/>
        </w:rPr>
        <w:t>Glavni predlagani ukrepi:</w:t>
      </w:r>
    </w:p>
    <w:p w:rsidRPr="009F0FBD" w:rsidR="00FE74F4" w:rsidP="00A56C8B" w:rsidRDefault="00FE74F4" w14:paraId="61E5B512" w14:textId="77777777">
      <w:pPr>
        <w:pStyle w:val="NormalWeb"/>
        <w:spacing w:before="0" w:beforeAutospacing="0" w:after="0" w:afterAutospacing="0" w:line="288" w:lineRule="auto"/>
        <w:rPr>
          <w:sz w:val="22"/>
          <w:szCs w:val="22"/>
        </w:rPr>
      </w:pPr>
    </w:p>
    <w:p w:rsidRPr="009F0FBD" w:rsidR="00FE74F4" w:rsidP="004F5634" w:rsidRDefault="00FE74F4" w14:paraId="44606E1F" w14:textId="77777777">
      <w:pPr>
        <w:pStyle w:val="NormalWeb"/>
        <w:numPr>
          <w:ilvl w:val="0"/>
          <w:numId w:val="37"/>
        </w:numPr>
        <w:tabs>
          <w:tab w:val="clear" w:pos="720"/>
          <w:tab w:val="num" w:pos="426"/>
        </w:tabs>
        <w:spacing w:before="0" w:beforeAutospacing="0" w:after="0" w:afterAutospacing="0" w:line="288" w:lineRule="auto"/>
        <w:ind w:left="284" w:hanging="284"/>
        <w:rPr>
          <w:sz w:val="22"/>
          <w:szCs w:val="22"/>
        </w:rPr>
      </w:pPr>
      <w:r w:rsidRPr="009F0FBD">
        <w:rPr>
          <w:sz w:val="22"/>
        </w:rPr>
        <w:t>oblikovanje alternative horizontalni direktivi o enakem obravnavanju,</w:t>
      </w:r>
    </w:p>
    <w:p w:rsidRPr="009F0FBD" w:rsidR="00FE74F4" w:rsidP="004F5634" w:rsidRDefault="00FE74F4" w14:paraId="426D7B65" w14:textId="77777777">
      <w:pPr>
        <w:pStyle w:val="NormalWeb"/>
        <w:numPr>
          <w:ilvl w:val="0"/>
          <w:numId w:val="37"/>
        </w:numPr>
        <w:tabs>
          <w:tab w:val="clear" w:pos="720"/>
          <w:tab w:val="num" w:pos="426"/>
        </w:tabs>
        <w:spacing w:before="0" w:beforeAutospacing="0" w:after="0" w:afterAutospacing="0" w:line="288" w:lineRule="auto"/>
        <w:ind w:left="284" w:hanging="284"/>
        <w:rPr>
          <w:sz w:val="22"/>
          <w:szCs w:val="22"/>
        </w:rPr>
      </w:pPr>
      <w:r w:rsidRPr="009F0FBD">
        <w:rPr>
          <w:sz w:val="22"/>
        </w:rPr>
        <w:t>uporaba izkušenj s svežnjem o zaposlovanju invalidov,</w:t>
      </w:r>
    </w:p>
    <w:p w:rsidRPr="009F0FBD" w:rsidR="00FE74F4" w:rsidP="004F5634" w:rsidRDefault="00FE74F4" w14:paraId="7D23AD40" w14:textId="77777777">
      <w:pPr>
        <w:pStyle w:val="NormalWeb"/>
        <w:numPr>
          <w:ilvl w:val="0"/>
          <w:numId w:val="37"/>
        </w:numPr>
        <w:tabs>
          <w:tab w:val="clear" w:pos="720"/>
          <w:tab w:val="num" w:pos="426"/>
        </w:tabs>
        <w:spacing w:before="0" w:beforeAutospacing="0" w:after="0" w:afterAutospacing="0" w:line="288" w:lineRule="auto"/>
        <w:ind w:left="284" w:hanging="284"/>
        <w:rPr>
          <w:sz w:val="22"/>
          <w:szCs w:val="22"/>
        </w:rPr>
      </w:pPr>
      <w:r w:rsidRPr="009F0FBD">
        <w:rPr>
          <w:sz w:val="22"/>
        </w:rPr>
        <w:t>odpravljanje vrzeli v zvezi z evropsko kartico ugodnosti za invalide in svobodo gibanja,</w:t>
      </w:r>
    </w:p>
    <w:p w:rsidRPr="009F0FBD" w:rsidR="00FE74F4" w:rsidP="004F5634" w:rsidRDefault="00FE74F4" w14:paraId="5CBA6F1A" w14:textId="77777777">
      <w:pPr>
        <w:pStyle w:val="NormalWeb"/>
        <w:numPr>
          <w:ilvl w:val="0"/>
          <w:numId w:val="37"/>
        </w:numPr>
        <w:tabs>
          <w:tab w:val="clear" w:pos="720"/>
          <w:tab w:val="num" w:pos="426"/>
        </w:tabs>
        <w:spacing w:before="0" w:beforeAutospacing="0" w:after="0" w:afterAutospacing="0" w:line="288" w:lineRule="auto"/>
        <w:ind w:left="284" w:hanging="284"/>
        <w:rPr>
          <w:sz w:val="22"/>
          <w:szCs w:val="22"/>
        </w:rPr>
      </w:pPr>
      <w:r w:rsidRPr="009F0FBD">
        <w:rPr>
          <w:sz w:val="22"/>
        </w:rPr>
        <w:t>več prizadevanj za dostopnost in preseganje okvirov središča AccessibleEU,</w:t>
      </w:r>
    </w:p>
    <w:p w:rsidRPr="009F0FBD" w:rsidR="00FE74F4" w:rsidP="004F5634" w:rsidRDefault="00FE74F4" w14:paraId="77452636" w14:textId="77777777">
      <w:pPr>
        <w:pStyle w:val="NormalWeb"/>
        <w:numPr>
          <w:ilvl w:val="0"/>
          <w:numId w:val="37"/>
        </w:numPr>
        <w:tabs>
          <w:tab w:val="clear" w:pos="720"/>
          <w:tab w:val="num" w:pos="426"/>
        </w:tabs>
        <w:spacing w:before="0" w:beforeAutospacing="0" w:after="0" w:afterAutospacing="0" w:line="288" w:lineRule="auto"/>
        <w:ind w:left="284" w:hanging="284"/>
        <w:rPr>
          <w:sz w:val="22"/>
          <w:szCs w:val="22"/>
        </w:rPr>
      </w:pPr>
      <w:r w:rsidRPr="009F0FBD">
        <w:rPr>
          <w:sz w:val="22"/>
        </w:rPr>
        <w:t>zaščita invalidnih žensk in deklet,</w:t>
      </w:r>
    </w:p>
    <w:p w:rsidRPr="009F0FBD" w:rsidR="00FE74F4" w:rsidP="004F5634" w:rsidRDefault="00FE74F4" w14:paraId="32D7E9CB" w14:textId="77777777">
      <w:pPr>
        <w:pStyle w:val="NormalWeb"/>
        <w:numPr>
          <w:ilvl w:val="0"/>
          <w:numId w:val="37"/>
        </w:numPr>
        <w:tabs>
          <w:tab w:val="clear" w:pos="720"/>
          <w:tab w:val="num" w:pos="426"/>
        </w:tabs>
        <w:spacing w:before="0" w:beforeAutospacing="0" w:after="0" w:afterAutospacing="0" w:line="288" w:lineRule="auto"/>
        <w:ind w:left="284" w:hanging="284"/>
        <w:rPr>
          <w:sz w:val="22"/>
          <w:szCs w:val="22"/>
        </w:rPr>
      </w:pPr>
      <w:r w:rsidRPr="009F0FBD">
        <w:rPr>
          <w:sz w:val="22"/>
        </w:rPr>
        <w:t>reševanje stanovanjske krize za invalide,</w:t>
      </w:r>
    </w:p>
    <w:p w:rsidRPr="009F0FBD" w:rsidR="00FE74F4" w:rsidP="004F5634" w:rsidRDefault="00FE74F4" w14:paraId="2030D41C" w14:textId="77777777">
      <w:pPr>
        <w:pStyle w:val="NormalWeb"/>
        <w:numPr>
          <w:ilvl w:val="0"/>
          <w:numId w:val="37"/>
        </w:numPr>
        <w:tabs>
          <w:tab w:val="clear" w:pos="720"/>
          <w:tab w:val="num" w:pos="426"/>
        </w:tabs>
        <w:spacing w:before="0" w:beforeAutospacing="0" w:after="0" w:afterAutospacing="0" w:line="288" w:lineRule="auto"/>
        <w:ind w:left="284" w:hanging="284"/>
        <w:rPr>
          <w:sz w:val="22"/>
          <w:szCs w:val="22"/>
        </w:rPr>
      </w:pPr>
      <w:r w:rsidRPr="009F0FBD">
        <w:rPr>
          <w:sz w:val="22"/>
        </w:rPr>
        <w:t>vzpostavitev skupnega mehanizma za certificiranje podpornih tehnologij,</w:t>
      </w:r>
    </w:p>
    <w:p w:rsidRPr="009F0FBD" w:rsidR="00FE74F4" w:rsidP="004F5634" w:rsidRDefault="00FE74F4" w14:paraId="0C45F4F7" w14:textId="77777777">
      <w:pPr>
        <w:pStyle w:val="NormalWeb"/>
        <w:numPr>
          <w:ilvl w:val="0"/>
          <w:numId w:val="37"/>
        </w:numPr>
        <w:tabs>
          <w:tab w:val="clear" w:pos="720"/>
          <w:tab w:val="num" w:pos="426"/>
        </w:tabs>
        <w:spacing w:before="0" w:beforeAutospacing="0" w:after="0" w:afterAutospacing="0" w:line="288" w:lineRule="auto"/>
        <w:ind w:left="284" w:hanging="284"/>
        <w:rPr>
          <w:sz w:val="22"/>
          <w:szCs w:val="22"/>
        </w:rPr>
      </w:pPr>
      <w:r w:rsidRPr="009F0FBD">
        <w:rPr>
          <w:sz w:val="22"/>
        </w:rPr>
        <w:t>reševanje težav, s katerimi se invalidi srečujejo pri potovanjih,</w:t>
      </w:r>
    </w:p>
    <w:p w:rsidRPr="009F0FBD" w:rsidR="00FE74F4" w:rsidP="004F5634" w:rsidRDefault="00FE74F4" w14:paraId="72D36372" w14:textId="77777777">
      <w:pPr>
        <w:pStyle w:val="NormalWeb"/>
        <w:numPr>
          <w:ilvl w:val="0"/>
          <w:numId w:val="37"/>
        </w:numPr>
        <w:tabs>
          <w:tab w:val="clear" w:pos="720"/>
          <w:tab w:val="num" w:pos="426"/>
        </w:tabs>
        <w:spacing w:before="0" w:beforeAutospacing="0" w:after="0" w:afterAutospacing="0" w:line="288" w:lineRule="auto"/>
        <w:ind w:left="284" w:hanging="284"/>
        <w:rPr>
          <w:sz w:val="22"/>
          <w:szCs w:val="22"/>
        </w:rPr>
      </w:pPr>
      <w:r w:rsidRPr="009F0FBD">
        <w:rPr>
          <w:sz w:val="22"/>
        </w:rPr>
        <w:t>spodbujanje prehoda z institucionalne oskrbe,</w:t>
      </w:r>
    </w:p>
    <w:p w:rsidRPr="009F0FBD" w:rsidR="00FE74F4" w:rsidP="004F5634" w:rsidRDefault="00FE74F4" w14:paraId="329B03B3" w14:textId="77777777">
      <w:pPr>
        <w:pStyle w:val="NormalWeb"/>
        <w:numPr>
          <w:ilvl w:val="0"/>
          <w:numId w:val="37"/>
        </w:numPr>
        <w:tabs>
          <w:tab w:val="clear" w:pos="720"/>
          <w:tab w:val="num" w:pos="426"/>
        </w:tabs>
        <w:spacing w:before="0" w:beforeAutospacing="0" w:after="0" w:afterAutospacing="0" w:line="288" w:lineRule="auto"/>
        <w:ind w:left="284" w:hanging="284"/>
        <w:rPr>
          <w:sz w:val="22"/>
          <w:szCs w:val="22"/>
        </w:rPr>
      </w:pPr>
      <w:r w:rsidRPr="009F0FBD">
        <w:rPr>
          <w:sz w:val="22"/>
        </w:rPr>
        <w:t>preprečevanje diskriminacije pri uporabi umetne inteligence,</w:t>
      </w:r>
    </w:p>
    <w:p w:rsidRPr="009F0FBD" w:rsidR="00FE74F4" w:rsidP="004F5634" w:rsidRDefault="00FE74F4" w14:paraId="7FE9CA75" w14:textId="77777777">
      <w:pPr>
        <w:pStyle w:val="NormalWeb"/>
        <w:numPr>
          <w:ilvl w:val="0"/>
          <w:numId w:val="37"/>
        </w:numPr>
        <w:tabs>
          <w:tab w:val="clear" w:pos="720"/>
          <w:tab w:val="num" w:pos="426"/>
        </w:tabs>
        <w:spacing w:before="0" w:beforeAutospacing="0" w:after="0" w:afterAutospacing="0" w:line="288" w:lineRule="auto"/>
        <w:ind w:left="284" w:hanging="284"/>
        <w:rPr>
          <w:sz w:val="22"/>
          <w:szCs w:val="22"/>
        </w:rPr>
      </w:pPr>
      <w:r w:rsidRPr="009F0FBD">
        <w:rPr>
          <w:sz w:val="22"/>
        </w:rPr>
        <w:t>usklajenost zunanjega delovanja EU.</w:t>
      </w:r>
    </w:p>
    <w:p w:rsidRPr="009F0FBD" w:rsidR="00FE74F4" w:rsidP="00A56C8B" w:rsidRDefault="00FE74F4" w14:paraId="4708E1F1" w14:textId="77777777">
      <w:pPr>
        <w:pStyle w:val="NormalWeb"/>
        <w:spacing w:before="0" w:beforeAutospacing="0" w:after="0" w:afterAutospacing="0" w:line="288" w:lineRule="auto"/>
        <w:ind w:left="720"/>
        <w:rPr>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3902"/>
      </w:tblGrid>
      <w:tr w:rsidRPr="009F0FBD" w:rsidR="00FE74F4" w:rsidTr="002775CC" w14:paraId="7A926531" w14:textId="77777777">
        <w:tc>
          <w:tcPr>
            <w:tcW w:w="1843" w:type="dxa"/>
          </w:tcPr>
          <w:p w:rsidRPr="009F0FBD" w:rsidR="00FE74F4" w:rsidP="00A56C8B" w:rsidRDefault="00FE74F4" w14:paraId="3AD0A2B5" w14:textId="77777777">
            <w:pPr>
              <w:rPr>
                <w:i/>
                <w:lang w:val="sl-SI"/>
              </w:rPr>
            </w:pPr>
            <w:r w:rsidRPr="009F0FBD">
              <w:rPr>
                <w:b/>
                <w:i/>
                <w:lang w:val="sl-SI"/>
              </w:rPr>
              <w:t>Kontaktna oseba</w:t>
            </w:r>
          </w:p>
        </w:tc>
        <w:tc>
          <w:tcPr>
            <w:tcW w:w="3902" w:type="dxa"/>
          </w:tcPr>
          <w:p w:rsidRPr="009F0FBD" w:rsidR="00FE74F4" w:rsidP="00A56C8B" w:rsidRDefault="00FE74F4" w14:paraId="70FED085" w14:textId="77777777">
            <w:pPr>
              <w:rPr>
                <w:i/>
                <w:lang w:val="sl-SI"/>
              </w:rPr>
            </w:pPr>
            <w:r w:rsidRPr="009F0FBD">
              <w:rPr>
                <w:i/>
                <w:lang w:val="sl-SI"/>
              </w:rPr>
              <w:t>Valeria ATZORI</w:t>
            </w:r>
          </w:p>
        </w:tc>
      </w:tr>
      <w:tr w:rsidRPr="009F0FBD" w:rsidR="00FE74F4" w:rsidTr="002775CC" w14:paraId="4508016D" w14:textId="77777777">
        <w:tc>
          <w:tcPr>
            <w:tcW w:w="1843" w:type="dxa"/>
          </w:tcPr>
          <w:p w:rsidRPr="009F0FBD" w:rsidR="00FE74F4" w:rsidP="00A56C8B" w:rsidRDefault="00FE74F4" w14:paraId="5D40F1C6" w14:textId="77777777">
            <w:pPr>
              <w:rPr>
                <w:i/>
                <w:lang w:val="sl-SI"/>
              </w:rPr>
            </w:pPr>
            <w:r w:rsidRPr="009F0FBD">
              <w:rPr>
                <w:i/>
                <w:lang w:val="sl-SI"/>
              </w:rPr>
              <w:t>Telefon</w:t>
            </w:r>
          </w:p>
        </w:tc>
        <w:tc>
          <w:tcPr>
            <w:tcW w:w="3902" w:type="dxa"/>
          </w:tcPr>
          <w:p w:rsidRPr="009F0FBD" w:rsidR="00FE74F4" w:rsidP="00A56C8B" w:rsidRDefault="00FE74F4" w14:paraId="1F882534" w14:textId="77777777">
            <w:pPr>
              <w:rPr>
                <w:i/>
                <w:lang w:val="sl-SI"/>
              </w:rPr>
            </w:pPr>
            <w:r w:rsidRPr="009F0FBD">
              <w:rPr>
                <w:i/>
                <w:lang w:val="sl-SI"/>
              </w:rPr>
              <w:t>+ 32 25468774</w:t>
            </w:r>
          </w:p>
        </w:tc>
      </w:tr>
      <w:tr w:rsidRPr="0084110F" w:rsidR="00FE74F4" w:rsidTr="002775CC" w14:paraId="2FA7D94E" w14:textId="77777777">
        <w:tc>
          <w:tcPr>
            <w:tcW w:w="1843" w:type="dxa"/>
          </w:tcPr>
          <w:p w:rsidRPr="009F0FBD" w:rsidR="00FE74F4" w:rsidP="00A56C8B" w:rsidRDefault="00FE74F4" w14:paraId="5F2B7BA7" w14:textId="77777777">
            <w:pPr>
              <w:rPr>
                <w:i/>
                <w:lang w:val="sl-SI"/>
              </w:rPr>
            </w:pPr>
            <w:r w:rsidRPr="009F0FBD">
              <w:rPr>
                <w:i/>
                <w:lang w:val="sl-SI"/>
              </w:rPr>
              <w:t>E-naslov</w:t>
            </w:r>
          </w:p>
        </w:tc>
        <w:tc>
          <w:tcPr>
            <w:tcW w:w="3902" w:type="dxa"/>
          </w:tcPr>
          <w:p w:rsidRPr="009F0FBD" w:rsidR="00FE74F4" w:rsidP="00A56C8B" w:rsidRDefault="00E47EFC" w14:paraId="22339355" w14:textId="77777777">
            <w:pPr>
              <w:rPr>
                <w:i/>
                <w:iCs/>
                <w:lang w:val="sl-SI"/>
              </w:rPr>
            </w:pPr>
            <w:hyperlink w:history="1" r:id="rId31">
              <w:r w:rsidRPr="009F0FBD" w:rsidR="00FE74F4">
                <w:rPr>
                  <w:rStyle w:val="Hyperlink"/>
                  <w:i/>
                  <w:lang w:val="sl-SI"/>
                </w:rPr>
                <w:t>Valeria.Atzori@eesc.europa.eu</w:t>
              </w:r>
            </w:hyperlink>
          </w:p>
        </w:tc>
      </w:tr>
    </w:tbl>
    <w:p w:rsidRPr="009F0FBD" w:rsidR="00FE74F4" w:rsidRDefault="00FE74F4" w14:paraId="5D369C95" w14:textId="77777777">
      <w:pPr>
        <w:spacing w:after="160" w:line="259" w:lineRule="auto"/>
        <w:jc w:val="left"/>
        <w:rPr>
          <w:lang w:val="sl-SI"/>
        </w:rPr>
      </w:pPr>
    </w:p>
    <w:p w:rsidRPr="009F0FBD" w:rsidR="00E11CA7" w:rsidRDefault="00E11CA7" w14:paraId="7E0538F3" w14:textId="7E74ADA5">
      <w:pPr>
        <w:spacing w:after="160" w:line="259" w:lineRule="auto"/>
        <w:jc w:val="left"/>
        <w:rPr>
          <w:lang w:val="sl-SI"/>
        </w:rPr>
      </w:pPr>
      <w:r w:rsidRPr="009F0FBD">
        <w:rPr>
          <w:lang w:val="sl-SI"/>
        </w:rPr>
        <w:br w:type="page"/>
      </w:r>
    </w:p>
    <w:p w:rsidRPr="009F0FBD" w:rsidR="00D04355" w:rsidP="00611089" w:rsidRDefault="0084110F" w14:paraId="06040395" w14:textId="675540A7">
      <w:pPr>
        <w:widowControl w:val="0"/>
        <w:numPr>
          <w:ilvl w:val="0"/>
          <w:numId w:val="9"/>
        </w:numPr>
        <w:overflowPunct w:val="0"/>
        <w:autoSpaceDE w:val="0"/>
        <w:autoSpaceDN w:val="0"/>
        <w:adjustRightInd w:val="0"/>
        <w:ind w:left="567" w:hanging="567"/>
        <w:textAlignment w:val="baseline"/>
        <w:rPr>
          <w:b/>
          <w:color w:val="0000FF"/>
          <w:u w:val="single"/>
          <w:lang w:val="sl-SI"/>
        </w:rPr>
      </w:pPr>
      <w:r w:rsidRPr="0084110F">
        <w:rPr>
          <w:rStyle w:val="Hyperlink"/>
          <w:b/>
          <w:i/>
          <w:sz w:val="28"/>
          <w:lang w:val="sl-SI"/>
        </w:rPr>
        <w:lastRenderedPageBreak/>
        <w:t>Načini spopadanja z izgubo kupne moči in tveganjem povečanja neenakosti, izključenosti in marginalizacije</w:t>
      </w:r>
    </w:p>
    <w:p w:rsidRPr="009F0FBD" w:rsidR="00AC607C" w:rsidP="00D04355" w:rsidRDefault="00AC607C" w14:paraId="4D10B4D5" w14:textId="14F62ACB">
      <w:pPr>
        <w:tabs>
          <w:tab w:val="center" w:pos="284"/>
        </w:tabs>
        <w:overflowPunct w:val="0"/>
        <w:autoSpaceDE w:val="0"/>
        <w:autoSpaceDN w:val="0"/>
        <w:adjustRightInd w:val="0"/>
        <w:ind w:left="567" w:hanging="567"/>
        <w:textAlignment w:val="baseline"/>
        <w:rPr>
          <w:lang w:val="sl-SI"/>
        </w:rPr>
      </w:pPr>
    </w:p>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946"/>
      </w:tblGrid>
      <w:tr w:rsidRPr="0084110F" w:rsidR="00AC607C" w:rsidTr="002775CC" w14:paraId="560CD6B1" w14:textId="77777777">
        <w:tc>
          <w:tcPr>
            <w:tcW w:w="2268" w:type="dxa"/>
          </w:tcPr>
          <w:p w:rsidRPr="009F0FBD" w:rsidR="00AC607C" w:rsidP="002775CC" w:rsidRDefault="00AC607C" w14:paraId="03C90E4A" w14:textId="77777777">
            <w:pPr>
              <w:tabs>
                <w:tab w:val="center" w:pos="284"/>
              </w:tabs>
              <w:ind w:left="567" w:hanging="567"/>
              <w:rPr>
                <w:b/>
                <w:lang w:val="sl-SI"/>
              </w:rPr>
            </w:pPr>
            <w:r w:rsidRPr="009F0FBD">
              <w:rPr>
                <w:b/>
                <w:lang w:val="sl-SI"/>
              </w:rPr>
              <w:t>Poročevalka</w:t>
            </w:r>
          </w:p>
          <w:p w:rsidRPr="009F0FBD" w:rsidR="00AC607C" w:rsidP="002775CC" w:rsidRDefault="00AC607C" w14:paraId="5335CED3" w14:textId="77777777">
            <w:pPr>
              <w:tabs>
                <w:tab w:val="center" w:pos="284"/>
              </w:tabs>
              <w:ind w:left="567" w:hanging="567"/>
              <w:rPr>
                <w:b/>
                <w:lang w:val="sl-SI"/>
              </w:rPr>
            </w:pPr>
          </w:p>
        </w:tc>
        <w:tc>
          <w:tcPr>
            <w:tcW w:w="6946" w:type="dxa"/>
          </w:tcPr>
          <w:p w:rsidRPr="009F0FBD" w:rsidR="00AC607C" w:rsidP="002775CC" w:rsidRDefault="00AC607C" w14:paraId="524C595B" w14:textId="77777777">
            <w:pPr>
              <w:ind w:left="567" w:hanging="567"/>
              <w:rPr>
                <w:lang w:val="sl-SI"/>
              </w:rPr>
            </w:pPr>
            <w:r w:rsidRPr="009F0FBD">
              <w:rPr>
                <w:lang w:val="sl-SI"/>
              </w:rPr>
              <w:t>María del Carmen BARRERA CHAMORRO (skupina delojemalcev – ES)</w:t>
            </w:r>
          </w:p>
        </w:tc>
      </w:tr>
      <w:tr w:rsidRPr="009F0FBD" w:rsidR="00AC607C" w:rsidTr="002775CC" w14:paraId="240F1212" w14:textId="77777777">
        <w:tc>
          <w:tcPr>
            <w:tcW w:w="2268" w:type="dxa"/>
          </w:tcPr>
          <w:p w:rsidRPr="009F0FBD" w:rsidR="00AC607C" w:rsidP="002775CC" w:rsidRDefault="00AC607C" w14:paraId="45952DF3" w14:textId="77777777">
            <w:pPr>
              <w:tabs>
                <w:tab w:val="center" w:pos="284"/>
              </w:tabs>
              <w:ind w:left="567" w:hanging="567"/>
              <w:rPr>
                <w:b/>
                <w:lang w:val="sl-SI"/>
              </w:rPr>
            </w:pPr>
            <w:r w:rsidRPr="009F0FBD">
              <w:rPr>
                <w:b/>
                <w:lang w:val="sl-SI"/>
              </w:rPr>
              <w:t>Referenčni dokument</w:t>
            </w:r>
          </w:p>
        </w:tc>
        <w:tc>
          <w:tcPr>
            <w:tcW w:w="6946" w:type="dxa"/>
          </w:tcPr>
          <w:p w:rsidRPr="009F0FBD" w:rsidR="00AC607C" w:rsidP="002775CC" w:rsidRDefault="00AC607C" w14:paraId="0710A177" w14:textId="3245561B">
            <w:pPr>
              <w:tabs>
                <w:tab w:val="center" w:pos="284"/>
              </w:tabs>
              <w:ind w:left="567" w:hanging="567"/>
              <w:rPr>
                <w:lang w:val="sl-SI"/>
              </w:rPr>
            </w:pPr>
            <w:r w:rsidRPr="009F0FBD">
              <w:rPr>
                <w:lang w:val="sl-SI"/>
              </w:rPr>
              <w:t>mnenje na lastno pobudo</w:t>
            </w:r>
          </w:p>
        </w:tc>
      </w:tr>
      <w:tr w:rsidRPr="009F0FBD" w:rsidR="00AC607C" w:rsidTr="002775CC" w14:paraId="174C71BF" w14:textId="77777777">
        <w:tc>
          <w:tcPr>
            <w:tcW w:w="2268" w:type="dxa"/>
          </w:tcPr>
          <w:p w:rsidRPr="009F0FBD" w:rsidR="00AC607C" w:rsidP="002775CC" w:rsidRDefault="00AC607C" w14:paraId="71350D16" w14:textId="77777777">
            <w:pPr>
              <w:tabs>
                <w:tab w:val="center" w:pos="284"/>
              </w:tabs>
              <w:ind w:left="266" w:hanging="266"/>
              <w:rPr>
                <w:b/>
                <w:lang w:val="sl-SI"/>
              </w:rPr>
            </w:pPr>
          </w:p>
        </w:tc>
        <w:tc>
          <w:tcPr>
            <w:tcW w:w="6946" w:type="dxa"/>
          </w:tcPr>
          <w:p w:rsidRPr="009F0FBD" w:rsidR="00AC607C" w:rsidP="002775CC" w:rsidRDefault="00AC607C" w14:paraId="1B43E8F3" w14:textId="70CFF080">
            <w:pPr>
              <w:tabs>
                <w:tab w:val="center" w:pos="284"/>
              </w:tabs>
              <w:ind w:left="266" w:hanging="266"/>
              <w:rPr>
                <w:lang w:val="sl-SI"/>
              </w:rPr>
            </w:pPr>
            <w:r w:rsidRPr="009F0FBD">
              <w:rPr>
                <w:lang w:val="sl-SI"/>
              </w:rPr>
              <w:t>EESC-2025-00015-00-00-AC</w:t>
            </w:r>
          </w:p>
        </w:tc>
      </w:tr>
    </w:tbl>
    <w:p w:rsidRPr="009F0FBD" w:rsidR="00AC607C" w:rsidP="00D04355" w:rsidRDefault="00AC607C" w14:paraId="6D9A5DF3" w14:textId="77777777">
      <w:pPr>
        <w:tabs>
          <w:tab w:val="center" w:pos="284"/>
        </w:tabs>
        <w:overflowPunct w:val="0"/>
        <w:autoSpaceDE w:val="0"/>
        <w:autoSpaceDN w:val="0"/>
        <w:adjustRightInd w:val="0"/>
        <w:ind w:left="567" w:hanging="567"/>
        <w:textAlignment w:val="baseline"/>
        <w:rPr>
          <w:lang w:val="sl-SI"/>
        </w:rPr>
      </w:pPr>
    </w:p>
    <w:p w:rsidRPr="009F0FBD" w:rsidR="001357A9" w:rsidP="001357A9" w:rsidRDefault="001357A9" w14:paraId="6E02E6B7" w14:textId="77777777">
      <w:pPr>
        <w:keepNext/>
        <w:keepLines/>
        <w:tabs>
          <w:tab w:val="center" w:pos="284"/>
        </w:tabs>
        <w:ind w:left="266" w:hanging="266"/>
        <w:rPr>
          <w:b/>
          <w:lang w:val="sl-SI"/>
        </w:rPr>
      </w:pPr>
      <w:r w:rsidRPr="009F0FBD">
        <w:rPr>
          <w:b/>
          <w:lang w:val="sl-SI"/>
        </w:rPr>
        <w:t>Glavne točke</w:t>
      </w:r>
    </w:p>
    <w:p w:rsidRPr="009F0FBD" w:rsidR="001357A9" w:rsidP="001357A9" w:rsidRDefault="001357A9" w14:paraId="0059FB96" w14:textId="77777777">
      <w:pPr>
        <w:keepNext/>
        <w:keepLines/>
        <w:tabs>
          <w:tab w:val="center" w:pos="284"/>
        </w:tabs>
        <w:ind w:left="266" w:hanging="266"/>
        <w:rPr>
          <w:b/>
          <w:lang w:val="sl-SI"/>
        </w:rPr>
      </w:pPr>
    </w:p>
    <w:p w:rsidRPr="009F0FBD" w:rsidR="001357A9" w:rsidP="001357A9" w:rsidRDefault="001357A9" w14:paraId="17155BC6" w14:textId="77777777">
      <w:pPr>
        <w:pStyle w:val="NormalWeb"/>
        <w:spacing w:before="0" w:beforeAutospacing="0" w:after="0" w:afterAutospacing="0" w:line="288" w:lineRule="auto"/>
        <w:rPr>
          <w:rStyle w:val="Strong"/>
          <w:sz w:val="22"/>
          <w:szCs w:val="22"/>
        </w:rPr>
      </w:pPr>
      <w:r w:rsidRPr="009F0FBD">
        <w:rPr>
          <w:rStyle w:val="Strong"/>
          <w:sz w:val="22"/>
          <w:szCs w:val="22"/>
        </w:rPr>
        <w:t>EESO:</w:t>
      </w:r>
    </w:p>
    <w:p w:rsidRPr="009F0FBD" w:rsidR="001357A9" w:rsidP="001357A9" w:rsidRDefault="001357A9" w14:paraId="296E69D7" w14:textId="77777777">
      <w:pPr>
        <w:pStyle w:val="NormalWeb"/>
        <w:spacing w:before="0" w:beforeAutospacing="0" w:after="0" w:afterAutospacing="0" w:line="288" w:lineRule="auto"/>
        <w:rPr>
          <w:sz w:val="22"/>
          <w:szCs w:val="22"/>
        </w:rPr>
      </w:pPr>
    </w:p>
    <w:p w:rsidRPr="009F0FBD" w:rsidR="001357A9" w:rsidP="004F5634" w:rsidRDefault="001357A9" w14:paraId="0BDF13B7" w14:textId="77777777">
      <w:pPr>
        <w:pStyle w:val="NormalWeb"/>
        <w:numPr>
          <w:ilvl w:val="0"/>
          <w:numId w:val="38"/>
        </w:numPr>
        <w:tabs>
          <w:tab w:val="clear" w:pos="720"/>
          <w:tab w:val="num" w:pos="426"/>
        </w:tabs>
        <w:spacing w:before="0" w:beforeAutospacing="0" w:after="0" w:afterAutospacing="0" w:line="288" w:lineRule="auto"/>
        <w:ind w:left="284" w:hanging="284"/>
        <w:jc w:val="both"/>
        <w:rPr>
          <w:sz w:val="22"/>
          <w:szCs w:val="22"/>
        </w:rPr>
      </w:pPr>
      <w:r w:rsidRPr="009F0FBD">
        <w:rPr>
          <w:sz w:val="22"/>
          <w:szCs w:val="22"/>
        </w:rPr>
        <w:t>meni, da so naložbe v ljudi in gospodarstvo, pravična obdavčitev, kakovostne in cenovno dostopne javne storitve ter ciljno usmerjena podpora za najranljivejše osebe, skupaj s kratko- in dolgoročno industrijsko politiko in prizadevanji za večjo konkurenčnost, bistvenega pomena za ublažitev krize zaradi visokih življenjskih stroškov in za zaščito pred prihodnjimi pretresi;</w:t>
      </w:r>
    </w:p>
    <w:p w:rsidRPr="009F0FBD" w:rsidR="001357A9" w:rsidP="004F5634" w:rsidRDefault="001357A9" w14:paraId="0803F86D" w14:textId="77777777">
      <w:pPr>
        <w:pStyle w:val="NormalWeb"/>
        <w:numPr>
          <w:ilvl w:val="0"/>
          <w:numId w:val="38"/>
        </w:numPr>
        <w:tabs>
          <w:tab w:val="clear" w:pos="720"/>
          <w:tab w:val="num" w:pos="426"/>
        </w:tabs>
        <w:spacing w:before="0" w:beforeAutospacing="0" w:after="0" w:afterAutospacing="0" w:line="288" w:lineRule="auto"/>
        <w:ind w:left="284" w:hanging="284"/>
        <w:jc w:val="both"/>
        <w:rPr>
          <w:sz w:val="22"/>
          <w:szCs w:val="22"/>
        </w:rPr>
      </w:pPr>
      <w:r w:rsidRPr="009F0FBD">
        <w:rPr>
          <w:sz w:val="22"/>
          <w:szCs w:val="22"/>
        </w:rPr>
        <w:t>priporoča več socialnega dialoga, kolektivnih pogajanj in civilnega dialoga za reševanje izzivov na trgu dela ter izboljšanje plač in socialne zaščite delavcev glede na razvoj produktivnosti;</w:t>
      </w:r>
    </w:p>
    <w:p w:rsidRPr="009F0FBD" w:rsidR="001357A9" w:rsidP="004F5634" w:rsidRDefault="001357A9" w14:paraId="1B5E0FC4" w14:textId="77777777">
      <w:pPr>
        <w:pStyle w:val="NormalWeb"/>
        <w:numPr>
          <w:ilvl w:val="0"/>
          <w:numId w:val="38"/>
        </w:numPr>
        <w:tabs>
          <w:tab w:val="clear" w:pos="720"/>
          <w:tab w:val="num" w:pos="426"/>
        </w:tabs>
        <w:spacing w:before="0" w:beforeAutospacing="0" w:after="0" w:afterAutospacing="0" w:line="288" w:lineRule="auto"/>
        <w:ind w:left="284" w:hanging="284"/>
        <w:jc w:val="both"/>
        <w:rPr>
          <w:sz w:val="22"/>
          <w:szCs w:val="22"/>
        </w:rPr>
      </w:pPr>
      <w:r w:rsidRPr="009F0FBD">
        <w:rPr>
          <w:sz w:val="22"/>
          <w:szCs w:val="22"/>
        </w:rPr>
        <w:t>priznava pomen zvišanja plač in minimalne plače ter poudarja pozitiven učinek direktive o ustreznih minimalnih plačah na rast plač;</w:t>
      </w:r>
    </w:p>
    <w:p w:rsidRPr="009F0FBD" w:rsidR="001357A9" w:rsidP="004F5634" w:rsidRDefault="001357A9" w14:paraId="028FA574" w14:textId="77777777">
      <w:pPr>
        <w:pStyle w:val="NormalWeb"/>
        <w:numPr>
          <w:ilvl w:val="0"/>
          <w:numId w:val="38"/>
        </w:numPr>
        <w:tabs>
          <w:tab w:val="clear" w:pos="720"/>
          <w:tab w:val="num" w:pos="426"/>
        </w:tabs>
        <w:spacing w:before="0" w:beforeAutospacing="0" w:after="0" w:afterAutospacing="0" w:line="288" w:lineRule="auto"/>
        <w:ind w:left="284" w:hanging="284"/>
        <w:jc w:val="both"/>
        <w:rPr>
          <w:sz w:val="22"/>
          <w:szCs w:val="22"/>
        </w:rPr>
      </w:pPr>
      <w:r w:rsidRPr="009F0FBD">
        <w:rPr>
          <w:sz w:val="22"/>
          <w:szCs w:val="22"/>
        </w:rPr>
        <w:t>meni, da mora EU okrepiti svoje zmogljivosti za preprečevanje prihodnjih kriz in odzivanje nanje, tudi s sprejetjem stalnega finančnega instrumenta za stabilizacijo izdatkov držav članic zaradi zunanjih ekonomskih pretresov. Priporoča tudi sprejetje ustreznih cenovnih politik, kot je zgornja meja cen energije, skupaj z izvajanjem cenovno dostopnih stanovanjskih politik v državah članicah in celovito evropsko strategijo za boj proti brezdomstvu;</w:t>
      </w:r>
    </w:p>
    <w:p w:rsidRPr="009F0FBD" w:rsidR="001357A9" w:rsidP="004F5634" w:rsidRDefault="001357A9" w14:paraId="5BCAFF0C" w14:textId="77777777">
      <w:pPr>
        <w:pStyle w:val="NormalWeb"/>
        <w:numPr>
          <w:ilvl w:val="0"/>
          <w:numId w:val="38"/>
        </w:numPr>
        <w:tabs>
          <w:tab w:val="clear" w:pos="720"/>
          <w:tab w:val="num" w:pos="426"/>
        </w:tabs>
        <w:spacing w:before="0" w:beforeAutospacing="0" w:after="0" w:afterAutospacing="0" w:line="288" w:lineRule="auto"/>
        <w:ind w:left="284" w:hanging="284"/>
        <w:jc w:val="both"/>
        <w:rPr>
          <w:sz w:val="22"/>
          <w:szCs w:val="22"/>
        </w:rPr>
      </w:pPr>
      <w:r w:rsidRPr="009F0FBD">
        <w:rPr>
          <w:sz w:val="22"/>
          <w:szCs w:val="22"/>
        </w:rPr>
        <w:t>poudarja vlogo izobraževanja kot močnega preventivnega orodja proti izključenosti, marginalizaciji in neenakosti ter poziva EU in države članice, naj povečajo naložbe na tem področju;</w:t>
      </w:r>
    </w:p>
    <w:p w:rsidRPr="009F0FBD" w:rsidR="001357A9" w:rsidP="004F5634" w:rsidRDefault="001357A9" w14:paraId="15A75A23" w14:textId="77777777">
      <w:pPr>
        <w:pStyle w:val="NormalWeb"/>
        <w:numPr>
          <w:ilvl w:val="0"/>
          <w:numId w:val="38"/>
        </w:numPr>
        <w:tabs>
          <w:tab w:val="clear" w:pos="720"/>
          <w:tab w:val="num" w:pos="426"/>
        </w:tabs>
        <w:spacing w:before="0" w:beforeAutospacing="0" w:after="0" w:afterAutospacing="0" w:line="288" w:lineRule="auto"/>
        <w:ind w:left="284" w:hanging="284"/>
        <w:jc w:val="both"/>
        <w:rPr>
          <w:sz w:val="22"/>
          <w:szCs w:val="22"/>
        </w:rPr>
      </w:pPr>
      <w:r w:rsidRPr="009F0FBD">
        <w:rPr>
          <w:sz w:val="22"/>
          <w:szCs w:val="22"/>
        </w:rPr>
        <w:t>meni, da bi bilo treba osnovne in socialne storitve, tudi tiste, ki jih zagotavljajo subjekti socialnega gospodarstva, razviti tako, da se odpravijo ovire za dostop;</w:t>
      </w:r>
    </w:p>
    <w:p w:rsidRPr="009F0FBD" w:rsidR="001357A9" w:rsidP="004F5634" w:rsidRDefault="001357A9" w14:paraId="5039B4F9" w14:textId="77777777">
      <w:pPr>
        <w:pStyle w:val="NormalWeb"/>
        <w:numPr>
          <w:ilvl w:val="0"/>
          <w:numId w:val="38"/>
        </w:numPr>
        <w:tabs>
          <w:tab w:val="clear" w:pos="720"/>
          <w:tab w:val="num" w:pos="426"/>
        </w:tabs>
        <w:spacing w:before="0" w:beforeAutospacing="0" w:after="0" w:afterAutospacing="0" w:line="288" w:lineRule="auto"/>
        <w:ind w:left="284" w:hanging="284"/>
        <w:jc w:val="both"/>
        <w:rPr>
          <w:sz w:val="22"/>
          <w:szCs w:val="22"/>
        </w:rPr>
      </w:pPr>
      <w:r w:rsidRPr="009F0FBD">
        <w:rPr>
          <w:sz w:val="22"/>
          <w:szCs w:val="22"/>
        </w:rPr>
        <w:t>poudarja, da je treba okrepiti uporabo ocen porazdelitvenega učinka v okviru evropskega semestra in njegovega okvira za socialno konvergenco, da politike na nobenem področju ne bi povečale revščine ali neenakosti;</w:t>
      </w:r>
    </w:p>
    <w:p w:rsidRPr="009F0FBD" w:rsidR="001357A9" w:rsidP="004F5634" w:rsidRDefault="001357A9" w14:paraId="50E0A081" w14:textId="77777777">
      <w:pPr>
        <w:pStyle w:val="NormalWeb"/>
        <w:numPr>
          <w:ilvl w:val="0"/>
          <w:numId w:val="38"/>
        </w:numPr>
        <w:tabs>
          <w:tab w:val="clear" w:pos="720"/>
          <w:tab w:val="num" w:pos="426"/>
        </w:tabs>
        <w:spacing w:before="0" w:beforeAutospacing="0" w:after="0" w:afterAutospacing="0" w:line="288" w:lineRule="auto"/>
        <w:ind w:left="284" w:hanging="284"/>
        <w:jc w:val="both"/>
        <w:rPr>
          <w:sz w:val="22"/>
          <w:szCs w:val="22"/>
        </w:rPr>
      </w:pPr>
      <w:r w:rsidRPr="009F0FBD">
        <w:rPr>
          <w:sz w:val="22"/>
          <w:szCs w:val="22"/>
        </w:rPr>
        <w:t>poziva EU, naj spodbuja države članice k ohranitvi ustrezne javne porabe za sisteme socialne varnosti, izobraževanje, usposabljanje, zdravstveno varstvo in oskrbo v skupnosti.</w:t>
      </w:r>
    </w:p>
    <w:p w:rsidRPr="009F0FBD" w:rsidR="001357A9" w:rsidP="001357A9" w:rsidRDefault="001357A9" w14:paraId="547A4BDB" w14:textId="77777777">
      <w:pPr>
        <w:pStyle w:val="NormalWeb"/>
        <w:spacing w:before="0" w:beforeAutospacing="0" w:after="0" w:afterAutospacing="0" w:line="288" w:lineRule="auto"/>
        <w:ind w:left="720"/>
        <w:jc w:val="both"/>
        <w:rPr>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3435"/>
      </w:tblGrid>
      <w:tr w:rsidRPr="009F0FBD" w:rsidR="001357A9" w:rsidTr="002775CC" w14:paraId="5B157D7C" w14:textId="77777777">
        <w:tc>
          <w:tcPr>
            <w:tcW w:w="2268" w:type="dxa"/>
          </w:tcPr>
          <w:p w:rsidRPr="009F0FBD" w:rsidR="001357A9" w:rsidP="002775CC" w:rsidRDefault="001357A9" w14:paraId="72BCE5F9" w14:textId="77777777">
            <w:pPr>
              <w:rPr>
                <w:i/>
                <w:lang w:val="sl-SI"/>
              </w:rPr>
            </w:pPr>
            <w:r w:rsidRPr="009F0FBD">
              <w:rPr>
                <w:b/>
                <w:i/>
                <w:lang w:val="sl-SI"/>
              </w:rPr>
              <w:t>Kontaktna oseba</w:t>
            </w:r>
          </w:p>
        </w:tc>
        <w:tc>
          <w:tcPr>
            <w:tcW w:w="3435" w:type="dxa"/>
          </w:tcPr>
          <w:p w:rsidRPr="009F0FBD" w:rsidR="001357A9" w:rsidP="002775CC" w:rsidRDefault="001357A9" w14:paraId="53CF845B" w14:textId="77777777">
            <w:pPr>
              <w:ind w:hanging="12"/>
              <w:rPr>
                <w:i/>
                <w:lang w:val="sl-SI"/>
              </w:rPr>
            </w:pPr>
            <w:r w:rsidRPr="009F0FBD">
              <w:rPr>
                <w:i/>
                <w:lang w:val="sl-SI"/>
              </w:rPr>
              <w:t>Valeria ATZORI</w:t>
            </w:r>
          </w:p>
        </w:tc>
      </w:tr>
      <w:tr w:rsidRPr="009F0FBD" w:rsidR="001357A9" w:rsidTr="002775CC" w14:paraId="5D72C228" w14:textId="77777777">
        <w:tc>
          <w:tcPr>
            <w:tcW w:w="2268" w:type="dxa"/>
          </w:tcPr>
          <w:p w:rsidRPr="009F0FBD" w:rsidR="001357A9" w:rsidP="002775CC" w:rsidRDefault="001357A9" w14:paraId="627BE37F" w14:textId="77777777">
            <w:pPr>
              <w:rPr>
                <w:i/>
                <w:lang w:val="sl-SI"/>
              </w:rPr>
            </w:pPr>
            <w:r w:rsidRPr="009F0FBD">
              <w:rPr>
                <w:i/>
                <w:lang w:val="sl-SI"/>
              </w:rPr>
              <w:t>Telefon</w:t>
            </w:r>
          </w:p>
        </w:tc>
        <w:tc>
          <w:tcPr>
            <w:tcW w:w="3435" w:type="dxa"/>
          </w:tcPr>
          <w:p w:rsidRPr="009F0FBD" w:rsidR="001357A9" w:rsidP="002775CC" w:rsidRDefault="001357A9" w14:paraId="45D37D17" w14:textId="77777777">
            <w:pPr>
              <w:rPr>
                <w:i/>
                <w:lang w:val="sl-SI"/>
              </w:rPr>
            </w:pPr>
            <w:r w:rsidRPr="009F0FBD">
              <w:rPr>
                <w:i/>
                <w:lang w:val="sl-SI"/>
              </w:rPr>
              <w:t>+32 25468</w:t>
            </w:r>
            <w:r w:rsidRPr="009F0FBD">
              <w:rPr>
                <w:lang w:val="sl-SI"/>
              </w:rPr>
              <w:t>77</w:t>
            </w:r>
            <w:r w:rsidRPr="009F0FBD">
              <w:rPr>
                <w:i/>
                <w:lang w:val="sl-SI"/>
              </w:rPr>
              <w:t>4</w:t>
            </w:r>
          </w:p>
        </w:tc>
      </w:tr>
      <w:tr w:rsidRPr="0084110F" w:rsidR="001357A9" w:rsidTr="002775CC" w14:paraId="31C208A8" w14:textId="77777777">
        <w:tc>
          <w:tcPr>
            <w:tcW w:w="2268" w:type="dxa"/>
          </w:tcPr>
          <w:p w:rsidRPr="009F0FBD" w:rsidR="001357A9" w:rsidP="002775CC" w:rsidRDefault="001357A9" w14:paraId="168F5A77" w14:textId="77777777">
            <w:pPr>
              <w:rPr>
                <w:i/>
                <w:lang w:val="sl-SI"/>
              </w:rPr>
            </w:pPr>
            <w:r w:rsidRPr="009F0FBD">
              <w:rPr>
                <w:i/>
                <w:lang w:val="sl-SI"/>
              </w:rPr>
              <w:t>E-naslov</w:t>
            </w:r>
          </w:p>
        </w:tc>
        <w:tc>
          <w:tcPr>
            <w:tcW w:w="3435" w:type="dxa"/>
          </w:tcPr>
          <w:p w:rsidRPr="009F0FBD" w:rsidR="001357A9" w:rsidP="002775CC" w:rsidRDefault="00E47EFC" w14:paraId="148E4A38" w14:textId="77777777">
            <w:pPr>
              <w:rPr>
                <w:i/>
                <w:lang w:val="sl-SI"/>
              </w:rPr>
            </w:pPr>
            <w:hyperlink w:history="1" r:id="rId32">
              <w:r w:rsidRPr="009F0FBD" w:rsidR="001357A9">
                <w:rPr>
                  <w:rStyle w:val="Hyperlink"/>
                  <w:i/>
                  <w:lang w:val="sl-SI"/>
                </w:rPr>
                <w:t>Valeria.Atzori@eesc.europa.eu</w:t>
              </w:r>
            </w:hyperlink>
          </w:p>
        </w:tc>
      </w:tr>
    </w:tbl>
    <w:p w:rsidRPr="009F0FBD" w:rsidR="001357A9" w:rsidP="001357A9" w:rsidRDefault="001357A9" w14:paraId="7BD2E55A" w14:textId="7A31FC89">
      <w:pPr>
        <w:jc w:val="center"/>
        <w:rPr>
          <w:lang w:val="sl-SI"/>
        </w:rPr>
      </w:pPr>
    </w:p>
    <w:p w:rsidRPr="009F0FBD" w:rsidR="00E11CA7" w:rsidRDefault="00E11CA7" w14:paraId="0E2F1265" w14:textId="2EA40197">
      <w:pPr>
        <w:spacing w:after="160" w:line="259" w:lineRule="auto"/>
        <w:jc w:val="left"/>
        <w:rPr>
          <w:lang w:val="sl-SI"/>
        </w:rPr>
      </w:pPr>
      <w:r w:rsidRPr="009F0FBD">
        <w:rPr>
          <w:lang w:val="sl-SI"/>
        </w:rPr>
        <w:br w:type="page"/>
      </w:r>
    </w:p>
    <w:p w:rsidRPr="009F0FBD" w:rsidR="009A3B12" w:rsidP="00611089" w:rsidRDefault="00E47EFC" w14:paraId="140E663D" w14:textId="4C9E3D94">
      <w:pPr>
        <w:widowControl w:val="0"/>
        <w:numPr>
          <w:ilvl w:val="0"/>
          <w:numId w:val="4"/>
        </w:numPr>
        <w:overflowPunct w:val="0"/>
        <w:autoSpaceDE w:val="0"/>
        <w:autoSpaceDN w:val="0"/>
        <w:adjustRightInd w:val="0"/>
        <w:ind w:left="284" w:hanging="426"/>
        <w:textAlignment w:val="baseline"/>
        <w:rPr>
          <w:b/>
          <w:lang w:val="sl-SI"/>
        </w:rPr>
      </w:pPr>
      <w:hyperlink w:history="1" r:id="rId33">
        <w:r w:rsidRPr="009F0FBD" w:rsidR="00C856F6">
          <w:rPr>
            <w:rStyle w:val="Hyperlink"/>
            <w:b/>
            <w:i/>
            <w:sz w:val="28"/>
            <w:lang w:val="sl-SI"/>
          </w:rPr>
          <w:t xml:space="preserve">Podpora za delavce, katerih delovno mesto bo neizbežno postalo </w:t>
        </w:r>
        <w:r w:rsidRPr="0084110F" w:rsidR="0084110F">
          <w:rPr>
            <w:rStyle w:val="Hyperlink"/>
            <w:b/>
            <w:i/>
            <w:sz w:val="28"/>
            <w:lang w:val="sl-SI"/>
          </w:rPr>
          <w:t>presežno v podjetjih v postopku prestrukturiranja</w:t>
        </w:r>
      </w:hyperlink>
      <w:hyperlink w:history="1" r:id="rId34"/>
    </w:p>
    <w:p w:rsidRPr="009F0FBD" w:rsidR="004D48C9" w:rsidP="009A3B12" w:rsidRDefault="004D48C9" w14:paraId="158D03DC" w14:textId="5DD9C2D8">
      <w:pPr>
        <w:tabs>
          <w:tab w:val="center" w:pos="284"/>
        </w:tabs>
        <w:overflowPunct w:val="0"/>
        <w:autoSpaceDE w:val="0"/>
        <w:autoSpaceDN w:val="0"/>
        <w:adjustRightInd w:val="0"/>
        <w:ind w:left="266" w:hanging="266"/>
        <w:textAlignment w:val="baseline"/>
        <w:rPr>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43"/>
        <w:gridCol w:w="5988"/>
      </w:tblGrid>
      <w:tr w:rsidRPr="009F0FBD" w:rsidR="004D48C9" w:rsidTr="002775CC" w14:paraId="73AA9997" w14:textId="77777777">
        <w:tc>
          <w:tcPr>
            <w:tcW w:w="2943" w:type="dxa"/>
          </w:tcPr>
          <w:p w:rsidRPr="009F0FBD" w:rsidR="004D48C9" w:rsidP="002775CC" w:rsidRDefault="004D48C9" w14:paraId="1FD2D27D" w14:textId="77777777">
            <w:pPr>
              <w:rPr>
                <w:b/>
                <w:lang w:val="sl-SI"/>
              </w:rPr>
            </w:pPr>
            <w:r w:rsidRPr="009F0FBD">
              <w:rPr>
                <w:b/>
                <w:lang w:val="sl-SI"/>
              </w:rPr>
              <w:t>Glavna poročevalka:</w:t>
            </w:r>
          </w:p>
        </w:tc>
        <w:tc>
          <w:tcPr>
            <w:tcW w:w="5988" w:type="dxa"/>
          </w:tcPr>
          <w:p w:rsidRPr="009F0FBD" w:rsidR="004D48C9" w:rsidP="002775CC" w:rsidRDefault="004D48C9" w14:paraId="75E1D4B8" w14:textId="6DAD3AB8">
            <w:pPr>
              <w:tabs>
                <w:tab w:val="center" w:pos="284"/>
              </w:tabs>
              <w:ind w:left="266" w:right="-529" w:hanging="266"/>
              <w:rPr>
                <w:lang w:val="sl-SI"/>
              </w:rPr>
            </w:pPr>
            <w:r w:rsidRPr="009F0FBD">
              <w:rPr>
                <w:lang w:val="sl-SI"/>
              </w:rPr>
              <w:t>Tatjana BABRAUSKIENĖ (</w:t>
            </w:r>
            <w:r w:rsidR="0084110F">
              <w:rPr>
                <w:lang w:val="sl-SI"/>
              </w:rPr>
              <w:t xml:space="preserve">skupina </w:t>
            </w:r>
            <w:r w:rsidRPr="009F0FBD">
              <w:rPr>
                <w:lang w:val="sl-SI"/>
              </w:rPr>
              <w:t>delojemalc</w:t>
            </w:r>
            <w:r w:rsidR="0084110F">
              <w:rPr>
                <w:lang w:val="sl-SI"/>
              </w:rPr>
              <w:t>ev</w:t>
            </w:r>
            <w:r w:rsidRPr="009F0FBD">
              <w:rPr>
                <w:lang w:val="sl-SI"/>
              </w:rPr>
              <w:t xml:space="preserve"> – LT)</w:t>
            </w:r>
          </w:p>
        </w:tc>
      </w:tr>
      <w:tr w:rsidRPr="009F0FBD" w:rsidR="004D48C9" w:rsidTr="002775CC" w14:paraId="4BD37F90" w14:textId="77777777">
        <w:tc>
          <w:tcPr>
            <w:tcW w:w="2943" w:type="dxa"/>
          </w:tcPr>
          <w:p w:rsidRPr="009F0FBD" w:rsidR="004D48C9" w:rsidP="002775CC" w:rsidRDefault="004D48C9" w14:paraId="72D334B5" w14:textId="77777777">
            <w:pPr>
              <w:tabs>
                <w:tab w:val="center" w:pos="284"/>
              </w:tabs>
              <w:ind w:left="266" w:hanging="266"/>
              <w:rPr>
                <w:b/>
                <w:lang w:val="sl-SI"/>
              </w:rPr>
            </w:pPr>
          </w:p>
        </w:tc>
        <w:tc>
          <w:tcPr>
            <w:tcW w:w="5988" w:type="dxa"/>
          </w:tcPr>
          <w:p w:rsidRPr="009F0FBD" w:rsidR="004D48C9" w:rsidP="002775CC" w:rsidRDefault="004D48C9" w14:paraId="2B99F187" w14:textId="77777777">
            <w:pPr>
              <w:tabs>
                <w:tab w:val="center" w:pos="284"/>
              </w:tabs>
              <w:ind w:left="266" w:hanging="266"/>
              <w:rPr>
                <w:lang w:val="sl-SI"/>
              </w:rPr>
            </w:pPr>
          </w:p>
        </w:tc>
      </w:tr>
      <w:tr w:rsidRPr="0084110F" w:rsidR="004D48C9" w:rsidTr="002775CC" w14:paraId="46867826" w14:textId="77777777">
        <w:tc>
          <w:tcPr>
            <w:tcW w:w="2943" w:type="dxa"/>
          </w:tcPr>
          <w:p w:rsidRPr="009F0FBD" w:rsidR="004D48C9" w:rsidP="002775CC" w:rsidRDefault="004D48C9" w14:paraId="0BD1A802" w14:textId="77777777">
            <w:pPr>
              <w:tabs>
                <w:tab w:val="center" w:pos="284"/>
              </w:tabs>
              <w:ind w:left="266" w:hanging="266"/>
              <w:rPr>
                <w:b/>
                <w:lang w:val="sl-SI"/>
              </w:rPr>
            </w:pPr>
            <w:r w:rsidRPr="009F0FBD">
              <w:rPr>
                <w:b/>
                <w:lang w:val="sl-SI"/>
              </w:rPr>
              <w:t xml:space="preserve">Referenčni dokument: </w:t>
            </w:r>
          </w:p>
        </w:tc>
        <w:tc>
          <w:tcPr>
            <w:tcW w:w="5988" w:type="dxa"/>
          </w:tcPr>
          <w:p w:rsidRPr="009F0FBD" w:rsidR="004D48C9" w:rsidP="002775CC" w:rsidRDefault="004D48C9" w14:paraId="65CBD633" w14:textId="13CD76CF">
            <w:pPr>
              <w:tabs>
                <w:tab w:val="center" w:pos="284"/>
              </w:tabs>
              <w:ind w:left="266" w:hanging="266"/>
              <w:rPr>
                <w:lang w:val="sl-SI"/>
              </w:rPr>
            </w:pPr>
            <w:r w:rsidRPr="009F0FBD">
              <w:rPr>
                <w:lang w:val="sl-SI"/>
              </w:rPr>
              <w:t>mnenje na lastno pobudo</w:t>
            </w:r>
          </w:p>
          <w:p w:rsidRPr="009F0FBD" w:rsidR="004D48C9" w:rsidP="002775CC" w:rsidRDefault="004D48C9" w14:paraId="05270F66" w14:textId="00A219FE">
            <w:pPr>
              <w:tabs>
                <w:tab w:val="center" w:pos="284"/>
              </w:tabs>
              <w:ind w:left="266" w:hanging="266"/>
              <w:rPr>
                <w:lang w:val="sl-SI"/>
              </w:rPr>
            </w:pPr>
            <w:r w:rsidRPr="009F0FBD">
              <w:rPr>
                <w:lang w:val="sl-SI"/>
              </w:rPr>
              <w:t>EESC-2025-01654-00-00-AC</w:t>
            </w:r>
          </w:p>
        </w:tc>
      </w:tr>
    </w:tbl>
    <w:p w:rsidRPr="009F0FBD" w:rsidR="009A3B12" w:rsidP="009A3B12" w:rsidRDefault="009A3B12" w14:paraId="19D5007B" w14:textId="77777777">
      <w:pPr>
        <w:tabs>
          <w:tab w:val="center" w:pos="284"/>
        </w:tabs>
        <w:overflowPunct w:val="0"/>
        <w:autoSpaceDE w:val="0"/>
        <w:autoSpaceDN w:val="0"/>
        <w:adjustRightInd w:val="0"/>
        <w:ind w:left="266" w:hanging="266"/>
        <w:textAlignment w:val="baseline"/>
        <w:rPr>
          <w:lang w:val="sl-SI"/>
        </w:rPr>
      </w:pPr>
    </w:p>
    <w:p w:rsidRPr="009F0FBD" w:rsidR="00E3441F" w:rsidP="00E3441F" w:rsidRDefault="00E3441F" w14:paraId="783C45A4" w14:textId="77777777">
      <w:pPr>
        <w:keepNext/>
        <w:keepLines/>
        <w:tabs>
          <w:tab w:val="center" w:pos="284"/>
        </w:tabs>
        <w:ind w:left="266" w:hanging="266"/>
        <w:rPr>
          <w:b/>
          <w:lang w:val="sl-SI"/>
        </w:rPr>
      </w:pPr>
      <w:r w:rsidRPr="009F0FBD">
        <w:rPr>
          <w:b/>
          <w:lang w:val="sl-SI"/>
        </w:rPr>
        <w:t>Glavne točke</w:t>
      </w:r>
    </w:p>
    <w:p w:rsidRPr="009F0FBD" w:rsidR="00E3441F" w:rsidP="00E3441F" w:rsidRDefault="00E3441F" w14:paraId="3B48A17C" w14:textId="77777777">
      <w:pPr>
        <w:keepNext/>
        <w:keepLines/>
        <w:tabs>
          <w:tab w:val="center" w:pos="284"/>
        </w:tabs>
        <w:ind w:left="266" w:hanging="266"/>
        <w:rPr>
          <w:b/>
          <w:lang w:val="sl-SI"/>
        </w:rPr>
      </w:pPr>
    </w:p>
    <w:p w:rsidRPr="009F0FBD" w:rsidR="00E3441F" w:rsidP="00E3441F" w:rsidRDefault="00E3441F" w14:paraId="6C67E417" w14:textId="77777777">
      <w:pPr>
        <w:pStyle w:val="NormalWeb"/>
        <w:spacing w:before="0" w:beforeAutospacing="0" w:after="0" w:afterAutospacing="0" w:line="288" w:lineRule="auto"/>
        <w:rPr>
          <w:sz w:val="22"/>
        </w:rPr>
      </w:pPr>
      <w:r w:rsidRPr="009F0FBD">
        <w:rPr>
          <w:rStyle w:val="Strong"/>
          <w:sz w:val="22"/>
        </w:rPr>
        <w:t>EESO</w:t>
      </w:r>
      <w:r w:rsidRPr="009F0FBD">
        <w:rPr>
          <w:b/>
          <w:bCs/>
          <w:sz w:val="22"/>
        </w:rPr>
        <w:t>:</w:t>
      </w:r>
    </w:p>
    <w:p w:rsidRPr="009F0FBD" w:rsidR="00E3441F" w:rsidP="00E3441F" w:rsidRDefault="00E3441F" w14:paraId="68A64296" w14:textId="77777777">
      <w:pPr>
        <w:pStyle w:val="NormalWeb"/>
        <w:spacing w:before="0" w:beforeAutospacing="0" w:after="0" w:afterAutospacing="0" w:line="288" w:lineRule="auto"/>
        <w:rPr>
          <w:sz w:val="22"/>
          <w:szCs w:val="22"/>
        </w:rPr>
      </w:pPr>
    </w:p>
    <w:p w:rsidRPr="009F0FBD" w:rsidR="00E3441F" w:rsidP="004F5634" w:rsidRDefault="00E3441F" w14:paraId="4D5554A0" w14:textId="77777777">
      <w:pPr>
        <w:pStyle w:val="NormalWeb"/>
        <w:numPr>
          <w:ilvl w:val="0"/>
          <w:numId w:val="39"/>
        </w:numPr>
        <w:tabs>
          <w:tab w:val="clear" w:pos="720"/>
          <w:tab w:val="num" w:pos="426"/>
        </w:tabs>
        <w:spacing w:before="0" w:beforeAutospacing="0" w:after="0" w:afterAutospacing="0" w:line="288" w:lineRule="auto"/>
        <w:ind w:left="284" w:hanging="284"/>
        <w:jc w:val="both"/>
        <w:rPr>
          <w:sz w:val="22"/>
          <w:szCs w:val="22"/>
        </w:rPr>
      </w:pPr>
      <w:r w:rsidRPr="009F0FBD">
        <w:rPr>
          <w:sz w:val="22"/>
        </w:rPr>
        <w:t>pozdravlja predlog za spremembo Uredbe (EU) 2021/691, da bi izboljšali podporo delavcem, ki se zaradi prestrukturiranja soočajo z neposredno izgubo zaposlitve, ter povečali učinkovitost Evropskega sklada za prilagoditev globalizaciji (ESPG);</w:t>
      </w:r>
    </w:p>
    <w:p w:rsidRPr="009F0FBD" w:rsidR="00E3441F" w:rsidP="004F5634" w:rsidRDefault="00E3441F" w14:paraId="5D9C59B0" w14:textId="77777777">
      <w:pPr>
        <w:pStyle w:val="NormalWeb"/>
        <w:numPr>
          <w:ilvl w:val="0"/>
          <w:numId w:val="39"/>
        </w:numPr>
        <w:tabs>
          <w:tab w:val="clear" w:pos="720"/>
          <w:tab w:val="num" w:pos="426"/>
        </w:tabs>
        <w:spacing w:before="0" w:beforeAutospacing="0" w:after="0" w:afterAutospacing="0" w:line="288" w:lineRule="auto"/>
        <w:ind w:left="284" w:hanging="284"/>
        <w:jc w:val="both"/>
        <w:rPr>
          <w:sz w:val="22"/>
          <w:szCs w:val="22"/>
        </w:rPr>
      </w:pPr>
      <w:r w:rsidRPr="009F0FBD">
        <w:rPr>
          <w:sz w:val="22"/>
        </w:rPr>
        <w:t>poudarja, da je treba nuditi pravočasno in prilagojeno podporo, vključno z izpopolnjevanjem, ponovno zaposlitvijo, dohodkovno pomočjo in storitvami na področju duševnega zdravja. Posebno pozornost je treba nameniti digitalnim in zelenim znanjem in spretnostim;</w:t>
      </w:r>
    </w:p>
    <w:p w:rsidRPr="009F0FBD" w:rsidR="00E3441F" w:rsidP="004F5634" w:rsidRDefault="00E3441F" w14:paraId="52298D6D" w14:textId="77777777">
      <w:pPr>
        <w:pStyle w:val="NormalWeb"/>
        <w:numPr>
          <w:ilvl w:val="0"/>
          <w:numId w:val="39"/>
        </w:numPr>
        <w:tabs>
          <w:tab w:val="clear" w:pos="720"/>
          <w:tab w:val="num" w:pos="426"/>
        </w:tabs>
        <w:spacing w:before="0" w:beforeAutospacing="0" w:after="0" w:afterAutospacing="0" w:line="288" w:lineRule="auto"/>
        <w:ind w:left="284" w:hanging="284"/>
        <w:jc w:val="both"/>
        <w:rPr>
          <w:sz w:val="22"/>
          <w:szCs w:val="22"/>
        </w:rPr>
      </w:pPr>
      <w:r w:rsidRPr="009F0FBD">
        <w:rPr>
          <w:sz w:val="22"/>
        </w:rPr>
        <w:t>poziva k nadaljevanju upravičenosti delavcev po prenehanju delovnega razmerja, k možnosti ponovnih vlog ter vključitvi ranljivih ali drugih skupin, kot so mala in srednja podjetja in podizvajalci, starejši, invalidi in nizkokvalificirani delavci, ter akterjev socialne ekonomije;</w:t>
      </w:r>
    </w:p>
    <w:p w:rsidRPr="009F0FBD" w:rsidR="00E3441F" w:rsidP="004F5634" w:rsidRDefault="00E3441F" w14:paraId="1F237C4C" w14:textId="77777777">
      <w:pPr>
        <w:pStyle w:val="NormalWeb"/>
        <w:numPr>
          <w:ilvl w:val="0"/>
          <w:numId w:val="39"/>
        </w:numPr>
        <w:tabs>
          <w:tab w:val="clear" w:pos="720"/>
          <w:tab w:val="num" w:pos="426"/>
        </w:tabs>
        <w:spacing w:before="0" w:beforeAutospacing="0" w:after="0" w:afterAutospacing="0" w:line="288" w:lineRule="auto"/>
        <w:ind w:left="284" w:hanging="284"/>
        <w:jc w:val="both"/>
        <w:rPr>
          <w:sz w:val="22"/>
          <w:szCs w:val="22"/>
        </w:rPr>
      </w:pPr>
      <w:r w:rsidRPr="009F0FBD">
        <w:rPr>
          <w:sz w:val="22"/>
        </w:rPr>
        <w:t>priporoča prilagojeno podporo regijam, ki jih je prestrukturiranje najbolj prizadelo, ter večjo vključenost lokalnih organov in socialnih partnerjev;</w:t>
      </w:r>
    </w:p>
    <w:p w:rsidRPr="009F0FBD" w:rsidR="00E3441F" w:rsidP="004F5634" w:rsidRDefault="00E3441F" w14:paraId="2F642017" w14:textId="77777777">
      <w:pPr>
        <w:pStyle w:val="NormalWeb"/>
        <w:numPr>
          <w:ilvl w:val="0"/>
          <w:numId w:val="39"/>
        </w:numPr>
        <w:tabs>
          <w:tab w:val="clear" w:pos="720"/>
          <w:tab w:val="num" w:pos="426"/>
        </w:tabs>
        <w:spacing w:before="0" w:beforeAutospacing="0" w:after="0" w:afterAutospacing="0" w:line="288" w:lineRule="auto"/>
        <w:ind w:left="284" w:hanging="284"/>
        <w:jc w:val="both"/>
        <w:rPr>
          <w:sz w:val="22"/>
          <w:szCs w:val="22"/>
        </w:rPr>
      </w:pPr>
      <w:r w:rsidRPr="009F0FBD">
        <w:rPr>
          <w:sz w:val="22"/>
        </w:rPr>
        <w:t>poziva k zadostnemu financiranju tehnične pomoči, boljšemu usklajevanju med instrumenti EU (ESPG, ESS+, SPP), zanesljivim okvirom spremljanja in ocenjevanja z uporabo kvalitativnih in kvantitativnih podatkov ter h kampanjam ozaveščanja, da se doseže pravična in učinkovita uporaba ESPG;</w:t>
      </w:r>
    </w:p>
    <w:p w:rsidRPr="009F0FBD" w:rsidR="00E3441F" w:rsidP="004F5634" w:rsidRDefault="00E3441F" w14:paraId="2F2FD9D7" w14:textId="77777777">
      <w:pPr>
        <w:pStyle w:val="NormalWeb"/>
        <w:numPr>
          <w:ilvl w:val="0"/>
          <w:numId w:val="39"/>
        </w:numPr>
        <w:tabs>
          <w:tab w:val="clear" w:pos="720"/>
          <w:tab w:val="num" w:pos="426"/>
        </w:tabs>
        <w:spacing w:before="0" w:beforeAutospacing="0" w:after="0" w:afterAutospacing="0" w:line="288" w:lineRule="auto"/>
        <w:ind w:left="284" w:hanging="284"/>
        <w:jc w:val="both"/>
        <w:rPr>
          <w:sz w:val="22"/>
          <w:szCs w:val="22"/>
        </w:rPr>
      </w:pPr>
      <w:r w:rsidRPr="009F0FBD">
        <w:rPr>
          <w:sz w:val="22"/>
        </w:rPr>
        <w:t>poudarja pomen zgodnjega in smiselnega socialnega dialoga, obveznih načrtov prehoda upravičenih podjetij in popolne skladnosti z direktivami EU o obveščanju, posvetovanju in kolektivnem odpuščanju.</w:t>
      </w:r>
    </w:p>
    <w:p w:rsidRPr="009F0FBD" w:rsidR="00E3441F" w:rsidP="00E3441F" w:rsidRDefault="00E3441F" w14:paraId="59C4CB85" w14:textId="77777777">
      <w:pPr>
        <w:rPr>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1138"/>
        <w:gridCol w:w="3607"/>
      </w:tblGrid>
      <w:tr w:rsidRPr="009F0FBD" w:rsidR="00E3441F" w:rsidTr="002775CC" w14:paraId="65CE2430" w14:textId="77777777">
        <w:tc>
          <w:tcPr>
            <w:tcW w:w="2376" w:type="dxa"/>
            <w:gridSpan w:val="2"/>
          </w:tcPr>
          <w:p w:rsidRPr="009F0FBD" w:rsidR="00E3441F" w:rsidP="002775CC" w:rsidRDefault="00E3441F" w14:paraId="6DC092EB" w14:textId="77777777">
            <w:pPr>
              <w:rPr>
                <w:i/>
                <w:lang w:val="sl-SI"/>
              </w:rPr>
            </w:pPr>
            <w:r w:rsidRPr="009F0FBD">
              <w:rPr>
                <w:b/>
                <w:i/>
                <w:lang w:val="sl-SI"/>
              </w:rPr>
              <w:t>Kontaktna oseba</w:t>
            </w:r>
          </w:p>
        </w:tc>
        <w:tc>
          <w:tcPr>
            <w:tcW w:w="3607" w:type="dxa"/>
          </w:tcPr>
          <w:p w:rsidRPr="009F0FBD" w:rsidR="00E3441F" w:rsidP="002775CC" w:rsidRDefault="00E3441F" w14:paraId="0FD126E7" w14:textId="77777777">
            <w:pPr>
              <w:rPr>
                <w:i/>
                <w:lang w:val="sl-SI"/>
              </w:rPr>
            </w:pPr>
            <w:r w:rsidRPr="009F0FBD">
              <w:rPr>
                <w:i/>
                <w:lang w:val="sl-SI"/>
              </w:rPr>
              <w:t>Bartek BEDNAROWICZ</w:t>
            </w:r>
          </w:p>
        </w:tc>
      </w:tr>
      <w:tr w:rsidRPr="009F0FBD" w:rsidR="00E3441F" w:rsidTr="002775CC" w14:paraId="4B0DCD8D" w14:textId="77777777">
        <w:tc>
          <w:tcPr>
            <w:tcW w:w="2376" w:type="dxa"/>
            <w:gridSpan w:val="2"/>
          </w:tcPr>
          <w:p w:rsidRPr="009F0FBD" w:rsidR="00E3441F" w:rsidP="002775CC" w:rsidRDefault="00E3441F" w14:paraId="304F2F16" w14:textId="77777777">
            <w:pPr>
              <w:rPr>
                <w:i/>
                <w:lang w:val="sl-SI"/>
              </w:rPr>
            </w:pPr>
            <w:r w:rsidRPr="009F0FBD">
              <w:rPr>
                <w:i/>
                <w:lang w:val="sl-SI"/>
              </w:rPr>
              <w:t>Telefon</w:t>
            </w:r>
          </w:p>
        </w:tc>
        <w:tc>
          <w:tcPr>
            <w:tcW w:w="3607" w:type="dxa"/>
          </w:tcPr>
          <w:p w:rsidRPr="009F0FBD" w:rsidR="00E3441F" w:rsidP="002775CC" w:rsidRDefault="00E3441F" w14:paraId="68CE3D2D" w14:textId="77777777">
            <w:pPr>
              <w:rPr>
                <w:i/>
                <w:lang w:val="sl-SI"/>
              </w:rPr>
            </w:pPr>
            <w:r w:rsidRPr="009F0FBD">
              <w:rPr>
                <w:i/>
                <w:lang w:val="sl-SI"/>
              </w:rPr>
              <w:t>+32 25469229</w:t>
            </w:r>
          </w:p>
        </w:tc>
      </w:tr>
      <w:tr w:rsidRPr="0084110F" w:rsidR="00E3441F" w:rsidTr="002775CC" w14:paraId="72F9E682" w14:textId="77777777">
        <w:tc>
          <w:tcPr>
            <w:tcW w:w="1238" w:type="dxa"/>
          </w:tcPr>
          <w:p w:rsidRPr="009F0FBD" w:rsidR="00E3441F" w:rsidP="002775CC" w:rsidRDefault="00E3441F" w14:paraId="6B936AC5" w14:textId="77777777">
            <w:pPr>
              <w:rPr>
                <w:i/>
                <w:lang w:val="sl-SI"/>
              </w:rPr>
            </w:pPr>
            <w:r w:rsidRPr="009F0FBD">
              <w:rPr>
                <w:i/>
                <w:lang w:val="sl-SI"/>
              </w:rPr>
              <w:t>E-naslov</w:t>
            </w:r>
          </w:p>
        </w:tc>
        <w:tc>
          <w:tcPr>
            <w:tcW w:w="1138" w:type="dxa"/>
          </w:tcPr>
          <w:p w:rsidRPr="009F0FBD" w:rsidR="00E3441F" w:rsidP="002775CC" w:rsidRDefault="00E3441F" w14:paraId="1173EB86" w14:textId="77777777">
            <w:pPr>
              <w:rPr>
                <w:lang w:val="sl-SI"/>
              </w:rPr>
            </w:pPr>
          </w:p>
        </w:tc>
        <w:tc>
          <w:tcPr>
            <w:tcW w:w="3607" w:type="dxa"/>
          </w:tcPr>
          <w:p w:rsidRPr="009F0FBD" w:rsidR="00E3441F" w:rsidP="002775CC" w:rsidRDefault="00E47EFC" w14:paraId="271F3325" w14:textId="77777777">
            <w:pPr>
              <w:rPr>
                <w:i/>
                <w:iCs/>
                <w:lang w:val="sl-SI"/>
              </w:rPr>
            </w:pPr>
            <w:hyperlink w:history="1" r:id="rId35">
              <w:r w:rsidRPr="009F0FBD" w:rsidR="00E3441F">
                <w:rPr>
                  <w:rStyle w:val="Hyperlink"/>
                  <w:i/>
                  <w:lang w:val="sl-SI"/>
                </w:rPr>
                <w:t>Bartek.Bednarowicz@eesc.europa.eu</w:t>
              </w:r>
            </w:hyperlink>
          </w:p>
        </w:tc>
      </w:tr>
    </w:tbl>
    <w:p w:rsidRPr="009F0FBD" w:rsidR="00E3441F" w:rsidP="00E3441F" w:rsidRDefault="00E3441F" w14:paraId="780D01C8" w14:textId="77777777">
      <w:pPr>
        <w:jc w:val="center"/>
        <w:rPr>
          <w:lang w:val="sl-SI"/>
        </w:rPr>
      </w:pPr>
    </w:p>
    <w:p w:rsidRPr="009F0FBD" w:rsidR="004D7AC0" w:rsidP="004D7AC0" w:rsidRDefault="004D7AC0" w14:paraId="4982DDC5" w14:textId="03813085">
      <w:pPr>
        <w:spacing w:after="160" w:line="259" w:lineRule="auto"/>
        <w:jc w:val="left"/>
        <w:rPr>
          <w:lang w:val="sl-SI"/>
        </w:rPr>
      </w:pPr>
      <w:r w:rsidRPr="009F0FBD">
        <w:rPr>
          <w:lang w:val="sl-SI"/>
        </w:rPr>
        <w:br w:type="page"/>
      </w:r>
    </w:p>
    <w:p w:rsidRPr="009F0FBD" w:rsidR="004D7AC0" w:rsidP="00E3441F" w:rsidRDefault="00104970" w14:paraId="4982DDC6" w14:textId="2A8B3DAC">
      <w:pPr>
        <w:pStyle w:val="Heading1"/>
        <w:rPr>
          <w:b/>
          <w:lang w:val="sl-SI"/>
        </w:rPr>
      </w:pPr>
      <w:bookmarkStart w:name="_Toc24617160" w:id="6"/>
      <w:bookmarkStart w:name="_Toc75527082" w:id="7"/>
      <w:bookmarkStart w:name="_Toc201837070" w:id="8"/>
      <w:r w:rsidRPr="009F0FBD">
        <w:rPr>
          <w:b/>
          <w:lang w:val="sl-SI"/>
        </w:rPr>
        <w:lastRenderedPageBreak/>
        <w:t>PROMET, ENERGIJA, INFRASTRUKTURA IN INFORMACIJSKA DRUŽBA</w:t>
      </w:r>
      <w:bookmarkEnd w:id="6"/>
      <w:bookmarkEnd w:id="7"/>
      <w:bookmarkEnd w:id="8"/>
    </w:p>
    <w:p w:rsidRPr="009F0FBD" w:rsidR="004D7AC0" w:rsidP="00E3441F" w:rsidRDefault="004D7AC0" w14:paraId="4982DDC7" w14:textId="77777777">
      <w:pPr>
        <w:rPr>
          <w:lang w:val="sl-SI"/>
        </w:rPr>
      </w:pPr>
    </w:p>
    <w:p w:rsidRPr="009F0FBD" w:rsidR="00240FD7" w:rsidP="00611089" w:rsidRDefault="00C14021" w14:paraId="5D1441A9" w14:textId="1FB963E2">
      <w:pPr>
        <w:widowControl w:val="0"/>
        <w:numPr>
          <w:ilvl w:val="0"/>
          <w:numId w:val="4"/>
        </w:numPr>
        <w:overflowPunct w:val="0"/>
        <w:autoSpaceDE w:val="0"/>
        <w:autoSpaceDN w:val="0"/>
        <w:adjustRightInd w:val="0"/>
        <w:ind w:left="426" w:hanging="426"/>
        <w:textAlignment w:val="baseline"/>
        <w:rPr>
          <w:sz w:val="20"/>
          <w:szCs w:val="20"/>
          <w:lang w:val="sl-SI"/>
        </w:rPr>
      </w:pPr>
      <w:hyperlink w:history="1" r:id="rId36">
        <w:r w:rsidRPr="009F0FBD" w:rsidR="00E3441F">
          <w:rPr>
            <w:rStyle w:val="Hyperlink"/>
            <w:b/>
            <w:bCs/>
            <w:i/>
            <w:iCs/>
            <w:sz w:val="28"/>
            <w:szCs w:val="28"/>
            <w:lang w:val="sl-SI"/>
          </w:rPr>
          <w:t>Za uravnotežen evropski energetski sistem</w:t>
        </w:r>
      </w:hyperlink>
    </w:p>
    <w:p w:rsidRPr="009F0FBD" w:rsidR="00240FD7" w:rsidP="00E3441F" w:rsidRDefault="00240FD7" w14:paraId="6D27DCE3" w14:textId="1E6C1D15">
      <w:pPr>
        <w:tabs>
          <w:tab w:val="center" w:pos="284"/>
        </w:tabs>
        <w:overflowPunct w:val="0"/>
        <w:autoSpaceDE w:val="0"/>
        <w:autoSpaceDN w:val="0"/>
        <w:adjustRightInd w:val="0"/>
        <w:ind w:left="266" w:hanging="266"/>
        <w:textAlignment w:val="baseline"/>
        <w:rPr>
          <w:b/>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805"/>
      </w:tblGrid>
      <w:tr w:rsidRPr="0084110F" w:rsidR="00E3441F" w:rsidTr="001937A8" w14:paraId="28293BBA" w14:textId="77777777">
        <w:tc>
          <w:tcPr>
            <w:tcW w:w="1250" w:type="pct"/>
          </w:tcPr>
          <w:p w:rsidRPr="009F0FBD" w:rsidR="00E3441F" w:rsidP="00E3441F" w:rsidRDefault="00E3441F" w14:paraId="46B08E01" w14:textId="77777777">
            <w:pPr>
              <w:rPr>
                <w:b/>
                <w:lang w:val="sl-SI"/>
              </w:rPr>
            </w:pPr>
            <w:r w:rsidRPr="009F0FBD">
              <w:rPr>
                <w:b/>
                <w:lang w:val="sl-SI"/>
              </w:rPr>
              <w:t>Poročevalec</w:t>
            </w:r>
          </w:p>
        </w:tc>
        <w:tc>
          <w:tcPr>
            <w:tcW w:w="3750" w:type="pct"/>
          </w:tcPr>
          <w:p w:rsidRPr="009F0FBD" w:rsidR="00E3441F" w:rsidP="00E3441F" w:rsidRDefault="00E3441F" w14:paraId="7E449586" w14:textId="77777777">
            <w:pPr>
              <w:rPr>
                <w:lang w:val="sl-SI"/>
              </w:rPr>
            </w:pPr>
            <w:r w:rsidRPr="009F0FBD">
              <w:rPr>
                <w:lang w:val="sl-SI"/>
              </w:rPr>
              <w:t>Zsolt KÜKEDI (skupina organizacij civilne družbe – HU)</w:t>
            </w:r>
          </w:p>
        </w:tc>
      </w:tr>
      <w:tr w:rsidRPr="0084110F" w:rsidR="00E3441F" w:rsidTr="001937A8" w14:paraId="41E0B2B9" w14:textId="77777777">
        <w:tc>
          <w:tcPr>
            <w:tcW w:w="1250" w:type="pct"/>
          </w:tcPr>
          <w:p w:rsidRPr="009F0FBD" w:rsidR="00E3441F" w:rsidP="00E3441F" w:rsidRDefault="00E3441F" w14:paraId="50E526C3" w14:textId="77777777">
            <w:pPr>
              <w:rPr>
                <w:b/>
                <w:lang w:val="sl-SI"/>
              </w:rPr>
            </w:pPr>
            <w:r w:rsidRPr="009F0FBD">
              <w:rPr>
                <w:b/>
                <w:lang w:val="sl-SI"/>
              </w:rPr>
              <w:t>Soporočevalec</w:t>
            </w:r>
          </w:p>
        </w:tc>
        <w:tc>
          <w:tcPr>
            <w:tcW w:w="3750" w:type="pct"/>
          </w:tcPr>
          <w:p w:rsidRPr="009F0FBD" w:rsidR="00E3441F" w:rsidP="00E3441F" w:rsidRDefault="00E3441F" w14:paraId="020CD8AA" w14:textId="77777777">
            <w:pPr>
              <w:rPr>
                <w:lang w:val="sl-SI"/>
              </w:rPr>
            </w:pPr>
            <w:r w:rsidRPr="009F0FBD">
              <w:rPr>
                <w:lang w:val="sl-SI"/>
              </w:rPr>
              <w:t>Philippe CHARRY (skupina delojemalcev – FR)</w:t>
            </w:r>
          </w:p>
        </w:tc>
      </w:tr>
      <w:tr w:rsidRPr="0084110F" w:rsidR="00E3441F" w:rsidTr="002775CC" w14:paraId="667A204E" w14:textId="77777777">
        <w:tc>
          <w:tcPr>
            <w:tcW w:w="5000" w:type="pct"/>
            <w:gridSpan w:val="2"/>
          </w:tcPr>
          <w:p w:rsidRPr="009F0FBD" w:rsidR="00E3441F" w:rsidP="00E3441F" w:rsidRDefault="00E3441F" w14:paraId="64352931" w14:textId="77777777">
            <w:pPr>
              <w:rPr>
                <w:sz w:val="16"/>
                <w:lang w:val="sl-SI"/>
              </w:rPr>
            </w:pPr>
          </w:p>
        </w:tc>
      </w:tr>
      <w:tr w:rsidRPr="009F0FBD" w:rsidR="00E3441F" w:rsidTr="001937A8" w14:paraId="3AE0371C" w14:textId="77777777">
        <w:tc>
          <w:tcPr>
            <w:tcW w:w="1250" w:type="pct"/>
            <w:vMerge w:val="restart"/>
          </w:tcPr>
          <w:p w:rsidRPr="009F0FBD" w:rsidR="00E3441F" w:rsidP="00E3441F" w:rsidRDefault="00E3441F" w14:paraId="76363290" w14:textId="77777777">
            <w:pPr>
              <w:rPr>
                <w:b/>
                <w:lang w:val="sl-SI"/>
              </w:rPr>
            </w:pPr>
            <w:r w:rsidRPr="009F0FBD">
              <w:rPr>
                <w:b/>
                <w:lang w:val="sl-SI"/>
              </w:rPr>
              <w:t>Referenčni dokument</w:t>
            </w:r>
          </w:p>
        </w:tc>
        <w:tc>
          <w:tcPr>
            <w:tcW w:w="3750" w:type="pct"/>
          </w:tcPr>
          <w:p w:rsidRPr="009F0FBD" w:rsidR="00E3441F" w:rsidP="00E3441F" w:rsidRDefault="00E3441F" w14:paraId="183EC38A" w14:textId="77777777">
            <w:pPr>
              <w:rPr>
                <w:lang w:val="sl-SI"/>
              </w:rPr>
            </w:pPr>
            <w:r w:rsidRPr="009F0FBD">
              <w:rPr>
                <w:lang w:val="sl-SI"/>
              </w:rPr>
              <w:t>mnenje na lastno pobudo</w:t>
            </w:r>
          </w:p>
        </w:tc>
      </w:tr>
      <w:tr w:rsidRPr="009F0FBD" w:rsidR="00E3441F" w:rsidTr="001937A8" w14:paraId="5F65F297" w14:textId="77777777">
        <w:tc>
          <w:tcPr>
            <w:tcW w:w="1250" w:type="pct"/>
            <w:vMerge/>
          </w:tcPr>
          <w:p w:rsidRPr="009F0FBD" w:rsidR="00E3441F" w:rsidP="00E3441F" w:rsidRDefault="00E3441F" w14:paraId="46AF0CEE" w14:textId="77777777">
            <w:pPr>
              <w:tabs>
                <w:tab w:val="center" w:pos="284"/>
              </w:tabs>
              <w:ind w:left="266" w:hanging="266"/>
              <w:rPr>
                <w:b/>
                <w:lang w:val="sl-SI"/>
              </w:rPr>
            </w:pPr>
          </w:p>
        </w:tc>
        <w:tc>
          <w:tcPr>
            <w:tcW w:w="3750" w:type="pct"/>
          </w:tcPr>
          <w:p w:rsidRPr="009F0FBD" w:rsidR="00E3441F" w:rsidP="00E3441F" w:rsidRDefault="00E3441F" w14:paraId="448FE58C" w14:textId="77777777">
            <w:pPr>
              <w:rPr>
                <w:lang w:val="sl-SI"/>
              </w:rPr>
            </w:pPr>
            <w:r w:rsidRPr="009F0FBD">
              <w:rPr>
                <w:lang w:val="sl-SI"/>
              </w:rPr>
              <w:t>EESC-2025-00328-00-00-AC</w:t>
            </w:r>
          </w:p>
        </w:tc>
      </w:tr>
    </w:tbl>
    <w:p w:rsidRPr="009F0FBD" w:rsidR="00240FD7" w:rsidP="00E3441F" w:rsidRDefault="00240FD7" w14:paraId="31F052BE" w14:textId="77777777">
      <w:pPr>
        <w:tabs>
          <w:tab w:val="center" w:pos="284"/>
        </w:tabs>
        <w:overflowPunct w:val="0"/>
        <w:autoSpaceDE w:val="0"/>
        <w:autoSpaceDN w:val="0"/>
        <w:adjustRightInd w:val="0"/>
        <w:ind w:left="266" w:hanging="266"/>
        <w:textAlignment w:val="baseline"/>
        <w:rPr>
          <w:lang w:val="sl-SI"/>
        </w:rPr>
      </w:pPr>
    </w:p>
    <w:p w:rsidRPr="009F0FBD" w:rsidR="00E3441F" w:rsidP="00E3441F" w:rsidRDefault="00E3441F" w14:paraId="005B55F2" w14:textId="77777777">
      <w:pPr>
        <w:rPr>
          <w:lang w:val="sl-SI"/>
        </w:rPr>
      </w:pPr>
      <w:r w:rsidRPr="009F0FBD">
        <w:rPr>
          <w:b/>
          <w:lang w:val="sl-SI"/>
        </w:rPr>
        <w:t>Glavne točke</w:t>
      </w:r>
    </w:p>
    <w:p w:rsidRPr="009F0FBD" w:rsidR="00E3441F" w:rsidP="00E3441F" w:rsidRDefault="00E3441F" w14:paraId="4AFCE820" w14:textId="77777777">
      <w:pPr>
        <w:rPr>
          <w:lang w:val="sl-SI"/>
        </w:rPr>
      </w:pPr>
    </w:p>
    <w:p w:rsidRPr="009F0FBD" w:rsidR="00E3441F" w:rsidP="00E3441F" w:rsidRDefault="00E3441F" w14:paraId="6361EAD7" w14:textId="77777777">
      <w:pPr>
        <w:rPr>
          <w:bCs/>
          <w:iCs/>
          <w:lang w:val="sl-SI"/>
        </w:rPr>
      </w:pPr>
      <w:r w:rsidRPr="009F0FBD">
        <w:rPr>
          <w:bCs/>
          <w:iCs/>
          <w:lang w:val="sl-SI"/>
        </w:rPr>
        <w:t>EESO:</w:t>
      </w:r>
    </w:p>
    <w:p w:rsidRPr="009F0FBD" w:rsidR="00E3441F" w:rsidP="00E3441F" w:rsidRDefault="00E3441F" w14:paraId="3E7B32D1" w14:textId="77777777">
      <w:pPr>
        <w:rPr>
          <w:lang w:val="sl-SI"/>
        </w:rPr>
      </w:pPr>
    </w:p>
    <w:p w:rsidRPr="009F0FBD" w:rsidR="00E3441F" w:rsidP="004F5634" w:rsidRDefault="00E3441F" w14:paraId="1759474E" w14:textId="77777777">
      <w:pPr>
        <w:widowControl w:val="0"/>
        <w:numPr>
          <w:ilvl w:val="0"/>
          <w:numId w:val="40"/>
        </w:numPr>
        <w:tabs>
          <w:tab w:val="clear" w:pos="720"/>
        </w:tabs>
        <w:overflowPunct w:val="0"/>
        <w:autoSpaceDE w:val="0"/>
        <w:autoSpaceDN w:val="0"/>
        <w:adjustRightInd w:val="0"/>
        <w:ind w:left="284" w:hanging="284"/>
        <w:textAlignment w:val="baseline"/>
        <w:rPr>
          <w:lang w:val="sl-SI"/>
        </w:rPr>
      </w:pPr>
      <w:r w:rsidRPr="009F0FBD">
        <w:rPr>
          <w:lang w:val="sl-SI"/>
        </w:rPr>
        <w:t>meni, da so glavni cilji uravnoteženega energetskega sistema cenovna dostopnost energije, ogljična nevtralnost in energetska varnost;</w:t>
      </w:r>
    </w:p>
    <w:p w:rsidRPr="009F0FBD" w:rsidR="00E3441F" w:rsidP="004F5634" w:rsidRDefault="00E3441F" w14:paraId="57114AD5" w14:textId="77777777">
      <w:pPr>
        <w:widowControl w:val="0"/>
        <w:numPr>
          <w:ilvl w:val="0"/>
          <w:numId w:val="40"/>
        </w:numPr>
        <w:tabs>
          <w:tab w:val="clear" w:pos="720"/>
        </w:tabs>
        <w:overflowPunct w:val="0"/>
        <w:autoSpaceDE w:val="0"/>
        <w:autoSpaceDN w:val="0"/>
        <w:adjustRightInd w:val="0"/>
        <w:ind w:left="284" w:hanging="284"/>
        <w:textAlignment w:val="baseline"/>
        <w:rPr>
          <w:lang w:val="sl-SI"/>
        </w:rPr>
      </w:pPr>
      <w:r w:rsidRPr="009F0FBD">
        <w:rPr>
          <w:lang w:val="sl-SI"/>
        </w:rPr>
        <w:t>poudarja, da je treba ohraniti proizvodnjo za osnovno obremenitev in raznoliko mešanico čistih virov energije za uravnoteženje ponudbe in povpraševanja. To vključuje spremenljivo in stalno proizvodnjo, nadzorljive in nenadzorljive vire ter energetske razlike med regijami;</w:t>
      </w:r>
    </w:p>
    <w:p w:rsidRPr="009F0FBD" w:rsidR="00E3441F" w:rsidP="004F5634" w:rsidRDefault="00E3441F" w14:paraId="4D70C2DE" w14:textId="77777777">
      <w:pPr>
        <w:widowControl w:val="0"/>
        <w:numPr>
          <w:ilvl w:val="0"/>
          <w:numId w:val="40"/>
        </w:numPr>
        <w:tabs>
          <w:tab w:val="clear" w:pos="720"/>
        </w:tabs>
        <w:overflowPunct w:val="0"/>
        <w:autoSpaceDE w:val="0"/>
        <w:autoSpaceDN w:val="0"/>
        <w:adjustRightInd w:val="0"/>
        <w:ind w:left="284" w:hanging="284"/>
        <w:textAlignment w:val="baseline"/>
        <w:rPr>
          <w:lang w:val="sl-SI"/>
        </w:rPr>
      </w:pPr>
      <w:r w:rsidRPr="009F0FBD">
        <w:rPr>
          <w:lang w:val="sl-SI"/>
        </w:rPr>
        <w:t>podpira priporočilo Komisije, naj države članice začasno znižajo davke in dajatve ter tako omejijo visoke stroške, kot je navedeno v akcijskem načrtu za cenovno dostopno energijo;</w:t>
      </w:r>
    </w:p>
    <w:p w:rsidRPr="009F0FBD" w:rsidR="00E3441F" w:rsidP="004F5634" w:rsidRDefault="00E3441F" w14:paraId="79F0914B" w14:textId="77777777">
      <w:pPr>
        <w:widowControl w:val="0"/>
        <w:numPr>
          <w:ilvl w:val="0"/>
          <w:numId w:val="40"/>
        </w:numPr>
        <w:tabs>
          <w:tab w:val="clear" w:pos="720"/>
        </w:tabs>
        <w:overflowPunct w:val="0"/>
        <w:autoSpaceDE w:val="0"/>
        <w:autoSpaceDN w:val="0"/>
        <w:adjustRightInd w:val="0"/>
        <w:ind w:left="284" w:hanging="284"/>
        <w:textAlignment w:val="baseline"/>
        <w:rPr>
          <w:lang w:val="sl-SI"/>
        </w:rPr>
      </w:pPr>
      <w:r w:rsidRPr="009F0FBD">
        <w:rPr>
          <w:lang w:val="sl-SI"/>
        </w:rPr>
        <w:t>predlaga prožen, a trden načrt za države članice, odvisne od fosilnih goriv, ki bi vključeval sodelovanje na ravni EU in nacionalni ravni;</w:t>
      </w:r>
    </w:p>
    <w:p w:rsidRPr="009F0FBD" w:rsidR="00E3441F" w:rsidP="004F5634" w:rsidRDefault="00E3441F" w14:paraId="1D02D180" w14:textId="77777777">
      <w:pPr>
        <w:widowControl w:val="0"/>
        <w:numPr>
          <w:ilvl w:val="0"/>
          <w:numId w:val="40"/>
        </w:numPr>
        <w:tabs>
          <w:tab w:val="clear" w:pos="720"/>
        </w:tabs>
        <w:overflowPunct w:val="0"/>
        <w:autoSpaceDE w:val="0"/>
        <w:autoSpaceDN w:val="0"/>
        <w:adjustRightInd w:val="0"/>
        <w:ind w:left="284" w:hanging="284"/>
        <w:textAlignment w:val="baseline"/>
        <w:rPr>
          <w:lang w:val="sl-SI"/>
        </w:rPr>
      </w:pPr>
      <w:r w:rsidRPr="009F0FBD">
        <w:rPr>
          <w:lang w:val="sl-SI"/>
        </w:rPr>
        <w:t>ugotavlja, da je treba povečati prožnost in učinkovitost, poudarja vlogo aktivnega prilagajanja odjema in pametne porabe ter poziva h kampanjam ozaveščanja, rešitvam za povečanje učinkovitosti in poslovnim modelom, ki spodbujajo združevanje virov med malimi odjemalci in proizvajalci;</w:t>
      </w:r>
    </w:p>
    <w:p w:rsidRPr="009F0FBD" w:rsidR="00E3441F" w:rsidP="004F5634" w:rsidRDefault="00E3441F" w14:paraId="102BDAAB" w14:textId="77777777">
      <w:pPr>
        <w:widowControl w:val="0"/>
        <w:numPr>
          <w:ilvl w:val="0"/>
          <w:numId w:val="40"/>
        </w:numPr>
        <w:tabs>
          <w:tab w:val="clear" w:pos="720"/>
        </w:tabs>
        <w:overflowPunct w:val="0"/>
        <w:autoSpaceDE w:val="0"/>
        <w:autoSpaceDN w:val="0"/>
        <w:adjustRightInd w:val="0"/>
        <w:ind w:left="284" w:hanging="284"/>
        <w:textAlignment w:val="baseline"/>
        <w:rPr>
          <w:lang w:val="sl-SI"/>
        </w:rPr>
      </w:pPr>
      <w:r w:rsidRPr="009F0FBD">
        <w:rPr>
          <w:lang w:val="sl-SI"/>
        </w:rPr>
        <w:t>poziva k hitrejšim čezmejnim povezavam in posodobitvi infrastrukture, da bi dokončali energetsko unijo in okrepili notranje energetske tokove, zlasti po nedavnem izpadu električne energije v Španiji in na Portugalskem;</w:t>
      </w:r>
    </w:p>
    <w:p w:rsidRPr="009F0FBD" w:rsidR="00E3441F" w:rsidP="004F5634" w:rsidRDefault="00E3441F" w14:paraId="7D708A50" w14:textId="77777777">
      <w:pPr>
        <w:widowControl w:val="0"/>
        <w:numPr>
          <w:ilvl w:val="0"/>
          <w:numId w:val="40"/>
        </w:numPr>
        <w:tabs>
          <w:tab w:val="clear" w:pos="720"/>
        </w:tabs>
        <w:overflowPunct w:val="0"/>
        <w:autoSpaceDE w:val="0"/>
        <w:autoSpaceDN w:val="0"/>
        <w:adjustRightInd w:val="0"/>
        <w:ind w:left="284" w:hanging="284"/>
        <w:textAlignment w:val="baseline"/>
        <w:rPr>
          <w:lang w:val="sl-SI"/>
        </w:rPr>
      </w:pPr>
      <w:r w:rsidRPr="009F0FBD">
        <w:rPr>
          <w:lang w:val="sl-SI"/>
        </w:rPr>
        <w:t>poziva, naj se preuči, kako bolje izrabiti premalo izkoriščene vire (npr. geotermalno energijo za pridobivanje električne energije, bioplin za lokalno proizvodnjo) in pospešiti inovacije (učinkovitost, digitalizacija, prožnost omrežja, sektorsko povezovanje);</w:t>
      </w:r>
    </w:p>
    <w:p w:rsidRPr="009F0FBD" w:rsidR="00E3441F" w:rsidP="004F5634" w:rsidRDefault="00E3441F" w14:paraId="6177281B" w14:textId="77777777">
      <w:pPr>
        <w:widowControl w:val="0"/>
        <w:numPr>
          <w:ilvl w:val="0"/>
          <w:numId w:val="40"/>
        </w:numPr>
        <w:tabs>
          <w:tab w:val="clear" w:pos="720"/>
        </w:tabs>
        <w:overflowPunct w:val="0"/>
        <w:autoSpaceDE w:val="0"/>
        <w:autoSpaceDN w:val="0"/>
        <w:adjustRightInd w:val="0"/>
        <w:ind w:left="284" w:hanging="284"/>
        <w:textAlignment w:val="baseline"/>
        <w:rPr>
          <w:lang w:val="sl-SI"/>
        </w:rPr>
      </w:pPr>
      <w:r w:rsidRPr="009F0FBD">
        <w:rPr>
          <w:lang w:val="sl-SI"/>
        </w:rPr>
        <w:t>priporoča, naj se z odpravo regulativnih vrzeli in navzkrižij interesov izboljša dostopnost decentralizirane proizvodnje energije iz obnovljivih virov (proizvajalci-odjemalci in energetske skupnosti);</w:t>
      </w:r>
    </w:p>
    <w:p w:rsidRPr="009F0FBD" w:rsidR="00E3441F" w:rsidP="004F5634" w:rsidRDefault="00E3441F" w14:paraId="334A7631" w14:textId="77777777">
      <w:pPr>
        <w:widowControl w:val="0"/>
        <w:numPr>
          <w:ilvl w:val="0"/>
          <w:numId w:val="40"/>
        </w:numPr>
        <w:tabs>
          <w:tab w:val="clear" w:pos="720"/>
        </w:tabs>
        <w:overflowPunct w:val="0"/>
        <w:autoSpaceDE w:val="0"/>
        <w:autoSpaceDN w:val="0"/>
        <w:adjustRightInd w:val="0"/>
        <w:ind w:left="284" w:hanging="284"/>
        <w:textAlignment w:val="baseline"/>
        <w:rPr>
          <w:lang w:val="sl-SI"/>
        </w:rPr>
      </w:pPr>
      <w:r w:rsidRPr="009F0FBD">
        <w:rPr>
          <w:lang w:val="sl-SI"/>
        </w:rPr>
        <w:t>predlaga pripravo evropskega akcijskega načrta za prehodno stabilnost, vključno z zavezujočimi standardi za sintetično vztrajnost, testiranjem prehodnega odziva za nove obrate in letnim presojanjem odpornosti elektroenergetskega sistema na nenadne motnje, da bi preprečili obsežne izpade omrežja.</w:t>
      </w:r>
    </w:p>
    <w:p w:rsidRPr="009F0FBD" w:rsidR="00E3441F" w:rsidP="00E3441F" w:rsidRDefault="00E3441F" w14:paraId="4AA4FC3C"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7"/>
        <w:gridCol w:w="7306"/>
      </w:tblGrid>
      <w:tr w:rsidRPr="009F0FBD" w:rsidR="00E3441F" w:rsidTr="002775CC" w14:paraId="7D958549" w14:textId="77777777">
        <w:tc>
          <w:tcPr>
            <w:tcW w:w="974" w:type="pct"/>
          </w:tcPr>
          <w:p w:rsidRPr="009F0FBD" w:rsidR="00E3441F" w:rsidP="00E3441F" w:rsidRDefault="00E3441F" w14:paraId="366D59BF" w14:textId="77777777">
            <w:pPr>
              <w:rPr>
                <w:lang w:val="sl-SI"/>
              </w:rPr>
            </w:pPr>
            <w:r w:rsidRPr="009F0FBD">
              <w:rPr>
                <w:b/>
                <w:i/>
                <w:lang w:val="sl-SI"/>
              </w:rPr>
              <w:t>Kontaktna oseba</w:t>
            </w:r>
          </w:p>
        </w:tc>
        <w:tc>
          <w:tcPr>
            <w:tcW w:w="4026" w:type="pct"/>
          </w:tcPr>
          <w:p w:rsidRPr="009F0FBD" w:rsidR="00E3441F" w:rsidP="00E3441F" w:rsidRDefault="00E3441F" w14:paraId="1C18C6F6" w14:textId="6167B07A">
            <w:pPr>
              <w:rPr>
                <w:i/>
                <w:lang w:val="sl-SI"/>
              </w:rPr>
            </w:pPr>
            <w:r w:rsidRPr="009F0FBD">
              <w:rPr>
                <w:i/>
                <w:lang w:val="sl-SI"/>
              </w:rPr>
              <w:t xml:space="preserve">Giorgia </w:t>
            </w:r>
            <w:r w:rsidRPr="009F0FBD" w:rsidR="00ED082A">
              <w:rPr>
                <w:i/>
                <w:lang w:val="sl-SI"/>
              </w:rPr>
              <w:t>BORDIGNON</w:t>
            </w:r>
          </w:p>
        </w:tc>
      </w:tr>
      <w:tr w:rsidRPr="009F0FBD" w:rsidR="00E3441F" w:rsidTr="002775CC" w14:paraId="5CDC6755" w14:textId="77777777">
        <w:tc>
          <w:tcPr>
            <w:tcW w:w="974" w:type="pct"/>
          </w:tcPr>
          <w:p w:rsidRPr="009F0FBD" w:rsidR="00E3441F" w:rsidP="00E3441F" w:rsidRDefault="00E3441F" w14:paraId="6C272B04" w14:textId="77777777">
            <w:pPr>
              <w:rPr>
                <w:lang w:val="sl-SI"/>
              </w:rPr>
            </w:pPr>
            <w:r w:rsidRPr="009F0FBD">
              <w:rPr>
                <w:i/>
                <w:lang w:val="sl-SI"/>
              </w:rPr>
              <w:t>Telefon</w:t>
            </w:r>
          </w:p>
        </w:tc>
        <w:tc>
          <w:tcPr>
            <w:tcW w:w="4026" w:type="pct"/>
          </w:tcPr>
          <w:p w:rsidRPr="009F0FBD" w:rsidR="00E3441F" w:rsidP="00E3441F" w:rsidRDefault="00E3441F" w14:paraId="35AA2F11" w14:textId="77777777">
            <w:pPr>
              <w:rPr>
                <w:lang w:val="sl-SI"/>
              </w:rPr>
            </w:pPr>
            <w:r w:rsidRPr="009F0FBD">
              <w:rPr>
                <w:i/>
                <w:lang w:val="sl-SI"/>
              </w:rPr>
              <w:t>+32 2 5468535</w:t>
            </w:r>
          </w:p>
        </w:tc>
      </w:tr>
      <w:tr w:rsidRPr="0084110F" w:rsidR="00E3441F" w:rsidTr="002775CC" w14:paraId="48F8C8D3" w14:textId="77777777">
        <w:tc>
          <w:tcPr>
            <w:tcW w:w="974" w:type="pct"/>
          </w:tcPr>
          <w:p w:rsidRPr="009F0FBD" w:rsidR="00E3441F" w:rsidP="00E3441F" w:rsidRDefault="00E3441F" w14:paraId="0E74FEA6" w14:textId="77777777">
            <w:pPr>
              <w:rPr>
                <w:lang w:val="sl-SI"/>
              </w:rPr>
            </w:pPr>
            <w:r w:rsidRPr="009F0FBD">
              <w:rPr>
                <w:i/>
                <w:lang w:val="sl-SI"/>
              </w:rPr>
              <w:t>E-naslov</w:t>
            </w:r>
          </w:p>
        </w:tc>
        <w:tc>
          <w:tcPr>
            <w:tcW w:w="4026" w:type="pct"/>
          </w:tcPr>
          <w:p w:rsidRPr="009F0FBD" w:rsidR="00E3441F" w:rsidP="00E3441F" w:rsidRDefault="00E47EFC" w14:paraId="3959E6D2" w14:textId="77777777">
            <w:pPr>
              <w:rPr>
                <w:i/>
                <w:lang w:val="sl-SI"/>
              </w:rPr>
            </w:pPr>
            <w:hyperlink w:history="1" r:id="rId37">
              <w:r w:rsidRPr="009F0FBD" w:rsidR="00E3441F">
                <w:rPr>
                  <w:rStyle w:val="Hyperlink"/>
                  <w:i/>
                  <w:lang w:val="sl-SI"/>
                </w:rPr>
                <w:t>GiorgiaAndrea.Bordignon@eesc.europa.eu</w:t>
              </w:r>
            </w:hyperlink>
          </w:p>
        </w:tc>
      </w:tr>
    </w:tbl>
    <w:p w:rsidRPr="009F0FBD" w:rsidR="00055407" w:rsidP="00E3441F" w:rsidRDefault="00055407" w14:paraId="6037CC93" w14:textId="4CD819A3">
      <w:pPr>
        <w:jc w:val="left"/>
        <w:rPr>
          <w:lang w:val="sl-SI"/>
        </w:rPr>
      </w:pPr>
      <w:r w:rsidRPr="009F0FBD">
        <w:rPr>
          <w:lang w:val="sl-SI"/>
        </w:rPr>
        <w:br w:type="page"/>
      </w:r>
    </w:p>
    <w:p w:rsidRPr="009F0FBD" w:rsidR="00240FD7" w:rsidP="00611089" w:rsidRDefault="00E47EFC" w14:paraId="2E1E7900" w14:textId="1FA51542">
      <w:pPr>
        <w:widowControl w:val="0"/>
        <w:numPr>
          <w:ilvl w:val="0"/>
          <w:numId w:val="4"/>
        </w:numPr>
        <w:overflowPunct w:val="0"/>
        <w:autoSpaceDE w:val="0"/>
        <w:autoSpaceDN w:val="0"/>
        <w:adjustRightInd w:val="0"/>
        <w:ind w:hanging="567"/>
        <w:textAlignment w:val="baseline"/>
        <w:rPr>
          <w:sz w:val="20"/>
          <w:szCs w:val="20"/>
          <w:lang w:val="sl-SI"/>
        </w:rPr>
      </w:pPr>
      <w:hyperlink w:history="1" r:id="rId38">
        <w:r w:rsidRPr="009F0FBD" w:rsidR="00ED082A">
          <w:rPr>
            <w:rStyle w:val="Hyperlink"/>
            <w:b/>
            <w:i/>
            <w:sz w:val="28"/>
            <w:lang w:val="sl-SI"/>
          </w:rPr>
          <w:t>Načrtovanje trajnostne mobilnosti v mestih v EU</w:t>
        </w:r>
      </w:hyperlink>
    </w:p>
    <w:p w:rsidRPr="009F0FBD" w:rsidR="00240FD7" w:rsidP="00240FD7" w:rsidRDefault="00240FD7" w14:paraId="6214C6F8" w14:textId="1B2D41AC">
      <w:pPr>
        <w:tabs>
          <w:tab w:val="center" w:pos="284"/>
        </w:tabs>
        <w:overflowPunct w:val="0"/>
        <w:autoSpaceDE w:val="0"/>
        <w:autoSpaceDN w:val="0"/>
        <w:adjustRightInd w:val="0"/>
        <w:ind w:left="266" w:hanging="266"/>
        <w:textAlignment w:val="baseline"/>
        <w:rPr>
          <w:b/>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21"/>
        <w:gridCol w:w="6752"/>
      </w:tblGrid>
      <w:tr w:rsidRPr="0084110F" w:rsidR="00ED082A" w:rsidTr="002775CC" w14:paraId="26E5D1F9" w14:textId="77777777">
        <w:tc>
          <w:tcPr>
            <w:tcW w:w="1279" w:type="pct"/>
          </w:tcPr>
          <w:p w:rsidRPr="009F0FBD" w:rsidR="00ED082A" w:rsidP="002775CC" w:rsidRDefault="00ED082A" w14:paraId="54BC20F5" w14:textId="77777777">
            <w:pPr>
              <w:tabs>
                <w:tab w:val="center" w:pos="284"/>
              </w:tabs>
              <w:suppressAutoHyphens/>
              <w:ind w:left="266" w:hanging="266"/>
              <w:rPr>
                <w:b/>
                <w:lang w:val="sl-SI"/>
              </w:rPr>
            </w:pPr>
            <w:r w:rsidRPr="009F0FBD">
              <w:rPr>
                <w:b/>
                <w:lang w:val="sl-SI"/>
              </w:rPr>
              <w:t xml:space="preserve">Poročevalka </w:t>
            </w:r>
          </w:p>
        </w:tc>
        <w:tc>
          <w:tcPr>
            <w:tcW w:w="3721" w:type="pct"/>
          </w:tcPr>
          <w:p w:rsidRPr="009F0FBD" w:rsidR="00ED082A" w:rsidP="002775CC" w:rsidRDefault="00ED082A" w14:paraId="50494B97" w14:textId="77777777">
            <w:pPr>
              <w:tabs>
                <w:tab w:val="center" w:pos="284"/>
              </w:tabs>
              <w:suppressAutoHyphens/>
              <w:ind w:left="266" w:right="-103" w:hanging="266"/>
              <w:rPr>
                <w:lang w:val="sl-SI"/>
              </w:rPr>
            </w:pPr>
            <w:r w:rsidRPr="009F0FBD">
              <w:rPr>
                <w:lang w:val="sl-SI"/>
              </w:rPr>
              <w:t>Lidija PAVIĆ-ROGOŠIĆ (skupina organizacij civilne družbe – HR)</w:t>
            </w:r>
          </w:p>
        </w:tc>
      </w:tr>
      <w:tr w:rsidRPr="0084110F" w:rsidR="00ED082A" w:rsidTr="002775CC" w14:paraId="24086DC6" w14:textId="77777777">
        <w:tc>
          <w:tcPr>
            <w:tcW w:w="1279" w:type="pct"/>
          </w:tcPr>
          <w:p w:rsidRPr="009F0FBD" w:rsidR="00ED082A" w:rsidP="002775CC" w:rsidRDefault="00ED082A" w14:paraId="59B5096F" w14:textId="77777777">
            <w:pPr>
              <w:tabs>
                <w:tab w:val="center" w:pos="284"/>
              </w:tabs>
              <w:suppressAutoHyphens/>
              <w:ind w:left="266" w:hanging="266"/>
              <w:rPr>
                <w:b/>
                <w:lang w:val="sl-SI"/>
              </w:rPr>
            </w:pPr>
            <w:r w:rsidRPr="009F0FBD">
              <w:rPr>
                <w:b/>
                <w:lang w:val="sl-SI"/>
              </w:rPr>
              <w:t>Soporočevalec</w:t>
            </w:r>
          </w:p>
        </w:tc>
        <w:tc>
          <w:tcPr>
            <w:tcW w:w="3721" w:type="pct"/>
          </w:tcPr>
          <w:p w:rsidRPr="009F0FBD" w:rsidR="00ED082A" w:rsidP="002775CC" w:rsidRDefault="00ED082A" w14:paraId="1137C836" w14:textId="77777777">
            <w:pPr>
              <w:tabs>
                <w:tab w:val="center" w:pos="284"/>
              </w:tabs>
              <w:suppressAutoHyphens/>
              <w:ind w:left="266" w:hanging="266"/>
              <w:rPr>
                <w:lang w:val="sl-SI"/>
              </w:rPr>
            </w:pPr>
            <w:r w:rsidRPr="009F0FBD">
              <w:rPr>
                <w:lang w:val="sl-SI"/>
              </w:rPr>
              <w:t>Mateusz SZYMAŃSKI (skupina delojemalcev – PL)</w:t>
            </w:r>
          </w:p>
        </w:tc>
      </w:tr>
      <w:tr w:rsidRPr="0084110F" w:rsidR="00ED082A" w:rsidTr="002775CC" w14:paraId="1ED0447C" w14:textId="77777777">
        <w:tc>
          <w:tcPr>
            <w:tcW w:w="5000" w:type="pct"/>
            <w:gridSpan w:val="2"/>
          </w:tcPr>
          <w:p w:rsidRPr="009F0FBD" w:rsidR="00ED082A" w:rsidP="002775CC" w:rsidRDefault="00ED082A" w14:paraId="72681A92" w14:textId="77777777">
            <w:pPr>
              <w:tabs>
                <w:tab w:val="center" w:pos="284"/>
              </w:tabs>
              <w:suppressAutoHyphens/>
              <w:spacing w:line="240" w:lineRule="auto"/>
              <w:ind w:left="266" w:hanging="266"/>
              <w:rPr>
                <w:sz w:val="16"/>
                <w:szCs w:val="16"/>
                <w:lang w:val="sl-SI"/>
              </w:rPr>
            </w:pPr>
          </w:p>
        </w:tc>
      </w:tr>
      <w:tr w:rsidRPr="0084110F" w:rsidR="00ED082A" w:rsidTr="002775CC" w14:paraId="5D791B07" w14:textId="77777777">
        <w:trPr>
          <w:trHeight w:val="360"/>
        </w:trPr>
        <w:tc>
          <w:tcPr>
            <w:tcW w:w="1279" w:type="pct"/>
          </w:tcPr>
          <w:p w:rsidRPr="009F0FBD" w:rsidR="00ED082A" w:rsidP="002775CC" w:rsidRDefault="00ED082A" w14:paraId="36DFFCD3" w14:textId="77777777">
            <w:pPr>
              <w:tabs>
                <w:tab w:val="center" w:pos="284"/>
              </w:tabs>
              <w:suppressAutoHyphens/>
              <w:ind w:left="266" w:hanging="266"/>
              <w:rPr>
                <w:b/>
                <w:lang w:val="sl-SI"/>
              </w:rPr>
            </w:pPr>
            <w:r w:rsidRPr="009F0FBD">
              <w:rPr>
                <w:b/>
                <w:lang w:val="sl-SI"/>
              </w:rPr>
              <w:t>Referenčni dokument</w:t>
            </w:r>
          </w:p>
        </w:tc>
        <w:tc>
          <w:tcPr>
            <w:tcW w:w="3721" w:type="pct"/>
          </w:tcPr>
          <w:p w:rsidRPr="009F0FBD" w:rsidR="00ED082A" w:rsidP="002775CC" w:rsidRDefault="00ED082A" w14:paraId="49F2F1D5" w14:textId="77777777">
            <w:pPr>
              <w:tabs>
                <w:tab w:val="center" w:pos="284"/>
              </w:tabs>
              <w:suppressAutoHyphens/>
              <w:ind w:left="266" w:hanging="266"/>
              <w:rPr>
                <w:lang w:val="sl-SI"/>
              </w:rPr>
            </w:pPr>
            <w:r w:rsidRPr="009F0FBD">
              <w:rPr>
                <w:lang w:val="sl-SI"/>
              </w:rPr>
              <w:t>mnenje na lastno pobudo</w:t>
            </w:r>
          </w:p>
          <w:p w:rsidRPr="009F0FBD" w:rsidR="00ED082A" w:rsidP="002775CC" w:rsidRDefault="00ED082A" w14:paraId="083467A7" w14:textId="77777777">
            <w:pPr>
              <w:tabs>
                <w:tab w:val="center" w:pos="284"/>
              </w:tabs>
              <w:suppressAutoHyphens/>
              <w:ind w:left="266" w:hanging="266"/>
              <w:rPr>
                <w:lang w:val="sl-SI"/>
              </w:rPr>
            </w:pPr>
            <w:r w:rsidRPr="009F0FBD">
              <w:rPr>
                <w:lang w:val="sl-SI"/>
              </w:rPr>
              <w:t>EESC-2025-00372-00-00-AC</w:t>
            </w:r>
          </w:p>
        </w:tc>
      </w:tr>
    </w:tbl>
    <w:p w:rsidRPr="009F0FBD" w:rsidR="00ED082A" w:rsidP="00240FD7" w:rsidRDefault="00ED082A" w14:paraId="323D1BE8" w14:textId="6D646480">
      <w:pPr>
        <w:tabs>
          <w:tab w:val="center" w:pos="284"/>
        </w:tabs>
        <w:overflowPunct w:val="0"/>
        <w:autoSpaceDE w:val="0"/>
        <w:autoSpaceDN w:val="0"/>
        <w:adjustRightInd w:val="0"/>
        <w:ind w:left="266" w:hanging="266"/>
        <w:textAlignment w:val="baseline"/>
        <w:rPr>
          <w:b/>
          <w:lang w:val="sl-SI"/>
        </w:rPr>
      </w:pPr>
    </w:p>
    <w:p w:rsidRPr="009F0FBD" w:rsidR="00ED082A" w:rsidP="00ED082A" w:rsidRDefault="00ED082A" w14:paraId="377FBFD6" w14:textId="77777777">
      <w:pPr>
        <w:tabs>
          <w:tab w:val="center" w:pos="284"/>
        </w:tabs>
        <w:suppressAutoHyphens/>
        <w:ind w:left="266" w:hanging="266"/>
        <w:rPr>
          <w:b/>
          <w:lang w:val="sl-SI"/>
        </w:rPr>
      </w:pPr>
      <w:r w:rsidRPr="009F0FBD">
        <w:rPr>
          <w:b/>
          <w:lang w:val="sl-SI"/>
        </w:rPr>
        <w:t>Glavne točke</w:t>
      </w:r>
    </w:p>
    <w:p w:rsidRPr="009F0FBD" w:rsidR="00ED082A" w:rsidP="00ED082A" w:rsidRDefault="00ED082A" w14:paraId="3AEF4225" w14:textId="77777777">
      <w:pPr>
        <w:tabs>
          <w:tab w:val="center" w:pos="284"/>
        </w:tabs>
        <w:suppressAutoHyphens/>
        <w:ind w:left="266" w:hanging="266"/>
        <w:rPr>
          <w:bCs/>
          <w:lang w:val="sl-SI"/>
        </w:rPr>
      </w:pPr>
    </w:p>
    <w:p w:rsidRPr="009F0FBD" w:rsidR="00ED082A" w:rsidP="00ED082A" w:rsidRDefault="00ED082A" w14:paraId="07C95146" w14:textId="77777777">
      <w:pPr>
        <w:suppressAutoHyphens/>
        <w:rPr>
          <w:bCs/>
          <w:iCs/>
          <w:lang w:val="sl-SI"/>
        </w:rPr>
      </w:pPr>
      <w:r w:rsidRPr="009F0FBD">
        <w:rPr>
          <w:lang w:val="sl-SI"/>
        </w:rPr>
        <w:t>EESO:</w:t>
      </w:r>
    </w:p>
    <w:p w:rsidRPr="009F0FBD" w:rsidR="00ED082A" w:rsidP="00ED082A" w:rsidRDefault="00ED082A" w14:paraId="513F9703" w14:textId="77777777">
      <w:pPr>
        <w:suppressAutoHyphens/>
        <w:rPr>
          <w:bCs/>
          <w:iCs/>
          <w:lang w:val="sl-SI"/>
        </w:rPr>
      </w:pPr>
    </w:p>
    <w:p w:rsidRPr="009F0FBD" w:rsidR="00ED082A" w:rsidP="004F5634" w:rsidRDefault="00ED082A" w14:paraId="0F912ADB" w14:textId="77777777">
      <w:pPr>
        <w:numPr>
          <w:ilvl w:val="0"/>
          <w:numId w:val="41"/>
        </w:numPr>
        <w:tabs>
          <w:tab w:val="clear" w:pos="720"/>
          <w:tab w:val="num" w:pos="426"/>
        </w:tabs>
        <w:suppressAutoHyphens/>
        <w:overflowPunct w:val="0"/>
        <w:autoSpaceDE w:val="0"/>
        <w:autoSpaceDN w:val="0"/>
        <w:adjustRightInd w:val="0"/>
        <w:ind w:left="284" w:hanging="284"/>
        <w:textAlignment w:val="baseline"/>
        <w:rPr>
          <w:bCs/>
          <w:iCs/>
          <w:lang w:val="sl-SI"/>
        </w:rPr>
      </w:pPr>
      <w:r w:rsidRPr="009F0FBD">
        <w:rPr>
          <w:lang w:val="sl-SI"/>
        </w:rPr>
        <w:t>priporoča razvoj načrtov za trajnostno mobilnost v mestih, da bi izboljšali mobilnost v mestih in zmanjšali njen vpliv na okolje. Vse države članice poziva, naj razvijejo nacionalne programe za pomoč lokalnim in regionalnim oblastem pri pripravi in izvajanju teh načrtov s smernicami, krepitvijo zmogljivosti in financiranjem, Komisija pa bi morala podpreti nadaljevanje in širitev mrež CIVINET;</w:t>
      </w:r>
    </w:p>
    <w:p w:rsidRPr="009F0FBD" w:rsidR="00ED082A" w:rsidP="004F5634" w:rsidRDefault="00ED082A" w14:paraId="4F25C217" w14:textId="77777777">
      <w:pPr>
        <w:numPr>
          <w:ilvl w:val="0"/>
          <w:numId w:val="41"/>
        </w:numPr>
        <w:tabs>
          <w:tab w:val="clear" w:pos="720"/>
          <w:tab w:val="num" w:pos="426"/>
        </w:tabs>
        <w:suppressAutoHyphens/>
        <w:overflowPunct w:val="0"/>
        <w:autoSpaceDE w:val="0"/>
        <w:autoSpaceDN w:val="0"/>
        <w:adjustRightInd w:val="0"/>
        <w:ind w:left="284" w:hanging="284"/>
        <w:textAlignment w:val="baseline"/>
        <w:rPr>
          <w:bCs/>
          <w:iCs/>
          <w:lang w:val="sl-SI"/>
        </w:rPr>
      </w:pPr>
      <w:r w:rsidRPr="009F0FBD">
        <w:rPr>
          <w:lang w:val="sl-SI"/>
        </w:rPr>
        <w:t>poudarja, da so načrti za trajnostno mobilnost v mestih ključnega pomena za uravnotežen regionalni razvoj. Bistven korak bo mobilizacija ustvarjalnosti in socialnega kapitala posamezne regije; ključno vlogo imajo lahko organizacije delodajalcev in delojemalcev ter organizacije civilne družbe, ki jih je treba spodbujati, naj prispevajo k temu dialogu. Pomembno je, da se v načrtovanje vključijo vsi ustrezni deležniki na lokalni in nacionalni ravni ter na ravni EU, tudi pri čezmejnih vprašanjih;</w:t>
      </w:r>
    </w:p>
    <w:p w:rsidRPr="009F0FBD" w:rsidR="00ED082A" w:rsidP="004F5634" w:rsidRDefault="00ED082A" w14:paraId="7693BE79" w14:textId="77777777">
      <w:pPr>
        <w:numPr>
          <w:ilvl w:val="0"/>
          <w:numId w:val="41"/>
        </w:numPr>
        <w:tabs>
          <w:tab w:val="clear" w:pos="720"/>
          <w:tab w:val="num" w:pos="426"/>
        </w:tabs>
        <w:suppressAutoHyphens/>
        <w:overflowPunct w:val="0"/>
        <w:autoSpaceDE w:val="0"/>
        <w:autoSpaceDN w:val="0"/>
        <w:adjustRightInd w:val="0"/>
        <w:ind w:left="284" w:hanging="284"/>
        <w:textAlignment w:val="baseline"/>
        <w:rPr>
          <w:lang w:val="sl-SI"/>
        </w:rPr>
      </w:pPr>
      <w:r w:rsidRPr="009F0FBD">
        <w:rPr>
          <w:lang w:val="sl-SI"/>
        </w:rPr>
        <w:t>priporoča, da je pri načrtovanju mobilnosti v mestih treba upoštevati, da družbeno in gospodarsko življenje naših mestnih območij zajema tudi predmestna, primestna in podeželska območja, zato je treba zajeti tudi njihova stališča in potrebe. Neučinkovit sistem mobilnosti prispeva k nastanku ali ohranjanju razkoraka med mesti in podeželjem ter njegovih negativnih gospodarskih, socialnih in političnih posledic. Pravičen sistem mobilnosti pomeni, da je mobilnost cenovno dostopna in ne ustvarja privilegijev v korist tistim, ki so že brez tega v boljšem položaju.</w:t>
      </w:r>
    </w:p>
    <w:p w:rsidRPr="009F0FBD" w:rsidR="00ED082A" w:rsidP="00ED082A" w:rsidRDefault="00ED082A" w14:paraId="1CFF2B29" w14:textId="77777777">
      <w:pPr>
        <w:suppressAutoHyphens/>
        <w:rPr>
          <w:lang w:val="sl-SI"/>
        </w:rPr>
      </w:pPr>
    </w:p>
    <w:tbl>
      <w:tblPr>
        <w:tblStyle w:val="TableGrid"/>
        <w:tblW w:w="49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981"/>
      </w:tblGrid>
      <w:tr w:rsidRPr="009F0FBD" w:rsidR="00ED082A" w:rsidTr="002775CC" w14:paraId="3686FE67" w14:textId="77777777">
        <w:tc>
          <w:tcPr>
            <w:tcW w:w="1107" w:type="pct"/>
          </w:tcPr>
          <w:p w:rsidRPr="009F0FBD" w:rsidR="00ED082A" w:rsidP="002775CC" w:rsidRDefault="00ED082A" w14:paraId="04277979" w14:textId="77777777">
            <w:pPr>
              <w:suppressAutoHyphens/>
              <w:rPr>
                <w:i/>
                <w:lang w:val="sl-SI"/>
              </w:rPr>
            </w:pPr>
            <w:r w:rsidRPr="009F0FBD">
              <w:rPr>
                <w:b/>
                <w:i/>
                <w:lang w:val="sl-SI"/>
              </w:rPr>
              <w:t>Kontakt</w:t>
            </w:r>
          </w:p>
        </w:tc>
        <w:tc>
          <w:tcPr>
            <w:tcW w:w="3893" w:type="pct"/>
          </w:tcPr>
          <w:p w:rsidRPr="009F0FBD" w:rsidR="00ED082A" w:rsidP="002775CC" w:rsidRDefault="00ED082A" w14:paraId="796BC58F" w14:textId="77777777">
            <w:pPr>
              <w:suppressAutoHyphens/>
              <w:rPr>
                <w:i/>
                <w:lang w:val="sl-SI"/>
              </w:rPr>
            </w:pPr>
            <w:r w:rsidRPr="009F0FBD">
              <w:rPr>
                <w:i/>
                <w:lang w:val="sl-SI"/>
              </w:rPr>
              <w:t>Maja RADMAN</w:t>
            </w:r>
          </w:p>
        </w:tc>
      </w:tr>
      <w:tr w:rsidRPr="009F0FBD" w:rsidR="00ED082A" w:rsidTr="002775CC" w14:paraId="4C96F739" w14:textId="77777777">
        <w:tc>
          <w:tcPr>
            <w:tcW w:w="1107" w:type="pct"/>
          </w:tcPr>
          <w:p w:rsidRPr="009F0FBD" w:rsidR="00ED082A" w:rsidP="002775CC" w:rsidRDefault="00ED082A" w14:paraId="73DA8E35" w14:textId="77777777">
            <w:pPr>
              <w:suppressAutoHyphens/>
              <w:rPr>
                <w:i/>
                <w:lang w:val="sl-SI"/>
              </w:rPr>
            </w:pPr>
            <w:r w:rsidRPr="009F0FBD">
              <w:rPr>
                <w:i/>
                <w:lang w:val="sl-SI"/>
              </w:rPr>
              <w:t>Telefon</w:t>
            </w:r>
          </w:p>
        </w:tc>
        <w:tc>
          <w:tcPr>
            <w:tcW w:w="3893" w:type="pct"/>
          </w:tcPr>
          <w:p w:rsidRPr="009F0FBD" w:rsidR="00ED082A" w:rsidP="002775CC" w:rsidRDefault="00ED082A" w14:paraId="228E6A76" w14:textId="77777777">
            <w:pPr>
              <w:suppressAutoHyphens/>
              <w:rPr>
                <w:i/>
                <w:lang w:val="sl-SI"/>
              </w:rPr>
            </w:pPr>
            <w:r w:rsidRPr="009F0FBD">
              <w:rPr>
                <w:i/>
                <w:lang w:val="sl-SI"/>
              </w:rPr>
              <w:t>+32 25469051</w:t>
            </w:r>
          </w:p>
        </w:tc>
      </w:tr>
      <w:tr w:rsidRPr="0084110F" w:rsidR="00ED082A" w:rsidTr="002775CC" w14:paraId="4B2B646A" w14:textId="77777777">
        <w:tc>
          <w:tcPr>
            <w:tcW w:w="1107" w:type="pct"/>
          </w:tcPr>
          <w:p w:rsidRPr="009F0FBD" w:rsidR="00ED082A" w:rsidP="002775CC" w:rsidRDefault="00ED082A" w14:paraId="5697350D" w14:textId="77777777">
            <w:pPr>
              <w:suppressAutoHyphens/>
              <w:rPr>
                <w:i/>
                <w:lang w:val="sl-SI"/>
              </w:rPr>
            </w:pPr>
            <w:r w:rsidRPr="009F0FBD">
              <w:rPr>
                <w:i/>
                <w:lang w:val="sl-SI"/>
              </w:rPr>
              <w:t>E-naslov</w:t>
            </w:r>
          </w:p>
        </w:tc>
        <w:tc>
          <w:tcPr>
            <w:tcW w:w="3893" w:type="pct"/>
          </w:tcPr>
          <w:p w:rsidRPr="009F0FBD" w:rsidR="00ED082A" w:rsidP="002775CC" w:rsidRDefault="00E47EFC" w14:paraId="01DB0A6B" w14:textId="77777777">
            <w:pPr>
              <w:suppressAutoHyphens/>
              <w:rPr>
                <w:i/>
                <w:iCs/>
                <w:lang w:val="sl-SI"/>
              </w:rPr>
            </w:pPr>
            <w:hyperlink w:history="1" r:id="rId39">
              <w:r w:rsidRPr="009F0FBD" w:rsidR="00ED082A">
                <w:rPr>
                  <w:rStyle w:val="Hyperlink"/>
                  <w:i/>
                  <w:lang w:val="sl-SI"/>
                </w:rPr>
                <w:t>Maja.Radman@eesc.europa.eu</w:t>
              </w:r>
            </w:hyperlink>
          </w:p>
        </w:tc>
      </w:tr>
    </w:tbl>
    <w:p w:rsidRPr="009F0FBD" w:rsidR="00240FD7" w:rsidP="00240FD7" w:rsidRDefault="00240FD7" w14:paraId="25DFC435" w14:textId="77777777">
      <w:pPr>
        <w:overflowPunct w:val="0"/>
        <w:autoSpaceDE w:val="0"/>
        <w:autoSpaceDN w:val="0"/>
        <w:adjustRightInd w:val="0"/>
        <w:jc w:val="center"/>
        <w:textAlignment w:val="baseline"/>
        <w:rPr>
          <w:szCs w:val="20"/>
          <w:lang w:val="sl-SI"/>
        </w:rPr>
      </w:pPr>
    </w:p>
    <w:p w:rsidRPr="009F0FBD" w:rsidR="004D7AC0" w:rsidP="004D7AC0" w:rsidRDefault="004D7AC0" w14:paraId="4982DDF2" w14:textId="50B1413F">
      <w:pPr>
        <w:spacing w:after="160" w:line="259" w:lineRule="auto"/>
        <w:jc w:val="left"/>
        <w:rPr>
          <w:lang w:val="sl-SI"/>
        </w:rPr>
      </w:pPr>
      <w:r w:rsidRPr="009F0FBD">
        <w:rPr>
          <w:lang w:val="sl-SI"/>
        </w:rPr>
        <w:br w:type="page"/>
      </w:r>
    </w:p>
    <w:p w:rsidRPr="009F0FBD" w:rsidR="004D7AC0" w:rsidP="004D7AC0" w:rsidRDefault="00104970" w14:paraId="4982DDF4" w14:textId="70EB62CF">
      <w:pPr>
        <w:pStyle w:val="Heading1"/>
        <w:rPr>
          <w:b/>
          <w:lang w:val="sl-SI"/>
        </w:rPr>
      </w:pPr>
      <w:bookmarkStart w:name="_Toc75527083" w:id="9"/>
      <w:bookmarkStart w:name="_Toc201837071" w:id="10"/>
      <w:r w:rsidRPr="009F0FBD">
        <w:rPr>
          <w:b/>
          <w:lang w:val="sl-SI"/>
        </w:rPr>
        <w:lastRenderedPageBreak/>
        <w:t>ENOTNI TRG, PROIZVODNJA IN POTROŠNJA</w:t>
      </w:r>
      <w:bookmarkEnd w:id="9"/>
      <w:bookmarkEnd w:id="10"/>
    </w:p>
    <w:p w:rsidRPr="009F0FBD" w:rsidR="00104970" w:rsidP="00104970" w:rsidRDefault="00104970" w14:paraId="113AA5A0" w14:textId="77777777">
      <w:pPr>
        <w:rPr>
          <w:lang w:val="sl-SI"/>
        </w:rPr>
      </w:pPr>
    </w:p>
    <w:p w:rsidRPr="009F0FBD" w:rsidR="00254761" w:rsidP="00611089" w:rsidRDefault="00E47EFC" w14:paraId="5865EBE1" w14:textId="1D943311">
      <w:pPr>
        <w:widowControl w:val="0"/>
        <w:numPr>
          <w:ilvl w:val="0"/>
          <w:numId w:val="4"/>
        </w:numPr>
        <w:overflowPunct w:val="0"/>
        <w:autoSpaceDE w:val="0"/>
        <w:autoSpaceDN w:val="0"/>
        <w:adjustRightInd w:val="0"/>
        <w:ind w:hanging="567"/>
        <w:textAlignment w:val="baseline"/>
        <w:rPr>
          <w:sz w:val="20"/>
          <w:szCs w:val="20"/>
          <w:lang w:val="sl-SI"/>
        </w:rPr>
      </w:pPr>
      <w:hyperlink w:tgtFrame="_blank" w:history="1" r:id="rId40">
        <w:r w:rsidRPr="009F0FBD" w:rsidR="00ED082A">
          <w:rPr>
            <w:rStyle w:val="Hyperlink"/>
            <w:b/>
            <w:i/>
            <w:sz w:val="28"/>
            <w:lang w:val="sl-SI"/>
          </w:rPr>
          <w:t>Politike potrebne skrbnosti v zvezi z baterijami</w:t>
        </w:r>
      </w:hyperlink>
    </w:p>
    <w:p w:rsidRPr="009F0FBD" w:rsidR="00ED082A" w:rsidP="00ED082A" w:rsidRDefault="00ED082A" w14:paraId="713090DC" w14:textId="6F323CCF">
      <w:pPr>
        <w:tabs>
          <w:tab w:val="left" w:pos="1346"/>
        </w:tabs>
        <w:overflowPunct w:val="0"/>
        <w:autoSpaceDE w:val="0"/>
        <w:autoSpaceDN w:val="0"/>
        <w:adjustRightInd w:val="0"/>
        <w:ind w:left="266" w:hanging="266"/>
        <w:textAlignment w:val="baseline"/>
        <w:rPr>
          <w:b/>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6521"/>
      </w:tblGrid>
      <w:tr w:rsidRPr="009F0FBD" w:rsidR="00ED082A" w:rsidTr="002775CC" w14:paraId="4BA5E39E" w14:textId="77777777">
        <w:tc>
          <w:tcPr>
            <w:tcW w:w="2552" w:type="dxa"/>
          </w:tcPr>
          <w:p w:rsidRPr="009F0FBD" w:rsidR="00ED082A" w:rsidP="002775CC" w:rsidRDefault="00ED082A" w14:paraId="3CD051DE" w14:textId="29B28A86">
            <w:pPr>
              <w:tabs>
                <w:tab w:val="center" w:pos="284"/>
              </w:tabs>
              <w:ind w:left="266" w:hanging="266"/>
              <w:jc w:val="left"/>
              <w:rPr>
                <w:b/>
                <w:lang w:val="sl-SI"/>
              </w:rPr>
            </w:pPr>
          </w:p>
        </w:tc>
        <w:tc>
          <w:tcPr>
            <w:tcW w:w="6521" w:type="dxa"/>
          </w:tcPr>
          <w:p w:rsidRPr="009F0FBD" w:rsidR="00ED082A" w:rsidP="002775CC" w:rsidRDefault="00ED082A" w14:paraId="1EE17DDA" w14:textId="77777777">
            <w:pPr>
              <w:tabs>
                <w:tab w:val="center" w:pos="284"/>
              </w:tabs>
              <w:ind w:left="266" w:hanging="266"/>
              <w:jc w:val="left"/>
              <w:rPr>
                <w:lang w:val="sl-SI"/>
              </w:rPr>
            </w:pPr>
          </w:p>
        </w:tc>
      </w:tr>
      <w:tr w:rsidRPr="009F0FBD" w:rsidR="00ED082A" w:rsidTr="002775CC" w14:paraId="21549824" w14:textId="77777777">
        <w:tc>
          <w:tcPr>
            <w:tcW w:w="9073" w:type="dxa"/>
            <w:gridSpan w:val="2"/>
          </w:tcPr>
          <w:p w:rsidRPr="009F0FBD" w:rsidR="00ED082A" w:rsidP="002775CC" w:rsidRDefault="00ED082A" w14:paraId="361A12EB" w14:textId="77777777">
            <w:pPr>
              <w:tabs>
                <w:tab w:val="center" w:pos="284"/>
              </w:tabs>
              <w:spacing w:line="160" w:lineRule="exact"/>
              <w:ind w:left="266" w:hanging="266"/>
              <w:rPr>
                <w:lang w:val="sl-SI"/>
              </w:rPr>
            </w:pPr>
          </w:p>
        </w:tc>
      </w:tr>
      <w:tr w:rsidRPr="009F0FBD" w:rsidR="00ED082A" w:rsidTr="002775CC" w14:paraId="045F9B58" w14:textId="77777777">
        <w:tc>
          <w:tcPr>
            <w:tcW w:w="2552" w:type="dxa"/>
            <w:vMerge w:val="restart"/>
          </w:tcPr>
          <w:p w:rsidRPr="009F0FBD" w:rsidR="00ED082A" w:rsidP="002775CC" w:rsidRDefault="00ED082A" w14:paraId="455D5D97" w14:textId="77777777">
            <w:pPr>
              <w:tabs>
                <w:tab w:val="center" w:pos="284"/>
              </w:tabs>
              <w:ind w:left="266" w:hanging="266"/>
              <w:rPr>
                <w:b/>
                <w:lang w:val="sl-SI"/>
              </w:rPr>
            </w:pPr>
            <w:r w:rsidRPr="009F0FBD">
              <w:rPr>
                <w:b/>
                <w:lang w:val="sl-SI"/>
              </w:rPr>
              <w:t>Referenčna dokumenta</w:t>
            </w:r>
          </w:p>
        </w:tc>
        <w:tc>
          <w:tcPr>
            <w:tcW w:w="6521" w:type="dxa"/>
          </w:tcPr>
          <w:p w:rsidRPr="009F0FBD" w:rsidR="001937A8" w:rsidP="002775CC" w:rsidRDefault="001937A8" w14:paraId="4CBD9E52" w14:textId="50FC9746">
            <w:pPr>
              <w:tabs>
                <w:tab w:val="center" w:pos="284"/>
              </w:tabs>
              <w:ind w:left="266" w:hanging="266"/>
              <w:rPr>
                <w:lang w:val="sl-SI"/>
              </w:rPr>
            </w:pPr>
            <w:r w:rsidRPr="009F0FBD">
              <w:rPr>
                <w:lang w:val="sl-SI"/>
              </w:rPr>
              <w:t>mnenje kategorije C</w:t>
            </w:r>
          </w:p>
          <w:p w:rsidRPr="009F0FBD" w:rsidR="00ED082A" w:rsidP="002775CC" w:rsidRDefault="00ED082A" w14:paraId="29DC52C2" w14:textId="01C063B4">
            <w:pPr>
              <w:tabs>
                <w:tab w:val="center" w:pos="284"/>
              </w:tabs>
              <w:ind w:left="266" w:hanging="266"/>
              <w:rPr>
                <w:lang w:val="sl-SI"/>
              </w:rPr>
            </w:pPr>
            <w:r w:rsidRPr="009F0FBD">
              <w:rPr>
                <w:lang w:val="sl-SI"/>
              </w:rPr>
              <w:t>COM(2025) 258 final</w:t>
            </w:r>
          </w:p>
        </w:tc>
      </w:tr>
      <w:tr w:rsidRPr="009F0FBD" w:rsidR="00ED082A" w:rsidTr="002775CC" w14:paraId="1FED4A30" w14:textId="77777777">
        <w:tc>
          <w:tcPr>
            <w:tcW w:w="2552" w:type="dxa"/>
            <w:vMerge/>
          </w:tcPr>
          <w:p w:rsidRPr="009F0FBD" w:rsidR="00ED082A" w:rsidP="002775CC" w:rsidRDefault="00ED082A" w14:paraId="62D741A7" w14:textId="77777777">
            <w:pPr>
              <w:tabs>
                <w:tab w:val="center" w:pos="284"/>
              </w:tabs>
              <w:ind w:left="266" w:hanging="266"/>
              <w:rPr>
                <w:b/>
                <w:lang w:val="sl-SI"/>
              </w:rPr>
            </w:pPr>
          </w:p>
        </w:tc>
        <w:tc>
          <w:tcPr>
            <w:tcW w:w="6521" w:type="dxa"/>
          </w:tcPr>
          <w:p w:rsidRPr="009F0FBD" w:rsidR="00ED082A" w:rsidP="002775CC" w:rsidRDefault="00ED082A" w14:paraId="76FE96D4" w14:textId="77777777">
            <w:pPr>
              <w:tabs>
                <w:tab w:val="center" w:pos="284"/>
              </w:tabs>
              <w:ind w:left="266" w:hanging="266"/>
              <w:rPr>
                <w:lang w:val="sl-SI"/>
              </w:rPr>
            </w:pPr>
            <w:r w:rsidRPr="009F0FBD">
              <w:rPr>
                <w:lang w:val="sl-SI"/>
              </w:rPr>
              <w:t>EESC-2025-02082-00-00-AC</w:t>
            </w:r>
          </w:p>
        </w:tc>
      </w:tr>
    </w:tbl>
    <w:p w:rsidRPr="009F0FBD" w:rsidR="00254761" w:rsidP="00254761" w:rsidRDefault="00254761" w14:paraId="416E8BDD" w14:textId="77777777">
      <w:pPr>
        <w:tabs>
          <w:tab w:val="center" w:pos="284"/>
        </w:tabs>
        <w:overflowPunct w:val="0"/>
        <w:autoSpaceDE w:val="0"/>
        <w:autoSpaceDN w:val="0"/>
        <w:adjustRightInd w:val="0"/>
        <w:ind w:left="266" w:hanging="266"/>
        <w:textAlignment w:val="baseline"/>
        <w:rPr>
          <w:lang w:val="sl-SI"/>
        </w:rPr>
      </w:pPr>
    </w:p>
    <w:p w:rsidRPr="009F0FBD" w:rsidR="00ED082A" w:rsidP="00ED082A" w:rsidRDefault="00ED082A" w14:paraId="4B69AAAB" w14:textId="77777777">
      <w:pPr>
        <w:keepNext/>
        <w:keepLines/>
        <w:tabs>
          <w:tab w:val="center" w:pos="284"/>
        </w:tabs>
        <w:ind w:left="266" w:hanging="266"/>
        <w:rPr>
          <w:b/>
          <w:lang w:val="sl-SI"/>
        </w:rPr>
      </w:pPr>
      <w:r w:rsidRPr="009F0FBD">
        <w:rPr>
          <w:b/>
          <w:lang w:val="sl-SI"/>
        </w:rPr>
        <w:t>Glavne točke</w:t>
      </w:r>
    </w:p>
    <w:p w:rsidRPr="009F0FBD" w:rsidR="00ED082A" w:rsidP="00ED082A" w:rsidRDefault="00ED082A" w14:paraId="2FC53345" w14:textId="77777777">
      <w:pPr>
        <w:keepNext/>
        <w:keepLines/>
        <w:tabs>
          <w:tab w:val="center" w:pos="284"/>
        </w:tabs>
        <w:ind w:left="266" w:hanging="266"/>
        <w:rPr>
          <w:b/>
          <w:lang w:val="sl-SI"/>
        </w:rPr>
      </w:pPr>
    </w:p>
    <w:p w:rsidRPr="009F0FBD" w:rsidR="00ED082A" w:rsidP="00ED082A" w:rsidRDefault="00ED082A" w14:paraId="3B4CAD0B" w14:textId="77777777">
      <w:pPr>
        <w:rPr>
          <w:bCs/>
          <w:iCs/>
          <w:lang w:val="sl-SI"/>
        </w:rPr>
      </w:pPr>
      <w:r w:rsidRPr="009F0FBD">
        <w:rPr>
          <w:lang w:val="sl-SI"/>
        </w:rPr>
        <w:t>EESO se strinja z vsebino predloga in nima nobenih pripomb.</w:t>
      </w:r>
    </w:p>
    <w:p w:rsidRPr="009F0FBD" w:rsidR="00ED082A" w:rsidP="00ED082A" w:rsidRDefault="00ED082A" w14:paraId="079743B6" w14:textId="77777777">
      <w:pPr>
        <w:rPr>
          <w:bCs/>
          <w:iCs/>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6521"/>
      </w:tblGrid>
      <w:tr w:rsidRPr="009F0FBD" w:rsidR="00ED082A" w:rsidTr="002775CC" w14:paraId="57DACE99" w14:textId="77777777">
        <w:tc>
          <w:tcPr>
            <w:tcW w:w="2552" w:type="dxa"/>
          </w:tcPr>
          <w:p w:rsidRPr="009F0FBD" w:rsidR="00ED082A" w:rsidP="002775CC" w:rsidRDefault="00ED082A" w14:paraId="510D3FE2" w14:textId="77777777">
            <w:pPr>
              <w:spacing w:line="240" w:lineRule="auto"/>
              <w:rPr>
                <w:i/>
                <w:lang w:val="sl-SI"/>
              </w:rPr>
            </w:pPr>
            <w:r w:rsidRPr="009F0FBD">
              <w:rPr>
                <w:b/>
                <w:i/>
                <w:lang w:val="sl-SI"/>
              </w:rPr>
              <w:t>Kontaktna oseba</w:t>
            </w:r>
          </w:p>
        </w:tc>
        <w:tc>
          <w:tcPr>
            <w:tcW w:w="6521" w:type="dxa"/>
          </w:tcPr>
          <w:p w:rsidRPr="009F0FBD" w:rsidR="00ED082A" w:rsidP="002775CC" w:rsidRDefault="00ED082A" w14:paraId="0458A5BC" w14:textId="77777777">
            <w:pPr>
              <w:spacing w:line="240" w:lineRule="auto"/>
              <w:rPr>
                <w:i/>
                <w:lang w:val="sl-SI"/>
              </w:rPr>
            </w:pPr>
            <w:r w:rsidRPr="009F0FBD">
              <w:rPr>
                <w:i/>
                <w:lang w:val="sl-SI"/>
              </w:rPr>
              <w:t>Alice TÉTU</w:t>
            </w:r>
          </w:p>
        </w:tc>
      </w:tr>
      <w:tr w:rsidRPr="009F0FBD" w:rsidR="00ED082A" w:rsidTr="002775CC" w14:paraId="7C1AE996" w14:textId="77777777">
        <w:tc>
          <w:tcPr>
            <w:tcW w:w="2552" w:type="dxa"/>
          </w:tcPr>
          <w:p w:rsidRPr="009F0FBD" w:rsidR="00ED082A" w:rsidP="002775CC" w:rsidRDefault="00ED082A" w14:paraId="0034B15B" w14:textId="77777777">
            <w:pPr>
              <w:spacing w:line="240" w:lineRule="auto"/>
              <w:rPr>
                <w:i/>
                <w:lang w:val="sl-SI"/>
              </w:rPr>
            </w:pPr>
            <w:r w:rsidRPr="009F0FBD">
              <w:rPr>
                <w:i/>
                <w:lang w:val="sl-SI"/>
              </w:rPr>
              <w:t>Telefon</w:t>
            </w:r>
          </w:p>
        </w:tc>
        <w:tc>
          <w:tcPr>
            <w:tcW w:w="6521" w:type="dxa"/>
          </w:tcPr>
          <w:p w:rsidRPr="009F0FBD" w:rsidR="00ED082A" w:rsidP="002775CC" w:rsidRDefault="00ED082A" w14:paraId="0084A782" w14:textId="77777777">
            <w:pPr>
              <w:spacing w:line="240" w:lineRule="auto"/>
              <w:rPr>
                <w:i/>
                <w:lang w:val="sl-SI"/>
              </w:rPr>
            </w:pPr>
            <w:r w:rsidRPr="009F0FBD">
              <w:rPr>
                <w:i/>
                <w:lang w:val="sl-SI"/>
              </w:rPr>
              <w:t>+ 32 25468286</w:t>
            </w:r>
          </w:p>
        </w:tc>
      </w:tr>
      <w:tr w:rsidRPr="0084110F" w:rsidR="00ED082A" w:rsidTr="002775CC" w14:paraId="79378C26" w14:textId="77777777">
        <w:tc>
          <w:tcPr>
            <w:tcW w:w="2552" w:type="dxa"/>
          </w:tcPr>
          <w:p w:rsidRPr="009F0FBD" w:rsidR="00ED082A" w:rsidP="002775CC" w:rsidRDefault="00ED082A" w14:paraId="2F801305" w14:textId="77777777">
            <w:pPr>
              <w:spacing w:line="240" w:lineRule="auto"/>
              <w:rPr>
                <w:i/>
                <w:lang w:val="sl-SI"/>
              </w:rPr>
            </w:pPr>
            <w:r w:rsidRPr="009F0FBD">
              <w:rPr>
                <w:i/>
                <w:lang w:val="sl-SI"/>
              </w:rPr>
              <w:t>E-naslov</w:t>
            </w:r>
          </w:p>
        </w:tc>
        <w:tc>
          <w:tcPr>
            <w:tcW w:w="6521" w:type="dxa"/>
          </w:tcPr>
          <w:p w:rsidRPr="009F0FBD" w:rsidR="00ED082A" w:rsidP="002775CC" w:rsidRDefault="00E47EFC" w14:paraId="5F6678DC" w14:textId="77777777">
            <w:pPr>
              <w:spacing w:line="240" w:lineRule="auto"/>
              <w:rPr>
                <w:i/>
                <w:lang w:val="sl-SI"/>
              </w:rPr>
            </w:pPr>
            <w:hyperlink w:history="1" r:id="rId41">
              <w:r w:rsidRPr="009F0FBD" w:rsidR="00ED082A">
                <w:rPr>
                  <w:rStyle w:val="Hyperlink"/>
                  <w:i/>
                  <w:lang w:val="sl-SI"/>
                </w:rPr>
                <w:t>Alice.Tetu@eesc.europa.eu</w:t>
              </w:r>
            </w:hyperlink>
          </w:p>
        </w:tc>
      </w:tr>
    </w:tbl>
    <w:p w:rsidRPr="009F0FBD" w:rsidR="00ED082A" w:rsidP="00ED082A" w:rsidRDefault="00ED082A" w14:paraId="63089426" w14:textId="77777777">
      <w:pPr>
        <w:rPr>
          <w:bCs/>
          <w:iCs/>
          <w:lang w:val="sl-SI"/>
        </w:rPr>
      </w:pPr>
    </w:p>
    <w:p w:rsidRPr="009F0FBD" w:rsidR="00254761" w:rsidRDefault="00254761" w14:paraId="13016555" w14:textId="77777777">
      <w:pPr>
        <w:spacing w:after="160" w:line="259" w:lineRule="auto"/>
        <w:jc w:val="left"/>
        <w:rPr>
          <w:b/>
          <w:i/>
          <w:sz w:val="28"/>
          <w:szCs w:val="28"/>
          <w:lang w:val="sl-SI"/>
        </w:rPr>
      </w:pPr>
      <w:r w:rsidRPr="009F0FBD">
        <w:rPr>
          <w:b/>
          <w:i/>
          <w:sz w:val="28"/>
          <w:szCs w:val="28"/>
          <w:lang w:val="sl-SI"/>
        </w:rPr>
        <w:br w:type="page"/>
      </w:r>
    </w:p>
    <w:p w:rsidRPr="009F0FBD" w:rsidR="0026311A" w:rsidP="00611089" w:rsidRDefault="00C14021" w14:paraId="2CBAAB44" w14:textId="40CF8730">
      <w:pPr>
        <w:widowControl w:val="0"/>
        <w:numPr>
          <w:ilvl w:val="0"/>
          <w:numId w:val="4"/>
        </w:numPr>
        <w:overflowPunct w:val="0"/>
        <w:autoSpaceDE w:val="0"/>
        <w:autoSpaceDN w:val="0"/>
        <w:adjustRightInd w:val="0"/>
        <w:ind w:hanging="567"/>
        <w:textAlignment w:val="baseline"/>
        <w:rPr>
          <w:b/>
          <w:lang w:val="sl-SI"/>
        </w:rPr>
      </w:pPr>
      <w:hyperlink w:tgtFrame="_blank" w:history="1" r:id="rId42">
        <w:r w:rsidRPr="009F0FBD" w:rsidR="00276128">
          <w:rPr>
            <w:rStyle w:val="Hyperlink"/>
            <w:b/>
            <w:i/>
            <w:sz w:val="28"/>
            <w:lang w:val="sl-SI"/>
          </w:rPr>
          <w:t>Prvi sveženj omnibus o trajnostnosti</w:t>
        </w:r>
      </w:hyperlink>
    </w:p>
    <w:p w:rsidRPr="009F0FBD" w:rsidR="0026311A" w:rsidP="0026311A" w:rsidRDefault="0026311A" w14:paraId="1049256D" w14:textId="74821261">
      <w:pPr>
        <w:widowControl w:val="0"/>
        <w:overflowPunct w:val="0"/>
        <w:autoSpaceDE w:val="0"/>
        <w:autoSpaceDN w:val="0"/>
        <w:adjustRightInd w:val="0"/>
        <w:ind w:left="567"/>
        <w:textAlignment w:val="baseline"/>
        <w:rPr>
          <w:b/>
          <w:lang w:val="sl-SI"/>
        </w:rPr>
      </w:pPr>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6804"/>
      </w:tblGrid>
      <w:tr w:rsidRPr="0084110F" w:rsidR="00276128" w:rsidTr="007C0C1A" w14:paraId="773058CA" w14:textId="77777777">
        <w:tc>
          <w:tcPr>
            <w:tcW w:w="2518" w:type="dxa"/>
          </w:tcPr>
          <w:p w:rsidRPr="009F0FBD" w:rsidR="00276128" w:rsidP="007C0C1A" w:rsidRDefault="00276128" w14:paraId="35688567" w14:textId="77777777">
            <w:pPr>
              <w:tabs>
                <w:tab w:val="center" w:pos="284"/>
              </w:tabs>
              <w:suppressAutoHyphens/>
              <w:ind w:left="266" w:hanging="266"/>
              <w:rPr>
                <w:b/>
                <w:lang w:val="sl-SI"/>
              </w:rPr>
            </w:pPr>
            <w:r w:rsidRPr="009F0FBD">
              <w:rPr>
                <w:b/>
                <w:lang w:val="sl-SI"/>
              </w:rPr>
              <w:t>Poročevalec</w:t>
            </w:r>
          </w:p>
        </w:tc>
        <w:tc>
          <w:tcPr>
            <w:tcW w:w="6804" w:type="dxa"/>
          </w:tcPr>
          <w:p w:rsidRPr="009F0FBD" w:rsidR="00276128" w:rsidP="007C0C1A" w:rsidRDefault="00276128" w14:paraId="05D27DCA" w14:textId="77777777">
            <w:pPr>
              <w:tabs>
                <w:tab w:val="center" w:pos="284"/>
              </w:tabs>
              <w:suppressAutoHyphens/>
              <w:ind w:left="266" w:hanging="266"/>
              <w:rPr>
                <w:lang w:val="sl-SI"/>
              </w:rPr>
            </w:pPr>
            <w:r w:rsidRPr="009F0FBD">
              <w:rPr>
                <w:lang w:val="sl-SI"/>
              </w:rPr>
              <w:t>Matteo Carlo BORSANI (skupina delodajalcev – IT)</w:t>
            </w:r>
          </w:p>
        </w:tc>
      </w:tr>
      <w:tr w:rsidRPr="0084110F" w:rsidR="00276128" w:rsidTr="007C0C1A" w14:paraId="52ECC1E9" w14:textId="77777777">
        <w:tc>
          <w:tcPr>
            <w:tcW w:w="9322" w:type="dxa"/>
            <w:gridSpan w:val="2"/>
          </w:tcPr>
          <w:p w:rsidRPr="009F0FBD" w:rsidR="00276128" w:rsidP="007C0C1A" w:rsidRDefault="00276128" w14:paraId="14CB363F" w14:textId="77777777">
            <w:pPr>
              <w:tabs>
                <w:tab w:val="center" w:pos="284"/>
              </w:tabs>
              <w:suppressAutoHyphens/>
              <w:spacing w:line="240" w:lineRule="auto"/>
              <w:ind w:left="266" w:hanging="266"/>
              <w:rPr>
                <w:sz w:val="16"/>
                <w:szCs w:val="16"/>
                <w:lang w:val="sl-SI"/>
              </w:rPr>
            </w:pPr>
          </w:p>
        </w:tc>
      </w:tr>
      <w:tr w:rsidRPr="009F0FBD" w:rsidR="00276128" w:rsidTr="007C0C1A" w14:paraId="6782CE33" w14:textId="77777777">
        <w:tc>
          <w:tcPr>
            <w:tcW w:w="2518" w:type="dxa"/>
            <w:vMerge w:val="restart"/>
          </w:tcPr>
          <w:p w:rsidRPr="009F0FBD" w:rsidR="00276128" w:rsidP="007C0C1A" w:rsidRDefault="00276128" w14:paraId="5FD7FC3B" w14:textId="4178FCE3">
            <w:pPr>
              <w:tabs>
                <w:tab w:val="center" w:pos="284"/>
              </w:tabs>
              <w:suppressAutoHyphens/>
              <w:ind w:left="266" w:hanging="266"/>
              <w:rPr>
                <w:b/>
                <w:lang w:val="sl-SI"/>
              </w:rPr>
            </w:pPr>
            <w:r w:rsidRPr="009F0FBD">
              <w:rPr>
                <w:b/>
                <w:lang w:val="sl-SI"/>
              </w:rPr>
              <w:t>Referenčn</w:t>
            </w:r>
            <w:r w:rsidR="0084110F">
              <w:rPr>
                <w:b/>
                <w:lang w:val="sl-SI"/>
              </w:rPr>
              <w:t>a</w:t>
            </w:r>
            <w:r w:rsidRPr="009F0FBD">
              <w:rPr>
                <w:b/>
                <w:lang w:val="sl-SI"/>
              </w:rPr>
              <w:t xml:space="preserve"> dokument</w:t>
            </w:r>
            <w:r w:rsidR="0084110F">
              <w:rPr>
                <w:b/>
                <w:lang w:val="sl-SI"/>
              </w:rPr>
              <w:t>a</w:t>
            </w:r>
          </w:p>
        </w:tc>
        <w:tc>
          <w:tcPr>
            <w:tcW w:w="6804" w:type="dxa"/>
          </w:tcPr>
          <w:p w:rsidRPr="009F0FBD" w:rsidR="00276128" w:rsidP="007C0C1A" w:rsidRDefault="00276128" w14:paraId="7BF4558C" w14:textId="7B0C2FA7">
            <w:pPr>
              <w:tabs>
                <w:tab w:val="center" w:pos="284"/>
              </w:tabs>
              <w:suppressAutoHyphens/>
              <w:ind w:left="266" w:hanging="266"/>
              <w:rPr>
                <w:lang w:val="sl-SI"/>
              </w:rPr>
            </w:pPr>
            <w:r w:rsidRPr="009F0FBD">
              <w:rPr>
                <w:lang w:val="sl-SI"/>
              </w:rPr>
              <w:t>COM(2025) 81 final</w:t>
            </w:r>
          </w:p>
        </w:tc>
      </w:tr>
      <w:tr w:rsidRPr="009F0FBD" w:rsidR="00276128" w:rsidTr="007C0C1A" w14:paraId="333EE62F" w14:textId="77777777">
        <w:tc>
          <w:tcPr>
            <w:tcW w:w="2518" w:type="dxa"/>
            <w:vMerge/>
          </w:tcPr>
          <w:p w:rsidRPr="009F0FBD" w:rsidR="00276128" w:rsidP="007C0C1A" w:rsidRDefault="00276128" w14:paraId="202D5B90" w14:textId="77777777">
            <w:pPr>
              <w:tabs>
                <w:tab w:val="center" w:pos="284"/>
              </w:tabs>
              <w:suppressAutoHyphens/>
              <w:ind w:left="266" w:hanging="266"/>
              <w:rPr>
                <w:b/>
                <w:lang w:val="sl-SI"/>
              </w:rPr>
            </w:pPr>
          </w:p>
        </w:tc>
        <w:tc>
          <w:tcPr>
            <w:tcW w:w="6804" w:type="dxa"/>
          </w:tcPr>
          <w:p w:rsidRPr="009F0FBD" w:rsidR="00276128" w:rsidP="007C0C1A" w:rsidRDefault="00276128" w14:paraId="071E5F69" w14:textId="598A71DF">
            <w:pPr>
              <w:tabs>
                <w:tab w:val="center" w:pos="284"/>
              </w:tabs>
              <w:suppressAutoHyphens/>
              <w:ind w:left="266" w:hanging="266"/>
              <w:rPr>
                <w:lang w:val="sl-SI"/>
              </w:rPr>
            </w:pPr>
            <w:r w:rsidRPr="009F0FBD">
              <w:rPr>
                <w:lang w:val="sl-SI"/>
              </w:rPr>
              <w:t>EESC-2025-00896-00-00-AC</w:t>
            </w:r>
          </w:p>
        </w:tc>
      </w:tr>
    </w:tbl>
    <w:p w:rsidRPr="009F0FBD" w:rsidR="0026311A" w:rsidP="0026311A" w:rsidRDefault="0026311A" w14:paraId="47C36841" w14:textId="77777777">
      <w:pPr>
        <w:tabs>
          <w:tab w:val="center" w:pos="284"/>
        </w:tabs>
        <w:overflowPunct w:val="0"/>
        <w:autoSpaceDE w:val="0"/>
        <w:autoSpaceDN w:val="0"/>
        <w:adjustRightInd w:val="0"/>
        <w:ind w:left="266" w:hanging="266"/>
        <w:textAlignment w:val="baseline"/>
        <w:rPr>
          <w:lang w:val="sl-SI"/>
        </w:rPr>
      </w:pPr>
    </w:p>
    <w:p w:rsidRPr="009F0FBD" w:rsidR="0026311A" w:rsidP="0026311A" w:rsidRDefault="00276128" w14:paraId="2E836D51" w14:textId="34A97649">
      <w:pPr>
        <w:keepNext/>
        <w:keepLines/>
        <w:tabs>
          <w:tab w:val="center" w:pos="284"/>
        </w:tabs>
        <w:overflowPunct w:val="0"/>
        <w:autoSpaceDE w:val="0"/>
        <w:autoSpaceDN w:val="0"/>
        <w:adjustRightInd w:val="0"/>
        <w:ind w:left="266" w:hanging="266"/>
        <w:textAlignment w:val="baseline"/>
        <w:rPr>
          <w:b/>
          <w:lang w:val="sl-SI"/>
        </w:rPr>
      </w:pPr>
      <w:r w:rsidRPr="009F0FBD">
        <w:rPr>
          <w:b/>
          <w:lang w:val="sl-SI"/>
        </w:rPr>
        <w:t>Glavne točke</w:t>
      </w:r>
    </w:p>
    <w:p w:rsidRPr="009F0FBD" w:rsidR="0026311A" w:rsidP="0026311A" w:rsidRDefault="0026311A" w14:paraId="03057EE4" w14:textId="77777777">
      <w:pPr>
        <w:keepNext/>
        <w:keepLines/>
        <w:tabs>
          <w:tab w:val="center" w:pos="284"/>
        </w:tabs>
        <w:overflowPunct w:val="0"/>
        <w:autoSpaceDE w:val="0"/>
        <w:autoSpaceDN w:val="0"/>
        <w:adjustRightInd w:val="0"/>
        <w:ind w:left="266" w:hanging="266"/>
        <w:textAlignment w:val="baseline"/>
        <w:rPr>
          <w:b/>
          <w:lang w:val="sl-SI"/>
        </w:rPr>
      </w:pPr>
    </w:p>
    <w:p w:rsidRPr="009F0FBD" w:rsidR="00276128" w:rsidP="00276128" w:rsidRDefault="00276128" w14:paraId="56BFF929" w14:textId="4D96BB6E">
      <w:pPr>
        <w:suppressAutoHyphens/>
        <w:rPr>
          <w:lang w:val="sl-SI"/>
        </w:rPr>
      </w:pPr>
      <w:r w:rsidRPr="009F0FBD">
        <w:rPr>
          <w:lang w:val="sl-SI"/>
        </w:rPr>
        <w:t>EESO:</w:t>
      </w:r>
    </w:p>
    <w:p w:rsidRPr="009F0FBD" w:rsidR="00276128" w:rsidP="00276128" w:rsidRDefault="00276128" w14:paraId="2AA1397D" w14:textId="77777777">
      <w:pPr>
        <w:suppressAutoHyphens/>
        <w:rPr>
          <w:bCs/>
          <w:iCs/>
          <w:lang w:val="sl-SI"/>
        </w:rPr>
      </w:pPr>
    </w:p>
    <w:p w:rsidRPr="009F0FBD" w:rsidR="00276128" w:rsidP="004F5634" w:rsidRDefault="00276128" w14:paraId="1DC69082" w14:textId="77777777">
      <w:pPr>
        <w:numPr>
          <w:ilvl w:val="0"/>
          <w:numId w:val="42"/>
        </w:numPr>
        <w:suppressAutoHyphens/>
        <w:overflowPunct w:val="0"/>
        <w:autoSpaceDE w:val="0"/>
        <w:autoSpaceDN w:val="0"/>
        <w:adjustRightInd w:val="0"/>
        <w:ind w:left="284" w:hanging="284"/>
        <w:textAlignment w:val="baseline"/>
        <w:rPr>
          <w:bCs/>
          <w:iCs/>
          <w:lang w:val="sl-SI"/>
        </w:rPr>
      </w:pPr>
      <w:r w:rsidRPr="009F0FBD">
        <w:rPr>
          <w:lang w:val="sl-SI"/>
        </w:rPr>
        <w:t xml:space="preserve">poziva sozakonodajalca, naj </w:t>
      </w:r>
      <w:r w:rsidRPr="009F0FBD">
        <w:rPr>
          <w:b/>
          <w:lang w:val="sl-SI"/>
        </w:rPr>
        <w:t>namenita dovolj časa vključujočemu posvetovanju z deležniki in socialnimi partnerji</w:t>
      </w:r>
      <w:r w:rsidRPr="009F0FBD">
        <w:rPr>
          <w:lang w:val="sl-SI"/>
        </w:rPr>
        <w:t>;</w:t>
      </w:r>
    </w:p>
    <w:p w:rsidRPr="009F0FBD" w:rsidR="00276128" w:rsidP="004F5634" w:rsidRDefault="00276128" w14:paraId="65A2934E" w14:textId="77777777">
      <w:pPr>
        <w:numPr>
          <w:ilvl w:val="0"/>
          <w:numId w:val="42"/>
        </w:numPr>
        <w:suppressAutoHyphens/>
        <w:overflowPunct w:val="0"/>
        <w:autoSpaceDE w:val="0"/>
        <w:autoSpaceDN w:val="0"/>
        <w:adjustRightInd w:val="0"/>
        <w:ind w:left="284" w:hanging="284"/>
        <w:textAlignment w:val="baseline"/>
        <w:rPr>
          <w:bCs/>
          <w:iCs/>
          <w:lang w:val="sl-SI"/>
        </w:rPr>
      </w:pPr>
      <w:r w:rsidRPr="009F0FBD">
        <w:rPr>
          <w:lang w:val="sl-SI"/>
        </w:rPr>
        <w:t xml:space="preserve">priznava, da </w:t>
      </w:r>
      <w:r w:rsidRPr="009F0FBD">
        <w:rPr>
          <w:b/>
          <w:lang w:val="sl-SI"/>
        </w:rPr>
        <w:t>imajo zlasti MSP težave pri izvajanju postopkov glede trajnostnosti in preglednosti</w:t>
      </w:r>
      <w:r w:rsidRPr="009F0FBD">
        <w:rPr>
          <w:lang w:val="sl-SI"/>
        </w:rPr>
        <w:t>. MSP in revizorji potrebujejo več pomoči, da bodo lahko izpolnjevali zahteve, kar je bistveno, saj je zaščita evropskih vrednot in socialnih modelov izjemno pomembna;</w:t>
      </w:r>
    </w:p>
    <w:p w:rsidRPr="009F0FBD" w:rsidR="00276128" w:rsidP="004F5634" w:rsidRDefault="00276128" w14:paraId="28FA0D80" w14:textId="77777777">
      <w:pPr>
        <w:numPr>
          <w:ilvl w:val="0"/>
          <w:numId w:val="42"/>
        </w:numPr>
        <w:suppressAutoHyphens/>
        <w:overflowPunct w:val="0"/>
        <w:autoSpaceDE w:val="0"/>
        <w:autoSpaceDN w:val="0"/>
        <w:adjustRightInd w:val="0"/>
        <w:ind w:left="284" w:hanging="284"/>
        <w:textAlignment w:val="baseline"/>
        <w:rPr>
          <w:bCs/>
          <w:iCs/>
          <w:lang w:val="sl-SI"/>
        </w:rPr>
      </w:pPr>
      <w:r w:rsidRPr="009F0FBD">
        <w:rPr>
          <w:lang w:val="sl-SI"/>
        </w:rPr>
        <w:t xml:space="preserve">poudarja, da je izvajanje skrbnega pregleda v podjetjih bistveno za zagotavljanje </w:t>
      </w:r>
      <w:r w:rsidRPr="009F0FBD">
        <w:rPr>
          <w:b/>
          <w:lang w:val="sl-SI"/>
        </w:rPr>
        <w:t>odgovornega poslovnega ravnanja in spodbujanje trajnostnih vrednostnih verig</w:t>
      </w:r>
      <w:r w:rsidRPr="009F0FBD">
        <w:rPr>
          <w:lang w:val="sl-SI"/>
        </w:rPr>
        <w:t xml:space="preserve"> in poziva k </w:t>
      </w:r>
      <w:r w:rsidRPr="009F0FBD">
        <w:rPr>
          <w:b/>
          <w:lang w:val="sl-SI"/>
        </w:rPr>
        <w:t>jasnim in sorazmernim pravilom ter kaznim</w:t>
      </w:r>
      <w:r w:rsidRPr="009F0FBD">
        <w:rPr>
          <w:lang w:val="sl-SI"/>
        </w:rPr>
        <w:t>, ki so ključnega pomena, da lahko podjetja učinkovito izpolnjujejo svoje obveznosti;</w:t>
      </w:r>
    </w:p>
    <w:p w:rsidRPr="009F0FBD" w:rsidR="00276128" w:rsidP="004F5634" w:rsidRDefault="00276128" w14:paraId="1BE4AC23" w14:textId="77777777">
      <w:pPr>
        <w:numPr>
          <w:ilvl w:val="0"/>
          <w:numId w:val="42"/>
        </w:numPr>
        <w:suppressAutoHyphens/>
        <w:overflowPunct w:val="0"/>
        <w:autoSpaceDE w:val="0"/>
        <w:autoSpaceDN w:val="0"/>
        <w:adjustRightInd w:val="0"/>
        <w:ind w:left="284" w:hanging="284"/>
        <w:textAlignment w:val="baseline"/>
        <w:rPr>
          <w:bCs/>
          <w:iCs/>
          <w:lang w:val="sl-SI"/>
        </w:rPr>
      </w:pPr>
      <w:r w:rsidRPr="009F0FBD">
        <w:rPr>
          <w:lang w:val="sl-SI"/>
        </w:rPr>
        <w:t xml:space="preserve">pozdravlja namero Komisije, da osredotoči nekatere obveznosti potrebne skrbnosti podjetij na njihovo lastno poslovanje, njihove hčerinske družbe in neposredne poslovne partnerje, vendar poziva, naj se </w:t>
      </w:r>
      <w:r w:rsidRPr="009F0FBD">
        <w:rPr>
          <w:b/>
          <w:lang w:val="sl-SI"/>
        </w:rPr>
        <w:t>razmisli o odstopanju za podjetja z manj kot 500 zaposlenimi, ki delujejo v sektorjih z visokim tveganjem</w:t>
      </w:r>
      <w:r w:rsidRPr="009F0FBD">
        <w:rPr>
          <w:lang w:val="sl-SI"/>
        </w:rPr>
        <w:t xml:space="preserve">, hkrati pa poudarja, da </w:t>
      </w:r>
      <w:r w:rsidRPr="009F0FBD">
        <w:rPr>
          <w:b/>
          <w:lang w:val="sl-SI"/>
        </w:rPr>
        <w:t>morajo vsa podjetja spoštovati človekove pravice</w:t>
      </w:r>
      <w:r w:rsidRPr="009F0FBD">
        <w:rPr>
          <w:lang w:val="sl-SI"/>
        </w:rPr>
        <w:t>.</w:t>
      </w:r>
    </w:p>
    <w:p w:rsidRPr="009F0FBD" w:rsidR="00276128" w:rsidP="004F5634" w:rsidRDefault="00276128" w14:paraId="2EAC7CE1" w14:textId="77777777">
      <w:pPr>
        <w:numPr>
          <w:ilvl w:val="0"/>
          <w:numId w:val="42"/>
        </w:numPr>
        <w:suppressAutoHyphens/>
        <w:overflowPunct w:val="0"/>
        <w:autoSpaceDE w:val="0"/>
        <w:autoSpaceDN w:val="0"/>
        <w:adjustRightInd w:val="0"/>
        <w:ind w:left="284" w:hanging="284"/>
        <w:textAlignment w:val="baseline"/>
        <w:rPr>
          <w:bCs/>
          <w:iCs/>
          <w:lang w:val="sl-SI"/>
        </w:rPr>
      </w:pPr>
      <w:r w:rsidRPr="009F0FBD">
        <w:rPr>
          <w:lang w:val="sl-SI"/>
        </w:rPr>
        <w:t xml:space="preserve">poziva zakonodajalca, naj pojasnita, da bi morala podjetja sprejeti </w:t>
      </w:r>
      <w:r w:rsidRPr="009F0FBD">
        <w:rPr>
          <w:b/>
          <w:lang w:val="sl-SI"/>
        </w:rPr>
        <w:t>ustrezne ukrepe za izvedbo poglobljenih ocen na podlagi pristopa, ki temelji na tveganju</w:t>
      </w:r>
      <w:r w:rsidRPr="009F0FBD">
        <w:rPr>
          <w:lang w:val="sl-SI"/>
        </w:rPr>
        <w:t>, in ob upoštevanju lastnega evidentiranja. Poziva ju tudi, naj ponovno preučita izbiro pojma „</w:t>
      </w:r>
      <w:r w:rsidRPr="009F0FBD">
        <w:rPr>
          <w:b/>
          <w:lang w:val="sl-SI"/>
        </w:rPr>
        <w:t>verjetne informacije</w:t>
      </w:r>
      <w:r w:rsidRPr="009F0FBD">
        <w:rPr>
          <w:lang w:val="sl-SI"/>
        </w:rPr>
        <w:t>“, da se zagotovi večja pravna varnost;</w:t>
      </w:r>
    </w:p>
    <w:p w:rsidRPr="009F0FBD" w:rsidR="00276128" w:rsidP="004F5634" w:rsidRDefault="00276128" w14:paraId="2A3F8620" w14:textId="77777777">
      <w:pPr>
        <w:numPr>
          <w:ilvl w:val="0"/>
          <w:numId w:val="42"/>
        </w:numPr>
        <w:suppressAutoHyphens/>
        <w:overflowPunct w:val="0"/>
        <w:autoSpaceDE w:val="0"/>
        <w:autoSpaceDN w:val="0"/>
        <w:adjustRightInd w:val="0"/>
        <w:ind w:left="284" w:hanging="284"/>
        <w:textAlignment w:val="baseline"/>
        <w:rPr>
          <w:bCs/>
          <w:iCs/>
          <w:lang w:val="sl-SI"/>
        </w:rPr>
      </w:pPr>
      <w:r w:rsidRPr="009F0FBD">
        <w:rPr>
          <w:lang w:val="sl-SI"/>
        </w:rPr>
        <w:t xml:space="preserve">z obžalovanjem ugotavlja, da je bila odpravljena </w:t>
      </w:r>
      <w:r w:rsidRPr="009F0FBD">
        <w:rPr>
          <w:b/>
          <w:lang w:val="sl-SI"/>
        </w:rPr>
        <w:t>možnost, da žrtve v pravdnih postopkih zastopajo nevladne organizacije</w:t>
      </w:r>
      <w:r w:rsidRPr="009F0FBD">
        <w:rPr>
          <w:lang w:val="sl-SI"/>
        </w:rPr>
        <w:t xml:space="preserve"> ali sindikati, in izraža zaskrbljenost, da bi to lahko omejilo dostop prizadetih posameznikov do pravnega varstva. Spodbuja nadaljnji razmislek o tem, kako zagotoviti učinkovito pravno podporo žrtvam, zlasti tistim, ki se pri dostopu do pravnih sredstev soočajo s strukturnimi ovirami.</w:t>
      </w:r>
    </w:p>
    <w:p w:rsidRPr="009F0FBD" w:rsidR="00276128" w:rsidP="00276128" w:rsidRDefault="00276128" w14:paraId="620950EA" w14:textId="77777777">
      <w:pPr>
        <w:spacing w:line="240" w:lineRule="auto"/>
        <w:rPr>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4712"/>
      </w:tblGrid>
      <w:tr w:rsidRPr="009F0FBD" w:rsidR="00276128" w:rsidTr="007C0C1A" w14:paraId="12E14AD4" w14:textId="77777777">
        <w:tc>
          <w:tcPr>
            <w:tcW w:w="2376" w:type="dxa"/>
          </w:tcPr>
          <w:p w:rsidRPr="009F0FBD" w:rsidR="00276128" w:rsidP="007C0C1A" w:rsidRDefault="00276128" w14:paraId="5F79329B" w14:textId="77777777">
            <w:pPr>
              <w:suppressAutoHyphens/>
              <w:rPr>
                <w:i/>
                <w:lang w:val="sl-SI"/>
              </w:rPr>
            </w:pPr>
            <w:r w:rsidRPr="009F0FBD">
              <w:rPr>
                <w:b/>
                <w:i/>
                <w:lang w:val="sl-SI"/>
              </w:rPr>
              <w:t>Kontaktna oseba</w:t>
            </w:r>
          </w:p>
        </w:tc>
        <w:tc>
          <w:tcPr>
            <w:tcW w:w="4712" w:type="dxa"/>
          </w:tcPr>
          <w:p w:rsidRPr="009F0FBD" w:rsidR="00276128" w:rsidP="007C0C1A" w:rsidRDefault="00276128" w14:paraId="47974FE8" w14:textId="77777777">
            <w:pPr>
              <w:suppressAutoHyphens/>
              <w:rPr>
                <w:i/>
                <w:lang w:val="sl-SI"/>
              </w:rPr>
            </w:pPr>
            <w:r w:rsidRPr="009F0FBD">
              <w:rPr>
                <w:i/>
                <w:lang w:val="sl-SI"/>
              </w:rPr>
              <w:t>Silvia STAFFA</w:t>
            </w:r>
          </w:p>
        </w:tc>
      </w:tr>
      <w:tr w:rsidRPr="009F0FBD" w:rsidR="00276128" w:rsidTr="007C0C1A" w14:paraId="7776B82C" w14:textId="77777777">
        <w:tc>
          <w:tcPr>
            <w:tcW w:w="2376" w:type="dxa"/>
          </w:tcPr>
          <w:p w:rsidRPr="009F0FBD" w:rsidR="00276128" w:rsidP="007C0C1A" w:rsidRDefault="00276128" w14:paraId="68006ECB" w14:textId="77777777">
            <w:pPr>
              <w:suppressAutoHyphens/>
              <w:rPr>
                <w:i/>
                <w:lang w:val="sl-SI"/>
              </w:rPr>
            </w:pPr>
            <w:r w:rsidRPr="009F0FBD">
              <w:rPr>
                <w:i/>
                <w:lang w:val="sl-SI"/>
              </w:rPr>
              <w:t>Telefon</w:t>
            </w:r>
          </w:p>
        </w:tc>
        <w:tc>
          <w:tcPr>
            <w:tcW w:w="4712" w:type="dxa"/>
          </w:tcPr>
          <w:p w:rsidRPr="009F0FBD" w:rsidR="00276128" w:rsidP="007C0C1A" w:rsidRDefault="00276128" w14:paraId="73A76265" w14:textId="77777777">
            <w:pPr>
              <w:suppressAutoHyphens/>
              <w:rPr>
                <w:i/>
                <w:lang w:val="sl-SI"/>
              </w:rPr>
            </w:pPr>
            <w:r w:rsidRPr="009F0FBD">
              <w:rPr>
                <w:i/>
                <w:lang w:val="sl-SI"/>
              </w:rPr>
              <w:t>+ 32 25468378</w:t>
            </w:r>
          </w:p>
        </w:tc>
      </w:tr>
      <w:tr w:rsidRPr="0084110F" w:rsidR="00276128" w:rsidTr="007C0C1A" w14:paraId="0C0BF72C" w14:textId="77777777">
        <w:tc>
          <w:tcPr>
            <w:tcW w:w="2376" w:type="dxa"/>
          </w:tcPr>
          <w:p w:rsidRPr="009F0FBD" w:rsidR="00276128" w:rsidP="007C0C1A" w:rsidRDefault="00276128" w14:paraId="20845703" w14:textId="77777777">
            <w:pPr>
              <w:suppressAutoHyphens/>
              <w:rPr>
                <w:i/>
                <w:lang w:val="sl-SI"/>
              </w:rPr>
            </w:pPr>
            <w:r w:rsidRPr="009F0FBD">
              <w:rPr>
                <w:i/>
                <w:lang w:val="sl-SI"/>
              </w:rPr>
              <w:t>E-naslov</w:t>
            </w:r>
          </w:p>
        </w:tc>
        <w:tc>
          <w:tcPr>
            <w:tcW w:w="4712" w:type="dxa"/>
          </w:tcPr>
          <w:p w:rsidRPr="009F0FBD" w:rsidR="00276128" w:rsidP="007C0C1A" w:rsidRDefault="00E47EFC" w14:paraId="100ADEA4" w14:textId="77777777">
            <w:pPr>
              <w:suppressAutoHyphens/>
              <w:rPr>
                <w:i/>
                <w:iCs/>
                <w:lang w:val="sl-SI"/>
              </w:rPr>
            </w:pPr>
            <w:hyperlink w:history="1" r:id="rId43">
              <w:r w:rsidRPr="009F0FBD" w:rsidR="00276128">
                <w:rPr>
                  <w:rStyle w:val="Hyperlink"/>
                  <w:i/>
                  <w:lang w:val="sl-SI"/>
                </w:rPr>
                <w:t>Silvia.Staffa@eesc.europa.eu</w:t>
              </w:r>
            </w:hyperlink>
          </w:p>
        </w:tc>
      </w:tr>
    </w:tbl>
    <w:p w:rsidRPr="009F0FBD" w:rsidR="0026311A" w:rsidP="0026311A" w:rsidRDefault="0026311A" w14:paraId="60755E02" w14:textId="77777777">
      <w:pPr>
        <w:widowControl w:val="0"/>
        <w:overflowPunct w:val="0"/>
        <w:autoSpaceDE w:val="0"/>
        <w:autoSpaceDN w:val="0"/>
        <w:adjustRightInd w:val="0"/>
        <w:ind w:left="709"/>
        <w:textAlignment w:val="baseline"/>
        <w:rPr>
          <w:szCs w:val="20"/>
          <w:lang w:val="sl-SI"/>
        </w:rPr>
      </w:pPr>
    </w:p>
    <w:p w:rsidRPr="009F0FBD" w:rsidR="0026311A" w:rsidP="0026311A" w:rsidRDefault="0026311A" w14:paraId="708CC5EC" w14:textId="77777777">
      <w:pPr>
        <w:overflowPunct w:val="0"/>
        <w:autoSpaceDE w:val="0"/>
        <w:autoSpaceDN w:val="0"/>
        <w:adjustRightInd w:val="0"/>
        <w:jc w:val="center"/>
        <w:textAlignment w:val="baseline"/>
        <w:rPr>
          <w:szCs w:val="20"/>
          <w:lang w:val="sl-SI"/>
        </w:rPr>
      </w:pPr>
    </w:p>
    <w:p w:rsidRPr="009F0FBD" w:rsidR="004D7AC0" w:rsidP="004D7AC0" w:rsidRDefault="004D7AC0" w14:paraId="4982DE1E" w14:textId="77777777">
      <w:pPr>
        <w:spacing w:after="160" w:line="259" w:lineRule="auto"/>
        <w:jc w:val="left"/>
        <w:rPr>
          <w:lang w:val="sl-SI"/>
        </w:rPr>
      </w:pPr>
      <w:r w:rsidRPr="009F0FBD">
        <w:rPr>
          <w:lang w:val="sl-SI"/>
        </w:rPr>
        <w:br w:type="page"/>
      </w:r>
    </w:p>
    <w:p w:rsidRPr="009F0FBD" w:rsidR="004D7AC0" w:rsidP="004D7AC0" w:rsidRDefault="00AB6156" w14:paraId="4982DE1F" w14:textId="0DF04A61">
      <w:pPr>
        <w:pStyle w:val="Heading1"/>
        <w:rPr>
          <w:b/>
          <w:lang w:val="sl-SI"/>
        </w:rPr>
      </w:pPr>
      <w:bookmarkStart w:name="_Toc70322234" w:id="11"/>
      <w:bookmarkStart w:name="_Toc75527084" w:id="12"/>
      <w:bookmarkStart w:name="_Toc201837072" w:id="13"/>
      <w:r w:rsidRPr="009F0FBD">
        <w:rPr>
          <w:b/>
          <w:lang w:val="sl-SI"/>
        </w:rPr>
        <w:lastRenderedPageBreak/>
        <w:t>KMETIJSTVO, RAZVOJ PODEŽELJA IN OKOLJE</w:t>
      </w:r>
      <w:bookmarkEnd w:id="11"/>
      <w:bookmarkEnd w:id="12"/>
      <w:bookmarkEnd w:id="13"/>
    </w:p>
    <w:p w:rsidRPr="009F0FBD" w:rsidR="004D7AC0" w:rsidP="00276128" w:rsidRDefault="004D7AC0" w14:paraId="4982DE20" w14:textId="77777777">
      <w:pPr>
        <w:spacing w:line="240" w:lineRule="auto"/>
        <w:rPr>
          <w:lang w:val="sl-SI"/>
        </w:rPr>
      </w:pPr>
    </w:p>
    <w:p w:rsidRPr="009F0FBD" w:rsidR="006179EF" w:rsidP="00611089" w:rsidRDefault="00E47EFC" w14:paraId="36F81ECC" w14:textId="6DDC4EBC">
      <w:pPr>
        <w:widowControl w:val="0"/>
        <w:numPr>
          <w:ilvl w:val="0"/>
          <w:numId w:val="16"/>
        </w:numPr>
        <w:overflowPunct w:val="0"/>
        <w:autoSpaceDE w:val="0"/>
        <w:autoSpaceDN w:val="0"/>
        <w:adjustRightInd w:val="0"/>
        <w:spacing w:line="240" w:lineRule="auto"/>
        <w:ind w:hanging="567"/>
        <w:textAlignment w:val="baseline"/>
        <w:rPr>
          <w:sz w:val="26"/>
          <w:szCs w:val="26"/>
          <w:lang w:val="sl-SI"/>
        </w:rPr>
      </w:pPr>
      <w:hyperlink w:history="1" r:id="rId44">
        <w:r w:rsidRPr="009F0FBD" w:rsidR="00276128">
          <w:rPr>
            <w:rStyle w:val="Hyperlink"/>
            <w:b/>
            <w:i/>
            <w:sz w:val="26"/>
            <w:lang w:val="sl-SI"/>
          </w:rPr>
          <w:t>Regenerativno kmetijstvo kot cilj v smeri povečanja trajnostne proizvodnje hrane, ki podpira cilje glede podnebja in biotske raznovrstnosti</w:t>
        </w:r>
      </w:hyperlink>
    </w:p>
    <w:p w:rsidRPr="009F0FBD" w:rsidR="000959E6" w:rsidP="00276128" w:rsidRDefault="000959E6" w14:paraId="0DF78EE1" w14:textId="77777777">
      <w:pPr>
        <w:widowControl w:val="0"/>
        <w:overflowPunct w:val="0"/>
        <w:autoSpaceDE w:val="0"/>
        <w:autoSpaceDN w:val="0"/>
        <w:adjustRightInd w:val="0"/>
        <w:spacing w:line="240" w:lineRule="auto"/>
        <w:ind w:left="284"/>
        <w:textAlignment w:val="baseline"/>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46"/>
        <w:gridCol w:w="6427"/>
      </w:tblGrid>
      <w:tr w:rsidRPr="0084110F" w:rsidR="00276128" w:rsidTr="007C0C1A" w14:paraId="18E28D6D" w14:textId="77777777">
        <w:tc>
          <w:tcPr>
            <w:tcW w:w="1458" w:type="pct"/>
          </w:tcPr>
          <w:p w:rsidRPr="009F0FBD" w:rsidR="00276128" w:rsidP="00276128" w:rsidRDefault="00276128" w14:paraId="36562512" w14:textId="77777777">
            <w:pPr>
              <w:tabs>
                <w:tab w:val="center" w:pos="284"/>
              </w:tabs>
              <w:suppressAutoHyphens/>
              <w:spacing w:line="240" w:lineRule="auto"/>
              <w:ind w:left="266" w:hanging="266"/>
              <w:rPr>
                <w:b/>
                <w:lang w:val="sl-SI"/>
              </w:rPr>
            </w:pPr>
            <w:bookmarkStart w:name="_Hlk202182567" w:id="14"/>
            <w:r w:rsidRPr="009F0FBD">
              <w:rPr>
                <w:b/>
                <w:lang w:val="sl-SI"/>
              </w:rPr>
              <w:t>Poročevalec</w:t>
            </w:r>
          </w:p>
        </w:tc>
        <w:tc>
          <w:tcPr>
            <w:tcW w:w="3542" w:type="pct"/>
          </w:tcPr>
          <w:p w:rsidRPr="009F0FBD" w:rsidR="00276128" w:rsidP="00276128" w:rsidRDefault="00276128" w14:paraId="21D8E554" w14:textId="77777777">
            <w:pPr>
              <w:tabs>
                <w:tab w:val="center" w:pos="284"/>
              </w:tabs>
              <w:suppressAutoHyphens/>
              <w:spacing w:line="240" w:lineRule="auto"/>
              <w:ind w:left="266" w:hanging="266"/>
              <w:rPr>
                <w:bCs/>
                <w:lang w:val="sl-SI"/>
              </w:rPr>
            </w:pPr>
            <w:r w:rsidRPr="009F0FBD">
              <w:rPr>
                <w:lang w:val="sl-SI"/>
              </w:rPr>
              <w:t>Stoyan TCHOUKANOV (skupina organizacij civilne družbe – BG)</w:t>
            </w:r>
          </w:p>
        </w:tc>
      </w:tr>
      <w:tr w:rsidRPr="0084110F" w:rsidR="00276128" w:rsidTr="007C0C1A" w14:paraId="45A06568" w14:textId="77777777">
        <w:tc>
          <w:tcPr>
            <w:tcW w:w="5000" w:type="pct"/>
            <w:gridSpan w:val="2"/>
          </w:tcPr>
          <w:p w:rsidRPr="009F0FBD" w:rsidR="00276128" w:rsidP="00276128" w:rsidRDefault="00276128" w14:paraId="46585422" w14:textId="77777777">
            <w:pPr>
              <w:tabs>
                <w:tab w:val="center" w:pos="284"/>
              </w:tabs>
              <w:suppressAutoHyphens/>
              <w:spacing w:line="240" w:lineRule="auto"/>
              <w:ind w:left="266" w:hanging="266"/>
              <w:rPr>
                <w:sz w:val="16"/>
                <w:szCs w:val="16"/>
                <w:lang w:val="sl-SI"/>
              </w:rPr>
            </w:pPr>
          </w:p>
        </w:tc>
      </w:tr>
      <w:tr w:rsidRPr="0084110F" w:rsidR="00276128" w:rsidTr="007C0C1A" w14:paraId="31C6110C" w14:textId="77777777">
        <w:trPr>
          <w:trHeight w:val="175"/>
        </w:trPr>
        <w:tc>
          <w:tcPr>
            <w:tcW w:w="1458" w:type="pct"/>
          </w:tcPr>
          <w:p w:rsidRPr="009F0FBD" w:rsidR="00276128" w:rsidP="00276128" w:rsidRDefault="00276128" w14:paraId="355F2471" w14:textId="77777777">
            <w:pPr>
              <w:tabs>
                <w:tab w:val="center" w:pos="284"/>
              </w:tabs>
              <w:suppressAutoHyphens/>
              <w:spacing w:line="240" w:lineRule="auto"/>
              <w:ind w:left="266" w:hanging="266"/>
              <w:rPr>
                <w:b/>
                <w:lang w:val="sl-SI"/>
              </w:rPr>
            </w:pPr>
            <w:r w:rsidRPr="009F0FBD">
              <w:rPr>
                <w:b/>
                <w:lang w:val="sl-SI"/>
              </w:rPr>
              <w:t>Referenčni dokument</w:t>
            </w:r>
          </w:p>
        </w:tc>
        <w:tc>
          <w:tcPr>
            <w:tcW w:w="3542" w:type="pct"/>
          </w:tcPr>
          <w:p w:rsidRPr="009F0FBD" w:rsidR="00276128" w:rsidP="00276128" w:rsidRDefault="00276128" w14:paraId="1E05DED7" w14:textId="77777777">
            <w:pPr>
              <w:tabs>
                <w:tab w:val="center" w:pos="284"/>
              </w:tabs>
              <w:suppressAutoHyphens/>
              <w:spacing w:line="240" w:lineRule="auto"/>
              <w:ind w:left="266" w:hanging="266"/>
              <w:rPr>
                <w:lang w:val="sl-SI"/>
              </w:rPr>
            </w:pPr>
            <w:r w:rsidRPr="009F0FBD">
              <w:rPr>
                <w:lang w:val="sl-SI"/>
              </w:rPr>
              <w:t>mnenje na lastno pobudo</w:t>
            </w:r>
          </w:p>
          <w:p w:rsidRPr="009F0FBD" w:rsidR="00276128" w:rsidP="00276128" w:rsidRDefault="00276128" w14:paraId="6242A523" w14:textId="77777777">
            <w:pPr>
              <w:tabs>
                <w:tab w:val="center" w:pos="284"/>
              </w:tabs>
              <w:suppressAutoHyphens/>
              <w:spacing w:line="240" w:lineRule="auto"/>
              <w:ind w:left="266" w:hanging="266"/>
              <w:rPr>
                <w:lang w:val="sl-SI"/>
              </w:rPr>
            </w:pPr>
            <w:r w:rsidRPr="009F0FBD">
              <w:rPr>
                <w:lang w:val="sl-SI"/>
              </w:rPr>
              <w:t>EESC-2025-00954-00-00-AC-TRA</w:t>
            </w:r>
          </w:p>
        </w:tc>
      </w:tr>
      <w:bookmarkEnd w:id="14"/>
    </w:tbl>
    <w:p w:rsidRPr="009F0FBD" w:rsidR="00276128" w:rsidP="00276128" w:rsidRDefault="00276128" w14:paraId="3E1FCD4D" w14:textId="77777777">
      <w:pPr>
        <w:tabs>
          <w:tab w:val="center" w:pos="284"/>
        </w:tabs>
        <w:overflowPunct w:val="0"/>
        <w:autoSpaceDE w:val="0"/>
        <w:autoSpaceDN w:val="0"/>
        <w:adjustRightInd w:val="0"/>
        <w:spacing w:line="240" w:lineRule="auto"/>
        <w:ind w:left="266" w:hanging="266"/>
        <w:textAlignment w:val="baseline"/>
        <w:rPr>
          <w:b/>
          <w:lang w:val="sl-SI"/>
        </w:rPr>
      </w:pPr>
    </w:p>
    <w:p w:rsidRPr="009F0FBD" w:rsidR="00276128" w:rsidP="00276128" w:rsidRDefault="00276128" w14:paraId="19EB453D" w14:textId="77777777">
      <w:pPr>
        <w:tabs>
          <w:tab w:val="center" w:pos="284"/>
        </w:tabs>
        <w:suppressAutoHyphens/>
        <w:spacing w:line="240" w:lineRule="auto"/>
        <w:ind w:left="266" w:hanging="266"/>
        <w:rPr>
          <w:b/>
          <w:lang w:val="sl-SI"/>
        </w:rPr>
      </w:pPr>
      <w:r w:rsidRPr="009F0FBD">
        <w:rPr>
          <w:b/>
          <w:lang w:val="sl-SI"/>
        </w:rPr>
        <w:t>Glavne točke</w:t>
      </w:r>
    </w:p>
    <w:p w:rsidRPr="009F0FBD" w:rsidR="00276128" w:rsidP="00276128" w:rsidRDefault="00276128" w14:paraId="71CBEBEE" w14:textId="77777777">
      <w:pPr>
        <w:tabs>
          <w:tab w:val="center" w:pos="284"/>
        </w:tabs>
        <w:suppressAutoHyphens/>
        <w:spacing w:line="240" w:lineRule="auto"/>
        <w:ind w:left="266" w:hanging="266"/>
        <w:rPr>
          <w:bCs/>
          <w:lang w:val="sl-SI"/>
        </w:rPr>
      </w:pPr>
    </w:p>
    <w:p w:rsidRPr="009F0FBD" w:rsidR="00276128" w:rsidP="00276128" w:rsidRDefault="00276128" w14:paraId="37270132" w14:textId="77777777">
      <w:pPr>
        <w:suppressAutoHyphens/>
        <w:spacing w:line="240" w:lineRule="auto"/>
        <w:rPr>
          <w:lang w:val="sl-SI"/>
        </w:rPr>
      </w:pPr>
      <w:r w:rsidRPr="009F0FBD">
        <w:rPr>
          <w:lang w:val="sl-SI"/>
        </w:rPr>
        <w:t>EESO:</w:t>
      </w:r>
    </w:p>
    <w:p w:rsidRPr="009F0FBD" w:rsidR="00276128" w:rsidP="00276128" w:rsidRDefault="00276128" w14:paraId="6E65BF31" w14:textId="77777777">
      <w:pPr>
        <w:suppressAutoHyphens/>
        <w:spacing w:line="240" w:lineRule="auto"/>
        <w:rPr>
          <w:bCs/>
          <w:iCs/>
          <w:lang w:val="sl-SI"/>
        </w:rPr>
      </w:pPr>
    </w:p>
    <w:p w:rsidRPr="009F0FBD" w:rsidR="00276128" w:rsidP="004F5634" w:rsidRDefault="00276128" w14:paraId="5064A772" w14:textId="77777777">
      <w:pPr>
        <w:numPr>
          <w:ilvl w:val="0"/>
          <w:numId w:val="43"/>
        </w:numPr>
        <w:suppressAutoHyphens/>
        <w:overflowPunct w:val="0"/>
        <w:autoSpaceDE w:val="0"/>
        <w:autoSpaceDN w:val="0"/>
        <w:adjustRightInd w:val="0"/>
        <w:ind w:left="284" w:hanging="284"/>
        <w:textAlignment w:val="baseline"/>
        <w:rPr>
          <w:lang w:val="sl-SI"/>
        </w:rPr>
      </w:pPr>
      <w:r w:rsidRPr="009F0FBD">
        <w:rPr>
          <w:lang w:val="sl-SI"/>
        </w:rPr>
        <w:t>meni, da lahko regenerativne oblike kmetijstva okrepijo trajnostno proizvodnjo hrane ter podprejo cilje na področju podnebja, zdravja tal in biotske raznovrstnosti, hkrati pa povečajo dohodek kmetov ter kmetijsko produktivnost in odpornost na skrajne podnebne pojave;</w:t>
      </w:r>
    </w:p>
    <w:p w:rsidRPr="009F0FBD" w:rsidR="00276128" w:rsidP="004F5634" w:rsidRDefault="00276128" w14:paraId="4078A8F0" w14:textId="77777777">
      <w:pPr>
        <w:numPr>
          <w:ilvl w:val="0"/>
          <w:numId w:val="43"/>
        </w:numPr>
        <w:suppressAutoHyphens/>
        <w:overflowPunct w:val="0"/>
        <w:autoSpaceDE w:val="0"/>
        <w:autoSpaceDN w:val="0"/>
        <w:adjustRightInd w:val="0"/>
        <w:ind w:left="284" w:hanging="284"/>
        <w:textAlignment w:val="baseline"/>
        <w:rPr>
          <w:lang w:val="sl-SI"/>
        </w:rPr>
      </w:pPr>
      <w:r w:rsidRPr="009F0FBD">
        <w:rPr>
          <w:lang w:val="sl-SI"/>
        </w:rPr>
        <w:t>meni, da sedanji okvir EU ne spodbuja dovolj regenerativnih oblik kmetijstva, zlasti kar zadeva zdravje tal, ki ga je treba obravnavati kot javno dobro;</w:t>
      </w:r>
    </w:p>
    <w:p w:rsidRPr="009F0FBD" w:rsidR="00276128" w:rsidP="004F5634" w:rsidRDefault="00276128" w14:paraId="6FF5E7EF" w14:textId="77777777">
      <w:pPr>
        <w:numPr>
          <w:ilvl w:val="0"/>
          <w:numId w:val="43"/>
        </w:numPr>
        <w:suppressAutoHyphens/>
        <w:overflowPunct w:val="0"/>
        <w:autoSpaceDE w:val="0"/>
        <w:autoSpaceDN w:val="0"/>
        <w:adjustRightInd w:val="0"/>
        <w:ind w:left="284" w:hanging="284"/>
        <w:textAlignment w:val="baseline"/>
        <w:rPr>
          <w:lang w:val="sl-SI"/>
        </w:rPr>
      </w:pPr>
      <w:r w:rsidRPr="009F0FBD">
        <w:rPr>
          <w:lang w:val="sl-SI"/>
        </w:rPr>
        <w:t>poudarja, da regenerativno kmetijstvo promovira novo podobo kmetijstva, ki lahko spodbudi prenovo sektorja, privabi mlade in nove udeležence ter podpre trajnostne poslovne modele in financiranje;</w:t>
      </w:r>
    </w:p>
    <w:p w:rsidRPr="009F0FBD" w:rsidR="00276128" w:rsidP="004F5634" w:rsidRDefault="00276128" w14:paraId="47CFB97B" w14:textId="77777777">
      <w:pPr>
        <w:numPr>
          <w:ilvl w:val="0"/>
          <w:numId w:val="43"/>
        </w:numPr>
        <w:suppressAutoHyphens/>
        <w:overflowPunct w:val="0"/>
        <w:autoSpaceDE w:val="0"/>
        <w:autoSpaceDN w:val="0"/>
        <w:adjustRightInd w:val="0"/>
        <w:ind w:left="284" w:hanging="284"/>
        <w:textAlignment w:val="baseline"/>
        <w:rPr>
          <w:lang w:val="sl-SI"/>
        </w:rPr>
      </w:pPr>
      <w:r w:rsidRPr="009F0FBD">
        <w:rPr>
          <w:lang w:val="sl-SI"/>
        </w:rPr>
        <w:t>zato poziva, naj se poenoti razumevanje pojma regenerativno kmetijstvo in koristi, ki jih z njim povezane prakse prinašajo celotni družbi, ter naj se uskladi regulativni okvir EU, da bi se te prakse priznale in podpirale;</w:t>
      </w:r>
    </w:p>
    <w:p w:rsidRPr="009F0FBD" w:rsidR="00276128" w:rsidP="004F5634" w:rsidRDefault="00276128" w14:paraId="070B6EB1" w14:textId="77777777">
      <w:pPr>
        <w:numPr>
          <w:ilvl w:val="0"/>
          <w:numId w:val="43"/>
        </w:numPr>
        <w:suppressAutoHyphens/>
        <w:overflowPunct w:val="0"/>
        <w:autoSpaceDE w:val="0"/>
        <w:autoSpaceDN w:val="0"/>
        <w:adjustRightInd w:val="0"/>
        <w:ind w:left="284" w:hanging="284"/>
        <w:textAlignment w:val="baseline"/>
        <w:rPr>
          <w:lang w:val="sl-SI"/>
        </w:rPr>
      </w:pPr>
      <w:r w:rsidRPr="009F0FBD">
        <w:rPr>
          <w:lang w:val="sl-SI"/>
        </w:rPr>
        <w:t>predlaga naslednjo opredelitev, s katero se poudarijo pozitivni učinki regenerativnega kmetijstva za tri stebre trajnostnosti: regenerativno kmetijstvo je prilagodljiv pristop h kmetovanju, ki temelji na rezultatih in uporablja v praksi dokazane in znanstveno utemeljene metode s pozitivnimi učinki na okolje, preživljanje kmetijskih skupnosti in javno zdravje ter zagotavlja stabilnost pridelka, konkurenčnost in učinkovitost ter družbene koristi;</w:t>
      </w:r>
    </w:p>
    <w:p w:rsidRPr="009F0FBD" w:rsidR="00276128" w:rsidP="004F5634" w:rsidRDefault="00276128" w14:paraId="5CA228F5" w14:textId="77777777">
      <w:pPr>
        <w:numPr>
          <w:ilvl w:val="0"/>
          <w:numId w:val="43"/>
        </w:numPr>
        <w:suppressAutoHyphens/>
        <w:overflowPunct w:val="0"/>
        <w:autoSpaceDE w:val="0"/>
        <w:autoSpaceDN w:val="0"/>
        <w:adjustRightInd w:val="0"/>
        <w:ind w:left="284" w:hanging="284"/>
        <w:textAlignment w:val="baseline"/>
        <w:rPr>
          <w:lang w:val="sl-SI"/>
        </w:rPr>
      </w:pPr>
      <w:r w:rsidRPr="009F0FBD">
        <w:rPr>
          <w:lang w:val="sl-SI"/>
        </w:rPr>
        <w:t>predlaga tudi kazalnike, ki temeljijo na kratkoročnih in dolgoročnih rezultatih in uspešnosti ter izhajajo iz obstoječih sistemov nadzora ali merjenja, ki bi se uporabljali za usklajevanje instrumentov politike, finančnih mehanizmov, regulativnih okvirov in standardov dobavnih verig;</w:t>
      </w:r>
    </w:p>
    <w:p w:rsidRPr="009F0FBD" w:rsidR="00276128" w:rsidP="004F5634" w:rsidRDefault="00276128" w14:paraId="540A22BC" w14:textId="77777777">
      <w:pPr>
        <w:numPr>
          <w:ilvl w:val="0"/>
          <w:numId w:val="43"/>
        </w:numPr>
        <w:suppressAutoHyphens/>
        <w:overflowPunct w:val="0"/>
        <w:autoSpaceDE w:val="0"/>
        <w:autoSpaceDN w:val="0"/>
        <w:adjustRightInd w:val="0"/>
        <w:ind w:left="284" w:hanging="284"/>
        <w:textAlignment w:val="baseline"/>
        <w:rPr>
          <w:lang w:val="sl-SI"/>
        </w:rPr>
      </w:pPr>
      <w:r w:rsidRPr="009F0FBD">
        <w:rPr>
          <w:lang w:val="sl-SI"/>
        </w:rPr>
        <w:t>poziva Evropsko komisijo in države članice EU, naj povečajo obseg regenerativnih oblik kmetijstva z uskladitvijo financiranja (v okviru SKP in širše), znatno razširitvijo ukrepov za zdravje tal in pokritost tal v strateških načrtih SKP, krepitvijo ali vzpostavitvijo neodvisnih svetovalnih služb in mrež za medsebojno podporo, podpiranjem sprememb v miselnosti, izvajanjem posebnih raziskovalnih in inovacijskih projektov, povečanjem podpore za naložbe, krepitvijo javno-zasebnega sodelovanja, poenostavitvijo in uskladitvijo obstoječih regulativnih okvirov in predlogom za ugodno in spodbudno okolje (zlasti v prvih letih preusmeritve), podpiranjem zavarovanja za prehod glede na okoliščine, zagotavljanjem poštenih cen kakovostnih proizvodov zaradi večjega deleža vrednosti v agroživilski verigi in omogočanjem boljših pogojev za prenos zemljišč.</w:t>
      </w:r>
    </w:p>
    <w:p w:rsidRPr="009F0FBD" w:rsidR="00276128" w:rsidP="00276128" w:rsidRDefault="00276128" w14:paraId="23E35712" w14:textId="77777777">
      <w:pPr>
        <w:suppressAutoHyphens/>
        <w:spacing w:line="240" w:lineRule="auto"/>
        <w:rPr>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4820"/>
      </w:tblGrid>
      <w:tr w:rsidRPr="009F0FBD" w:rsidR="00276128" w:rsidTr="007C0C1A" w14:paraId="7E808BBF" w14:textId="77777777">
        <w:tc>
          <w:tcPr>
            <w:tcW w:w="1951" w:type="dxa"/>
          </w:tcPr>
          <w:p w:rsidRPr="009F0FBD" w:rsidR="00276128" w:rsidP="00276128" w:rsidRDefault="00276128" w14:paraId="63902009" w14:textId="77777777">
            <w:pPr>
              <w:suppressAutoHyphens/>
              <w:spacing w:line="240" w:lineRule="auto"/>
              <w:rPr>
                <w:lang w:val="sl-SI"/>
              </w:rPr>
            </w:pPr>
            <w:r w:rsidRPr="009F0FBD">
              <w:rPr>
                <w:b/>
                <w:i/>
                <w:lang w:val="sl-SI"/>
              </w:rPr>
              <w:t>Kontaktna oseba</w:t>
            </w:r>
          </w:p>
        </w:tc>
        <w:tc>
          <w:tcPr>
            <w:tcW w:w="4820" w:type="dxa"/>
          </w:tcPr>
          <w:p w:rsidRPr="009F0FBD" w:rsidR="00276128" w:rsidP="00276128" w:rsidRDefault="00276128" w14:paraId="2B29D296" w14:textId="77777777">
            <w:pPr>
              <w:suppressAutoHyphens/>
              <w:spacing w:line="240" w:lineRule="auto"/>
              <w:rPr>
                <w:lang w:val="sl-SI"/>
              </w:rPr>
            </w:pPr>
            <w:r w:rsidRPr="009F0FBD">
              <w:rPr>
                <w:i/>
                <w:lang w:val="sl-SI"/>
              </w:rPr>
              <w:t>Martine DELANOY</w:t>
            </w:r>
          </w:p>
        </w:tc>
      </w:tr>
      <w:tr w:rsidRPr="009F0FBD" w:rsidR="00276128" w:rsidTr="007C0C1A" w14:paraId="1489C8B8" w14:textId="77777777">
        <w:tc>
          <w:tcPr>
            <w:tcW w:w="1951" w:type="dxa"/>
          </w:tcPr>
          <w:p w:rsidRPr="009F0FBD" w:rsidR="00276128" w:rsidP="00276128" w:rsidRDefault="00276128" w14:paraId="247E14A0" w14:textId="77777777">
            <w:pPr>
              <w:suppressAutoHyphens/>
              <w:spacing w:line="240" w:lineRule="auto"/>
              <w:rPr>
                <w:lang w:val="sl-SI"/>
              </w:rPr>
            </w:pPr>
            <w:r w:rsidRPr="009F0FBD">
              <w:rPr>
                <w:i/>
                <w:lang w:val="sl-SI"/>
              </w:rPr>
              <w:t>Telefon</w:t>
            </w:r>
          </w:p>
        </w:tc>
        <w:tc>
          <w:tcPr>
            <w:tcW w:w="4820" w:type="dxa"/>
          </w:tcPr>
          <w:p w:rsidRPr="009F0FBD" w:rsidR="00276128" w:rsidP="00276128" w:rsidRDefault="00276128" w14:paraId="13EA09E1" w14:textId="77777777">
            <w:pPr>
              <w:suppressAutoHyphens/>
              <w:spacing w:line="240" w:lineRule="auto"/>
              <w:rPr>
                <w:lang w:val="sl-SI"/>
              </w:rPr>
            </w:pPr>
            <w:r w:rsidRPr="009F0FBD">
              <w:rPr>
                <w:i/>
                <w:lang w:val="sl-SI"/>
              </w:rPr>
              <w:t>+32 2 5469802</w:t>
            </w:r>
          </w:p>
        </w:tc>
      </w:tr>
      <w:tr w:rsidRPr="0084110F" w:rsidR="00276128" w:rsidTr="007C0C1A" w14:paraId="565816FA" w14:textId="77777777">
        <w:tc>
          <w:tcPr>
            <w:tcW w:w="1951" w:type="dxa"/>
          </w:tcPr>
          <w:p w:rsidRPr="009F0FBD" w:rsidR="00276128" w:rsidP="00276128" w:rsidRDefault="00276128" w14:paraId="04E5F55E" w14:textId="77777777">
            <w:pPr>
              <w:suppressAutoHyphens/>
              <w:spacing w:line="240" w:lineRule="auto"/>
              <w:rPr>
                <w:lang w:val="sl-SI"/>
              </w:rPr>
            </w:pPr>
            <w:r w:rsidRPr="009F0FBD">
              <w:rPr>
                <w:i/>
                <w:lang w:val="sl-SI"/>
              </w:rPr>
              <w:t>E-naslov</w:t>
            </w:r>
          </w:p>
        </w:tc>
        <w:tc>
          <w:tcPr>
            <w:tcW w:w="4820" w:type="dxa"/>
          </w:tcPr>
          <w:p w:rsidRPr="009F0FBD" w:rsidR="00276128" w:rsidP="00276128" w:rsidRDefault="00E47EFC" w14:paraId="0502C54F" w14:textId="77777777">
            <w:pPr>
              <w:suppressAutoHyphens/>
              <w:spacing w:line="240" w:lineRule="auto"/>
              <w:rPr>
                <w:lang w:val="sl-SI"/>
              </w:rPr>
            </w:pPr>
            <w:hyperlink w:history="1" r:id="rId45">
              <w:r w:rsidRPr="009F0FBD" w:rsidR="00276128">
                <w:rPr>
                  <w:rStyle w:val="Hyperlink"/>
                  <w:i/>
                  <w:lang w:val="sl-SI"/>
                </w:rPr>
                <w:t>Martine.Delanoy@eesc.europa.eu</w:t>
              </w:r>
            </w:hyperlink>
          </w:p>
        </w:tc>
      </w:tr>
    </w:tbl>
    <w:p w:rsidRPr="009F0FBD" w:rsidR="00055407" w:rsidRDefault="00055407" w14:paraId="20B8A69F" w14:textId="7F6D1EF8">
      <w:pPr>
        <w:spacing w:after="160" w:line="259" w:lineRule="auto"/>
        <w:jc w:val="left"/>
        <w:rPr>
          <w:lang w:val="sl-SI" w:eastAsia="zh-CN"/>
        </w:rPr>
      </w:pPr>
      <w:r w:rsidRPr="009F0FBD">
        <w:rPr>
          <w:lang w:val="sl-SI" w:eastAsia="zh-CN"/>
        </w:rPr>
        <w:br w:type="page"/>
      </w:r>
    </w:p>
    <w:p w:rsidRPr="009F0FBD" w:rsidR="007F5784" w:rsidP="007F5784" w:rsidRDefault="0013311E" w14:paraId="14026A78" w14:textId="03EB038F">
      <w:pPr>
        <w:pStyle w:val="Heading1"/>
        <w:rPr>
          <w:b/>
          <w:lang w:val="sl-SI"/>
        </w:rPr>
      </w:pPr>
      <w:bookmarkStart w:name="_Toc201837073" w:id="15"/>
      <w:r w:rsidRPr="009F0FBD">
        <w:rPr>
          <w:b/>
          <w:lang w:val="sl-SI"/>
        </w:rPr>
        <w:lastRenderedPageBreak/>
        <w:t>ZUNANJI ODNOSI</w:t>
      </w:r>
      <w:bookmarkEnd w:id="15"/>
    </w:p>
    <w:p w:rsidRPr="009F0FBD" w:rsidR="00276128" w:rsidP="00276128" w:rsidRDefault="00276128" w14:paraId="69F42624" w14:textId="77777777">
      <w:pPr>
        <w:rPr>
          <w:lang w:val="sl-SI"/>
        </w:rPr>
      </w:pPr>
    </w:p>
    <w:p w:rsidRPr="009F0FBD" w:rsidR="00276128" w:rsidP="00611089" w:rsidRDefault="00276128" w14:paraId="3898324E" w14:textId="127299F5">
      <w:pPr>
        <w:widowControl w:val="0"/>
        <w:numPr>
          <w:ilvl w:val="0"/>
          <w:numId w:val="18"/>
        </w:numPr>
        <w:overflowPunct w:val="0"/>
        <w:autoSpaceDE w:val="0"/>
        <w:autoSpaceDN w:val="0"/>
        <w:adjustRightInd w:val="0"/>
        <w:ind w:left="567" w:hanging="567"/>
        <w:textAlignment w:val="baseline"/>
        <w:rPr>
          <w:rStyle w:val="Hyperlink"/>
          <w:sz w:val="20"/>
          <w:lang w:val="sl-SI"/>
        </w:rPr>
      </w:pPr>
      <w:r w:rsidRPr="009F0FBD">
        <w:rPr>
          <w:b/>
          <w:i/>
          <w:sz w:val="28"/>
          <w:lang w:val="sl-SI"/>
        </w:rPr>
        <w:fldChar w:fldCharType="begin"/>
      </w:r>
      <w:r w:rsidRPr="009F0FBD">
        <w:rPr>
          <w:b/>
          <w:i/>
          <w:sz w:val="28"/>
          <w:lang w:val="sl-SI"/>
        </w:rPr>
        <w:instrText>HYPERLINK "https://www.eesc.europa.eu/sl/our-work/opinions-information-reports/opinions/fragmentation-supply-chains-and-impact-cost-living"</w:instrText>
      </w:r>
      <w:r w:rsidRPr="009F0FBD">
        <w:rPr>
          <w:b/>
          <w:i/>
          <w:sz w:val="28"/>
          <w:lang w:val="sl-SI"/>
        </w:rPr>
        <w:fldChar w:fldCharType="separate"/>
      </w:r>
      <w:r w:rsidRPr="009F0FBD">
        <w:rPr>
          <w:rStyle w:val="Hyperlink"/>
          <w:b/>
          <w:i/>
          <w:sz w:val="28"/>
          <w:lang w:val="sl-SI"/>
        </w:rPr>
        <w:t>Razdrobljenost dobavnih verig in vpliv na življenjske stroške</w:t>
      </w:r>
    </w:p>
    <w:p w:rsidRPr="009F0FBD" w:rsidR="00276128" w:rsidP="006179EF" w:rsidRDefault="00276128" w14:paraId="538278BE" w14:textId="7126DBEC">
      <w:pPr>
        <w:tabs>
          <w:tab w:val="center" w:pos="284"/>
        </w:tabs>
        <w:overflowPunct w:val="0"/>
        <w:autoSpaceDE w:val="0"/>
        <w:autoSpaceDN w:val="0"/>
        <w:adjustRightInd w:val="0"/>
        <w:ind w:left="266" w:hanging="266"/>
        <w:textAlignment w:val="baseline"/>
        <w:rPr>
          <w:b/>
          <w:bCs/>
          <w:i/>
          <w:iCs/>
          <w:lang w:val="sl-SI"/>
        </w:rPr>
      </w:pPr>
      <w:r w:rsidRPr="009F0FBD">
        <w:rPr>
          <w:b/>
          <w:i/>
          <w:sz w:val="28"/>
          <w:lang w:val="sl-SI"/>
        </w:rPr>
        <w:fldChar w:fldCharType="end"/>
      </w:r>
    </w:p>
    <w:tbl>
      <w:tblPr>
        <w:tblStyle w:val="TableGrid"/>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521"/>
      </w:tblGrid>
      <w:tr w:rsidRPr="0084110F" w:rsidR="00276128" w:rsidTr="007C0C1A" w14:paraId="29F855F4" w14:textId="77777777">
        <w:tc>
          <w:tcPr>
            <w:tcW w:w="1349" w:type="pct"/>
          </w:tcPr>
          <w:p w:rsidRPr="009F0FBD" w:rsidR="00276128" w:rsidP="007C0C1A" w:rsidRDefault="00276128" w14:paraId="30BAB906" w14:textId="77777777">
            <w:pPr>
              <w:tabs>
                <w:tab w:val="center" w:pos="284"/>
              </w:tabs>
              <w:ind w:left="266" w:hanging="266"/>
              <w:rPr>
                <w:b/>
                <w:lang w:val="sl-SI"/>
              </w:rPr>
            </w:pPr>
            <w:r w:rsidRPr="009F0FBD">
              <w:rPr>
                <w:b/>
                <w:lang w:val="sl-SI"/>
              </w:rPr>
              <w:t>Poročevalec</w:t>
            </w:r>
          </w:p>
          <w:p w:rsidRPr="009F0FBD" w:rsidR="00276128" w:rsidP="007C0C1A" w:rsidRDefault="00276128" w14:paraId="0658E0CB" w14:textId="77777777">
            <w:pPr>
              <w:tabs>
                <w:tab w:val="center" w:pos="284"/>
              </w:tabs>
              <w:ind w:left="266" w:hanging="266"/>
              <w:rPr>
                <w:b/>
                <w:lang w:val="sl-SI"/>
              </w:rPr>
            </w:pPr>
            <w:r w:rsidRPr="009F0FBD">
              <w:rPr>
                <w:b/>
                <w:lang w:val="sl-SI"/>
              </w:rPr>
              <w:t>Soporočevalec</w:t>
            </w:r>
          </w:p>
        </w:tc>
        <w:tc>
          <w:tcPr>
            <w:tcW w:w="3651" w:type="pct"/>
          </w:tcPr>
          <w:p w:rsidRPr="009F0FBD" w:rsidR="00276128" w:rsidP="007C0C1A" w:rsidRDefault="00276128" w14:paraId="1AB47569" w14:textId="2F3F56F2">
            <w:pPr>
              <w:tabs>
                <w:tab w:val="center" w:pos="284"/>
              </w:tabs>
              <w:ind w:left="266" w:hanging="266"/>
              <w:rPr>
                <w:lang w:val="sl-SI"/>
              </w:rPr>
            </w:pPr>
            <w:proofErr w:type="spellStart"/>
            <w:r w:rsidRPr="009F0FBD">
              <w:rPr>
                <w:lang w:val="sl-SI"/>
              </w:rPr>
              <w:t>Dimitris</w:t>
            </w:r>
            <w:proofErr w:type="spellEnd"/>
            <w:r w:rsidRPr="009F0FBD">
              <w:rPr>
                <w:lang w:val="sl-SI"/>
              </w:rPr>
              <w:t xml:space="preserve"> DIMITRIADIS (</w:t>
            </w:r>
            <w:r w:rsidR="00A67130">
              <w:rPr>
                <w:lang w:val="sl-SI"/>
              </w:rPr>
              <w:t xml:space="preserve">skupina </w:t>
            </w:r>
            <w:r w:rsidRPr="009F0FBD">
              <w:rPr>
                <w:lang w:val="sl-SI"/>
              </w:rPr>
              <w:t>delodajalc</w:t>
            </w:r>
            <w:r w:rsidR="00A67130">
              <w:rPr>
                <w:lang w:val="sl-SI"/>
              </w:rPr>
              <w:t>ev</w:t>
            </w:r>
            <w:r w:rsidRPr="009F0FBD">
              <w:rPr>
                <w:lang w:val="sl-SI"/>
              </w:rPr>
              <w:t xml:space="preserve"> – EL)</w:t>
            </w:r>
          </w:p>
          <w:p w:rsidRPr="009F0FBD" w:rsidR="00276128" w:rsidP="007C0C1A" w:rsidRDefault="00276128" w14:paraId="1808F053" w14:textId="77777777">
            <w:pPr>
              <w:tabs>
                <w:tab w:val="center" w:pos="284"/>
              </w:tabs>
              <w:ind w:left="266" w:hanging="266"/>
              <w:rPr>
                <w:lang w:val="sl-SI"/>
              </w:rPr>
            </w:pPr>
            <w:r w:rsidRPr="009F0FBD">
              <w:rPr>
                <w:lang w:val="sl-SI"/>
              </w:rPr>
              <w:t>Anastasis YIAPANIS (skupina organizacij civilne družbe – CY)</w:t>
            </w:r>
          </w:p>
        </w:tc>
      </w:tr>
      <w:tr w:rsidRPr="0084110F" w:rsidR="00276128" w:rsidTr="007C0C1A" w14:paraId="0431E5E6" w14:textId="77777777">
        <w:tc>
          <w:tcPr>
            <w:tcW w:w="5000" w:type="pct"/>
            <w:gridSpan w:val="2"/>
          </w:tcPr>
          <w:p w:rsidRPr="009F0FBD" w:rsidR="00276128" w:rsidP="007C0C1A" w:rsidRDefault="00276128" w14:paraId="37063527" w14:textId="77777777">
            <w:pPr>
              <w:tabs>
                <w:tab w:val="center" w:pos="284"/>
              </w:tabs>
              <w:ind w:left="266" w:hanging="266"/>
              <w:rPr>
                <w:lang w:val="sl-SI"/>
              </w:rPr>
            </w:pPr>
          </w:p>
        </w:tc>
      </w:tr>
      <w:tr w:rsidRPr="0084110F" w:rsidR="00276128" w:rsidTr="007C0C1A" w14:paraId="2F2E47D5" w14:textId="77777777">
        <w:tc>
          <w:tcPr>
            <w:tcW w:w="1349" w:type="pct"/>
          </w:tcPr>
          <w:p w:rsidRPr="009F0FBD" w:rsidR="00276128" w:rsidP="007C0C1A" w:rsidRDefault="00276128" w14:paraId="094D5C09" w14:textId="77777777">
            <w:pPr>
              <w:tabs>
                <w:tab w:val="center" w:pos="284"/>
              </w:tabs>
              <w:ind w:left="266" w:hanging="266"/>
              <w:rPr>
                <w:b/>
                <w:lang w:val="sl-SI"/>
              </w:rPr>
            </w:pPr>
            <w:r w:rsidRPr="009F0FBD">
              <w:rPr>
                <w:b/>
                <w:lang w:val="sl-SI"/>
              </w:rPr>
              <w:t>Referenčni dokument</w:t>
            </w:r>
          </w:p>
        </w:tc>
        <w:tc>
          <w:tcPr>
            <w:tcW w:w="3651" w:type="pct"/>
          </w:tcPr>
          <w:p w:rsidRPr="009F0FBD" w:rsidR="00276128" w:rsidP="007C0C1A" w:rsidRDefault="00276128" w14:paraId="77D07093" w14:textId="77777777">
            <w:pPr>
              <w:tabs>
                <w:tab w:val="center" w:pos="284"/>
              </w:tabs>
              <w:ind w:left="266" w:hanging="266"/>
              <w:rPr>
                <w:lang w:val="sl-SI"/>
              </w:rPr>
            </w:pPr>
            <w:r w:rsidRPr="009F0FBD">
              <w:rPr>
                <w:lang w:val="sl-SI"/>
              </w:rPr>
              <w:t>mnenje na lastno pobudo</w:t>
            </w:r>
          </w:p>
          <w:p w:rsidRPr="009F0FBD" w:rsidR="00276128" w:rsidP="007C0C1A" w:rsidRDefault="00276128" w14:paraId="127BB728" w14:textId="77777777">
            <w:pPr>
              <w:tabs>
                <w:tab w:val="center" w:pos="284"/>
              </w:tabs>
              <w:ind w:left="266" w:hanging="266"/>
              <w:rPr>
                <w:lang w:val="sl-SI"/>
              </w:rPr>
            </w:pPr>
            <w:r w:rsidRPr="009F0FBD">
              <w:rPr>
                <w:lang w:val="sl-SI"/>
              </w:rPr>
              <w:t>EESC-2025-00037-00-00-AC</w:t>
            </w:r>
          </w:p>
        </w:tc>
      </w:tr>
    </w:tbl>
    <w:p w:rsidRPr="009F0FBD" w:rsidR="00276128" w:rsidP="006179EF" w:rsidRDefault="00276128" w14:paraId="7DD6B3C0" w14:textId="77777777">
      <w:pPr>
        <w:tabs>
          <w:tab w:val="center" w:pos="284"/>
        </w:tabs>
        <w:overflowPunct w:val="0"/>
        <w:autoSpaceDE w:val="0"/>
        <w:autoSpaceDN w:val="0"/>
        <w:adjustRightInd w:val="0"/>
        <w:ind w:left="266" w:hanging="266"/>
        <w:textAlignment w:val="baseline"/>
        <w:rPr>
          <w:lang w:val="sl-SI"/>
        </w:rPr>
      </w:pPr>
    </w:p>
    <w:p w:rsidRPr="009F0FBD" w:rsidR="00611089" w:rsidP="00611089" w:rsidRDefault="00611089" w14:paraId="19219600" w14:textId="77777777">
      <w:pPr>
        <w:keepNext/>
        <w:keepLines/>
        <w:tabs>
          <w:tab w:val="center" w:pos="284"/>
        </w:tabs>
        <w:ind w:left="266" w:hanging="266"/>
        <w:rPr>
          <w:b/>
          <w:lang w:val="sl-SI"/>
        </w:rPr>
      </w:pPr>
      <w:r w:rsidRPr="009F0FBD">
        <w:rPr>
          <w:b/>
          <w:lang w:val="sl-SI"/>
        </w:rPr>
        <w:t>Glavne točke</w:t>
      </w:r>
    </w:p>
    <w:p w:rsidRPr="009F0FBD" w:rsidR="00611089" w:rsidP="00611089" w:rsidRDefault="00611089" w14:paraId="38844BC7" w14:textId="77777777">
      <w:pPr>
        <w:keepNext/>
        <w:keepLines/>
        <w:tabs>
          <w:tab w:val="center" w:pos="284"/>
        </w:tabs>
        <w:ind w:left="266" w:hanging="266"/>
        <w:rPr>
          <w:b/>
          <w:lang w:val="sl-SI"/>
        </w:rPr>
      </w:pPr>
    </w:p>
    <w:p w:rsidRPr="009F0FBD" w:rsidR="00611089" w:rsidP="00611089" w:rsidRDefault="00611089" w14:paraId="465BD999" w14:textId="77777777">
      <w:pPr>
        <w:rPr>
          <w:lang w:val="sl-SI"/>
        </w:rPr>
      </w:pPr>
      <w:r w:rsidRPr="009F0FBD">
        <w:rPr>
          <w:lang w:val="sl-SI"/>
        </w:rPr>
        <w:t>EESO:</w:t>
      </w:r>
    </w:p>
    <w:p w:rsidRPr="009F0FBD" w:rsidR="00611089" w:rsidP="00611089" w:rsidRDefault="00611089" w14:paraId="4CB7A749" w14:textId="77777777">
      <w:pPr>
        <w:rPr>
          <w:bCs/>
          <w:iCs/>
          <w:lang w:val="sl-SI"/>
        </w:rPr>
      </w:pPr>
    </w:p>
    <w:p w:rsidRPr="009F0FBD" w:rsidR="00611089" w:rsidP="004F5634" w:rsidRDefault="00611089" w14:paraId="3C997A28" w14:textId="77777777">
      <w:pPr>
        <w:widowControl w:val="0"/>
        <w:numPr>
          <w:ilvl w:val="0"/>
          <w:numId w:val="44"/>
        </w:numPr>
        <w:ind w:left="284" w:hanging="284"/>
        <w:rPr>
          <w:lang w:val="sl-SI"/>
        </w:rPr>
      </w:pPr>
      <w:r w:rsidRPr="009F0FBD">
        <w:rPr>
          <w:lang w:val="sl-SI"/>
        </w:rPr>
        <w:t xml:space="preserve">poudarja, da mora EU </w:t>
      </w:r>
      <w:r w:rsidRPr="009F0FBD">
        <w:rPr>
          <w:b/>
          <w:lang w:val="sl-SI"/>
        </w:rPr>
        <w:t>zmanjšati odvisnost od uvoza</w:t>
      </w:r>
      <w:r w:rsidRPr="009F0FBD">
        <w:rPr>
          <w:lang w:val="sl-SI"/>
        </w:rPr>
        <w:t xml:space="preserve">, zlasti za kritično blago, kot so farmacevtski izdelki in polprevodniki, ter </w:t>
      </w:r>
      <w:r w:rsidRPr="009F0FBD">
        <w:rPr>
          <w:b/>
          <w:lang w:val="sl-SI"/>
        </w:rPr>
        <w:t>diverzificirati dobavne verige</w:t>
      </w:r>
      <w:r w:rsidRPr="009F0FBD">
        <w:rPr>
          <w:lang w:val="sl-SI"/>
        </w:rPr>
        <w:t xml:space="preserve"> s spodbujanjem večjega števila </w:t>
      </w:r>
      <w:r w:rsidRPr="009F0FBD">
        <w:rPr>
          <w:b/>
          <w:lang w:val="sl-SI"/>
        </w:rPr>
        <w:t>mednarodnih partnerstev</w:t>
      </w:r>
      <w:r w:rsidRPr="009F0FBD">
        <w:rPr>
          <w:lang w:val="sl-SI"/>
        </w:rPr>
        <w:t>;</w:t>
      </w:r>
    </w:p>
    <w:p w:rsidRPr="009F0FBD" w:rsidR="00611089" w:rsidP="004F5634" w:rsidRDefault="00611089" w14:paraId="66F013D1" w14:textId="77777777">
      <w:pPr>
        <w:widowControl w:val="0"/>
        <w:numPr>
          <w:ilvl w:val="0"/>
          <w:numId w:val="44"/>
        </w:numPr>
        <w:ind w:left="284" w:hanging="284"/>
        <w:rPr>
          <w:lang w:val="sl-SI"/>
        </w:rPr>
      </w:pPr>
      <w:r w:rsidRPr="009F0FBD">
        <w:rPr>
          <w:lang w:val="sl-SI"/>
        </w:rPr>
        <w:t xml:space="preserve">poudarja, da so nujno potrebne </w:t>
      </w:r>
      <w:r w:rsidRPr="009F0FBD">
        <w:rPr>
          <w:b/>
          <w:lang w:val="sl-SI"/>
        </w:rPr>
        <w:t>ciljno usmerjene naložbe v strateške industrije in infrastrukturo</w:t>
      </w:r>
      <w:r w:rsidRPr="009F0FBD">
        <w:rPr>
          <w:lang w:val="sl-SI"/>
        </w:rPr>
        <w:t xml:space="preserve">, da bi okrepili gospodarsko odpornost in </w:t>
      </w:r>
      <w:r w:rsidRPr="009F0FBD">
        <w:rPr>
          <w:b/>
          <w:lang w:val="sl-SI"/>
        </w:rPr>
        <w:t>odpravili vrzeli v produktivnosti</w:t>
      </w:r>
      <w:r w:rsidRPr="009F0FBD">
        <w:rPr>
          <w:lang w:val="sl-SI"/>
        </w:rPr>
        <w:t xml:space="preserve"> med evropskimi proizvajalci. Takšne naložbe bi morale biti del dobro usklajene, celovite in ustrezno financirane industrijske politike;</w:t>
      </w:r>
    </w:p>
    <w:p w:rsidRPr="009F0FBD" w:rsidR="00611089" w:rsidP="004F5634" w:rsidRDefault="00611089" w14:paraId="2335171D" w14:textId="77777777">
      <w:pPr>
        <w:widowControl w:val="0"/>
        <w:numPr>
          <w:ilvl w:val="0"/>
          <w:numId w:val="44"/>
        </w:numPr>
        <w:ind w:left="284" w:hanging="284"/>
        <w:rPr>
          <w:lang w:val="sl-SI"/>
        </w:rPr>
      </w:pPr>
      <w:r w:rsidRPr="009F0FBD">
        <w:rPr>
          <w:lang w:val="sl-SI"/>
        </w:rPr>
        <w:t xml:space="preserve">priporoča </w:t>
      </w:r>
      <w:r w:rsidRPr="009F0FBD">
        <w:rPr>
          <w:b/>
          <w:lang w:val="sl-SI"/>
        </w:rPr>
        <w:t>razširitev trgovinskih sporazumov</w:t>
      </w:r>
      <w:r w:rsidRPr="009F0FBD">
        <w:rPr>
          <w:lang w:val="sl-SI"/>
        </w:rPr>
        <w:t xml:space="preserve">, zlasti z zanesljivimi partnerji na svetovnem jugu, in se zavzema za </w:t>
      </w:r>
      <w:r w:rsidRPr="009F0FBD">
        <w:rPr>
          <w:b/>
          <w:lang w:val="sl-SI"/>
        </w:rPr>
        <w:t>izboljšanje regulativne učinkovitosti</w:t>
      </w:r>
      <w:r w:rsidRPr="009F0FBD">
        <w:rPr>
          <w:lang w:val="sl-SI"/>
        </w:rPr>
        <w:t xml:space="preserve">, da bi racionalizirali zapletene okvire EU in hkrati </w:t>
      </w:r>
      <w:r w:rsidRPr="009F0FBD">
        <w:rPr>
          <w:b/>
          <w:lang w:val="sl-SI"/>
        </w:rPr>
        <w:t>ohranili visoke standarde</w:t>
      </w:r>
      <w:r w:rsidRPr="009F0FBD">
        <w:rPr>
          <w:lang w:val="sl-SI"/>
        </w:rPr>
        <w:t>;</w:t>
      </w:r>
    </w:p>
    <w:p w:rsidRPr="009F0FBD" w:rsidR="00611089" w:rsidP="004F5634" w:rsidRDefault="00611089" w14:paraId="46C47360" w14:textId="77777777">
      <w:pPr>
        <w:widowControl w:val="0"/>
        <w:numPr>
          <w:ilvl w:val="0"/>
          <w:numId w:val="44"/>
        </w:numPr>
        <w:ind w:left="284" w:hanging="284"/>
        <w:rPr>
          <w:lang w:val="sl-SI"/>
        </w:rPr>
      </w:pPr>
      <w:r w:rsidRPr="009F0FBD">
        <w:rPr>
          <w:lang w:val="sl-SI"/>
        </w:rPr>
        <w:t xml:space="preserve">poziva k nadaljnjemu spodbujanju </w:t>
      </w:r>
      <w:r w:rsidRPr="009F0FBD">
        <w:rPr>
          <w:b/>
          <w:lang w:val="sl-SI"/>
        </w:rPr>
        <w:t>zavezujočih in izvršljivih poglavij o trgovini in trajnostnem razvoju</w:t>
      </w:r>
      <w:r w:rsidRPr="009F0FBD">
        <w:rPr>
          <w:lang w:val="sl-SI"/>
        </w:rPr>
        <w:t>, da bi trge EU zaščitili pred nepoštenimi konkurenčnimi praksami, ki so posledica nižjih proizvodnih standardov po svetu;</w:t>
      </w:r>
    </w:p>
    <w:p w:rsidRPr="009F0FBD" w:rsidR="00611089" w:rsidP="004F5634" w:rsidRDefault="00611089" w14:paraId="798AFA6B" w14:textId="77777777">
      <w:pPr>
        <w:widowControl w:val="0"/>
        <w:numPr>
          <w:ilvl w:val="0"/>
          <w:numId w:val="44"/>
        </w:numPr>
        <w:ind w:left="284" w:hanging="284"/>
        <w:rPr>
          <w:lang w:val="sl-SI"/>
        </w:rPr>
      </w:pPr>
      <w:r w:rsidRPr="009F0FBD">
        <w:rPr>
          <w:lang w:val="sl-SI"/>
        </w:rPr>
        <w:t xml:space="preserve">poziva k </w:t>
      </w:r>
      <w:r w:rsidRPr="009F0FBD">
        <w:rPr>
          <w:b/>
          <w:lang w:val="sl-SI"/>
        </w:rPr>
        <w:t>okrepljenim mehanizmom finančne in tehnične podpore za mikro, mala in srednja podjetja</w:t>
      </w:r>
      <w:r w:rsidRPr="009F0FBD">
        <w:rPr>
          <w:lang w:val="sl-SI"/>
        </w:rPr>
        <w:t>, da bi ta diverzificirala dobavitelje, sprejela trajnostne poslovne modele in se uspešno znašla v zapletenem regulativnem okolju;</w:t>
      </w:r>
    </w:p>
    <w:p w:rsidRPr="009F0FBD" w:rsidR="00611089" w:rsidP="004F5634" w:rsidRDefault="00611089" w14:paraId="63B5E530" w14:textId="77777777">
      <w:pPr>
        <w:widowControl w:val="0"/>
        <w:numPr>
          <w:ilvl w:val="0"/>
          <w:numId w:val="44"/>
        </w:numPr>
        <w:ind w:left="284" w:hanging="284"/>
        <w:rPr>
          <w:lang w:val="sl-SI"/>
        </w:rPr>
      </w:pPr>
      <w:r w:rsidRPr="009F0FBD">
        <w:rPr>
          <w:lang w:val="sl-SI"/>
        </w:rPr>
        <w:t xml:space="preserve">poudarja pomen </w:t>
      </w:r>
      <w:r w:rsidRPr="009F0FBD">
        <w:rPr>
          <w:b/>
          <w:lang w:val="sl-SI"/>
        </w:rPr>
        <w:t>povečanih naložb v raziskave in razvoj</w:t>
      </w:r>
      <w:r w:rsidRPr="009F0FBD">
        <w:rPr>
          <w:lang w:val="sl-SI"/>
        </w:rPr>
        <w:t xml:space="preserve"> v sektorjih visoke tehnologije in trajnostne proizvodnje, vključno s </w:t>
      </w:r>
      <w:r w:rsidRPr="009F0FBD">
        <w:rPr>
          <w:b/>
          <w:lang w:val="sl-SI"/>
        </w:rPr>
        <w:t>širšim uvajanjem umetne inteligence</w:t>
      </w:r>
      <w:r w:rsidRPr="009F0FBD">
        <w:rPr>
          <w:lang w:val="sl-SI"/>
        </w:rPr>
        <w:t xml:space="preserve"> in tehnologij blokovnih verig za optimizacijo upravljanja dobavnih verig;</w:t>
      </w:r>
    </w:p>
    <w:p w:rsidRPr="009F0FBD" w:rsidR="00611089" w:rsidP="004F5634" w:rsidRDefault="00611089" w14:paraId="54264844" w14:textId="77777777">
      <w:pPr>
        <w:widowControl w:val="0"/>
        <w:numPr>
          <w:ilvl w:val="0"/>
          <w:numId w:val="44"/>
        </w:numPr>
        <w:ind w:left="284" w:hanging="284"/>
        <w:rPr>
          <w:lang w:val="sl-SI"/>
        </w:rPr>
      </w:pPr>
      <w:r w:rsidRPr="009F0FBD">
        <w:rPr>
          <w:lang w:val="sl-SI"/>
        </w:rPr>
        <w:t xml:space="preserve">poudarja, da so potrebne </w:t>
      </w:r>
      <w:r w:rsidRPr="009F0FBD">
        <w:rPr>
          <w:b/>
          <w:lang w:val="sl-SI"/>
        </w:rPr>
        <w:t>ciljno usmerjene pobude za izobraževanje in usposabljanje</w:t>
      </w:r>
      <w:r w:rsidRPr="009F0FBD">
        <w:rPr>
          <w:lang w:val="sl-SI"/>
        </w:rPr>
        <w:t xml:space="preserve">, da bi izboljšali znanja in spretnosti delovne sile, </w:t>
      </w:r>
      <w:r w:rsidRPr="009F0FBD">
        <w:rPr>
          <w:b/>
          <w:lang w:val="sl-SI"/>
        </w:rPr>
        <w:t>spodbujali mobilnost delovne sile</w:t>
      </w:r>
      <w:r w:rsidRPr="009F0FBD">
        <w:rPr>
          <w:lang w:val="sl-SI"/>
        </w:rPr>
        <w:t xml:space="preserve"> na enotnem trgu ter </w:t>
      </w:r>
      <w:r w:rsidRPr="009F0FBD">
        <w:rPr>
          <w:b/>
          <w:lang w:val="sl-SI"/>
        </w:rPr>
        <w:t>privabili in zadržali talente</w:t>
      </w:r>
      <w:r w:rsidRPr="009F0FBD">
        <w:rPr>
          <w:lang w:val="sl-SI"/>
        </w:rPr>
        <w:t xml:space="preserve">, s čimer bi </w:t>
      </w:r>
      <w:r w:rsidRPr="009F0FBD">
        <w:rPr>
          <w:b/>
          <w:lang w:val="sl-SI"/>
        </w:rPr>
        <w:t>okrepili inovacijske zmogljivosti</w:t>
      </w:r>
      <w:r w:rsidRPr="009F0FBD">
        <w:rPr>
          <w:lang w:val="sl-SI"/>
        </w:rPr>
        <w:t>.</w:t>
      </w:r>
    </w:p>
    <w:p w:rsidRPr="009F0FBD" w:rsidR="00611089" w:rsidP="00611089" w:rsidRDefault="00611089" w14:paraId="5BAF2CC5" w14:textId="77777777">
      <w:pPr>
        <w:widowControl w:val="0"/>
        <w:ind w:left="709"/>
        <w:rPr>
          <w:sz w:val="16"/>
          <w:szCs w:val="16"/>
          <w:lang w:val="sl-SI"/>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9F0FBD" w:rsidR="00611089" w:rsidTr="007C0C1A" w14:paraId="2EB2B0B4" w14:textId="77777777">
        <w:tc>
          <w:tcPr>
            <w:tcW w:w="1556" w:type="pct"/>
          </w:tcPr>
          <w:p w:rsidRPr="009F0FBD" w:rsidR="00611089" w:rsidP="007C0C1A" w:rsidRDefault="00611089" w14:paraId="6A557A20" w14:textId="77777777">
            <w:pPr>
              <w:rPr>
                <w:i/>
                <w:lang w:val="sl-SI"/>
              </w:rPr>
            </w:pPr>
            <w:r w:rsidRPr="009F0FBD">
              <w:rPr>
                <w:b/>
                <w:i/>
                <w:lang w:val="sl-SI"/>
              </w:rPr>
              <w:t>Kontakta oseba</w:t>
            </w:r>
          </w:p>
        </w:tc>
        <w:tc>
          <w:tcPr>
            <w:tcW w:w="3444" w:type="pct"/>
          </w:tcPr>
          <w:p w:rsidRPr="009F0FBD" w:rsidR="00611089" w:rsidP="007C0C1A" w:rsidRDefault="00611089" w14:paraId="6C3B016D" w14:textId="77777777">
            <w:pPr>
              <w:rPr>
                <w:i/>
                <w:iCs/>
                <w:lang w:val="sl-SI"/>
              </w:rPr>
            </w:pPr>
            <w:r w:rsidRPr="009F0FBD">
              <w:rPr>
                <w:i/>
                <w:lang w:val="sl-SI"/>
              </w:rPr>
              <w:t>Marco RISTORI</w:t>
            </w:r>
          </w:p>
        </w:tc>
      </w:tr>
      <w:tr w:rsidRPr="009F0FBD" w:rsidR="00611089" w:rsidTr="007C0C1A" w14:paraId="683F85D1" w14:textId="77777777">
        <w:tc>
          <w:tcPr>
            <w:tcW w:w="1556" w:type="pct"/>
          </w:tcPr>
          <w:p w:rsidRPr="009F0FBD" w:rsidR="00611089" w:rsidP="007C0C1A" w:rsidRDefault="00611089" w14:paraId="1831B7D8" w14:textId="77777777">
            <w:pPr>
              <w:rPr>
                <w:i/>
                <w:lang w:val="sl-SI"/>
              </w:rPr>
            </w:pPr>
            <w:r w:rsidRPr="009F0FBD">
              <w:rPr>
                <w:i/>
                <w:lang w:val="sl-SI"/>
              </w:rPr>
              <w:t>Telefon</w:t>
            </w:r>
          </w:p>
        </w:tc>
        <w:tc>
          <w:tcPr>
            <w:tcW w:w="3444" w:type="pct"/>
          </w:tcPr>
          <w:p w:rsidRPr="009F0FBD" w:rsidR="00611089" w:rsidP="007C0C1A" w:rsidRDefault="00611089" w14:paraId="466693C3" w14:textId="77777777">
            <w:pPr>
              <w:rPr>
                <w:i/>
                <w:lang w:val="sl-SI"/>
              </w:rPr>
            </w:pPr>
            <w:r w:rsidRPr="009F0FBD">
              <w:rPr>
                <w:i/>
                <w:lang w:val="sl-SI"/>
              </w:rPr>
              <w:t>+32 254 69969</w:t>
            </w:r>
          </w:p>
        </w:tc>
      </w:tr>
      <w:tr w:rsidRPr="0084110F" w:rsidR="00611089" w:rsidTr="007C0C1A" w14:paraId="7F2F4CD8" w14:textId="77777777">
        <w:tc>
          <w:tcPr>
            <w:tcW w:w="1556" w:type="pct"/>
          </w:tcPr>
          <w:p w:rsidRPr="009F0FBD" w:rsidR="00611089" w:rsidP="007C0C1A" w:rsidRDefault="00611089" w14:paraId="67FD84EE" w14:textId="77777777">
            <w:pPr>
              <w:rPr>
                <w:i/>
                <w:lang w:val="sl-SI"/>
              </w:rPr>
            </w:pPr>
            <w:r w:rsidRPr="009F0FBD">
              <w:rPr>
                <w:i/>
                <w:lang w:val="sl-SI"/>
              </w:rPr>
              <w:t>E-naslov</w:t>
            </w:r>
          </w:p>
        </w:tc>
        <w:tc>
          <w:tcPr>
            <w:tcW w:w="3444" w:type="pct"/>
          </w:tcPr>
          <w:p w:rsidRPr="009F0FBD" w:rsidR="00611089" w:rsidP="007C0C1A" w:rsidRDefault="00E47EFC" w14:paraId="03E18EC8" w14:textId="77777777">
            <w:pPr>
              <w:rPr>
                <w:i/>
                <w:lang w:val="sl-SI"/>
              </w:rPr>
            </w:pPr>
            <w:hyperlink w:history="1" r:id="rId46">
              <w:r w:rsidRPr="009F0FBD" w:rsidR="00611089">
                <w:rPr>
                  <w:rStyle w:val="Hyperlink"/>
                  <w:i/>
                  <w:lang w:val="sl-SI"/>
                </w:rPr>
                <w:t>Marco.Ristori@eesc.europa.eu</w:t>
              </w:r>
            </w:hyperlink>
          </w:p>
        </w:tc>
      </w:tr>
    </w:tbl>
    <w:p w:rsidRPr="009F0FBD" w:rsidR="00611089" w:rsidRDefault="00611089" w14:paraId="5A34D64E" w14:textId="77777777">
      <w:pPr>
        <w:spacing w:after="160" w:line="259" w:lineRule="auto"/>
        <w:jc w:val="left"/>
        <w:rPr>
          <w:lang w:val="sl-SI"/>
        </w:rPr>
      </w:pPr>
    </w:p>
    <w:p w:rsidRPr="009F0FBD" w:rsidR="00055407" w:rsidRDefault="00055407" w14:paraId="48C49104" w14:textId="20E3B21D">
      <w:pPr>
        <w:spacing w:after="160" w:line="259" w:lineRule="auto"/>
        <w:jc w:val="left"/>
        <w:rPr>
          <w:b/>
          <w:i/>
          <w:sz w:val="28"/>
          <w:szCs w:val="28"/>
          <w:lang w:val="sl-SI"/>
        </w:rPr>
      </w:pPr>
      <w:r w:rsidRPr="009F0FBD">
        <w:rPr>
          <w:b/>
          <w:i/>
          <w:sz w:val="28"/>
          <w:szCs w:val="28"/>
          <w:lang w:val="sl-SI"/>
        </w:rPr>
        <w:br w:type="page"/>
      </w:r>
    </w:p>
    <w:p w:rsidRPr="009F0FBD" w:rsidR="00AE7912" w:rsidP="00611089" w:rsidRDefault="00E47EFC" w14:paraId="5975EE80" w14:textId="121BC252">
      <w:pPr>
        <w:widowControl w:val="0"/>
        <w:numPr>
          <w:ilvl w:val="0"/>
          <w:numId w:val="19"/>
        </w:numPr>
        <w:overflowPunct w:val="0"/>
        <w:autoSpaceDE w:val="0"/>
        <w:autoSpaceDN w:val="0"/>
        <w:adjustRightInd w:val="0"/>
        <w:ind w:hanging="567"/>
        <w:jc w:val="left"/>
        <w:textAlignment w:val="baseline"/>
        <w:rPr>
          <w:b/>
          <w:bCs/>
          <w:i/>
          <w:iCs/>
          <w:color w:val="0000FF"/>
          <w:sz w:val="28"/>
          <w:szCs w:val="28"/>
          <w:u w:val="single"/>
          <w:lang w:val="sl-SI"/>
        </w:rPr>
      </w:pPr>
      <w:hyperlink w:history="1" r:id="rId47">
        <w:r w:rsidRPr="009F0FBD" w:rsidR="00611089">
          <w:rPr>
            <w:rStyle w:val="Hyperlink"/>
            <w:b/>
            <w:bCs/>
            <w:i/>
            <w:iCs/>
            <w:sz w:val="28"/>
            <w:szCs w:val="28"/>
            <w:lang w:val="sl-SI"/>
          </w:rPr>
          <w:t>Položaj organizacij civilne družbe v državah ASEAN</w:t>
        </w:r>
      </w:hyperlink>
    </w:p>
    <w:p w:rsidRPr="009F0FBD" w:rsidR="00AE7912" w:rsidP="00AE7912" w:rsidRDefault="00AE7912" w14:paraId="1C4B8C34" w14:textId="19F6591D">
      <w:pPr>
        <w:widowControl w:val="0"/>
        <w:overflowPunct w:val="0"/>
        <w:autoSpaceDE w:val="0"/>
        <w:autoSpaceDN w:val="0"/>
        <w:adjustRightInd w:val="0"/>
        <w:jc w:val="left"/>
        <w:textAlignment w:val="baseline"/>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7"/>
        <w:gridCol w:w="7306"/>
      </w:tblGrid>
      <w:tr w:rsidRPr="009F0FBD" w:rsidR="00611089" w:rsidTr="007C0C1A" w14:paraId="3650E0BB" w14:textId="77777777">
        <w:tc>
          <w:tcPr>
            <w:tcW w:w="974" w:type="pct"/>
          </w:tcPr>
          <w:p w:rsidRPr="009F0FBD" w:rsidR="00611089" w:rsidP="007C0C1A" w:rsidRDefault="00611089" w14:paraId="0ACFD1CA" w14:textId="77777777">
            <w:pPr>
              <w:rPr>
                <w:b/>
                <w:lang w:val="sl-SI"/>
              </w:rPr>
            </w:pPr>
            <w:r w:rsidRPr="009F0FBD">
              <w:rPr>
                <w:b/>
                <w:lang w:val="sl-SI"/>
              </w:rPr>
              <w:t>Poročevalka</w:t>
            </w:r>
          </w:p>
        </w:tc>
        <w:tc>
          <w:tcPr>
            <w:tcW w:w="4026" w:type="pct"/>
          </w:tcPr>
          <w:p w:rsidRPr="009F0FBD" w:rsidR="00611089" w:rsidP="007C0C1A" w:rsidRDefault="00611089" w14:paraId="61AFF4D8" w14:textId="77777777">
            <w:pPr>
              <w:rPr>
                <w:lang w:val="sl-SI"/>
              </w:rPr>
            </w:pPr>
            <w:r w:rsidRPr="009F0FBD">
              <w:rPr>
                <w:lang w:val="sl-SI"/>
              </w:rPr>
              <w:t>Erika KOLLER (skupina delojemalcev – HU)</w:t>
            </w:r>
          </w:p>
        </w:tc>
      </w:tr>
      <w:tr w:rsidRPr="009F0FBD" w:rsidR="00611089" w:rsidTr="007C0C1A" w14:paraId="02234174" w14:textId="77777777">
        <w:tc>
          <w:tcPr>
            <w:tcW w:w="5000" w:type="pct"/>
            <w:gridSpan w:val="2"/>
          </w:tcPr>
          <w:p w:rsidRPr="009F0FBD" w:rsidR="00611089" w:rsidP="007C0C1A" w:rsidRDefault="00611089" w14:paraId="57CA2CBD" w14:textId="77777777">
            <w:pPr>
              <w:rPr>
                <w:lang w:val="sl-SI"/>
              </w:rPr>
            </w:pPr>
          </w:p>
        </w:tc>
      </w:tr>
      <w:tr w:rsidRPr="009F0FBD" w:rsidR="00611089" w:rsidTr="007C0C1A" w14:paraId="044570A1" w14:textId="77777777">
        <w:tc>
          <w:tcPr>
            <w:tcW w:w="974" w:type="pct"/>
            <w:vMerge w:val="restart"/>
          </w:tcPr>
          <w:p w:rsidRPr="009F0FBD" w:rsidR="00611089" w:rsidP="007C0C1A" w:rsidRDefault="00611089" w14:paraId="1D92BD1C" w14:textId="77777777">
            <w:pPr>
              <w:rPr>
                <w:b/>
                <w:lang w:val="sl-SI"/>
              </w:rPr>
            </w:pPr>
            <w:r w:rsidRPr="009F0FBD">
              <w:rPr>
                <w:b/>
                <w:lang w:val="sl-SI"/>
              </w:rPr>
              <w:t>Referenčni dokument</w:t>
            </w:r>
          </w:p>
        </w:tc>
        <w:tc>
          <w:tcPr>
            <w:tcW w:w="4026" w:type="pct"/>
          </w:tcPr>
          <w:p w:rsidRPr="009F0FBD" w:rsidR="00611089" w:rsidP="007C0C1A" w:rsidRDefault="00611089" w14:paraId="216D96F8" w14:textId="77777777">
            <w:pPr>
              <w:rPr>
                <w:lang w:val="sl-SI"/>
              </w:rPr>
            </w:pPr>
            <w:r w:rsidRPr="009F0FBD">
              <w:rPr>
                <w:lang w:val="sl-SI"/>
              </w:rPr>
              <w:t>informativno poročilo</w:t>
            </w:r>
          </w:p>
        </w:tc>
      </w:tr>
      <w:tr w:rsidRPr="009F0FBD" w:rsidR="00611089" w:rsidTr="007C0C1A" w14:paraId="0B2C1E95" w14:textId="77777777">
        <w:tc>
          <w:tcPr>
            <w:tcW w:w="974" w:type="pct"/>
            <w:vMerge/>
          </w:tcPr>
          <w:p w:rsidRPr="009F0FBD" w:rsidR="00611089" w:rsidP="007C0C1A" w:rsidRDefault="00611089" w14:paraId="76FE7D5E" w14:textId="77777777">
            <w:pPr>
              <w:tabs>
                <w:tab w:val="center" w:pos="284"/>
              </w:tabs>
              <w:ind w:left="266" w:hanging="266"/>
              <w:rPr>
                <w:b/>
                <w:lang w:val="sl-SI"/>
              </w:rPr>
            </w:pPr>
          </w:p>
        </w:tc>
        <w:tc>
          <w:tcPr>
            <w:tcW w:w="4026" w:type="pct"/>
          </w:tcPr>
          <w:p w:rsidRPr="009F0FBD" w:rsidR="00611089" w:rsidP="007C0C1A" w:rsidRDefault="00611089" w14:paraId="1C1C77C9" w14:textId="77777777">
            <w:pPr>
              <w:rPr>
                <w:lang w:val="sl-SI"/>
              </w:rPr>
            </w:pPr>
            <w:r w:rsidRPr="009F0FBD">
              <w:rPr>
                <w:lang w:val="sl-SI"/>
              </w:rPr>
              <w:t>EESC-2025-00840-00-00-RI</w:t>
            </w:r>
          </w:p>
        </w:tc>
      </w:tr>
    </w:tbl>
    <w:p w:rsidRPr="009F0FBD" w:rsidR="00AE7912" w:rsidP="00AE7912" w:rsidRDefault="00AE7912" w14:paraId="42852B6A" w14:textId="77777777">
      <w:pPr>
        <w:keepNext/>
        <w:keepLines/>
        <w:tabs>
          <w:tab w:val="center" w:pos="284"/>
        </w:tabs>
        <w:overflowPunct w:val="0"/>
        <w:autoSpaceDE w:val="0"/>
        <w:autoSpaceDN w:val="0"/>
        <w:adjustRightInd w:val="0"/>
        <w:ind w:left="266" w:hanging="266"/>
        <w:textAlignment w:val="baseline"/>
        <w:rPr>
          <w:b/>
          <w:lang w:val="sl-SI"/>
        </w:rPr>
      </w:pPr>
    </w:p>
    <w:p w:rsidRPr="009F0FBD" w:rsidR="00611089" w:rsidP="00611089" w:rsidRDefault="00611089" w14:paraId="35B3680E" w14:textId="77777777">
      <w:pPr>
        <w:rPr>
          <w:lang w:val="sl-SI"/>
        </w:rPr>
      </w:pPr>
      <w:r w:rsidRPr="009F0FBD">
        <w:rPr>
          <w:b/>
          <w:lang w:val="sl-SI"/>
        </w:rPr>
        <w:t>Glavne točke</w:t>
      </w:r>
    </w:p>
    <w:p w:rsidRPr="009F0FBD" w:rsidR="00611089" w:rsidP="00611089" w:rsidRDefault="00611089" w14:paraId="3EAB9E61" w14:textId="77777777">
      <w:pPr>
        <w:rPr>
          <w:lang w:val="sl-SI"/>
        </w:rPr>
      </w:pPr>
    </w:p>
    <w:p w:rsidRPr="009F0FBD" w:rsidR="00611089" w:rsidP="004F5634" w:rsidRDefault="00611089" w14:paraId="58E7B90B" w14:textId="77777777">
      <w:pPr>
        <w:widowControl w:val="0"/>
        <w:numPr>
          <w:ilvl w:val="0"/>
          <w:numId w:val="45"/>
        </w:numPr>
        <w:overflowPunct w:val="0"/>
        <w:autoSpaceDE w:val="0"/>
        <w:autoSpaceDN w:val="0"/>
        <w:adjustRightInd w:val="0"/>
        <w:ind w:left="284" w:hanging="284"/>
        <w:textAlignment w:val="baseline"/>
        <w:rPr>
          <w:lang w:val="sl-SI"/>
        </w:rPr>
      </w:pPr>
      <w:r w:rsidRPr="009F0FBD">
        <w:rPr>
          <w:lang w:val="sl-SI"/>
        </w:rPr>
        <w:t>Namen tega poročila je osvetliti razvijajoče se odnose med Združenjem držav jugovzhodne Azije (ASEAN) in Evropsko unijo (EU), s poudarkom na vlogi civilne družbe in trajnostnem razvoju v okviru trgovinskega in političnega sodelovanja.</w:t>
      </w:r>
    </w:p>
    <w:p w:rsidRPr="009F0FBD" w:rsidR="00611089" w:rsidP="004F5634" w:rsidRDefault="00611089" w14:paraId="4CB2B19D" w14:textId="77777777">
      <w:pPr>
        <w:widowControl w:val="0"/>
        <w:numPr>
          <w:ilvl w:val="0"/>
          <w:numId w:val="45"/>
        </w:numPr>
        <w:overflowPunct w:val="0"/>
        <w:autoSpaceDE w:val="0"/>
        <w:autoSpaceDN w:val="0"/>
        <w:adjustRightInd w:val="0"/>
        <w:ind w:left="284" w:hanging="284"/>
        <w:textAlignment w:val="baseline"/>
        <w:rPr>
          <w:lang w:val="sl-SI"/>
        </w:rPr>
      </w:pPr>
      <w:r w:rsidRPr="009F0FBD">
        <w:rPr>
          <w:lang w:val="sl-SI"/>
        </w:rPr>
        <w:t>Obe regiji imata več skupnega, kot se pogosto priznava. Smiselno partnerstvo med EU in ASEAN, temelječe na načelnem sodelovanju in medsebojnem spoštovanju različnih političnih pristopov, ima stabilizacijsko vlogo v vse bolj nestabilnem globalnem okolju. Regiji povezujeta skupna podpora multilateralnemu redu, ki temelji na pravilih, pa tudi zavezanost miru in razvoju.</w:t>
      </w:r>
    </w:p>
    <w:p w:rsidRPr="009F0FBD" w:rsidR="00611089" w:rsidP="004F5634" w:rsidRDefault="00611089" w14:paraId="7E54ACF9" w14:textId="77777777">
      <w:pPr>
        <w:widowControl w:val="0"/>
        <w:numPr>
          <w:ilvl w:val="0"/>
          <w:numId w:val="45"/>
        </w:numPr>
        <w:overflowPunct w:val="0"/>
        <w:autoSpaceDE w:val="0"/>
        <w:autoSpaceDN w:val="0"/>
        <w:adjustRightInd w:val="0"/>
        <w:ind w:left="284" w:hanging="284"/>
        <w:textAlignment w:val="baseline"/>
        <w:rPr>
          <w:lang w:val="sl-SI"/>
        </w:rPr>
      </w:pPr>
      <w:r w:rsidRPr="009F0FBD">
        <w:rPr>
          <w:lang w:val="sl-SI"/>
        </w:rPr>
        <w:t>Odnosi med EU in ASEAN potekajo v ustaljenem ritmu letnih srečanj in delovnih skupin, vključno s skupnim odborom, ki prispeva k ministrskim dialogom na višji ravni, in z industrijskim sodelovanjem prek specializiranih forumov.</w:t>
      </w:r>
    </w:p>
    <w:p w:rsidRPr="009F0FBD" w:rsidR="00611089" w:rsidP="004F5634" w:rsidRDefault="00611089" w14:paraId="117CBD9A" w14:textId="77777777">
      <w:pPr>
        <w:widowControl w:val="0"/>
        <w:numPr>
          <w:ilvl w:val="0"/>
          <w:numId w:val="45"/>
        </w:numPr>
        <w:overflowPunct w:val="0"/>
        <w:autoSpaceDE w:val="0"/>
        <w:autoSpaceDN w:val="0"/>
        <w:adjustRightInd w:val="0"/>
        <w:ind w:left="284" w:hanging="284"/>
        <w:textAlignment w:val="baseline"/>
        <w:rPr>
          <w:lang w:val="sl-SI"/>
        </w:rPr>
      </w:pPr>
      <w:r w:rsidRPr="009F0FBD">
        <w:rPr>
          <w:lang w:val="sl-SI"/>
        </w:rPr>
        <w:t>Civilna družba ima ključno vlogo pri spodbujanju medregionalnega sodelovanja, zlasti pri pospeševanju participativnih političnih procesov in podpiranju prizadevanj za konsolidacijo med regijami. Za podobno misleče države je bistveno priznati zapleteno politično, družbeno in kulturno stvarnost jugovzhodne Azije, ki se lahko močno razlikuje od evropskih pričakovanj. Preseganje teh razlik je ključnega pomena za spodbujanje institucionaliziranega, odprtega in vključujočega dialoga ob smiselnem sodelovanju civilne družbe. Za tak dialog je treba ponovno preučiti strategije sodelovanja in lokalne razmere, da bodo vključeni tudi glasovi marginaliziranih skupin, zlasti lokalnih organizacij, žensk, etničnih in domorodnih manjšin ter mladih. Potrebna pa je tudi skrbna ocena pri sklepanju partnerstev z organizacijami civilne družbe.</w:t>
      </w:r>
    </w:p>
    <w:p w:rsidRPr="009F0FBD" w:rsidR="00611089" w:rsidP="004F5634" w:rsidRDefault="00611089" w14:paraId="79827B35" w14:textId="77777777">
      <w:pPr>
        <w:ind w:left="284" w:hanging="284"/>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7"/>
        <w:gridCol w:w="7306"/>
      </w:tblGrid>
      <w:tr w:rsidRPr="009F0FBD" w:rsidR="00611089" w:rsidTr="007C0C1A" w14:paraId="3184AAA7" w14:textId="77777777">
        <w:tc>
          <w:tcPr>
            <w:tcW w:w="974" w:type="pct"/>
          </w:tcPr>
          <w:p w:rsidRPr="009F0FBD" w:rsidR="00611089" w:rsidP="007C0C1A" w:rsidRDefault="00611089" w14:paraId="1DBD9E49" w14:textId="77777777">
            <w:pPr>
              <w:rPr>
                <w:lang w:val="sl-SI"/>
              </w:rPr>
            </w:pPr>
            <w:r w:rsidRPr="009F0FBD">
              <w:rPr>
                <w:b/>
                <w:i/>
                <w:lang w:val="sl-SI"/>
              </w:rPr>
              <w:t>Kontaktna oseba</w:t>
            </w:r>
          </w:p>
        </w:tc>
        <w:tc>
          <w:tcPr>
            <w:tcW w:w="4026" w:type="pct"/>
          </w:tcPr>
          <w:p w:rsidRPr="009F0FBD" w:rsidR="00611089" w:rsidP="007C0C1A" w:rsidRDefault="00611089" w14:paraId="0E6E1E14" w14:textId="4465F030">
            <w:pPr>
              <w:rPr>
                <w:i/>
                <w:lang w:val="sl-SI"/>
              </w:rPr>
            </w:pPr>
            <w:r w:rsidRPr="009F0FBD">
              <w:rPr>
                <w:i/>
                <w:lang w:val="sl-SI"/>
              </w:rPr>
              <w:t>Gunilla FÈVRE-BURDY</w:t>
            </w:r>
          </w:p>
        </w:tc>
      </w:tr>
      <w:tr w:rsidRPr="009F0FBD" w:rsidR="00611089" w:rsidTr="007C0C1A" w14:paraId="45F187C6" w14:textId="77777777">
        <w:tc>
          <w:tcPr>
            <w:tcW w:w="974" w:type="pct"/>
          </w:tcPr>
          <w:p w:rsidRPr="009F0FBD" w:rsidR="00611089" w:rsidP="007C0C1A" w:rsidRDefault="00611089" w14:paraId="499383C9" w14:textId="77777777">
            <w:pPr>
              <w:rPr>
                <w:lang w:val="sl-SI"/>
              </w:rPr>
            </w:pPr>
            <w:r w:rsidRPr="009F0FBD">
              <w:rPr>
                <w:i/>
                <w:lang w:val="sl-SI"/>
              </w:rPr>
              <w:t>Telefon</w:t>
            </w:r>
          </w:p>
        </w:tc>
        <w:tc>
          <w:tcPr>
            <w:tcW w:w="4026" w:type="pct"/>
          </w:tcPr>
          <w:p w:rsidRPr="009F0FBD" w:rsidR="00611089" w:rsidP="007C0C1A" w:rsidRDefault="00611089" w14:paraId="3B339BEC" w14:textId="77777777">
            <w:pPr>
              <w:rPr>
                <w:lang w:val="sl-SI"/>
              </w:rPr>
            </w:pPr>
            <w:r w:rsidRPr="009F0FBD">
              <w:rPr>
                <w:i/>
                <w:lang w:val="sl-SI"/>
              </w:rPr>
              <w:t>+32 2 546 9108</w:t>
            </w:r>
          </w:p>
        </w:tc>
      </w:tr>
      <w:tr w:rsidRPr="0084110F" w:rsidR="00611089" w:rsidTr="007C0C1A" w14:paraId="68F5B7B7" w14:textId="77777777">
        <w:tc>
          <w:tcPr>
            <w:tcW w:w="974" w:type="pct"/>
          </w:tcPr>
          <w:p w:rsidRPr="009F0FBD" w:rsidR="00611089" w:rsidP="007C0C1A" w:rsidRDefault="00611089" w14:paraId="5DF28501" w14:textId="77777777">
            <w:pPr>
              <w:rPr>
                <w:lang w:val="sl-SI"/>
              </w:rPr>
            </w:pPr>
            <w:r w:rsidRPr="009F0FBD">
              <w:rPr>
                <w:i/>
                <w:lang w:val="sl-SI"/>
              </w:rPr>
              <w:t>E-naslov</w:t>
            </w:r>
          </w:p>
        </w:tc>
        <w:tc>
          <w:tcPr>
            <w:tcW w:w="4026" w:type="pct"/>
          </w:tcPr>
          <w:p w:rsidRPr="009F0FBD" w:rsidR="00611089" w:rsidP="007C0C1A" w:rsidRDefault="00E47EFC" w14:paraId="3BE55B8B" w14:textId="77777777">
            <w:pPr>
              <w:rPr>
                <w:i/>
                <w:lang w:val="sl-SI"/>
              </w:rPr>
            </w:pPr>
            <w:hyperlink w:history="1" r:id="rId48">
              <w:r w:rsidRPr="009F0FBD" w:rsidR="00611089">
                <w:rPr>
                  <w:rStyle w:val="Hyperlink"/>
                  <w:i/>
                  <w:lang w:val="sl-SI"/>
                </w:rPr>
                <w:t>Gunilla.Sandberg@eesc.europa.eu</w:t>
              </w:r>
            </w:hyperlink>
          </w:p>
        </w:tc>
      </w:tr>
    </w:tbl>
    <w:p w:rsidRPr="009F0FBD" w:rsidR="00611089" w:rsidP="00611089" w:rsidRDefault="00611089" w14:paraId="3595C79D" w14:textId="77777777">
      <w:pPr>
        <w:rPr>
          <w:lang w:val="sl-SI"/>
        </w:rPr>
      </w:pPr>
    </w:p>
    <w:p w:rsidRPr="009F0FBD" w:rsidR="006179EF" w:rsidRDefault="006179EF" w14:paraId="126BFE8C" w14:textId="2DA8AC15">
      <w:pPr>
        <w:spacing w:after="160" w:line="259" w:lineRule="auto"/>
        <w:jc w:val="left"/>
        <w:rPr>
          <w:lang w:val="sl-SI"/>
        </w:rPr>
      </w:pPr>
      <w:r w:rsidRPr="009F0FBD">
        <w:rPr>
          <w:lang w:val="sl-SI"/>
        </w:rPr>
        <w:br w:type="page"/>
      </w:r>
    </w:p>
    <w:p w:rsidRPr="009F0FBD" w:rsidR="006D2C8A" w:rsidP="00365F0D" w:rsidRDefault="00BD2FFA" w14:paraId="528C73AA" w14:textId="15E7C2CD">
      <w:pPr>
        <w:pStyle w:val="Heading1"/>
        <w:spacing w:line="240" w:lineRule="auto"/>
        <w:rPr>
          <w:b/>
          <w:color w:val="222A35" w:themeColor="text2" w:themeShade="80"/>
          <w:lang w:val="sl-SI"/>
        </w:rPr>
      </w:pPr>
      <w:bookmarkStart w:name="_Toc201837074" w:id="16"/>
      <w:r w:rsidRPr="009F0FBD">
        <w:rPr>
          <w:b/>
          <w:color w:val="222A35" w:themeColor="text2" w:themeShade="80"/>
          <w:lang w:val="sl-SI"/>
        </w:rPr>
        <w:lastRenderedPageBreak/>
        <w:t>POSVETOVALNA KOMISIJA ZA SPREMEMBE V INDUSTRIJI</w:t>
      </w:r>
      <w:bookmarkEnd w:id="16"/>
    </w:p>
    <w:p w:rsidRPr="009F0FBD" w:rsidR="00611089" w:rsidP="00365F0D" w:rsidRDefault="00611089" w14:paraId="7728F2FC" w14:textId="77777777">
      <w:pPr>
        <w:spacing w:line="240" w:lineRule="auto"/>
        <w:rPr>
          <w:lang w:val="sl-SI"/>
        </w:rPr>
      </w:pPr>
    </w:p>
    <w:p w:rsidRPr="009F0FBD" w:rsidR="00611089" w:rsidP="00365F0D" w:rsidRDefault="00E47EFC" w14:paraId="09EE3B56" w14:textId="2BF76113">
      <w:pPr>
        <w:numPr>
          <w:ilvl w:val="0"/>
          <w:numId w:val="20"/>
        </w:numPr>
        <w:overflowPunct w:val="0"/>
        <w:autoSpaceDE w:val="0"/>
        <w:autoSpaceDN w:val="0"/>
        <w:adjustRightInd w:val="0"/>
        <w:spacing w:after="200" w:line="240" w:lineRule="auto"/>
        <w:ind w:left="567" w:hanging="567"/>
        <w:contextualSpacing/>
        <w:jc w:val="left"/>
        <w:textAlignment w:val="baseline"/>
        <w:rPr>
          <w:b/>
          <w:bCs/>
          <w:i/>
          <w:iCs/>
          <w:color w:val="0000FF"/>
          <w:sz w:val="28"/>
          <w:szCs w:val="28"/>
          <w:u w:val="single"/>
          <w:lang w:val="sl-SI" w:eastAsia="zh-CN"/>
        </w:rPr>
      </w:pPr>
      <w:hyperlink w:history="1" r:id="rId49">
        <w:r w:rsidRPr="009F0FBD" w:rsidR="00611089">
          <w:rPr>
            <w:rStyle w:val="Hyperlink"/>
            <w:b/>
            <w:bCs/>
            <w:i/>
            <w:iCs/>
            <w:sz w:val="28"/>
            <w:szCs w:val="28"/>
            <w:lang w:val="sl-SI"/>
          </w:rPr>
          <w:t xml:space="preserve">Ponovna industrializacija Evrope – </w:t>
        </w:r>
        <w:r w:rsidRPr="00A67130" w:rsidR="00A67130">
          <w:rPr>
            <w:rStyle w:val="Hyperlink"/>
            <w:b/>
            <w:bCs/>
            <w:i/>
            <w:iCs/>
            <w:sz w:val="28"/>
            <w:szCs w:val="28"/>
            <w:lang w:val="sl-SI"/>
          </w:rPr>
          <w:t>priložnost za podjetja, zaposlene in državljane med krizo življenjskih stroškov</w:t>
        </w:r>
      </w:hyperlink>
    </w:p>
    <w:p w:rsidRPr="009F0FBD" w:rsidR="00611089" w:rsidP="00365F0D" w:rsidRDefault="00611089" w14:paraId="0EC85238" w14:textId="77777777">
      <w:pPr>
        <w:keepNext/>
        <w:keepLines/>
        <w:tabs>
          <w:tab w:val="center" w:pos="284"/>
        </w:tabs>
        <w:overflowPunct w:val="0"/>
        <w:autoSpaceDE w:val="0"/>
        <w:autoSpaceDN w:val="0"/>
        <w:adjustRightInd w:val="0"/>
        <w:spacing w:line="240" w:lineRule="auto"/>
        <w:ind w:left="266" w:hanging="266"/>
        <w:textAlignment w:val="baseline"/>
        <w:rPr>
          <w:b/>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805"/>
      </w:tblGrid>
      <w:tr w:rsidRPr="0084110F" w:rsidR="00611089" w:rsidTr="000428FC" w14:paraId="5245C78C" w14:textId="77777777">
        <w:tc>
          <w:tcPr>
            <w:tcW w:w="1250" w:type="pct"/>
          </w:tcPr>
          <w:p w:rsidRPr="009F0FBD" w:rsidR="00611089" w:rsidP="00365F0D" w:rsidRDefault="00611089" w14:paraId="1BCB854B" w14:textId="77777777">
            <w:pPr>
              <w:spacing w:line="240" w:lineRule="auto"/>
              <w:rPr>
                <w:b/>
                <w:lang w:val="sl-SI"/>
              </w:rPr>
            </w:pPr>
            <w:r w:rsidRPr="009F0FBD">
              <w:rPr>
                <w:b/>
                <w:lang w:val="sl-SI"/>
              </w:rPr>
              <w:t>Poročevalec</w:t>
            </w:r>
          </w:p>
        </w:tc>
        <w:tc>
          <w:tcPr>
            <w:tcW w:w="3750" w:type="pct"/>
          </w:tcPr>
          <w:p w:rsidRPr="009F0FBD" w:rsidR="00611089" w:rsidP="00365F0D" w:rsidRDefault="00611089" w14:paraId="69C55474" w14:textId="77777777">
            <w:pPr>
              <w:spacing w:line="240" w:lineRule="auto"/>
              <w:rPr>
                <w:lang w:val="sl-SI"/>
              </w:rPr>
            </w:pPr>
            <w:r w:rsidRPr="009F0FBD">
              <w:rPr>
                <w:lang w:val="sl-SI"/>
              </w:rPr>
              <w:t>Andrés BARCELÓ DELGADO (skupina delodajalcev – ES)</w:t>
            </w:r>
          </w:p>
        </w:tc>
      </w:tr>
      <w:tr w:rsidRPr="009F0FBD" w:rsidR="00611089" w:rsidTr="000428FC" w14:paraId="3C82B7FC" w14:textId="77777777">
        <w:tc>
          <w:tcPr>
            <w:tcW w:w="1250" w:type="pct"/>
          </w:tcPr>
          <w:p w:rsidRPr="009F0FBD" w:rsidR="00611089" w:rsidP="00365F0D" w:rsidRDefault="00611089" w14:paraId="5A0524CB" w14:textId="77777777">
            <w:pPr>
              <w:spacing w:line="240" w:lineRule="auto"/>
              <w:rPr>
                <w:b/>
                <w:lang w:val="sl-SI"/>
              </w:rPr>
            </w:pPr>
            <w:r w:rsidRPr="009F0FBD">
              <w:rPr>
                <w:b/>
                <w:lang w:val="sl-SI"/>
              </w:rPr>
              <w:t>Soporočevalka</w:t>
            </w:r>
          </w:p>
        </w:tc>
        <w:tc>
          <w:tcPr>
            <w:tcW w:w="3750" w:type="pct"/>
          </w:tcPr>
          <w:p w:rsidRPr="009F0FBD" w:rsidR="00611089" w:rsidP="00365F0D" w:rsidRDefault="00611089" w14:paraId="12615EE8" w14:textId="77777777">
            <w:pPr>
              <w:spacing w:line="240" w:lineRule="auto"/>
              <w:rPr>
                <w:lang w:val="sl-SI"/>
              </w:rPr>
            </w:pPr>
            <w:r w:rsidRPr="009F0FBD">
              <w:rPr>
                <w:lang w:val="sl-SI"/>
              </w:rPr>
              <w:t>Monika SITÁROVÁ (2. kategorija – SK)</w:t>
            </w:r>
          </w:p>
        </w:tc>
      </w:tr>
      <w:tr w:rsidRPr="009F0FBD" w:rsidR="00611089" w:rsidTr="007C0C1A" w14:paraId="08DD69EE" w14:textId="77777777">
        <w:tc>
          <w:tcPr>
            <w:tcW w:w="5000" w:type="pct"/>
            <w:gridSpan w:val="2"/>
          </w:tcPr>
          <w:p w:rsidRPr="009F0FBD" w:rsidR="00611089" w:rsidP="00365F0D" w:rsidRDefault="00611089" w14:paraId="7DD8FFE2" w14:textId="77777777">
            <w:pPr>
              <w:spacing w:line="240" w:lineRule="auto"/>
              <w:rPr>
                <w:lang w:val="sl-SI"/>
              </w:rPr>
            </w:pPr>
          </w:p>
        </w:tc>
      </w:tr>
      <w:tr w:rsidRPr="009F0FBD" w:rsidR="00611089" w:rsidTr="000428FC" w14:paraId="34145CC1" w14:textId="77777777">
        <w:tc>
          <w:tcPr>
            <w:tcW w:w="1250" w:type="pct"/>
            <w:vMerge w:val="restart"/>
          </w:tcPr>
          <w:p w:rsidRPr="009F0FBD" w:rsidR="00611089" w:rsidP="00365F0D" w:rsidRDefault="00611089" w14:paraId="3135876F" w14:textId="77777777">
            <w:pPr>
              <w:spacing w:line="240" w:lineRule="auto"/>
              <w:rPr>
                <w:b/>
                <w:lang w:val="sl-SI"/>
              </w:rPr>
            </w:pPr>
            <w:r w:rsidRPr="009F0FBD">
              <w:rPr>
                <w:b/>
                <w:lang w:val="sl-SI"/>
              </w:rPr>
              <w:t>Referenčni dokument</w:t>
            </w:r>
          </w:p>
        </w:tc>
        <w:tc>
          <w:tcPr>
            <w:tcW w:w="3750" w:type="pct"/>
          </w:tcPr>
          <w:p w:rsidRPr="009F0FBD" w:rsidR="00611089" w:rsidP="00365F0D" w:rsidRDefault="00611089" w14:paraId="6D997B19" w14:textId="77777777">
            <w:pPr>
              <w:spacing w:line="240" w:lineRule="auto"/>
              <w:rPr>
                <w:lang w:val="sl-SI"/>
              </w:rPr>
            </w:pPr>
            <w:r w:rsidRPr="009F0FBD">
              <w:rPr>
                <w:lang w:val="sl-SI"/>
              </w:rPr>
              <w:t>mnenje na lastno pobudo</w:t>
            </w:r>
          </w:p>
        </w:tc>
      </w:tr>
      <w:tr w:rsidRPr="009F0FBD" w:rsidR="00611089" w:rsidTr="000428FC" w14:paraId="0D6C8579" w14:textId="77777777">
        <w:tc>
          <w:tcPr>
            <w:tcW w:w="1250" w:type="pct"/>
            <w:vMerge/>
          </w:tcPr>
          <w:p w:rsidRPr="009F0FBD" w:rsidR="00611089" w:rsidP="00365F0D" w:rsidRDefault="00611089" w14:paraId="0C371688" w14:textId="77777777">
            <w:pPr>
              <w:tabs>
                <w:tab w:val="center" w:pos="284"/>
              </w:tabs>
              <w:spacing w:line="240" w:lineRule="auto"/>
              <w:ind w:left="266" w:hanging="266"/>
              <w:rPr>
                <w:b/>
                <w:lang w:val="sl-SI"/>
              </w:rPr>
            </w:pPr>
          </w:p>
        </w:tc>
        <w:tc>
          <w:tcPr>
            <w:tcW w:w="3750" w:type="pct"/>
          </w:tcPr>
          <w:p w:rsidRPr="009F0FBD" w:rsidR="00611089" w:rsidP="00365F0D" w:rsidRDefault="00611089" w14:paraId="38681EA6" w14:textId="77777777">
            <w:pPr>
              <w:spacing w:line="240" w:lineRule="auto"/>
              <w:rPr>
                <w:lang w:val="sl-SI"/>
              </w:rPr>
            </w:pPr>
            <w:r w:rsidRPr="009F0FBD">
              <w:rPr>
                <w:lang w:val="sl-SI"/>
              </w:rPr>
              <w:t>EESC-2025-00169-00-00-AC</w:t>
            </w:r>
          </w:p>
        </w:tc>
      </w:tr>
    </w:tbl>
    <w:p w:rsidRPr="009F0FBD" w:rsidR="00611089" w:rsidP="00365F0D" w:rsidRDefault="00611089" w14:paraId="44312302" w14:textId="77777777">
      <w:pPr>
        <w:keepNext/>
        <w:keepLines/>
        <w:tabs>
          <w:tab w:val="center" w:pos="284"/>
        </w:tabs>
        <w:overflowPunct w:val="0"/>
        <w:autoSpaceDE w:val="0"/>
        <w:autoSpaceDN w:val="0"/>
        <w:adjustRightInd w:val="0"/>
        <w:spacing w:line="240" w:lineRule="auto"/>
        <w:ind w:left="266" w:hanging="266"/>
        <w:textAlignment w:val="baseline"/>
        <w:rPr>
          <w:b/>
          <w:lang w:val="sl-SI"/>
        </w:rPr>
      </w:pPr>
    </w:p>
    <w:p w:rsidRPr="009F0FBD" w:rsidR="00611089" w:rsidP="00365F0D" w:rsidRDefault="00611089" w14:paraId="0413C83D" w14:textId="77777777">
      <w:pPr>
        <w:spacing w:line="240" w:lineRule="auto"/>
        <w:rPr>
          <w:lang w:val="sl-SI"/>
        </w:rPr>
      </w:pPr>
      <w:r w:rsidRPr="009F0FBD">
        <w:rPr>
          <w:b/>
          <w:lang w:val="sl-SI"/>
        </w:rPr>
        <w:t>Glavne točke</w:t>
      </w:r>
    </w:p>
    <w:p w:rsidRPr="009F0FBD" w:rsidR="00611089" w:rsidP="00365F0D" w:rsidRDefault="00611089" w14:paraId="05F57B25" w14:textId="77777777">
      <w:pPr>
        <w:spacing w:line="240" w:lineRule="auto"/>
        <w:rPr>
          <w:lang w:val="sl-SI"/>
        </w:rPr>
      </w:pPr>
    </w:p>
    <w:p w:rsidRPr="009F0FBD" w:rsidR="00611089" w:rsidP="00365F0D" w:rsidRDefault="00611089" w14:paraId="3581F805" w14:textId="77777777">
      <w:pPr>
        <w:spacing w:line="240" w:lineRule="auto"/>
        <w:rPr>
          <w:lang w:val="sl-SI"/>
        </w:rPr>
      </w:pPr>
      <w:r w:rsidRPr="009F0FBD">
        <w:rPr>
          <w:lang w:val="sl-SI"/>
        </w:rPr>
        <w:t xml:space="preserve">Pri tem mnenju je bil opravljen </w:t>
      </w:r>
      <w:hyperlink w:history="1" r:id="rId50">
        <w:r w:rsidRPr="009F0FBD">
          <w:rPr>
            <w:rStyle w:val="Hyperlink"/>
            <w:lang w:val="sl-SI"/>
          </w:rPr>
          <w:t>Mladinski test EU v EESO</w:t>
        </w:r>
      </w:hyperlink>
      <w:r w:rsidRPr="009F0FBD">
        <w:rPr>
          <w:lang w:val="sl-SI"/>
        </w:rPr>
        <w:t>. Skupina zainteresiranih mladinskih organizacij je izbrala Mladinski forum regije Baltskega morja (Baltic Sea Region Youth Forum), da jih zastopa v postopku priprave mnenja.</w:t>
      </w:r>
    </w:p>
    <w:p w:rsidRPr="009F0FBD" w:rsidR="00611089" w:rsidP="00365F0D" w:rsidRDefault="00611089" w14:paraId="5614A69B" w14:textId="77777777">
      <w:pPr>
        <w:spacing w:line="240" w:lineRule="auto"/>
        <w:rPr>
          <w:lang w:val="sl-SI"/>
        </w:rPr>
      </w:pPr>
    </w:p>
    <w:p w:rsidRPr="009F0FBD" w:rsidR="00611089" w:rsidP="00365F0D" w:rsidRDefault="00611089" w14:paraId="71487CBF" w14:textId="77777777">
      <w:pPr>
        <w:spacing w:line="240" w:lineRule="auto"/>
        <w:rPr>
          <w:bCs/>
          <w:iCs/>
          <w:lang w:val="sl-SI"/>
        </w:rPr>
      </w:pPr>
      <w:r w:rsidRPr="009F0FBD">
        <w:rPr>
          <w:bCs/>
          <w:iCs/>
          <w:lang w:val="sl-SI"/>
        </w:rPr>
        <w:t>EESO:</w:t>
      </w:r>
    </w:p>
    <w:p w:rsidRPr="009F0FBD" w:rsidR="00611089" w:rsidP="00365F0D" w:rsidRDefault="00611089" w14:paraId="04E68F92" w14:textId="77777777">
      <w:pPr>
        <w:spacing w:line="240" w:lineRule="auto"/>
        <w:rPr>
          <w:lang w:val="sl-SI"/>
        </w:rPr>
      </w:pPr>
    </w:p>
    <w:p w:rsidRPr="009F0FBD" w:rsidR="00611089" w:rsidP="00365F0D" w:rsidRDefault="00611089" w14:paraId="1C1E81F9" w14:textId="77777777">
      <w:pPr>
        <w:widowControl w:val="0"/>
        <w:numPr>
          <w:ilvl w:val="0"/>
          <w:numId w:val="46"/>
        </w:numPr>
        <w:overflowPunct w:val="0"/>
        <w:autoSpaceDE w:val="0"/>
        <w:autoSpaceDN w:val="0"/>
        <w:adjustRightInd w:val="0"/>
        <w:spacing w:line="240" w:lineRule="auto"/>
        <w:ind w:left="284" w:hanging="284"/>
        <w:textAlignment w:val="baseline"/>
        <w:rPr>
          <w:bCs/>
          <w:iCs/>
          <w:lang w:val="sl-SI"/>
        </w:rPr>
      </w:pPr>
      <w:r w:rsidRPr="009F0FBD">
        <w:rPr>
          <w:lang w:val="sl-SI"/>
        </w:rPr>
        <w:t xml:space="preserve">pozdravlja </w:t>
      </w:r>
      <w:r w:rsidRPr="009F0FBD">
        <w:rPr>
          <w:b/>
          <w:lang w:val="sl-SI"/>
        </w:rPr>
        <w:t>pobudo Komisije za kompas za konkurenčnost</w:t>
      </w:r>
      <w:r w:rsidRPr="009F0FBD">
        <w:rPr>
          <w:lang w:val="sl-SI"/>
        </w:rPr>
        <w:t xml:space="preserve">, ki se osredotoča na </w:t>
      </w:r>
      <w:r w:rsidRPr="009F0FBD">
        <w:rPr>
          <w:b/>
          <w:lang w:val="sl-SI"/>
        </w:rPr>
        <w:t>izboljšanje konkurenčnosti gospodarstva EU, da bi nadoknadili zaostanek za ZDA in Azijo</w:t>
      </w:r>
      <w:r w:rsidRPr="009F0FBD">
        <w:rPr>
          <w:lang w:val="sl-SI"/>
        </w:rPr>
        <w:t>. Razvoj kompasa za konkurenčnost mora vključevati jasne metrike uspešnosti, da se institucijam EU in deležnikom omogoči spremljanje uresničevanja vseh njegovih ciljev;</w:t>
      </w:r>
    </w:p>
    <w:p w:rsidRPr="009F0FBD" w:rsidR="00611089" w:rsidP="00365F0D" w:rsidRDefault="00611089" w14:paraId="596CEE32" w14:textId="77777777">
      <w:pPr>
        <w:widowControl w:val="0"/>
        <w:numPr>
          <w:ilvl w:val="0"/>
          <w:numId w:val="46"/>
        </w:numPr>
        <w:overflowPunct w:val="0"/>
        <w:autoSpaceDE w:val="0"/>
        <w:autoSpaceDN w:val="0"/>
        <w:adjustRightInd w:val="0"/>
        <w:spacing w:line="240" w:lineRule="auto"/>
        <w:ind w:left="284" w:hanging="284"/>
        <w:textAlignment w:val="baseline"/>
        <w:rPr>
          <w:bCs/>
          <w:iCs/>
          <w:lang w:val="sl-SI"/>
        </w:rPr>
      </w:pPr>
      <w:r w:rsidRPr="009F0FBD">
        <w:rPr>
          <w:b/>
          <w:lang w:val="sl-SI"/>
        </w:rPr>
        <w:t>od Komisije želi zagotovilo, da bo z akcijskim načrtom za cenovno dostopno energijo poskrbljeno za zanesljivo oskrbo z električno energijo ter stabilno, konkurenčno in predvidljivo ceno</w:t>
      </w:r>
      <w:r w:rsidRPr="009F0FBD">
        <w:rPr>
          <w:lang w:val="sl-SI"/>
        </w:rPr>
        <w:t>;</w:t>
      </w:r>
    </w:p>
    <w:p w:rsidRPr="009F0FBD" w:rsidR="00611089" w:rsidP="00365F0D" w:rsidRDefault="00611089" w14:paraId="42FACB9B" w14:textId="77777777">
      <w:pPr>
        <w:widowControl w:val="0"/>
        <w:numPr>
          <w:ilvl w:val="0"/>
          <w:numId w:val="46"/>
        </w:numPr>
        <w:overflowPunct w:val="0"/>
        <w:autoSpaceDE w:val="0"/>
        <w:autoSpaceDN w:val="0"/>
        <w:adjustRightInd w:val="0"/>
        <w:spacing w:line="240" w:lineRule="auto"/>
        <w:ind w:left="284" w:hanging="284"/>
        <w:textAlignment w:val="baseline"/>
        <w:rPr>
          <w:bCs/>
          <w:iCs/>
          <w:lang w:val="sl-SI"/>
        </w:rPr>
      </w:pPr>
      <w:r w:rsidRPr="009F0FBD">
        <w:rPr>
          <w:lang w:val="sl-SI"/>
        </w:rPr>
        <w:t xml:space="preserve">poudarja, da mora biti </w:t>
      </w:r>
      <w:r w:rsidRPr="009F0FBD">
        <w:rPr>
          <w:b/>
          <w:lang w:val="sl-SI"/>
        </w:rPr>
        <w:t>v središču procesa ponovne industrializacije odprta strateška avtonomija</w:t>
      </w:r>
      <w:r w:rsidRPr="009F0FBD">
        <w:rPr>
          <w:lang w:val="sl-SI"/>
        </w:rPr>
        <w:t xml:space="preserve">, ki bo omogočala </w:t>
      </w:r>
      <w:r w:rsidRPr="009F0FBD">
        <w:rPr>
          <w:b/>
          <w:lang w:val="sl-SI"/>
        </w:rPr>
        <w:t>dostop do surovin, diverzifikacijo virov in povečanje odpornosti gospodarstva EU</w:t>
      </w:r>
      <w:r w:rsidRPr="009F0FBD">
        <w:rPr>
          <w:lang w:val="sl-SI"/>
        </w:rPr>
        <w:t xml:space="preserve">. Da bi podjetja spodbudili k </w:t>
      </w:r>
      <w:r w:rsidRPr="009F0FBD">
        <w:rPr>
          <w:b/>
          <w:lang w:val="sl-SI"/>
        </w:rPr>
        <w:t>vzpostavitvi proizvodnje v EU</w:t>
      </w:r>
      <w:r w:rsidRPr="009F0FBD">
        <w:rPr>
          <w:lang w:val="sl-SI"/>
        </w:rPr>
        <w:t xml:space="preserve">, EESO priporoča sprejetje </w:t>
      </w:r>
      <w:r w:rsidRPr="009F0FBD">
        <w:rPr>
          <w:b/>
          <w:lang w:val="sl-SI"/>
        </w:rPr>
        <w:t>industrijske politike, ki temelji na pristopu vrednostne verige</w:t>
      </w:r>
      <w:r w:rsidRPr="009F0FBD">
        <w:rPr>
          <w:lang w:val="sl-SI"/>
        </w:rPr>
        <w:t>;</w:t>
      </w:r>
    </w:p>
    <w:p w:rsidRPr="009F0FBD" w:rsidR="00611089" w:rsidP="00365F0D" w:rsidRDefault="00611089" w14:paraId="2A61D22D" w14:textId="77777777">
      <w:pPr>
        <w:widowControl w:val="0"/>
        <w:numPr>
          <w:ilvl w:val="0"/>
          <w:numId w:val="46"/>
        </w:numPr>
        <w:overflowPunct w:val="0"/>
        <w:autoSpaceDE w:val="0"/>
        <w:autoSpaceDN w:val="0"/>
        <w:adjustRightInd w:val="0"/>
        <w:spacing w:line="240" w:lineRule="auto"/>
        <w:ind w:left="284" w:hanging="284"/>
        <w:textAlignment w:val="baseline"/>
        <w:rPr>
          <w:bCs/>
          <w:iCs/>
          <w:lang w:val="sl-SI"/>
        </w:rPr>
      </w:pPr>
      <w:r w:rsidRPr="009F0FBD">
        <w:rPr>
          <w:lang w:val="sl-SI"/>
        </w:rPr>
        <w:t xml:space="preserve">poudarja, da morajo zakonodajalci EU prihodnji </w:t>
      </w:r>
      <w:r w:rsidRPr="009F0FBD">
        <w:rPr>
          <w:b/>
          <w:lang w:val="sl-SI"/>
        </w:rPr>
        <w:t>akt o pospeševanju razogljičenja industrije uporabiti za dosego trajnostnosti alternativnih poslovnih modelov in poslovnih modelov krožnega gospodarstva</w:t>
      </w:r>
      <w:r w:rsidRPr="009F0FBD">
        <w:rPr>
          <w:lang w:val="sl-SI"/>
        </w:rPr>
        <w:t xml:space="preserve">, tako da ponudijo </w:t>
      </w:r>
      <w:r w:rsidRPr="009F0FBD">
        <w:rPr>
          <w:b/>
          <w:lang w:val="sl-SI"/>
        </w:rPr>
        <w:t>pospešen postopek izdaje dovoljenj ter finančno in politično podporo</w:t>
      </w:r>
      <w:r w:rsidRPr="009F0FBD">
        <w:rPr>
          <w:lang w:val="sl-SI"/>
        </w:rPr>
        <w:t xml:space="preserve"> podjetjem, ki so zavezana prehodu. Predlog </w:t>
      </w:r>
      <w:r w:rsidRPr="009F0FBD">
        <w:rPr>
          <w:b/>
          <w:lang w:val="sl-SI"/>
        </w:rPr>
        <w:t>akta o krožnem gospodarstvu</w:t>
      </w:r>
      <w:r w:rsidRPr="009F0FBD">
        <w:rPr>
          <w:lang w:val="sl-SI"/>
        </w:rPr>
        <w:t xml:space="preserve"> bi moral jasno izražati </w:t>
      </w:r>
      <w:r w:rsidRPr="009F0FBD">
        <w:rPr>
          <w:b/>
          <w:lang w:val="sl-SI"/>
        </w:rPr>
        <w:t>podporo podjetjem s krožnim modelom poslovanja, vlagateljem pa vlivati zaupanje, da je EU idealno okolje za razvoj čistih rešitev</w:t>
      </w:r>
      <w:r w:rsidRPr="009F0FBD">
        <w:rPr>
          <w:lang w:val="sl-SI"/>
        </w:rPr>
        <w:t>;</w:t>
      </w:r>
    </w:p>
    <w:p w:rsidRPr="009F0FBD" w:rsidR="00611089" w:rsidP="00365F0D" w:rsidRDefault="00611089" w14:paraId="05C8CC29" w14:textId="77777777">
      <w:pPr>
        <w:widowControl w:val="0"/>
        <w:numPr>
          <w:ilvl w:val="0"/>
          <w:numId w:val="46"/>
        </w:numPr>
        <w:overflowPunct w:val="0"/>
        <w:autoSpaceDE w:val="0"/>
        <w:autoSpaceDN w:val="0"/>
        <w:adjustRightInd w:val="0"/>
        <w:spacing w:line="240" w:lineRule="auto"/>
        <w:ind w:left="284" w:hanging="284"/>
        <w:textAlignment w:val="baseline"/>
        <w:rPr>
          <w:bCs/>
          <w:iCs/>
          <w:lang w:val="sl-SI"/>
        </w:rPr>
      </w:pPr>
      <w:r w:rsidRPr="009F0FBD">
        <w:rPr>
          <w:b/>
          <w:lang w:val="sl-SI"/>
        </w:rPr>
        <w:t>poudarja, da je za ponovno industrializacijo potreben namenski program za inovativnost</w:t>
      </w:r>
      <w:r w:rsidRPr="009F0FBD">
        <w:rPr>
          <w:lang w:val="sl-SI"/>
        </w:rPr>
        <w:t xml:space="preserve"> s konkretnimi cilji, ki se nanašajo tako na obstoječe industrijske panoge kot nov razvoj in temeljijo na socialnem dialogu;</w:t>
      </w:r>
    </w:p>
    <w:p w:rsidRPr="009F0FBD" w:rsidR="00611089" w:rsidP="00365F0D" w:rsidRDefault="00611089" w14:paraId="034D0323" w14:textId="77777777">
      <w:pPr>
        <w:keepNext/>
        <w:keepLines/>
        <w:widowControl w:val="0"/>
        <w:numPr>
          <w:ilvl w:val="0"/>
          <w:numId w:val="46"/>
        </w:numPr>
        <w:overflowPunct w:val="0"/>
        <w:autoSpaceDE w:val="0"/>
        <w:autoSpaceDN w:val="0"/>
        <w:adjustRightInd w:val="0"/>
        <w:spacing w:line="240" w:lineRule="auto"/>
        <w:ind w:left="284" w:hanging="284"/>
        <w:textAlignment w:val="baseline"/>
        <w:rPr>
          <w:bCs/>
          <w:iCs/>
          <w:lang w:val="sl-SI"/>
        </w:rPr>
      </w:pPr>
      <w:r w:rsidRPr="009F0FBD">
        <w:rPr>
          <w:lang w:val="sl-SI"/>
        </w:rPr>
        <w:t>predlaga, naj</w:t>
      </w:r>
      <w:r w:rsidRPr="009F0FBD">
        <w:rPr>
          <w:b/>
          <w:lang w:val="sl-SI"/>
        </w:rPr>
        <w:t xml:space="preserve"> EU spodbuja programe javno-zasebnega partnerstva za krepitev industrijskih naložb s posebnim oddelkom za spodbujanje podjetništva mladih v proizvodnem sektorju</w:t>
      </w:r>
      <w:r w:rsidRPr="009F0FBD">
        <w:rPr>
          <w:lang w:val="sl-SI"/>
        </w:rPr>
        <w:t>;</w:t>
      </w:r>
    </w:p>
    <w:p w:rsidRPr="009F0FBD" w:rsidR="00611089" w:rsidP="00365F0D" w:rsidRDefault="00611089" w14:paraId="3C7DF8B5" w14:textId="77777777">
      <w:pPr>
        <w:widowControl w:val="0"/>
        <w:numPr>
          <w:ilvl w:val="0"/>
          <w:numId w:val="46"/>
        </w:numPr>
        <w:overflowPunct w:val="0"/>
        <w:autoSpaceDE w:val="0"/>
        <w:autoSpaceDN w:val="0"/>
        <w:adjustRightInd w:val="0"/>
        <w:spacing w:line="240" w:lineRule="auto"/>
        <w:ind w:left="284" w:hanging="284"/>
        <w:textAlignment w:val="baseline"/>
        <w:rPr>
          <w:bCs/>
          <w:iCs/>
          <w:lang w:val="sl-SI"/>
        </w:rPr>
      </w:pPr>
      <w:r w:rsidRPr="009F0FBD">
        <w:rPr>
          <w:lang w:val="sl-SI"/>
        </w:rPr>
        <w:t xml:space="preserve">poziva, naj </w:t>
      </w:r>
      <w:r w:rsidRPr="009F0FBD">
        <w:rPr>
          <w:b/>
          <w:lang w:val="sl-SI"/>
        </w:rPr>
        <w:t>Komisija s prihodnjim predlogom o uniji spretnosti poskrbi za neposredno priznavanje in potrjevanje spretnosti delavcev po vsej EU</w:t>
      </w:r>
      <w:r w:rsidRPr="009F0FBD">
        <w:rPr>
          <w:lang w:val="sl-SI"/>
        </w:rPr>
        <w:t xml:space="preserve">, potem ko jih priznajo javni organi ene države članice, s čimer se zmanjšajo birokratska bremena. Komisija mora uvesti </w:t>
      </w:r>
      <w:r w:rsidRPr="009F0FBD">
        <w:rPr>
          <w:b/>
          <w:lang w:val="sl-SI"/>
        </w:rPr>
        <w:t>vseevropski program za spodbujanje pošteno plačanih vajeništev v industriji med mlajšimi generacijami in podpirati večjo odpornost delovne sile</w:t>
      </w:r>
      <w:r w:rsidRPr="009F0FBD">
        <w:rPr>
          <w:lang w:val="sl-SI"/>
        </w:rPr>
        <w:t>.</w:t>
      </w:r>
    </w:p>
    <w:p w:rsidRPr="009F0FBD" w:rsidR="00611089" w:rsidP="00365F0D" w:rsidRDefault="00611089" w14:paraId="47BB0AED" w14:textId="77777777">
      <w:pPr>
        <w:spacing w:line="240"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7"/>
        <w:gridCol w:w="7306"/>
      </w:tblGrid>
      <w:tr w:rsidRPr="009F0FBD" w:rsidR="00611089" w:rsidTr="007C0C1A" w14:paraId="1BC46E09" w14:textId="77777777">
        <w:tc>
          <w:tcPr>
            <w:tcW w:w="974" w:type="pct"/>
          </w:tcPr>
          <w:p w:rsidRPr="009F0FBD" w:rsidR="00611089" w:rsidP="00365F0D" w:rsidRDefault="00611089" w14:paraId="6D9F0867" w14:textId="77777777">
            <w:pPr>
              <w:spacing w:line="240" w:lineRule="auto"/>
              <w:rPr>
                <w:lang w:val="sl-SI"/>
              </w:rPr>
            </w:pPr>
            <w:r w:rsidRPr="009F0FBD">
              <w:rPr>
                <w:b/>
                <w:i/>
                <w:lang w:val="sl-SI"/>
              </w:rPr>
              <w:t>Kontaktna oseba</w:t>
            </w:r>
          </w:p>
        </w:tc>
        <w:tc>
          <w:tcPr>
            <w:tcW w:w="4026" w:type="pct"/>
          </w:tcPr>
          <w:p w:rsidRPr="009F0FBD" w:rsidR="00611089" w:rsidP="00365F0D" w:rsidRDefault="00611089" w14:paraId="09123D40" w14:textId="3E5963CB">
            <w:pPr>
              <w:spacing w:line="240" w:lineRule="auto"/>
              <w:rPr>
                <w:i/>
                <w:lang w:val="sl-SI"/>
              </w:rPr>
            </w:pPr>
            <w:r w:rsidRPr="009F0FBD">
              <w:rPr>
                <w:i/>
                <w:lang w:val="sl-SI"/>
              </w:rPr>
              <w:t>Adam DORYWALSKI</w:t>
            </w:r>
          </w:p>
        </w:tc>
      </w:tr>
      <w:tr w:rsidRPr="009F0FBD" w:rsidR="00611089" w:rsidTr="007C0C1A" w14:paraId="7B12FED2" w14:textId="77777777">
        <w:tc>
          <w:tcPr>
            <w:tcW w:w="974" w:type="pct"/>
          </w:tcPr>
          <w:p w:rsidRPr="009F0FBD" w:rsidR="00611089" w:rsidP="00365F0D" w:rsidRDefault="00611089" w14:paraId="59BE0212" w14:textId="77777777">
            <w:pPr>
              <w:spacing w:line="240" w:lineRule="auto"/>
              <w:rPr>
                <w:lang w:val="sl-SI"/>
              </w:rPr>
            </w:pPr>
            <w:r w:rsidRPr="009F0FBD">
              <w:rPr>
                <w:i/>
                <w:lang w:val="sl-SI"/>
              </w:rPr>
              <w:t>Telefon</w:t>
            </w:r>
          </w:p>
        </w:tc>
        <w:tc>
          <w:tcPr>
            <w:tcW w:w="4026" w:type="pct"/>
          </w:tcPr>
          <w:p w:rsidRPr="009F0FBD" w:rsidR="00611089" w:rsidP="00365F0D" w:rsidRDefault="00611089" w14:paraId="69624C38" w14:textId="77777777">
            <w:pPr>
              <w:spacing w:line="240" w:lineRule="auto"/>
              <w:rPr>
                <w:lang w:val="sl-SI"/>
              </w:rPr>
            </w:pPr>
            <w:r w:rsidRPr="009F0FBD">
              <w:rPr>
                <w:i/>
                <w:lang w:val="sl-SI"/>
              </w:rPr>
              <w:t>+32 2 546 9397</w:t>
            </w:r>
          </w:p>
        </w:tc>
      </w:tr>
      <w:tr w:rsidRPr="0084110F" w:rsidR="00611089" w:rsidTr="007C0C1A" w14:paraId="4D85498B" w14:textId="77777777">
        <w:tc>
          <w:tcPr>
            <w:tcW w:w="974" w:type="pct"/>
          </w:tcPr>
          <w:p w:rsidRPr="009F0FBD" w:rsidR="00611089" w:rsidP="00365F0D" w:rsidRDefault="00611089" w14:paraId="22C6AF82" w14:textId="77777777">
            <w:pPr>
              <w:spacing w:line="240" w:lineRule="auto"/>
              <w:rPr>
                <w:lang w:val="sl-SI"/>
              </w:rPr>
            </w:pPr>
            <w:r w:rsidRPr="009F0FBD">
              <w:rPr>
                <w:i/>
                <w:lang w:val="sl-SI"/>
              </w:rPr>
              <w:t>E-naslov</w:t>
            </w:r>
          </w:p>
        </w:tc>
        <w:tc>
          <w:tcPr>
            <w:tcW w:w="4026" w:type="pct"/>
          </w:tcPr>
          <w:p w:rsidRPr="009F0FBD" w:rsidR="00611089" w:rsidP="00365F0D" w:rsidRDefault="00E47EFC" w14:paraId="3B47D363" w14:textId="77777777">
            <w:pPr>
              <w:spacing w:line="240" w:lineRule="auto"/>
              <w:rPr>
                <w:i/>
                <w:lang w:val="sl-SI"/>
              </w:rPr>
            </w:pPr>
            <w:hyperlink w:history="1" r:id="rId51">
              <w:r w:rsidRPr="009F0FBD" w:rsidR="00611089">
                <w:rPr>
                  <w:rStyle w:val="Hyperlink"/>
                  <w:i/>
                  <w:lang w:val="sl-SI"/>
                </w:rPr>
                <w:t>Adam.Dorywalski@eesc.europa.eu</w:t>
              </w:r>
            </w:hyperlink>
          </w:p>
        </w:tc>
      </w:tr>
    </w:tbl>
    <w:p w:rsidRPr="009F0FBD" w:rsidR="00055407" w:rsidP="00611089" w:rsidRDefault="00055407" w14:paraId="2FEBBE37" w14:textId="77777777">
      <w:pPr>
        <w:spacing w:after="160" w:line="240" w:lineRule="auto"/>
        <w:jc w:val="left"/>
        <w:rPr>
          <w:lang w:val="sl-SI"/>
        </w:rPr>
      </w:pPr>
      <w:r w:rsidRPr="009F0FBD">
        <w:rPr>
          <w:lang w:val="sl-SI"/>
        </w:rPr>
        <w:br w:type="page"/>
      </w:r>
    </w:p>
    <w:p w:rsidRPr="009F0FBD" w:rsidR="004F51B1" w:rsidP="00611089" w:rsidRDefault="00C14021" w14:paraId="756BCE6E" w14:textId="0B14AC70">
      <w:pPr>
        <w:widowControl w:val="0"/>
        <w:numPr>
          <w:ilvl w:val="0"/>
          <w:numId w:val="21"/>
        </w:numPr>
        <w:overflowPunct w:val="0"/>
        <w:autoSpaceDE w:val="0"/>
        <w:autoSpaceDN w:val="0"/>
        <w:adjustRightInd w:val="0"/>
        <w:spacing w:after="200" w:line="276" w:lineRule="auto"/>
        <w:ind w:left="567" w:hanging="567"/>
        <w:contextualSpacing/>
        <w:jc w:val="left"/>
        <w:textAlignment w:val="baseline"/>
        <w:rPr>
          <w:sz w:val="28"/>
          <w:szCs w:val="28"/>
          <w:lang w:val="sl-SI" w:eastAsia="zh-CN"/>
        </w:rPr>
      </w:pPr>
      <w:hyperlink w:history="1" r:id="rId52">
        <w:r w:rsidRPr="009F0FBD" w:rsidR="00611089">
          <w:rPr>
            <w:rStyle w:val="Hyperlink"/>
            <w:b/>
            <w:i/>
            <w:sz w:val="28"/>
            <w:lang w:val="sl-SI"/>
          </w:rPr>
          <w:t>Akt o kritičnih zdravilih</w:t>
        </w:r>
      </w:hyperlink>
    </w:p>
    <w:p w:rsidRPr="009F0FBD" w:rsidR="00611089" w:rsidP="00E34939" w:rsidRDefault="00611089" w14:paraId="4DA47A69" w14:textId="77777777">
      <w:pPr>
        <w:keepNext/>
        <w:keepLines/>
        <w:tabs>
          <w:tab w:val="center" w:pos="284"/>
        </w:tabs>
        <w:overflowPunct w:val="0"/>
        <w:autoSpaceDE w:val="0"/>
        <w:autoSpaceDN w:val="0"/>
        <w:adjustRightInd w:val="0"/>
        <w:ind w:left="266" w:hanging="266"/>
        <w:textAlignment w:val="baseline"/>
        <w:rPr>
          <w:b/>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4819"/>
      </w:tblGrid>
      <w:tr w:rsidRPr="0084110F" w:rsidR="00611089" w:rsidTr="007C0C1A" w14:paraId="018AE70A" w14:textId="77777777">
        <w:tc>
          <w:tcPr>
            <w:tcW w:w="2552" w:type="dxa"/>
          </w:tcPr>
          <w:p w:rsidRPr="009F0FBD" w:rsidR="00611089" w:rsidP="007C0C1A" w:rsidRDefault="00611089" w14:paraId="2C86CF21" w14:textId="77777777">
            <w:pPr>
              <w:tabs>
                <w:tab w:val="center" w:pos="284"/>
              </w:tabs>
              <w:ind w:left="266" w:hanging="266"/>
              <w:rPr>
                <w:b/>
                <w:lang w:val="sl-SI"/>
              </w:rPr>
            </w:pPr>
            <w:r w:rsidRPr="009F0FBD">
              <w:rPr>
                <w:b/>
                <w:lang w:val="sl-SI"/>
              </w:rPr>
              <w:t>Poročevalec</w:t>
            </w:r>
          </w:p>
        </w:tc>
        <w:tc>
          <w:tcPr>
            <w:tcW w:w="4819" w:type="dxa"/>
          </w:tcPr>
          <w:p w:rsidRPr="009F0FBD" w:rsidR="00611089" w:rsidP="007C0C1A" w:rsidRDefault="00611089" w14:paraId="4AC4F8D5" w14:textId="77777777">
            <w:pPr>
              <w:tabs>
                <w:tab w:val="center" w:pos="284"/>
              </w:tabs>
              <w:ind w:left="266" w:hanging="266"/>
              <w:rPr>
                <w:lang w:val="sl-SI"/>
              </w:rPr>
            </w:pPr>
            <w:r w:rsidRPr="009F0FBD">
              <w:rPr>
                <w:lang w:val="sl-SI"/>
              </w:rPr>
              <w:t>Veselin MITOV (skupina delojemalcev – BG)</w:t>
            </w:r>
          </w:p>
        </w:tc>
      </w:tr>
      <w:tr w:rsidRPr="009F0FBD" w:rsidR="00611089" w:rsidTr="007C0C1A" w14:paraId="7FEC63B7" w14:textId="77777777">
        <w:tc>
          <w:tcPr>
            <w:tcW w:w="2552" w:type="dxa"/>
          </w:tcPr>
          <w:p w:rsidRPr="009F0FBD" w:rsidR="00611089" w:rsidP="007C0C1A" w:rsidRDefault="00611089" w14:paraId="48CE0E13" w14:textId="77777777">
            <w:pPr>
              <w:tabs>
                <w:tab w:val="center" w:pos="284"/>
              </w:tabs>
              <w:ind w:left="266" w:hanging="266"/>
              <w:rPr>
                <w:b/>
                <w:lang w:val="sl-SI"/>
              </w:rPr>
            </w:pPr>
            <w:r w:rsidRPr="009F0FBD">
              <w:rPr>
                <w:b/>
                <w:lang w:val="sl-SI"/>
              </w:rPr>
              <w:t>Soporočevalka</w:t>
            </w:r>
          </w:p>
        </w:tc>
        <w:tc>
          <w:tcPr>
            <w:tcW w:w="4819" w:type="dxa"/>
          </w:tcPr>
          <w:p w:rsidRPr="009F0FBD" w:rsidR="00611089" w:rsidP="007C0C1A" w:rsidRDefault="00611089" w14:paraId="23FEC586" w14:textId="4C53E39A">
            <w:pPr>
              <w:tabs>
                <w:tab w:val="center" w:pos="284"/>
              </w:tabs>
              <w:ind w:left="266" w:hanging="266"/>
              <w:rPr>
                <w:lang w:val="sl-SI"/>
              </w:rPr>
            </w:pPr>
            <w:r w:rsidRPr="009F0FBD">
              <w:rPr>
                <w:lang w:val="sl-SI"/>
              </w:rPr>
              <w:t>Elżbieta SZADZIŃSKA (3. kat</w:t>
            </w:r>
            <w:r w:rsidR="00E47EFC">
              <w:rPr>
                <w:lang w:val="sl-SI"/>
              </w:rPr>
              <w:t>egorija</w:t>
            </w:r>
            <w:r w:rsidRPr="009F0FBD">
              <w:rPr>
                <w:lang w:val="sl-SI"/>
              </w:rPr>
              <w:t xml:space="preserve"> – PL)</w:t>
            </w:r>
          </w:p>
        </w:tc>
      </w:tr>
      <w:tr w:rsidRPr="009F0FBD" w:rsidR="00611089" w:rsidTr="007C0C1A" w14:paraId="4DD967F0" w14:textId="77777777">
        <w:tc>
          <w:tcPr>
            <w:tcW w:w="7371" w:type="dxa"/>
            <w:gridSpan w:val="2"/>
          </w:tcPr>
          <w:p w:rsidRPr="009F0FBD" w:rsidR="00611089" w:rsidP="007C0C1A" w:rsidRDefault="00611089" w14:paraId="2ABA72F8" w14:textId="77777777">
            <w:pPr>
              <w:tabs>
                <w:tab w:val="center" w:pos="284"/>
              </w:tabs>
              <w:ind w:left="266" w:hanging="266"/>
              <w:rPr>
                <w:lang w:val="sl-SI"/>
              </w:rPr>
            </w:pPr>
          </w:p>
        </w:tc>
      </w:tr>
      <w:tr w:rsidRPr="009F0FBD" w:rsidR="00611089" w:rsidTr="007C0C1A" w14:paraId="0173090D" w14:textId="77777777">
        <w:tc>
          <w:tcPr>
            <w:tcW w:w="2552" w:type="dxa"/>
            <w:vMerge w:val="restart"/>
          </w:tcPr>
          <w:p w:rsidRPr="009F0FBD" w:rsidR="00611089" w:rsidP="007C0C1A" w:rsidRDefault="00611089" w14:paraId="287545D8" w14:textId="77777777">
            <w:pPr>
              <w:tabs>
                <w:tab w:val="center" w:pos="284"/>
              </w:tabs>
              <w:ind w:left="266" w:hanging="266"/>
              <w:rPr>
                <w:b/>
                <w:lang w:val="sl-SI"/>
              </w:rPr>
            </w:pPr>
            <w:r w:rsidRPr="009F0FBD">
              <w:rPr>
                <w:b/>
                <w:lang w:val="sl-SI"/>
              </w:rPr>
              <w:t>Referenčna dokumenta</w:t>
            </w:r>
          </w:p>
        </w:tc>
        <w:tc>
          <w:tcPr>
            <w:tcW w:w="4819" w:type="dxa"/>
          </w:tcPr>
          <w:p w:rsidRPr="009F0FBD" w:rsidR="00611089" w:rsidP="007C0C1A" w:rsidRDefault="00611089" w14:paraId="36053946" w14:textId="77777777">
            <w:pPr>
              <w:tabs>
                <w:tab w:val="center" w:pos="284"/>
              </w:tabs>
              <w:ind w:left="266" w:hanging="266"/>
              <w:rPr>
                <w:lang w:val="sl-SI"/>
              </w:rPr>
            </w:pPr>
            <w:r w:rsidRPr="009F0FBD">
              <w:rPr>
                <w:lang w:val="sl-SI"/>
              </w:rPr>
              <w:t>COM(2025) 102 final</w:t>
            </w:r>
          </w:p>
        </w:tc>
      </w:tr>
      <w:tr w:rsidRPr="009F0FBD" w:rsidR="00611089" w:rsidTr="007C0C1A" w14:paraId="0A0FF3BC" w14:textId="77777777">
        <w:tc>
          <w:tcPr>
            <w:tcW w:w="2552" w:type="dxa"/>
            <w:vMerge/>
          </w:tcPr>
          <w:p w:rsidRPr="009F0FBD" w:rsidR="00611089" w:rsidP="007C0C1A" w:rsidRDefault="00611089" w14:paraId="352EEA4D" w14:textId="77777777">
            <w:pPr>
              <w:tabs>
                <w:tab w:val="center" w:pos="284"/>
              </w:tabs>
              <w:ind w:left="266" w:hanging="266"/>
              <w:rPr>
                <w:b/>
                <w:lang w:val="sl-SI"/>
              </w:rPr>
            </w:pPr>
          </w:p>
        </w:tc>
        <w:tc>
          <w:tcPr>
            <w:tcW w:w="4819" w:type="dxa"/>
          </w:tcPr>
          <w:p w:rsidRPr="009F0FBD" w:rsidR="00611089" w:rsidP="007C0C1A" w:rsidRDefault="00611089" w14:paraId="63DF56C0" w14:textId="77777777">
            <w:pPr>
              <w:tabs>
                <w:tab w:val="center" w:pos="284"/>
              </w:tabs>
              <w:ind w:left="266" w:hanging="266"/>
              <w:rPr>
                <w:lang w:val="sl-SI"/>
              </w:rPr>
            </w:pPr>
            <w:r w:rsidRPr="009F0FBD">
              <w:rPr>
                <w:lang w:val="sl-SI"/>
              </w:rPr>
              <w:t>EESC-2025-01074-00-00-AC</w:t>
            </w:r>
          </w:p>
        </w:tc>
      </w:tr>
    </w:tbl>
    <w:p w:rsidRPr="009F0FBD" w:rsidR="00611089" w:rsidP="00E34939" w:rsidRDefault="00611089" w14:paraId="243EC723" w14:textId="77777777">
      <w:pPr>
        <w:keepNext/>
        <w:keepLines/>
        <w:tabs>
          <w:tab w:val="center" w:pos="284"/>
        </w:tabs>
        <w:overflowPunct w:val="0"/>
        <w:autoSpaceDE w:val="0"/>
        <w:autoSpaceDN w:val="0"/>
        <w:adjustRightInd w:val="0"/>
        <w:ind w:left="266" w:hanging="266"/>
        <w:textAlignment w:val="baseline"/>
        <w:rPr>
          <w:b/>
          <w:lang w:val="sl-SI"/>
        </w:rPr>
      </w:pPr>
    </w:p>
    <w:p w:rsidRPr="009F0FBD" w:rsidR="00611089" w:rsidP="00611089" w:rsidRDefault="00611089" w14:paraId="1E510D83" w14:textId="77777777">
      <w:pPr>
        <w:keepNext/>
        <w:keepLines/>
        <w:tabs>
          <w:tab w:val="center" w:pos="284"/>
        </w:tabs>
        <w:ind w:left="266" w:hanging="266"/>
        <w:rPr>
          <w:b/>
          <w:lang w:val="sl-SI"/>
        </w:rPr>
      </w:pPr>
      <w:bookmarkStart w:name="_Hlk202183239" w:id="17"/>
      <w:r w:rsidRPr="009F0FBD">
        <w:rPr>
          <w:b/>
          <w:lang w:val="sl-SI"/>
        </w:rPr>
        <w:t>Glavne točke</w:t>
      </w:r>
    </w:p>
    <w:p w:rsidRPr="009F0FBD" w:rsidR="00611089" w:rsidP="00611089" w:rsidRDefault="00611089" w14:paraId="26802EBC" w14:textId="77777777">
      <w:pPr>
        <w:keepNext/>
        <w:keepLines/>
        <w:tabs>
          <w:tab w:val="center" w:pos="284"/>
        </w:tabs>
        <w:ind w:left="266" w:hanging="266"/>
        <w:rPr>
          <w:b/>
          <w:lang w:val="sl-SI"/>
        </w:rPr>
      </w:pPr>
    </w:p>
    <w:p w:rsidRPr="009F0FBD" w:rsidR="00611089" w:rsidP="00611089" w:rsidRDefault="00611089" w14:paraId="1E8DBB77" w14:textId="77777777">
      <w:pPr>
        <w:keepNext/>
        <w:keepLines/>
        <w:tabs>
          <w:tab w:val="center" w:pos="284"/>
        </w:tabs>
        <w:ind w:left="266" w:hanging="266"/>
        <w:rPr>
          <w:bCs/>
          <w:lang w:val="sl-SI"/>
        </w:rPr>
      </w:pPr>
      <w:r w:rsidRPr="009F0FBD">
        <w:rPr>
          <w:lang w:val="sl-SI"/>
        </w:rPr>
        <w:t>EESO:</w:t>
      </w:r>
    </w:p>
    <w:p w:rsidRPr="009F0FBD" w:rsidR="00611089" w:rsidP="00611089" w:rsidRDefault="00611089" w14:paraId="3E5D7D8D" w14:textId="77777777">
      <w:pPr>
        <w:keepNext/>
        <w:keepLines/>
        <w:tabs>
          <w:tab w:val="center" w:pos="284"/>
        </w:tabs>
        <w:ind w:left="266" w:hanging="266"/>
        <w:rPr>
          <w:bCs/>
          <w:lang w:val="sl-SI"/>
        </w:rPr>
      </w:pPr>
    </w:p>
    <w:p w:rsidRPr="009F0FBD" w:rsidR="00611089" w:rsidP="004F5634" w:rsidRDefault="00611089" w14:paraId="23A66257" w14:textId="77777777">
      <w:pPr>
        <w:pStyle w:val="Heading2"/>
        <w:numPr>
          <w:ilvl w:val="1"/>
          <w:numId w:val="47"/>
        </w:numPr>
        <w:ind w:left="284" w:hanging="284"/>
        <w:rPr>
          <w:lang w:val="sl-SI"/>
        </w:rPr>
      </w:pPr>
      <w:r w:rsidRPr="009F0FBD">
        <w:rPr>
          <w:lang w:val="sl-SI"/>
        </w:rPr>
        <w:t xml:space="preserve">priporoča </w:t>
      </w:r>
      <w:r w:rsidRPr="009F0FBD">
        <w:rPr>
          <w:b/>
          <w:lang w:val="sl-SI"/>
        </w:rPr>
        <w:t>znatno povečanje sredstev</w:t>
      </w:r>
      <w:r w:rsidRPr="009F0FBD">
        <w:rPr>
          <w:lang w:val="sl-SI"/>
        </w:rPr>
        <w:t xml:space="preserve"> za uresničenje ciljev akta o kritičnih zdravilih. </w:t>
      </w:r>
      <w:r w:rsidRPr="009F0FBD">
        <w:rPr>
          <w:b/>
          <w:lang w:val="sl-SI"/>
        </w:rPr>
        <w:t>Ustanoviti bi bilo treba namenski evropski sklad za vhodne snovi, aktivne farmacevtske sestavine in kritična zdravila</w:t>
      </w:r>
      <w:r w:rsidRPr="009F0FBD">
        <w:rPr>
          <w:lang w:val="sl-SI"/>
        </w:rPr>
        <w:t>, ki bi se financiral s prispevki držav članic, EIB in zasebnih akterjev. Financiranje bi moralo podpirati proizvodnjo v EU ter raziskave in razvoj trajnostnih tehnologij in izravnati razlike v stroških v primerjavi s proizvajalci iz tretjih držav;</w:t>
      </w:r>
    </w:p>
    <w:p w:rsidRPr="009F0FBD" w:rsidR="00611089" w:rsidP="004F5634" w:rsidRDefault="00611089" w14:paraId="41176E76" w14:textId="77777777">
      <w:pPr>
        <w:pStyle w:val="Heading2"/>
        <w:numPr>
          <w:ilvl w:val="1"/>
          <w:numId w:val="47"/>
        </w:numPr>
        <w:ind w:left="284" w:hanging="284"/>
        <w:rPr>
          <w:lang w:val="sl-SI"/>
        </w:rPr>
      </w:pPr>
      <w:r w:rsidRPr="009F0FBD">
        <w:rPr>
          <w:lang w:val="sl-SI"/>
        </w:rPr>
        <w:t xml:space="preserve">poziva k vzpostavitvi </w:t>
      </w:r>
      <w:r w:rsidRPr="009F0FBD">
        <w:rPr>
          <w:b/>
          <w:lang w:val="sl-SI"/>
        </w:rPr>
        <w:t>popolnoma interoperabilne vseevropske baze podatkov</w:t>
      </w:r>
      <w:r w:rsidRPr="009F0FBD">
        <w:rPr>
          <w:lang w:val="sl-SI"/>
        </w:rPr>
        <w:t xml:space="preserve">, ki bi povezala nacionalne sisteme in zagotavljala prepoznavnost ranljivosti dobavne verige v realnem času in kibernetsko varnost. Dodeliti bi bilo treba sredstva za </w:t>
      </w:r>
      <w:r w:rsidRPr="009F0FBD">
        <w:rPr>
          <w:b/>
          <w:lang w:val="sl-SI"/>
        </w:rPr>
        <w:t>sledenje v realnem času, sisteme zgodnjega opozarjanja in digitalne tehnologije</w:t>
      </w:r>
      <w:r w:rsidRPr="009F0FBD">
        <w:rPr>
          <w:lang w:val="sl-SI"/>
        </w:rPr>
        <w:t xml:space="preserve"> za napovedovanje pomanjkanja in izboljšanje odzivanja na krize;</w:t>
      </w:r>
    </w:p>
    <w:p w:rsidRPr="009F0FBD" w:rsidR="00611089" w:rsidP="004F5634" w:rsidRDefault="00611089" w14:paraId="3AF569F4" w14:textId="77777777">
      <w:pPr>
        <w:pStyle w:val="Heading2"/>
        <w:numPr>
          <w:ilvl w:val="1"/>
          <w:numId w:val="47"/>
        </w:numPr>
        <w:ind w:left="284" w:hanging="284"/>
        <w:rPr>
          <w:lang w:val="sl-SI"/>
        </w:rPr>
      </w:pPr>
      <w:r w:rsidRPr="009F0FBD">
        <w:rPr>
          <w:lang w:val="sl-SI"/>
        </w:rPr>
        <w:t xml:space="preserve">poudarja, da je potrebna </w:t>
      </w:r>
      <w:r w:rsidRPr="009F0FBD">
        <w:rPr>
          <w:b/>
          <w:lang w:val="sl-SI"/>
        </w:rPr>
        <w:t>celovita, na dokazih temelječa ocena učinka akta o kritičnih zdravilih</w:t>
      </w:r>
      <w:r w:rsidRPr="009F0FBD">
        <w:rPr>
          <w:lang w:val="sl-SI"/>
        </w:rPr>
        <w:t>, kar mora spremljati delo na področju zakonodaje in čim prejšnje sprejetje uredbe, ki bi zajemala celotno dobavno verigo in obravnavala socialno-ekonomske učinke;</w:t>
      </w:r>
    </w:p>
    <w:p w:rsidRPr="009F0FBD" w:rsidR="00611089" w:rsidP="004F5634" w:rsidRDefault="00611089" w14:paraId="73EE7B3F" w14:textId="77777777">
      <w:pPr>
        <w:pStyle w:val="Heading2"/>
        <w:numPr>
          <w:ilvl w:val="1"/>
          <w:numId w:val="47"/>
        </w:numPr>
        <w:ind w:left="284" w:hanging="284"/>
        <w:rPr>
          <w:b/>
          <w:bCs/>
          <w:lang w:val="sl-SI"/>
        </w:rPr>
      </w:pPr>
      <w:r w:rsidRPr="009F0FBD">
        <w:rPr>
          <w:lang w:val="sl-SI"/>
        </w:rPr>
        <w:t xml:space="preserve">meni, da bi morala EU vlagati v </w:t>
      </w:r>
      <w:r w:rsidRPr="009F0FBD">
        <w:rPr>
          <w:b/>
          <w:lang w:val="sl-SI"/>
        </w:rPr>
        <w:t>obsežne pobude izpopolnjevanja in preusposabljanja</w:t>
      </w:r>
      <w:r w:rsidRPr="009F0FBD">
        <w:rPr>
          <w:lang w:val="sl-SI"/>
        </w:rPr>
        <w:t xml:space="preserve"> in ustanoviti strokovne centre, poleg tega pa povečati finančno podporo za poklicno izobraževanje, vajeništvo, univerzitetne programe in usposabljanje, prilagojeno zahtevam industrije;</w:t>
      </w:r>
    </w:p>
    <w:p w:rsidRPr="009F0FBD" w:rsidR="00611089" w:rsidP="004F5634" w:rsidRDefault="00611089" w14:paraId="1EFB1647" w14:textId="77777777">
      <w:pPr>
        <w:pStyle w:val="Heading2"/>
        <w:numPr>
          <w:ilvl w:val="1"/>
          <w:numId w:val="47"/>
        </w:numPr>
        <w:ind w:left="284" w:hanging="284"/>
        <w:rPr>
          <w:lang w:val="sl-SI"/>
        </w:rPr>
      </w:pPr>
      <w:r w:rsidRPr="009F0FBD">
        <w:rPr>
          <w:lang w:val="sl-SI"/>
        </w:rPr>
        <w:t xml:space="preserve">priporoča, naj se analizira predlog o </w:t>
      </w:r>
      <w:r w:rsidRPr="009F0FBD">
        <w:rPr>
          <w:b/>
          <w:lang w:val="sl-SI"/>
        </w:rPr>
        <w:t>vključitvi akta o kritičnih zdravilih v širši strateški avtonomni in varnostni okvir EU</w:t>
      </w:r>
      <w:r w:rsidRPr="009F0FBD">
        <w:rPr>
          <w:lang w:val="sl-SI"/>
        </w:rPr>
        <w:t>, pri čemer naj se farmacevtske dobavne verige priznajo kot pomembne za javno zdravje in varnost Evrope;</w:t>
      </w:r>
    </w:p>
    <w:p w:rsidRPr="009F0FBD" w:rsidR="00611089" w:rsidP="004F5634" w:rsidRDefault="00611089" w14:paraId="219254F9" w14:textId="77777777">
      <w:pPr>
        <w:pStyle w:val="Heading2"/>
        <w:numPr>
          <w:ilvl w:val="1"/>
          <w:numId w:val="47"/>
        </w:numPr>
        <w:ind w:left="284" w:hanging="284"/>
        <w:rPr>
          <w:lang w:val="sl-SI"/>
        </w:rPr>
      </w:pPr>
      <w:r w:rsidRPr="009F0FBD">
        <w:rPr>
          <w:lang w:val="sl-SI"/>
        </w:rPr>
        <w:t xml:space="preserve">poziva k </w:t>
      </w:r>
      <w:r w:rsidRPr="009F0FBD">
        <w:rPr>
          <w:b/>
          <w:lang w:val="sl-SI"/>
        </w:rPr>
        <w:t>odločnim ukrepom za zagotavljanje cenovne dostopnosti kritičnih zdravil, tudi zdravil za redke bolezni</w:t>
      </w:r>
      <w:r w:rsidRPr="009F0FBD">
        <w:rPr>
          <w:lang w:val="sl-SI"/>
        </w:rPr>
        <w:t>, in sicer z uvedbo mehanizmov za urejanje cen zdravil, povečanje preglednosti in preprečevanje zvišanja cen za potrošnike.</w:t>
      </w:r>
    </w:p>
    <w:p w:rsidRPr="009F0FBD" w:rsidR="00611089" w:rsidP="00611089" w:rsidRDefault="00611089" w14:paraId="05D28A42" w14:textId="77777777">
      <w:pPr>
        <w:spacing w:line="240" w:lineRule="auto"/>
        <w:ind w:left="426"/>
        <w:rPr>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9F0FBD" w:rsidR="00611089" w:rsidTr="007C0C1A" w14:paraId="11B7518F" w14:textId="77777777">
        <w:tc>
          <w:tcPr>
            <w:tcW w:w="1809" w:type="dxa"/>
          </w:tcPr>
          <w:p w:rsidRPr="009F0FBD" w:rsidR="00611089" w:rsidP="007C0C1A" w:rsidRDefault="00611089" w14:paraId="790EC97C" w14:textId="77777777">
            <w:pPr>
              <w:spacing w:line="240" w:lineRule="auto"/>
              <w:rPr>
                <w:i/>
                <w:lang w:val="sl-SI"/>
              </w:rPr>
            </w:pPr>
            <w:r w:rsidRPr="009F0FBD">
              <w:rPr>
                <w:b/>
                <w:i/>
                <w:lang w:val="sl-SI"/>
              </w:rPr>
              <w:t>Kontaktna oseba</w:t>
            </w:r>
          </w:p>
        </w:tc>
        <w:tc>
          <w:tcPr>
            <w:tcW w:w="5279" w:type="dxa"/>
          </w:tcPr>
          <w:p w:rsidRPr="009F0FBD" w:rsidR="00611089" w:rsidP="007C0C1A" w:rsidRDefault="00611089" w14:paraId="47548D23" w14:textId="77777777">
            <w:pPr>
              <w:spacing w:line="240" w:lineRule="auto"/>
              <w:rPr>
                <w:i/>
                <w:lang w:val="sl-SI"/>
              </w:rPr>
            </w:pPr>
            <w:r w:rsidRPr="009F0FBD">
              <w:rPr>
                <w:i/>
                <w:lang w:val="sl-SI"/>
              </w:rPr>
              <w:t>Jacopo Ernesto CAJA</w:t>
            </w:r>
          </w:p>
        </w:tc>
      </w:tr>
      <w:tr w:rsidRPr="009F0FBD" w:rsidR="00611089" w:rsidTr="007C0C1A" w14:paraId="4682C360" w14:textId="77777777">
        <w:tc>
          <w:tcPr>
            <w:tcW w:w="1809" w:type="dxa"/>
          </w:tcPr>
          <w:p w:rsidRPr="009F0FBD" w:rsidR="00611089" w:rsidP="007C0C1A" w:rsidRDefault="00611089" w14:paraId="40C08642" w14:textId="77777777">
            <w:pPr>
              <w:spacing w:line="240" w:lineRule="auto"/>
              <w:rPr>
                <w:i/>
                <w:lang w:val="sl-SI"/>
              </w:rPr>
            </w:pPr>
            <w:r w:rsidRPr="009F0FBD">
              <w:rPr>
                <w:i/>
                <w:lang w:val="sl-SI"/>
              </w:rPr>
              <w:t>Telefon</w:t>
            </w:r>
          </w:p>
        </w:tc>
        <w:tc>
          <w:tcPr>
            <w:tcW w:w="5279" w:type="dxa"/>
          </w:tcPr>
          <w:p w:rsidRPr="009F0FBD" w:rsidR="00611089" w:rsidP="007C0C1A" w:rsidRDefault="00611089" w14:paraId="34EB6B5E" w14:textId="77777777">
            <w:pPr>
              <w:spacing w:line="240" w:lineRule="auto"/>
              <w:rPr>
                <w:i/>
                <w:lang w:val="sl-SI"/>
              </w:rPr>
            </w:pPr>
            <w:r w:rsidRPr="009F0FBD">
              <w:rPr>
                <w:i/>
                <w:lang w:val="sl-SI"/>
              </w:rPr>
              <w:t>+32 25469580</w:t>
            </w:r>
          </w:p>
        </w:tc>
      </w:tr>
      <w:tr w:rsidRPr="0084110F" w:rsidR="00611089" w:rsidTr="007C0C1A" w14:paraId="5FC35F1C" w14:textId="77777777">
        <w:trPr>
          <w:trHeight w:val="80"/>
        </w:trPr>
        <w:tc>
          <w:tcPr>
            <w:tcW w:w="1809" w:type="dxa"/>
          </w:tcPr>
          <w:p w:rsidRPr="009F0FBD" w:rsidR="00611089" w:rsidP="007C0C1A" w:rsidRDefault="00611089" w14:paraId="218E05A1" w14:textId="77777777">
            <w:pPr>
              <w:spacing w:line="240" w:lineRule="auto"/>
              <w:rPr>
                <w:i/>
                <w:lang w:val="sl-SI"/>
              </w:rPr>
            </w:pPr>
            <w:r w:rsidRPr="009F0FBD">
              <w:rPr>
                <w:i/>
                <w:lang w:val="sl-SI"/>
              </w:rPr>
              <w:t>E-naslov</w:t>
            </w:r>
          </w:p>
        </w:tc>
        <w:tc>
          <w:tcPr>
            <w:tcW w:w="5279" w:type="dxa"/>
          </w:tcPr>
          <w:p w:rsidRPr="009F0FBD" w:rsidR="00611089" w:rsidP="007C0C1A" w:rsidRDefault="00E47EFC" w14:paraId="607ABD77" w14:textId="77777777">
            <w:pPr>
              <w:spacing w:line="240" w:lineRule="auto"/>
              <w:rPr>
                <w:i/>
                <w:iCs/>
                <w:lang w:val="sl-SI"/>
              </w:rPr>
            </w:pPr>
            <w:hyperlink w:history="1" r:id="rId53">
              <w:r w:rsidRPr="009F0FBD" w:rsidR="00611089">
                <w:rPr>
                  <w:rStyle w:val="Hyperlink"/>
                  <w:i/>
                  <w:lang w:val="sl-SI"/>
                </w:rPr>
                <w:t>JacopoErnesto.Caja@eesc.europa.eu</w:t>
              </w:r>
            </w:hyperlink>
            <w:r w:rsidRPr="009F0FBD" w:rsidR="00611089">
              <w:rPr>
                <w:i/>
                <w:lang w:val="sl-SI"/>
              </w:rPr>
              <w:t xml:space="preserve"> </w:t>
            </w:r>
          </w:p>
        </w:tc>
      </w:tr>
      <w:bookmarkEnd w:id="17"/>
    </w:tbl>
    <w:p w:rsidRPr="009F0FBD" w:rsidR="00E34939" w:rsidP="00E34939" w:rsidRDefault="00E34939" w14:paraId="66F11168" w14:textId="77777777">
      <w:pPr>
        <w:overflowPunct w:val="0"/>
        <w:autoSpaceDE w:val="0"/>
        <w:autoSpaceDN w:val="0"/>
        <w:adjustRightInd w:val="0"/>
        <w:jc w:val="center"/>
        <w:textAlignment w:val="baseline"/>
        <w:rPr>
          <w:szCs w:val="20"/>
          <w:lang w:val="sl-SI"/>
        </w:rPr>
      </w:pPr>
    </w:p>
    <w:p w:rsidRPr="009F0FBD" w:rsidR="00E34939" w:rsidRDefault="00E34939" w14:paraId="7B14C9F4" w14:textId="354AAF24">
      <w:pPr>
        <w:spacing w:after="160" w:line="259" w:lineRule="auto"/>
        <w:jc w:val="left"/>
        <w:rPr>
          <w:lang w:val="sl-SI"/>
        </w:rPr>
      </w:pPr>
      <w:r w:rsidRPr="009F0FBD">
        <w:rPr>
          <w:lang w:val="sl-SI"/>
        </w:rPr>
        <w:br w:type="page"/>
      </w:r>
    </w:p>
    <w:p w:rsidRPr="009F0FBD" w:rsidR="000F397E" w:rsidP="000F397E" w:rsidRDefault="00E47EFC" w14:paraId="37506AA4" w14:textId="47110760">
      <w:pPr>
        <w:widowControl w:val="0"/>
        <w:numPr>
          <w:ilvl w:val="0"/>
          <w:numId w:val="21"/>
        </w:numPr>
        <w:overflowPunct w:val="0"/>
        <w:autoSpaceDE w:val="0"/>
        <w:autoSpaceDN w:val="0"/>
        <w:adjustRightInd w:val="0"/>
        <w:spacing w:line="276" w:lineRule="auto"/>
        <w:ind w:left="266" w:hanging="266"/>
        <w:contextualSpacing/>
        <w:jc w:val="left"/>
        <w:textAlignment w:val="baseline"/>
        <w:rPr>
          <w:b/>
          <w:lang w:val="sl-SI"/>
        </w:rPr>
      </w:pPr>
      <w:hyperlink w:history="1" r:id="rId54">
        <w:r w:rsidRPr="009F0FBD" w:rsidR="00517472">
          <w:rPr>
            <w:rStyle w:val="Hyperlink"/>
            <w:b/>
            <w:i/>
            <w:sz w:val="28"/>
            <w:lang w:val="sl-SI"/>
          </w:rPr>
          <w:t>Akcijski načrt za kibernetsko varnost bolnišnic</w:t>
        </w:r>
      </w:hyperlink>
      <w:r>
        <w:rPr>
          <w:rStyle w:val="Hyperlink"/>
          <w:b/>
          <w:i/>
          <w:sz w:val="28"/>
          <w:lang w:val="sl-SI"/>
        </w:rPr>
        <w:t xml:space="preserve"> </w:t>
      </w:r>
      <w:r w:rsidRPr="00E47EFC">
        <w:rPr>
          <w:rStyle w:val="Hyperlink"/>
          <w:b/>
          <w:i/>
          <w:sz w:val="28"/>
          <w:lang w:val="sl-SI"/>
        </w:rPr>
        <w:t>in izvajalcev zdravstvenih dejavnosti</w:t>
      </w:r>
    </w:p>
    <w:p w:rsidRPr="009F0FBD" w:rsidR="00517472" w:rsidP="00517472" w:rsidRDefault="00517472" w14:paraId="353F66AE" w14:textId="77777777">
      <w:pPr>
        <w:widowControl w:val="0"/>
        <w:overflowPunct w:val="0"/>
        <w:autoSpaceDE w:val="0"/>
        <w:autoSpaceDN w:val="0"/>
        <w:adjustRightInd w:val="0"/>
        <w:spacing w:line="276" w:lineRule="auto"/>
        <w:ind w:left="266"/>
        <w:contextualSpacing/>
        <w:jc w:val="left"/>
        <w:textAlignment w:val="baseline"/>
        <w:rPr>
          <w:b/>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01"/>
        <w:gridCol w:w="6572"/>
      </w:tblGrid>
      <w:tr w:rsidRPr="009F0FBD" w:rsidR="00517472" w:rsidTr="007C0C1A" w14:paraId="68761A12" w14:textId="77777777">
        <w:tc>
          <w:tcPr>
            <w:tcW w:w="2518" w:type="dxa"/>
          </w:tcPr>
          <w:p w:rsidRPr="009F0FBD" w:rsidR="00517472" w:rsidP="007C0C1A" w:rsidRDefault="00517472" w14:paraId="7DA712CE" w14:textId="77777777">
            <w:pPr>
              <w:tabs>
                <w:tab w:val="center" w:pos="284"/>
              </w:tabs>
              <w:suppressAutoHyphens/>
              <w:ind w:left="266" w:hanging="266"/>
              <w:rPr>
                <w:b/>
                <w:lang w:val="sl-SI"/>
              </w:rPr>
            </w:pPr>
            <w:r w:rsidRPr="009F0FBD">
              <w:rPr>
                <w:b/>
                <w:lang w:val="sl-SI"/>
              </w:rPr>
              <w:t>Poročevalec</w:t>
            </w:r>
          </w:p>
        </w:tc>
        <w:tc>
          <w:tcPr>
            <w:tcW w:w="6662" w:type="dxa"/>
          </w:tcPr>
          <w:p w:rsidRPr="009F0FBD" w:rsidR="00517472" w:rsidP="007C0C1A" w:rsidRDefault="00517472" w14:paraId="0D89545D" w14:textId="77777777">
            <w:pPr>
              <w:tabs>
                <w:tab w:val="center" w:pos="284"/>
              </w:tabs>
              <w:suppressAutoHyphens/>
              <w:ind w:left="266" w:hanging="266"/>
              <w:rPr>
                <w:lang w:val="sl-SI"/>
              </w:rPr>
            </w:pPr>
            <w:r w:rsidRPr="009F0FBD">
              <w:rPr>
                <w:lang w:val="sl-SI"/>
              </w:rPr>
              <w:t>Alain COHEUR (skupina organizacij civilne družbe – BE)</w:t>
            </w:r>
          </w:p>
        </w:tc>
      </w:tr>
      <w:tr w:rsidRPr="009F0FBD" w:rsidR="00517472" w:rsidTr="007C0C1A" w14:paraId="6AEA3438" w14:textId="77777777">
        <w:tc>
          <w:tcPr>
            <w:tcW w:w="2518" w:type="dxa"/>
          </w:tcPr>
          <w:p w:rsidRPr="009F0FBD" w:rsidR="00517472" w:rsidP="007C0C1A" w:rsidRDefault="00517472" w14:paraId="15D31DC7" w14:textId="77777777">
            <w:pPr>
              <w:tabs>
                <w:tab w:val="center" w:pos="284"/>
              </w:tabs>
              <w:suppressAutoHyphens/>
              <w:ind w:left="266" w:hanging="266"/>
              <w:rPr>
                <w:b/>
                <w:lang w:val="sl-SI"/>
              </w:rPr>
            </w:pPr>
            <w:r w:rsidRPr="009F0FBD">
              <w:rPr>
                <w:b/>
                <w:lang w:val="sl-SI"/>
              </w:rPr>
              <w:t>Soporočevalec</w:t>
            </w:r>
          </w:p>
        </w:tc>
        <w:tc>
          <w:tcPr>
            <w:tcW w:w="6662" w:type="dxa"/>
          </w:tcPr>
          <w:p w:rsidRPr="009F0FBD" w:rsidR="00517472" w:rsidP="007C0C1A" w:rsidRDefault="00517472" w14:paraId="5F2A0AB9" w14:textId="0B8E1910">
            <w:pPr>
              <w:tabs>
                <w:tab w:val="center" w:pos="284"/>
              </w:tabs>
              <w:suppressAutoHyphens/>
              <w:ind w:left="266" w:hanging="266"/>
              <w:rPr>
                <w:lang w:val="sl-SI"/>
              </w:rPr>
            </w:pPr>
            <w:r w:rsidRPr="009F0FBD">
              <w:rPr>
                <w:lang w:val="sl-SI"/>
              </w:rPr>
              <w:t>Hervé JEANNIN (2. kat</w:t>
            </w:r>
            <w:r w:rsidR="00E47EFC">
              <w:rPr>
                <w:lang w:val="sl-SI"/>
              </w:rPr>
              <w:t>egorija</w:t>
            </w:r>
            <w:r w:rsidRPr="009F0FBD">
              <w:rPr>
                <w:lang w:val="sl-SI"/>
              </w:rPr>
              <w:t xml:space="preserve"> – FR)</w:t>
            </w:r>
          </w:p>
        </w:tc>
      </w:tr>
      <w:tr w:rsidRPr="009F0FBD" w:rsidR="00517472" w:rsidTr="007C0C1A" w14:paraId="43CF8293" w14:textId="77777777">
        <w:tc>
          <w:tcPr>
            <w:tcW w:w="9180" w:type="dxa"/>
            <w:gridSpan w:val="2"/>
          </w:tcPr>
          <w:p w:rsidRPr="009F0FBD" w:rsidR="00517472" w:rsidP="007C0C1A" w:rsidRDefault="00517472" w14:paraId="35E24074" w14:textId="77777777">
            <w:pPr>
              <w:tabs>
                <w:tab w:val="center" w:pos="284"/>
              </w:tabs>
              <w:suppressAutoHyphens/>
              <w:spacing w:line="240" w:lineRule="auto"/>
              <w:ind w:left="266" w:hanging="266"/>
              <w:rPr>
                <w:lang w:val="sl-SI"/>
              </w:rPr>
            </w:pPr>
          </w:p>
        </w:tc>
      </w:tr>
      <w:tr w:rsidRPr="0084110F" w:rsidR="00517472" w:rsidTr="007C0C1A" w14:paraId="58335158" w14:textId="77777777">
        <w:tc>
          <w:tcPr>
            <w:tcW w:w="2518" w:type="dxa"/>
          </w:tcPr>
          <w:p w:rsidRPr="009F0FBD" w:rsidR="00517472" w:rsidP="007C0C1A" w:rsidRDefault="00517472" w14:paraId="0AD1127A" w14:textId="0355837E">
            <w:pPr>
              <w:tabs>
                <w:tab w:val="center" w:pos="284"/>
              </w:tabs>
              <w:suppressAutoHyphens/>
              <w:ind w:left="266" w:hanging="266"/>
              <w:rPr>
                <w:b/>
                <w:lang w:val="sl-SI"/>
              </w:rPr>
            </w:pPr>
            <w:r w:rsidRPr="009F0FBD">
              <w:rPr>
                <w:b/>
                <w:lang w:val="sl-SI"/>
              </w:rPr>
              <w:t>Referenčna dokumenta</w:t>
            </w:r>
          </w:p>
        </w:tc>
        <w:tc>
          <w:tcPr>
            <w:tcW w:w="6662" w:type="dxa"/>
          </w:tcPr>
          <w:p w:rsidRPr="009F0FBD" w:rsidR="00517472" w:rsidP="007C0C1A" w:rsidRDefault="00517472" w14:paraId="0AA66670" w14:textId="77777777">
            <w:pPr>
              <w:tabs>
                <w:tab w:val="center" w:pos="284"/>
              </w:tabs>
              <w:suppressAutoHyphens/>
              <w:ind w:left="266" w:hanging="266"/>
              <w:rPr>
                <w:lang w:val="sl-SI"/>
              </w:rPr>
            </w:pPr>
            <w:r w:rsidRPr="009F0FBD">
              <w:rPr>
                <w:lang w:val="sl-SI"/>
              </w:rPr>
              <w:t xml:space="preserve">COM(2025) 10 final </w:t>
            </w:r>
          </w:p>
          <w:p w:rsidRPr="009F0FBD" w:rsidR="00517472" w:rsidP="007C0C1A" w:rsidRDefault="00517472" w14:paraId="11BE9A54" w14:textId="656438C7">
            <w:pPr>
              <w:tabs>
                <w:tab w:val="center" w:pos="284"/>
              </w:tabs>
              <w:suppressAutoHyphens/>
              <w:ind w:left="266" w:hanging="266"/>
              <w:rPr>
                <w:lang w:val="sl-SI"/>
              </w:rPr>
            </w:pPr>
            <w:r w:rsidRPr="009F0FBD">
              <w:rPr>
                <w:lang w:val="sl-SI"/>
              </w:rPr>
              <w:t>EESC-2025-00633-00-00-AC</w:t>
            </w:r>
          </w:p>
        </w:tc>
      </w:tr>
    </w:tbl>
    <w:p w:rsidRPr="009F0FBD" w:rsidR="00517472" w:rsidP="000F397E" w:rsidRDefault="00517472" w14:paraId="46F016D7" w14:textId="77777777">
      <w:pPr>
        <w:tabs>
          <w:tab w:val="center" w:pos="284"/>
        </w:tabs>
        <w:overflowPunct w:val="0"/>
        <w:autoSpaceDE w:val="0"/>
        <w:autoSpaceDN w:val="0"/>
        <w:adjustRightInd w:val="0"/>
        <w:ind w:left="266" w:hanging="266"/>
        <w:textAlignment w:val="baseline"/>
        <w:rPr>
          <w:b/>
          <w:lang w:val="sl-SI"/>
        </w:rPr>
      </w:pPr>
    </w:p>
    <w:p w:rsidRPr="009F0FBD" w:rsidR="00517472" w:rsidP="00517472" w:rsidRDefault="00517472" w14:paraId="7DBDEFBC" w14:textId="77777777">
      <w:pPr>
        <w:tabs>
          <w:tab w:val="center" w:pos="284"/>
        </w:tabs>
        <w:suppressAutoHyphens/>
        <w:ind w:left="266" w:hanging="266"/>
        <w:rPr>
          <w:b/>
          <w:lang w:val="sl-SI"/>
        </w:rPr>
      </w:pPr>
      <w:r w:rsidRPr="009F0FBD">
        <w:rPr>
          <w:b/>
          <w:lang w:val="sl-SI"/>
        </w:rPr>
        <w:t>Glavne točke</w:t>
      </w:r>
    </w:p>
    <w:p w:rsidRPr="009F0FBD" w:rsidR="00517472" w:rsidP="00517472" w:rsidRDefault="00517472" w14:paraId="7AA30C29" w14:textId="77777777">
      <w:pPr>
        <w:tabs>
          <w:tab w:val="center" w:pos="284"/>
        </w:tabs>
        <w:suppressAutoHyphens/>
        <w:ind w:left="266" w:hanging="266"/>
        <w:rPr>
          <w:bCs/>
          <w:lang w:val="sl-SI"/>
        </w:rPr>
      </w:pPr>
    </w:p>
    <w:p w:rsidRPr="009F0FBD" w:rsidR="00517472" w:rsidP="00517472" w:rsidRDefault="00517472" w14:paraId="5C166D50" w14:textId="77777777">
      <w:pPr>
        <w:tabs>
          <w:tab w:val="center" w:pos="284"/>
        </w:tabs>
        <w:suppressAutoHyphens/>
        <w:ind w:left="266" w:hanging="266"/>
        <w:rPr>
          <w:lang w:val="sl-SI"/>
        </w:rPr>
      </w:pPr>
      <w:r w:rsidRPr="009F0FBD">
        <w:rPr>
          <w:lang w:val="sl-SI"/>
        </w:rPr>
        <w:t>EESO:</w:t>
      </w:r>
    </w:p>
    <w:p w:rsidRPr="009F0FBD" w:rsidR="00517472" w:rsidP="00517472" w:rsidRDefault="00517472" w14:paraId="636C8FF8" w14:textId="77777777">
      <w:pPr>
        <w:tabs>
          <w:tab w:val="center" w:pos="284"/>
        </w:tabs>
        <w:suppressAutoHyphens/>
        <w:ind w:left="266" w:hanging="266"/>
        <w:rPr>
          <w:bCs/>
          <w:lang w:val="sl-SI"/>
        </w:rPr>
      </w:pPr>
    </w:p>
    <w:p w:rsidRPr="009F0FBD" w:rsidR="00517472" w:rsidP="004F5634" w:rsidRDefault="00517472" w14:paraId="56DC0B3D" w14:textId="77777777">
      <w:pPr>
        <w:pStyle w:val="Heading2"/>
        <w:numPr>
          <w:ilvl w:val="1"/>
          <w:numId w:val="48"/>
        </w:numPr>
        <w:suppressAutoHyphens/>
        <w:ind w:left="284" w:hanging="284"/>
        <w:rPr>
          <w:lang w:val="sl-SI"/>
        </w:rPr>
      </w:pPr>
      <w:r w:rsidRPr="009F0FBD">
        <w:rPr>
          <w:lang w:val="sl-SI"/>
        </w:rPr>
        <w:t>pozdravlja ambicioznost evropskega akcijskega načrta za kibernetsko varnost bolnišnic in izvajalcev zdravstvenih dejavnosti ter pozornost, ki se namenja tej temi. S krepitvijo kibernetske varnosti v zdravstvenem sektorju se izboljšujeta splošna varnost in odpornost ter se prispeva k uniji pripravljenosti;</w:t>
      </w:r>
    </w:p>
    <w:p w:rsidRPr="009F0FBD" w:rsidR="00517472" w:rsidP="004F5634" w:rsidRDefault="00517472" w14:paraId="52A7FD73" w14:textId="77777777">
      <w:pPr>
        <w:pStyle w:val="Heading2"/>
        <w:numPr>
          <w:ilvl w:val="1"/>
          <w:numId w:val="48"/>
        </w:numPr>
        <w:suppressAutoHyphens/>
        <w:ind w:left="284" w:hanging="284"/>
        <w:rPr>
          <w:lang w:val="sl-SI"/>
        </w:rPr>
      </w:pPr>
      <w:r w:rsidRPr="009F0FBD">
        <w:rPr>
          <w:lang w:val="sl-SI"/>
        </w:rPr>
        <w:t>obžaluje, da vprašanje finančne podpore za izvajanje akcijskega načrta še vedno ni rešeno. Spodbuja Komisijo, naj poskrbi za tematsko osredotočenost finančne podpore iz kohezijskih sredstev;</w:t>
      </w:r>
    </w:p>
    <w:p w:rsidRPr="009F0FBD" w:rsidR="00517472" w:rsidP="004F5634" w:rsidRDefault="00517472" w14:paraId="11B2F9E6" w14:textId="77777777">
      <w:pPr>
        <w:pStyle w:val="Heading2"/>
        <w:numPr>
          <w:ilvl w:val="1"/>
          <w:numId w:val="48"/>
        </w:numPr>
        <w:suppressAutoHyphens/>
        <w:ind w:left="284" w:hanging="284"/>
        <w:rPr>
          <w:lang w:val="sl-SI"/>
        </w:rPr>
      </w:pPr>
      <w:r w:rsidRPr="009F0FBD">
        <w:rPr>
          <w:lang w:val="sl-SI"/>
        </w:rPr>
        <w:t>je seznanjen s podporo agenciji ENISA v višini 6 milijonov EUR, vendar poudarja, da je ta znesek neustrezen glede na to, kaj vse je na kocki;</w:t>
      </w:r>
    </w:p>
    <w:p w:rsidRPr="009F0FBD" w:rsidR="00517472" w:rsidP="004F5634" w:rsidRDefault="00517472" w14:paraId="1A29AD38" w14:textId="77777777">
      <w:pPr>
        <w:pStyle w:val="Heading2"/>
        <w:numPr>
          <w:ilvl w:val="1"/>
          <w:numId w:val="48"/>
        </w:numPr>
        <w:suppressAutoHyphens/>
        <w:ind w:left="284" w:hanging="284"/>
        <w:rPr>
          <w:lang w:val="sl-SI"/>
        </w:rPr>
      </w:pPr>
      <w:r w:rsidRPr="009F0FBD">
        <w:rPr>
          <w:lang w:val="sl-SI"/>
        </w:rPr>
        <w:t>priporoča ozaveščanje o osnovnih praksah kibernetske higiene; vlaganje v digitalne dvojčke v primeru bolnišnic, zdravstvenih sistemov ali medicinskih pripomočkov, da se olajšata zagotavljanje skladnosti in preizkušanje; nudenje tehnične pomoči zdravstvenim enotam brez službe za IT; naložbe v strateške tehnične zmogljivosti;</w:t>
      </w:r>
    </w:p>
    <w:p w:rsidRPr="009F0FBD" w:rsidR="00517472" w:rsidP="004F5634" w:rsidRDefault="00517472" w14:paraId="4BE70DD1" w14:textId="77777777">
      <w:pPr>
        <w:pStyle w:val="Heading2"/>
        <w:numPr>
          <w:ilvl w:val="1"/>
          <w:numId w:val="48"/>
        </w:numPr>
        <w:suppressAutoHyphens/>
        <w:ind w:left="284" w:hanging="284"/>
        <w:rPr>
          <w:lang w:val="sl-SI"/>
        </w:rPr>
      </w:pPr>
      <w:r w:rsidRPr="009F0FBD">
        <w:rPr>
          <w:lang w:val="sl-SI"/>
        </w:rPr>
        <w:t>želi opozoriti na sklop previdnostnih in preventivnih ukrepov, ki naj bi izboljšali raven zaščite v zdravstvenem sektorju in zmanjšali tveganje kibernetskih napadov: izvajanje ustreznih testov; priprava načrtov neprekinjenega poslovanja, ki jih redno posodabljajo in pregledujejo neodvisni notranji in zunanji revizorji; spremljanje najboljših praks spremljanja in odpravljanja posledic;</w:t>
      </w:r>
    </w:p>
    <w:p w:rsidRPr="009F0FBD" w:rsidR="00517472" w:rsidP="004F5634" w:rsidRDefault="00517472" w14:paraId="7A09E7E9" w14:textId="77777777">
      <w:pPr>
        <w:pStyle w:val="Heading2"/>
        <w:numPr>
          <w:ilvl w:val="1"/>
          <w:numId w:val="48"/>
        </w:numPr>
        <w:suppressAutoHyphens/>
        <w:ind w:left="284" w:hanging="284"/>
        <w:rPr>
          <w:lang w:val="sl-SI"/>
        </w:rPr>
      </w:pPr>
      <w:r w:rsidRPr="009F0FBD">
        <w:rPr>
          <w:lang w:val="sl-SI"/>
        </w:rPr>
        <w:t>priporoča, da se izzivi na področju kibernetske varnosti, etike, zasebnosti in umetne inteligence rešujejo z načrti stalnega učenja in usposabljanja, pripravljenimi v sodelovanju s socialnimi partnerji, ter mehanizmi za prenos znanja med različnimi subjekti in strokovnimi deležniki.</w:t>
      </w:r>
    </w:p>
    <w:p w:rsidRPr="009F0FBD" w:rsidR="00517472" w:rsidP="00517472" w:rsidRDefault="00517472" w14:paraId="6912BF71" w14:textId="77777777">
      <w:pPr>
        <w:suppressAutoHyphens/>
        <w:rPr>
          <w:lang w:val="sl-SI"/>
        </w:rPr>
      </w:pPr>
    </w:p>
    <w:tbl>
      <w:tblPr>
        <w:tblStyle w:val="TableGrid"/>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7"/>
        <w:gridCol w:w="7201"/>
      </w:tblGrid>
      <w:tr w:rsidRPr="009F0FBD" w:rsidR="00517472" w:rsidTr="007C0C1A" w14:paraId="2E564436" w14:textId="77777777">
        <w:tc>
          <w:tcPr>
            <w:tcW w:w="985" w:type="pct"/>
          </w:tcPr>
          <w:p w:rsidRPr="009F0FBD" w:rsidR="00517472" w:rsidP="007C0C1A" w:rsidRDefault="00517472" w14:paraId="0F473E2D" w14:textId="77777777">
            <w:pPr>
              <w:suppressAutoHyphens/>
              <w:rPr>
                <w:i/>
                <w:lang w:val="sl-SI"/>
              </w:rPr>
            </w:pPr>
            <w:r w:rsidRPr="009F0FBD">
              <w:rPr>
                <w:b/>
                <w:i/>
                <w:lang w:val="sl-SI"/>
              </w:rPr>
              <w:t>Kontaktna oseba</w:t>
            </w:r>
          </w:p>
        </w:tc>
        <w:tc>
          <w:tcPr>
            <w:tcW w:w="4015" w:type="pct"/>
          </w:tcPr>
          <w:p w:rsidRPr="009F0FBD" w:rsidR="00517472" w:rsidP="007C0C1A" w:rsidRDefault="00517472" w14:paraId="3B28FBF2" w14:textId="77777777">
            <w:pPr>
              <w:suppressAutoHyphens/>
              <w:rPr>
                <w:bCs/>
                <w:i/>
                <w:lang w:val="sl-SI"/>
              </w:rPr>
            </w:pPr>
            <w:r w:rsidRPr="009F0FBD">
              <w:rPr>
                <w:bCs/>
                <w:i/>
                <w:lang w:val="sl-SI"/>
              </w:rPr>
              <w:t>Ioannis DIAMANTOPOULOS</w:t>
            </w:r>
          </w:p>
        </w:tc>
      </w:tr>
      <w:tr w:rsidRPr="009F0FBD" w:rsidR="00517472" w:rsidTr="007C0C1A" w14:paraId="00EACC42" w14:textId="77777777">
        <w:tc>
          <w:tcPr>
            <w:tcW w:w="985" w:type="pct"/>
          </w:tcPr>
          <w:p w:rsidRPr="009F0FBD" w:rsidR="00517472" w:rsidP="007C0C1A" w:rsidRDefault="00517472" w14:paraId="3E83A887" w14:textId="77777777">
            <w:pPr>
              <w:suppressAutoHyphens/>
              <w:rPr>
                <w:i/>
                <w:lang w:val="sl-SI"/>
              </w:rPr>
            </w:pPr>
            <w:r w:rsidRPr="009F0FBD">
              <w:rPr>
                <w:i/>
                <w:lang w:val="sl-SI"/>
              </w:rPr>
              <w:t>Telefon</w:t>
            </w:r>
          </w:p>
        </w:tc>
        <w:tc>
          <w:tcPr>
            <w:tcW w:w="4015" w:type="pct"/>
          </w:tcPr>
          <w:p w:rsidRPr="009F0FBD" w:rsidR="00517472" w:rsidP="007C0C1A" w:rsidRDefault="00517472" w14:paraId="5BE525DF" w14:textId="77777777">
            <w:pPr>
              <w:suppressAutoHyphens/>
              <w:rPr>
                <w:i/>
                <w:lang w:val="sl-SI"/>
              </w:rPr>
            </w:pPr>
            <w:r w:rsidRPr="009F0FBD">
              <w:rPr>
                <w:i/>
                <w:lang w:val="sl-SI"/>
              </w:rPr>
              <w:t>+3225469170</w:t>
            </w:r>
          </w:p>
        </w:tc>
      </w:tr>
      <w:tr w:rsidRPr="0084110F" w:rsidR="00517472" w:rsidTr="007C0C1A" w14:paraId="2DA4D0F3" w14:textId="77777777">
        <w:tc>
          <w:tcPr>
            <w:tcW w:w="985" w:type="pct"/>
          </w:tcPr>
          <w:p w:rsidRPr="009F0FBD" w:rsidR="00517472" w:rsidP="007C0C1A" w:rsidRDefault="00517472" w14:paraId="4AAAB733" w14:textId="77777777">
            <w:pPr>
              <w:suppressAutoHyphens/>
              <w:rPr>
                <w:i/>
                <w:lang w:val="sl-SI"/>
              </w:rPr>
            </w:pPr>
            <w:r w:rsidRPr="009F0FBD">
              <w:rPr>
                <w:i/>
                <w:lang w:val="sl-SI"/>
              </w:rPr>
              <w:t>E-naslov</w:t>
            </w:r>
          </w:p>
        </w:tc>
        <w:tc>
          <w:tcPr>
            <w:tcW w:w="4015" w:type="pct"/>
          </w:tcPr>
          <w:p w:rsidRPr="009F0FBD" w:rsidR="00517472" w:rsidP="007C0C1A" w:rsidRDefault="00E47EFC" w14:paraId="1242F45A" w14:textId="77777777">
            <w:pPr>
              <w:suppressAutoHyphens/>
              <w:rPr>
                <w:i/>
                <w:lang w:val="sl-SI"/>
              </w:rPr>
            </w:pPr>
            <w:hyperlink w:history="1" r:id="rId55">
              <w:r w:rsidRPr="009F0FBD" w:rsidR="00517472">
                <w:rPr>
                  <w:rStyle w:val="Hyperlink"/>
                  <w:i/>
                  <w:lang w:val="sl-SI"/>
                </w:rPr>
                <w:t>Ioannis.Diamantopoulos@eesc.europa.eu</w:t>
              </w:r>
            </w:hyperlink>
          </w:p>
        </w:tc>
      </w:tr>
    </w:tbl>
    <w:p w:rsidRPr="009F0FBD" w:rsidR="00517472" w:rsidP="00517472" w:rsidRDefault="00517472" w14:paraId="26F0D338" w14:textId="77777777">
      <w:pPr>
        <w:rPr>
          <w:lang w:val="sl-SI"/>
        </w:rPr>
      </w:pPr>
    </w:p>
    <w:p w:rsidRPr="004F5634" w:rsidR="000D394D" w:rsidP="00517472" w:rsidRDefault="004F5634" w14:paraId="0D2DBE11" w14:textId="2B0DED92">
      <w:pPr>
        <w:overflowPunct w:val="0"/>
        <w:autoSpaceDE w:val="0"/>
        <w:autoSpaceDN w:val="0"/>
        <w:adjustRightInd w:val="0"/>
        <w:jc w:val="center"/>
        <w:textAlignment w:val="baseline"/>
        <w:rPr>
          <w:lang w:val="nl-BE"/>
        </w:rPr>
      </w:pPr>
      <w:r>
        <w:rPr>
          <w:lang w:val="nl-BE"/>
        </w:rPr>
        <w:t>_____________</w:t>
      </w:r>
    </w:p>
    <w:sectPr w:rsidRPr="004F5634" w:rsidR="000D394D" w:rsidSect="00055407">
      <w:headerReference w:type="even" r:id="rId56"/>
      <w:headerReference w:type="default" r:id="rId57"/>
      <w:footerReference w:type="even" r:id="rId58"/>
      <w:footerReference w:type="default" r:id="rId59"/>
      <w:headerReference w:type="first" r:id="rId60"/>
      <w:footerReference w:type="first" r:id="rId61"/>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2E3A519C" w:rsidR="00B518C9"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rPr>
        <w:noProof/>
      </w:rPr>
      <w:t>1</w:t>
    </w:r>
    <w:r>
      <w:fldChar w:fldCharType="end"/>
    </w:r>
    <w:r>
      <w:t>/</w:t>
    </w:r>
    <w:fldSimple w:instr=" NUMPAGES ">
      <w:r>
        <w:rPr>
          <w:noProof/>
        </w:rPr>
        <w:t>28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055407" w:rsidRDefault="00055407" w:rsidP="000554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281A9974" w:rsidR="00055407"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rPr>
        <w:noProof/>
      </w:rPr>
      <w:t>2</w:t>
    </w:r>
    <w:r>
      <w:fldChar w:fldCharType="end"/>
    </w:r>
    <w:r>
      <w:t>/</w:t>
    </w:r>
    <w:fldSimple w:instr=" NUMPAGES ">
      <w:r>
        <w:rPr>
          <w:noProof/>
        </w:rPr>
        <w:t>28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055407" w:rsidRDefault="00055407" w:rsidP="00055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055407" w:rsidRDefault="00055407" w:rsidP="00055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2B776D36" w:rsidR="00055407" w:rsidRPr="00055407" w:rsidRDefault="00055407" w:rsidP="00055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055407" w:rsidRDefault="00055407" w:rsidP="00055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A1478E0"/>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6BAC0384"/>
    <w:lvl w:ilvl="0">
      <w:numFmt w:val="decimal"/>
      <w:lvlText w:val="*"/>
      <w:lvlJc w:val="left"/>
    </w:lvl>
  </w:abstractNum>
  <w:abstractNum w:abstractNumId="2" w15:restartNumberingAfterBreak="0">
    <w:nsid w:val="005903F7"/>
    <w:multiLevelType w:val="hybridMultilevel"/>
    <w:tmpl w:val="9F7278D6"/>
    <w:lvl w:ilvl="0" w:tplc="8E864B0C">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3E46ED4"/>
    <w:multiLevelType w:val="multilevel"/>
    <w:tmpl w:val="2C7872E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CF268"/>
    <w:multiLevelType w:val="hybridMultilevel"/>
    <w:tmpl w:val="400EA9C6"/>
    <w:lvl w:ilvl="0" w:tplc="AF664816">
      <w:start w:val="1"/>
      <w:numFmt w:val="bullet"/>
      <w:lvlText w:val=""/>
      <w:lvlJc w:val="left"/>
      <w:pPr>
        <w:ind w:left="567" w:hanging="360"/>
      </w:pPr>
      <w:rPr>
        <w:rFonts w:ascii="Symbol" w:hAnsi="Symbol" w:hint="default"/>
        <w:color w:val="000000" w:themeColor="text1"/>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5" w15:restartNumberingAfterBreak="0">
    <w:nsid w:val="1103504E"/>
    <w:multiLevelType w:val="hybridMultilevel"/>
    <w:tmpl w:val="09E279DA"/>
    <w:lvl w:ilvl="0" w:tplc="6BAC0384">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1521F50"/>
    <w:multiLevelType w:val="hybridMultilevel"/>
    <w:tmpl w:val="EE446E2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3170586"/>
    <w:multiLevelType w:val="hybridMultilevel"/>
    <w:tmpl w:val="377629BC"/>
    <w:lvl w:ilvl="0" w:tplc="8E864B0C">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8720B11"/>
    <w:multiLevelType w:val="hybridMultilevel"/>
    <w:tmpl w:val="905A438A"/>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10" w15:restartNumberingAfterBreak="0">
    <w:nsid w:val="1917462B"/>
    <w:multiLevelType w:val="hybridMultilevel"/>
    <w:tmpl w:val="2918C40C"/>
    <w:lvl w:ilvl="0" w:tplc="8E864B0C">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D241F7C"/>
    <w:multiLevelType w:val="hybridMultilevel"/>
    <w:tmpl w:val="262AA0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7785EB1"/>
    <w:multiLevelType w:val="hybridMultilevel"/>
    <w:tmpl w:val="FF480688"/>
    <w:lvl w:ilvl="0" w:tplc="1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7A75CFF"/>
    <w:multiLevelType w:val="multilevel"/>
    <w:tmpl w:val="2C7872E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5F19EB"/>
    <w:multiLevelType w:val="hybridMultilevel"/>
    <w:tmpl w:val="E002688C"/>
    <w:lvl w:ilvl="0" w:tplc="C62E6A1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DB7010A"/>
    <w:multiLevelType w:val="hybridMultilevel"/>
    <w:tmpl w:val="343A0AE8"/>
    <w:lvl w:ilvl="0" w:tplc="8E864B0C">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E3B54BA"/>
    <w:multiLevelType w:val="hybridMultilevel"/>
    <w:tmpl w:val="680CEDEA"/>
    <w:lvl w:ilvl="0" w:tplc="8E864B0C">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0EA3693"/>
    <w:multiLevelType w:val="multilevel"/>
    <w:tmpl w:val="D302A364"/>
    <w:lvl w:ilvl="0">
      <w:start w:val="1"/>
      <w:numFmt w:val="decimal"/>
      <w:lvlText w:val="%1."/>
      <w:legacy w:legacy="1" w:legacySpace="0" w:legacyIndent="0"/>
      <w:lvlJc w:val="left"/>
      <w:rPr>
        <w:b w:val="0"/>
        <w:bCs/>
      </w:rPr>
    </w:lvl>
    <w:lvl w:ilvl="1">
      <w:start w:val="1"/>
      <w:numFmt w:val="bullet"/>
      <w:lvlText w:val=""/>
      <w:lvlJc w:val="left"/>
      <w:rPr>
        <w:rFonts w:ascii="Symbol" w:hAnsi="Symbol" w:hint="default"/>
        <w:color w:val="auto"/>
        <w:sz w:val="28"/>
        <w:szCs w:val="28"/>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0" w15:restartNumberingAfterBreak="0">
    <w:nsid w:val="31C21CF4"/>
    <w:multiLevelType w:val="hybridMultilevel"/>
    <w:tmpl w:val="B0E23C88"/>
    <w:lvl w:ilvl="0" w:tplc="BE182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CE6EA8"/>
    <w:multiLevelType w:val="multilevel"/>
    <w:tmpl w:val="C0C83F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4C64EC"/>
    <w:multiLevelType w:val="hybridMultilevel"/>
    <w:tmpl w:val="D72C6B8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3A5B7D00"/>
    <w:multiLevelType w:val="multilevel"/>
    <w:tmpl w:val="640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DB57C4"/>
    <w:multiLevelType w:val="hybridMultilevel"/>
    <w:tmpl w:val="A5DC522C"/>
    <w:lvl w:ilvl="0" w:tplc="C62E6A1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1EE7F87"/>
    <w:multiLevelType w:val="hybridMultilevel"/>
    <w:tmpl w:val="6E04FFC8"/>
    <w:lvl w:ilvl="0" w:tplc="8E864B0C">
      <w:start w:val="1"/>
      <w:numFmt w:val="bullet"/>
      <w:lvlText w:val=""/>
      <w:lvlJc w:val="left"/>
      <w:pPr>
        <w:ind w:left="644" w:hanging="360"/>
      </w:pPr>
      <w:rPr>
        <w:rFonts w:ascii="Symbol" w:hAnsi="Symbol" w:hint="default"/>
        <w:color w:val="auto"/>
      </w:rPr>
    </w:lvl>
    <w:lvl w:ilvl="1" w:tplc="C62E6A14">
      <w:start w:val="1"/>
      <w:numFmt w:val="bullet"/>
      <w:lvlText w:val=""/>
      <w:lvlJc w:val="left"/>
      <w:pPr>
        <w:ind w:left="1364" w:hanging="360"/>
      </w:pPr>
      <w:rPr>
        <w:rFonts w:ascii="Symbol" w:hAnsi="Symbol"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6" w15:restartNumberingAfterBreak="0">
    <w:nsid w:val="4C70277D"/>
    <w:multiLevelType w:val="hybridMultilevel"/>
    <w:tmpl w:val="424EFA08"/>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27" w15:restartNumberingAfterBreak="0">
    <w:nsid w:val="52A67869"/>
    <w:multiLevelType w:val="hybridMultilevel"/>
    <w:tmpl w:val="3B34A49C"/>
    <w:lvl w:ilvl="0" w:tplc="C62E6A14">
      <w:start w:val="1"/>
      <w:numFmt w:val="bullet"/>
      <w:lvlText w:val=""/>
      <w:lvlJc w:val="left"/>
      <w:pPr>
        <w:ind w:left="720" w:hanging="360"/>
      </w:pPr>
      <w:rPr>
        <w:rFonts w:ascii="Symbol" w:hAnsi="Symbol" w:hint="default"/>
        <w:color w:val="auto"/>
        <w:sz w:val="28"/>
        <w:szCs w:val="28"/>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8" w15:restartNumberingAfterBreak="0">
    <w:nsid w:val="5AFB15B3"/>
    <w:multiLevelType w:val="multilevel"/>
    <w:tmpl w:val="628CF51C"/>
    <w:lvl w:ilvl="0">
      <w:start w:val="1"/>
      <w:numFmt w:val="decimal"/>
      <w:lvlText w:val="%1."/>
      <w:legacy w:legacy="1" w:legacySpace="0" w:legacyIndent="0"/>
      <w:lvlJc w:val="left"/>
      <w:rPr>
        <w:b w:val="0"/>
        <w:bCs/>
      </w:rPr>
    </w:lvl>
    <w:lvl w:ilvl="1">
      <w:start w:val="1"/>
      <w:numFmt w:val="bullet"/>
      <w:lvlText w:val=""/>
      <w:lvlJc w:val="left"/>
      <w:rPr>
        <w:rFonts w:ascii="Symbol" w:hAnsi="Symbol" w:hint="default"/>
        <w:color w:val="auto"/>
        <w:sz w:val="28"/>
        <w:szCs w:val="28"/>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9" w15:restartNumberingAfterBreak="0">
    <w:nsid w:val="5CCA7FD5"/>
    <w:multiLevelType w:val="hybridMultilevel"/>
    <w:tmpl w:val="BAE6A936"/>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61C917D9"/>
    <w:multiLevelType w:val="hybridMultilevel"/>
    <w:tmpl w:val="5112BA32"/>
    <w:lvl w:ilvl="0" w:tplc="080C0001">
      <w:start w:val="1"/>
      <w:numFmt w:val="bullet"/>
      <w:lvlText w:val=""/>
      <w:lvlJc w:val="left"/>
      <w:pPr>
        <w:ind w:left="644" w:hanging="360"/>
      </w:pPr>
      <w:rPr>
        <w:rFonts w:ascii="Symbol" w:hAnsi="Symbol" w:hint="default"/>
      </w:rPr>
    </w:lvl>
    <w:lvl w:ilvl="1" w:tplc="C62E6A14">
      <w:start w:val="1"/>
      <w:numFmt w:val="bullet"/>
      <w:lvlText w:val=""/>
      <w:lvlJc w:val="left"/>
      <w:pPr>
        <w:ind w:left="1364" w:hanging="360"/>
      </w:pPr>
      <w:rPr>
        <w:rFonts w:ascii="Symbol" w:hAnsi="Symbol"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1"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425208A"/>
    <w:multiLevelType w:val="multilevel"/>
    <w:tmpl w:val="2C7872E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243822"/>
    <w:multiLevelType w:val="hybridMultilevel"/>
    <w:tmpl w:val="470AC31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7EE566C"/>
    <w:multiLevelType w:val="hybridMultilevel"/>
    <w:tmpl w:val="788C01AC"/>
    <w:lvl w:ilvl="0" w:tplc="6BAC0384">
      <w:start w:val="1"/>
      <w:numFmt w:val="bullet"/>
      <w:lvlText w:val=""/>
      <w:lvlJc w:val="left"/>
      <w:pPr>
        <w:ind w:left="720" w:hanging="360"/>
      </w:pPr>
      <w:rPr>
        <w:rFonts w:ascii="Symbol" w:hAnsi="Symbol" w:hint="default"/>
        <w:color w:val="auto"/>
        <w:sz w:val="28"/>
        <w:szCs w:val="28"/>
      </w:rPr>
    </w:lvl>
    <w:lvl w:ilvl="1" w:tplc="C62E6A1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70EDF"/>
    <w:multiLevelType w:val="hybridMultilevel"/>
    <w:tmpl w:val="49661DC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6A127BD6"/>
    <w:multiLevelType w:val="hybridMultilevel"/>
    <w:tmpl w:val="DB422EAE"/>
    <w:lvl w:ilvl="0" w:tplc="54B075D6">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6A550C69"/>
    <w:multiLevelType w:val="multilevel"/>
    <w:tmpl w:val="A020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BEABE0"/>
    <w:multiLevelType w:val="hybridMultilevel"/>
    <w:tmpl w:val="071AAFC2"/>
    <w:lvl w:ilvl="0" w:tplc="3ECEE272">
      <w:start w:val="1"/>
      <w:numFmt w:val="bullet"/>
      <w:lvlText w:val=""/>
      <w:lvlJc w:val="left"/>
      <w:pPr>
        <w:ind w:left="720" w:hanging="360"/>
      </w:pPr>
      <w:rPr>
        <w:rFonts w:ascii="Symbol" w:hAnsi="Symbol" w:hint="default"/>
        <w:color w:val="auto"/>
        <w:sz w:val="28"/>
        <w:szCs w:val="28"/>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39" w15:restartNumberingAfterBreak="0">
    <w:nsid w:val="71D25C3A"/>
    <w:multiLevelType w:val="multilevel"/>
    <w:tmpl w:val="ED44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A027F"/>
    <w:multiLevelType w:val="hybridMultilevel"/>
    <w:tmpl w:val="C1102496"/>
    <w:lvl w:ilvl="0" w:tplc="C62E6A1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9DA7990"/>
    <w:multiLevelType w:val="multilevel"/>
    <w:tmpl w:val="A0B0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375BFF"/>
    <w:multiLevelType w:val="hybridMultilevel"/>
    <w:tmpl w:val="FEEC32B2"/>
    <w:lvl w:ilvl="0" w:tplc="C62E6A1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AE044DD"/>
    <w:multiLevelType w:val="hybridMultilevel"/>
    <w:tmpl w:val="3624587A"/>
    <w:lvl w:ilvl="0" w:tplc="8E864B0C">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7F6A5CBA"/>
    <w:multiLevelType w:val="hybridMultilevel"/>
    <w:tmpl w:val="180E27BE"/>
    <w:lvl w:ilvl="0" w:tplc="C62E6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3"/>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30"/>
  </w:num>
  <w:num w:numId="6">
    <w:abstractNumId w:val="35"/>
  </w:num>
  <w:num w:numId="7">
    <w:abstractNumId w:val="26"/>
  </w:num>
  <w:num w:numId="8">
    <w:abstractNumId w:val="9"/>
  </w:num>
  <w:num w:numId="9">
    <w:abstractNumId w:val="1"/>
    <w:lvlOverride w:ilvl="0">
      <w:lvl w:ilvl="0">
        <w:start w:val="1"/>
        <w:numFmt w:val="bullet"/>
        <w:lvlText w:val=""/>
        <w:lvlJc w:val="left"/>
        <w:pPr>
          <w:ind w:left="720" w:hanging="360"/>
        </w:pPr>
        <w:rPr>
          <w:rFonts w:ascii="Symbol" w:hAnsi="Symbol" w:hint="default"/>
          <w:color w:val="auto"/>
        </w:rPr>
      </w:lvl>
    </w:lvlOverride>
  </w:num>
  <w:num w:numId="10">
    <w:abstractNumId w:val="11"/>
  </w:num>
  <w:num w:numId="11">
    <w:abstractNumId w:val="31"/>
  </w:num>
  <w:num w:numId="12">
    <w:abstractNumId w:val="23"/>
  </w:num>
  <w:num w:numId="13">
    <w:abstractNumId w:val="41"/>
  </w:num>
  <w:num w:numId="14">
    <w:abstractNumId w:val="12"/>
  </w:num>
  <w:num w:numId="15">
    <w:abstractNumId w:val="33"/>
  </w:num>
  <w:num w:numId="16">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7">
    <w:abstractNumId w:val="14"/>
  </w:num>
  <w:num w:numId="18">
    <w:abstractNumId w:val="38"/>
  </w:num>
  <w:num w:numId="19">
    <w:abstractNumId w:val="4"/>
  </w:num>
  <w:num w:numId="20">
    <w:abstractNumId w:val="20"/>
  </w:num>
  <w:num w:numId="21">
    <w:abstractNumId w:val="6"/>
  </w:num>
  <w:num w:numId="22">
    <w:abstractNumId w:val="36"/>
  </w:num>
  <w:num w:numId="23">
    <w:abstractNumId w:val="29"/>
  </w:num>
  <w:num w:numId="24">
    <w:abstractNumId w:val="5"/>
  </w:num>
  <w:num w:numId="25">
    <w:abstractNumId w:val="28"/>
  </w:num>
  <w:num w:numId="26">
    <w:abstractNumId w:val="22"/>
  </w:num>
  <w:num w:numId="27">
    <w:abstractNumId w:val="18"/>
  </w:num>
  <w:num w:numId="28">
    <w:abstractNumId w:val="25"/>
  </w:num>
  <w:num w:numId="29">
    <w:abstractNumId w:val="43"/>
  </w:num>
  <w:num w:numId="30">
    <w:abstractNumId w:val="7"/>
  </w:num>
  <w:num w:numId="31">
    <w:abstractNumId w:val="8"/>
  </w:num>
  <w:num w:numId="32">
    <w:abstractNumId w:val="17"/>
  </w:num>
  <w:num w:numId="33">
    <w:abstractNumId w:val="10"/>
  </w:num>
  <w:num w:numId="34">
    <w:abstractNumId w:val="2"/>
  </w:num>
  <w:num w:numId="35">
    <w:abstractNumId w:val="40"/>
  </w:num>
  <w:num w:numId="36">
    <w:abstractNumId w:val="37"/>
  </w:num>
  <w:num w:numId="37">
    <w:abstractNumId w:val="21"/>
  </w:num>
  <w:num w:numId="38">
    <w:abstractNumId w:val="39"/>
  </w:num>
  <w:num w:numId="39">
    <w:abstractNumId w:val="3"/>
  </w:num>
  <w:num w:numId="40">
    <w:abstractNumId w:val="32"/>
  </w:num>
  <w:num w:numId="41">
    <w:abstractNumId w:val="15"/>
  </w:num>
  <w:num w:numId="42">
    <w:abstractNumId w:val="44"/>
  </w:num>
  <w:num w:numId="43">
    <w:abstractNumId w:val="42"/>
  </w:num>
  <w:num w:numId="44">
    <w:abstractNumId w:val="27"/>
  </w:num>
  <w:num w:numId="45">
    <w:abstractNumId w:val="24"/>
  </w:num>
  <w:num w:numId="46">
    <w:abstractNumId w:val="16"/>
  </w:num>
  <w:num w:numId="47">
    <w:abstractNumId w:val="34"/>
  </w:num>
  <w:num w:numId="48">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10A4D"/>
    <w:rsid w:val="00013330"/>
    <w:rsid w:val="00023F07"/>
    <w:rsid w:val="000428FC"/>
    <w:rsid w:val="00043305"/>
    <w:rsid w:val="00055407"/>
    <w:rsid w:val="00063DFF"/>
    <w:rsid w:val="00075030"/>
    <w:rsid w:val="00076362"/>
    <w:rsid w:val="000959E6"/>
    <w:rsid w:val="000A075F"/>
    <w:rsid w:val="000C63A4"/>
    <w:rsid w:val="000D394D"/>
    <w:rsid w:val="000E6568"/>
    <w:rsid w:val="000F397E"/>
    <w:rsid w:val="00104970"/>
    <w:rsid w:val="00123381"/>
    <w:rsid w:val="0013311E"/>
    <w:rsid w:val="001357A9"/>
    <w:rsid w:val="00156D53"/>
    <w:rsid w:val="00171B2B"/>
    <w:rsid w:val="001937A8"/>
    <w:rsid w:val="0019737D"/>
    <w:rsid w:val="001A0F35"/>
    <w:rsid w:val="001B63A4"/>
    <w:rsid w:val="001B7776"/>
    <w:rsid w:val="001B7DAA"/>
    <w:rsid w:val="001B7F40"/>
    <w:rsid w:val="001C720D"/>
    <w:rsid w:val="001E19E2"/>
    <w:rsid w:val="001E391D"/>
    <w:rsid w:val="0020025C"/>
    <w:rsid w:val="00212375"/>
    <w:rsid w:val="002229D4"/>
    <w:rsid w:val="00231020"/>
    <w:rsid w:val="00240934"/>
    <w:rsid w:val="00240FD7"/>
    <w:rsid w:val="00243149"/>
    <w:rsid w:val="00254761"/>
    <w:rsid w:val="0026311A"/>
    <w:rsid w:val="002666A0"/>
    <w:rsid w:val="00276128"/>
    <w:rsid w:val="002950A0"/>
    <w:rsid w:val="002A5636"/>
    <w:rsid w:val="002B7981"/>
    <w:rsid w:val="002E1FD0"/>
    <w:rsid w:val="002F25F9"/>
    <w:rsid w:val="00303A9D"/>
    <w:rsid w:val="003066BE"/>
    <w:rsid w:val="003151D0"/>
    <w:rsid w:val="003161AA"/>
    <w:rsid w:val="00320FF5"/>
    <w:rsid w:val="003227CC"/>
    <w:rsid w:val="0034685F"/>
    <w:rsid w:val="00351E5A"/>
    <w:rsid w:val="003572EF"/>
    <w:rsid w:val="00365F0D"/>
    <w:rsid w:val="00382E57"/>
    <w:rsid w:val="003838F1"/>
    <w:rsid w:val="003B35DF"/>
    <w:rsid w:val="003C2D04"/>
    <w:rsid w:val="003F1917"/>
    <w:rsid w:val="003F326D"/>
    <w:rsid w:val="003F79EF"/>
    <w:rsid w:val="00417328"/>
    <w:rsid w:val="0043191A"/>
    <w:rsid w:val="00432B76"/>
    <w:rsid w:val="004449AE"/>
    <w:rsid w:val="00450837"/>
    <w:rsid w:val="004721D7"/>
    <w:rsid w:val="004801BE"/>
    <w:rsid w:val="004A5CD7"/>
    <w:rsid w:val="004B7430"/>
    <w:rsid w:val="004B7C66"/>
    <w:rsid w:val="004D48C9"/>
    <w:rsid w:val="004D7AC0"/>
    <w:rsid w:val="004F51B1"/>
    <w:rsid w:val="004F5634"/>
    <w:rsid w:val="004F6E52"/>
    <w:rsid w:val="00517472"/>
    <w:rsid w:val="005215A3"/>
    <w:rsid w:val="005275B5"/>
    <w:rsid w:val="00532089"/>
    <w:rsid w:val="00554171"/>
    <w:rsid w:val="00586B4B"/>
    <w:rsid w:val="005A0BDA"/>
    <w:rsid w:val="005A672A"/>
    <w:rsid w:val="005C73A1"/>
    <w:rsid w:val="005D51A7"/>
    <w:rsid w:val="005D59E4"/>
    <w:rsid w:val="005E432E"/>
    <w:rsid w:val="005E7651"/>
    <w:rsid w:val="005F1C0E"/>
    <w:rsid w:val="005F797E"/>
    <w:rsid w:val="00611089"/>
    <w:rsid w:val="006179EF"/>
    <w:rsid w:val="00625CA3"/>
    <w:rsid w:val="00641262"/>
    <w:rsid w:val="00651562"/>
    <w:rsid w:val="006537CB"/>
    <w:rsid w:val="006D2C8A"/>
    <w:rsid w:val="006D2D64"/>
    <w:rsid w:val="006D5AE4"/>
    <w:rsid w:val="007435E6"/>
    <w:rsid w:val="00754027"/>
    <w:rsid w:val="0075742D"/>
    <w:rsid w:val="00766B1A"/>
    <w:rsid w:val="00770396"/>
    <w:rsid w:val="00783D73"/>
    <w:rsid w:val="00797AAF"/>
    <w:rsid w:val="007A5F20"/>
    <w:rsid w:val="007C4222"/>
    <w:rsid w:val="007F5784"/>
    <w:rsid w:val="0080201B"/>
    <w:rsid w:val="00805E64"/>
    <w:rsid w:val="0084110F"/>
    <w:rsid w:val="00844CF3"/>
    <w:rsid w:val="00845F24"/>
    <w:rsid w:val="00863217"/>
    <w:rsid w:val="008661BF"/>
    <w:rsid w:val="0088219D"/>
    <w:rsid w:val="0089162C"/>
    <w:rsid w:val="008943CC"/>
    <w:rsid w:val="008B600E"/>
    <w:rsid w:val="00942860"/>
    <w:rsid w:val="009770F1"/>
    <w:rsid w:val="00993832"/>
    <w:rsid w:val="009951C1"/>
    <w:rsid w:val="009964F4"/>
    <w:rsid w:val="009A3B12"/>
    <w:rsid w:val="009F0605"/>
    <w:rsid w:val="009F0FBD"/>
    <w:rsid w:val="009F43C9"/>
    <w:rsid w:val="00A1625F"/>
    <w:rsid w:val="00A174E9"/>
    <w:rsid w:val="00A20E9D"/>
    <w:rsid w:val="00A272B2"/>
    <w:rsid w:val="00A50553"/>
    <w:rsid w:val="00A56C8B"/>
    <w:rsid w:val="00A6461A"/>
    <w:rsid w:val="00A67130"/>
    <w:rsid w:val="00A9750A"/>
    <w:rsid w:val="00AB6156"/>
    <w:rsid w:val="00AC3348"/>
    <w:rsid w:val="00AC3821"/>
    <w:rsid w:val="00AC607C"/>
    <w:rsid w:val="00AD7DF9"/>
    <w:rsid w:val="00AE1A95"/>
    <w:rsid w:val="00AE7912"/>
    <w:rsid w:val="00AF27EF"/>
    <w:rsid w:val="00B05C36"/>
    <w:rsid w:val="00B203DA"/>
    <w:rsid w:val="00B518C9"/>
    <w:rsid w:val="00B52F62"/>
    <w:rsid w:val="00B56F4F"/>
    <w:rsid w:val="00B71CD1"/>
    <w:rsid w:val="00B92D7E"/>
    <w:rsid w:val="00BB7F42"/>
    <w:rsid w:val="00BC7002"/>
    <w:rsid w:val="00BD11E7"/>
    <w:rsid w:val="00BD2FFA"/>
    <w:rsid w:val="00BD4876"/>
    <w:rsid w:val="00BE355C"/>
    <w:rsid w:val="00BE54B3"/>
    <w:rsid w:val="00C008B4"/>
    <w:rsid w:val="00C14021"/>
    <w:rsid w:val="00C17ABD"/>
    <w:rsid w:val="00C2185C"/>
    <w:rsid w:val="00C26C67"/>
    <w:rsid w:val="00C504F7"/>
    <w:rsid w:val="00C67785"/>
    <w:rsid w:val="00C737A5"/>
    <w:rsid w:val="00C821A5"/>
    <w:rsid w:val="00C856F6"/>
    <w:rsid w:val="00C86ABE"/>
    <w:rsid w:val="00CD2BF4"/>
    <w:rsid w:val="00D04355"/>
    <w:rsid w:val="00D228C8"/>
    <w:rsid w:val="00D264E4"/>
    <w:rsid w:val="00D43613"/>
    <w:rsid w:val="00D5108B"/>
    <w:rsid w:val="00D519A4"/>
    <w:rsid w:val="00D7076A"/>
    <w:rsid w:val="00D81F5E"/>
    <w:rsid w:val="00D92269"/>
    <w:rsid w:val="00D934E2"/>
    <w:rsid w:val="00DC3FEF"/>
    <w:rsid w:val="00DD09A9"/>
    <w:rsid w:val="00DE176A"/>
    <w:rsid w:val="00DF2F81"/>
    <w:rsid w:val="00E00A6B"/>
    <w:rsid w:val="00E10A7E"/>
    <w:rsid w:val="00E11CA7"/>
    <w:rsid w:val="00E1573A"/>
    <w:rsid w:val="00E32C54"/>
    <w:rsid w:val="00E3441F"/>
    <w:rsid w:val="00E34939"/>
    <w:rsid w:val="00E449A3"/>
    <w:rsid w:val="00E47EFC"/>
    <w:rsid w:val="00E56A30"/>
    <w:rsid w:val="00E661EA"/>
    <w:rsid w:val="00E77899"/>
    <w:rsid w:val="00E7797E"/>
    <w:rsid w:val="00E8520F"/>
    <w:rsid w:val="00EA5508"/>
    <w:rsid w:val="00ED082A"/>
    <w:rsid w:val="00EE332D"/>
    <w:rsid w:val="00EE3630"/>
    <w:rsid w:val="00F041F5"/>
    <w:rsid w:val="00F225C2"/>
    <w:rsid w:val="00F267B0"/>
    <w:rsid w:val="00F31B11"/>
    <w:rsid w:val="00F837B3"/>
    <w:rsid w:val="00F83C17"/>
    <w:rsid w:val="00F96D7F"/>
    <w:rsid w:val="00FC456F"/>
    <w:rsid w:val="00FD0E5C"/>
    <w:rsid w:val="00FD6EB7"/>
    <w:rsid w:val="00FE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table" w:customStyle="1" w:styleId="TableGrid1">
    <w:name w:val="Table Grid1"/>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174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916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E35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38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83D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11C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3B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D043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2547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63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AE7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1E19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349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F3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2C54"/>
    <w:pPr>
      <w:spacing w:after="100"/>
      <w:ind w:left="220"/>
    </w:pPr>
  </w:style>
  <w:style w:type="character" w:styleId="UnresolvedMention">
    <w:name w:val="Unresolved Mention"/>
    <w:basedOn w:val="DefaultParagraphFont"/>
    <w:uiPriority w:val="99"/>
    <w:semiHidden/>
    <w:unhideWhenUsed/>
    <w:rsid w:val="005275B5"/>
    <w:rPr>
      <w:color w:val="605E5C"/>
      <w:shd w:val="clear" w:color="auto" w:fill="E1DFDD"/>
    </w:r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sid w:val="001B7F40"/>
    <w:rPr>
      <w:rFonts w:ascii="Times New Roman" w:eastAsia="Times New Roman" w:hAnsi="Times New Roman" w:cs="Times New Roman"/>
    </w:rPr>
  </w:style>
  <w:style w:type="paragraph" w:styleId="NormalWeb">
    <w:name w:val="Normal (Web)"/>
    <w:basedOn w:val="Normal"/>
    <w:uiPriority w:val="99"/>
    <w:unhideWhenUsed/>
    <w:rsid w:val="00B05C36"/>
    <w:pPr>
      <w:spacing w:before="100" w:beforeAutospacing="1" w:after="100" w:afterAutospacing="1" w:line="240" w:lineRule="auto"/>
      <w:jc w:val="left"/>
    </w:pPr>
    <w:rPr>
      <w:sz w:val="24"/>
      <w:szCs w:val="24"/>
      <w:lang w:val="sl-SI" w:eastAsia="fr-BE"/>
    </w:rPr>
  </w:style>
  <w:style w:type="character" w:styleId="Strong">
    <w:name w:val="Strong"/>
    <w:basedOn w:val="DefaultParagraphFont"/>
    <w:uiPriority w:val="22"/>
    <w:qFormat/>
    <w:rsid w:val="00FE74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sl/our-work/opinions-information-reports/plenary-session-summaries" TargetMode="External"/><Relationship Id="rId18" Type="http://schemas.openxmlformats.org/officeDocument/2006/relationships/hyperlink" Target="mailto:Stefania.Lopedote@eesc.europa.eu" TargetMode="External"/><Relationship Id="rId26" Type="http://schemas.openxmlformats.org/officeDocument/2006/relationships/hyperlink" Target="mailto:Triin.AasmaaGomes@eesc.europa.eu" TargetMode="External"/><Relationship Id="rId39" Type="http://schemas.openxmlformats.org/officeDocument/2006/relationships/hyperlink" Target="mailto:Maja.Radman@eesc.europa.eu" TargetMode="External"/><Relationship Id="rId21" Type="http://schemas.openxmlformats.org/officeDocument/2006/relationships/hyperlink" Target="https://www.eesc.europa.eu/sl/our-work/opinions-information-reports/opinions/assessing-tax-reporting-obligations-eu" TargetMode="External"/><Relationship Id="rId34" Type="http://schemas.openxmlformats.org/officeDocument/2006/relationships/hyperlink" Target="https://www.eesc.europa.eu/en/our-work/opinions-information-reports/opinions/including-persons-disabilities-development-new-technologies-and-ai-possibilities-challenges-risks-and-opportunities" TargetMode="External"/><Relationship Id="rId42" Type="http://schemas.openxmlformats.org/officeDocument/2006/relationships/hyperlink" Target="https://www.eesc.europa.eu/sl/our-work/opinions-information-reports/opinions/first-omnibus-package-sustainability" TargetMode="External"/><Relationship Id="rId47" Type="http://schemas.openxmlformats.org/officeDocument/2006/relationships/hyperlink" Target="https://www.eesc.europa.eu/sl/our-work/opinions-information-reports/information-reports/situation-civil-society-organisations-asean-countries" TargetMode="External"/><Relationship Id="rId50" Type="http://schemas.openxmlformats.org/officeDocument/2006/relationships/hyperlink" Target="https://www.eesc.europa.eu/sl/initiatives/eu-youth-test-eesc" TargetMode="External"/><Relationship Id="rId55" Type="http://schemas.openxmlformats.org/officeDocument/2006/relationships/hyperlink" Target="mailto:Ioannis.Diamantopoulos@eesc.europa.eu" TargetMode="External"/><Relationship Id="rId63" Type="http://schemas.openxmlformats.org/officeDocument/2006/relationships/theme" Target="theme/theme1.xml"/><Relationship Id="rId7" Type="http://schemas.openxmlformats.org/officeDocument/2006/relationships/styles" Target="styles.xml"/><Relationship Id="rId16" Type="http://schemas.openxmlformats.org/officeDocument/2006/relationships/hyperlink" Target="https://www.eesc.europa.eu/sl/documents/resolution/eesc-contribution-2026-european-commission-work-programme" TargetMode="External"/><Relationship Id="rId29" Type="http://schemas.openxmlformats.org/officeDocument/2006/relationships/hyperlink" Target="https://www.eesc.europa.eu/sl/our-work/opinions-information-reports/opinions/future-eu-strategy-rights-persons-disabilities-post-2025" TargetMode="External"/><Relationship Id="rId11" Type="http://schemas.openxmlformats.org/officeDocument/2006/relationships/endnotes" Target="endnotes.xml"/><Relationship Id="rId24" Type="http://schemas.openxmlformats.org/officeDocument/2006/relationships/hyperlink" Target="mailto:GeorgiosMeleas@eesc.europa.eu" TargetMode="External"/><Relationship Id="rId32" Type="http://schemas.openxmlformats.org/officeDocument/2006/relationships/hyperlink" Target="mailto:Valeria.Atzori@eesc.europa.eu" TargetMode="External"/><Relationship Id="rId37" Type="http://schemas.openxmlformats.org/officeDocument/2006/relationships/hyperlink" Target="mailto:GiorgiaAndrea.Bordignon@eesc.europa.eu" TargetMode="External"/><Relationship Id="rId40" Type="http://schemas.openxmlformats.org/officeDocument/2006/relationships/hyperlink" Target="https://www.eesc.europa.eu/en/our-work/opinions-information-reports/opinions/battery-due-diligence-policies" TargetMode="External"/><Relationship Id="rId45" Type="http://schemas.openxmlformats.org/officeDocument/2006/relationships/hyperlink" Target="mailto:Martine.Delanoy@eesc.europa.eu" TargetMode="External"/><Relationship Id="rId53" Type="http://schemas.openxmlformats.org/officeDocument/2006/relationships/hyperlink" Target="mailto:JacopoErnesto.Caja@eesc.europa.eu" TargetMode="External"/><Relationship Id="rId58" Type="http://schemas.openxmlformats.org/officeDocument/2006/relationships/footer" Target="footer2.xml"/><Relationship Id="rId66" Type="http://schemas.openxmlformats.org/officeDocument/2006/relationships/customXml" Target="../customXml/item3.xml"/><Relationship Id="rId61" Type="http://schemas.openxmlformats.org/officeDocument/2006/relationships/footer" Target="footer4.xml"/><Relationship Id="rId19" Type="http://schemas.openxmlformats.org/officeDocument/2006/relationships/hyperlink" Target="https://www.eesc.europa.eu/sl/our-work/opinions-information-reports/opinions/roadmap-womens-rights" TargetMode="Externa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https://www.eesc.europa.eu/sl/our-work/opinions-information-reports/opinions/new-action-plan-implementation-european-pillar-social-rights" TargetMode="External"/><Relationship Id="rId30" Type="http://schemas.openxmlformats.org/officeDocument/2006/relationships/hyperlink" Target="https://www.eesc.europa.eu/en/our-work/opinions-information-reports/opinions/including-persons-disabilities-development-new-technologies-and-ai-possibilities-challenges-risks-and-opportunities" TargetMode="External"/><Relationship Id="rId35" Type="http://schemas.openxmlformats.org/officeDocument/2006/relationships/hyperlink" Target="mailto:Bartek.Bednarowicz@eesc.europa.eu" TargetMode="External"/><Relationship Id="rId43" Type="http://schemas.openxmlformats.org/officeDocument/2006/relationships/hyperlink" Target="mailto:Silvia.Staffa@eesc.europa.eu" TargetMode="External"/><Relationship Id="rId48" Type="http://schemas.openxmlformats.org/officeDocument/2006/relationships/hyperlink" Target="mailto:Gunilla.Sandberg@eesc.europa.eu" TargetMode="External"/><Relationship Id="rId56" Type="http://schemas.openxmlformats.org/officeDocument/2006/relationships/header" Target="header1.xml"/><Relationship Id="rId64" Type="http://schemas.openxmlformats.org/officeDocument/2006/relationships/customXml" Target="../customXml/item1.xml"/><Relationship Id="rId8" Type="http://schemas.openxmlformats.org/officeDocument/2006/relationships/settings" Target="settings.xml"/><Relationship Id="rId51" Type="http://schemas.openxmlformats.org/officeDocument/2006/relationships/hyperlink" Target="mailto:Adam.Dorywalski@eesc.europa.eu" TargetMode="External"/><Relationship Id="rId12" Type="http://schemas.openxmlformats.org/officeDocument/2006/relationships/image" Target="media/image1.jpeg"/><Relationship Id="rId17" Type="http://schemas.openxmlformats.org/officeDocument/2006/relationships/hyperlink" Target="mailto:David.Scuderi@eesc.europa.eu" TargetMode="External"/><Relationship Id="rId25" Type="http://schemas.openxmlformats.org/officeDocument/2006/relationships/hyperlink" Target="https://www.eesc.europa.eu/sl/our-work/opinions-information-reports/opinions/enhancing-legal-and-organised-labour-migration-eu" TargetMode="External"/><Relationship Id="rId33" Type="http://schemas.openxmlformats.org/officeDocument/2006/relationships/hyperlink" Target="https://www.eesc.europa.eu/sl/our-work/opinions-information-reports/opinions/support-workers-affected-imminent-job-displacement-enterprises-undergoing-restructuring" TargetMode="External"/><Relationship Id="rId38" Type="http://schemas.openxmlformats.org/officeDocument/2006/relationships/hyperlink" Target="https://www.eesc.europa.eu/sl/our-work/opinions-information-reports/opinions/planning-sustainable-urban-mobility-eu" TargetMode="External"/><Relationship Id="rId46" Type="http://schemas.openxmlformats.org/officeDocument/2006/relationships/hyperlink" Target="mailto:Marco.Ristori@eesc.europa.eu" TargetMode="External"/><Relationship Id="rId59" Type="http://schemas.openxmlformats.org/officeDocument/2006/relationships/footer" Target="footer3.xml"/><Relationship Id="rId67" Type="http://schemas.openxmlformats.org/officeDocument/2006/relationships/customXml" Target="../customXml/item4.xml"/><Relationship Id="rId20" Type="http://schemas.openxmlformats.org/officeDocument/2006/relationships/hyperlink" Target="mailto:Gabriela.Grasu@eesc.europa.eu" TargetMode="External"/><Relationship Id="rId41" Type="http://schemas.openxmlformats.org/officeDocument/2006/relationships/hyperlink" Target="mailto:Alice.Tetu@eesc.europa.eu" TargetMode="External"/><Relationship Id="rId54" Type="http://schemas.openxmlformats.org/officeDocument/2006/relationships/hyperlink" Target="https://www.eesc.europa.eu/sl/our-work/opinions-information-reports/opinions/european-action-plan-cybersecurity-hospitals-and-healthcare-providers" TargetMode="External"/><Relationship Id="rId62" Type="http://schemas.openxmlformats.org/officeDocument/2006/relationships/fontTable" Target="fontTable.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esc.europa.eu/sl/our-work/opinions-information-reports/opinions/additional-assistance-outermost-regions" TargetMode="External"/><Relationship Id="rId28" Type="http://schemas.openxmlformats.org/officeDocument/2006/relationships/hyperlink" Target="mailto:Bartek.Bednarowicz@eesc.europa.eu" TargetMode="External"/><Relationship Id="rId36" Type="http://schemas.openxmlformats.org/officeDocument/2006/relationships/hyperlink" Target="http://www.eesc.europa.eu/sl/our-work/opinions-information-reports/opinions/towards-balanced-european-energy-system" TargetMode="External"/><Relationship Id="rId49" Type="http://schemas.openxmlformats.org/officeDocument/2006/relationships/hyperlink" Target="https://www.eesc.europa.eu/sl/our-work/opinions-information-reports/opinions/reindustrialisation-europe-opportunity-businesses-employees-and-citizens-context-cost-living-crisis" TargetMode="External"/><Relationship Id="rId57"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hyperlink" Target="mailto:Valeria.Atzori@eesc.europa.eu" TargetMode="External"/><Relationship Id="rId44" Type="http://schemas.openxmlformats.org/officeDocument/2006/relationships/hyperlink" Target="https://www.eesc.europa.eu/sl/our-work/opinions-information-reports/opinions/regenerative-agriculture-target-towards-enhancing-sustainable-food-production-supporting-climate-and-biodiversity" TargetMode="External"/><Relationship Id="rId52" Type="http://schemas.openxmlformats.org/officeDocument/2006/relationships/hyperlink" Target="https://www.eesc.europa.eu/sl/our-work/opinions-information-reports/opinions/critical-medicines-act/related-links-ccmi-240" TargetMode="External"/><Relationship Id="rId60" Type="http://schemas.openxmlformats.org/officeDocument/2006/relationships/header" Target="header3.xml"/><Relationship Id="rId65" Type="http://schemas.openxmlformats.org/officeDocument/2006/relationships/customXml" Target="../customXml/item2.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A6WAAD5KZT2Q-293470456-8647</_dlc_DocId>
    <_dlc_DocIdUrl xmlns="1a33af13-4045-4f88-9d7b-618e30f79918">
      <Url>http://dm/eesc/2025/_layouts/15/DocIdRedir.aspx?ID=A6WAAD5KZT2Q-293470456-8647</Url>
      <Description>A6WAAD5KZT2Q-293470456-8647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2025-07-02T12:00:00+00:00</ProductionDate>
    <DocumentNumber xmlns="aa382cf6-584e-4bd2-bd73-0bac1a20efcb">1645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2025-07-16T12:00:00+00:00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6540</FicheNumber>
    <OriginalSender xmlns="1a33af13-4045-4f88-9d7b-618e30f79918">
      <UserInfo>
        <DisplayName>Logar Tina</DisplayName>
        <AccountId>1558</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598</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984B8C09-2A59-488A-83D3-D53EA050464B}"/>
</file>

<file path=customXml/itemProps2.xml><?xml version="1.0" encoding="utf-8"?>
<ds:datastoreItem xmlns:ds="http://schemas.openxmlformats.org/officeDocument/2006/customXml" ds:itemID="{01D22AAC-4F48-442E-ABB4-30A99E392050}"/>
</file>

<file path=customXml/itemProps3.xml><?xml version="1.0" encoding="utf-8"?>
<ds:datastoreItem xmlns:ds="http://schemas.openxmlformats.org/officeDocument/2006/customXml" ds:itemID="{248CAE4B-42F6-4826-9224-5467A0139D00}"/>
</file>

<file path=customXml/itemProps4.xml><?xml version="1.0" encoding="utf-8"?>
<ds:datastoreItem xmlns:ds="http://schemas.openxmlformats.org/officeDocument/2006/customXml" ds:itemID="{8974F2B9-4D25-4740-8E5F-D64EB9D483F0}"/>
</file>

<file path=docProps/app.xml><?xml version="1.0" encoding="utf-8"?>
<Properties xmlns="http://schemas.openxmlformats.org/officeDocument/2006/extended-properties" xmlns:vt="http://schemas.openxmlformats.org/officeDocument/2006/docPropsVTypes">
  <Template>Normal.dotm</Template>
  <TotalTime>0</TotalTime>
  <Pages>23</Pages>
  <Words>7251</Words>
  <Characters>41334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48489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Povzetek sprejetih mnenj na 597. plenarnem zasedanju junija 2025</dc:title>
  <dc:subject>TCD</dc:subject>
  <dc:creator>Nieddu Emma</dc:creator>
  <cp:keywords>EESC-2025-01645-00-00-TCD-TRA-EN</cp:keywords>
  <dc:description>Rapporteur:  - Original language: EN - Date of document: 02/07/2025 - Date of meeting: 30/16/2025 14:30 - External documents:  - Administrator: MME TAMASAUSKIENE Julija</dc:description>
  <cp:lastModifiedBy>Logar Tina</cp:lastModifiedBy>
  <cp:revision>48</cp:revision>
  <dcterms:created xsi:type="dcterms:W3CDTF">2025-06-26T10:36:00Z</dcterms:created>
  <dcterms:modified xsi:type="dcterms:W3CDTF">2025-07-02T10:29:00Z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24/06/2025, 02/05/2022, 02/05/2022, 28/06/2021</vt:lpwstr>
  </property>
  <property fmtid="{D5CDD505-2E9C-101B-9397-08002B2CF9AE}" pid="4" name="Pref_Time">
    <vt:lpwstr>16:06:11, 12:28:29, 12:25:37, 08:41:48</vt:lpwstr>
  </property>
  <property fmtid="{D5CDD505-2E9C-101B-9397-08002B2CF9AE}" pid="5" name="Pref_User">
    <vt:lpwstr>pacup, enied, enied, enied</vt:lpwstr>
  </property>
  <property fmtid="{D5CDD505-2E9C-101B-9397-08002B2CF9AE}" pid="6" name="Pref_FileName">
    <vt:lpwstr>EESC-2025-01645-00-00-TCD-ORI.docx, Summary of opinions.docx, COR-EESC-2022-02370-00-00-ADMIN-ORI.docx, Synthese des avis Template.docx</vt:lpwstr>
  </property>
  <property fmtid="{D5CDD505-2E9C-101B-9397-08002B2CF9AE}" pid="7" name="ContentTypeId">
    <vt:lpwstr>0x010100EA97B91038054C99906057A708A1480A00FD26272E6D350E4BA98D090F484731A0</vt:lpwstr>
  </property>
  <property fmtid="{D5CDD505-2E9C-101B-9397-08002B2CF9AE}" pid="8" name="_dlc_DocIdItemGuid">
    <vt:lpwstr>e5a177f4-0eb1-45ae-aa4f-8bbefcb8e0ff</vt:lpwstr>
  </property>
  <property fmtid="{D5CDD505-2E9C-101B-9397-08002B2CF9AE}" pid="9" name="AvailableTranslations">
    <vt:lpwstr>40;#DA|5d49c027-8956-412b-aa16-e85a0f96ad0e;#16;#ES|e7a6b05b-ae16-40c8-add9-68b64b03aeba;#41;#ET|ff6c3f4c-b02c-4c3c-ab07-2c37995a7a0a;#33;#PT|50ccc04a-eadd-42ae-a0cb-acaf45f812ba;#29;#CS|72f9705b-0217-4fd3-bea2-cbc7ed80e26e;#28;#SV|c2ed69e7-a339-43d7-8f22-d93680a92aa0;#42;#EL|6d4f4d51-af9b-4650-94b4-4276bee85c91;#5;#EN|f2175f21-25d7-44a3-96da-d6a61b075e1b;#35;#FI|87606a43-d45f-42d6-b8c9-e1a3457db5b7;#24;#PL|1e03da61-4678-4e07-b136-b5024ca9197b;#46;#SK|46d9fce0-ef79-4f71-b89b-cd6aa82426b8;#36;#RO|feb747a2-64cd-4299-af12-4833ddc30497;#23;#DE|f6b31e5a-26fa-4935-b661-318e46daf27e;#27;#NL|55c6556c-b4f4-441d-9acf-c498d4f838bd;#31;#SL|98a412ae-eb01-49e9-ae3d-585a81724cfc;#12;#FR|d2afafd3-4c81-4f60-8f52-ee33f2f54ff3;#47;#BG|1a1b3951-7821-4e6a-85f5-5673fc08bd2c;#37;#HU|6b229040-c589-4408-b4c1-4285663d20a8;#50;#HR|2f555653-ed1a-4fe6-8362-9082d95989e5;#34;#IT|0774613c-01ed-4e5d-a25d-11d2388de825;#39;#LV|46f7e311-5d9f-4663-b433-18aeccb7ace7;#30;#LT|a7ff5ce7-6123-4f68-865a-a57c31810414</vt:lpwstr>
  </property>
  <property fmtid="{D5CDD505-2E9C-101B-9397-08002B2CF9AE}" pid="10" name="DocumentType_0">
    <vt:lpwstr>TCD|cd9d6eb6-3f4f-424a-b2d1-57c9d450eaaf</vt:lpwstr>
  </property>
  <property fmtid="{D5CDD505-2E9C-101B-9397-08002B2CF9AE}" pid="11" name="MeetingNumber">
    <vt:i4>598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1645</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2025-07-16T12:00:00Z</vt:filetime>
  </property>
  <property fmtid="{D5CDD505-2E9C-101B-9397-08002B2CF9AE}" pid="29" name="AvailableTranslations_0">
    <vt:lpwstr>DA|5d49c027-8956-412b-aa16-e85a0f96ad0e;ES|e7a6b05b-ae16-40c8-add9-68b64b03aeba;CS|72f9705b-0217-4fd3-bea2-cbc7ed80e26e;EN|f2175f21-25d7-44a3-96da-d6a61b075e1b;PL|1e03da61-4678-4e07-b136-b5024ca9197b;SK|46d9fce0-ef79-4f71-b89b-cd6aa82426b8;RO|feb747a2-64cd-4299-af12-4833ddc30497;DE|f6b31e5a-26fa-4935-b661-318e46daf27e;NL|55c6556c-b4f4-441d-9acf-c498d4f838bd;BG|1a1b3951-7821-4e6a-85f5-5673fc08bd2c;HU|6b229040-c589-4408-b4c1-4285663d20a8;HR|2f555653-ed1a-4fe6-8362-9082d95989e5;LV|46f7e311-5d9f-4663-b433-18aeccb7ace7;LT|a7ff5ce7-6123-4f68-865a-a57c31810414</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RO|feb747a2-64cd-4299-af12-4833ddc30497;#50;#HR|2f555653-ed1a-4fe6-8362-9082d95989e5;#67;#SPL-CES|32d8cb1f-c9ec-4365-95c7-8385a18618ac;#29;#CS|72f9705b-0217-4fd3-bea2-cbc7ed80e26e;#27;#NL|55c6556c-b4f4-441d-9acf-c498d4f838bd;#24;#PL|1e03da61-4678-4e07-b136-b5024ca9197b;#23;#DE|f6b31e5a-26fa-4935-b661-318e46daf27e;#19;#TCD|cd9d6eb6-3f4f-424a-b2d1-57c9d450eaaf;#16;#ES|e7a6b05b-ae16-40c8-add9-68b64b03aeba;#15;#Unrestricted|826e22d7-d029-4ec0-a450-0c28ff673572;#13;#TRA|150d2a88-1431-44e6-a8ca-0bb753ab8672;#47;#BG|1a1b3951-7821-4e6a-85f5-5673fc08bd2c;#46;#SK|46d9fce0-ef79-4f71-b89b-cd6aa82426b8;#8;#Final|ea5e6674-7b27-4bac-b091-73adbb394efe;#30;#LT|a7ff5ce7-6123-4f68-865a-a57c31810414;#5;#EN|f2175f21-25d7-44a3-96da-d6a61b075e1b;#40;#DA|5d49c027-8956-412b-aa16-e85a0f96ad0e;#39;#LV|46f7e311-5d9f-4663-b433-18aeccb7ace7;#1;#EESC|422833ec-8d7e-4e65-8e4e-8bed07ffb729;#37;#HU|6b229040-c589-4408-b4c1-4285663d20a8</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6540</vt:i4>
  </property>
  <property fmtid="{D5CDD505-2E9C-101B-9397-08002B2CF9AE}" pid="37" name="DocumentLanguage">
    <vt:lpwstr>31;#SL|98a412ae-eb01-49e9-ae3d-585a81724cfc</vt:lpwstr>
  </property>
</Properties>
</file>