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D815C3" w14:paraId="4982DD4D" w14:textId="288E31E4">
      <w:pPr>
        <w:jc w:val="center"/>
      </w:pPr>
      <w:r>
        <w:rPr>
          <w:noProof/>
        </w:rPr>
        <w:drawing>
          <wp:inline distT="0" distB="0" distL="0" distR="0" wp14:anchorId="0DFB2C7B" wp14:editId="375DE7B1">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21CC154"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Bruxelles, 27 iunie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A 597-A SESIUNE PLENARĂ</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18 și 19 iunie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236D5A67">
            <w:pPr>
              <w:snapToGrid w:val="0"/>
              <w:jc w:val="center"/>
            </w:pPr>
            <w:r>
              <w:t xml:space="preserve">Prezentul document este disponibil în limbile oficiale ale Uniunii Europene </w:t>
            </w:r>
            <w:r w:rsidR="00224BA0">
              <w:br/>
            </w:r>
            <w:r>
              <w:t>pe site-ul internet al CESE, la adresa:</w:t>
            </w:r>
            <w:r w:rsidR="00224BA0">
              <w:t xml:space="preserve"> </w:t>
            </w:r>
            <w:r>
              <w:br/>
            </w:r>
            <w:r>
              <w:br/>
            </w:r>
            <w:hyperlink w:history="1" r:id="rId13">
              <w:r>
                <w:rPr>
                  <w:rStyle w:val="Hyperlink"/>
                </w:rPr>
                <w:t>https://www.eesc.europa.eu/ro/our-work/opinions-information-reports/plenary-session-summaries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Avizele menționate pot fi consultate online prin intermediul motorului de căutare al CESE:</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footerReference w:type="default" r:id="rId15"/>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Cuprins: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8E614B" w:rsidRDefault="004D7AC0" w14:paraId="320E1225" w14:textId="2EB48359">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281626">
            <w:r w:rsidRPr="006E3213" w:rsidR="008E614B">
              <w:rPr>
                <w:rStyle w:val="Hyperlink"/>
                <w:b/>
                <w:noProof/>
              </w:rPr>
              <w:t>1.</w:t>
            </w:r>
            <w:r w:rsidR="008E614B">
              <w:rPr>
                <w:rFonts w:asciiTheme="minorHAnsi" w:hAnsiTheme="minorHAnsi" w:eastAsiaTheme="minorEastAsia" w:cstheme="minorBidi"/>
                <w:noProof/>
                <w:lang w:val="en-US"/>
              </w:rPr>
              <w:tab/>
            </w:r>
            <w:r w:rsidRPr="006E3213" w:rsidR="008E614B">
              <w:rPr>
                <w:rStyle w:val="Hyperlink"/>
                <w:b/>
                <w:noProof/>
              </w:rPr>
              <w:t>REZOLUȚIE</w:t>
            </w:r>
            <w:r w:rsidR="008E614B">
              <w:rPr>
                <w:noProof/>
                <w:webHidden/>
              </w:rPr>
              <w:tab/>
            </w:r>
            <w:r w:rsidR="008E614B">
              <w:rPr>
                <w:noProof/>
                <w:webHidden/>
              </w:rPr>
              <w:fldChar w:fldCharType="begin"/>
            </w:r>
            <w:r w:rsidR="008E614B">
              <w:rPr>
                <w:noProof/>
                <w:webHidden/>
              </w:rPr>
              <w:instrText xml:space="preserve"> PAGEREF _Toc202281626 \h </w:instrText>
            </w:r>
            <w:r w:rsidR="008E614B">
              <w:rPr>
                <w:noProof/>
                <w:webHidden/>
              </w:rPr>
            </w:r>
            <w:r w:rsidR="008E614B">
              <w:rPr>
                <w:noProof/>
                <w:webHidden/>
              </w:rPr>
              <w:fldChar w:fldCharType="separate"/>
            </w:r>
            <w:r w:rsidR="008E614B">
              <w:rPr>
                <w:noProof/>
                <w:webHidden/>
              </w:rPr>
              <w:t>3</w:t>
            </w:r>
            <w:r w:rsidR="008E614B">
              <w:rPr>
                <w:noProof/>
                <w:webHidden/>
              </w:rPr>
              <w:fldChar w:fldCharType="end"/>
            </w:r>
          </w:hyperlink>
        </w:p>
        <w:p w:rsidR="008E614B" w:rsidP="008E614B" w:rsidRDefault="008E614B" w14:paraId="60DAD774" w14:textId="1900FB58">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2281627">
            <w:r w:rsidRPr="006E3213">
              <w:rPr>
                <w:rStyle w:val="Hyperlink"/>
                <w:b/>
                <w:noProof/>
              </w:rPr>
              <w:t>2.</w:t>
            </w:r>
            <w:r>
              <w:rPr>
                <w:rFonts w:asciiTheme="minorHAnsi" w:hAnsiTheme="minorHAnsi" w:eastAsiaTheme="minorEastAsia" w:cstheme="minorBidi"/>
                <w:noProof/>
                <w:lang w:val="en-US"/>
              </w:rPr>
              <w:tab/>
            </w:r>
            <w:r w:rsidRPr="006E3213">
              <w:rPr>
                <w:rStyle w:val="Hyperlink"/>
                <w:b/>
                <w:noProof/>
              </w:rPr>
              <w:t>SECȚIUNEA PENTRU UNIUNEA ECONOMICĂ ȘI MONETARĂ ȘI COEZIUNE ECONOMICĂ ȘI SOCIALĂ</w:t>
            </w:r>
            <w:r>
              <w:rPr>
                <w:noProof/>
                <w:webHidden/>
              </w:rPr>
              <w:tab/>
            </w:r>
            <w:r>
              <w:rPr>
                <w:noProof/>
                <w:webHidden/>
              </w:rPr>
              <w:fldChar w:fldCharType="begin"/>
            </w:r>
            <w:r>
              <w:rPr>
                <w:noProof/>
                <w:webHidden/>
              </w:rPr>
              <w:instrText xml:space="preserve"> PAGEREF _Toc202281627 \h </w:instrText>
            </w:r>
            <w:r>
              <w:rPr>
                <w:noProof/>
                <w:webHidden/>
              </w:rPr>
            </w:r>
            <w:r>
              <w:rPr>
                <w:noProof/>
                <w:webHidden/>
              </w:rPr>
              <w:fldChar w:fldCharType="separate"/>
            </w:r>
            <w:r>
              <w:rPr>
                <w:noProof/>
                <w:webHidden/>
              </w:rPr>
              <w:t>6</w:t>
            </w:r>
            <w:r>
              <w:rPr>
                <w:noProof/>
                <w:webHidden/>
              </w:rPr>
              <w:fldChar w:fldCharType="end"/>
            </w:r>
          </w:hyperlink>
        </w:p>
        <w:p w:rsidR="008E614B" w:rsidP="008E614B" w:rsidRDefault="008E614B" w14:paraId="468857F4" w14:textId="205218E3">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2281628">
            <w:r w:rsidRPr="006E3213">
              <w:rPr>
                <w:rStyle w:val="Hyperlink"/>
                <w:b/>
                <w:noProof/>
              </w:rPr>
              <w:t>3.</w:t>
            </w:r>
            <w:r>
              <w:rPr>
                <w:rFonts w:asciiTheme="minorHAnsi" w:hAnsiTheme="minorHAnsi" w:eastAsiaTheme="minorEastAsia" w:cstheme="minorBidi"/>
                <w:noProof/>
                <w:lang w:val="en-US"/>
              </w:rPr>
              <w:tab/>
            </w:r>
            <w:r w:rsidRPr="006E3213">
              <w:rPr>
                <w:rStyle w:val="Hyperlink"/>
                <w:b/>
                <w:noProof/>
              </w:rPr>
              <w:t>SECȚIUNEA PENTRU OCUPAREA FORȚEI DE MUNCĂ, AFACERI SOCIALE ȘI CETĂȚENIE</w:t>
            </w:r>
            <w:r>
              <w:rPr>
                <w:noProof/>
                <w:webHidden/>
              </w:rPr>
              <w:tab/>
            </w:r>
            <w:r>
              <w:rPr>
                <w:noProof/>
                <w:webHidden/>
              </w:rPr>
              <w:fldChar w:fldCharType="begin"/>
            </w:r>
            <w:r>
              <w:rPr>
                <w:noProof/>
                <w:webHidden/>
              </w:rPr>
              <w:instrText xml:space="preserve"> PAGEREF _Toc202281628 \h </w:instrText>
            </w:r>
            <w:r>
              <w:rPr>
                <w:noProof/>
                <w:webHidden/>
              </w:rPr>
            </w:r>
            <w:r>
              <w:rPr>
                <w:noProof/>
                <w:webHidden/>
              </w:rPr>
              <w:fldChar w:fldCharType="separate"/>
            </w:r>
            <w:r>
              <w:rPr>
                <w:noProof/>
                <w:webHidden/>
              </w:rPr>
              <w:t>9</w:t>
            </w:r>
            <w:r>
              <w:rPr>
                <w:noProof/>
                <w:webHidden/>
              </w:rPr>
              <w:fldChar w:fldCharType="end"/>
            </w:r>
          </w:hyperlink>
        </w:p>
        <w:p w:rsidR="008E614B" w:rsidP="008E614B" w:rsidRDefault="008E614B" w14:paraId="77A30B2C" w14:textId="01B58D49">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2281629">
            <w:r w:rsidRPr="006E3213">
              <w:rPr>
                <w:rStyle w:val="Hyperlink"/>
                <w:b/>
                <w:noProof/>
              </w:rPr>
              <w:t>4.</w:t>
            </w:r>
            <w:r>
              <w:rPr>
                <w:rFonts w:asciiTheme="minorHAnsi" w:hAnsiTheme="minorHAnsi" w:eastAsiaTheme="minorEastAsia" w:cstheme="minorBidi"/>
                <w:noProof/>
                <w:lang w:val="en-US"/>
              </w:rPr>
              <w:tab/>
            </w:r>
            <w:r w:rsidRPr="006E3213">
              <w:rPr>
                <w:rStyle w:val="Hyperlink"/>
                <w:b/>
                <w:noProof/>
              </w:rPr>
              <w:t>SECȚIUNEA PENTRU TRANSPORTURI, ENERGIE, INFRASTRUCTURĂ ȘI SOCIETATEA INFORMAȚIONALĂ</w:t>
            </w:r>
            <w:r>
              <w:rPr>
                <w:noProof/>
                <w:webHidden/>
              </w:rPr>
              <w:tab/>
            </w:r>
            <w:r>
              <w:rPr>
                <w:noProof/>
                <w:webHidden/>
              </w:rPr>
              <w:fldChar w:fldCharType="begin"/>
            </w:r>
            <w:r>
              <w:rPr>
                <w:noProof/>
                <w:webHidden/>
              </w:rPr>
              <w:instrText xml:space="preserve"> PAGEREF _Toc202281629 \h </w:instrText>
            </w:r>
            <w:r>
              <w:rPr>
                <w:noProof/>
                <w:webHidden/>
              </w:rPr>
            </w:r>
            <w:r>
              <w:rPr>
                <w:noProof/>
                <w:webHidden/>
              </w:rPr>
              <w:fldChar w:fldCharType="separate"/>
            </w:r>
            <w:r>
              <w:rPr>
                <w:noProof/>
                <w:webHidden/>
              </w:rPr>
              <w:t>15</w:t>
            </w:r>
            <w:r>
              <w:rPr>
                <w:noProof/>
                <w:webHidden/>
              </w:rPr>
              <w:fldChar w:fldCharType="end"/>
            </w:r>
          </w:hyperlink>
        </w:p>
        <w:p w:rsidR="008E614B" w:rsidRDefault="008E614B" w14:paraId="44F08787" w14:textId="313EFB11">
          <w:pPr>
            <w:pStyle w:val="TOC1"/>
            <w:tabs>
              <w:tab w:val="left" w:pos="440"/>
              <w:tab w:val="right" w:leader="dot" w:pos="9063"/>
            </w:tabs>
            <w:rPr>
              <w:rFonts w:asciiTheme="minorHAnsi" w:hAnsiTheme="minorHAnsi" w:eastAsiaTheme="minorEastAsia" w:cstheme="minorBidi"/>
              <w:noProof/>
              <w:lang w:val="en-US"/>
            </w:rPr>
          </w:pPr>
          <w:hyperlink w:history="1" w:anchor="_Toc202281630">
            <w:r w:rsidRPr="006E3213">
              <w:rPr>
                <w:rStyle w:val="Hyperlink"/>
                <w:b/>
                <w:noProof/>
              </w:rPr>
              <w:t>5.</w:t>
            </w:r>
            <w:r>
              <w:rPr>
                <w:rFonts w:asciiTheme="minorHAnsi" w:hAnsiTheme="minorHAnsi" w:eastAsiaTheme="minorEastAsia" w:cstheme="minorBidi"/>
                <w:noProof/>
                <w:lang w:val="en-US"/>
              </w:rPr>
              <w:tab/>
            </w:r>
            <w:r w:rsidRPr="006E3213">
              <w:rPr>
                <w:rStyle w:val="Hyperlink"/>
                <w:b/>
                <w:noProof/>
              </w:rPr>
              <w:t>SECȚIUNEA PENTRU PIAȚA UNICĂ, PRODUCȚIE ȘI CONSUM</w:t>
            </w:r>
            <w:r>
              <w:rPr>
                <w:noProof/>
                <w:webHidden/>
              </w:rPr>
              <w:tab/>
            </w:r>
            <w:r>
              <w:rPr>
                <w:noProof/>
                <w:webHidden/>
              </w:rPr>
              <w:fldChar w:fldCharType="begin"/>
            </w:r>
            <w:r>
              <w:rPr>
                <w:noProof/>
                <w:webHidden/>
              </w:rPr>
              <w:instrText xml:space="preserve"> PAGEREF _Toc202281630 \h </w:instrText>
            </w:r>
            <w:r>
              <w:rPr>
                <w:noProof/>
                <w:webHidden/>
              </w:rPr>
            </w:r>
            <w:r>
              <w:rPr>
                <w:noProof/>
                <w:webHidden/>
              </w:rPr>
              <w:fldChar w:fldCharType="separate"/>
            </w:r>
            <w:r>
              <w:rPr>
                <w:noProof/>
                <w:webHidden/>
              </w:rPr>
              <w:t>17</w:t>
            </w:r>
            <w:r>
              <w:rPr>
                <w:noProof/>
                <w:webHidden/>
              </w:rPr>
              <w:fldChar w:fldCharType="end"/>
            </w:r>
          </w:hyperlink>
        </w:p>
        <w:p w:rsidR="008E614B" w:rsidP="008E614B" w:rsidRDefault="008E614B" w14:paraId="5A8C1949" w14:textId="795FCAA3">
          <w:pPr>
            <w:pStyle w:val="TOC1"/>
            <w:tabs>
              <w:tab w:val="left" w:pos="440"/>
              <w:tab w:val="right" w:leader="dot" w:pos="9063"/>
            </w:tabs>
            <w:ind w:left="440" w:hanging="440"/>
            <w:rPr>
              <w:rFonts w:asciiTheme="minorHAnsi" w:hAnsiTheme="minorHAnsi" w:eastAsiaTheme="minorEastAsia" w:cstheme="minorBidi"/>
              <w:noProof/>
              <w:lang w:val="en-US"/>
            </w:rPr>
          </w:pPr>
          <w:hyperlink w:history="1" w:anchor="_Toc202281631">
            <w:r w:rsidRPr="006E3213">
              <w:rPr>
                <w:rStyle w:val="Hyperlink"/>
                <w:b/>
                <w:noProof/>
              </w:rPr>
              <w:t>6.</w:t>
            </w:r>
            <w:r>
              <w:rPr>
                <w:rFonts w:asciiTheme="minorHAnsi" w:hAnsiTheme="minorHAnsi" w:eastAsiaTheme="minorEastAsia" w:cstheme="minorBidi"/>
                <w:noProof/>
                <w:lang w:val="en-US"/>
              </w:rPr>
              <w:tab/>
            </w:r>
            <w:r w:rsidRPr="006E3213">
              <w:rPr>
                <w:rStyle w:val="Hyperlink"/>
                <w:b/>
                <w:noProof/>
              </w:rPr>
              <w:t>SECȚIUNEA PENTRU AGRICULTURĂ, DEZVOLTARE RURALĂ ȘI PROTECȚIA MEDIULUI</w:t>
            </w:r>
            <w:r>
              <w:rPr>
                <w:noProof/>
                <w:webHidden/>
              </w:rPr>
              <w:tab/>
            </w:r>
            <w:r>
              <w:rPr>
                <w:noProof/>
                <w:webHidden/>
              </w:rPr>
              <w:fldChar w:fldCharType="begin"/>
            </w:r>
            <w:r>
              <w:rPr>
                <w:noProof/>
                <w:webHidden/>
              </w:rPr>
              <w:instrText xml:space="preserve"> PAGEREF _Toc202281631 \h </w:instrText>
            </w:r>
            <w:r>
              <w:rPr>
                <w:noProof/>
                <w:webHidden/>
              </w:rPr>
            </w:r>
            <w:r>
              <w:rPr>
                <w:noProof/>
                <w:webHidden/>
              </w:rPr>
              <w:fldChar w:fldCharType="separate"/>
            </w:r>
            <w:r>
              <w:rPr>
                <w:noProof/>
                <w:webHidden/>
              </w:rPr>
              <w:t>19</w:t>
            </w:r>
            <w:r>
              <w:rPr>
                <w:noProof/>
                <w:webHidden/>
              </w:rPr>
              <w:fldChar w:fldCharType="end"/>
            </w:r>
          </w:hyperlink>
        </w:p>
        <w:p w:rsidR="008E614B" w:rsidRDefault="008E614B" w14:paraId="4BB2FE27" w14:textId="7D42FC6B">
          <w:pPr>
            <w:pStyle w:val="TOC1"/>
            <w:tabs>
              <w:tab w:val="left" w:pos="440"/>
              <w:tab w:val="right" w:leader="dot" w:pos="9063"/>
            </w:tabs>
            <w:rPr>
              <w:rFonts w:asciiTheme="minorHAnsi" w:hAnsiTheme="minorHAnsi" w:eastAsiaTheme="minorEastAsia" w:cstheme="minorBidi"/>
              <w:noProof/>
              <w:lang w:val="en-US"/>
            </w:rPr>
          </w:pPr>
          <w:hyperlink w:history="1" w:anchor="_Toc202281632">
            <w:r w:rsidRPr="006E3213">
              <w:rPr>
                <w:rStyle w:val="Hyperlink"/>
                <w:b/>
                <w:noProof/>
              </w:rPr>
              <w:t>7.</w:t>
            </w:r>
            <w:r>
              <w:rPr>
                <w:rFonts w:asciiTheme="minorHAnsi" w:hAnsiTheme="minorHAnsi" w:eastAsiaTheme="minorEastAsia" w:cstheme="minorBidi"/>
                <w:noProof/>
                <w:lang w:val="en-US"/>
              </w:rPr>
              <w:tab/>
            </w:r>
            <w:r w:rsidRPr="006E3213">
              <w:rPr>
                <w:rStyle w:val="Hyperlink"/>
                <w:b/>
                <w:noProof/>
              </w:rPr>
              <w:t>SECȚIUNEA PENTRU RELAȚII EXTERNE</w:t>
            </w:r>
            <w:r>
              <w:rPr>
                <w:noProof/>
                <w:webHidden/>
              </w:rPr>
              <w:tab/>
            </w:r>
            <w:r>
              <w:rPr>
                <w:noProof/>
                <w:webHidden/>
              </w:rPr>
              <w:fldChar w:fldCharType="begin"/>
            </w:r>
            <w:r>
              <w:rPr>
                <w:noProof/>
                <w:webHidden/>
              </w:rPr>
              <w:instrText xml:space="preserve"> PAGEREF _Toc202281632 \h </w:instrText>
            </w:r>
            <w:r>
              <w:rPr>
                <w:noProof/>
                <w:webHidden/>
              </w:rPr>
            </w:r>
            <w:r>
              <w:rPr>
                <w:noProof/>
                <w:webHidden/>
              </w:rPr>
              <w:fldChar w:fldCharType="separate"/>
            </w:r>
            <w:r>
              <w:rPr>
                <w:noProof/>
                <w:webHidden/>
              </w:rPr>
              <w:t>20</w:t>
            </w:r>
            <w:r>
              <w:rPr>
                <w:noProof/>
                <w:webHidden/>
              </w:rPr>
              <w:fldChar w:fldCharType="end"/>
            </w:r>
          </w:hyperlink>
        </w:p>
        <w:p w:rsidR="008E614B" w:rsidRDefault="008E614B" w14:paraId="2CCD08F1" w14:textId="28084571">
          <w:pPr>
            <w:pStyle w:val="TOC1"/>
            <w:tabs>
              <w:tab w:val="left" w:pos="440"/>
              <w:tab w:val="right" w:leader="dot" w:pos="9063"/>
            </w:tabs>
            <w:rPr>
              <w:rFonts w:asciiTheme="minorHAnsi" w:hAnsiTheme="minorHAnsi" w:eastAsiaTheme="minorEastAsia" w:cstheme="minorBidi"/>
              <w:noProof/>
              <w:lang w:val="en-US"/>
            </w:rPr>
          </w:pPr>
          <w:hyperlink w:history="1" w:anchor="_Toc202281633">
            <w:r w:rsidRPr="006E3213">
              <w:rPr>
                <w:rStyle w:val="Hyperlink"/>
                <w:b/>
                <w:noProof/>
              </w:rPr>
              <w:t>8.</w:t>
            </w:r>
            <w:r>
              <w:rPr>
                <w:rFonts w:asciiTheme="minorHAnsi" w:hAnsiTheme="minorHAnsi" w:eastAsiaTheme="minorEastAsia" w:cstheme="minorBidi"/>
                <w:noProof/>
                <w:lang w:val="en-US"/>
              </w:rPr>
              <w:tab/>
            </w:r>
            <w:r w:rsidRPr="006E3213">
              <w:rPr>
                <w:rStyle w:val="Hyperlink"/>
                <w:b/>
                <w:noProof/>
              </w:rPr>
              <w:t>COMISIA CONSULTATIVĂ PENTRU MUTAȚII INDUSTRIALE</w:t>
            </w:r>
            <w:r>
              <w:rPr>
                <w:noProof/>
                <w:webHidden/>
              </w:rPr>
              <w:tab/>
            </w:r>
            <w:r>
              <w:rPr>
                <w:noProof/>
                <w:webHidden/>
              </w:rPr>
              <w:fldChar w:fldCharType="begin"/>
            </w:r>
            <w:r>
              <w:rPr>
                <w:noProof/>
                <w:webHidden/>
              </w:rPr>
              <w:instrText xml:space="preserve"> PAGEREF _Toc202281633 \h </w:instrText>
            </w:r>
            <w:r>
              <w:rPr>
                <w:noProof/>
                <w:webHidden/>
              </w:rPr>
            </w:r>
            <w:r>
              <w:rPr>
                <w:noProof/>
                <w:webHidden/>
              </w:rPr>
              <w:fldChar w:fldCharType="separate"/>
            </w:r>
            <w:r>
              <w:rPr>
                <w:noProof/>
                <w:webHidden/>
              </w:rPr>
              <w:t>22</w:t>
            </w:r>
            <w:r>
              <w:rPr>
                <w:noProof/>
                <w:webHidden/>
              </w:rPr>
              <w:fldChar w:fldCharType="end"/>
            </w:r>
          </w:hyperlink>
        </w:p>
        <w:p w:rsidR="004D7AC0" w:rsidP="004D7AC0" w:rsidRDefault="004D7AC0" w14:paraId="4982DD6A" w14:textId="50DCD92C">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281626" w:id="0"/>
      <w:r>
        <w:rPr>
          <w:b/>
        </w:rPr>
        <w:lastRenderedPageBreak/>
        <w:t>REZOLUȚIE</w:t>
      </w:r>
      <w:bookmarkEnd w:id="0"/>
    </w:p>
    <w:p w:rsidR="006537CB" w:rsidP="006537CB" w:rsidRDefault="006537CB" w14:paraId="7567FD8E" w14:textId="77777777"/>
    <w:p w:rsidRPr="009F0605" w:rsidR="009F0605" w:rsidP="009F0605" w:rsidRDefault="005C5942"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16">
        <w:r w:rsidR="009F0605">
          <w:rPr>
            <w:b/>
            <w:i/>
            <w:color w:val="0000FF"/>
            <w:sz w:val="28"/>
            <w:u w:val="single"/>
          </w:rPr>
          <w:t>Rezoluție – Contribuția Comitetului Economic și Social European la programul de lucru al Comisiei Europene pentru 2026</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3"/>
        <w:gridCol w:w="7090"/>
      </w:tblGrid>
      <w:tr w:rsidRPr="00055407" w:rsidR="009F0605" w:rsidTr="001757A2" w14:paraId="0751E532" w14:textId="77777777">
        <w:tc>
          <w:tcPr>
            <w:tcW w:w="1093" w:type="pct"/>
          </w:tcPr>
          <w:p w:rsidRPr="009F0605" w:rsidR="009F0605" w:rsidP="009F0605" w:rsidRDefault="009F0605" w14:paraId="088CEC6A" w14:textId="11B5CEE2">
            <w:pPr>
              <w:tabs>
                <w:tab w:val="center" w:pos="284"/>
              </w:tabs>
              <w:overflowPunct w:val="0"/>
              <w:autoSpaceDE w:val="0"/>
              <w:autoSpaceDN w:val="0"/>
              <w:adjustRightInd w:val="0"/>
              <w:ind w:left="266" w:hanging="266"/>
              <w:textAlignment w:val="baseline"/>
              <w:rPr>
                <w:b/>
              </w:rPr>
            </w:pPr>
            <w:r>
              <w:rPr>
                <w:b/>
              </w:rPr>
              <w:t>Raportori</w:t>
            </w:r>
            <w:r w:rsidR="00224BA0">
              <w:rPr>
                <w:b/>
              </w:rPr>
              <w:t>:</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r>
              <w:t xml:space="preserve">Maria </w:t>
            </w:r>
            <w:proofErr w:type="spellStart"/>
            <w:r>
              <w:t>del</w:t>
            </w:r>
            <w:proofErr w:type="spellEnd"/>
            <w:r>
              <w:t xml:space="preserve"> Carmen </w:t>
            </w:r>
            <w:proofErr w:type="spellStart"/>
            <w:r>
              <w:t>Barrera</w:t>
            </w:r>
            <w:proofErr w:type="spellEnd"/>
            <w:r>
              <w:t xml:space="preserve"> </w:t>
            </w:r>
            <w:proofErr w:type="spellStart"/>
            <w:r>
              <w:t>Chamorro</w:t>
            </w:r>
            <w:proofErr w:type="spellEnd"/>
            <w:r>
              <w:t xml:space="preserve"> (Grupul „Lucrători”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w:t>
            </w:r>
            <w:proofErr w:type="spellStart"/>
            <w:r>
              <w:t>Schweng</w:t>
            </w:r>
            <w:proofErr w:type="spellEnd"/>
            <w:r>
              <w:t xml:space="preserve"> (Grupul „Angajatori”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proofErr w:type="spellStart"/>
            <w:r>
              <w:t>Krzysztof</w:t>
            </w:r>
            <w:proofErr w:type="spellEnd"/>
            <w:r>
              <w:t xml:space="preserve"> Stanislaw Balon (Grupul „Organizații ale societății civile” – PL)</w:t>
            </w:r>
          </w:p>
        </w:tc>
      </w:tr>
      <w:tr w:rsidRPr="009F0605" w:rsidR="009F0605" w:rsidTr="001757A2" w14:paraId="3FF4E036" w14:textId="77777777">
        <w:tc>
          <w:tcPr>
            <w:tcW w:w="1093" w:type="pct"/>
          </w:tcPr>
          <w:p w:rsidRPr="009F0605" w:rsidR="009F0605" w:rsidP="009F0605" w:rsidRDefault="00224BA0" w14:paraId="156525EE" w14:textId="06CE62DC">
            <w:pPr>
              <w:tabs>
                <w:tab w:val="center" w:pos="284"/>
              </w:tabs>
              <w:overflowPunct w:val="0"/>
              <w:autoSpaceDE w:val="0"/>
              <w:autoSpaceDN w:val="0"/>
              <w:adjustRightInd w:val="0"/>
              <w:ind w:left="266" w:hanging="266"/>
              <w:textAlignment w:val="baseline"/>
              <w:rPr>
                <w:b/>
              </w:rPr>
            </w:pPr>
            <w:r>
              <w:rPr>
                <w:b/>
              </w:rPr>
              <w:t>R</w:t>
            </w:r>
            <w:r w:rsidR="009F0605">
              <w:rPr>
                <w:b/>
              </w:rPr>
              <w:t>eferință</w:t>
            </w:r>
            <w:r>
              <w:rPr>
                <w:b/>
              </w:rPr>
              <w:t>:</w:t>
            </w:r>
          </w:p>
        </w:tc>
        <w:tc>
          <w:tcPr>
            <w:tcW w:w="3907" w:type="pct"/>
          </w:tcPr>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CESE formulează următoarele propuneri și solicitări:</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Prin această rezoluție, Comitetul Economic și Social European (CESE), ca voce instituțională a societății civile organizate din Europa, își prezintă contribuția la conturarea programului de lucru al Comisiei Europene pentru 2026. UE trebuie să plaseze democrația, drepturile omului, durabilitatea, egalitatea și justiția socială în centrul preocupărilor sale. Partenerii sociali, societatea civilă și sectorul voluntariatului sunt infrastructura critică pentru edificarea rezilienței societății, elemente care trebuie recunoscute, protejate și implicate semnificativ în analiza prospectivă, în pregătirea și redresarea tuturor situațiilor de criză.</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 xml:space="preserve">Pentru ca UE să-și mențină poziția de lider mondial într-o lume aflată în schimbare rapidă, ea trebuie să adopte o nouă abordare a competitivității, care să cuprindă politica industrială, obiectivele climatice și strategia geopolitică. Acest lucru presupune un accent puternic pe investiții, stimularea inovării și sprijinirea coeziunii sociale și luarea unor măsuri astfel încât creșterea economică să fie durabilă, socială, favorabilă incluziunii și </w:t>
      </w:r>
      <w:proofErr w:type="spellStart"/>
      <w:r>
        <w:t>rezilientă</w:t>
      </w:r>
      <w:proofErr w:type="spellEnd"/>
      <w:r>
        <w:t>. Competitivitatea și creșterea economică trebuie să meargă mână în mână cu incluziunea socială.</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 xml:space="preserve">O politică industrială </w:t>
      </w:r>
      <w:proofErr w:type="spellStart"/>
      <w:r>
        <w:t>rezilientă</w:t>
      </w:r>
      <w:proofErr w:type="spellEnd"/>
      <w:r>
        <w:t xml:space="preserve"> trebuie să acorde prioritate inovării, tranziției verzi și celei digitale și uniunii competențelor, promovând în același timp învățarea pe tot parcursul vieții și locuri de muncă de calitate. Economia socială și solidară trebuie sprijinită ca motor al echității și coeziunii. Întrucât pregătirea pentru apărare a devenit esențială în noul mediu de securitate, ea trebuie să devină o prioritate comună, rămânând totodată întemeiată pe drepturi, transparență și statul de drept.</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Investițiile în cercetare, dezvoltare, competențe și sectoare strategice trebuie să se afle în centrul acestei politici industriale pentru a asigura reziliența industrială și creșterea economică pe termen lung, precum și locuri de muncă de calitate. Concentrându-se pe tehnologii precum inteligența artificială centrată pe factorul uman și energia din surse regenerabile, UE poate menține un avantaj competitiv în industriile cu valoare ridicată.</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Punerea în aplicare a unei strategii de combatere a sărăciei care să vizeze eradicarea sărăciei extreme și abordarea sărăciei în materie de locuințe, energie și mobilitate. Strategia trebuie să recunoască în mod explicit și legătura dintre sărăcia persistentă și excluziunea democratică, astfel încât persoanele care s-au confruntat cu sărăcie să fie implicate în elaborarea politicilor și în participarea civică și nimănui să nu i se refuze accesul la resurse energetice esențiale.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t xml:space="preserve">Dezvoltarea în continuare a Strategiei privind egalitatea de gen după 2025, cu scopul de a aborda violența de gen, de a elimina disparitatea de gen pe piața forței de muncă, de a realiza o participare egală în diferite sectoare ale economiei, de a aborda disparitatea de gen în remunerare, pensiile și în </w:t>
      </w:r>
      <w:r>
        <w:lastRenderedPageBreak/>
        <w:t>responsabilitățile de îngrijire, de a realiza echilibrul de gen în procesul decizional și de elaborare a politicilor și de a evalua progresele înregistrate până în prezent.</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Consolidarea democrației la locul de muncă prin dialog social, negocieri colective și punerea deplină în aplicare a drepturilor de informare, consultare și reprezentare ale lucrătorilor. Instituțiile UE ar trebui să ofere sprijin relevant pentru dialog social și negocieri colective, la toate nivelurile, în vederea dezvoltării în continuare a capacităților partenerilor sociali și pentru a lua măsuri de punere în aplicare relevante, inclusiv măsuri financiare, pentru a spori acoperirea negocierilor colective, în special în țările și regiunile în care potențialul său rămâne neexploatat.</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Procesul de extindere ar trebui să continue în direcția păcii, prosperității și democrației, creând în același timp stabilitate pe termen lung pe continentul nostru, cu implicarea actorilor sociali și civili. Acest lucru ar trebui să implice în mod clar Ucraina, a cărei reziliență democratică în timpul agresiunii ilustrează apărarea valorilor europene, alături de Moldova și Balcanii de Vest.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Crearea unui Fond european pentru investiții strategice, axat pe finanțarea proiectelor prioritare europene. În plus, cadrul financiar multianual (CFM) 2028-2034 ar trebui să sporească semnificativ resursele alocate priorităților de investiții, cu o condiționalitate socială puternică.</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9F0605" w:rsidR="009F0605" w:rsidTr="001757A2" w14:paraId="167C203E" w14:textId="77777777">
        <w:tc>
          <w:tcPr>
            <w:tcW w:w="1556" w:type="pct"/>
          </w:tcPr>
          <w:p w:rsidRPr="009F0605" w:rsidR="009F0605" w:rsidP="009F0605" w:rsidRDefault="009F0605" w14:paraId="1E635307" w14:textId="385524B8">
            <w:pPr>
              <w:overflowPunct w:val="0"/>
              <w:autoSpaceDE w:val="0"/>
              <w:autoSpaceDN w:val="0"/>
              <w:adjustRightInd w:val="0"/>
              <w:textAlignment w:val="baseline"/>
              <w:rPr>
                <w:i/>
              </w:rPr>
            </w:pPr>
            <w:r>
              <w:rPr>
                <w:b/>
                <w:i/>
              </w:rPr>
              <w:t>Date de contact</w:t>
            </w:r>
            <w:r w:rsidR="00224BA0">
              <w:rPr>
                <w:b/>
                <w:i/>
              </w:rPr>
              <w:t>:</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356E6A48">
            <w:pPr>
              <w:overflowPunct w:val="0"/>
              <w:autoSpaceDE w:val="0"/>
              <w:autoSpaceDN w:val="0"/>
              <w:adjustRightInd w:val="0"/>
              <w:textAlignment w:val="baseline"/>
              <w:rPr>
                <w:i/>
              </w:rPr>
            </w:pPr>
            <w:r>
              <w:rPr>
                <w:i/>
              </w:rPr>
              <w:t>Tel.</w:t>
            </w:r>
            <w:r w:rsidR="00224BA0">
              <w:rPr>
                <w:i/>
              </w:rPr>
              <w:t>:</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FEC1BF7">
            <w:pPr>
              <w:overflowPunct w:val="0"/>
              <w:autoSpaceDE w:val="0"/>
              <w:autoSpaceDN w:val="0"/>
              <w:adjustRightInd w:val="0"/>
              <w:textAlignment w:val="baseline"/>
              <w:rPr>
                <w:i/>
              </w:rPr>
            </w:pPr>
            <w:r>
              <w:rPr>
                <w:i/>
              </w:rPr>
              <w:t>E</w:t>
            </w:r>
            <w:r w:rsidR="00224BA0">
              <w:rPr>
                <w:i/>
              </w:rPr>
              <w:t>-</w:t>
            </w:r>
            <w:r>
              <w:rPr>
                <w:i/>
              </w:rPr>
              <w:t>mail</w:t>
            </w:r>
            <w:r w:rsidR="00224BA0">
              <w:rPr>
                <w:i/>
              </w:rPr>
              <w:t>:</w:t>
            </w:r>
          </w:p>
        </w:tc>
        <w:tc>
          <w:tcPr>
            <w:tcW w:w="3444" w:type="pct"/>
          </w:tcPr>
          <w:p w:rsidR="009F0605" w:rsidP="001B7DAA" w:rsidRDefault="005C5942" w14:paraId="32945AFA" w14:textId="614E00FA">
            <w:pPr>
              <w:overflowPunct w:val="0"/>
              <w:autoSpaceDE w:val="0"/>
              <w:autoSpaceDN w:val="0"/>
              <w:adjustRightInd w:val="0"/>
              <w:textAlignment w:val="baseline"/>
              <w:rPr>
                <w:i/>
              </w:rPr>
            </w:pPr>
            <w:hyperlink w:history="1" r:id="rId17">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4CD63B50">
            <w:pPr>
              <w:overflowPunct w:val="0"/>
              <w:autoSpaceDE w:val="0"/>
              <w:autoSpaceDN w:val="0"/>
              <w:adjustRightInd w:val="0"/>
              <w:textAlignment w:val="baseline"/>
              <w:rPr>
                <w:i/>
              </w:rPr>
            </w:pPr>
            <w:r>
              <w:rPr>
                <w:b/>
                <w:i/>
              </w:rPr>
              <w:t>Date de contact</w:t>
            </w:r>
            <w:r w:rsidR="00224BA0">
              <w:rPr>
                <w:b/>
                <w:i/>
              </w:rPr>
              <w:t>:</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proofErr w:type="spellStart"/>
            <w:r>
              <w:rPr>
                <w:i/>
              </w:rPr>
              <w:t>Stefania</w:t>
            </w:r>
            <w:proofErr w:type="spellEnd"/>
            <w:r>
              <w:rPr>
                <w:i/>
              </w:rPr>
              <w:t xml:space="preserve">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51AE55DC">
            <w:pPr>
              <w:overflowPunct w:val="0"/>
              <w:autoSpaceDE w:val="0"/>
              <w:autoSpaceDN w:val="0"/>
              <w:adjustRightInd w:val="0"/>
              <w:textAlignment w:val="baseline"/>
              <w:rPr>
                <w:i/>
              </w:rPr>
            </w:pPr>
            <w:r>
              <w:rPr>
                <w:i/>
              </w:rPr>
              <w:t>Tel.</w:t>
            </w:r>
            <w:r w:rsidR="00224BA0">
              <w:rPr>
                <w:i/>
              </w:rPr>
              <w:t>:</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0C3414F6">
            <w:pPr>
              <w:overflowPunct w:val="0"/>
              <w:autoSpaceDE w:val="0"/>
              <w:autoSpaceDN w:val="0"/>
              <w:adjustRightInd w:val="0"/>
              <w:textAlignment w:val="baseline"/>
              <w:rPr>
                <w:i/>
              </w:rPr>
            </w:pPr>
            <w:r>
              <w:rPr>
                <w:i/>
              </w:rPr>
              <w:t>E</w:t>
            </w:r>
            <w:r w:rsidR="00224BA0">
              <w:rPr>
                <w:i/>
              </w:rPr>
              <w:t>-</w:t>
            </w:r>
            <w:r>
              <w:rPr>
                <w:i/>
              </w:rPr>
              <w:t>mail</w:t>
            </w:r>
            <w:r w:rsidR="00224BA0">
              <w:rPr>
                <w:i/>
              </w:rPr>
              <w:t>:</w:t>
            </w:r>
          </w:p>
        </w:tc>
        <w:tc>
          <w:tcPr>
            <w:tcW w:w="3444" w:type="pct"/>
          </w:tcPr>
          <w:p w:rsidRPr="009F0605" w:rsidR="009F0605" w:rsidP="009F0605" w:rsidRDefault="005C5942" w14:paraId="13CF8611" w14:textId="49EE82E2">
            <w:pPr>
              <w:overflowPunct w:val="0"/>
              <w:autoSpaceDE w:val="0"/>
              <w:autoSpaceDN w:val="0"/>
              <w:adjustRightInd w:val="0"/>
              <w:textAlignment w:val="baseline"/>
              <w:rPr>
                <w:i/>
              </w:rPr>
            </w:pPr>
            <w:hyperlink w:history="1" r:id="rId18">
              <w:r w:rsidR="005275B5">
                <w:rPr>
                  <w:rStyle w:val="Hyperlink"/>
                  <w:i/>
                </w:rPr>
                <w:t>Stefania.Lopedote@eesc.europa.eu</w:t>
              </w:r>
            </w:hyperlink>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5C5942"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19">
        <w:r w:rsidR="00E32C54">
          <w:rPr>
            <w:b/>
            <w:i/>
            <w:color w:val="0000FF"/>
            <w:sz w:val="28"/>
            <w:u w:val="single"/>
          </w:rPr>
          <w:t>Foaie de parcurs privind drepturile femeilor – Sprijinirea Declarației de principii pentru o societate echitabilă din punctul de vedere al genului</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11CA7" w:rsidR="00E32C54" w:rsidTr="00A94024" w14:paraId="5FCE0CAA" w14:textId="77777777">
        <w:tc>
          <w:tcPr>
            <w:tcW w:w="1701" w:type="dxa"/>
          </w:tcPr>
          <w:p w:rsidRPr="00E11CA7" w:rsidR="00E32C54" w:rsidP="00A94024" w:rsidRDefault="00E32C54" w14:paraId="1669A2A0" w14:textId="4B99FCBB">
            <w:pPr>
              <w:tabs>
                <w:tab w:val="center" w:pos="284"/>
              </w:tabs>
              <w:overflowPunct w:val="0"/>
              <w:autoSpaceDE w:val="0"/>
              <w:autoSpaceDN w:val="0"/>
              <w:adjustRightInd w:val="0"/>
              <w:ind w:left="266" w:hanging="266"/>
              <w:textAlignment w:val="baseline"/>
              <w:rPr>
                <w:b/>
              </w:rPr>
            </w:pPr>
            <w:r>
              <w:rPr>
                <w:b/>
                <w:bCs/>
              </w:rPr>
              <w:t>Raportor</w:t>
            </w:r>
            <w:r w:rsidR="00742F11">
              <w:rPr>
                <w:b/>
                <w:bCs/>
              </w:rPr>
              <w:t>:</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r>
              <w:t>Sif HOLST (Grupul „Organizații ale societății civile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742F11" w14:paraId="1CCBDA28" w14:textId="188F026D">
            <w:pPr>
              <w:tabs>
                <w:tab w:val="center" w:pos="284"/>
              </w:tabs>
              <w:overflowPunct w:val="0"/>
              <w:autoSpaceDE w:val="0"/>
              <w:autoSpaceDN w:val="0"/>
              <w:adjustRightInd w:val="0"/>
              <w:ind w:left="266" w:hanging="266"/>
              <w:textAlignment w:val="baseline"/>
              <w:rPr>
                <w:b/>
              </w:rPr>
            </w:pPr>
            <w:r>
              <w:rPr>
                <w:b/>
              </w:rPr>
              <w:t>Referință:</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COM (2025) 97 final</w:t>
            </w:r>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Punctele principale</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CESE:</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își reafirmă angajamentul ferm față de </w:t>
      </w:r>
      <w:r>
        <w:rPr>
          <w:b/>
          <w:bCs/>
        </w:rPr>
        <w:t>egalitatea de gen și drepturile femeilor ca piloni fundamentali ai democrației, justiției sociale și creșterii favorabile incluziunii</w:t>
      </w:r>
      <w:r>
        <w:t xml:space="preserve"> și sprijină ferm toți actorii care depun eforturi pentru a </w:t>
      </w:r>
      <w:r>
        <w:rPr>
          <w:b/>
          <w:bCs/>
        </w:rPr>
        <w:t>promova egalitatea pentru toate femeile și fetele, în toată diversitatea lor</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sprijină Declarația de principii pentru o societate a egalității de gen, care se aliniază îndeaproape la valorile și prioritățile exprimate în mod repetat în avizele CESE;</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recunoaște că punerea în aplicare a acestor principii necesită acțiuni coordonate și susținute și se angajează:</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să promoveze egalitatea de gen prin dialog social și civil structurat și participare incluzivă la toate nivelurile;</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să consolideze rolul tinerilor, al organizațiilor societății civile și al partenerilor sociali în elaborarea, monitorizarea și punerea în aplicare a politicilor în materie de egalitate;</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 xml:space="preserve">să sprijine abordările </w:t>
      </w:r>
      <w:proofErr w:type="spellStart"/>
      <w:r>
        <w:t>intersecționale</w:t>
      </w:r>
      <w:proofErr w:type="spellEnd"/>
      <w:r>
        <w:t xml:space="preserve"> care abordează realitățile femeilor care se confruntă cu forme multiple și suprapuse de discriminare;</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să încurajeze politicile care garantează sănătatea sexuală și reproductivă și drepturile aferente, accesul echitabil la îngrijire și spații democratice sigure și favorabile incluziunii;</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să promoveze integrarea perspectivei de gen, integrarea dimensiunii de gen în buget și colectarea și utilizarea sistematică a datelor defalcate pe sexe și </w:t>
      </w:r>
      <w:proofErr w:type="spellStart"/>
      <w:r>
        <w:t>intersecționale</w:t>
      </w:r>
      <w:proofErr w:type="spellEnd"/>
      <w:r>
        <w:t>.</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este pregătit </w:t>
      </w:r>
      <w:r>
        <w:rPr>
          <w:b/>
          <w:bCs/>
        </w:rPr>
        <w:t>să contribuie activ la realizarea acestei foi de parcurs</w:t>
      </w:r>
      <w:r>
        <w:t xml:space="preserve"> și să colaboreze cu instituțiile europene și cu statele membre pentru a transforma aceste principii în practică.</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E11CA7" w:rsidR="00E32C54" w:rsidTr="00742F11" w14:paraId="139B1DD5" w14:textId="77777777">
        <w:tc>
          <w:tcPr>
            <w:tcW w:w="1560" w:type="dxa"/>
          </w:tcPr>
          <w:p w:rsidRPr="00E11CA7" w:rsidR="00E32C54" w:rsidP="00A94024" w:rsidRDefault="00E32C54" w14:paraId="0397B25F" w14:textId="5BEE9170">
            <w:pPr>
              <w:overflowPunct w:val="0"/>
              <w:autoSpaceDE w:val="0"/>
              <w:autoSpaceDN w:val="0"/>
              <w:adjustRightInd w:val="0"/>
              <w:spacing w:line="240" w:lineRule="auto"/>
              <w:textAlignment w:val="baseline"/>
              <w:rPr>
                <w:i/>
              </w:rPr>
            </w:pPr>
            <w:r>
              <w:rPr>
                <w:b/>
                <w:i/>
              </w:rPr>
              <w:t>Date de contact</w:t>
            </w:r>
            <w:r w:rsidR="00742F11">
              <w:rPr>
                <w:b/>
                <w:i/>
              </w:rPr>
              <w:t>:</w:t>
            </w:r>
          </w:p>
        </w:tc>
        <w:tc>
          <w:tcPr>
            <w:tcW w:w="5528"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 xml:space="preserve">Gabriela </w:t>
            </w:r>
            <w:proofErr w:type="spellStart"/>
            <w:r>
              <w:rPr>
                <w:i/>
              </w:rPr>
              <w:t>Grasu</w:t>
            </w:r>
            <w:proofErr w:type="spellEnd"/>
          </w:p>
        </w:tc>
      </w:tr>
      <w:tr w:rsidRPr="00E11CA7" w:rsidR="00E32C54" w:rsidTr="00742F11" w14:paraId="338937A5" w14:textId="77777777">
        <w:tc>
          <w:tcPr>
            <w:tcW w:w="1560" w:type="dxa"/>
          </w:tcPr>
          <w:p w:rsidRPr="00E11CA7" w:rsidR="00E32C54" w:rsidP="00A94024" w:rsidRDefault="00E32C54" w14:paraId="40D437BD" w14:textId="6A4E640E">
            <w:pPr>
              <w:overflowPunct w:val="0"/>
              <w:autoSpaceDE w:val="0"/>
              <w:autoSpaceDN w:val="0"/>
              <w:adjustRightInd w:val="0"/>
              <w:spacing w:line="240" w:lineRule="auto"/>
              <w:textAlignment w:val="baseline"/>
              <w:rPr>
                <w:i/>
              </w:rPr>
            </w:pPr>
            <w:r>
              <w:rPr>
                <w:i/>
              </w:rPr>
              <w:t>Tel.</w:t>
            </w:r>
            <w:r w:rsidR="00742F11">
              <w:rPr>
                <w:i/>
              </w:rPr>
              <w:t>:</w:t>
            </w:r>
          </w:p>
        </w:tc>
        <w:tc>
          <w:tcPr>
            <w:tcW w:w="5528"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742F11" w14:paraId="559316EA" w14:textId="77777777">
        <w:tc>
          <w:tcPr>
            <w:tcW w:w="1560" w:type="dxa"/>
          </w:tcPr>
          <w:p w:rsidRPr="00E11CA7" w:rsidR="00E32C54" w:rsidP="00A94024" w:rsidRDefault="00BC7002" w14:paraId="322885DD" w14:textId="1E1DFEEA">
            <w:pPr>
              <w:overflowPunct w:val="0"/>
              <w:autoSpaceDE w:val="0"/>
              <w:autoSpaceDN w:val="0"/>
              <w:adjustRightInd w:val="0"/>
              <w:spacing w:line="240" w:lineRule="auto"/>
              <w:textAlignment w:val="baseline"/>
              <w:rPr>
                <w:i/>
              </w:rPr>
            </w:pPr>
            <w:r>
              <w:rPr>
                <w:i/>
              </w:rPr>
              <w:t>E</w:t>
            </w:r>
            <w:r w:rsidR="00742F11">
              <w:rPr>
                <w:i/>
              </w:rPr>
              <w:t>-</w:t>
            </w:r>
            <w:r>
              <w:rPr>
                <w:i/>
              </w:rPr>
              <w:t>mail</w:t>
            </w:r>
            <w:r w:rsidR="00742F11">
              <w:rPr>
                <w:i/>
              </w:rPr>
              <w:t>:</w:t>
            </w:r>
          </w:p>
        </w:tc>
        <w:tc>
          <w:tcPr>
            <w:tcW w:w="5528" w:type="dxa"/>
          </w:tcPr>
          <w:p w:rsidRPr="00E11CA7" w:rsidR="00E32C54" w:rsidP="00A94024" w:rsidRDefault="005C5942" w14:paraId="57A44FB7" w14:textId="77777777">
            <w:pPr>
              <w:overflowPunct w:val="0"/>
              <w:autoSpaceDE w:val="0"/>
              <w:autoSpaceDN w:val="0"/>
              <w:adjustRightInd w:val="0"/>
              <w:spacing w:line="240" w:lineRule="auto"/>
              <w:textAlignment w:val="baseline"/>
              <w:rPr>
                <w:i/>
                <w:iCs/>
              </w:rPr>
            </w:pPr>
            <w:hyperlink w:history="1" r:id="rId20">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281627" w:id="1"/>
      <w:r>
        <w:rPr>
          <w:b/>
        </w:rPr>
        <w:lastRenderedPageBreak/>
        <w:t>SECȚIUNEA PENTRU UNIUNEA ECONOMICĂ ȘI MONETARĂ ȘI COEZIUNE ECONOMICĂ ȘI SOCIALĂ</w:t>
      </w:r>
      <w:bookmarkEnd w:id="1"/>
    </w:p>
    <w:p w:rsidR="004D7AC0" w:rsidP="004D7AC0" w:rsidRDefault="004D7AC0" w14:paraId="4982DD6E" w14:textId="77777777"/>
    <w:p w:rsidRPr="00A174E9" w:rsidR="00A174E9" w:rsidP="00A174E9" w:rsidRDefault="005C5942"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1">
        <w:r w:rsidR="00381CCE">
          <w:rPr>
            <w:b/>
            <w:i/>
            <w:color w:val="0000FF"/>
            <w:sz w:val="28"/>
            <w:u w:val="single"/>
          </w:rPr>
          <w:t>Evaluarea obligațiilor de raportare fiscală în UE</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4819"/>
      </w:tblGrid>
      <w:tr w:rsidRPr="00A174E9" w:rsidR="00A174E9" w:rsidTr="001757A2" w14:paraId="1422115B" w14:textId="77777777">
        <w:tc>
          <w:tcPr>
            <w:tcW w:w="1459" w:type="pct"/>
          </w:tcPr>
          <w:p w:rsidRPr="00A174E9" w:rsidR="00A174E9" w:rsidP="00A174E9" w:rsidRDefault="00A174E9" w14:paraId="43187520" w14:textId="7FC918CB">
            <w:pPr>
              <w:tabs>
                <w:tab w:val="center" w:pos="284"/>
              </w:tabs>
              <w:overflowPunct w:val="0"/>
              <w:autoSpaceDE w:val="0"/>
              <w:autoSpaceDN w:val="0"/>
              <w:adjustRightInd w:val="0"/>
              <w:ind w:left="266" w:hanging="266"/>
              <w:textAlignment w:val="baseline"/>
              <w:rPr>
                <w:b/>
              </w:rPr>
            </w:pPr>
            <w:r>
              <w:rPr>
                <w:b/>
                <w:bCs/>
              </w:rPr>
              <w:t>Raportor</w:t>
            </w:r>
            <w:r w:rsidR="00742F11">
              <w:rPr>
                <w:b/>
                <w:bCs/>
              </w:rPr>
              <w:t>:</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(Grupul „Angajatori”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742F11" w14:paraId="4D0681AC" w14:textId="1C78556D">
            <w:pPr>
              <w:tabs>
                <w:tab w:val="center" w:pos="284"/>
              </w:tabs>
              <w:overflowPunct w:val="0"/>
              <w:autoSpaceDE w:val="0"/>
              <w:autoSpaceDN w:val="0"/>
              <w:adjustRightInd w:val="0"/>
              <w:ind w:left="266" w:hanging="266"/>
              <w:textAlignment w:val="baseline"/>
              <w:rPr>
                <w:b/>
              </w:rPr>
            </w:pPr>
            <w:r>
              <w:rPr>
                <w:b/>
              </w:rPr>
              <w:t>Referință:</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aviz din proprie inițiativă</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CESE:</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sprijină planurile Comisiei referitoare la simplificare, la reducerea sarcinii administrative și îmbunătățirea competitivității economiei europene;</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consideră că simplificarea fiscală ar trebui să promoveze furnizarea de informații eficiente din punctul de vedere al costurilor, îmbunătățirea utilizării informațiilor și a schimbului de informații între autoritățile fiscale. Acest demers nu ar trebui să conducă la modificări inechitabile sau neintenționate ale obligațiilor fiscale sau să faciliteze evaziunea fiscală ori concurența fiscală dăunătoare.</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subliniază că o simplificare substanțială ar putea fi realizată și prin armonizarea conceptelor juridice și a terminologiei similare, dar nu pe deplin aliniate, consacrate în diferite directive ale UE privind impozitarea indirectă;</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consideră că ar trebui efectuată o evaluare a impactului pentru fiecare propunere, pentru a evalua în mod corespunzător implicațiile concrete ale noilor inițiative legislative pentru contribuabili și întreprinderi;</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recomandă efectuarea de verificări ale competitivității noilor inițiative legislative în domeniul fiscal, inclusiv pentru IMM-uri, pentru a se asigura că noile norme sprijină efectiv obiectivele prevăzute ale Comisiei referitoare la simplificarea, asanarea și reducerea sarcinii administrative;</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propune să se introducă un sistem de soluții anticipate la nivelul UE. Instituirea unei autorități judiciare ar oferi claritate în interpretarea directivelor și a regulamentelor puse în aplicare în statele membre;</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recomandă crearea unui nou Forum comun al UE pentru prețurile de transfer,</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174E9" w:rsidR="00A174E9" w:rsidTr="001757A2" w14:paraId="15FA655D" w14:textId="77777777">
        <w:tc>
          <w:tcPr>
            <w:tcW w:w="1556" w:type="pct"/>
          </w:tcPr>
          <w:p w:rsidRPr="00A174E9" w:rsidR="00A174E9" w:rsidP="00A174E9" w:rsidRDefault="00A174E9" w14:paraId="0BF0699F" w14:textId="4F72069F">
            <w:pPr>
              <w:overflowPunct w:val="0"/>
              <w:autoSpaceDE w:val="0"/>
              <w:autoSpaceDN w:val="0"/>
              <w:adjustRightInd w:val="0"/>
              <w:spacing w:line="240" w:lineRule="auto"/>
              <w:textAlignment w:val="baseline"/>
              <w:rPr>
                <w:i/>
              </w:rPr>
            </w:pPr>
            <w:r>
              <w:rPr>
                <w:b/>
                <w:i/>
              </w:rPr>
              <w:t>Date de contact</w:t>
            </w:r>
            <w:r w:rsidR="00742F11">
              <w:rPr>
                <w:b/>
                <w:i/>
              </w:rPr>
              <w:t>:</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174E9" w:rsidR="00A174E9" w:rsidTr="001757A2" w14:paraId="497E6EC8" w14:textId="77777777">
        <w:tc>
          <w:tcPr>
            <w:tcW w:w="1556" w:type="pct"/>
          </w:tcPr>
          <w:p w:rsidRPr="00A174E9" w:rsidR="00A174E9" w:rsidP="00A174E9" w:rsidRDefault="00A174E9" w14:paraId="420F5C47" w14:textId="6474DB4D">
            <w:pPr>
              <w:overflowPunct w:val="0"/>
              <w:autoSpaceDE w:val="0"/>
              <w:autoSpaceDN w:val="0"/>
              <w:adjustRightInd w:val="0"/>
              <w:spacing w:line="240" w:lineRule="auto"/>
              <w:textAlignment w:val="baseline"/>
              <w:rPr>
                <w:i/>
              </w:rPr>
            </w:pPr>
            <w:r>
              <w:rPr>
                <w:i/>
              </w:rPr>
              <w:t>Tel.</w:t>
            </w:r>
            <w:r w:rsidR="00742F11">
              <w:rPr>
                <w:i/>
              </w:rPr>
              <w:t>:</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1C82033A">
            <w:pPr>
              <w:overflowPunct w:val="0"/>
              <w:autoSpaceDE w:val="0"/>
              <w:autoSpaceDN w:val="0"/>
              <w:adjustRightInd w:val="0"/>
              <w:spacing w:line="240" w:lineRule="auto"/>
              <w:textAlignment w:val="baseline"/>
              <w:rPr>
                <w:i/>
              </w:rPr>
            </w:pPr>
            <w:r>
              <w:rPr>
                <w:i/>
              </w:rPr>
              <w:t>E</w:t>
            </w:r>
            <w:r w:rsidR="00742F11">
              <w:rPr>
                <w:i/>
              </w:rPr>
              <w:t>-</w:t>
            </w:r>
            <w:r>
              <w:rPr>
                <w:i/>
              </w:rPr>
              <w:t>mail</w:t>
            </w:r>
            <w:r w:rsidR="00742F11">
              <w:rPr>
                <w:i/>
              </w:rPr>
              <w:t>:</w:t>
            </w:r>
          </w:p>
        </w:tc>
        <w:tc>
          <w:tcPr>
            <w:tcW w:w="3444" w:type="pct"/>
          </w:tcPr>
          <w:p w:rsidRPr="00A174E9" w:rsidR="00A174E9" w:rsidP="00A174E9" w:rsidRDefault="005C5942" w14:paraId="70D912E0" w14:textId="77777777">
            <w:pPr>
              <w:overflowPunct w:val="0"/>
              <w:autoSpaceDE w:val="0"/>
              <w:autoSpaceDN w:val="0"/>
              <w:adjustRightInd w:val="0"/>
              <w:spacing w:line="240" w:lineRule="auto"/>
              <w:textAlignment w:val="baseline"/>
              <w:rPr>
                <w:i/>
              </w:rPr>
            </w:pPr>
            <w:hyperlink w:history="1" r:id="rId22">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5C5942"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3">
        <w:r w:rsidR="0089162C">
          <w:rPr>
            <w:b/>
            <w:i/>
            <w:color w:val="0000FF"/>
            <w:sz w:val="28"/>
            <w:u w:val="single"/>
          </w:rPr>
          <w:t xml:space="preserve">Asistență suplimentară pentru regiunile </w:t>
        </w:r>
        <w:proofErr w:type="spellStart"/>
        <w:r w:rsidR="0089162C">
          <w:rPr>
            <w:b/>
            <w:i/>
            <w:color w:val="0000FF"/>
            <w:sz w:val="28"/>
            <w:u w:val="single"/>
          </w:rPr>
          <w:t>ultraperiferice</w:t>
        </w:r>
        <w:proofErr w:type="spellEnd"/>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42C294DF">
            <w:pPr>
              <w:tabs>
                <w:tab w:val="center" w:pos="284"/>
              </w:tabs>
              <w:overflowPunct w:val="0"/>
              <w:autoSpaceDE w:val="0"/>
              <w:autoSpaceDN w:val="0"/>
              <w:adjustRightInd w:val="0"/>
              <w:spacing w:line="276" w:lineRule="auto"/>
              <w:ind w:left="266" w:hanging="266"/>
              <w:textAlignment w:val="baseline"/>
              <w:rPr>
                <w:b/>
              </w:rPr>
            </w:pPr>
            <w:r>
              <w:rPr>
                <w:b/>
                <w:bCs/>
              </w:rPr>
              <w:t>Raportor</w:t>
            </w:r>
            <w:r w:rsidR="00742F11">
              <w:rPr>
                <w:b/>
                <w:bCs/>
              </w:rPr>
              <w:t>:</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proofErr w:type="spellStart"/>
            <w:r>
              <w:t>Joël</w:t>
            </w:r>
            <w:proofErr w:type="spellEnd"/>
            <w:r>
              <w:t xml:space="preserve"> DESTOM (Grupul „Organizații ale societății civile” –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742F11" w14:paraId="677563A1" w14:textId="5829B8D7">
            <w:pPr>
              <w:tabs>
                <w:tab w:val="center" w:pos="284"/>
              </w:tabs>
              <w:overflowPunct w:val="0"/>
              <w:autoSpaceDE w:val="0"/>
              <w:autoSpaceDN w:val="0"/>
              <w:adjustRightInd w:val="0"/>
              <w:spacing w:line="276" w:lineRule="auto"/>
              <w:ind w:left="266" w:hanging="266"/>
              <w:textAlignment w:val="baseline"/>
              <w:rPr>
                <w:b/>
              </w:rPr>
            </w:pPr>
            <w:r>
              <w:rPr>
                <w:b/>
              </w:rPr>
              <w:t>Referință:</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final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Pr="0089162C" w:rsidR="00E661EA" w:rsidP="00742F11" w:rsidRDefault="0089162C" w14:paraId="5282C408" w14:textId="53A4E9DE">
            <w:pPr>
              <w:tabs>
                <w:tab w:val="center" w:pos="284"/>
              </w:tabs>
              <w:overflowPunct w:val="0"/>
              <w:autoSpaceDE w:val="0"/>
              <w:autoSpaceDN w:val="0"/>
              <w:adjustRightInd w:val="0"/>
              <w:spacing w:line="276" w:lineRule="auto"/>
              <w:ind w:left="266" w:hanging="266"/>
              <w:textAlignment w:val="baseline"/>
              <w:rPr>
                <w:lang w:val="en-GB"/>
              </w:rPr>
            </w:pPr>
            <w:r>
              <w:t>EESC-2025-01633-00-00-AC</w:t>
            </w: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CESE:</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 xml:space="preserve">salută propunerea Comisiei Europene, care recunoaște pe deplin vulnerabilitatea structurală a regiunilor </w:t>
      </w:r>
      <w:proofErr w:type="spellStart"/>
      <w:r>
        <w:t>ultraperiferice</w:t>
      </w:r>
      <w:proofErr w:type="spellEnd"/>
      <w:r>
        <w:t xml:space="preserve"> (RUP) la dezastrele naturale și la schimbările climatice și ia în considerare măsuri de flexibilitate pentru a ține seama de urgențele climatice și umanitare din aceste regiuni, în special din </w:t>
      </w:r>
      <w:proofErr w:type="spellStart"/>
      <w:r>
        <w:t>Mayotte</w:t>
      </w:r>
      <w:proofErr w:type="spellEnd"/>
      <w:r>
        <w:t>.</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sprijină modificările specifice ale Regulamentului (UE) nr. 228/2013 care vizează:</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continuitatea sprijinului în cadrul Programului de opțiuni specifice pentru zonele îndepărtate și insulare (POSEI) în timpul fazelor de reconstrucție, chiar și în absența activității de producție;</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 xml:space="preserve">eliminarea plafonului de 10 % astfel încât </w:t>
      </w:r>
      <w:proofErr w:type="spellStart"/>
      <w:r>
        <w:t>Mayotte</w:t>
      </w:r>
      <w:proofErr w:type="spellEnd"/>
      <w:r>
        <w:t xml:space="preserve"> să poată realoca fondurile Fondului european agricol pentru dezvoltare rurală (FEADR) pentru </w:t>
      </w:r>
      <w:proofErr w:type="spellStart"/>
      <w:r>
        <w:t>Mayotte</w:t>
      </w:r>
      <w:proofErr w:type="spellEnd"/>
      <w:r>
        <w:t xml:space="preserve"> și prelungirea termenului de selectare a beneficiarilor după data de 30 iunie 2025;</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invită CE și statele membre să se asigure că realocările de fonduri nu se fac în detrimentul proiectelor structurale de dezvoltare rurală. solicită, de asemenea, includerea în regulament a unei dispoziții care să încurajeze utilizarea soluțiilor bazate pe natură în faza de reconstrucție post-dezastru și menținerea unei monitorizări anuale riguroase și transparente a angajamentelor asumate de beneficiari;</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îndeamnă CE să colaboreze strâns cu statele membre, cu autoritățile locale și cu organizațiile societății civile pentru a utiliza într-un mod cât mai eficace și mai rapid posibilitățile de sprijinire a regiunilor afectate. Organizațiile societății civile, lucrătorii, IMM-urile și ONG-urile au fost grav afectate de dezastrele naturale, motiv pentru care o parte substanțială a fondurilor trebuie direcționată către acestea;</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în plus, recomandă:</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să se oficializeze la nivel european o procedură de recunoaștere rapidă a dezastrelor naturale;</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să se aibă în vedere crearea unui Fond european specific pentru dezastre climatice pentru a răspunde în mod eficace la crizele majore, fără a compromite politicile structurale finanțate de FEADR sau de politica agricolă comună (PAC). Acest fond, complementar Fondului de solidaritate al Uniunii Europene, ar asigura sustenabilitatea ajutorului viitor în contextul amplificării riscurilor majore;</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ca adaptările regulamentului să facă parte din cadrul strategic mai larg al viziunii pe termen lung a UE pentru zonele rurale (LTVRA), asigurând coerența între sprijinul de urgență, reziliența teritorială și dezvoltarea rurală durabilă.</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consideră că UE are nevoie de un mecanism de finanțare nou, stabil și solid, care trebuie să fie adaptabil, flexibil și pregătit să răspundă crizelor noi și emergente în anii următori; </w:t>
      </w:r>
    </w:p>
    <w:p w:rsidR="00055407" w:rsidRDefault="00055407" w14:paraId="3BCC5154" w14:textId="76FFE567">
      <w:pPr>
        <w:spacing w:after="160" w:line="259" w:lineRule="auto"/>
        <w:jc w:val="left"/>
        <w:rPr>
          <w:szCs w:val="20"/>
        </w:rPr>
      </w:pPr>
      <w:r>
        <w:br w:type="page"/>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în sfârșit, solicită o mai bună coordonare între diversele instrumente europene de răspuns în caz de dezastre și instituirea unui cadru structurat de prevenire, inclusiv a unui ghișeu unic pentru RUP și a unui mecanism de alertă timpurie privind clima/RUP și a unor proceduri administrative simplificate pentru acordarea ajutoarelor.</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89162C" w:rsidR="0089162C" w:rsidTr="00742F11" w14:paraId="2AFA9E15" w14:textId="77777777">
        <w:tc>
          <w:tcPr>
            <w:tcW w:w="1560" w:type="dxa"/>
          </w:tcPr>
          <w:p w:rsidRPr="0089162C" w:rsidR="0089162C" w:rsidP="0089162C" w:rsidRDefault="0089162C" w14:paraId="3856C519" w14:textId="14EBFF4A">
            <w:pPr>
              <w:overflowPunct w:val="0"/>
              <w:autoSpaceDE w:val="0"/>
              <w:autoSpaceDN w:val="0"/>
              <w:adjustRightInd w:val="0"/>
              <w:spacing w:line="240" w:lineRule="auto"/>
              <w:textAlignment w:val="baseline"/>
              <w:rPr>
                <w:i/>
              </w:rPr>
            </w:pPr>
            <w:r>
              <w:rPr>
                <w:b/>
                <w:i/>
              </w:rPr>
              <w:t>Date de contact</w:t>
            </w:r>
            <w:r w:rsidR="00742F11">
              <w:rPr>
                <w:b/>
                <w:i/>
              </w:rPr>
              <w:t>:</w:t>
            </w:r>
          </w:p>
        </w:tc>
        <w:tc>
          <w:tcPr>
            <w:tcW w:w="5528"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89162C" w:rsidR="0089162C" w:rsidTr="00742F11" w14:paraId="51D98A7C" w14:textId="77777777">
        <w:tc>
          <w:tcPr>
            <w:tcW w:w="1560" w:type="dxa"/>
          </w:tcPr>
          <w:p w:rsidRPr="0089162C" w:rsidR="0089162C" w:rsidP="0089162C" w:rsidRDefault="0089162C" w14:paraId="6B8F537C" w14:textId="3CAD8077">
            <w:pPr>
              <w:overflowPunct w:val="0"/>
              <w:autoSpaceDE w:val="0"/>
              <w:autoSpaceDN w:val="0"/>
              <w:adjustRightInd w:val="0"/>
              <w:spacing w:line="240" w:lineRule="auto"/>
              <w:textAlignment w:val="baseline"/>
              <w:rPr>
                <w:i/>
              </w:rPr>
            </w:pPr>
            <w:r>
              <w:rPr>
                <w:i/>
              </w:rPr>
              <w:t>Tel.</w:t>
            </w:r>
            <w:r w:rsidR="00742F11">
              <w:rPr>
                <w:i/>
              </w:rPr>
              <w:t>:</w:t>
            </w:r>
          </w:p>
        </w:tc>
        <w:tc>
          <w:tcPr>
            <w:tcW w:w="5528"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742F11" w14:paraId="443155D9" w14:textId="77777777">
        <w:tc>
          <w:tcPr>
            <w:tcW w:w="1560" w:type="dxa"/>
          </w:tcPr>
          <w:p w:rsidRPr="0089162C" w:rsidR="0089162C" w:rsidP="0089162C" w:rsidRDefault="00C86ABE" w14:paraId="21A28619" w14:textId="3F83D03A">
            <w:pPr>
              <w:overflowPunct w:val="0"/>
              <w:autoSpaceDE w:val="0"/>
              <w:autoSpaceDN w:val="0"/>
              <w:adjustRightInd w:val="0"/>
              <w:spacing w:line="240" w:lineRule="auto"/>
              <w:textAlignment w:val="baseline"/>
              <w:rPr>
                <w:i/>
              </w:rPr>
            </w:pPr>
            <w:r>
              <w:rPr>
                <w:i/>
              </w:rPr>
              <w:t>E</w:t>
            </w:r>
            <w:r w:rsidR="00742F11">
              <w:rPr>
                <w:i/>
              </w:rPr>
              <w:t>-</w:t>
            </w:r>
            <w:r>
              <w:rPr>
                <w:i/>
              </w:rPr>
              <w:t>mail</w:t>
            </w:r>
            <w:r w:rsidR="00742F11">
              <w:rPr>
                <w:i/>
              </w:rPr>
              <w:t>:</w:t>
            </w:r>
          </w:p>
        </w:tc>
        <w:tc>
          <w:tcPr>
            <w:tcW w:w="5528" w:type="dxa"/>
          </w:tcPr>
          <w:p w:rsidRPr="0089162C" w:rsidR="0089162C" w:rsidP="0089162C" w:rsidRDefault="005C5942" w14:paraId="72FF38C2" w14:textId="5AC9978B">
            <w:pPr>
              <w:overflowPunct w:val="0"/>
              <w:autoSpaceDE w:val="0"/>
              <w:autoSpaceDN w:val="0"/>
              <w:adjustRightInd w:val="0"/>
              <w:spacing w:line="240" w:lineRule="auto"/>
              <w:textAlignment w:val="baseline"/>
              <w:rPr>
                <w:i/>
                <w:iCs/>
              </w:rPr>
            </w:pPr>
            <w:hyperlink w:history="1" r:id="rId24">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281628" w:id="3"/>
      <w:r>
        <w:rPr>
          <w:b/>
        </w:rPr>
        <w:lastRenderedPageBreak/>
        <w:t>SECȚIUNEA PENTRU OCUPAREA FORȚEI DE MUNCĂ, AFACERI SOCIALE ȘI CETĂȚENIE</w:t>
      </w:r>
      <w:bookmarkEnd w:id="2"/>
      <w:bookmarkEnd w:id="3"/>
    </w:p>
    <w:p w:rsidR="004D7AC0" w:rsidP="004D7AC0" w:rsidRDefault="004D7AC0" w14:paraId="4982DD9A" w14:textId="77777777"/>
    <w:p w:rsidRPr="00BE355C" w:rsidR="00BE355C" w:rsidP="00B60D9A" w:rsidRDefault="005C5942"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25">
        <w:r w:rsidR="00BE355C">
          <w:rPr>
            <w:b/>
            <w:i/>
            <w:color w:val="0000FF"/>
            <w:sz w:val="28"/>
            <w:u w:val="single"/>
          </w:rPr>
          <w:t>Consolidarea migrației legale și organizate a forței de muncă către UE</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016AE026">
            <w:pPr>
              <w:tabs>
                <w:tab w:val="center" w:pos="284"/>
              </w:tabs>
              <w:overflowPunct w:val="0"/>
              <w:autoSpaceDE w:val="0"/>
              <w:autoSpaceDN w:val="0"/>
              <w:adjustRightInd w:val="0"/>
              <w:spacing w:line="276" w:lineRule="auto"/>
              <w:ind w:left="567" w:hanging="567"/>
              <w:textAlignment w:val="baseline"/>
              <w:rPr>
                <w:b/>
              </w:rPr>
            </w:pPr>
            <w:r>
              <w:rPr>
                <w:b/>
                <w:bCs/>
              </w:rPr>
              <w:t>Raportor</w:t>
            </w:r>
            <w:r w:rsidR="009F1D58">
              <w:rPr>
                <w:b/>
                <w:bCs/>
              </w:rPr>
              <w:t>:</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Thomas WAGNSONNER (Grupul „Lucrători” – AT)</w:t>
            </w:r>
          </w:p>
        </w:tc>
      </w:tr>
      <w:tr w:rsidRPr="00BE355C" w:rsidR="00BE355C" w:rsidTr="001757A2" w14:paraId="54C7ED21" w14:textId="77777777">
        <w:tc>
          <w:tcPr>
            <w:tcW w:w="1701" w:type="dxa"/>
          </w:tcPr>
          <w:p w:rsidRPr="00BE355C" w:rsidR="00BE355C" w:rsidP="00B60D9A" w:rsidRDefault="009F1D58" w14:paraId="70CF4C33" w14:textId="57CD7E15">
            <w:pPr>
              <w:tabs>
                <w:tab w:val="center" w:pos="284"/>
              </w:tabs>
              <w:overflowPunct w:val="0"/>
              <w:autoSpaceDE w:val="0"/>
              <w:autoSpaceDN w:val="0"/>
              <w:adjustRightInd w:val="0"/>
              <w:spacing w:line="276" w:lineRule="auto"/>
              <w:ind w:left="567" w:hanging="567"/>
              <w:textAlignment w:val="baseline"/>
              <w:rPr>
                <w:b/>
              </w:rPr>
            </w:pPr>
            <w:r>
              <w:rPr>
                <w:b/>
              </w:rPr>
              <w:t>Referință:</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aviz din proprie inițiativă</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rsidRPr="00BE355C" w:rsidR="00942860" w:rsidP="00B60D9A" w:rsidRDefault="00BE355C" w14:paraId="0E2FB7E6" w14:textId="74AF2860">
      <w:pPr>
        <w:spacing w:before="100" w:beforeAutospacing="1" w:after="100" w:afterAutospacing="1" w:line="276" w:lineRule="auto"/>
        <w:jc w:val="left"/>
      </w:pPr>
      <w:r>
        <w:t>CESE:</w:t>
      </w:r>
    </w:p>
    <w:p w:rsidRPr="00B541C7" w:rsidR="00942860" w:rsidP="00B541C7" w:rsidRDefault="00BE355C" w14:paraId="1AD6268F" w14:textId="7EACF21E">
      <w:pPr>
        <w:numPr>
          <w:ilvl w:val="0"/>
          <w:numId w:val="27"/>
        </w:numPr>
        <w:overflowPunct w:val="0"/>
        <w:autoSpaceDE w:val="0"/>
        <w:autoSpaceDN w:val="0"/>
        <w:adjustRightInd w:val="0"/>
        <w:spacing w:line="276" w:lineRule="auto"/>
        <w:ind w:left="284" w:hanging="284"/>
        <w:textAlignment w:val="baseline"/>
        <w:rPr>
          <w:bCs/>
          <w:iCs/>
        </w:rPr>
      </w:pPr>
      <w:r>
        <w:t xml:space="preserve">subliniază că </w:t>
      </w:r>
      <w:r>
        <w:rPr>
          <w:b/>
        </w:rPr>
        <w:t>promovarea migrației legale și organizate a forței de muncă către UE</w:t>
      </w:r>
      <w:r>
        <w:t xml:space="preserve"> și </w:t>
      </w:r>
      <w:r>
        <w:rPr>
          <w:b/>
        </w:rPr>
        <w:t>politicile și instrumentele UE aferente</w:t>
      </w:r>
      <w:r>
        <w:t xml:space="preserve"> trebuie să se bazeze pe </w:t>
      </w:r>
      <w:r>
        <w:rPr>
          <w:b/>
        </w:rPr>
        <w:t>drepturile omului, statul de drept, integrarea</w:t>
      </w:r>
      <w:r>
        <w:t xml:space="preserve"> resortisanților țărilor terțe pe piața forței de muncă, pe respectarea </w:t>
      </w:r>
      <w:r>
        <w:rPr>
          <w:b/>
        </w:rPr>
        <w:t>valorilor comune ale UE</w:t>
      </w:r>
      <w:r>
        <w:t xml:space="preserve"> și pe </w:t>
      </w:r>
      <w:r>
        <w:rPr>
          <w:b/>
        </w:rPr>
        <w:t>conformitatea cu instrumentele juridice internaționale</w:t>
      </w:r>
      <w:r>
        <w:t xml:space="preserve"> obligatorii referitoare la migrație și la drepturile omului și ale lucrătorilor;</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solicită o </w:t>
      </w:r>
      <w:r>
        <w:rPr>
          <w:b/>
        </w:rPr>
        <w:t>abordare echilibrată</w:t>
      </w:r>
      <w:r>
        <w:t xml:space="preserve"> între </w:t>
      </w:r>
      <w:r>
        <w:rPr>
          <w:b/>
        </w:rPr>
        <w:t>UE și țările de origine</w:t>
      </w:r>
      <w:r>
        <w:t xml:space="preserve"> în toate cadrele actuale și viitoare privind migrația. și subliniază importanța </w:t>
      </w:r>
      <w:r>
        <w:rPr>
          <w:b/>
        </w:rPr>
        <w:t>atenuării riscului de exod al creierelor</w:t>
      </w:r>
      <w:r>
        <w:t xml:space="preserve"> prin </w:t>
      </w:r>
      <w:r>
        <w:rPr>
          <w:b/>
        </w:rPr>
        <w:t>creștere economică și locuri de muncă decente</w:t>
      </w:r>
      <w:r>
        <w:t xml:space="preserve"> în țările de origine, sprijinite de politica de coeziune a UE. </w:t>
      </w:r>
      <w:r>
        <w:rPr>
          <w:b/>
        </w:rPr>
        <w:t>Partenerii sociali</w:t>
      </w:r>
      <w:r>
        <w:t xml:space="preserve"> de ambele părți, în funcție de împrejurările și practicile naționale, trebuie să fie </w:t>
      </w:r>
      <w:r>
        <w:rPr>
          <w:b/>
        </w:rPr>
        <w:t>implicați în mod instituțional</w:t>
      </w:r>
      <w:r>
        <w:t xml:space="preserve"> pentru a </w:t>
      </w:r>
      <w:r>
        <w:rPr>
          <w:b/>
        </w:rPr>
        <w:t>identifica oportunități, riscuri și provocări</w:t>
      </w:r>
      <w:r>
        <w:t xml:space="preserve"> pentru piețele interne ale forței de muncă, astfel încât să devină parte a unui </w:t>
      </w:r>
      <w:r>
        <w:rPr>
          <w:b/>
        </w:rPr>
        <w:t>cadru solid de monitorizare</w:t>
      </w:r>
      <w:r>
        <w:t xml:space="preserve"> pentru toate acordurile bilaterale privind migrația forței de muncă;</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subliniază că </w:t>
      </w:r>
      <w:r>
        <w:rPr>
          <w:b/>
        </w:rPr>
        <w:t>formarea înainte și după plecare</w:t>
      </w:r>
      <w:r>
        <w:t xml:space="preserve">, inclusiv în vederea integrării sociale și profesionale și a dezvoltării competențelor în cadrul unor programe în țările de origine, găzduind un anumit procent de lucrători ce rămân în țara de origine pentru a promova dezvoltarea sa socială și economică poate fi altă </w:t>
      </w:r>
      <w:r>
        <w:rPr>
          <w:b/>
        </w:rPr>
        <w:t>modalitate eficientă de reducere a riscului de exod al creierelor</w:t>
      </w:r>
      <w:r>
        <w:t>;</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subliniază că trebuie promovate </w:t>
      </w:r>
      <w:r>
        <w:rPr>
          <w:b/>
        </w:rPr>
        <w:t>drepturi egale</w:t>
      </w:r>
      <w:r>
        <w:t xml:space="preserve"> pentru </w:t>
      </w:r>
      <w:r>
        <w:rPr>
          <w:b/>
        </w:rPr>
        <w:t xml:space="preserve">lucrătorii </w:t>
      </w:r>
      <w:proofErr w:type="spellStart"/>
      <w:r>
        <w:rPr>
          <w:b/>
        </w:rPr>
        <w:t>migranți</w:t>
      </w:r>
      <w:proofErr w:type="spellEnd"/>
      <w:r>
        <w:rPr>
          <w:b/>
        </w:rPr>
        <w:t xml:space="preserve"> din țări terțe la toate nivelurile de calificare</w:t>
      </w:r>
      <w:r>
        <w:t xml:space="preserve">. Măsurile ar trebui să le îmbunătățească </w:t>
      </w:r>
      <w:r>
        <w:rPr>
          <w:b/>
        </w:rPr>
        <w:t>protecția pe parcursul întregului ciclu de migrație</w:t>
      </w:r>
      <w:r>
        <w:t>, inclusiv informații accesibile înainte de plecare și după sosire, orientare și formare, precum și acces legal la reclamații și despăgubiri.</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observă că </w:t>
      </w:r>
      <w:r>
        <w:rPr>
          <w:b/>
        </w:rPr>
        <w:t>parteneriatele internaționale în materie de competențe și mobilitate</w:t>
      </w:r>
      <w:r>
        <w:t xml:space="preserve"> pot </w:t>
      </w:r>
      <w:r>
        <w:rPr>
          <w:b/>
        </w:rPr>
        <w:t>consolida piețele interne ale forței de muncă</w:t>
      </w:r>
      <w:r>
        <w:t>, corelând astfel cererea și oferta de forță de muncă, pot contribui la transferul de competențe la toate nivelurile și la maximizarea „câștigului de creiere”, abordând în același timp problema „exodului de creiere” și sporind competitivitatea și creșterea pentru țările de origine și de destinație;</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subliniază că, în prezent, </w:t>
      </w:r>
      <w:r>
        <w:rPr>
          <w:b/>
        </w:rPr>
        <w:t>lipsește un cadru comun</w:t>
      </w:r>
      <w:r>
        <w:t xml:space="preserve"> și </w:t>
      </w:r>
      <w:r>
        <w:rPr>
          <w:b/>
        </w:rPr>
        <w:t>transparența negocierilor pentru parteneriatele pentru atragerea de talente</w:t>
      </w:r>
      <w:r>
        <w:t xml:space="preserve"> (PT) și invită </w:t>
      </w:r>
      <w:r>
        <w:rPr>
          <w:b/>
        </w:rPr>
        <w:t>Comisia să prezinte un plan de acțiune cu etapele următoare</w:t>
      </w:r>
      <w:r>
        <w:t xml:space="preserve"> pentru PT și învățămintele trase din proiectele și politicile în curs și anterioare, pentru a spori coerența și a facilita mobilitatea fără probleme;</w:t>
      </w:r>
    </w:p>
    <w:p w:rsidR="00055407" w:rsidRDefault="00055407" w14:paraId="19560E5B" w14:textId="77777777">
      <w:pPr>
        <w:spacing w:after="160" w:line="259" w:lineRule="auto"/>
        <w:jc w:val="left"/>
      </w:pPr>
      <w:r>
        <w:br w:type="page"/>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lastRenderedPageBreak/>
        <w:t xml:space="preserve">subliniază că </w:t>
      </w:r>
      <w:r>
        <w:rPr>
          <w:b/>
        </w:rPr>
        <w:t>UE trebuie să mobilizeze toată forța de muncă disponibilă</w:t>
      </w:r>
      <w:r>
        <w:t xml:space="preserve"> și, în completare, </w:t>
      </w:r>
      <w:r>
        <w:rPr>
          <w:b/>
        </w:rPr>
        <w:t>să consolideze politica de migrație</w:t>
      </w:r>
      <w:r>
        <w:t xml:space="preserve"> pentru a-i atrage și reține pe lucrătorii calificați. Ar trebui să se acorde </w:t>
      </w:r>
      <w:r>
        <w:rPr>
          <w:b/>
        </w:rPr>
        <w:t>prioritate activării forței de muncă interne a UE</w:t>
      </w:r>
      <w:r>
        <w:t xml:space="preserve"> pentru a răspunde nevoilor și deficitelor pe termen lung de pe piața forței de muncă, cu accent pe grupurile insuficient mobilizate, în timp ce, </w:t>
      </w:r>
      <w:r>
        <w:rPr>
          <w:b/>
        </w:rPr>
        <w:t xml:space="preserve">în anumite cazuri, trebuie respectate interesele întreprinderilor de a ocupa urgent locuri de muncă vacante cu lucrători </w:t>
      </w:r>
      <w:proofErr w:type="spellStart"/>
      <w:r>
        <w:rPr>
          <w:b/>
        </w:rPr>
        <w:t>migranți</w:t>
      </w:r>
      <w:proofErr w:type="spellEnd"/>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002"/>
      </w:tblGrid>
      <w:tr w:rsidRPr="00BE355C" w:rsidR="00BE355C" w:rsidTr="00520BD4" w14:paraId="526B6215" w14:textId="77777777">
        <w:tc>
          <w:tcPr>
            <w:tcW w:w="1701" w:type="dxa"/>
          </w:tcPr>
          <w:p w:rsidRPr="00BE355C" w:rsidR="00BE355C" w:rsidP="00BE355C" w:rsidRDefault="00BE355C" w14:paraId="730E9F62" w14:textId="271D0E96">
            <w:pPr>
              <w:overflowPunct w:val="0"/>
              <w:autoSpaceDE w:val="0"/>
              <w:autoSpaceDN w:val="0"/>
              <w:adjustRightInd w:val="0"/>
              <w:textAlignment w:val="baseline"/>
              <w:rPr>
                <w:i/>
              </w:rPr>
            </w:pPr>
            <w:r>
              <w:rPr>
                <w:b/>
                <w:i/>
              </w:rPr>
              <w:t>Date de contact</w:t>
            </w:r>
            <w:r w:rsidR="00520BD4">
              <w:rPr>
                <w:b/>
                <w:i/>
              </w:rPr>
              <w:t>:</w:t>
            </w:r>
          </w:p>
        </w:tc>
        <w:tc>
          <w:tcPr>
            <w:tcW w:w="4002" w:type="dxa"/>
          </w:tcPr>
          <w:p w:rsidRPr="00BE355C" w:rsidR="00BE355C" w:rsidP="00BE355C" w:rsidRDefault="00BE355C" w14:paraId="13056E76" w14:textId="77777777">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BE355C" w:rsidR="00BE355C" w:rsidTr="00520BD4" w14:paraId="6C936FC0" w14:textId="77777777">
        <w:tc>
          <w:tcPr>
            <w:tcW w:w="1701" w:type="dxa"/>
          </w:tcPr>
          <w:p w:rsidRPr="00BE355C" w:rsidR="00BE355C" w:rsidP="00BE355C" w:rsidRDefault="00BE355C" w14:paraId="7C9EA8D3" w14:textId="20C554D4">
            <w:pPr>
              <w:overflowPunct w:val="0"/>
              <w:autoSpaceDE w:val="0"/>
              <w:autoSpaceDN w:val="0"/>
              <w:adjustRightInd w:val="0"/>
              <w:textAlignment w:val="baseline"/>
              <w:rPr>
                <w:i/>
              </w:rPr>
            </w:pPr>
            <w:r>
              <w:rPr>
                <w:i/>
              </w:rPr>
              <w:t>Tel.</w:t>
            </w:r>
            <w:r w:rsidR="00520BD4">
              <w:rPr>
                <w:i/>
              </w:rPr>
              <w:t>:</w:t>
            </w:r>
          </w:p>
        </w:tc>
        <w:tc>
          <w:tcPr>
            <w:tcW w:w="4002"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520BD4" w14:paraId="67ED56F5" w14:textId="77777777">
        <w:tc>
          <w:tcPr>
            <w:tcW w:w="1701" w:type="dxa"/>
          </w:tcPr>
          <w:p w:rsidRPr="00BE355C" w:rsidR="00BE355C" w:rsidP="00BE355C" w:rsidRDefault="00BE355C" w14:paraId="6F331474" w14:textId="2DD013FE">
            <w:pPr>
              <w:overflowPunct w:val="0"/>
              <w:autoSpaceDE w:val="0"/>
              <w:autoSpaceDN w:val="0"/>
              <w:adjustRightInd w:val="0"/>
              <w:textAlignment w:val="baseline"/>
              <w:rPr>
                <w:i/>
              </w:rPr>
            </w:pPr>
            <w:r>
              <w:rPr>
                <w:i/>
              </w:rPr>
              <w:t>E</w:t>
            </w:r>
            <w:r w:rsidR="00520BD4">
              <w:rPr>
                <w:i/>
              </w:rPr>
              <w:t>-</w:t>
            </w:r>
            <w:r>
              <w:rPr>
                <w:i/>
              </w:rPr>
              <w:t>mail</w:t>
            </w:r>
            <w:r w:rsidR="00520BD4">
              <w:rPr>
                <w:i/>
              </w:rPr>
              <w:t>:</w:t>
            </w:r>
          </w:p>
        </w:tc>
        <w:tc>
          <w:tcPr>
            <w:tcW w:w="4002" w:type="dxa"/>
          </w:tcPr>
          <w:p w:rsidRPr="00BE355C" w:rsidR="00BE355C" w:rsidP="00BE355C" w:rsidRDefault="005C5942" w14:paraId="15A4A226" w14:textId="77777777">
            <w:pPr>
              <w:overflowPunct w:val="0"/>
              <w:autoSpaceDE w:val="0"/>
              <w:autoSpaceDN w:val="0"/>
              <w:adjustRightInd w:val="0"/>
              <w:textAlignment w:val="baseline"/>
              <w:rPr>
                <w:i/>
              </w:rPr>
            </w:pPr>
            <w:hyperlink w:history="1" r:id="rId26">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5C5942"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27">
        <w:r w:rsidR="00AC3821">
          <w:rPr>
            <w:b/>
            <w:i/>
            <w:color w:val="0000FF"/>
            <w:sz w:val="28"/>
            <w:u w:val="single"/>
          </w:rPr>
          <w:t>Noul plan de acțiune privind punerea în aplicare a Pilonului european al drepturilor sociale</w:t>
        </w:r>
      </w:hyperlink>
      <w:r w:rsidRPr="00AC3821" w:rsidR="00AC3821">
        <w:rPr>
          <w:b/>
          <w:i/>
          <w:sz w:val="28"/>
        </w:rPr>
        <w:fldChar w:fldCharType="begin"/>
      </w:r>
      <w:r w:rsidRPr="004721D7" w:rsidR="00AC3821">
        <w:rPr>
          <w:b/>
          <w:i/>
          <w:sz w:val="28"/>
        </w:rPr>
        <w:instrText>HYPERLINK "https://www.eesc.europa.eu/ro/our-work/opinions-information-reports/opinions/new-action-plan-implementation-european-pillar-social-rights"</w:instrText>
      </w:r>
      <w:r w:rsidRPr="00AC3821" w:rsidR="00AC3821">
        <w:rPr>
          <w:b/>
          <w:i/>
          <w:sz w:val="28"/>
        </w:rPr>
        <w:fldChar w:fldCharType="separate"/>
      </w:r>
    </w:p>
    <w:p w:rsidRPr="00A12471" w:rsidR="00AC3821" w:rsidP="00A12471" w:rsidRDefault="00AC3821" w14:paraId="6B277B02" w14:textId="77777777">
      <w:pPr>
        <w:keepNext/>
        <w:keepLines/>
        <w:tabs>
          <w:tab w:val="center" w:pos="284"/>
        </w:tabs>
        <w:overflowPunct w:val="0"/>
        <w:autoSpaceDE w:val="0"/>
        <w:autoSpaceDN w:val="0"/>
        <w:adjustRightInd w:val="0"/>
        <w:ind w:left="266" w:hanging="266"/>
        <w:textAlignment w:val="baseline"/>
        <w:rPr>
          <w:b/>
        </w:rPr>
      </w:pPr>
      <w:r w:rsidRPr="00AC3821">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5"/>
        <w:gridCol w:w="7148"/>
      </w:tblGrid>
      <w:tr w:rsidRPr="00AC3821" w:rsidR="00AC3821" w:rsidTr="001757A2" w14:paraId="44094615" w14:textId="77777777">
        <w:tc>
          <w:tcPr>
            <w:tcW w:w="1061" w:type="pct"/>
          </w:tcPr>
          <w:p w:rsidRPr="00AC3821" w:rsidR="00AC3821" w:rsidP="00AC3821" w:rsidRDefault="00AC3821" w14:paraId="64A6E646" w14:textId="3CF646BB">
            <w:pPr>
              <w:overflowPunct w:val="0"/>
              <w:autoSpaceDE w:val="0"/>
              <w:autoSpaceDN w:val="0"/>
              <w:adjustRightInd w:val="0"/>
              <w:ind w:left="-113"/>
              <w:textAlignment w:val="baseline"/>
              <w:rPr>
                <w:b/>
              </w:rPr>
            </w:pPr>
            <w:r>
              <w:rPr>
                <w:b/>
                <w:bCs/>
              </w:rPr>
              <w:t>Raportor</w:t>
            </w:r>
            <w:r w:rsidR="00A12471">
              <w:rPr>
                <w:b/>
                <w:bCs/>
              </w:rPr>
              <w:t>:</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Sophia REISECKER (Grupul „Lucrători”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12471" w:rsidTr="001757A2" w14:paraId="0516F2E7" w14:textId="77777777">
        <w:tc>
          <w:tcPr>
            <w:tcW w:w="1061" w:type="pct"/>
          </w:tcPr>
          <w:p w:rsidRPr="00AC3821" w:rsidR="00A12471" w:rsidP="00A12471" w:rsidRDefault="00A12471" w14:paraId="32D26095" w14:textId="1E17EC23">
            <w:pPr>
              <w:overflowPunct w:val="0"/>
              <w:autoSpaceDE w:val="0"/>
              <w:autoSpaceDN w:val="0"/>
              <w:adjustRightInd w:val="0"/>
              <w:ind w:left="-113"/>
              <w:textAlignment w:val="baseline"/>
              <w:rPr>
                <w:b/>
              </w:rPr>
            </w:pPr>
            <w:r>
              <w:rPr>
                <w:b/>
              </w:rPr>
              <w:t>Referință:</w:t>
            </w:r>
          </w:p>
        </w:tc>
        <w:tc>
          <w:tcPr>
            <w:tcW w:w="3939" w:type="pct"/>
          </w:tcPr>
          <w:p w:rsidR="00A12471" w:rsidP="00A12471" w:rsidRDefault="00A12471" w14:paraId="60D25AC1" w14:textId="1BFFE555">
            <w:pPr>
              <w:tabs>
                <w:tab w:val="left" w:pos="4430"/>
              </w:tabs>
              <w:overflowPunct w:val="0"/>
              <w:autoSpaceDE w:val="0"/>
              <w:autoSpaceDN w:val="0"/>
              <w:adjustRightInd w:val="0"/>
              <w:ind w:left="-113" w:right="-823"/>
              <w:textAlignment w:val="baseline"/>
            </w:pPr>
            <w:r>
              <w:t>aviz din proprie inițiativă</w:t>
            </w:r>
          </w:p>
          <w:p w:rsidRPr="00AC3821" w:rsidR="00A12471" w:rsidP="00A12471" w:rsidRDefault="00A12471" w14:paraId="4BCFFC82" w14:textId="3D898C26">
            <w:pPr>
              <w:tabs>
                <w:tab w:val="left" w:pos="4430"/>
              </w:tabs>
              <w:overflowPunct w:val="0"/>
              <w:autoSpaceDE w:val="0"/>
              <w:autoSpaceDN w:val="0"/>
              <w:adjustRightInd w:val="0"/>
              <w:ind w:left="-113" w:right="-823"/>
              <w:textAlignment w:val="baseline"/>
            </w:pPr>
            <w:r>
              <w:t>EESC-2025-00103-00-00-AC</w:t>
            </w:r>
          </w:p>
        </w:tc>
      </w:tr>
    </w:tbl>
    <w:p w:rsidR="00A12471" w:rsidP="00AC3821" w:rsidRDefault="00A12471" w14:paraId="78DCBBB8" w14:textId="77777777">
      <w:pPr>
        <w:keepNext/>
        <w:keepLines/>
        <w:tabs>
          <w:tab w:val="center" w:pos="284"/>
        </w:tabs>
        <w:overflowPunct w:val="0"/>
        <w:autoSpaceDE w:val="0"/>
        <w:autoSpaceDN w:val="0"/>
        <w:adjustRightInd w:val="0"/>
        <w:ind w:left="266" w:hanging="266"/>
        <w:textAlignment w:val="baseline"/>
        <w:rPr>
          <w:b/>
        </w:rPr>
      </w:pPr>
    </w:p>
    <w:p w:rsidRPr="00AC3821" w:rsidR="00AC3821" w:rsidP="00AC3821" w:rsidRDefault="00AC3821" w14:paraId="68B81E8C" w14:textId="16CAB05E">
      <w:pPr>
        <w:keepNext/>
        <w:keepLines/>
        <w:tabs>
          <w:tab w:val="center" w:pos="284"/>
        </w:tabs>
        <w:overflowPunct w:val="0"/>
        <w:autoSpaceDE w:val="0"/>
        <w:autoSpaceDN w:val="0"/>
        <w:adjustRightInd w:val="0"/>
        <w:ind w:left="266" w:hanging="266"/>
        <w:textAlignment w:val="baseline"/>
        <w:rPr>
          <w:b/>
        </w:rPr>
      </w:pPr>
      <w:r>
        <w:rPr>
          <w:b/>
        </w:rPr>
        <w:t>Punctele principale</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CESE:</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DC28C7" w:rsidR="00AC3821" w:rsidP="00DC28C7" w:rsidRDefault="00AC3821" w14:paraId="64F046FA" w14:textId="77777777">
      <w:pPr>
        <w:numPr>
          <w:ilvl w:val="0"/>
          <w:numId w:val="24"/>
        </w:numPr>
        <w:overflowPunct w:val="0"/>
        <w:autoSpaceDE w:val="0"/>
        <w:autoSpaceDN w:val="0"/>
        <w:adjustRightInd w:val="0"/>
        <w:ind w:left="284" w:hanging="284"/>
        <w:textAlignment w:val="baseline"/>
        <w:rPr>
          <w:bCs/>
          <w:iCs/>
        </w:rPr>
      </w:pPr>
      <w:bookmarkStart w:name="_Toc201570896" w:id="4"/>
      <w:r>
        <w:t>solicită o evaluare aprofundată a planului de acțiune din 2021 privind Pilonul european al drepturilor sociale (PEDS) pentru a contribui la elaborarea unui nou plan de acțiune privind Pilonul european al drepturilor sociale, solid și orientat spre viitor, cu o mai bună integrare a tabloului de bord social și a cadrului de convergență socială în semestrul european;</w:t>
      </w:r>
      <w:bookmarkEnd w:id="4"/>
    </w:p>
    <w:p w:rsidRPr="00DC28C7" w:rsidR="00AC3821" w:rsidP="00DC28C7" w:rsidRDefault="00AC3821" w14:paraId="70DFDA9B" w14:textId="77777777">
      <w:pPr>
        <w:numPr>
          <w:ilvl w:val="0"/>
          <w:numId w:val="24"/>
        </w:numPr>
        <w:overflowPunct w:val="0"/>
        <w:autoSpaceDE w:val="0"/>
        <w:autoSpaceDN w:val="0"/>
        <w:adjustRightInd w:val="0"/>
        <w:ind w:left="284" w:hanging="284"/>
        <w:textAlignment w:val="baseline"/>
        <w:rPr>
          <w:bCs/>
          <w:iCs/>
        </w:rPr>
      </w:pPr>
      <w:bookmarkStart w:name="_Toc201570897" w:id="5"/>
      <w:r>
        <w:t>sprijină un obiectiv la nivelul UE privind locurile de muncă de calitate, introducerea unor standarde minime pentru a combate sărăcia și precaritatea persoanelor încadrate în muncă, îmbunătățirea condițiilor de muncă în sectorul serviciilor de îngrijire și o mai bună protecție a tinerilor, inclusiv stagii echitabile și corolarul lor – sprijinul pentru ocuparea forței de muncă;</w:t>
      </w:r>
      <w:bookmarkEnd w:id="5"/>
    </w:p>
    <w:p w:rsidRPr="00DC28C7" w:rsidR="00AC3821" w:rsidP="00DC28C7" w:rsidRDefault="00AC3821" w14:paraId="56D25AD4" w14:textId="77777777">
      <w:pPr>
        <w:numPr>
          <w:ilvl w:val="0"/>
          <w:numId w:val="24"/>
        </w:numPr>
        <w:overflowPunct w:val="0"/>
        <w:autoSpaceDE w:val="0"/>
        <w:autoSpaceDN w:val="0"/>
        <w:adjustRightInd w:val="0"/>
        <w:ind w:left="284" w:hanging="284"/>
        <w:textAlignment w:val="baseline"/>
        <w:rPr>
          <w:bCs/>
          <w:iCs/>
        </w:rPr>
      </w:pPr>
      <w:bookmarkStart w:name="_Toc201570898" w:id="6"/>
      <w:r>
        <w:t>solicită insistent stabilirea unor standarde ambițioase la nivelul întregii UE pentru asigurările de șomaj, o directivă privind riscurile psihosociale și dreptul de a se deconecta și instituirea în politica bugetară a unei „reguli a echilibrului bugetar” pentru investițiile sociale, cu alocarea de fonduri specifice europene și naționale;</w:t>
      </w:r>
      <w:bookmarkEnd w:id="6"/>
    </w:p>
    <w:p w:rsidRPr="00DC28C7" w:rsidR="00AC3821" w:rsidP="00DC28C7" w:rsidRDefault="00AC3821" w14:paraId="5EF34DDB" w14:textId="77777777">
      <w:pPr>
        <w:numPr>
          <w:ilvl w:val="0"/>
          <w:numId w:val="24"/>
        </w:numPr>
        <w:overflowPunct w:val="0"/>
        <w:autoSpaceDE w:val="0"/>
        <w:autoSpaceDN w:val="0"/>
        <w:adjustRightInd w:val="0"/>
        <w:ind w:left="284" w:hanging="284"/>
        <w:textAlignment w:val="baseline"/>
        <w:rPr>
          <w:bCs/>
          <w:iCs/>
        </w:rPr>
      </w:pPr>
      <w:bookmarkStart w:name="_Toc201570899" w:id="7"/>
      <w:r>
        <w:t>pledează pentru recunoașterea învățării pe tot parcursul vieții ca drept, stimulând investițiile publice și private în formare, integrând și acordând prioritate obiectivelor sociale și egalității de gen în cadrul Pilonului european al drepturilor sociale, introducând mecanisme de verificare din perspectiva tinerilor și punând pe deplin în aplicare Planul de acțiune al UE pentru economia socială și un cadru de tranziție justă;</w:t>
      </w:r>
      <w:bookmarkEnd w:id="7"/>
    </w:p>
    <w:p w:rsidRPr="00DC28C7" w:rsidR="00AC3821" w:rsidP="00DC28C7" w:rsidRDefault="00AC3821" w14:paraId="36FEB868" w14:textId="77777777">
      <w:pPr>
        <w:numPr>
          <w:ilvl w:val="0"/>
          <w:numId w:val="24"/>
        </w:numPr>
        <w:overflowPunct w:val="0"/>
        <w:autoSpaceDE w:val="0"/>
        <w:autoSpaceDN w:val="0"/>
        <w:adjustRightInd w:val="0"/>
        <w:ind w:left="284" w:hanging="284"/>
        <w:textAlignment w:val="baseline"/>
        <w:rPr>
          <w:bCs/>
          <w:iCs/>
        </w:rPr>
      </w:pPr>
      <w:bookmarkStart w:name="_Toc201570900" w:id="8"/>
      <w:r>
        <w:t>solicită un dialog social mai puternic, implicarea activă a societății civile, aplicarea unor criterii sociale obligatorii în achizițiile publice și elaborarea unor indicatori care să meargă „dincolo de PIB”, pentru a reflecta mai bine bunăstarea cetățenilor și creșterea favorabilă incluziunii.</w:t>
      </w:r>
      <w:bookmarkEnd w:id="8"/>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C3821" w:rsidR="00AC3821" w:rsidTr="001757A2" w14:paraId="33DE2F7F" w14:textId="77777777">
        <w:tc>
          <w:tcPr>
            <w:tcW w:w="1556" w:type="pct"/>
          </w:tcPr>
          <w:p w:rsidRPr="00AC3821" w:rsidR="00AC3821" w:rsidP="00AC3821" w:rsidRDefault="00AC3821" w14:paraId="2CAD5FC5" w14:textId="7EC06124">
            <w:pPr>
              <w:overflowPunct w:val="0"/>
              <w:autoSpaceDE w:val="0"/>
              <w:autoSpaceDN w:val="0"/>
              <w:adjustRightInd w:val="0"/>
              <w:spacing w:line="240" w:lineRule="auto"/>
              <w:textAlignment w:val="baseline"/>
              <w:rPr>
                <w:i/>
              </w:rPr>
            </w:pPr>
            <w:r>
              <w:rPr>
                <w:b/>
                <w:i/>
              </w:rPr>
              <w:t>Date de contact</w:t>
            </w:r>
            <w:r w:rsidR="00A12471">
              <w:rPr>
                <w:b/>
                <w:i/>
              </w:rPr>
              <w:t>:</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AC3821" w:rsidR="00AC3821" w:rsidTr="001757A2" w14:paraId="43E87E3E" w14:textId="77777777">
        <w:tc>
          <w:tcPr>
            <w:tcW w:w="1556" w:type="pct"/>
          </w:tcPr>
          <w:p w:rsidRPr="00AC3821" w:rsidR="00AC3821" w:rsidP="00AC3821" w:rsidRDefault="00AC3821" w14:paraId="6DD0D774" w14:textId="355B9C70">
            <w:pPr>
              <w:overflowPunct w:val="0"/>
              <w:autoSpaceDE w:val="0"/>
              <w:autoSpaceDN w:val="0"/>
              <w:adjustRightInd w:val="0"/>
              <w:spacing w:line="240" w:lineRule="auto"/>
              <w:textAlignment w:val="baseline"/>
              <w:rPr>
                <w:i/>
              </w:rPr>
            </w:pPr>
            <w:r>
              <w:rPr>
                <w:i/>
              </w:rPr>
              <w:t>Tel.</w:t>
            </w:r>
            <w:r w:rsidR="00A12471">
              <w:rPr>
                <w:i/>
              </w:rPr>
              <w:t>:</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43DCBBCE">
            <w:pPr>
              <w:overflowPunct w:val="0"/>
              <w:autoSpaceDE w:val="0"/>
              <w:autoSpaceDN w:val="0"/>
              <w:adjustRightInd w:val="0"/>
              <w:spacing w:line="240" w:lineRule="auto"/>
              <w:textAlignment w:val="baseline"/>
              <w:rPr>
                <w:i/>
              </w:rPr>
            </w:pPr>
            <w:r>
              <w:rPr>
                <w:i/>
              </w:rPr>
              <w:t>E</w:t>
            </w:r>
            <w:r w:rsidR="00A12471">
              <w:rPr>
                <w:i/>
              </w:rPr>
              <w:t>-</w:t>
            </w:r>
            <w:r>
              <w:rPr>
                <w:i/>
              </w:rPr>
              <w:t>mail</w:t>
            </w:r>
            <w:r w:rsidR="00A12471">
              <w:rPr>
                <w:i/>
              </w:rPr>
              <w:t>:</w:t>
            </w:r>
          </w:p>
        </w:tc>
        <w:tc>
          <w:tcPr>
            <w:tcW w:w="3444" w:type="pct"/>
          </w:tcPr>
          <w:p w:rsidRPr="00A12471" w:rsidR="00AC3821" w:rsidP="00AC3821" w:rsidRDefault="005C5942" w14:paraId="7885C933" w14:textId="061DA116">
            <w:pPr>
              <w:overflowPunct w:val="0"/>
              <w:autoSpaceDE w:val="0"/>
              <w:autoSpaceDN w:val="0"/>
              <w:adjustRightInd w:val="0"/>
              <w:spacing w:line="240" w:lineRule="auto"/>
              <w:textAlignment w:val="baseline"/>
              <w:rPr>
                <w:i/>
                <w:iCs/>
                <w:color w:val="0000FF"/>
                <w:u w:val="single"/>
              </w:rPr>
            </w:pPr>
            <w:hyperlink w:history="1" r:id="rId28">
              <w:r w:rsidR="00381CCE">
                <w:rPr>
                  <w:i/>
                  <w:color w:val="0000FF"/>
                  <w:u w:val="single"/>
                </w:rPr>
                <w:t>Bartek.Bednarowicz@eesc.europa.eu</w:t>
              </w:r>
            </w:hyperlink>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5C5942"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29">
        <w:r w:rsidR="00783D73">
          <w:rPr>
            <w:b/>
            <w:i/>
            <w:color w:val="0000FF"/>
            <w:sz w:val="28"/>
            <w:u w:val="single"/>
          </w:rPr>
          <w:t>Viitorul Strategiei UE privind drepturile persoanelor cu handicap</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39B974E7">
            <w:pPr>
              <w:tabs>
                <w:tab w:val="center" w:pos="284"/>
              </w:tabs>
              <w:overflowPunct w:val="0"/>
              <w:autoSpaceDE w:val="0"/>
              <w:autoSpaceDN w:val="0"/>
              <w:adjustRightInd w:val="0"/>
              <w:ind w:left="266" w:hanging="266"/>
              <w:textAlignment w:val="baseline"/>
              <w:rPr>
                <w:b/>
              </w:rPr>
            </w:pPr>
            <w:r>
              <w:rPr>
                <w:b/>
                <w:bCs/>
              </w:rPr>
              <w:t>Raportor</w:t>
            </w:r>
            <w:r w:rsidR="00A12471">
              <w:rPr>
                <w:b/>
                <w:bCs/>
              </w:rPr>
              <w:t>:</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r>
              <w:t>Ioannis VARDAKASTANIS (Grupul „Organizații ale societății civile”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A12471" w14:paraId="70857ACC" w14:textId="4D1C1823">
            <w:pPr>
              <w:tabs>
                <w:tab w:val="center" w:pos="174"/>
              </w:tabs>
              <w:overflowPunct w:val="0"/>
              <w:autoSpaceDE w:val="0"/>
              <w:autoSpaceDN w:val="0"/>
              <w:adjustRightInd w:val="0"/>
              <w:ind w:left="266" w:hanging="266"/>
              <w:textAlignment w:val="baseline"/>
              <w:rPr>
                <w:b/>
              </w:rPr>
            </w:pPr>
            <w:r>
              <w:rPr>
                <w:b/>
              </w:rPr>
              <w:t>Referință:</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aviz din proprie inițiativă</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Punctele principale</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CESE:</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salută angajamentul Comisiei Europene de a prezenta noi acțiuni pentru a doua jumătate a Strategiei UE privind drepturile persoanelor cu handicap 2021-2030 și subliniază importanța evaluării recente a UE efectuate de Comitetul ONU pentru drepturile persoanelor cu handicap, prin care se solicită continuarea acțiunilor și în a doua jumătate a perioadei de derulare a strategiei;</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recunoaște principalele succese înregistrate în perioada 2021-2025, dar constată, de asemenea, lacunele rămase. În avizul său, prezintă acțiunile prioritare și inițiativele emblematice pentru perioada 2025-2030;</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îndeamnă Comisia să își elaboreze rapid următorul plan de acțiune, cu consultarea semnificativă a persoanelor cu handicap și a organizațiilor reprezentative ale acestora;</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solicită măsuri mai ferme și mai stricte decât cele din perioada 2021-2025, cu impact direct și finanțare specifică în următorul cadru financiar multianual, pentru a asigura o punere în aplicare și un sprijin eficace.</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Principalele acțiuni propuse:</w:t>
      </w:r>
    </w:p>
    <w:p w:rsidRPr="00783D73" w:rsidR="00783D73" w:rsidP="00783D73" w:rsidRDefault="00783D73" w14:paraId="1D49C7E7" w14:textId="77777777">
      <w:pPr>
        <w:spacing w:line="276" w:lineRule="auto"/>
        <w:jc w:val="left"/>
        <w:rPr>
          <w:lang w:val="fr-BE" w:eastAsia="fr-BE"/>
        </w:rPr>
      </w:pPr>
    </w:p>
    <w:p w:rsidRPr="00783D73" w:rsidR="00783D73" w:rsidP="00A12471"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dezvoltarea unei alternative la Directiva orizontală privind egalitatea de tratament;</w:t>
      </w:r>
    </w:p>
    <w:p w:rsidRPr="00783D73" w:rsidR="00783D73" w:rsidP="00A12471"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valorificarea experienței dobândite ca urmare a Pachetului privind ocuparea forței de muncă în rândul persoanelor cu handicap;</w:t>
      </w:r>
    </w:p>
    <w:p w:rsidRPr="00783D73" w:rsidR="00783D73" w:rsidP="00A12471"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eliminarea lacunelor rămase în urma introducerii cardului european pentru dizabilitate în ceea ce privește libertatea de mișcare;</w:t>
      </w:r>
    </w:p>
    <w:p w:rsidRPr="00783D73" w:rsidR="00783D73" w:rsidP="00A12471"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 xml:space="preserve">intensificarea accentului pus pe accesibilitate și dezvoltarea conceptului care a stat la baza Centrului </w:t>
      </w:r>
      <w:proofErr w:type="spellStart"/>
      <w:r>
        <w:t>AccesibleEU</w:t>
      </w:r>
      <w:proofErr w:type="spellEnd"/>
      <w:r>
        <w:t>;</w:t>
      </w:r>
    </w:p>
    <w:p w:rsidRPr="00783D73" w:rsidR="00783D73" w:rsidP="00A12471"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înregistrarea de progrese privind protecția femeilor și a fetelor cu handicap;</w:t>
      </w:r>
    </w:p>
    <w:p w:rsidRPr="00783D73" w:rsidR="00783D73" w:rsidP="00A12471"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soluționarea crizei locuințelor pentru persoanele cu handicap;</w:t>
      </w:r>
    </w:p>
    <w:p w:rsidRPr="00783D73" w:rsidR="00783D73" w:rsidP="00A12471"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 xml:space="preserve">crearea unui mecanism comun de certificare a tehnologiilor </w:t>
      </w:r>
      <w:proofErr w:type="spellStart"/>
      <w:r>
        <w:t>asistive</w:t>
      </w:r>
      <w:proofErr w:type="spellEnd"/>
      <w:r>
        <w:t>;</w:t>
      </w:r>
    </w:p>
    <w:p w:rsidRPr="00783D73" w:rsidR="00783D73" w:rsidP="00A12471"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textAlignment w:val="baseline"/>
      </w:pPr>
      <w:r>
        <w:t>rezolvarea problemelor cu care se confruntă persoanele cu handicap atunci când doresc să călătorească;</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promovarea dezinstituționalizării;</w:t>
      </w:r>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prevenirea discriminării bazate pe IA;</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asigurarea coerenței acțiunii externe a UE.</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044"/>
      </w:tblGrid>
      <w:tr w:rsidRPr="00783D73" w:rsidR="00A12471" w:rsidTr="00A12471" w14:paraId="6EAB4FDA" w14:textId="77777777">
        <w:tc>
          <w:tcPr>
            <w:tcW w:w="1701" w:type="dxa"/>
          </w:tcPr>
          <w:p w:rsidRPr="00783D73" w:rsidR="00A12471" w:rsidP="00783D73" w:rsidRDefault="00A12471" w14:paraId="320C4915" w14:textId="59F57E0D">
            <w:pPr>
              <w:overflowPunct w:val="0"/>
              <w:autoSpaceDE w:val="0"/>
              <w:autoSpaceDN w:val="0"/>
              <w:adjustRightInd w:val="0"/>
              <w:spacing w:line="240" w:lineRule="auto"/>
              <w:textAlignment w:val="baseline"/>
              <w:rPr>
                <w:i/>
              </w:rPr>
            </w:pPr>
            <w:r>
              <w:rPr>
                <w:b/>
                <w:i/>
              </w:rPr>
              <w:t>Date de contact:</w:t>
            </w:r>
          </w:p>
        </w:tc>
        <w:tc>
          <w:tcPr>
            <w:tcW w:w="4044" w:type="dxa"/>
          </w:tcPr>
          <w:p w:rsidRPr="00783D73" w:rsidR="00A12471" w:rsidP="00783D73" w:rsidRDefault="00A12471" w14:paraId="22CEB2BA" w14:textId="594A1D2C">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783D73" w:rsidR="00A12471" w:rsidTr="00A12471" w14:paraId="152A8D02" w14:textId="77777777">
        <w:tc>
          <w:tcPr>
            <w:tcW w:w="1701" w:type="dxa"/>
          </w:tcPr>
          <w:p w:rsidRPr="00783D73" w:rsidR="00A12471" w:rsidP="00783D73" w:rsidRDefault="00A12471" w14:paraId="3D234692" w14:textId="39F1B0FC">
            <w:pPr>
              <w:overflowPunct w:val="0"/>
              <w:autoSpaceDE w:val="0"/>
              <w:autoSpaceDN w:val="0"/>
              <w:adjustRightInd w:val="0"/>
              <w:spacing w:line="240" w:lineRule="auto"/>
              <w:textAlignment w:val="baseline"/>
              <w:rPr>
                <w:i/>
              </w:rPr>
            </w:pPr>
            <w:r>
              <w:rPr>
                <w:i/>
              </w:rPr>
              <w:t>Tel.:</w:t>
            </w:r>
          </w:p>
        </w:tc>
        <w:tc>
          <w:tcPr>
            <w:tcW w:w="4044" w:type="dxa"/>
          </w:tcPr>
          <w:p w:rsidRPr="00783D73" w:rsidR="00A12471" w:rsidP="00783D73" w:rsidRDefault="00A12471" w14:paraId="63F04F99" w14:textId="50DFEAE8">
            <w:pPr>
              <w:overflowPunct w:val="0"/>
              <w:autoSpaceDE w:val="0"/>
              <w:autoSpaceDN w:val="0"/>
              <w:adjustRightInd w:val="0"/>
              <w:spacing w:line="240" w:lineRule="auto"/>
              <w:textAlignment w:val="baseline"/>
              <w:rPr>
                <w:i/>
              </w:rPr>
            </w:pPr>
            <w:r>
              <w:rPr>
                <w:i/>
              </w:rPr>
              <w:t>+ 32 2 5468774</w:t>
            </w:r>
          </w:p>
        </w:tc>
      </w:tr>
      <w:tr w:rsidRPr="00783D73" w:rsidR="00A12471" w:rsidTr="00A12471" w14:paraId="0E945862" w14:textId="77777777">
        <w:tc>
          <w:tcPr>
            <w:tcW w:w="1701" w:type="dxa"/>
          </w:tcPr>
          <w:p w:rsidRPr="00783D73" w:rsidR="00A12471" w:rsidP="00783D73" w:rsidRDefault="00A12471" w14:paraId="1C7032D6" w14:textId="3AD0DF8C">
            <w:pPr>
              <w:overflowPunct w:val="0"/>
              <w:autoSpaceDE w:val="0"/>
              <w:autoSpaceDN w:val="0"/>
              <w:adjustRightInd w:val="0"/>
              <w:spacing w:line="240" w:lineRule="auto"/>
              <w:textAlignment w:val="baseline"/>
              <w:rPr>
                <w:i/>
              </w:rPr>
            </w:pPr>
            <w:r>
              <w:rPr>
                <w:i/>
              </w:rPr>
              <w:t>E-mail:</w:t>
            </w:r>
          </w:p>
        </w:tc>
        <w:tc>
          <w:tcPr>
            <w:tcW w:w="4044" w:type="dxa"/>
          </w:tcPr>
          <w:p w:rsidRPr="00783D73" w:rsidR="00A12471" w:rsidP="00783D73" w:rsidRDefault="00A12471" w14:paraId="1897B200" w14:textId="77777777">
            <w:pPr>
              <w:overflowPunct w:val="0"/>
              <w:autoSpaceDE w:val="0"/>
              <w:autoSpaceDN w:val="0"/>
              <w:adjustRightInd w:val="0"/>
              <w:spacing w:line="240" w:lineRule="auto"/>
              <w:textAlignment w:val="baseline"/>
              <w:rPr>
                <w:i/>
                <w:iCs/>
              </w:rPr>
            </w:pPr>
            <w:hyperlink w:history="1" r:id="rId30">
              <w:r>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5C5942"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1">
        <w:r w:rsidR="00D04355">
          <w:rPr>
            <w:b/>
            <w:i/>
            <w:color w:val="0000FF"/>
            <w:sz w:val="28"/>
            <w:u w:val="single"/>
          </w:rPr>
          <w:t>Modalități de abordare a scăderii puterii de cumpărare și a riscului de creștere a inegalităților, a excluziunii și a marginalizării</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6237"/>
      </w:tblGrid>
      <w:tr w:rsidRPr="00D04355" w:rsidR="00D04355" w:rsidTr="007F5831" w14:paraId="2B95FD7E" w14:textId="77777777">
        <w:tc>
          <w:tcPr>
            <w:tcW w:w="1843" w:type="dxa"/>
          </w:tcPr>
          <w:p w:rsidRPr="00D04355" w:rsidR="00D04355" w:rsidP="00D04355" w:rsidRDefault="00D04355" w14:paraId="623D53DE" w14:textId="70167810">
            <w:pPr>
              <w:tabs>
                <w:tab w:val="center" w:pos="284"/>
              </w:tabs>
              <w:overflowPunct w:val="0"/>
              <w:autoSpaceDE w:val="0"/>
              <w:autoSpaceDN w:val="0"/>
              <w:adjustRightInd w:val="0"/>
              <w:ind w:left="567" w:hanging="567"/>
              <w:textAlignment w:val="baseline"/>
              <w:rPr>
                <w:b/>
              </w:rPr>
            </w:pPr>
            <w:r>
              <w:rPr>
                <w:b/>
                <w:bCs/>
              </w:rPr>
              <w:t>Raportor</w:t>
            </w:r>
          </w:p>
        </w:tc>
        <w:tc>
          <w:tcPr>
            <w:tcW w:w="6237" w:type="dxa"/>
          </w:tcPr>
          <w:p w:rsidRPr="00D04355" w:rsidR="00D04355" w:rsidP="007F5831" w:rsidRDefault="00D04355" w14:paraId="65C7585E" w14:textId="056D0903">
            <w:pPr>
              <w:overflowPunct w:val="0"/>
              <w:autoSpaceDE w:val="0"/>
              <w:autoSpaceDN w:val="0"/>
              <w:adjustRightInd w:val="0"/>
              <w:ind w:left="567" w:hanging="567"/>
              <w:textAlignment w:val="baseline"/>
            </w:pPr>
            <w:r>
              <w:t xml:space="preserve">Maria </w:t>
            </w:r>
            <w:proofErr w:type="spellStart"/>
            <w:r>
              <w:t>del</w:t>
            </w:r>
            <w:proofErr w:type="spellEnd"/>
            <w:r>
              <w:t xml:space="preserve"> Carmen BARRERA CHAMORRO (Grupul „Lucrători”</w:t>
            </w:r>
            <w:r w:rsidR="007F5831">
              <w:t xml:space="preserve"> –</w:t>
            </w:r>
            <w:r>
              <w:t xml:space="preserve"> ES)</w:t>
            </w:r>
          </w:p>
        </w:tc>
      </w:tr>
      <w:tr w:rsidRPr="00D04355" w:rsidR="00D04355" w:rsidTr="007F5831" w14:paraId="116D55BD" w14:textId="77777777">
        <w:tc>
          <w:tcPr>
            <w:tcW w:w="1843" w:type="dxa"/>
          </w:tcPr>
          <w:p w:rsidRPr="00D04355" w:rsidR="00D04355" w:rsidP="00D04355" w:rsidRDefault="007F5831" w14:paraId="342AA177" w14:textId="2AD514D4">
            <w:pPr>
              <w:tabs>
                <w:tab w:val="center" w:pos="284"/>
              </w:tabs>
              <w:overflowPunct w:val="0"/>
              <w:autoSpaceDE w:val="0"/>
              <w:autoSpaceDN w:val="0"/>
              <w:adjustRightInd w:val="0"/>
              <w:ind w:left="567" w:hanging="567"/>
              <w:textAlignment w:val="baseline"/>
              <w:rPr>
                <w:b/>
              </w:rPr>
            </w:pPr>
            <w:r>
              <w:rPr>
                <w:b/>
              </w:rPr>
              <w:t>Referință:</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aviz din proprie inițiativă</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bl>
    <w:p w:rsidR="007F5831" w:rsidP="00D04355" w:rsidRDefault="007F5831" w14:paraId="54EC807A" w14:textId="77777777">
      <w:pPr>
        <w:keepNext/>
        <w:keepLines/>
        <w:tabs>
          <w:tab w:val="center" w:pos="284"/>
        </w:tabs>
        <w:overflowPunct w:val="0"/>
        <w:autoSpaceDE w:val="0"/>
        <w:autoSpaceDN w:val="0"/>
        <w:adjustRightInd w:val="0"/>
        <w:ind w:left="266" w:hanging="266"/>
        <w:textAlignment w:val="baseline"/>
        <w:rPr>
          <w:b/>
        </w:rPr>
      </w:pPr>
    </w:p>
    <w:p w:rsidRPr="007F5831" w:rsidR="00D04355" w:rsidP="007F5831" w:rsidRDefault="00D04355" w14:paraId="6D29C283" w14:textId="1009B7AB">
      <w:pPr>
        <w:keepNext/>
        <w:keepLines/>
        <w:tabs>
          <w:tab w:val="center" w:pos="284"/>
        </w:tabs>
        <w:overflowPunct w:val="0"/>
        <w:autoSpaceDE w:val="0"/>
        <w:autoSpaceDN w:val="0"/>
        <w:adjustRightInd w:val="0"/>
        <w:ind w:left="266" w:hanging="266"/>
        <w:textAlignment w:val="baseline"/>
        <w:rPr>
          <w:b/>
        </w:rPr>
      </w:pPr>
      <w:r>
        <w:rPr>
          <w:b/>
        </w:rPr>
        <w:t>Punctele principale</w:t>
      </w:r>
    </w:p>
    <w:p w:rsidRPr="00B60D9A" w:rsidR="00D04355" w:rsidP="00D04355" w:rsidRDefault="00D04355" w14:paraId="76180FA7" w14:textId="77777777">
      <w:pPr>
        <w:spacing w:before="100" w:beforeAutospacing="1" w:after="100" w:afterAutospacing="1" w:line="240" w:lineRule="auto"/>
        <w:jc w:val="left"/>
      </w:pPr>
      <w:r>
        <w:rPr>
          <w:b/>
        </w:rPr>
        <w:t>CESE:</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consideră că investițiile în oameni și în economie, impozitarea echitabilă, serviciile publice de calitate și la prețuri accesibile și sprijinul direcționat pentru persoanele cele mai vulnerabile, împreună cu politica industrială pe termen scurt și lung și cu eforturile de a mări competitivitatea, sunt esențiale pentru a atenua criza costului vieții și a asigura protecția împotriva șocurilor viitoare.</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recomandă o utilizare mai intensă a dialogului social, a negocierilor colective și a dialogului civil pentru a aborda provocările de pe piața forței de muncă și pentru a îmbunătăți salariile și protecția socială a lucrătorilor, în conformitate cu evoluțiile productivității;</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recunoaște importanța creșterii salariilor și a salariului minim, și subliniază efectul pozitiv al directivei privind salariile minime adecvate în Uniunea Europeană asupra creșterilor salariale;</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consideră că UE trebuie să își consolideze capacitatea de a preveni crizele viitoare și de a răspunde la acestea, inclusiv prin adoptarea unui instrument financiar permanent pentru stabilizarea cheltuielilor statelor membre în cazul unor șocuri economice externe. De asemenea, recomandă adoptarea de politici tarifare adecvate, cum ar fi plafoane pentru prețurile energiei electrice, și punerea în aplicare de către statele membre a unor politici privind locuințele la prețuri accesibile și a unei strategii europene cuprinzătoare de combatere a lipsei de adăpost;</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subliniază rolul educației ca instrument puternic de prevenire a excluziunii, marginalizării și inegalității, și invită UE și statele membre să crească investițiile în acest domeniu;</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consideră că serviciile esențiale și sociale, inclusiv cele furnizate de entitățile din economia socială, ar trebui dezvoltate astfel încât să se elimine barierele din calea accesului;</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subliniază necesitatea de a consolida utilizarea evaluărilor impactului distributiv în cadrul semestrului european și al cadrului său de convergență socială, pentru a garanta că politicile din toate domeniile nu exacerbează sărăcia sau inegalitatea;</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îndeamnă UE să încurajeze statele membre să mențină cheltuieli publice adecvate pentru sistemele de securitate socială, educație, formare, asistență medicală și îngrijire comunitară.</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4143"/>
      </w:tblGrid>
      <w:tr w:rsidRPr="00D04355" w:rsidR="00D04355" w:rsidTr="007F5831" w14:paraId="154968C7" w14:textId="77777777">
        <w:tc>
          <w:tcPr>
            <w:tcW w:w="156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Date de contact</w:t>
            </w:r>
          </w:p>
        </w:tc>
        <w:tc>
          <w:tcPr>
            <w:tcW w:w="414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r>
              <w:rPr>
                <w:i/>
              </w:rPr>
              <w:t xml:space="preserve">Valeria </w:t>
            </w:r>
            <w:proofErr w:type="spellStart"/>
            <w:r>
              <w:rPr>
                <w:i/>
              </w:rPr>
              <w:t>Atzori</w:t>
            </w:r>
            <w:proofErr w:type="spellEnd"/>
          </w:p>
        </w:tc>
      </w:tr>
      <w:tr w:rsidRPr="00D04355" w:rsidR="00D04355" w:rsidTr="007F5831" w14:paraId="2B72ECEF" w14:textId="77777777">
        <w:tc>
          <w:tcPr>
            <w:tcW w:w="156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Tel.</w:t>
            </w:r>
          </w:p>
        </w:tc>
        <w:tc>
          <w:tcPr>
            <w:tcW w:w="414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7F5831" w14:paraId="6C3F5A3C" w14:textId="77777777">
        <w:tc>
          <w:tcPr>
            <w:tcW w:w="156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Email</w:t>
            </w:r>
          </w:p>
        </w:tc>
        <w:tc>
          <w:tcPr>
            <w:tcW w:w="4143" w:type="dxa"/>
          </w:tcPr>
          <w:p w:rsidRPr="00D04355" w:rsidR="00D04355" w:rsidP="00D04355" w:rsidRDefault="005C5942" w14:paraId="39D2EF9E" w14:textId="77777777">
            <w:pPr>
              <w:overflowPunct w:val="0"/>
              <w:autoSpaceDE w:val="0"/>
              <w:autoSpaceDN w:val="0"/>
              <w:adjustRightInd w:val="0"/>
              <w:spacing w:line="240" w:lineRule="auto"/>
              <w:textAlignment w:val="baseline"/>
              <w:rPr>
                <w:i/>
              </w:rPr>
            </w:pPr>
            <w:hyperlink w:history="1" r:id="rId32">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950A0" w:rsidRDefault="005C5942" w14:paraId="140E663D" w14:textId="50248690">
      <w:pPr>
        <w:widowControl w:val="0"/>
        <w:numPr>
          <w:ilvl w:val="0"/>
          <w:numId w:val="6"/>
        </w:numPr>
        <w:overflowPunct w:val="0"/>
        <w:autoSpaceDE w:val="0"/>
        <w:autoSpaceDN w:val="0"/>
        <w:adjustRightInd w:val="0"/>
        <w:ind w:left="284" w:hanging="426"/>
        <w:textAlignment w:val="baseline"/>
        <w:rPr>
          <w:b/>
        </w:rPr>
      </w:pPr>
      <w:hyperlink w:history="1" r:id="rId33">
        <w:r w:rsidR="009A3B12">
          <w:rPr>
            <w:b/>
            <w:i/>
            <w:color w:val="0000FF"/>
            <w:sz w:val="28"/>
            <w:u w:val="single"/>
          </w:rPr>
          <w:t>Sprijinul acordat lucrătorilor afectați de disponibilizări iminente în întreprinderile în curs de restructurare</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616AB8CB">
            <w:pPr>
              <w:overflowPunct w:val="0"/>
              <w:autoSpaceDE w:val="0"/>
              <w:autoSpaceDN w:val="0"/>
              <w:adjustRightInd w:val="0"/>
              <w:textAlignment w:val="baseline"/>
              <w:rPr>
                <w:b/>
              </w:rPr>
            </w:pPr>
            <w:r>
              <w:rPr>
                <w:b/>
              </w:rPr>
              <w:t>Raportor general</w:t>
            </w:r>
            <w:r w:rsidR="007F5831">
              <w:rPr>
                <w:b/>
              </w:rPr>
              <w:t>:</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proofErr w:type="spellStart"/>
            <w:r>
              <w:t>Tatjana</w:t>
            </w:r>
            <w:proofErr w:type="spellEnd"/>
            <w:r>
              <w:t xml:space="preserve"> BABRAUSKIENĖ (Grupul „Lucrători”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7F5831" w14:paraId="70AB5D42" w14:textId="66D2158F">
            <w:pPr>
              <w:tabs>
                <w:tab w:val="center" w:pos="284"/>
              </w:tabs>
              <w:overflowPunct w:val="0"/>
              <w:autoSpaceDE w:val="0"/>
              <w:autoSpaceDN w:val="0"/>
              <w:adjustRightInd w:val="0"/>
              <w:ind w:left="266" w:hanging="266"/>
              <w:textAlignment w:val="baseline"/>
              <w:rPr>
                <w:b/>
              </w:rPr>
            </w:pPr>
            <w:r>
              <w:rPr>
                <w:b/>
              </w:rPr>
              <w:t>Referință:</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aviz din proprie inițiativă</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Punctele principale</w:t>
      </w:r>
    </w:p>
    <w:p w:rsidRPr="009A3B12" w:rsidR="009A3B12" w:rsidP="009A3B12" w:rsidRDefault="009A3B12" w14:paraId="1E0FEC0B" w14:textId="77777777">
      <w:pPr>
        <w:spacing w:before="100" w:beforeAutospacing="1" w:after="100" w:afterAutospacing="1"/>
        <w:jc w:val="left"/>
      </w:pPr>
      <w:r>
        <w:rPr>
          <w:b/>
        </w:rPr>
        <w:t>CESE:</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salută propunerea Comisiei Europene de modificare a Regulamentului (UE) 2021/691, care vizează consolidarea sprijinului pentru lucrătorii afectați de disponibilizări iminente din cauza unor procese de restructurare și creșterea eficacității Fondului european de ajustare la globalizare (FEG);</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subliniază necesitatea de a oferi sprijin prompt și adaptat, inclusiv perfecționare, reangajare, sprijin pentru venit și servicii de sănătate mintală. Ar trebui să se acorde o atenție deosebită competențelor digitale și verzi;</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solicită ca lucrătorii să rămână eligibili pentru asistență după încetarea raportului lor de muncă, pledează în favoarea posibilității unor cereri ulterioare din partea statelor membre și invită la includerea grupurilor vulnerabile sau altfel excluse, cum ar fi angajații IMM-urilor și ai subcontractanților, lucrătorii în vârstă, cu handicap și cu un nivel scăzut de calificare, precum și la integrarea actorilor economiei sociale;</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recomandă un sprijin adaptat pentru regiunile cele mai afectate de restructurare și o mai mare implicare a autorităților locale și a partenerilor sociali;</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solicită o finanțare suficientă pentru asistența tehnică, o mai bună coordonare între instrumentele UE (FEG, FSE +, FTJ), cadre solide de monitorizare și evaluare bazate pe date calitative și cantitative și campanii de sensibilizare pentru a garanta utilizarea echitabilă și eficace a FEG;</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subliniază importanța unui dialog social timpuriu și semnificativ, a unor planuri de tranziție obligatorii din partea întreprinderilor beneficiare și a respectării depline a directivelor UE privind informarea, consultarea și concedierile colective.</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044"/>
      </w:tblGrid>
      <w:tr w:rsidRPr="009A3B12" w:rsidR="007F5831" w:rsidTr="007F5831" w14:paraId="15A1BCBA" w14:textId="77777777">
        <w:tc>
          <w:tcPr>
            <w:tcW w:w="1701" w:type="dxa"/>
          </w:tcPr>
          <w:p w:rsidRPr="009A3B12" w:rsidR="007F5831" w:rsidP="009A3B12" w:rsidRDefault="007F5831" w14:paraId="3569A840" w14:textId="17F661A2">
            <w:pPr>
              <w:overflowPunct w:val="0"/>
              <w:autoSpaceDE w:val="0"/>
              <w:autoSpaceDN w:val="0"/>
              <w:adjustRightInd w:val="0"/>
              <w:textAlignment w:val="baseline"/>
              <w:rPr>
                <w:i/>
              </w:rPr>
            </w:pPr>
            <w:r>
              <w:rPr>
                <w:b/>
                <w:i/>
              </w:rPr>
              <w:t>Date de contact:</w:t>
            </w:r>
          </w:p>
        </w:tc>
        <w:tc>
          <w:tcPr>
            <w:tcW w:w="4044" w:type="dxa"/>
          </w:tcPr>
          <w:p w:rsidRPr="009A3B12" w:rsidR="007F5831" w:rsidP="009A3B12" w:rsidRDefault="007F5831" w14:paraId="0DF1F070" w14:textId="4487F88B">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9A3B12" w:rsidR="007F5831" w:rsidTr="007F5831" w14:paraId="18B66F47" w14:textId="77777777">
        <w:tc>
          <w:tcPr>
            <w:tcW w:w="1701" w:type="dxa"/>
          </w:tcPr>
          <w:p w:rsidRPr="009A3B12" w:rsidR="007F5831" w:rsidP="009A3B12" w:rsidRDefault="007F5831" w14:paraId="78D1DC58" w14:textId="620C3800">
            <w:pPr>
              <w:overflowPunct w:val="0"/>
              <w:autoSpaceDE w:val="0"/>
              <w:autoSpaceDN w:val="0"/>
              <w:adjustRightInd w:val="0"/>
              <w:textAlignment w:val="baseline"/>
              <w:rPr>
                <w:i/>
              </w:rPr>
            </w:pPr>
            <w:r>
              <w:rPr>
                <w:i/>
              </w:rPr>
              <w:t>Tel.:</w:t>
            </w:r>
          </w:p>
        </w:tc>
        <w:tc>
          <w:tcPr>
            <w:tcW w:w="4044" w:type="dxa"/>
          </w:tcPr>
          <w:p w:rsidRPr="009A3B12" w:rsidR="007F5831" w:rsidP="009A3B12" w:rsidRDefault="007F5831" w14:paraId="4855A562" w14:textId="74692B7B">
            <w:pPr>
              <w:overflowPunct w:val="0"/>
              <w:autoSpaceDE w:val="0"/>
              <w:autoSpaceDN w:val="0"/>
              <w:adjustRightInd w:val="0"/>
              <w:textAlignment w:val="baseline"/>
              <w:rPr>
                <w:i/>
              </w:rPr>
            </w:pPr>
            <w:r>
              <w:rPr>
                <w:i/>
              </w:rPr>
              <w:t>+32 2 5469229</w:t>
            </w:r>
          </w:p>
        </w:tc>
      </w:tr>
      <w:tr w:rsidRPr="009A3B12" w:rsidR="007F5831" w:rsidTr="007F5831" w14:paraId="7B9461F8" w14:textId="77777777">
        <w:tc>
          <w:tcPr>
            <w:tcW w:w="1701" w:type="dxa"/>
          </w:tcPr>
          <w:p w:rsidRPr="009A3B12" w:rsidR="007F5831" w:rsidP="009A3B12" w:rsidRDefault="007F5831" w14:paraId="29D7C5FE" w14:textId="226ABAD8">
            <w:pPr>
              <w:overflowPunct w:val="0"/>
              <w:autoSpaceDE w:val="0"/>
              <w:autoSpaceDN w:val="0"/>
              <w:adjustRightInd w:val="0"/>
              <w:textAlignment w:val="baseline"/>
              <w:rPr>
                <w:i/>
              </w:rPr>
            </w:pPr>
            <w:r>
              <w:rPr>
                <w:i/>
              </w:rPr>
              <w:t>E-mail:</w:t>
            </w:r>
          </w:p>
        </w:tc>
        <w:tc>
          <w:tcPr>
            <w:tcW w:w="4044" w:type="dxa"/>
          </w:tcPr>
          <w:p w:rsidRPr="009A3B12" w:rsidR="007F5831" w:rsidP="009A3B12" w:rsidRDefault="007F5831" w14:paraId="2D1E3999" w14:textId="77777777">
            <w:pPr>
              <w:overflowPunct w:val="0"/>
              <w:autoSpaceDE w:val="0"/>
              <w:autoSpaceDN w:val="0"/>
              <w:adjustRightInd w:val="0"/>
              <w:textAlignment w:val="baseline"/>
              <w:rPr>
                <w:i/>
                <w:iCs/>
              </w:rPr>
            </w:pPr>
            <w:hyperlink w:history="1" r:id="rId34">
              <w:r>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9"/>
      <w:bookmarkStart w:name="_Toc75527082" w:id="10"/>
      <w:bookmarkStart w:name="_Toc202281629" w:id="11"/>
      <w:r>
        <w:rPr>
          <w:b/>
        </w:rPr>
        <w:lastRenderedPageBreak/>
        <w:t>SECȚIUNEA PENTRU TRANSPORTURI, ENERGIE, INFRASTRUCTURĂ ȘI SOCIETATEA INFORMAȚIONALĂ</w:t>
      </w:r>
      <w:bookmarkEnd w:id="9"/>
      <w:bookmarkEnd w:id="10"/>
      <w:bookmarkEnd w:id="11"/>
    </w:p>
    <w:p w:rsidR="004D7AC0" w:rsidP="004D7AC0" w:rsidRDefault="004D7AC0" w14:paraId="4982DDC7" w14:textId="77777777"/>
    <w:p w:rsidRPr="00240FD7" w:rsidR="00240FD7" w:rsidP="00240FD7" w:rsidRDefault="005C5942"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35">
        <w:r w:rsidR="00381CCE">
          <w:rPr>
            <w:b/>
            <w:i/>
            <w:color w:val="0000FF"/>
            <w:sz w:val="28"/>
            <w:u w:val="single"/>
          </w:rPr>
          <w:t>Către un sistem energetic european echilibrat</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9"/>
      </w:tblGrid>
      <w:tr w:rsidRPr="00240FD7" w:rsidR="00240FD7" w:rsidTr="001757A2" w14:paraId="42A3F122" w14:textId="77777777">
        <w:tc>
          <w:tcPr>
            <w:tcW w:w="1321" w:type="pct"/>
          </w:tcPr>
          <w:p w:rsidRPr="00240FD7" w:rsidR="00240FD7" w:rsidP="00240FD7" w:rsidRDefault="00240FD7" w14:paraId="2D51F145" w14:textId="0B7CF6C3">
            <w:pPr>
              <w:tabs>
                <w:tab w:val="center" w:pos="284"/>
              </w:tabs>
              <w:overflowPunct w:val="0"/>
              <w:autoSpaceDE w:val="0"/>
              <w:autoSpaceDN w:val="0"/>
              <w:adjustRightInd w:val="0"/>
              <w:ind w:left="266" w:hanging="266"/>
              <w:textAlignment w:val="baseline"/>
              <w:rPr>
                <w:b/>
              </w:rPr>
            </w:pPr>
            <w:r>
              <w:rPr>
                <w:b/>
                <w:bCs/>
              </w:rPr>
              <w:t>Raportor</w:t>
            </w:r>
            <w:r w:rsidR="00167E28">
              <w:rPr>
                <w:b/>
                <w:bCs/>
              </w:rPr>
              <w:t>:</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Zsolt KÜKEDI (Grupul „Organizații ale societății civile”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Coraportor:</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(Grupul „Lucrători”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tcPr>
          <w:p w:rsidRPr="00240FD7" w:rsidR="00240FD7" w:rsidP="00240FD7" w:rsidRDefault="00167E28" w14:paraId="000D4347" w14:textId="05FF559B">
            <w:pPr>
              <w:tabs>
                <w:tab w:val="center" w:pos="284"/>
              </w:tabs>
              <w:overflowPunct w:val="0"/>
              <w:autoSpaceDE w:val="0"/>
              <w:autoSpaceDN w:val="0"/>
              <w:adjustRightInd w:val="0"/>
              <w:ind w:left="266" w:hanging="266"/>
              <w:textAlignment w:val="baseline"/>
              <w:rPr>
                <w:b/>
              </w:rPr>
            </w:pPr>
            <w:r>
              <w:rPr>
                <w:b/>
              </w:rPr>
              <w:t>Referință:</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aviz din proprie inițiativă</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CESE:</w:t>
      </w:r>
    </w:p>
    <w:p w:rsidRPr="00240FD7" w:rsidR="00240FD7" w:rsidP="00240FD7" w:rsidRDefault="00240FD7" w14:paraId="00B1CC70" w14:textId="77777777">
      <w:pPr>
        <w:widowControl w:val="0"/>
        <w:overflowPunct w:val="0"/>
        <w:autoSpaceDE w:val="0"/>
        <w:autoSpaceDN w:val="0"/>
        <w:adjustRightInd w:val="0"/>
        <w:ind w:left="709"/>
        <w:textAlignment w:val="baseline"/>
        <w:rPr>
          <w:bCs/>
          <w:iCs/>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consideră că accesibilitatea prețurilor energiei, neutralitatea din punctul de vedere al emisiilor de carbon și securitatea energetică sunt obiectivele centrale ale unui sistem energetic echilibrat;</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subliniază că, pentru echilibrarea cererii și ofertei, inclusiv a producției intermitente și a celei constante, a surselor controlabile și a celor necontrolabile și a diferențelor energetice regionale, este esențial să se mențină producția de bază și un mix energetic curat și diversificat;</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subscrie la apelul Comisiei, care, în Planul de acțiune pentru energie la prețuri accesibile, recomandă statelor membre să reducă temporar impozitele și taxele pentru a reduce costurile ridicate;</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propune să se recurgă la o foaie de parcurs flexibilă, dar fermă pentru statele membre dependente de combustibilii fosili, într-un spirit de cooperare la nivelul UE și la nivel național;</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ia act că este necesar să se mărească flexibilitatea și eficiența, subliniază rolul pe care îl au gestionarea activă a cererii și consumul inteligent și solicită să se recurgă la campanii de sensibilizare, la soluții de sporire a eficienței și la modele de afaceri prin care se promovează punerea în comun a resurselor consumatorilor și producătorilor mai mici;</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solicită să se asigure interconexiuni transfrontaliere mai rapide și să se modernizeze infrastructura, pentru a se finaliza uniunea energetică și a se consolida fluxurile interne de energie, având în vedere mai ales recenta pană de curent din Spania și Portugalia;</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solicită să se analizeze cum se pot utiliza mai bine sursele insuficient exploatate (de exemplu, energia geotermică pentru electricitate, biogazul pentru producția locală) și cum se poate accelera inovarea (eficiența, digitalizarea, flexibilitatea rețelei, integrarea sectorială);</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recomandă să se mărească accesul la producția descentralizată de energie din surse regenerabile (</w:t>
      </w:r>
      <w:proofErr w:type="spellStart"/>
      <w:r>
        <w:t>prosumatori</w:t>
      </w:r>
      <w:proofErr w:type="spellEnd"/>
      <w:r>
        <w:t xml:space="preserve"> și comunități de energie), prin eliminarea lacunelor în materie de reglementare și prin rezolvarea conflictelor de interese;</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propune să se elaboreze un plan european de acțiune pentru stabilitatea tranzitorie, care să cuprindă și standarde obligatorii în materie de inerție sintetică, testarea răspunsului la regimul tranzitoriu în cazul noilor active și evaluări anuale ale capacității sistemului energetic de a face față perturbărilor rapide, în vederea prevenirii întreruperilor de rețea generalizate.</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240FD7" w:rsidR="00240FD7" w:rsidTr="001757A2" w14:paraId="7F5A586D" w14:textId="77777777">
        <w:tc>
          <w:tcPr>
            <w:tcW w:w="1556" w:type="pct"/>
          </w:tcPr>
          <w:p w:rsidRPr="00240FD7" w:rsidR="00240FD7" w:rsidP="00240FD7" w:rsidRDefault="00240FD7" w14:paraId="5E40EB11" w14:textId="2F83D528">
            <w:pPr>
              <w:overflowPunct w:val="0"/>
              <w:autoSpaceDE w:val="0"/>
              <w:autoSpaceDN w:val="0"/>
              <w:adjustRightInd w:val="0"/>
              <w:spacing w:line="240" w:lineRule="auto"/>
              <w:textAlignment w:val="baseline"/>
              <w:rPr>
                <w:i/>
              </w:rPr>
            </w:pPr>
            <w:r>
              <w:rPr>
                <w:b/>
                <w:i/>
              </w:rPr>
              <w:t>Date de contact</w:t>
            </w:r>
            <w:r w:rsidR="00167E28">
              <w:rPr>
                <w:b/>
                <w:i/>
              </w:rPr>
              <w:t>:</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240FD7" w:rsidR="00240FD7" w:rsidTr="001757A2" w14:paraId="3717A876" w14:textId="77777777">
        <w:tc>
          <w:tcPr>
            <w:tcW w:w="1556" w:type="pct"/>
          </w:tcPr>
          <w:p w:rsidRPr="00240FD7" w:rsidR="00240FD7" w:rsidP="00240FD7" w:rsidRDefault="00240FD7" w14:paraId="47FF5AFD" w14:textId="6F951BB2">
            <w:pPr>
              <w:overflowPunct w:val="0"/>
              <w:autoSpaceDE w:val="0"/>
              <w:autoSpaceDN w:val="0"/>
              <w:adjustRightInd w:val="0"/>
              <w:spacing w:line="240" w:lineRule="auto"/>
              <w:textAlignment w:val="baseline"/>
              <w:rPr>
                <w:i/>
              </w:rPr>
            </w:pPr>
            <w:r>
              <w:rPr>
                <w:i/>
              </w:rPr>
              <w:t>Tel.</w:t>
            </w:r>
            <w:r w:rsidR="00167E28">
              <w:rPr>
                <w:i/>
              </w:rPr>
              <w:t>:</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314EEEEA">
            <w:pPr>
              <w:overflowPunct w:val="0"/>
              <w:autoSpaceDE w:val="0"/>
              <w:autoSpaceDN w:val="0"/>
              <w:adjustRightInd w:val="0"/>
              <w:spacing w:line="240" w:lineRule="auto"/>
              <w:textAlignment w:val="baseline"/>
              <w:rPr>
                <w:i/>
              </w:rPr>
            </w:pPr>
            <w:r>
              <w:rPr>
                <w:i/>
              </w:rPr>
              <w:t>E</w:t>
            </w:r>
            <w:r w:rsidR="00167E28">
              <w:rPr>
                <w:i/>
              </w:rPr>
              <w:t>-</w:t>
            </w:r>
            <w:r>
              <w:rPr>
                <w:i/>
              </w:rPr>
              <w:t>mail</w:t>
            </w:r>
            <w:r w:rsidR="00167E28">
              <w:rPr>
                <w:i/>
              </w:rPr>
              <w:t>:</w:t>
            </w:r>
          </w:p>
        </w:tc>
        <w:tc>
          <w:tcPr>
            <w:tcW w:w="3444" w:type="pct"/>
          </w:tcPr>
          <w:p w:rsidRPr="00240FD7" w:rsidR="00240FD7" w:rsidP="00240FD7" w:rsidRDefault="005C5942" w14:paraId="0A10AF36" w14:textId="77777777">
            <w:pPr>
              <w:overflowPunct w:val="0"/>
              <w:autoSpaceDE w:val="0"/>
              <w:autoSpaceDN w:val="0"/>
              <w:adjustRightInd w:val="0"/>
              <w:spacing w:line="240" w:lineRule="auto"/>
              <w:textAlignment w:val="baseline"/>
              <w:rPr>
                <w:i/>
              </w:rPr>
            </w:pPr>
            <w:hyperlink w:history="1" r:id="rId36">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240FD7" w:rsidR="00240FD7" w:rsidP="00240FD7" w:rsidRDefault="005C5942"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37">
        <w:r w:rsidR="00381CCE">
          <w:rPr>
            <w:b/>
            <w:i/>
            <w:color w:val="0000FF"/>
            <w:sz w:val="28"/>
            <w:u w:val="single"/>
          </w:rPr>
          <w:t>Planificarea mobilității urbane durabile în UE</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381"/>
      </w:tblGrid>
      <w:tr w:rsidRPr="00240FD7" w:rsidR="00240FD7" w:rsidTr="001757A2" w14:paraId="37155882" w14:textId="77777777">
        <w:tc>
          <w:tcPr>
            <w:tcW w:w="1186" w:type="pct"/>
          </w:tcPr>
          <w:p w:rsidRPr="00240FD7" w:rsidR="00240FD7" w:rsidP="00240FD7" w:rsidRDefault="00240FD7" w14:paraId="52220D5B" w14:textId="1BFA4507">
            <w:pPr>
              <w:tabs>
                <w:tab w:val="center" w:pos="284"/>
              </w:tabs>
              <w:overflowPunct w:val="0"/>
              <w:autoSpaceDE w:val="0"/>
              <w:autoSpaceDN w:val="0"/>
              <w:adjustRightInd w:val="0"/>
              <w:ind w:left="266" w:hanging="266"/>
              <w:textAlignment w:val="baseline"/>
              <w:rPr>
                <w:b/>
              </w:rPr>
            </w:pPr>
            <w:r>
              <w:rPr>
                <w:b/>
                <w:bCs/>
              </w:rPr>
              <w:t>Raportoare</w:t>
            </w:r>
            <w:r w:rsidR="0085298D">
              <w:rPr>
                <w:b/>
                <w:bCs/>
              </w:rPr>
              <w:t>:</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proofErr w:type="spellStart"/>
            <w:r>
              <w:t>Lidija</w:t>
            </w:r>
            <w:proofErr w:type="spellEnd"/>
            <w:r>
              <w:t xml:space="preserve"> PAVIĆ-ROGOŠIĆ (Grupul „Organizații ale societății civile”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Coraportor:</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(Grupul „Lucrători”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tcPr>
          <w:p w:rsidRPr="00240FD7" w:rsidR="00240FD7" w:rsidP="00240FD7" w:rsidRDefault="0085298D" w14:paraId="5219CA89" w14:textId="35336DFE">
            <w:pPr>
              <w:tabs>
                <w:tab w:val="center" w:pos="284"/>
              </w:tabs>
              <w:overflowPunct w:val="0"/>
              <w:autoSpaceDE w:val="0"/>
              <w:autoSpaceDN w:val="0"/>
              <w:adjustRightInd w:val="0"/>
              <w:ind w:left="266" w:hanging="266"/>
              <w:textAlignment w:val="baseline"/>
              <w:rPr>
                <w:b/>
              </w:rPr>
            </w:pPr>
            <w:r>
              <w:rPr>
                <w:b/>
              </w:rPr>
              <w:t>Referință:</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aviz din proprie inițiativă</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110F77E0">
      <w:pPr>
        <w:keepNext/>
        <w:keepLines/>
        <w:tabs>
          <w:tab w:val="center" w:pos="284"/>
        </w:tabs>
        <w:overflowPunct w:val="0"/>
        <w:autoSpaceDE w:val="0"/>
        <w:autoSpaceDN w:val="0"/>
        <w:adjustRightInd w:val="0"/>
        <w:ind w:left="266" w:hanging="266"/>
        <w:textAlignment w:val="baseline"/>
        <w:rPr>
          <w:b/>
        </w:rPr>
      </w:pPr>
      <w:r>
        <w:rPr>
          <w:b/>
        </w:rPr>
        <w:t>Punctele principale</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CESE:</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recomandă elaborarea unor planuri de mobilitate urbană durabilă (PMUD) pentru a îmbunătăți mobilitatea urbană și a reduce impactul acesteia asupra mediului. CESE solicită statelor membre să dezvolte programe naționale care să ajute autoritățile locale și regionale la elaborarea și punerea în aplicare a PMUD-urilor prin orientări, consolidarea capacităților și finanțare și cere Comisiei să sprijine continuarea și extinderea rețelelor naționale CIVITAS – CIVINET.</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consideră că PMUD-urile sunt esențiale pentru o dezvoltare regională echilibrată. Mobilizarea creativității și a capitalului social al regiunilor este un pas esențial; organizațiile de angajatori, sindicatele și organizațiile societății civile au un rol esențial și trebuie să fie încurajate să contribuie la acest dialog. Este important să se implice în planificare toate părțile interesate relevante de la nivelul local, nivelul național și nivelul UE, inclusiv în aspecte transfrontaliere.</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 xml:space="preserve">în procesul de planificare a mobilității „urbane”, recomandă să se țină seama de ideea că viața socială și economică a zonelor urbane se întinde până în zonele suburbane, </w:t>
      </w:r>
      <w:proofErr w:type="spellStart"/>
      <w:r>
        <w:t>periurbane</w:t>
      </w:r>
      <w:proofErr w:type="spellEnd"/>
      <w:r>
        <w:t xml:space="preserve"> și rurale și că punctele de vedere și nevoile acestor zone trebuie luate în considerare. Lipsa de eficiență din sistemul de mobilitate creează și menține decalajul dintre mediul urban și mediul rural, precum și implicațiile economice, sociale și politice negative ale acestui decalaj. Echitatea sistemului de mobilitate înseamnă că mobilitatea este convenabilă ca preț și nu creează privilegii pentru cei care se află deja într-o poziție mai bună.</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240FD7" w:rsidR="00240FD7" w:rsidTr="001757A2" w14:paraId="052C1995" w14:textId="77777777">
        <w:tc>
          <w:tcPr>
            <w:tcW w:w="1556" w:type="pct"/>
          </w:tcPr>
          <w:p w:rsidRPr="00240FD7" w:rsidR="00240FD7" w:rsidP="00240FD7" w:rsidRDefault="00240FD7" w14:paraId="750B1407" w14:textId="1976949C">
            <w:pPr>
              <w:overflowPunct w:val="0"/>
              <w:autoSpaceDE w:val="0"/>
              <w:autoSpaceDN w:val="0"/>
              <w:adjustRightInd w:val="0"/>
              <w:spacing w:line="240" w:lineRule="auto"/>
              <w:textAlignment w:val="baseline"/>
              <w:rPr>
                <w:i/>
              </w:rPr>
            </w:pPr>
            <w:r>
              <w:rPr>
                <w:b/>
                <w:i/>
              </w:rPr>
              <w:t>Date de contact</w:t>
            </w:r>
            <w:r w:rsidR="0085298D">
              <w:rPr>
                <w:b/>
                <w:i/>
              </w:rPr>
              <w:t>:</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240FD7" w:rsidR="00240FD7" w:rsidTr="001757A2" w14:paraId="60E956CE" w14:textId="77777777">
        <w:tc>
          <w:tcPr>
            <w:tcW w:w="1556" w:type="pct"/>
          </w:tcPr>
          <w:p w:rsidRPr="00240FD7" w:rsidR="00240FD7" w:rsidP="00240FD7" w:rsidRDefault="00240FD7" w14:paraId="07DE1D22" w14:textId="752FDC0A">
            <w:pPr>
              <w:overflowPunct w:val="0"/>
              <w:autoSpaceDE w:val="0"/>
              <w:autoSpaceDN w:val="0"/>
              <w:adjustRightInd w:val="0"/>
              <w:spacing w:line="240" w:lineRule="auto"/>
              <w:textAlignment w:val="baseline"/>
              <w:rPr>
                <w:i/>
              </w:rPr>
            </w:pPr>
            <w:r>
              <w:rPr>
                <w:i/>
              </w:rPr>
              <w:t>Tel.</w:t>
            </w:r>
            <w:r w:rsidR="0085298D">
              <w:rPr>
                <w:i/>
              </w:rPr>
              <w:t>:</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13A0D32D">
            <w:pPr>
              <w:overflowPunct w:val="0"/>
              <w:autoSpaceDE w:val="0"/>
              <w:autoSpaceDN w:val="0"/>
              <w:adjustRightInd w:val="0"/>
              <w:spacing w:line="240" w:lineRule="auto"/>
              <w:textAlignment w:val="baseline"/>
              <w:rPr>
                <w:i/>
              </w:rPr>
            </w:pPr>
            <w:r>
              <w:rPr>
                <w:i/>
              </w:rPr>
              <w:t>E</w:t>
            </w:r>
            <w:r w:rsidR="0085298D">
              <w:rPr>
                <w:i/>
              </w:rPr>
              <w:t>-</w:t>
            </w:r>
            <w:r>
              <w:rPr>
                <w:i/>
              </w:rPr>
              <w:t>mail</w:t>
            </w:r>
            <w:r w:rsidR="0085298D">
              <w:rPr>
                <w:i/>
              </w:rPr>
              <w:t>:</w:t>
            </w:r>
          </w:p>
        </w:tc>
        <w:tc>
          <w:tcPr>
            <w:tcW w:w="3444" w:type="pct"/>
          </w:tcPr>
          <w:p w:rsidRPr="00240FD7" w:rsidR="00240FD7" w:rsidP="00240FD7" w:rsidRDefault="005C5942" w14:paraId="0171E9D4" w14:textId="77777777">
            <w:pPr>
              <w:overflowPunct w:val="0"/>
              <w:autoSpaceDE w:val="0"/>
              <w:autoSpaceDN w:val="0"/>
              <w:adjustRightInd w:val="0"/>
              <w:spacing w:line="240" w:lineRule="auto"/>
              <w:textAlignment w:val="baseline"/>
              <w:rPr>
                <w:i/>
                <w:iCs/>
              </w:rPr>
            </w:pPr>
            <w:hyperlink w:history="1" r:id="rId38">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2"/>
      <w:bookmarkStart w:name="_Toc202281630" w:id="13"/>
      <w:r>
        <w:rPr>
          <w:b/>
        </w:rPr>
        <w:lastRenderedPageBreak/>
        <w:t>SECȚIUNEA PENTRU PIAȚA UNICĂ, PRODUCȚIE ȘI CONSUM</w:t>
      </w:r>
      <w:bookmarkEnd w:id="12"/>
      <w:bookmarkEnd w:id="13"/>
    </w:p>
    <w:p w:rsidR="004D7AC0" w:rsidP="004D7AC0" w:rsidRDefault="004D7AC0" w14:paraId="4982DDF4" w14:textId="77777777"/>
    <w:p w:rsidRPr="00254761" w:rsidR="00254761" w:rsidP="00254761" w:rsidRDefault="005C5942"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39">
        <w:r w:rsidR="00381CCE">
          <w:rPr>
            <w:b/>
            <w:i/>
            <w:color w:val="0000FF"/>
            <w:sz w:val="28"/>
            <w:u w:val="single"/>
          </w:rPr>
          <w:t>Politicile privind diligența necesară pentru baterii</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102"/>
      </w:tblGrid>
      <w:tr w:rsidRPr="00254761" w:rsidR="00254761" w:rsidTr="0085298D" w14:paraId="2F4C44FD" w14:textId="77777777">
        <w:tc>
          <w:tcPr>
            <w:tcW w:w="1971" w:type="dxa"/>
            <w:vMerge w:val="restart"/>
          </w:tcPr>
          <w:p w:rsidRPr="00254761" w:rsidR="00254761" w:rsidP="00254761" w:rsidRDefault="0085298D" w14:paraId="1D17B984" w14:textId="6953A2B0">
            <w:pPr>
              <w:tabs>
                <w:tab w:val="center" w:pos="284"/>
              </w:tabs>
              <w:overflowPunct w:val="0"/>
              <w:autoSpaceDE w:val="0"/>
              <w:autoSpaceDN w:val="0"/>
              <w:adjustRightInd w:val="0"/>
              <w:ind w:left="266" w:hanging="266"/>
              <w:textAlignment w:val="baseline"/>
              <w:rPr>
                <w:b/>
              </w:rPr>
            </w:pPr>
            <w:r>
              <w:rPr>
                <w:b/>
              </w:rPr>
              <w:t>Referință:</w:t>
            </w:r>
          </w:p>
        </w:tc>
        <w:tc>
          <w:tcPr>
            <w:tcW w:w="7102" w:type="dxa"/>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aviz de categoria C</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COM(2025) 258 final</w:t>
            </w:r>
          </w:p>
        </w:tc>
      </w:tr>
      <w:tr w:rsidRPr="00254761" w:rsidR="00254761" w:rsidTr="0085298D" w14:paraId="3C451620" w14:textId="77777777">
        <w:tc>
          <w:tcPr>
            <w:tcW w:w="1971"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02" w:type="dxa"/>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CESE consideră că conținutul propunerii formulate este satisfăcător și nu necesită nicio observație din partea sa.</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254761" w:rsidR="00254761" w:rsidTr="0085298D" w14:paraId="4DF7D8AB" w14:textId="77777777">
        <w:tc>
          <w:tcPr>
            <w:tcW w:w="1701" w:type="dxa"/>
          </w:tcPr>
          <w:p w:rsidRPr="00254761" w:rsidR="00254761" w:rsidP="00254761" w:rsidRDefault="00254761" w14:paraId="6CE53A83" w14:textId="1212A04B">
            <w:pPr>
              <w:overflowPunct w:val="0"/>
              <w:autoSpaceDE w:val="0"/>
              <w:autoSpaceDN w:val="0"/>
              <w:adjustRightInd w:val="0"/>
              <w:spacing w:line="240" w:lineRule="auto"/>
              <w:textAlignment w:val="baseline"/>
              <w:rPr>
                <w:i/>
              </w:rPr>
            </w:pPr>
            <w:r>
              <w:rPr>
                <w:b/>
                <w:i/>
              </w:rPr>
              <w:t>Date de contact</w:t>
            </w:r>
            <w:r w:rsidR="0085298D">
              <w:rPr>
                <w:b/>
                <w:i/>
              </w:rPr>
              <w:t>:</w:t>
            </w:r>
          </w:p>
        </w:tc>
        <w:tc>
          <w:tcPr>
            <w:tcW w:w="737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254761" w:rsidR="00254761" w:rsidTr="0085298D" w14:paraId="1A08D712" w14:textId="77777777">
        <w:tc>
          <w:tcPr>
            <w:tcW w:w="1701" w:type="dxa"/>
          </w:tcPr>
          <w:p w:rsidRPr="00254761" w:rsidR="00254761" w:rsidP="00254761" w:rsidRDefault="00254761" w14:paraId="383FEF30" w14:textId="6F9C2A32">
            <w:pPr>
              <w:overflowPunct w:val="0"/>
              <w:autoSpaceDE w:val="0"/>
              <w:autoSpaceDN w:val="0"/>
              <w:adjustRightInd w:val="0"/>
              <w:spacing w:line="240" w:lineRule="auto"/>
              <w:textAlignment w:val="baseline"/>
              <w:rPr>
                <w:i/>
              </w:rPr>
            </w:pPr>
            <w:r>
              <w:rPr>
                <w:i/>
              </w:rPr>
              <w:t>Tel.</w:t>
            </w:r>
            <w:r w:rsidR="0085298D">
              <w:rPr>
                <w:i/>
              </w:rPr>
              <w:t>:</w:t>
            </w:r>
          </w:p>
        </w:tc>
        <w:tc>
          <w:tcPr>
            <w:tcW w:w="737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85298D" w14:paraId="5AABF235" w14:textId="77777777">
        <w:tc>
          <w:tcPr>
            <w:tcW w:w="1701" w:type="dxa"/>
          </w:tcPr>
          <w:p w:rsidRPr="00254761" w:rsidR="00254761" w:rsidP="00254761" w:rsidRDefault="00254761" w14:paraId="602F8DE7" w14:textId="0094DD92">
            <w:pPr>
              <w:overflowPunct w:val="0"/>
              <w:autoSpaceDE w:val="0"/>
              <w:autoSpaceDN w:val="0"/>
              <w:adjustRightInd w:val="0"/>
              <w:spacing w:line="240" w:lineRule="auto"/>
              <w:textAlignment w:val="baseline"/>
              <w:rPr>
                <w:i/>
              </w:rPr>
            </w:pPr>
            <w:r>
              <w:rPr>
                <w:i/>
              </w:rPr>
              <w:t>E</w:t>
            </w:r>
            <w:r w:rsidR="0085298D">
              <w:rPr>
                <w:i/>
              </w:rPr>
              <w:t>-</w:t>
            </w:r>
            <w:r>
              <w:rPr>
                <w:i/>
              </w:rPr>
              <w:t>mail</w:t>
            </w:r>
            <w:r w:rsidR="0085298D">
              <w:rPr>
                <w:i/>
              </w:rPr>
              <w:t>:</w:t>
            </w:r>
          </w:p>
        </w:tc>
        <w:tc>
          <w:tcPr>
            <w:tcW w:w="7372" w:type="dxa"/>
          </w:tcPr>
          <w:p w:rsidRPr="00254761" w:rsidR="00254761" w:rsidP="00254761" w:rsidRDefault="005C5942" w14:paraId="1B63B1E2" w14:textId="77777777">
            <w:pPr>
              <w:overflowPunct w:val="0"/>
              <w:autoSpaceDE w:val="0"/>
              <w:autoSpaceDN w:val="0"/>
              <w:adjustRightInd w:val="0"/>
              <w:spacing w:line="240" w:lineRule="auto"/>
              <w:textAlignment w:val="baseline"/>
              <w:rPr>
                <w:i/>
              </w:rPr>
            </w:pPr>
            <w:hyperlink w:history="1" r:id="rId40">
              <w:r w:rsidR="00381CCE">
                <w:rPr>
                  <w:i/>
                  <w:color w:val="0000FF"/>
                  <w:u w:val="single"/>
                </w:rPr>
                <w:t>Alice.Tetu@eesc.europa.eu</w:t>
              </w:r>
            </w:hyperlink>
          </w:p>
        </w:tc>
      </w:tr>
    </w:tbl>
    <w:p w:rsidR="00254761" w:rsidRDefault="00254761" w14:paraId="603D0B54" w14:textId="77777777">
      <w:pPr>
        <w:spacing w:after="160" w:line="259" w:lineRule="auto"/>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5C5942"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1">
        <w:r w:rsidR="00381CCE">
          <w:rPr>
            <w:b/>
            <w:i/>
            <w:color w:val="0000FF"/>
            <w:sz w:val="28"/>
            <w:u w:val="single"/>
          </w:rPr>
          <w:t>Primul pachet omnibus privind durabilitatea</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101ACBD0">
            <w:pPr>
              <w:tabs>
                <w:tab w:val="center" w:pos="284"/>
              </w:tabs>
              <w:overflowPunct w:val="0"/>
              <w:autoSpaceDE w:val="0"/>
              <w:autoSpaceDN w:val="0"/>
              <w:adjustRightInd w:val="0"/>
              <w:ind w:left="266" w:hanging="266"/>
              <w:textAlignment w:val="baseline"/>
              <w:rPr>
                <w:b/>
              </w:rPr>
            </w:pPr>
            <w:r>
              <w:rPr>
                <w:b/>
                <w:bCs/>
              </w:rPr>
              <w:t>Raportor</w:t>
            </w:r>
            <w:r w:rsidR="00533C82">
              <w:rPr>
                <w:b/>
                <w:bCs/>
              </w:rPr>
              <w:t>:</w:t>
            </w:r>
          </w:p>
        </w:tc>
        <w:tc>
          <w:tcPr>
            <w:tcW w:w="5387" w:type="dxa"/>
          </w:tcPr>
          <w:p w:rsidRPr="0026311A" w:rsidR="0026311A" w:rsidP="00533C82" w:rsidRDefault="0026311A" w14:paraId="27860A07" w14:textId="5ED17EDC">
            <w:pPr>
              <w:tabs>
                <w:tab w:val="center" w:pos="284"/>
              </w:tabs>
              <w:overflowPunct w:val="0"/>
              <w:autoSpaceDE w:val="0"/>
              <w:autoSpaceDN w:val="0"/>
              <w:adjustRightInd w:val="0"/>
              <w:ind w:left="266" w:hanging="266"/>
              <w:textAlignment w:val="baseline"/>
            </w:pPr>
            <w:r>
              <w:t xml:space="preserve">Matteo </w:t>
            </w:r>
            <w:proofErr w:type="spellStart"/>
            <w:r>
              <w:t>Carlo</w:t>
            </w:r>
            <w:proofErr w:type="spellEnd"/>
            <w:r>
              <w:t xml:space="preserve"> BORSANI (Grupul „Angajatori”</w:t>
            </w:r>
            <w:r w:rsidR="00533C82">
              <w:t xml:space="preserve"> –</w:t>
            </w:r>
            <w:r>
              <w:t xml:space="preserve">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987480" w14:paraId="1C7ABE67" w14:textId="038F81B1">
            <w:pPr>
              <w:tabs>
                <w:tab w:val="center" w:pos="284"/>
              </w:tabs>
              <w:overflowPunct w:val="0"/>
              <w:autoSpaceDE w:val="0"/>
              <w:autoSpaceDN w:val="0"/>
              <w:adjustRightInd w:val="0"/>
              <w:ind w:left="266" w:hanging="266"/>
              <w:textAlignment w:val="baseline"/>
              <w:rPr>
                <w:b/>
              </w:rPr>
            </w:pPr>
            <w:r>
              <w:rPr>
                <w:b/>
              </w:rPr>
              <w:t>Referință:</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COM(2025) 81 final</w:t>
            </w:r>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CESE:</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invită </w:t>
      </w:r>
      <w:proofErr w:type="spellStart"/>
      <w:r>
        <w:t>colegiuitorii</w:t>
      </w:r>
      <w:proofErr w:type="spellEnd"/>
      <w:r>
        <w:t xml:space="preserve"> să </w:t>
      </w:r>
      <w:r>
        <w:rPr>
          <w:b/>
        </w:rPr>
        <w:t>aloce suficient timp pentru o consultare incluzivă cu părțile interesate și cu partenerii sociali</w:t>
      </w:r>
      <w:r>
        <w:t>;</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recunoaște că, </w:t>
      </w:r>
      <w:r>
        <w:rPr>
          <w:b/>
          <w:bCs/>
        </w:rPr>
        <w:t>în special IMM-urile, se confruntă cu provocări în ceea ce privește punerea în aplicare a proceselor de durabilitate și transparență</w:t>
      </w:r>
      <w:r>
        <w:t>; IMM-urile și auditorii au nevoie de mai mult sprijin pentru a îndeplini cerințele de conformitate, ceea ce este esențial deoarece protejarea valorilor europene și a modelelor sociale este de o importanță capitală;</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subliniază că exercitarea diligenței necesare a întreprinderilor este esențială pentru a asigura </w:t>
      </w:r>
      <w:r>
        <w:rPr>
          <w:b/>
        </w:rPr>
        <w:t>un comportament responsabil în afaceri și pentru a promova lanțuri valorice sustenabile</w:t>
      </w:r>
      <w:r>
        <w:t xml:space="preserve"> și solicită </w:t>
      </w:r>
      <w:r>
        <w:rPr>
          <w:b/>
        </w:rPr>
        <w:t>norme și sancțiuni clare și proporționale</w:t>
      </w:r>
      <w:r>
        <w:t xml:space="preserve">, esențiale pentru ca întreprinderile să își respecte efectiv obligațiile;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recunoaște intenția Comisiei de a reorienta anumite obligații de diligență necesară către operațiunile proprii ale întreprinderilor, filialele acestor și partenerii lor de afaceri direcți, dar solicită să se ia în considerare </w:t>
      </w:r>
      <w:r>
        <w:rPr>
          <w:b/>
        </w:rPr>
        <w:t>o derogare pentru întreprinderile cu mai puțin de 500 de angajați care își desfășoară activitatea în sectoare cu risc ridicat</w:t>
      </w:r>
      <w:r>
        <w:t xml:space="preserve">, subliniind, în același timp, că </w:t>
      </w:r>
      <w:r>
        <w:rPr>
          <w:b/>
        </w:rPr>
        <w:t>toate întreprinderile au obligația de a respecta drepturile omului</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Cu toate acestea, îndeamnă legiuitorii să clarifice faptul că întreprinderile ar trebui </w:t>
      </w:r>
      <w:r>
        <w:rPr>
          <w:b/>
        </w:rPr>
        <w:t>să ia măsurile adecvate pentru a efectua evaluări aprofundate, pe baza unei abordări bazate pe riscuri</w:t>
      </w:r>
      <w:r>
        <w:t xml:space="preserve"> și ghidate de propriile lor activități de cartografiere. În plus, CESE invită </w:t>
      </w:r>
      <w:proofErr w:type="spellStart"/>
      <w:r>
        <w:t>colegiuitorii</w:t>
      </w:r>
      <w:proofErr w:type="spellEnd"/>
      <w:r>
        <w:t xml:space="preserve"> să reconsidere alegerea conceptului de „</w:t>
      </w:r>
      <w:r>
        <w:rPr>
          <w:b/>
        </w:rPr>
        <w:t>informații plauzibile</w:t>
      </w:r>
      <w:r>
        <w:t>” pentru a asigura o mai mare securitate juridică;</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observă cu regret eliminarea posibilității ca </w:t>
      </w:r>
      <w:r>
        <w:rPr>
          <w:b/>
          <w:bCs/>
        </w:rPr>
        <w:t>victimele să fie reprezentate de ONG-uri</w:t>
      </w:r>
      <w:r>
        <w:t xml:space="preserve"> sau sindicate în procese și își exprimă îngrijorarea cu privire la faptul că acest lucru ar putea limita accesul la justiție al persoanelor afectate. CESE încurajează continuarea reflecției asupra modalităților de asigurare a unui sprijin juridic eficace pentru victime, în special pentru cele care se confruntă cu obstacole structurale în ceea ce privește accesul la căi de atac;</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533C82" w14:paraId="3BE180F7" w14:textId="77777777">
        <w:tc>
          <w:tcPr>
            <w:tcW w:w="1701" w:type="dxa"/>
          </w:tcPr>
          <w:p w:rsidRPr="0026311A" w:rsidR="0026311A" w:rsidP="0026311A" w:rsidRDefault="0026311A" w14:paraId="11A46046" w14:textId="25FCADCB">
            <w:pPr>
              <w:overflowPunct w:val="0"/>
              <w:autoSpaceDE w:val="0"/>
              <w:autoSpaceDN w:val="0"/>
              <w:adjustRightInd w:val="0"/>
              <w:spacing w:line="240" w:lineRule="auto"/>
              <w:textAlignment w:val="baseline"/>
              <w:rPr>
                <w:i/>
              </w:rPr>
            </w:pPr>
            <w:r>
              <w:rPr>
                <w:b/>
                <w:i/>
              </w:rPr>
              <w:t>Date de contact</w:t>
            </w:r>
            <w:r w:rsidR="00533C82">
              <w:rPr>
                <w:b/>
                <w:i/>
              </w:rPr>
              <w:t>:</w:t>
            </w:r>
          </w:p>
        </w:tc>
        <w:tc>
          <w:tcPr>
            <w:tcW w:w="5387"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26311A" w:rsidR="0026311A" w:rsidTr="00533C82" w14:paraId="174E0FA4" w14:textId="77777777">
        <w:tc>
          <w:tcPr>
            <w:tcW w:w="1701" w:type="dxa"/>
          </w:tcPr>
          <w:p w:rsidRPr="0026311A" w:rsidR="0026311A" w:rsidP="0026311A" w:rsidRDefault="0026311A" w14:paraId="551D67C2" w14:textId="69A3FF7D">
            <w:pPr>
              <w:overflowPunct w:val="0"/>
              <w:autoSpaceDE w:val="0"/>
              <w:autoSpaceDN w:val="0"/>
              <w:adjustRightInd w:val="0"/>
              <w:spacing w:line="240" w:lineRule="auto"/>
              <w:textAlignment w:val="baseline"/>
              <w:rPr>
                <w:i/>
              </w:rPr>
            </w:pPr>
            <w:r>
              <w:rPr>
                <w:i/>
              </w:rPr>
              <w:t>Tel.</w:t>
            </w:r>
            <w:r w:rsidR="00533C82">
              <w:rPr>
                <w:i/>
              </w:rPr>
              <w:t>:</w:t>
            </w:r>
          </w:p>
        </w:tc>
        <w:tc>
          <w:tcPr>
            <w:tcW w:w="5387"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533C82" w14:paraId="2F97E083" w14:textId="77777777">
        <w:tc>
          <w:tcPr>
            <w:tcW w:w="1701" w:type="dxa"/>
          </w:tcPr>
          <w:p w:rsidRPr="0026311A" w:rsidR="0026311A" w:rsidP="0026311A" w:rsidRDefault="009770F1" w14:paraId="28BABB08" w14:textId="6E09A605">
            <w:pPr>
              <w:overflowPunct w:val="0"/>
              <w:autoSpaceDE w:val="0"/>
              <w:autoSpaceDN w:val="0"/>
              <w:adjustRightInd w:val="0"/>
              <w:spacing w:line="240" w:lineRule="auto"/>
              <w:textAlignment w:val="baseline"/>
              <w:rPr>
                <w:i/>
              </w:rPr>
            </w:pPr>
            <w:r>
              <w:rPr>
                <w:i/>
              </w:rPr>
              <w:t>E</w:t>
            </w:r>
            <w:r w:rsidR="00533C82">
              <w:rPr>
                <w:i/>
              </w:rPr>
              <w:t>-</w:t>
            </w:r>
            <w:r>
              <w:rPr>
                <w:i/>
              </w:rPr>
              <w:t>mail</w:t>
            </w:r>
            <w:r w:rsidR="00533C82">
              <w:rPr>
                <w:i/>
              </w:rPr>
              <w:t>:</w:t>
            </w:r>
          </w:p>
        </w:tc>
        <w:tc>
          <w:tcPr>
            <w:tcW w:w="5387" w:type="dxa"/>
          </w:tcPr>
          <w:p w:rsidRPr="00533C82" w:rsidR="0026311A" w:rsidP="0026311A" w:rsidRDefault="005C5942" w14:paraId="5BD25871" w14:textId="77F64BC6">
            <w:pPr>
              <w:overflowPunct w:val="0"/>
              <w:autoSpaceDE w:val="0"/>
              <w:autoSpaceDN w:val="0"/>
              <w:adjustRightInd w:val="0"/>
              <w:spacing w:line="240" w:lineRule="auto"/>
              <w:textAlignment w:val="baseline"/>
              <w:rPr>
                <w:i/>
                <w:iCs/>
              </w:rPr>
            </w:pPr>
            <w:hyperlink w:history="1" r:id="rId42">
              <w:r w:rsidR="00381CCE">
                <w:rPr>
                  <w:i/>
                  <w:color w:val="0000FF"/>
                  <w:u w:val="single"/>
                </w:rPr>
                <w:t>Silvia.Staffa@eesc.europa.eu</w:t>
              </w:r>
            </w:hyperlink>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4"/>
      <w:bookmarkStart w:name="_Toc75527084" w:id="15"/>
      <w:bookmarkStart w:name="_Toc202281631" w:id="16"/>
      <w:r>
        <w:rPr>
          <w:b/>
        </w:rPr>
        <w:lastRenderedPageBreak/>
        <w:t>SECȚIUNEA PENTRU AGRICULTURĂ, DEZVOLTARE RURALĂ ȘI PROTECȚIA MEDIULUI</w:t>
      </w:r>
      <w:bookmarkEnd w:id="14"/>
      <w:bookmarkEnd w:id="15"/>
      <w:bookmarkEnd w:id="16"/>
    </w:p>
    <w:p w:rsidRPr="00E02575" w:rsidR="004D7AC0" w:rsidP="00E02575" w:rsidRDefault="004D7AC0" w14:paraId="4982DE20" w14:textId="77777777">
      <w:pPr>
        <w:spacing w:line="240" w:lineRule="auto"/>
        <w:rPr>
          <w:sz w:val="16"/>
          <w:szCs w:val="16"/>
        </w:rPr>
      </w:pPr>
    </w:p>
    <w:p w:rsidRPr="00B60D9A" w:rsidR="006179EF" w:rsidP="006179EF" w:rsidRDefault="005C5942"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3">
        <w:r w:rsidR="00381CCE">
          <w:rPr>
            <w:b/>
            <w:i/>
            <w:color w:val="0000FF"/>
            <w:sz w:val="26"/>
            <w:u w:val="single"/>
          </w:rPr>
          <w:t>Agricultura regenerativă ca obiectiv pentru a îmbunătăți producția alimentară durabilă, contribuind la obiectivele în materie de climă și biodiversitate</w:t>
        </w:r>
      </w:hyperlink>
    </w:p>
    <w:p w:rsidRPr="00E02575" w:rsidR="000959E6" w:rsidP="00E02575" w:rsidRDefault="000959E6" w14:paraId="0DF78EE1" w14:textId="77777777">
      <w:pPr>
        <w:spacing w:line="240" w:lineRule="auto"/>
        <w:rPr>
          <w:sz w:val="16"/>
          <w:szCs w:val="16"/>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662"/>
      </w:tblGrid>
      <w:tr w:rsidRPr="006179EF" w:rsidR="006179EF" w:rsidTr="001757A2" w14:paraId="6B6F3236" w14:textId="77777777">
        <w:tc>
          <w:tcPr>
            <w:tcW w:w="1148" w:type="pct"/>
          </w:tcPr>
          <w:p w:rsidRPr="006179EF" w:rsidR="006179EF" w:rsidP="006179EF" w:rsidRDefault="006179EF" w14:paraId="2513A5D9" w14:textId="3B2793FD">
            <w:pPr>
              <w:tabs>
                <w:tab w:val="center" w:pos="284"/>
              </w:tabs>
              <w:overflowPunct w:val="0"/>
              <w:autoSpaceDE w:val="0"/>
              <w:autoSpaceDN w:val="0"/>
              <w:adjustRightInd w:val="0"/>
              <w:ind w:left="266" w:hanging="266"/>
              <w:textAlignment w:val="baseline"/>
              <w:rPr>
                <w:b/>
              </w:rPr>
            </w:pPr>
            <w:r>
              <w:rPr>
                <w:b/>
                <w:bCs/>
              </w:rPr>
              <w:t>Raportor</w:t>
            </w:r>
            <w:r w:rsidR="00E02575">
              <w:rPr>
                <w:b/>
                <w:bCs/>
              </w:rPr>
              <w:t>:</w:t>
            </w:r>
          </w:p>
        </w:tc>
        <w:tc>
          <w:tcPr>
            <w:tcW w:w="3852" w:type="pct"/>
          </w:tcPr>
          <w:p w:rsidRPr="006179EF" w:rsidR="006179EF" w:rsidP="006179EF" w:rsidRDefault="006179EF" w14:paraId="7DCE390A" w14:textId="5BBE7448">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(Grupul „Organizații ale societății civile”</w:t>
            </w:r>
            <w:r w:rsidR="00E02575">
              <w:t xml:space="preserve"> </w:t>
            </w:r>
            <w:r>
              <w:t>–</w:t>
            </w:r>
            <w:r w:rsidR="00E02575">
              <w:t xml:space="preserve"> </w:t>
            </w:r>
            <w:r>
              <w:t>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E02575" w14:paraId="71965C8D" w14:textId="5B4B6340">
            <w:pPr>
              <w:tabs>
                <w:tab w:val="center" w:pos="284"/>
              </w:tabs>
              <w:overflowPunct w:val="0"/>
              <w:autoSpaceDE w:val="0"/>
              <w:autoSpaceDN w:val="0"/>
              <w:adjustRightInd w:val="0"/>
              <w:ind w:left="266" w:hanging="266"/>
              <w:textAlignment w:val="baseline"/>
              <w:rPr>
                <w:b/>
              </w:rPr>
            </w:pPr>
            <w:r>
              <w:rPr>
                <w:b/>
              </w:rPr>
              <w:t>Referință:</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aviz din proprie inițiativă</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E02575" w:rsidR="006179EF" w:rsidP="00E02575" w:rsidRDefault="006179EF" w14:paraId="5A351619"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6179EF" w:rsidP="006179EF" w:rsidRDefault="006179EF" w14:paraId="419DA6CE" w14:textId="77777777">
      <w:pPr>
        <w:overflowPunct w:val="0"/>
        <w:autoSpaceDE w:val="0"/>
        <w:autoSpaceDN w:val="0"/>
        <w:adjustRightInd w:val="0"/>
        <w:textAlignment w:val="baseline"/>
        <w:rPr>
          <w:bCs/>
          <w:iCs/>
        </w:rPr>
      </w:pPr>
      <w:r>
        <w:t>CESE:</w:t>
      </w:r>
    </w:p>
    <w:p w:rsidRPr="00E02575"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rPr>
          <w:spacing w:val="-2"/>
        </w:rPr>
      </w:pPr>
      <w:r w:rsidRPr="00E02575">
        <w:rPr>
          <w:spacing w:val="-2"/>
        </w:rPr>
        <w:t>consideră că formele regenerative de agricultură pot îmbunătăți producția alimentară durabilă, sprijinind obiectivele în materie de climă, sănătate a solului și biodiversitate și sporind în același timp atât veniturile fermierilor, cât și productivitatea agricolă și reziliența la fenomenele climatice extreme;</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consideră că actualul cadru al UE nu promovează suficient formele regenerative de agricultură, în special în ceea ce privește sănătatea solului, care trebuie considerată un bun public;</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ia act de faptul că agricultura regenerativă promovează un nou discurs pentru agricultură, care poate să conducă la reînnoirea sectorului, atrăgând tineri și noi participanți, și să stea la baza unor modele de afaceri și moduri de finanțare durabile;</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prin urmare, solicită o înțelegere comună a termenilor „agricultură regenerativă” (AR) și a beneficiilor acestor practici pentru societate în ansamblu, precum și alinierea cadrului de reglementare al UE pentru a recunoaște și a sprijini aceste practici;</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propune o definiție care evidențiază rezultatele pozitive ale agriculturii regenerative pentru cei trei piloni ai durabilității: „Agricultura regenerativă este o abordare agricolă adaptabilă și bazată pe rezultate, în cadrul căreia se aplică metode dovedite în practică și bazate pe date științifice, cu efecte pozitive asupra mediului, a mijloacelor de trai ale comunităților agricole și a sănătății publice, asigurându-se astfel reziliența recoltelor, competitivitatea și eficiența, precum și rezultate sociale.”;</w:t>
      </w:r>
    </w:p>
    <w:p w:rsidRPr="006179EF"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t>propune, în plus, să se stabilească, pornindu-se de la sistemele existente de control și măsurare, o serie de indicatori bazați pe rezultate și performanțe pe termen scurt și pe termen lung, care să fie utilizați pentru alinierea instrumentelor de politică, a mecanismelor financiare, a cadrelor de reglementare și a standardelor lanțurilor de aprovizionare;</w:t>
      </w:r>
    </w:p>
    <w:p w:rsidRPr="00B07AC1" w:rsidR="006179EF" w:rsidP="006D5AE4" w:rsidRDefault="006179EF" w14:paraId="4BAA0B87" w14:textId="16CC398D">
      <w:pPr>
        <w:numPr>
          <w:ilvl w:val="0"/>
          <w:numId w:val="44"/>
        </w:numPr>
        <w:overflowPunct w:val="0"/>
        <w:autoSpaceDE w:val="0"/>
        <w:autoSpaceDN w:val="0"/>
        <w:adjustRightInd w:val="0"/>
        <w:spacing w:line="276" w:lineRule="auto"/>
        <w:ind w:left="284" w:hanging="284"/>
        <w:contextualSpacing/>
        <w:textAlignment w:val="baseline"/>
        <w:rPr>
          <w:rFonts w:ascii="Calibri" w:hAnsi="Calibri"/>
          <w:spacing w:val="-4"/>
        </w:rPr>
      </w:pPr>
      <w:r w:rsidRPr="00B07AC1">
        <w:rPr>
          <w:spacing w:val="-4"/>
        </w:rPr>
        <w:t xml:space="preserve">îndeamnă Comisia Europeană și statele membre ale UE să extindă formele regenerative de agricultură prin alinierea finanțării (PAC și nu numai), prin extinderea măsurilor de sănătate a solului/de acoperire a solului în planurile strategice PAC, prin consolidarea sau activarea serviciilor independente de consiliere și a rețelelor de sprijin </w:t>
      </w:r>
      <w:r w:rsidRPr="00B07AC1">
        <w:rPr>
          <w:i/>
          <w:iCs/>
          <w:spacing w:val="-4"/>
        </w:rPr>
        <w:t xml:space="preserve">inter </w:t>
      </w:r>
      <w:proofErr w:type="spellStart"/>
      <w:r w:rsidRPr="00B07AC1">
        <w:rPr>
          <w:i/>
          <w:iCs/>
          <w:spacing w:val="-4"/>
        </w:rPr>
        <w:t>pares</w:t>
      </w:r>
      <w:proofErr w:type="spellEnd"/>
      <w:r w:rsidRPr="00B07AC1">
        <w:rPr>
          <w:spacing w:val="-4"/>
        </w:rPr>
        <w:t>, prin sprijinirea schimbărilor de mentalitate, prin desfășurarea de proiecte specifice de cercetare și inovare, prin sporirea sprijinului pentru investiții, prin intensificarea colaborării dintre sectorul public și cel privat, prin simplificarea și alinierea cadrelor de reglementare existente și prin propunerea unui mediu favorabil de stimulente (în special în primii ani de conversie), prin sprijinirea unor asigurări pentru faza de tranziție adaptate contextului, prin asigurarea unor prețuri echitabile pentru produsele de calitate, ca urmare a unei ponderi mai mari a valorii acestora în lanțul agroalimentar, și prin asigurarea unor condiții mai bune pentru transferul de terenuri.</w:t>
      </w:r>
    </w:p>
    <w:p w:rsidRPr="00B07AC1" w:rsidR="00B07AC1" w:rsidP="00B07AC1" w:rsidRDefault="00B07AC1" w14:paraId="33C8831B"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tbl>
      <w:tblPr>
        <w:tblStyle w:val="TableGrid15"/>
        <w:tblW w:w="27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3416"/>
      </w:tblGrid>
      <w:tr w:rsidRPr="006179EF" w:rsidR="00E02575" w:rsidTr="0036074F" w14:paraId="70FAD56C" w14:textId="77777777">
        <w:tc>
          <w:tcPr>
            <w:tcW w:w="1568" w:type="pct"/>
          </w:tcPr>
          <w:p w:rsidRPr="00B60D9A" w:rsidR="00E02575" w:rsidP="0036074F" w:rsidRDefault="00E02575" w14:paraId="1921ABF3" w14:textId="77777777">
            <w:pPr>
              <w:overflowPunct w:val="0"/>
              <w:autoSpaceDE w:val="0"/>
              <w:autoSpaceDN w:val="0"/>
              <w:adjustRightInd w:val="0"/>
              <w:spacing w:line="240" w:lineRule="auto"/>
              <w:ind w:left="-536" w:firstLine="536"/>
              <w:textAlignment w:val="baseline"/>
              <w:rPr>
                <w:i/>
              </w:rPr>
            </w:pPr>
            <w:r>
              <w:rPr>
                <w:b/>
                <w:i/>
              </w:rPr>
              <w:t>Date de contact:</w:t>
            </w:r>
          </w:p>
        </w:tc>
        <w:tc>
          <w:tcPr>
            <w:tcW w:w="3432" w:type="pct"/>
          </w:tcPr>
          <w:p w:rsidRPr="00B60D9A" w:rsidR="00E02575" w:rsidP="0036074F" w:rsidRDefault="00E02575" w14:paraId="3BCE3603" w14:textId="77777777">
            <w:pPr>
              <w:overflowPunct w:val="0"/>
              <w:autoSpaceDE w:val="0"/>
              <w:autoSpaceDN w:val="0"/>
              <w:adjustRightInd w:val="0"/>
              <w:spacing w:line="240" w:lineRule="auto"/>
              <w:ind w:left="-536" w:firstLine="536"/>
              <w:textAlignment w:val="baseline"/>
              <w:rPr>
                <w:i/>
              </w:rPr>
            </w:pPr>
            <w:proofErr w:type="spellStart"/>
            <w:r>
              <w:rPr>
                <w:i/>
              </w:rPr>
              <w:t>Martine</w:t>
            </w:r>
            <w:proofErr w:type="spellEnd"/>
            <w:r>
              <w:rPr>
                <w:i/>
              </w:rPr>
              <w:t xml:space="preserve"> </w:t>
            </w:r>
            <w:proofErr w:type="spellStart"/>
            <w:r>
              <w:rPr>
                <w:i/>
              </w:rPr>
              <w:t>Delanoy</w:t>
            </w:r>
            <w:proofErr w:type="spellEnd"/>
          </w:p>
        </w:tc>
      </w:tr>
      <w:tr w:rsidRPr="006179EF" w:rsidR="00E02575" w:rsidTr="0036074F" w14:paraId="2A3CB7ED" w14:textId="77777777">
        <w:tc>
          <w:tcPr>
            <w:tcW w:w="1568" w:type="pct"/>
          </w:tcPr>
          <w:p w:rsidRPr="00B60D9A" w:rsidR="00E02575" w:rsidP="0036074F" w:rsidRDefault="00E02575" w14:paraId="61DA833F" w14:textId="77777777">
            <w:pPr>
              <w:overflowPunct w:val="0"/>
              <w:autoSpaceDE w:val="0"/>
              <w:autoSpaceDN w:val="0"/>
              <w:adjustRightInd w:val="0"/>
              <w:spacing w:line="240" w:lineRule="auto"/>
              <w:ind w:left="-536" w:firstLine="536"/>
              <w:textAlignment w:val="baseline"/>
              <w:rPr>
                <w:i/>
              </w:rPr>
            </w:pPr>
            <w:r>
              <w:rPr>
                <w:i/>
              </w:rPr>
              <w:t>Tel.:</w:t>
            </w:r>
          </w:p>
        </w:tc>
        <w:tc>
          <w:tcPr>
            <w:tcW w:w="3432" w:type="pct"/>
          </w:tcPr>
          <w:p w:rsidRPr="00B60D9A" w:rsidR="00E02575" w:rsidP="0036074F" w:rsidRDefault="00E02575" w14:paraId="16EA0133" w14:textId="77777777">
            <w:pPr>
              <w:overflowPunct w:val="0"/>
              <w:autoSpaceDE w:val="0"/>
              <w:autoSpaceDN w:val="0"/>
              <w:adjustRightInd w:val="0"/>
              <w:spacing w:line="240" w:lineRule="auto"/>
              <w:ind w:left="-536" w:firstLine="536"/>
              <w:textAlignment w:val="baseline"/>
              <w:rPr>
                <w:i/>
              </w:rPr>
            </w:pPr>
            <w:r>
              <w:rPr>
                <w:i/>
              </w:rPr>
              <w:t>+32 2 5469802</w:t>
            </w:r>
          </w:p>
        </w:tc>
      </w:tr>
      <w:tr w:rsidRPr="006179EF" w:rsidR="00E02575" w:rsidTr="0036074F" w14:paraId="5338C487" w14:textId="77777777">
        <w:tc>
          <w:tcPr>
            <w:tcW w:w="1568" w:type="pct"/>
          </w:tcPr>
          <w:p w:rsidRPr="00B60D9A" w:rsidR="00E02575" w:rsidP="0036074F" w:rsidRDefault="00E02575" w14:paraId="7668D3FD" w14:textId="77777777">
            <w:pPr>
              <w:overflowPunct w:val="0"/>
              <w:autoSpaceDE w:val="0"/>
              <w:autoSpaceDN w:val="0"/>
              <w:adjustRightInd w:val="0"/>
              <w:spacing w:line="240" w:lineRule="auto"/>
              <w:ind w:left="-536" w:firstLine="536"/>
              <w:textAlignment w:val="baseline"/>
              <w:rPr>
                <w:i/>
              </w:rPr>
            </w:pPr>
            <w:r>
              <w:rPr>
                <w:i/>
              </w:rPr>
              <w:t>E-mail:</w:t>
            </w:r>
          </w:p>
        </w:tc>
        <w:tc>
          <w:tcPr>
            <w:tcW w:w="3432" w:type="pct"/>
          </w:tcPr>
          <w:p w:rsidRPr="006D5AE4" w:rsidR="00E02575" w:rsidP="0036074F" w:rsidRDefault="00E02575" w14:paraId="2E998965" w14:textId="77777777">
            <w:pPr>
              <w:overflowPunct w:val="0"/>
              <w:autoSpaceDE w:val="0"/>
              <w:autoSpaceDN w:val="0"/>
              <w:adjustRightInd w:val="0"/>
              <w:spacing w:line="240" w:lineRule="auto"/>
              <w:ind w:left="-536" w:firstLine="536"/>
              <w:textAlignment w:val="baseline"/>
              <w:rPr>
                <w:i/>
              </w:rPr>
            </w:pPr>
            <w:hyperlink w:history="1" r:id="rId44">
              <w:r>
                <w:rPr>
                  <w:i/>
                  <w:color w:val="0000FF"/>
                  <w:u w:val="single"/>
                </w:rPr>
                <w:t>Martine.Delanoy@eesc.europa.eu</w:t>
              </w:r>
            </w:hyperlink>
            <w:r>
              <w:rPr>
                <w:i/>
              </w:rPr>
              <w:t xml:space="preserve"> </w:t>
            </w:r>
          </w:p>
        </w:tc>
      </w:tr>
    </w:tbl>
    <w:p w:rsidR="007F5784" w:rsidP="00B07AC1" w:rsidRDefault="007F5784" w14:paraId="14026A78" w14:textId="1B05B3BC">
      <w:pPr>
        <w:pStyle w:val="Heading1"/>
        <w:keepNext/>
        <w:keepLines/>
        <w:rPr>
          <w:b/>
        </w:rPr>
      </w:pPr>
      <w:bookmarkStart w:name="_Toc202281632" w:id="17"/>
      <w:r>
        <w:rPr>
          <w:b/>
        </w:rPr>
        <w:lastRenderedPageBreak/>
        <w:t>SECȚIUNEA PENTRU RELAȚII EXTERNE</w:t>
      </w:r>
      <w:bookmarkEnd w:id="17"/>
    </w:p>
    <w:p w:rsidR="007F5784" w:rsidP="00B07AC1" w:rsidRDefault="007F5784" w14:paraId="3BBB3E68" w14:textId="77777777">
      <w:pPr>
        <w:keepNext/>
        <w:keepLines/>
      </w:pPr>
    </w:p>
    <w:p w:rsidRPr="006179EF" w:rsidR="006179EF" w:rsidP="00B07AC1" w:rsidRDefault="006179EF" w14:paraId="276A5E66" w14:textId="5AA2032A">
      <w:pPr>
        <w:keepNext/>
        <w:keepLines/>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"https://www.eesc.europa.eu/ro/our-work/opinions-information-reports/opinions/fragmentation-supply-chains-and-impact-cost-living"</w:instrText>
      </w:r>
      <w:r w:rsidRPr="006179EF">
        <w:rPr>
          <w:b/>
          <w:i/>
          <w:sz w:val="28"/>
        </w:rPr>
        <w:fldChar w:fldCharType="separate"/>
      </w:r>
      <w:r>
        <w:rPr>
          <w:b/>
          <w:i/>
          <w:color w:val="0000FF"/>
          <w:sz w:val="28"/>
          <w:u w:val="single"/>
        </w:rPr>
        <w:t>Fragmentarea lanțurilor de aprovizionare și impactul asupra costului vieții</w:t>
      </w:r>
    </w:p>
    <w:p w:rsidRPr="006179EF" w:rsidR="006179EF" w:rsidP="00B07AC1" w:rsidRDefault="006179EF" w14:paraId="36B43195" w14:textId="77777777">
      <w:pPr>
        <w:keepNext/>
        <w:keepLines/>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947"/>
      </w:tblGrid>
      <w:tr w:rsidRPr="006179EF" w:rsidR="006179EF" w:rsidTr="001757A2" w14:paraId="1A577F91" w14:textId="77777777">
        <w:tc>
          <w:tcPr>
            <w:tcW w:w="1111" w:type="pct"/>
          </w:tcPr>
          <w:p w:rsidRPr="006179EF" w:rsidR="006179EF" w:rsidP="006179EF" w:rsidRDefault="006179EF" w14:paraId="39DEF71C" w14:textId="061DA165">
            <w:pPr>
              <w:tabs>
                <w:tab w:val="center" w:pos="284"/>
              </w:tabs>
              <w:overflowPunct w:val="0"/>
              <w:autoSpaceDE w:val="0"/>
              <w:autoSpaceDN w:val="0"/>
              <w:adjustRightInd w:val="0"/>
              <w:ind w:left="266" w:hanging="266"/>
              <w:textAlignment w:val="baseline"/>
              <w:rPr>
                <w:b/>
              </w:rPr>
            </w:pPr>
            <w:r>
              <w:rPr>
                <w:b/>
                <w:bCs/>
              </w:rPr>
              <w:t>Raportor</w:t>
            </w:r>
            <w:r w:rsidR="002E3239">
              <w:rPr>
                <w:b/>
                <w:bCs/>
              </w:rPr>
              <w:t>:</w:t>
            </w:r>
          </w:p>
          <w:p w:rsidRPr="006179EF" w:rsidR="006179EF" w:rsidP="006179EF" w:rsidRDefault="006179EF" w14:paraId="39BAC464" w14:textId="39C5574A">
            <w:pPr>
              <w:tabs>
                <w:tab w:val="center" w:pos="284"/>
              </w:tabs>
              <w:overflowPunct w:val="0"/>
              <w:autoSpaceDE w:val="0"/>
              <w:autoSpaceDN w:val="0"/>
              <w:adjustRightInd w:val="0"/>
              <w:ind w:left="266" w:hanging="266"/>
              <w:textAlignment w:val="baseline"/>
              <w:rPr>
                <w:b/>
              </w:rPr>
            </w:pPr>
            <w:r>
              <w:rPr>
                <w:b/>
              </w:rPr>
              <w:t>Coraportor</w:t>
            </w:r>
            <w:r w:rsidR="002E3239">
              <w:rPr>
                <w:b/>
              </w:rPr>
              <w:t>:</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proofErr w:type="spellStart"/>
            <w:r>
              <w:t>Dimitris</w:t>
            </w:r>
            <w:proofErr w:type="spellEnd"/>
            <w:r>
              <w:t xml:space="preserve"> DIMITRIADIS (Grupul „Angajatori”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(Grupul „Organizații ale societății civile”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2E3239" w14:paraId="057BA223" w14:textId="64866D61">
            <w:pPr>
              <w:tabs>
                <w:tab w:val="center" w:pos="284"/>
              </w:tabs>
              <w:overflowPunct w:val="0"/>
              <w:autoSpaceDE w:val="0"/>
              <w:autoSpaceDN w:val="0"/>
              <w:adjustRightInd w:val="0"/>
              <w:ind w:left="266" w:hanging="266"/>
              <w:textAlignment w:val="baseline"/>
              <w:rPr>
                <w:b/>
              </w:rPr>
            </w:pPr>
            <w:r>
              <w:rPr>
                <w:b/>
              </w:rPr>
              <w:t>R</w:t>
            </w:r>
            <w:r w:rsidR="006179EF">
              <w:rPr>
                <w:b/>
              </w:rPr>
              <w:t>eferință</w:t>
            </w:r>
            <w:r>
              <w:rPr>
                <w:b/>
              </w:rPr>
              <w:t>:</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aviz din proprie inițiativă</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CESE:</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subliniază </w:t>
      </w:r>
      <w:r>
        <w:rPr>
          <w:b/>
          <w:bCs/>
        </w:rPr>
        <w:t>necesitatea ca UE să reducă dependențele de importuri</w:t>
      </w:r>
      <w:r>
        <w:t xml:space="preserve">, în special pentru bunurile critice, cum ar fi produsele farmaceutice și semiconductorii, și să </w:t>
      </w:r>
      <w:r>
        <w:rPr>
          <w:b/>
          <w:bCs/>
        </w:rPr>
        <w:t>diversifice lanțurile de aprovizionare</w:t>
      </w:r>
      <w:r>
        <w:t xml:space="preserve"> prin promovarea mai multor </w:t>
      </w:r>
      <w:r>
        <w:rPr>
          <w:b/>
          <w:bCs/>
        </w:rPr>
        <w:t>parteneriate internaționale</w:t>
      </w:r>
      <w:r>
        <w:t>;</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subliniază nevoia urgentă de </w:t>
      </w:r>
      <w:r>
        <w:rPr>
          <w:b/>
          <w:bCs/>
        </w:rPr>
        <w:t>investiții specifice în industrii și infrastructuri strategice</w:t>
      </w:r>
      <w:r>
        <w:t xml:space="preserve"> pentru a consolida reziliența economică și a </w:t>
      </w:r>
      <w:r>
        <w:rPr>
          <w:b/>
          <w:bCs/>
        </w:rPr>
        <w:t>elimina decalajele în materie de productivitate</w:t>
      </w:r>
      <w:r>
        <w:t xml:space="preserve"> în rândul producătorilor europeni. Astfel de investiții ar trebui să facă parte dintr-o politică industrială bine coordonată, cuprinzătoare și finanțată în mod adecvat;</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recomandă </w:t>
      </w:r>
      <w:r>
        <w:rPr>
          <w:b/>
          <w:bCs/>
        </w:rPr>
        <w:t>extinderea acordurilor comerciale</w:t>
      </w:r>
      <w:r>
        <w:t xml:space="preserve">, în special cu parteneri de încredere din sudul global, și pledează pentru </w:t>
      </w:r>
      <w:r>
        <w:rPr>
          <w:b/>
          <w:bCs/>
        </w:rPr>
        <w:t>îmbunătățirea eficienței în materie de reglementare</w:t>
      </w:r>
      <w:r>
        <w:t xml:space="preserve"> pentru a raționaliza cadrele complexe ale UE, </w:t>
      </w:r>
      <w:r>
        <w:rPr>
          <w:b/>
          <w:bCs/>
        </w:rPr>
        <w:t>menținând în același timp standarde ridicate</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îndeamnă la promovarea continuă a </w:t>
      </w:r>
      <w:r>
        <w:rPr>
          <w:b/>
          <w:bCs/>
        </w:rPr>
        <w:t>capitolelor obligatorii și executorii privind comerțul și dezvoltarea durabilă (CDD)</w:t>
      </w:r>
      <w:r>
        <w:t xml:space="preserve"> pentru a proteja piețele UE împotriva practicilor concurențiale neloiale determinate de standarde de producție mai scăzute la nivel mondial;</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solicită </w:t>
      </w:r>
      <w:r>
        <w:rPr>
          <w:b/>
          <w:bCs/>
        </w:rPr>
        <w:t>consolidarea mecanismelor de sprijin financiar și tehnic pentru microîntreprinderi și întreprinderile mici și mijlocii (MIMM-uri)</w:t>
      </w:r>
      <w:r>
        <w:t xml:space="preserve"> pentru a-și diversifica furnizorii, a adopta modele de afaceri sustenabile și a gestiona în mod eficace complexitatea reglementărilor;</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subliniază importanța </w:t>
      </w:r>
      <w:r>
        <w:rPr>
          <w:b/>
          <w:bCs/>
        </w:rPr>
        <w:t>creșterii investițiilor în cercetare și dezvoltare</w:t>
      </w:r>
      <w:r>
        <w:t xml:space="preserve"> pentru sectoarele de înaltă tehnologie și de producție sustenabilă, inclusiv a </w:t>
      </w:r>
      <w:r>
        <w:rPr>
          <w:b/>
          <w:bCs/>
        </w:rPr>
        <w:t>adoptării pe scară mai largă a inteligenței artificiale</w:t>
      </w:r>
      <w:r>
        <w:t xml:space="preserve"> și a tehnologiilor </w:t>
      </w:r>
      <w:proofErr w:type="spellStart"/>
      <w:r>
        <w:t>blockchain</w:t>
      </w:r>
      <w:proofErr w:type="spellEnd"/>
      <w:r>
        <w:t xml:space="preserve"> pentru a optimiza gestionarea lanțului de aprovizionare;</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subliniază necesitatea unor </w:t>
      </w:r>
      <w:r>
        <w:rPr>
          <w:b/>
          <w:bCs/>
        </w:rPr>
        <w:t>inițiative educaționale și de formare specifice</w:t>
      </w:r>
      <w:r>
        <w:t xml:space="preserve"> pentru a îmbunătăți competențele forței de muncă, pentru a </w:t>
      </w:r>
      <w:r>
        <w:rPr>
          <w:b/>
          <w:bCs/>
        </w:rPr>
        <w:t>promova mobilitatea forței de muncă</w:t>
      </w:r>
      <w:r>
        <w:t xml:space="preserve"> în cadrul pieței unice și pentru a </w:t>
      </w:r>
      <w:r>
        <w:rPr>
          <w:b/>
          <w:bCs/>
        </w:rPr>
        <w:t>atrage și a păstra talentele</w:t>
      </w:r>
      <w:r>
        <w:t xml:space="preserve">, </w:t>
      </w:r>
      <w:r>
        <w:rPr>
          <w:b/>
          <w:bCs/>
        </w:rPr>
        <w:t>consolidând astfel capacitatea de inovare</w:t>
      </w:r>
      <w:r>
        <w: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6179EF" w:rsidR="006179EF" w:rsidTr="001757A2" w14:paraId="679F4C15" w14:textId="77777777">
        <w:tc>
          <w:tcPr>
            <w:tcW w:w="1556" w:type="pct"/>
          </w:tcPr>
          <w:p w:rsidRPr="006179EF" w:rsidR="006179EF" w:rsidP="006179EF" w:rsidRDefault="006179EF" w14:paraId="3C4F2FD1" w14:textId="62B2832E">
            <w:pPr>
              <w:overflowPunct w:val="0"/>
              <w:autoSpaceDE w:val="0"/>
              <w:autoSpaceDN w:val="0"/>
              <w:adjustRightInd w:val="0"/>
              <w:spacing w:line="240" w:lineRule="auto"/>
              <w:textAlignment w:val="baseline"/>
              <w:rPr>
                <w:i/>
              </w:rPr>
            </w:pPr>
            <w:r>
              <w:rPr>
                <w:b/>
                <w:i/>
              </w:rPr>
              <w:t>Date de contact</w:t>
            </w:r>
            <w:r w:rsidR="002E3239">
              <w:rPr>
                <w:b/>
                <w:i/>
              </w:rPr>
              <w:t>:</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6179EF" w:rsidRDefault="006179EF" w14:paraId="6536B2B2" w14:textId="755F589E">
            <w:pPr>
              <w:overflowPunct w:val="0"/>
              <w:autoSpaceDE w:val="0"/>
              <w:autoSpaceDN w:val="0"/>
              <w:adjustRightInd w:val="0"/>
              <w:spacing w:line="240" w:lineRule="auto"/>
              <w:textAlignment w:val="baseline"/>
              <w:rPr>
                <w:i/>
              </w:rPr>
            </w:pPr>
            <w:r>
              <w:rPr>
                <w:i/>
              </w:rPr>
              <w:t>Tel.</w:t>
            </w:r>
            <w:r w:rsidR="002E3239">
              <w:rPr>
                <w:i/>
              </w:rPr>
              <w:t>:</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E-mail:</w:t>
            </w:r>
          </w:p>
        </w:tc>
        <w:tc>
          <w:tcPr>
            <w:tcW w:w="3444" w:type="pct"/>
          </w:tcPr>
          <w:p w:rsidRPr="006179EF" w:rsidR="006179EF" w:rsidP="006179EF" w:rsidRDefault="005C5942" w14:paraId="2C3E3001" w14:textId="77777777">
            <w:pPr>
              <w:overflowPunct w:val="0"/>
              <w:autoSpaceDE w:val="0"/>
              <w:autoSpaceDN w:val="0"/>
              <w:adjustRightInd w:val="0"/>
              <w:spacing w:line="240" w:lineRule="auto"/>
              <w:textAlignment w:val="baseline"/>
              <w:rPr>
                <w:i/>
              </w:rPr>
            </w:pPr>
            <w:hyperlink w:history="1" r:id="rId45">
              <w:r w:rsidR="00381CCE">
                <w:rPr>
                  <w:i/>
                  <w:color w:val="0000FF"/>
                  <w:u w:val="single"/>
                </w:rPr>
                <w:t>Marco.Ristori@eesc.europa.eu</w:t>
              </w:r>
            </w:hyperlink>
          </w:p>
        </w:tc>
      </w:tr>
    </w:tbl>
    <w:p w:rsidR="00055407" w:rsidP="006179EF" w:rsidRDefault="00055407" w14:paraId="1955FA32" w14:textId="0F805188">
      <w:pPr>
        <w:ind w:left="710"/>
        <w:rPr>
          <w:b/>
          <w:i/>
          <w:sz w:val="28"/>
          <w:szCs w:val="28"/>
          <w:lang w:val="en-GB"/>
        </w:rPr>
      </w:pPr>
    </w:p>
    <w:p w:rsidR="00055407" w:rsidRDefault="00055407" w14:paraId="48C49104" w14:textId="77777777">
      <w:pPr>
        <w:spacing w:after="160" w:line="259" w:lineRule="auto"/>
        <w:jc w:val="left"/>
        <w:rPr>
          <w:b/>
          <w:i/>
          <w:sz w:val="28"/>
          <w:szCs w:val="28"/>
        </w:rPr>
      </w:pPr>
      <w:r>
        <w:br w:type="page"/>
      </w:r>
    </w:p>
    <w:p w:rsidRPr="00AE7912" w:rsidR="00AE7912" w:rsidP="00AE7912" w:rsidRDefault="005C5942"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46">
        <w:r w:rsidR="00381CCE">
          <w:rPr>
            <w:b/>
            <w:i/>
            <w:color w:val="0000FF"/>
            <w:sz w:val="28"/>
            <w:u w:val="single"/>
          </w:rPr>
          <w:t>Situația organizațiilor societății civile din țările ASEAN</w:t>
        </w:r>
      </w:hyperlink>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41A4EA37">
            <w:pPr>
              <w:tabs>
                <w:tab w:val="center" w:pos="284"/>
              </w:tabs>
              <w:overflowPunct w:val="0"/>
              <w:autoSpaceDE w:val="0"/>
              <w:autoSpaceDN w:val="0"/>
              <w:adjustRightInd w:val="0"/>
              <w:ind w:left="266" w:hanging="266"/>
              <w:textAlignment w:val="baseline"/>
              <w:rPr>
                <w:b/>
                <w:szCs w:val="24"/>
              </w:rPr>
            </w:pPr>
            <w:r>
              <w:rPr>
                <w:b/>
                <w:bCs/>
              </w:rPr>
              <w:t>Raportor</w:t>
            </w:r>
            <w:r w:rsidR="00916228">
              <w:rPr>
                <w:b/>
                <w:bCs/>
              </w:rPr>
              <w:t>:</w:t>
            </w:r>
          </w:p>
        </w:tc>
        <w:tc>
          <w:tcPr>
            <w:tcW w:w="5387" w:type="dxa"/>
          </w:tcPr>
          <w:p w:rsidRPr="00916228" w:rsidR="004F6E52" w:rsidP="00AE7912" w:rsidRDefault="00AE7912" w14:paraId="702C7FF4" w14:textId="6EBA07D6">
            <w:pPr>
              <w:tabs>
                <w:tab w:val="center" w:pos="2585"/>
              </w:tabs>
              <w:overflowPunct w:val="0"/>
              <w:autoSpaceDE w:val="0"/>
              <w:autoSpaceDN w:val="0"/>
              <w:adjustRightInd w:val="0"/>
              <w:jc w:val="left"/>
              <w:textAlignment w:val="baseline"/>
              <w:rPr>
                <w:szCs w:val="24"/>
              </w:rPr>
            </w:pPr>
            <w:proofErr w:type="spellStart"/>
            <w:r>
              <w:t>Erika</w:t>
            </w:r>
            <w:proofErr w:type="spellEnd"/>
            <w:r>
              <w:t xml:space="preserve"> KOLLER (Grupul „Lucrători” – HU)</w:t>
            </w:r>
          </w:p>
        </w:tc>
      </w:tr>
      <w:tr w:rsidRPr="00AE7912" w:rsidR="00AE7912" w:rsidTr="001757A2" w14:paraId="1D543515" w14:textId="77777777">
        <w:tc>
          <w:tcPr>
            <w:tcW w:w="1701" w:type="dxa"/>
          </w:tcPr>
          <w:p w:rsidRPr="00AE7912" w:rsidR="00AE7912" w:rsidP="00AE7912" w:rsidRDefault="00916228" w14:paraId="02671812" w14:textId="75405FB7">
            <w:pPr>
              <w:tabs>
                <w:tab w:val="center" w:pos="284"/>
              </w:tabs>
              <w:overflowPunct w:val="0"/>
              <w:autoSpaceDE w:val="0"/>
              <w:autoSpaceDN w:val="0"/>
              <w:adjustRightInd w:val="0"/>
              <w:ind w:left="266" w:hanging="266"/>
              <w:textAlignment w:val="baseline"/>
              <w:rPr>
                <w:b/>
                <w:szCs w:val="24"/>
              </w:rPr>
            </w:pPr>
            <w:r>
              <w:rPr>
                <w:b/>
              </w:rPr>
              <w:t>Referință:</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Raport de informare</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Prezentul raport urmărește să clarifice evoluția relației dintre Asociația Națiunilor din Asia de Sud-Est (ASEAN) și Uniunea Europeană (UE), în special în ceea ce privește rolul societății civile și dezvoltarea durabilă în contextul cooperării comerciale și politice.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Cele două regiuni au mai multe lucruri în comun decât se recunoaște, în general. Un parteneriat semnificativ UE-ASEAN, bazat pe o cooperare care respectă principiile și abordările politice ale celeilalte părți, servește drept forță stabilizatoare într-un mediu global din ce în ce mai volatil. Sprijinul comun pentru ordinea multilaterală bazată pe norme le unește, la fel ca și angajamentul pentru pace și dezvoltare.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Relațiile UE-ASEAN urmează un ritm stabilit de reuniuni și grupuri de lucru anuale, incluzând un comitet mixt ale cărui lucrări contribuie la dialogurile ministeriale la nivel superior și la cooperarea industrială prin intermediul forumurilor specializate.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Societatea civilă joacă un rol esențial în promovarea cooperării interregionale, în special în promovarea proceselor politice participative și în sprijinirea eforturilor de consolidare interregională. Pentru țările care împărtășesc aceeași viziune, recunoașterea realităților politice, sociale și culturale complexe ale Asiei de Sud-Est – care pot diferi semnificativ de așteptările europene – este fundamentală. Reducerea acestor diferențe este esențială pentru cultivarea unui dialog instituționalizat, deschis și incluziv, cu participarea semnificativă a societății civile. Un astfel de dialog implică reanalizarea strategiilor de implicare și a realităților locale, asigurând includerea vocilor marginalizate, în special a organizațiilor locale, a femeilor, a minorităților etnice și indigene și a tinerilor. Cu toate acestea, ea necesită, de asemenea, o evaluare atentă atunci când se creează parteneriate cu organizații ale societății civile (OSC).</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736CF6" w14:paraId="17A93B18" w14:textId="77777777">
        <w:tc>
          <w:tcPr>
            <w:tcW w:w="1701" w:type="dxa"/>
          </w:tcPr>
          <w:p w:rsidRPr="00AE7912" w:rsidR="00AE7912" w:rsidP="00AE7912" w:rsidRDefault="00AE7912" w14:paraId="65FD52C7" w14:textId="56CA8AC9">
            <w:pPr>
              <w:overflowPunct w:val="0"/>
              <w:autoSpaceDE w:val="0"/>
              <w:autoSpaceDN w:val="0"/>
              <w:adjustRightInd w:val="0"/>
              <w:textAlignment w:val="baseline"/>
              <w:rPr>
                <w:i/>
                <w:szCs w:val="24"/>
              </w:rPr>
            </w:pPr>
            <w:r>
              <w:rPr>
                <w:b/>
                <w:i/>
              </w:rPr>
              <w:t>Date de contact</w:t>
            </w:r>
            <w:r w:rsidR="00736CF6">
              <w:rPr>
                <w:b/>
                <w:i/>
              </w:rPr>
              <w:t>:</w:t>
            </w:r>
          </w:p>
        </w:tc>
        <w:tc>
          <w:tcPr>
            <w:tcW w:w="5387" w:type="dxa"/>
          </w:tcPr>
          <w:p w:rsidRPr="00B60D9A" w:rsidR="00AE7912" w:rsidP="00AE7912" w:rsidRDefault="00AE7912" w14:paraId="425D7DA0" w14:textId="77777777">
            <w:pPr>
              <w:overflowPunct w:val="0"/>
              <w:autoSpaceDE w:val="0"/>
              <w:autoSpaceDN w:val="0"/>
              <w:adjustRightInd w:val="0"/>
              <w:textAlignment w:val="baseline"/>
              <w:rPr>
                <w:i/>
                <w:szCs w:val="24"/>
              </w:rPr>
            </w:pPr>
            <w:proofErr w:type="spellStart"/>
            <w:r>
              <w:rPr>
                <w:i/>
              </w:rPr>
              <w:t>Gunilla</w:t>
            </w:r>
            <w:proofErr w:type="spellEnd"/>
            <w:r>
              <w:rPr>
                <w:i/>
              </w:rPr>
              <w:t xml:space="preserve"> </w:t>
            </w:r>
            <w:proofErr w:type="spellStart"/>
            <w:r>
              <w:rPr>
                <w:i/>
              </w:rPr>
              <w:t>Fèvre-Burdy</w:t>
            </w:r>
            <w:proofErr w:type="spellEnd"/>
          </w:p>
        </w:tc>
      </w:tr>
      <w:tr w:rsidRPr="00AE7912" w:rsidR="00AE7912" w:rsidTr="00736CF6" w14:paraId="053D8F5C" w14:textId="77777777">
        <w:tc>
          <w:tcPr>
            <w:tcW w:w="1701" w:type="dxa"/>
          </w:tcPr>
          <w:p w:rsidRPr="00AE7912" w:rsidR="00AE7912" w:rsidP="00AE7912" w:rsidRDefault="00AE7912" w14:paraId="524CC4A2" w14:textId="5D09CCF0">
            <w:pPr>
              <w:overflowPunct w:val="0"/>
              <w:autoSpaceDE w:val="0"/>
              <w:autoSpaceDN w:val="0"/>
              <w:adjustRightInd w:val="0"/>
              <w:textAlignment w:val="baseline"/>
              <w:rPr>
                <w:i/>
                <w:szCs w:val="24"/>
              </w:rPr>
            </w:pPr>
            <w:r>
              <w:rPr>
                <w:i/>
              </w:rPr>
              <w:t>Tel.</w:t>
            </w:r>
            <w:r w:rsidR="00736CF6">
              <w:rPr>
                <w:i/>
              </w:rPr>
              <w:t>:</w:t>
            </w:r>
          </w:p>
        </w:tc>
        <w:tc>
          <w:tcPr>
            <w:tcW w:w="5387"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736CF6" w14:paraId="782EE881" w14:textId="77777777">
        <w:tc>
          <w:tcPr>
            <w:tcW w:w="1701"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E-mail:</w:t>
            </w:r>
          </w:p>
        </w:tc>
        <w:tc>
          <w:tcPr>
            <w:tcW w:w="5387" w:type="dxa"/>
          </w:tcPr>
          <w:p w:rsidRPr="00AE7912" w:rsidR="00AE7912" w:rsidP="00AE7912" w:rsidRDefault="005C5942" w14:paraId="22B44104" w14:textId="77777777">
            <w:pPr>
              <w:overflowPunct w:val="0"/>
              <w:autoSpaceDE w:val="0"/>
              <w:autoSpaceDN w:val="0"/>
              <w:adjustRightInd w:val="0"/>
              <w:textAlignment w:val="baseline"/>
              <w:rPr>
                <w:i/>
                <w:color w:val="0000FF"/>
                <w:szCs w:val="24"/>
                <w:u w:val="single"/>
              </w:rPr>
            </w:pPr>
            <w:hyperlink w:history="1" r:id="rId47">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281633" w:id="18"/>
      <w:r>
        <w:rPr>
          <w:b/>
          <w:color w:val="222A35" w:themeColor="text2" w:themeShade="80"/>
        </w:rPr>
        <w:lastRenderedPageBreak/>
        <w:t>COMISIA CONSULTATIVĂ PENTRU MUTAȚII INDUSTRIALE</w:t>
      </w:r>
      <w:bookmarkEnd w:id="18"/>
    </w:p>
    <w:p w:rsidRPr="00B60D9A" w:rsidR="006D2C8A" w:rsidP="00B2153F" w:rsidRDefault="006D2C8A" w14:paraId="713E272F" w14:textId="77777777">
      <w:pPr>
        <w:tabs>
          <w:tab w:val="center" w:pos="284"/>
        </w:tabs>
        <w:overflowPunct w:val="0"/>
        <w:autoSpaceDE w:val="0"/>
        <w:autoSpaceDN w:val="0"/>
        <w:adjustRightInd w:val="0"/>
        <w:spacing w:line="240" w:lineRule="auto"/>
        <w:ind w:left="266" w:hanging="266"/>
        <w:textAlignment w:val="baseline"/>
        <w:rPr>
          <w:sz w:val="18"/>
          <w:szCs w:val="18"/>
        </w:rPr>
      </w:pPr>
    </w:p>
    <w:p w:rsidRPr="001E19E2" w:rsidR="001E19E2" w:rsidP="001E19E2" w:rsidRDefault="005C5942"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48">
        <w:r w:rsidR="001E19E2">
          <w:rPr>
            <w:b/>
            <w:i/>
            <w:color w:val="0000FF"/>
            <w:sz w:val="28"/>
            <w:u w:val="single"/>
          </w:rPr>
          <w:t>Reindustrializarea Europei – o oportunitate pentru întreprinderi, angajați și cetățeni în contextul crizei costului vieții</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55407" w:rsidR="001E19E2" w:rsidTr="001757A2" w14:paraId="7674091C" w14:textId="77777777">
        <w:tc>
          <w:tcPr>
            <w:tcW w:w="1701" w:type="dxa"/>
          </w:tcPr>
          <w:p w:rsidRPr="001E19E2" w:rsidR="001E19E2" w:rsidP="001E19E2" w:rsidRDefault="001E19E2" w14:paraId="7CF1DAD6" w14:textId="300B85D7">
            <w:pPr>
              <w:tabs>
                <w:tab w:val="center" w:pos="284"/>
              </w:tabs>
              <w:overflowPunct w:val="0"/>
              <w:autoSpaceDE w:val="0"/>
              <w:autoSpaceDN w:val="0"/>
              <w:adjustRightInd w:val="0"/>
              <w:ind w:left="266" w:hanging="266"/>
              <w:textAlignment w:val="baseline"/>
              <w:rPr>
                <w:b/>
              </w:rPr>
            </w:pPr>
            <w:r>
              <w:rPr>
                <w:b/>
                <w:bCs/>
              </w:rPr>
              <w:t>Raportor</w:t>
            </w:r>
            <w:r w:rsidR="003E2C21">
              <w:rPr>
                <w:b/>
                <w:bCs/>
              </w:rPr>
              <w:t>:</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(Grupul „Angajatori” – ES)</w:t>
            </w:r>
          </w:p>
        </w:tc>
      </w:tr>
      <w:tr w:rsidRPr="001E19E2" w:rsidR="001E19E2" w:rsidTr="001757A2" w14:paraId="1EB02009" w14:textId="77777777">
        <w:tc>
          <w:tcPr>
            <w:tcW w:w="1701" w:type="dxa"/>
          </w:tcPr>
          <w:p w:rsidRPr="001E19E2" w:rsidR="001E19E2" w:rsidP="001E19E2" w:rsidRDefault="001E19E2" w14:paraId="5C8E6FCE" w14:textId="252D94EC">
            <w:pPr>
              <w:tabs>
                <w:tab w:val="center" w:pos="284"/>
              </w:tabs>
              <w:overflowPunct w:val="0"/>
              <w:autoSpaceDE w:val="0"/>
              <w:autoSpaceDN w:val="0"/>
              <w:adjustRightInd w:val="0"/>
              <w:ind w:left="266" w:hanging="266"/>
              <w:textAlignment w:val="baseline"/>
              <w:rPr>
                <w:b/>
              </w:rPr>
            </w:pPr>
            <w:r>
              <w:rPr>
                <w:b/>
              </w:rPr>
              <w:t>Coraportor</w:t>
            </w:r>
            <w:r w:rsidR="00542C7B">
              <w:rPr>
                <w:b/>
              </w:rPr>
              <w:t>:</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proofErr w:type="spellStart"/>
            <w:r>
              <w:t>Monika</w:t>
            </w:r>
            <w:proofErr w:type="spellEnd"/>
            <w:r>
              <w:t xml:space="preserve"> SITÁROVÁ (Cat.2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tcPr>
          <w:p w:rsidRPr="001E19E2" w:rsidR="001E19E2" w:rsidP="001E19E2" w:rsidRDefault="00542C7B" w14:paraId="2D144212" w14:textId="65851797">
            <w:pPr>
              <w:tabs>
                <w:tab w:val="center" w:pos="284"/>
              </w:tabs>
              <w:overflowPunct w:val="0"/>
              <w:autoSpaceDE w:val="0"/>
              <w:autoSpaceDN w:val="0"/>
              <w:adjustRightInd w:val="0"/>
              <w:ind w:left="266" w:hanging="266"/>
              <w:textAlignment w:val="baseline"/>
              <w:rPr>
                <w:b/>
              </w:rPr>
            </w:pPr>
            <w:r>
              <w:rPr>
                <w:b/>
              </w:rPr>
              <w:t>Referință:</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aviz din proprie inițiativă</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bl>
    <w:p w:rsidRPr="00B2153F" w:rsidR="00542C7B" w:rsidP="00B2153F" w:rsidRDefault="00542C7B" w14:paraId="60AE6523" w14:textId="77777777">
      <w:pPr>
        <w:tabs>
          <w:tab w:val="center" w:pos="284"/>
        </w:tabs>
        <w:overflowPunct w:val="0"/>
        <w:autoSpaceDE w:val="0"/>
        <w:autoSpaceDN w:val="0"/>
        <w:adjustRightInd w:val="0"/>
        <w:spacing w:line="240" w:lineRule="auto"/>
        <w:ind w:left="266" w:hanging="266"/>
        <w:textAlignment w:val="baseline"/>
        <w:rPr>
          <w:bCs/>
          <w:sz w:val="16"/>
          <w:szCs w:val="16"/>
          <w:lang w:val="en-GB"/>
        </w:rPr>
      </w:pPr>
    </w:p>
    <w:p w:rsidRPr="001E19E2" w:rsidR="001E19E2" w:rsidP="001E19E2" w:rsidRDefault="001E19E2" w14:paraId="7A80E165" w14:textId="3DE6F76A">
      <w:pPr>
        <w:keepNext/>
        <w:keepLines/>
        <w:tabs>
          <w:tab w:val="center" w:pos="284"/>
        </w:tabs>
        <w:overflowPunct w:val="0"/>
        <w:autoSpaceDE w:val="0"/>
        <w:autoSpaceDN w:val="0"/>
        <w:adjustRightInd w:val="0"/>
        <w:ind w:left="266" w:hanging="266"/>
        <w:textAlignment w:val="baseline"/>
        <w:rPr>
          <w:b/>
        </w:rPr>
      </w:pPr>
      <w:r>
        <w:rPr>
          <w:b/>
        </w:rPr>
        <w:t>Punctele principale</w:t>
      </w:r>
    </w:p>
    <w:p w:rsidRPr="00B2153F" w:rsidR="001E19E2" w:rsidP="00B2153F" w:rsidRDefault="001E19E2" w14:paraId="3D53CE10" w14:textId="77777777">
      <w:pPr>
        <w:tabs>
          <w:tab w:val="center" w:pos="284"/>
        </w:tabs>
        <w:overflowPunct w:val="0"/>
        <w:autoSpaceDE w:val="0"/>
        <w:autoSpaceDN w:val="0"/>
        <w:adjustRightInd w:val="0"/>
        <w:spacing w:line="240" w:lineRule="auto"/>
        <w:ind w:left="266" w:hanging="266"/>
        <w:textAlignment w:val="baseline"/>
        <w:rPr>
          <w:bCs/>
          <w:sz w:val="16"/>
          <w:szCs w:val="16"/>
          <w:lang w:val="en-GB"/>
        </w:rPr>
      </w:pPr>
    </w:p>
    <w:p w:rsidRPr="001E19E2" w:rsidR="001E19E2" w:rsidP="001E19E2" w:rsidRDefault="005C5942" w14:paraId="531504B8" w14:textId="77777777">
      <w:pPr>
        <w:keepNext/>
        <w:keepLines/>
        <w:tabs>
          <w:tab w:val="center" w:pos="0"/>
        </w:tabs>
        <w:overflowPunct w:val="0"/>
        <w:autoSpaceDE w:val="0"/>
        <w:autoSpaceDN w:val="0"/>
        <w:adjustRightInd w:val="0"/>
        <w:textAlignment w:val="baseline"/>
        <w:rPr>
          <w:b/>
        </w:rPr>
      </w:pPr>
      <w:hyperlink w:history="1" r:id="rId49">
        <w:r w:rsidR="001E19E2">
          <w:rPr>
            <w:color w:val="0000FF"/>
            <w:u w:val="single"/>
          </w:rPr>
          <w:t>Testul UE din perspectiva tinerilor din cadrul CESE</w:t>
        </w:r>
      </w:hyperlink>
      <w:r w:rsidR="001E19E2">
        <w:t xml:space="preserve"> se aplică prezentului aviz. Forumul pentru tineret din regiunea Mării Baltice a fost ales de un grup de organizații de tineret interesate pentru a le reprezenta pe toate în cursul procesului de elaborare a avizului.</w:t>
      </w:r>
    </w:p>
    <w:p w:rsidRPr="00B2153F" w:rsidR="001E19E2" w:rsidP="00B2153F" w:rsidRDefault="001E19E2" w14:paraId="6862D691" w14:textId="77777777">
      <w:pPr>
        <w:tabs>
          <w:tab w:val="center" w:pos="284"/>
        </w:tabs>
        <w:overflowPunct w:val="0"/>
        <w:autoSpaceDE w:val="0"/>
        <w:autoSpaceDN w:val="0"/>
        <w:adjustRightInd w:val="0"/>
        <w:spacing w:line="240" w:lineRule="auto"/>
        <w:ind w:left="266" w:hanging="266"/>
        <w:textAlignment w:val="baseline"/>
        <w:rPr>
          <w:bCs/>
          <w:sz w:val="16"/>
          <w:szCs w:val="16"/>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CESE:</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salută </w:t>
      </w:r>
      <w:r>
        <w:rPr>
          <w:b/>
        </w:rPr>
        <w:t>inițiativa Comisiei privind Busola pentru competitivitate</w:t>
      </w:r>
      <w:r>
        <w:t xml:space="preserve">, axată pe </w:t>
      </w:r>
      <w:r>
        <w:rPr>
          <w:b/>
        </w:rPr>
        <w:t>îmbunătățirea competitivității economiei UE pentru a reduce decalajul față de SUA și Asia</w:t>
      </w:r>
      <w:r>
        <w:t>. Dezvoltarea Busolei pentru competitivitate trebuie să includă indicatori clari de performanță pentru a permite instituțiilor și părților interesate din UE să monitorizeze realizarea fiecărei sarcini incluse în busolă;</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dorește ca </w:t>
      </w:r>
      <w:r>
        <w:rPr>
          <w:b/>
        </w:rPr>
        <w:t>Comisia să garanteze că Planul de acțiune privind energia la prețuri accesibile va asigura furnizarea de energie electrică și un preț stabil, competitiv și previzibil</w:t>
      </w:r>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accentuează că </w:t>
      </w:r>
      <w:r>
        <w:rPr>
          <w:b/>
        </w:rPr>
        <w:t xml:space="preserve">autonomia strategică deschisă trebuie plasată în centrul procesului de reindustrializare, asigurând accesul la materii prime, diversificând sursele și făcând economia UE mai </w:t>
      </w:r>
      <w:proofErr w:type="spellStart"/>
      <w:r>
        <w:rPr>
          <w:b/>
        </w:rPr>
        <w:t>rezilientă</w:t>
      </w:r>
      <w:proofErr w:type="spellEnd"/>
      <w:r>
        <w:t xml:space="preserve">. Pentru a încuraja întreprinderile </w:t>
      </w:r>
      <w:r>
        <w:rPr>
          <w:b/>
        </w:rPr>
        <w:t>să își relocalizeze producția în UE</w:t>
      </w:r>
      <w:r>
        <w:t xml:space="preserve">, CESE recomandă adoptarea unei </w:t>
      </w:r>
      <w:r>
        <w:rPr>
          <w:b/>
        </w:rPr>
        <w:t>politici industriale bazate pe o abordare a lanțului valoric</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subliniază că legiuitorii UE trebuie să se folosească de viitorul </w:t>
      </w:r>
      <w:r>
        <w:rPr>
          <w:b/>
        </w:rPr>
        <w:t>act legislativ privind accelerarea decarbonizării industriale pentru a asigura durabilitatea modelelor de afaceri alternative și circulare, oferind proceduri accelerate de autorizare, sprijin financiar și susținere politică</w:t>
      </w:r>
      <w:r>
        <w:t xml:space="preserve"> întreprinderilor dedicate tranziției. Propunerea de </w:t>
      </w:r>
      <w:r>
        <w:rPr>
          <w:b/>
        </w:rPr>
        <w:t>act legislativ privind economia circulară</w:t>
      </w:r>
      <w:r>
        <w:t xml:space="preserve"> ar trebui să transmită un mesaj clar de </w:t>
      </w:r>
      <w:r>
        <w:rPr>
          <w:b/>
        </w:rPr>
        <w:t>sprijin întreprinderilor circulare, asigurându-i pe investitori că UE este mediul ideal pentru dezvoltarea de soluții curate</w:t>
      </w:r>
      <w:r>
        <w:t>;</w:t>
      </w:r>
    </w:p>
    <w:p w:rsidRPr="001E19E2" w:rsidR="001E19E2" w:rsidP="00542C7B"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arată că reindustrializarea necesită un program de inovare dedicat</w:t>
      </w:r>
      <w:r>
        <w:t xml:space="preserve">, cu obiective specifice care să includă atât industriile existente, cât și noile evoluții, și să se bazeze pe dialogul social; </w:t>
      </w:r>
    </w:p>
    <w:p w:rsidRPr="001E19E2" w:rsidR="001E19E2" w:rsidP="00542C7B"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 xml:space="preserve">sugerează ca </w:t>
      </w:r>
      <w:r>
        <w:rPr>
          <w:b/>
        </w:rPr>
        <w:t xml:space="preserve">UE să promoveze programe de parteneriat public-privat pentru a stimula investițiile industriale, cu o secțiune dedicată promovării </w:t>
      </w:r>
      <w:proofErr w:type="spellStart"/>
      <w:r>
        <w:rPr>
          <w:b/>
        </w:rPr>
        <w:t>antreprenoriatului</w:t>
      </w:r>
      <w:proofErr w:type="spellEnd"/>
      <w:r>
        <w:rPr>
          <w:b/>
        </w:rPr>
        <w:t xml:space="preserve"> în rândul tinerilor în industria prelucrătoare</w:t>
      </w:r>
      <w:r>
        <w:t>;</w:t>
      </w:r>
      <w:r>
        <w:rPr>
          <w:b/>
        </w:rPr>
        <w:t xml:space="preserve"> </w:t>
      </w:r>
    </w:p>
    <w:p w:rsidRPr="00E1573A" w:rsidR="001E19E2" w:rsidP="00542C7B" w:rsidRDefault="001E19E2" w14:paraId="40794AEF" w14:textId="77777777">
      <w:pPr>
        <w:pStyle w:val="ListParagraph"/>
        <w:widowControl w:val="0"/>
        <w:numPr>
          <w:ilvl w:val="0"/>
          <w:numId w:val="47"/>
        </w:numPr>
        <w:overflowPunct w:val="0"/>
        <w:autoSpaceDE w:val="0"/>
        <w:autoSpaceDN w:val="0"/>
        <w:adjustRightInd w:val="0"/>
        <w:spacing w:line="240" w:lineRule="auto"/>
        <w:ind w:left="284" w:hanging="284"/>
        <w:textAlignment w:val="baseline"/>
        <w:rPr>
          <w:rFonts w:asciiTheme="minorHAnsi" w:hAnsiTheme="minorHAnsi"/>
          <w:b/>
          <w:bCs/>
          <w:szCs w:val="20"/>
        </w:rPr>
      </w:pPr>
      <w:r>
        <w:t xml:space="preserve">cere ca </w:t>
      </w:r>
      <w:r>
        <w:rPr>
          <w:b/>
        </w:rPr>
        <w:t>viitoarea propunere a Comisiei privind uniunea competențelor să prevadă recunoașterea și validarea directă a competențelor lucrătorilor în UE</w:t>
      </w:r>
      <w:r>
        <w:t xml:space="preserve"> odată ce acestea au fost recunoscute de autoritățile publice ale unui stat membru, reducând sarcinile birocratice. Comisia trebuie să lanseze un </w:t>
      </w:r>
      <w:r>
        <w:rPr>
          <w:b/>
        </w:rPr>
        <w:t xml:space="preserve">program la nivelul UE pentru a promova uceniciile remunerate în mod echitabil în sectorul industrial în rândul generațiilor mai tinere, sprijinind o forță de muncă mai </w:t>
      </w:r>
      <w:proofErr w:type="spellStart"/>
      <w:r>
        <w:rPr>
          <w:b/>
        </w:rPr>
        <w:t>rezilientă</w:t>
      </w:r>
      <w:proofErr w:type="spellEnd"/>
      <w:r>
        <w:t>.</w:t>
      </w:r>
      <w:r>
        <w:rPr>
          <w:b/>
        </w:rPr>
        <w:t xml:space="preserve"> </w:t>
      </w:r>
    </w:p>
    <w:p w:rsidRPr="00B2153F" w:rsidR="001E19E2" w:rsidP="00B2153F" w:rsidRDefault="001E19E2" w14:paraId="083C9B21" w14:textId="77777777">
      <w:pPr>
        <w:tabs>
          <w:tab w:val="center" w:pos="284"/>
        </w:tabs>
        <w:overflowPunct w:val="0"/>
        <w:autoSpaceDE w:val="0"/>
        <w:autoSpaceDN w:val="0"/>
        <w:adjustRightInd w:val="0"/>
        <w:spacing w:line="240" w:lineRule="auto"/>
        <w:ind w:left="266" w:hanging="266"/>
        <w:textAlignment w:val="baseline"/>
        <w:rPr>
          <w:bCs/>
          <w:sz w:val="16"/>
          <w:szCs w:val="16"/>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E19E2" w:rsidR="001E19E2" w:rsidTr="00B2153F" w14:paraId="31E7420E" w14:textId="77777777">
        <w:tc>
          <w:tcPr>
            <w:tcW w:w="1701" w:type="dxa"/>
          </w:tcPr>
          <w:p w:rsidRPr="001E19E2" w:rsidR="001E19E2" w:rsidP="001E19E2" w:rsidRDefault="001E19E2" w14:paraId="1817EE79" w14:textId="41AB0F43">
            <w:pPr>
              <w:overflowPunct w:val="0"/>
              <w:autoSpaceDE w:val="0"/>
              <w:autoSpaceDN w:val="0"/>
              <w:adjustRightInd w:val="0"/>
              <w:spacing w:line="240" w:lineRule="auto"/>
              <w:textAlignment w:val="baseline"/>
              <w:rPr>
                <w:i/>
              </w:rPr>
            </w:pPr>
            <w:r>
              <w:rPr>
                <w:b/>
                <w:i/>
              </w:rPr>
              <w:t>Date de contact</w:t>
            </w:r>
            <w:r w:rsidR="00B2153F">
              <w:rPr>
                <w:b/>
                <w:i/>
              </w:rPr>
              <w:t>:</w:t>
            </w:r>
          </w:p>
        </w:tc>
        <w:tc>
          <w:tcPr>
            <w:tcW w:w="5387"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B2153F" w14:paraId="02FDC2A9" w14:textId="77777777">
        <w:tc>
          <w:tcPr>
            <w:tcW w:w="1701" w:type="dxa"/>
          </w:tcPr>
          <w:p w:rsidRPr="001E19E2" w:rsidR="001E19E2" w:rsidP="001E19E2" w:rsidRDefault="001E19E2" w14:paraId="0FDDE9B5" w14:textId="67AB4AAF">
            <w:pPr>
              <w:overflowPunct w:val="0"/>
              <w:autoSpaceDE w:val="0"/>
              <w:autoSpaceDN w:val="0"/>
              <w:adjustRightInd w:val="0"/>
              <w:spacing w:line="240" w:lineRule="auto"/>
              <w:textAlignment w:val="baseline"/>
              <w:rPr>
                <w:i/>
              </w:rPr>
            </w:pPr>
            <w:r>
              <w:rPr>
                <w:i/>
              </w:rPr>
              <w:t>Tel.</w:t>
            </w:r>
            <w:r w:rsidR="00B2153F">
              <w:rPr>
                <w:i/>
              </w:rPr>
              <w:t>:</w:t>
            </w:r>
          </w:p>
        </w:tc>
        <w:tc>
          <w:tcPr>
            <w:tcW w:w="5387"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B2153F" w14:paraId="14B73272" w14:textId="77777777">
        <w:trPr>
          <w:trHeight w:val="80"/>
        </w:trPr>
        <w:tc>
          <w:tcPr>
            <w:tcW w:w="1701"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E-mail:</w:t>
            </w:r>
          </w:p>
        </w:tc>
        <w:tc>
          <w:tcPr>
            <w:tcW w:w="5387" w:type="dxa"/>
          </w:tcPr>
          <w:p w:rsidRPr="001E19E2" w:rsidR="001E19E2" w:rsidP="001E19E2" w:rsidRDefault="005C5942" w14:paraId="0DF1EA53" w14:textId="77777777">
            <w:pPr>
              <w:overflowPunct w:val="0"/>
              <w:autoSpaceDE w:val="0"/>
              <w:autoSpaceDN w:val="0"/>
              <w:adjustRightInd w:val="0"/>
              <w:spacing w:line="240" w:lineRule="auto"/>
              <w:textAlignment w:val="baseline"/>
              <w:rPr>
                <w:i/>
              </w:rPr>
            </w:pPr>
            <w:hyperlink w:history="1" r:id="rId50">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5C5942"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1">
        <w:r w:rsidR="00E34939">
          <w:rPr>
            <w:b/>
            <w:i/>
            <w:color w:val="0000FF"/>
            <w:sz w:val="28"/>
            <w:u w:val="single"/>
          </w:rPr>
          <w:t>Actul legislativ privind medicamentele critice – linkuri conexe</w:t>
        </w:r>
      </w:hyperlink>
    </w:p>
    <w:p w:rsidRPr="005159D9" w:rsidR="004F51B1" w:rsidP="005159D9" w:rsidRDefault="004F51B1" w14:paraId="756BCE6E" w14:textId="77777777">
      <w:pPr>
        <w:overflowPunct w:val="0"/>
        <w:autoSpaceDE w:val="0"/>
        <w:autoSpaceDN w:val="0"/>
        <w:adjustRightInd w:val="0"/>
        <w:textAlignment w:val="baseline"/>
        <w:rPr>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E34939" w:rsidR="00E34939" w:rsidTr="001757A2" w14:paraId="66DA7C26" w14:textId="77777777">
        <w:tc>
          <w:tcPr>
            <w:tcW w:w="1701" w:type="dxa"/>
          </w:tcPr>
          <w:p w:rsidRPr="00E34939" w:rsidR="00E34939" w:rsidP="00E34939" w:rsidRDefault="00E34939" w14:paraId="71F0C769" w14:textId="6AF603FC">
            <w:pPr>
              <w:tabs>
                <w:tab w:val="center" w:pos="284"/>
              </w:tabs>
              <w:overflowPunct w:val="0"/>
              <w:autoSpaceDE w:val="0"/>
              <w:autoSpaceDN w:val="0"/>
              <w:adjustRightInd w:val="0"/>
              <w:ind w:left="266" w:hanging="266"/>
              <w:textAlignment w:val="baseline"/>
              <w:rPr>
                <w:b/>
              </w:rPr>
            </w:pPr>
            <w:r>
              <w:rPr>
                <w:b/>
                <w:bCs/>
              </w:rPr>
              <w:t>Raportor</w:t>
            </w:r>
            <w:r w:rsidR="005159D9">
              <w:rPr>
                <w:b/>
                <w:bCs/>
              </w:rPr>
              <w:t>:</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proofErr w:type="spellStart"/>
            <w:r>
              <w:t>Veselin</w:t>
            </w:r>
            <w:proofErr w:type="spellEnd"/>
            <w:r>
              <w:t xml:space="preserve"> MITOV (Grupul „Lucrători” – BG)</w:t>
            </w:r>
          </w:p>
        </w:tc>
      </w:tr>
      <w:tr w:rsidRPr="00E34939" w:rsidR="00E34939" w:rsidTr="001757A2" w14:paraId="43AC0DCB" w14:textId="77777777">
        <w:tc>
          <w:tcPr>
            <w:tcW w:w="1701" w:type="dxa"/>
          </w:tcPr>
          <w:p w:rsidRPr="00E34939" w:rsidR="00E34939" w:rsidP="00E34939" w:rsidRDefault="00E34939" w14:paraId="66D9A727" w14:textId="7B03BF79">
            <w:pPr>
              <w:tabs>
                <w:tab w:val="center" w:pos="284"/>
              </w:tabs>
              <w:overflowPunct w:val="0"/>
              <w:autoSpaceDE w:val="0"/>
              <w:autoSpaceDN w:val="0"/>
              <w:adjustRightInd w:val="0"/>
              <w:ind w:left="266" w:hanging="266"/>
              <w:textAlignment w:val="baseline"/>
              <w:rPr>
                <w:b/>
              </w:rPr>
            </w:pPr>
            <w:r>
              <w:rPr>
                <w:b/>
              </w:rPr>
              <w:t>Coraportor</w:t>
            </w:r>
            <w:r w:rsidR="005159D9">
              <w:rPr>
                <w:b/>
              </w:rPr>
              <w:t>:</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proofErr w:type="spellStart"/>
            <w:r>
              <w:t>Elżbieta</w:t>
            </w:r>
            <w:proofErr w:type="spellEnd"/>
            <w:r>
              <w:t xml:space="preserve"> SZADZIŃSKA (Cat. 3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tcPr>
          <w:p w:rsidRPr="00E34939" w:rsidR="00E34939" w:rsidP="00E34939" w:rsidRDefault="005159D9" w14:paraId="62009E64" w14:textId="76FD3563">
            <w:pPr>
              <w:tabs>
                <w:tab w:val="center" w:pos="284"/>
              </w:tabs>
              <w:overflowPunct w:val="0"/>
              <w:autoSpaceDE w:val="0"/>
              <w:autoSpaceDN w:val="0"/>
              <w:adjustRightInd w:val="0"/>
              <w:ind w:left="266" w:hanging="266"/>
              <w:textAlignment w:val="baseline"/>
              <w:rPr>
                <w:b/>
              </w:rPr>
            </w:pPr>
            <w:r>
              <w:rPr>
                <w:b/>
              </w:rPr>
              <w:t>Referință:</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COM(2025) 102 final</w:t>
            </w:r>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bl>
    <w:p w:rsidR="005159D9" w:rsidP="00E34939" w:rsidRDefault="005159D9" w14:paraId="6D7F5D5E" w14:textId="77777777">
      <w:pPr>
        <w:keepNext/>
        <w:keepLines/>
        <w:tabs>
          <w:tab w:val="center" w:pos="284"/>
        </w:tabs>
        <w:overflowPunct w:val="0"/>
        <w:autoSpaceDE w:val="0"/>
        <w:autoSpaceDN w:val="0"/>
        <w:adjustRightInd w:val="0"/>
        <w:ind w:left="266" w:hanging="266"/>
        <w:textAlignment w:val="baseline"/>
        <w:rPr>
          <w:b/>
        </w:rPr>
      </w:pPr>
    </w:p>
    <w:p w:rsidRPr="00E34939" w:rsidR="00E34939" w:rsidP="00E34939" w:rsidRDefault="00E34939" w14:paraId="2F972DE0" w14:textId="59D57892">
      <w:pPr>
        <w:keepNext/>
        <w:keepLines/>
        <w:tabs>
          <w:tab w:val="center" w:pos="284"/>
        </w:tabs>
        <w:overflowPunct w:val="0"/>
        <w:autoSpaceDE w:val="0"/>
        <w:autoSpaceDN w:val="0"/>
        <w:adjustRightInd w:val="0"/>
        <w:ind w:left="266" w:hanging="266"/>
        <w:textAlignment w:val="baseline"/>
        <w:rPr>
          <w:b/>
        </w:rPr>
      </w:pPr>
      <w:r>
        <w:rPr>
          <w:b/>
        </w:rPr>
        <w:t>Punctele principale</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CESE:</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D04BE0" w:rsidR="00E34939" w:rsidP="00D04BE0" w:rsidRDefault="00E34939" w14:paraId="50214082" w14:textId="77777777">
      <w:pPr>
        <w:numPr>
          <w:ilvl w:val="0"/>
          <w:numId w:val="24"/>
        </w:numPr>
        <w:overflowPunct w:val="0"/>
        <w:autoSpaceDE w:val="0"/>
        <w:autoSpaceDN w:val="0"/>
        <w:adjustRightInd w:val="0"/>
        <w:ind w:left="284" w:hanging="284"/>
        <w:textAlignment w:val="baseline"/>
        <w:rPr>
          <w:bCs/>
          <w:iCs/>
        </w:rPr>
      </w:pPr>
      <w:bookmarkStart w:name="_Toc201570906" w:id="19"/>
      <w:r>
        <w:t xml:space="preserve">recomandă </w:t>
      </w:r>
      <w:r>
        <w:rPr>
          <w:b/>
        </w:rPr>
        <w:t>majorarea semnificativă a finanțării</w:t>
      </w:r>
      <w:r>
        <w:t xml:space="preserve"> pentru a sprijini obiectivele actului legislativ privind medicamentele critice. </w:t>
      </w:r>
      <w:r>
        <w:rPr>
          <w:b/>
        </w:rPr>
        <w:t>Ar trebui instituit un fond european specific pentru materii prime, principii active și medicamente critice</w:t>
      </w:r>
      <w:r>
        <w:t>, cu contribuții din partea statelor membre, a BEI și a actorilor privați. Prin acest fond ar trebui să se sprijine producția în UE, să se finanțeze activitățile de cercetare și dezvoltare pentru obținerea unor tehnologii durabile și să se compenseze dezavantajele în materie de costuri față de producătorii din afara UE;</w:t>
      </w:r>
      <w:bookmarkEnd w:id="19"/>
    </w:p>
    <w:p w:rsidRPr="00D04BE0" w:rsidR="00E34939" w:rsidP="00D04BE0" w:rsidRDefault="00E34939" w14:paraId="79209AD6" w14:textId="77777777">
      <w:pPr>
        <w:numPr>
          <w:ilvl w:val="0"/>
          <w:numId w:val="24"/>
        </w:numPr>
        <w:overflowPunct w:val="0"/>
        <w:autoSpaceDE w:val="0"/>
        <w:autoSpaceDN w:val="0"/>
        <w:adjustRightInd w:val="0"/>
        <w:ind w:left="284" w:hanging="284"/>
        <w:textAlignment w:val="baseline"/>
        <w:rPr>
          <w:bCs/>
          <w:iCs/>
        </w:rPr>
      </w:pPr>
      <w:bookmarkStart w:name="_Toc201570907" w:id="20"/>
      <w:r>
        <w:t xml:space="preserve">solicită să se creeze </w:t>
      </w:r>
      <w:r>
        <w:rPr>
          <w:b/>
        </w:rPr>
        <w:t>o bază de date complet interoperabilă la nivelul UE</w:t>
      </w:r>
      <w:r>
        <w:t xml:space="preserve"> care să includă sistemele naționale, să permită vizualizarea în timp real a vulnerabilităților lanțului de aprovizionare și să asigure protecția securității cibernetice. Ar trebui să se asigure finanțare pentru </w:t>
      </w:r>
      <w:r>
        <w:rPr>
          <w:b/>
        </w:rPr>
        <w:t>sisteme de urmărire în timp real, mecanisme de alertă timpurie și tehnologii digitale</w:t>
      </w:r>
      <w:r>
        <w:t>, pentru a se prevedea deficitele și a se îmbunătăți răspunsul în caz de criză;</w:t>
      </w:r>
      <w:bookmarkEnd w:id="20"/>
    </w:p>
    <w:p w:rsidRPr="00D04BE0" w:rsidR="00E34939" w:rsidP="00D04BE0" w:rsidRDefault="00E34939" w14:paraId="3B6A2338" w14:textId="77777777">
      <w:pPr>
        <w:numPr>
          <w:ilvl w:val="0"/>
          <w:numId w:val="24"/>
        </w:numPr>
        <w:overflowPunct w:val="0"/>
        <w:autoSpaceDE w:val="0"/>
        <w:autoSpaceDN w:val="0"/>
        <w:adjustRightInd w:val="0"/>
        <w:ind w:left="284" w:hanging="284"/>
        <w:textAlignment w:val="baseline"/>
        <w:rPr>
          <w:bCs/>
          <w:iCs/>
        </w:rPr>
      </w:pPr>
      <w:bookmarkStart w:name="_Toc201570908" w:id="21"/>
      <w:r>
        <w:t xml:space="preserve">subliniază că, în paralel cu activitatea legislativă și fără a se întârzia adoptarea, este necesar să se efectueze </w:t>
      </w:r>
      <w:r>
        <w:rPr>
          <w:b/>
        </w:rPr>
        <w:t>o evaluare cuprinzătoare, bazată pe date, a impactului</w:t>
      </w:r>
      <w:r>
        <w:t xml:space="preserve"> actului legislativ privind medicamentele critice, care să acopere întregul lanț de aprovizionare și să abordeze impactul socioeconomic;</w:t>
      </w:r>
      <w:bookmarkEnd w:id="21"/>
    </w:p>
    <w:p w:rsidRPr="00A53639" w:rsidR="00E34939" w:rsidP="00A53639" w:rsidRDefault="00E34939" w14:paraId="36F56BB7" w14:textId="77777777">
      <w:pPr>
        <w:numPr>
          <w:ilvl w:val="0"/>
          <w:numId w:val="24"/>
        </w:numPr>
        <w:overflowPunct w:val="0"/>
        <w:autoSpaceDE w:val="0"/>
        <w:autoSpaceDN w:val="0"/>
        <w:adjustRightInd w:val="0"/>
        <w:ind w:left="284" w:hanging="284"/>
        <w:textAlignment w:val="baseline"/>
        <w:rPr>
          <w:bCs/>
          <w:iCs/>
        </w:rPr>
      </w:pPr>
      <w:bookmarkStart w:name="_Toc201570909" w:id="22"/>
      <w:r>
        <w:t xml:space="preserve">consideră că UE ar trebui să investească în </w:t>
      </w:r>
      <w:r>
        <w:rPr>
          <w:b/>
        </w:rPr>
        <w:t>inițiative de perfecționare și recalificare la scară largă</w:t>
      </w:r>
      <w:r>
        <w:t xml:space="preserve"> și să înființeze centre de competență, lărgind în același timp sprijinul financiar pentru educația profesională, ucenicii, programele universitare și formarea aliniată la industrie;</w:t>
      </w:r>
      <w:bookmarkEnd w:id="22"/>
    </w:p>
    <w:p w:rsidRPr="00A53639" w:rsidR="00E34939" w:rsidP="00A53639" w:rsidRDefault="00E34939" w14:paraId="1C78A75D" w14:textId="77777777">
      <w:pPr>
        <w:numPr>
          <w:ilvl w:val="0"/>
          <w:numId w:val="24"/>
        </w:numPr>
        <w:overflowPunct w:val="0"/>
        <w:autoSpaceDE w:val="0"/>
        <w:autoSpaceDN w:val="0"/>
        <w:adjustRightInd w:val="0"/>
        <w:ind w:left="284" w:hanging="284"/>
        <w:textAlignment w:val="baseline"/>
        <w:rPr>
          <w:bCs/>
          <w:iCs/>
        </w:rPr>
      </w:pPr>
      <w:bookmarkStart w:name="_Toc201570910" w:id="23"/>
      <w:r>
        <w:t xml:space="preserve">recomandă să se efectueze o analiză a propunerii de </w:t>
      </w:r>
      <w:r>
        <w:rPr>
          <w:b/>
        </w:rPr>
        <w:t>integrare a actului legislativ privind medicamentele critice în cadrul strategic mai larg al UE privind autonomia și securitatea</w:t>
      </w:r>
      <w:r>
        <w:t>, recunoscând lanțurile de aprovizionare cu medicamente drept o chestiune de sănătate publică și de securitate europeană;</w:t>
      </w:r>
      <w:bookmarkEnd w:id="23"/>
    </w:p>
    <w:p w:rsidRPr="00A53639" w:rsidR="00E34939" w:rsidP="00A53639" w:rsidRDefault="00E34939" w14:paraId="70E4EA69" w14:textId="77777777">
      <w:pPr>
        <w:numPr>
          <w:ilvl w:val="0"/>
          <w:numId w:val="24"/>
        </w:numPr>
        <w:overflowPunct w:val="0"/>
        <w:autoSpaceDE w:val="0"/>
        <w:autoSpaceDN w:val="0"/>
        <w:adjustRightInd w:val="0"/>
        <w:ind w:left="284" w:hanging="284"/>
        <w:textAlignment w:val="baseline"/>
        <w:rPr>
          <w:bCs/>
          <w:iCs/>
        </w:rPr>
      </w:pPr>
      <w:bookmarkStart w:name="_Toc201570911" w:id="24"/>
      <w:r>
        <w:t xml:space="preserve">solicită să se ia </w:t>
      </w:r>
      <w:r>
        <w:rPr>
          <w:b/>
        </w:rPr>
        <w:t>măsuri ferme pentru a garanta prețuri accesibile la medicamentele critice, printre care medicamentele pentru boli rare</w:t>
      </w:r>
      <w:r>
        <w:t>, prin introducerea unor mecanisme de reglementare a prețurilor medicamentelor, să se mărească nivelul de transparență a costurilor farmaceutice și să se prevină majorările de prețuri pentru consumatori.</w:t>
      </w:r>
      <w:bookmarkEnd w:id="24"/>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34939" w:rsidR="00E34939" w:rsidTr="005159D9" w14:paraId="0CBCFC05" w14:textId="77777777">
        <w:tc>
          <w:tcPr>
            <w:tcW w:w="1701" w:type="dxa"/>
          </w:tcPr>
          <w:p w:rsidRPr="00E34939" w:rsidR="00E34939" w:rsidP="00E34939" w:rsidRDefault="00E34939" w14:paraId="70A5C875" w14:textId="518C229D">
            <w:pPr>
              <w:overflowPunct w:val="0"/>
              <w:autoSpaceDE w:val="0"/>
              <w:autoSpaceDN w:val="0"/>
              <w:adjustRightInd w:val="0"/>
              <w:spacing w:line="240" w:lineRule="auto"/>
              <w:textAlignment w:val="baseline"/>
              <w:rPr>
                <w:i/>
              </w:rPr>
            </w:pPr>
            <w:r>
              <w:rPr>
                <w:b/>
                <w:i/>
              </w:rPr>
              <w:t>Date de contact</w:t>
            </w:r>
            <w:r w:rsidR="005159D9">
              <w:rPr>
                <w:b/>
                <w:i/>
              </w:rPr>
              <w:t>:</w:t>
            </w:r>
          </w:p>
        </w:tc>
        <w:tc>
          <w:tcPr>
            <w:tcW w:w="5387"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r>
              <w:rPr>
                <w:i/>
              </w:rPr>
              <w:t xml:space="preserve">Jacopo Ernesto </w:t>
            </w:r>
            <w:proofErr w:type="spellStart"/>
            <w:r>
              <w:rPr>
                <w:i/>
              </w:rPr>
              <w:t>Caja</w:t>
            </w:r>
            <w:proofErr w:type="spellEnd"/>
          </w:p>
        </w:tc>
      </w:tr>
      <w:tr w:rsidRPr="00E34939" w:rsidR="00E34939" w:rsidTr="005159D9" w14:paraId="1259B2BE" w14:textId="77777777">
        <w:tc>
          <w:tcPr>
            <w:tcW w:w="1701" w:type="dxa"/>
          </w:tcPr>
          <w:p w:rsidRPr="00E34939" w:rsidR="00E34939" w:rsidP="00E34939" w:rsidRDefault="00E34939" w14:paraId="491CF507" w14:textId="0818B495">
            <w:pPr>
              <w:overflowPunct w:val="0"/>
              <w:autoSpaceDE w:val="0"/>
              <w:autoSpaceDN w:val="0"/>
              <w:adjustRightInd w:val="0"/>
              <w:spacing w:line="240" w:lineRule="auto"/>
              <w:textAlignment w:val="baseline"/>
              <w:rPr>
                <w:i/>
              </w:rPr>
            </w:pPr>
            <w:r>
              <w:rPr>
                <w:i/>
              </w:rPr>
              <w:t>Tel.</w:t>
            </w:r>
            <w:r w:rsidR="005159D9">
              <w:rPr>
                <w:i/>
              </w:rPr>
              <w:t>:</w:t>
            </w:r>
          </w:p>
        </w:tc>
        <w:tc>
          <w:tcPr>
            <w:tcW w:w="5387"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5159D9" w14:paraId="29EF9342" w14:textId="77777777">
        <w:trPr>
          <w:trHeight w:val="80"/>
        </w:trPr>
        <w:tc>
          <w:tcPr>
            <w:tcW w:w="1701"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E-mail:</w:t>
            </w:r>
          </w:p>
        </w:tc>
        <w:tc>
          <w:tcPr>
            <w:tcW w:w="5387" w:type="dxa"/>
          </w:tcPr>
          <w:p w:rsidRPr="00E34939" w:rsidR="00E34939" w:rsidP="00E34939" w:rsidRDefault="005C5942" w14:paraId="0684A661" w14:textId="77777777">
            <w:pPr>
              <w:overflowPunct w:val="0"/>
              <w:autoSpaceDE w:val="0"/>
              <w:autoSpaceDN w:val="0"/>
              <w:adjustRightInd w:val="0"/>
              <w:spacing w:line="240" w:lineRule="auto"/>
              <w:textAlignment w:val="baseline"/>
              <w:rPr>
                <w:i/>
                <w:iCs/>
              </w:rPr>
            </w:pPr>
            <w:hyperlink w:history="1" r:id="rId52">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5C5942"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3">
        <w:r w:rsidR="000F397E">
          <w:rPr>
            <w:b/>
            <w:i/>
            <w:color w:val="0000FF"/>
            <w:sz w:val="28"/>
            <w:u w:val="single"/>
          </w:rPr>
          <w:t>Planul de acțiune european privind securitatea cibernetică a spitalelor și a furnizorilor de servicii medicale</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4"/>
        <w:gridCol w:w="7379"/>
      </w:tblGrid>
      <w:tr w:rsidRPr="000F397E" w:rsidR="000F397E" w:rsidTr="001757A2" w14:paraId="04A98D5F" w14:textId="77777777">
        <w:tc>
          <w:tcPr>
            <w:tcW w:w="1701" w:type="dxa"/>
          </w:tcPr>
          <w:p w:rsidRPr="000F397E" w:rsidR="000F397E" w:rsidP="000F397E" w:rsidRDefault="000F397E" w14:paraId="2317D532" w14:textId="1CA77C1E">
            <w:pPr>
              <w:tabs>
                <w:tab w:val="center" w:pos="284"/>
              </w:tabs>
              <w:overflowPunct w:val="0"/>
              <w:autoSpaceDE w:val="0"/>
              <w:autoSpaceDN w:val="0"/>
              <w:adjustRightInd w:val="0"/>
              <w:ind w:left="266" w:hanging="266"/>
              <w:textAlignment w:val="baseline"/>
              <w:rPr>
                <w:b/>
              </w:rPr>
            </w:pPr>
            <w:r>
              <w:rPr>
                <w:b/>
                <w:bCs/>
              </w:rPr>
              <w:t>Raportor</w:t>
            </w:r>
            <w:r w:rsidR="007D7CA8">
              <w:rPr>
                <w:b/>
                <w:bCs/>
              </w:rPr>
              <w:t>:</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(Grupul „Organizații ale societății civile” – BE)</w:t>
            </w:r>
          </w:p>
        </w:tc>
      </w:tr>
      <w:tr w:rsidRPr="000F397E" w:rsidR="000F397E" w:rsidTr="001757A2" w14:paraId="4E626D6A" w14:textId="77777777">
        <w:tc>
          <w:tcPr>
            <w:tcW w:w="1701" w:type="dxa"/>
          </w:tcPr>
          <w:p w:rsidRPr="000F397E" w:rsidR="000F397E" w:rsidP="000F397E" w:rsidRDefault="000F397E" w14:paraId="77A122FD" w14:textId="60515C58">
            <w:pPr>
              <w:tabs>
                <w:tab w:val="center" w:pos="284"/>
              </w:tabs>
              <w:overflowPunct w:val="0"/>
              <w:autoSpaceDE w:val="0"/>
              <w:autoSpaceDN w:val="0"/>
              <w:adjustRightInd w:val="0"/>
              <w:ind w:left="266" w:hanging="266"/>
              <w:textAlignment w:val="baseline"/>
              <w:rPr>
                <w:b/>
              </w:rPr>
            </w:pPr>
            <w:r>
              <w:rPr>
                <w:b/>
              </w:rPr>
              <w:t>Coraportor</w:t>
            </w:r>
            <w:r w:rsidR="007D7CA8">
              <w:rPr>
                <w:b/>
              </w:rPr>
              <w:t>:</w:t>
            </w:r>
          </w:p>
        </w:tc>
        <w:tc>
          <w:tcPr>
            <w:tcW w:w="7479" w:type="dxa"/>
          </w:tcPr>
          <w:p w:rsidRPr="000F397E" w:rsidR="000F397E" w:rsidP="00616565" w:rsidRDefault="000F397E" w14:paraId="7BC84DED" w14:textId="05D78417">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(Cat. 2 </w:t>
            </w:r>
            <w:r w:rsidR="00616565">
              <w:t>–</w:t>
            </w:r>
            <w:r>
              <w:t xml:space="preserve">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7D7CA8" w14:paraId="6588D502" w14:textId="2850DA84">
            <w:pPr>
              <w:tabs>
                <w:tab w:val="center" w:pos="284"/>
              </w:tabs>
              <w:overflowPunct w:val="0"/>
              <w:autoSpaceDE w:val="0"/>
              <w:autoSpaceDN w:val="0"/>
              <w:adjustRightInd w:val="0"/>
              <w:ind w:left="266" w:hanging="266"/>
              <w:textAlignment w:val="baseline"/>
              <w:rPr>
                <w:b/>
              </w:rPr>
            </w:pPr>
            <w:r>
              <w:rPr>
                <w:b/>
              </w:rPr>
              <w:t>Referință:</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COM(2025) 10 final</w:t>
            </w:r>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CESE:</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F6685D" w:rsidR="000F397E" w:rsidP="00F6685D" w:rsidRDefault="000F397E" w14:paraId="1E06DD98" w14:textId="77777777">
      <w:pPr>
        <w:numPr>
          <w:ilvl w:val="0"/>
          <w:numId w:val="24"/>
        </w:numPr>
        <w:overflowPunct w:val="0"/>
        <w:autoSpaceDE w:val="0"/>
        <w:autoSpaceDN w:val="0"/>
        <w:adjustRightInd w:val="0"/>
        <w:ind w:left="284" w:hanging="284"/>
        <w:textAlignment w:val="baseline"/>
        <w:rPr>
          <w:bCs/>
          <w:iCs/>
        </w:rPr>
      </w:pPr>
      <w:bookmarkStart w:name="_Toc201570912" w:id="25"/>
      <w:r>
        <w:t>salută nivelul de ambiție al planului de acțiune european privind securitatea cibernetică a spitalelor și a furnizorilor de servicii medicale și atenția acordată acestui subiect. Îmbunătățirea securității cibernetice în sectorul sănătății ameliorează securitatea și reziliența generală și contribuie la pregătirea uniunii pentru situații de criză.</w:t>
      </w:r>
      <w:bookmarkEnd w:id="25"/>
    </w:p>
    <w:p w:rsidRPr="00F6685D" w:rsidR="000F397E" w:rsidP="00F6685D" w:rsidRDefault="000F397E" w14:paraId="086FD83B" w14:textId="77777777">
      <w:pPr>
        <w:numPr>
          <w:ilvl w:val="0"/>
          <w:numId w:val="24"/>
        </w:numPr>
        <w:overflowPunct w:val="0"/>
        <w:autoSpaceDE w:val="0"/>
        <w:autoSpaceDN w:val="0"/>
        <w:adjustRightInd w:val="0"/>
        <w:ind w:left="284" w:hanging="284"/>
        <w:textAlignment w:val="baseline"/>
        <w:rPr>
          <w:bCs/>
          <w:iCs/>
        </w:rPr>
      </w:pPr>
      <w:bookmarkStart w:name="_Toc201570913" w:id="26"/>
      <w:r>
        <w:t>regretă că chestiunea sprijinului financiar pentru punerea în aplicare a planului de acțiune rămâne în prezent neabordată. CESE încurajează Comisia să asigure o concentrare tematică pentru sprijin financiar, prin intermediul fondurilor de coeziune;</w:t>
      </w:r>
      <w:bookmarkEnd w:id="26"/>
    </w:p>
    <w:p w:rsidRPr="00F6685D" w:rsidR="000F397E" w:rsidP="00F6685D" w:rsidRDefault="000F397E" w14:paraId="45C6F1E7" w14:textId="77777777">
      <w:pPr>
        <w:numPr>
          <w:ilvl w:val="0"/>
          <w:numId w:val="24"/>
        </w:numPr>
        <w:overflowPunct w:val="0"/>
        <w:autoSpaceDE w:val="0"/>
        <w:autoSpaceDN w:val="0"/>
        <w:adjustRightInd w:val="0"/>
        <w:ind w:left="284" w:hanging="284"/>
        <w:textAlignment w:val="baseline"/>
        <w:rPr>
          <w:bCs/>
          <w:iCs/>
        </w:rPr>
      </w:pPr>
      <w:bookmarkStart w:name="_Toc201570914" w:id="27"/>
      <w:r>
        <w:t>ia notă de sprijinul în valoare de 6 milioane EUR acordat ENISA, dar subliniază că această finanțare este insuficientă având în vedere importanța mizei;</w:t>
      </w:r>
      <w:bookmarkEnd w:id="27"/>
    </w:p>
    <w:p w:rsidRPr="00F6685D" w:rsidR="000F397E" w:rsidP="00F6685D" w:rsidRDefault="000F397E" w14:paraId="7C3AF3AC" w14:textId="77777777">
      <w:pPr>
        <w:numPr>
          <w:ilvl w:val="0"/>
          <w:numId w:val="24"/>
        </w:numPr>
        <w:overflowPunct w:val="0"/>
        <w:autoSpaceDE w:val="0"/>
        <w:autoSpaceDN w:val="0"/>
        <w:adjustRightInd w:val="0"/>
        <w:ind w:left="284" w:hanging="284"/>
        <w:textAlignment w:val="baseline"/>
        <w:rPr>
          <w:bCs/>
          <w:iCs/>
        </w:rPr>
      </w:pPr>
      <w:bookmarkStart w:name="_Toc201570915" w:id="28"/>
      <w:r>
        <w:t>recomandă sensibilizarea cu privire la practicile de igienă cibernetică de bază; efectuarea de investiții în gemeni digitali pentru spitale, sisteme de sănătate sau dispozitive medicale, pentru a facilita asigurarea și testarea; furnizarea de asistență tehnică unităților medicale care nu dispun de servicii de IT; efectuarea de investiții în capacități tehnice strategice;</w:t>
      </w:r>
      <w:bookmarkEnd w:id="28"/>
    </w:p>
    <w:p w:rsidRPr="00F6685D" w:rsidR="000F397E" w:rsidP="00F6685D" w:rsidRDefault="000F397E" w14:paraId="7CA2F5A2" w14:textId="77777777">
      <w:pPr>
        <w:numPr>
          <w:ilvl w:val="0"/>
          <w:numId w:val="24"/>
        </w:numPr>
        <w:overflowPunct w:val="0"/>
        <w:autoSpaceDE w:val="0"/>
        <w:autoSpaceDN w:val="0"/>
        <w:adjustRightInd w:val="0"/>
        <w:ind w:left="284" w:hanging="284"/>
        <w:textAlignment w:val="baseline"/>
        <w:rPr>
          <w:bCs/>
          <w:iCs/>
        </w:rPr>
      </w:pPr>
      <w:bookmarkStart w:name="_Toc201570916" w:id="29"/>
      <w:r>
        <w:t>dorește să atragă atenția asupra unui set de măsuri de precauție și de prevenție care ar trebui să îmbunătățească nivelul de protecție în sectorul îngrijirilor de sănătate și să reducă riscul atacurilor cibernetice: efectuarea de teste adecvate; elaborarea de planuri de continuitate a activității, actualizate și revizuite periodic, atât pe plan intern, cât și extern, de către auditori independenți; monitorizarea bunelor practici în materie de monitorizare și remediere;</w:t>
      </w:r>
      <w:bookmarkEnd w:id="29"/>
    </w:p>
    <w:p w:rsidRPr="00F6685D" w:rsidR="000F397E" w:rsidP="00F6685D" w:rsidRDefault="000F397E" w14:paraId="12B63447" w14:textId="77777777">
      <w:pPr>
        <w:numPr>
          <w:ilvl w:val="0"/>
          <w:numId w:val="24"/>
        </w:numPr>
        <w:overflowPunct w:val="0"/>
        <w:autoSpaceDE w:val="0"/>
        <w:autoSpaceDN w:val="0"/>
        <w:adjustRightInd w:val="0"/>
        <w:ind w:left="284" w:hanging="284"/>
        <w:textAlignment w:val="baseline"/>
        <w:rPr>
          <w:bCs/>
          <w:iCs/>
        </w:rPr>
      </w:pPr>
      <w:bookmarkStart w:name="_Toc201570917" w:id="30"/>
      <w:r>
        <w:t>recomandă planuri de învățare și formare continuă, elaborate împreună cu partenerii sociali, și mecanisme pentru transferul de cunoștințe între diferitele entități și părți interesate profesionale, pentru a face față provocărilor în materie de securitate cibernetică, etică, confidențialitate și inteligență artificială.</w:t>
      </w:r>
      <w:bookmarkEnd w:id="30"/>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201"/>
      </w:tblGrid>
      <w:tr w:rsidRPr="000F397E" w:rsidR="000F397E" w:rsidTr="001757A2" w14:paraId="4456BAA8" w14:textId="77777777">
        <w:tc>
          <w:tcPr>
            <w:tcW w:w="985" w:type="pct"/>
          </w:tcPr>
          <w:p w:rsidRPr="000F397E" w:rsidR="000F397E" w:rsidP="000F397E" w:rsidRDefault="00616565" w14:paraId="69FD2299" w14:textId="701F9CED">
            <w:pPr>
              <w:overflowPunct w:val="0"/>
              <w:autoSpaceDE w:val="0"/>
              <w:autoSpaceDN w:val="0"/>
              <w:adjustRightInd w:val="0"/>
              <w:spacing w:line="240" w:lineRule="auto"/>
              <w:textAlignment w:val="baseline"/>
              <w:rPr>
                <w:i/>
              </w:rPr>
            </w:pPr>
            <w:r>
              <w:rPr>
                <w:b/>
                <w:i/>
              </w:rPr>
              <w:t>Date de c</w:t>
            </w:r>
            <w:r w:rsidR="000F397E">
              <w:rPr>
                <w:b/>
                <w:i/>
              </w:rPr>
              <w:t>ontact</w:t>
            </w:r>
            <w:r>
              <w:rPr>
                <w:b/>
                <w:i/>
              </w:rPr>
              <w:t>:</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r>
              <w:rPr>
                <w:i/>
              </w:rPr>
              <w:t xml:space="preserve">Ioannis </w:t>
            </w:r>
            <w:proofErr w:type="spellStart"/>
            <w:r>
              <w:rPr>
                <w:i/>
              </w:rPr>
              <w:t>Diamantopoulos</w:t>
            </w:r>
            <w:proofErr w:type="spellEnd"/>
          </w:p>
        </w:tc>
      </w:tr>
      <w:tr w:rsidRPr="000F397E" w:rsidR="000F397E" w:rsidTr="001757A2" w14:paraId="084C83C0" w14:textId="77777777">
        <w:tc>
          <w:tcPr>
            <w:tcW w:w="985" w:type="pct"/>
          </w:tcPr>
          <w:p w:rsidRPr="000F397E" w:rsidR="000F397E" w:rsidP="000F397E" w:rsidRDefault="000F397E" w14:paraId="4E439DD1" w14:textId="07D423DE">
            <w:pPr>
              <w:overflowPunct w:val="0"/>
              <w:autoSpaceDE w:val="0"/>
              <w:autoSpaceDN w:val="0"/>
              <w:adjustRightInd w:val="0"/>
              <w:spacing w:line="240" w:lineRule="auto"/>
              <w:textAlignment w:val="baseline"/>
              <w:rPr>
                <w:i/>
              </w:rPr>
            </w:pPr>
            <w:r>
              <w:rPr>
                <w:i/>
              </w:rPr>
              <w:t>Tel.</w:t>
            </w:r>
            <w:r w:rsidR="00616565">
              <w:rPr>
                <w:i/>
              </w:rPr>
              <w:t>:</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031F6184">
            <w:pPr>
              <w:overflowPunct w:val="0"/>
              <w:autoSpaceDE w:val="0"/>
              <w:autoSpaceDN w:val="0"/>
              <w:adjustRightInd w:val="0"/>
              <w:spacing w:line="240" w:lineRule="auto"/>
              <w:textAlignment w:val="baseline"/>
              <w:rPr>
                <w:i/>
              </w:rPr>
            </w:pPr>
            <w:r>
              <w:rPr>
                <w:i/>
              </w:rPr>
              <w:t>E</w:t>
            </w:r>
            <w:r w:rsidR="00616565">
              <w:rPr>
                <w:i/>
              </w:rPr>
              <w:t>-</w:t>
            </w:r>
            <w:r>
              <w:rPr>
                <w:i/>
              </w:rPr>
              <w:t>mail</w:t>
            </w:r>
            <w:r w:rsidR="00616565">
              <w:rPr>
                <w:i/>
              </w:rPr>
              <w:t>:</w:t>
            </w:r>
          </w:p>
        </w:tc>
        <w:tc>
          <w:tcPr>
            <w:tcW w:w="4015" w:type="pct"/>
          </w:tcPr>
          <w:p w:rsidRPr="00616565" w:rsidR="000F397E" w:rsidP="000F397E" w:rsidRDefault="005C5942" w14:paraId="60DD5C1C" w14:textId="65ECAD56">
            <w:pPr>
              <w:overflowPunct w:val="0"/>
              <w:autoSpaceDE w:val="0"/>
              <w:autoSpaceDN w:val="0"/>
              <w:adjustRightInd w:val="0"/>
              <w:spacing w:line="240" w:lineRule="auto"/>
              <w:textAlignment w:val="baseline"/>
            </w:pPr>
            <w:hyperlink w:history="1" r:id="rId54">
              <w:r w:rsidR="00381CCE">
                <w:rPr>
                  <w:i/>
                  <w:color w:val="0000FF"/>
                  <w:u w:val="single"/>
                </w:rPr>
                <w:t>Ioannis.Diamantopoulos@eesc.europa.eu</w:t>
              </w:r>
            </w:hyperlink>
          </w:p>
        </w:tc>
      </w:tr>
    </w:tbl>
    <w:p w:rsidR="00616565" w:rsidP="000F397E" w:rsidRDefault="00616565" w14:paraId="2037706E" w14:textId="77777777">
      <w:pPr>
        <w:overflowPunct w:val="0"/>
        <w:autoSpaceDE w:val="0"/>
        <w:autoSpaceDN w:val="0"/>
        <w:adjustRightInd w:val="0"/>
        <w:jc w:val="center"/>
        <w:textAlignment w:val="baseline"/>
      </w:pPr>
    </w:p>
    <w:p w:rsidRPr="000F397E" w:rsidR="000F397E" w:rsidP="000F397E" w:rsidRDefault="000F397E" w14:paraId="17D99017" w14:textId="43C2B8C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5C5942">
      <w:fldChar w:fldCharType="begin"/>
    </w:r>
    <w:r w:rsidR="005C5942">
      <w:instrText xml:space="preserve"> NUMPAGES </w:instrText>
    </w:r>
    <w:r w:rsidR="005C5942">
      <w:fldChar w:fldCharType="separate"/>
    </w:r>
    <w:r w:rsidR="00381CCE">
      <w:t>2</w:t>
    </w:r>
    <w:r w:rsidR="005C59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5C5942">
      <w:fldChar w:fldCharType="begin"/>
    </w:r>
    <w:r w:rsidR="005C5942">
      <w:instrText xml:space="preserve"> NUMPAGES </w:instrText>
    </w:r>
    <w:r w:rsidR="005C5942">
      <w:fldChar w:fldCharType="separate"/>
    </w:r>
    <w:r>
      <w:t>28</w:t>
    </w:r>
    <w:r w:rsidR="005C594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43305"/>
    <w:rsid w:val="00055407"/>
    <w:rsid w:val="00063DFF"/>
    <w:rsid w:val="00075030"/>
    <w:rsid w:val="000959E6"/>
    <w:rsid w:val="000A075F"/>
    <w:rsid w:val="000C63A4"/>
    <w:rsid w:val="000D394D"/>
    <w:rsid w:val="000E6568"/>
    <w:rsid w:val="000F397E"/>
    <w:rsid w:val="00123381"/>
    <w:rsid w:val="00156D53"/>
    <w:rsid w:val="00167E28"/>
    <w:rsid w:val="00171B2B"/>
    <w:rsid w:val="00194228"/>
    <w:rsid w:val="0019737D"/>
    <w:rsid w:val="001A0F35"/>
    <w:rsid w:val="001B63A4"/>
    <w:rsid w:val="001B7DAA"/>
    <w:rsid w:val="001C720D"/>
    <w:rsid w:val="001E19E2"/>
    <w:rsid w:val="001E391D"/>
    <w:rsid w:val="0020025C"/>
    <w:rsid w:val="00212375"/>
    <w:rsid w:val="00224BA0"/>
    <w:rsid w:val="00231020"/>
    <w:rsid w:val="00240934"/>
    <w:rsid w:val="00240FD7"/>
    <w:rsid w:val="00254761"/>
    <w:rsid w:val="0026311A"/>
    <w:rsid w:val="002666A0"/>
    <w:rsid w:val="002950A0"/>
    <w:rsid w:val="002A5636"/>
    <w:rsid w:val="002B7981"/>
    <w:rsid w:val="002E1FD0"/>
    <w:rsid w:val="002E3239"/>
    <w:rsid w:val="00303A9D"/>
    <w:rsid w:val="003066BE"/>
    <w:rsid w:val="003151D0"/>
    <w:rsid w:val="003161AA"/>
    <w:rsid w:val="00320FF5"/>
    <w:rsid w:val="003227CC"/>
    <w:rsid w:val="0034685F"/>
    <w:rsid w:val="00351E5A"/>
    <w:rsid w:val="003572EF"/>
    <w:rsid w:val="00381CCE"/>
    <w:rsid w:val="00382E57"/>
    <w:rsid w:val="003B35DF"/>
    <w:rsid w:val="003C2D04"/>
    <w:rsid w:val="003E2C21"/>
    <w:rsid w:val="003F1917"/>
    <w:rsid w:val="003F326D"/>
    <w:rsid w:val="003F79EF"/>
    <w:rsid w:val="0043191A"/>
    <w:rsid w:val="00432B76"/>
    <w:rsid w:val="00450837"/>
    <w:rsid w:val="004721D7"/>
    <w:rsid w:val="004801BE"/>
    <w:rsid w:val="004A5CD7"/>
    <w:rsid w:val="004B7430"/>
    <w:rsid w:val="004B7C66"/>
    <w:rsid w:val="004D7AC0"/>
    <w:rsid w:val="004F51B1"/>
    <w:rsid w:val="004F6E52"/>
    <w:rsid w:val="005159D9"/>
    <w:rsid w:val="00517E5F"/>
    <w:rsid w:val="00520BD4"/>
    <w:rsid w:val="005215A3"/>
    <w:rsid w:val="005275B5"/>
    <w:rsid w:val="00532089"/>
    <w:rsid w:val="00533C82"/>
    <w:rsid w:val="00542C7B"/>
    <w:rsid w:val="00554171"/>
    <w:rsid w:val="00586B4B"/>
    <w:rsid w:val="005A0BDA"/>
    <w:rsid w:val="005C17E8"/>
    <w:rsid w:val="005C5942"/>
    <w:rsid w:val="005C73A1"/>
    <w:rsid w:val="005D51A7"/>
    <w:rsid w:val="005D59E4"/>
    <w:rsid w:val="005E432E"/>
    <w:rsid w:val="005E7651"/>
    <w:rsid w:val="005F1C0E"/>
    <w:rsid w:val="005F797E"/>
    <w:rsid w:val="00616565"/>
    <w:rsid w:val="006179EF"/>
    <w:rsid w:val="00625CA3"/>
    <w:rsid w:val="00641262"/>
    <w:rsid w:val="00651562"/>
    <w:rsid w:val="006537CB"/>
    <w:rsid w:val="00654D10"/>
    <w:rsid w:val="006D2C8A"/>
    <w:rsid w:val="006D2D64"/>
    <w:rsid w:val="006D5AE4"/>
    <w:rsid w:val="00736CF6"/>
    <w:rsid w:val="00742F11"/>
    <w:rsid w:val="007435E6"/>
    <w:rsid w:val="00754027"/>
    <w:rsid w:val="0075742D"/>
    <w:rsid w:val="00766B1A"/>
    <w:rsid w:val="00770396"/>
    <w:rsid w:val="00783D73"/>
    <w:rsid w:val="00797AAF"/>
    <w:rsid w:val="007A5F20"/>
    <w:rsid w:val="007C4222"/>
    <w:rsid w:val="007D7CA8"/>
    <w:rsid w:val="007F5784"/>
    <w:rsid w:val="007F5831"/>
    <w:rsid w:val="0080201B"/>
    <w:rsid w:val="00805E64"/>
    <w:rsid w:val="00844CF3"/>
    <w:rsid w:val="00845F24"/>
    <w:rsid w:val="0085298D"/>
    <w:rsid w:val="00863217"/>
    <w:rsid w:val="0088219D"/>
    <w:rsid w:val="0089162C"/>
    <w:rsid w:val="008943CC"/>
    <w:rsid w:val="008B600E"/>
    <w:rsid w:val="008E614B"/>
    <w:rsid w:val="00911CCD"/>
    <w:rsid w:val="00916228"/>
    <w:rsid w:val="00942860"/>
    <w:rsid w:val="009770F1"/>
    <w:rsid w:val="00987480"/>
    <w:rsid w:val="00993832"/>
    <w:rsid w:val="009964F4"/>
    <w:rsid w:val="009A3B12"/>
    <w:rsid w:val="009C1E48"/>
    <w:rsid w:val="009F0605"/>
    <w:rsid w:val="009F1D58"/>
    <w:rsid w:val="009F43C9"/>
    <w:rsid w:val="00A12471"/>
    <w:rsid w:val="00A1625F"/>
    <w:rsid w:val="00A174E9"/>
    <w:rsid w:val="00A20E9D"/>
    <w:rsid w:val="00A272B2"/>
    <w:rsid w:val="00A50553"/>
    <w:rsid w:val="00A53639"/>
    <w:rsid w:val="00A6461A"/>
    <w:rsid w:val="00A9750A"/>
    <w:rsid w:val="00AC3348"/>
    <w:rsid w:val="00AC3821"/>
    <w:rsid w:val="00AE1A95"/>
    <w:rsid w:val="00AE7912"/>
    <w:rsid w:val="00AF27EF"/>
    <w:rsid w:val="00B07AC1"/>
    <w:rsid w:val="00B203DA"/>
    <w:rsid w:val="00B2153F"/>
    <w:rsid w:val="00B518C9"/>
    <w:rsid w:val="00B52F62"/>
    <w:rsid w:val="00B541C7"/>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D04355"/>
    <w:rsid w:val="00D04BE0"/>
    <w:rsid w:val="00D228C8"/>
    <w:rsid w:val="00D264E4"/>
    <w:rsid w:val="00D43613"/>
    <w:rsid w:val="00D5108B"/>
    <w:rsid w:val="00D7076A"/>
    <w:rsid w:val="00D815C3"/>
    <w:rsid w:val="00D81F5E"/>
    <w:rsid w:val="00D92269"/>
    <w:rsid w:val="00DC1160"/>
    <w:rsid w:val="00DC28C7"/>
    <w:rsid w:val="00DE176A"/>
    <w:rsid w:val="00DF2F81"/>
    <w:rsid w:val="00E00A6B"/>
    <w:rsid w:val="00E02575"/>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6685D"/>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ro/our-work/opinions-information-reports/plenary-session-summaries" TargetMode="External"/><Relationship Id="rId18" Type="http://schemas.openxmlformats.org/officeDocument/2006/relationships/hyperlink" Target="mailto:Stefania.Lopedote@eesc.europa.eu" TargetMode="External"/><Relationship Id="rId26" Type="http://schemas.openxmlformats.org/officeDocument/2006/relationships/hyperlink" Target="mailto:Triin.AasmaaGomes@eesc.europa.eu" TargetMode="External"/><Relationship Id="rId39" Type="http://schemas.openxmlformats.org/officeDocument/2006/relationships/hyperlink" Target="https://www.eesc.europa.eu/ro/our-work/opinions-information-reports/opinions/battery-due-diligence-policies" TargetMode="External"/><Relationship Id="rId21" Type="http://schemas.openxmlformats.org/officeDocument/2006/relationships/hyperlink" Target="https://www.eesc.europa.eu/ro/our-work/opinions-information-reports/opinions/assessing-tax-reporting-obligations-eu" TargetMode="External"/><Relationship Id="rId34" Type="http://schemas.openxmlformats.org/officeDocument/2006/relationships/hyperlink" Target="mailto:Bartek.Bednarowicz@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mailto:Gunilla.Sandberg@eesc.europa.eu" TargetMode="External"/><Relationship Id="rId50" Type="http://schemas.openxmlformats.org/officeDocument/2006/relationships/hyperlink" Target="mailto:Adam.Dorywalski@eesc.europa.eu" TargetMode="External"/><Relationship Id="rId55" Type="http://schemas.openxmlformats.org/officeDocument/2006/relationships/header" Target="header1.xml"/><Relationship Id="rId63"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yperlink" Target="https://www.eesc.europa.eu/ro/documents/resolution/eesc-contribution-2026-european-commission-work-programme" TargetMode="External"/><Relationship Id="rId29" Type="http://schemas.openxmlformats.org/officeDocument/2006/relationships/hyperlink" Target="https://www.eesc.europa.eu/ro/our-work/opinions-information-reports/opinions/future-eu-strategy-rights-persons-disabilities-post-2025" TargetMode="External"/><Relationship Id="rId11" Type="http://schemas.openxmlformats.org/officeDocument/2006/relationships/endnotes" Target="endnotes.xml"/><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ro/our-work/opinions-information-reports/opinions/planning-sustainable-urban-mobility-eu" TargetMode="External"/><Relationship Id="rId40" Type="http://schemas.openxmlformats.org/officeDocument/2006/relationships/hyperlink" Target="mailto:Alice.Tetu@eesc.europa.eu" TargetMode="External"/><Relationship Id="rId45" Type="http://schemas.openxmlformats.org/officeDocument/2006/relationships/hyperlink" Target="mailto:Marco.Ristori@eesc.europa.eu" TargetMode="External"/><Relationship Id="rId53" Type="http://schemas.openxmlformats.org/officeDocument/2006/relationships/hyperlink" Target="https://www.eesc.europa.eu/ro/our-work/opinions-information-reports/opinions/european-action-plan-cybersecurity-hospitals-and-healthcare-providers" TargetMode="External"/><Relationship Id="rId58" Type="http://schemas.openxmlformats.org/officeDocument/2006/relationships/footer" Target="footer3.xml"/><Relationship Id="rId66"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hyperlink" Target="https://www.eesc.europa.eu/ro/our-work/opinions-information-reports/opinions/roadmap-womens-rights"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ro/our-work/opinions-information-reports/opinions/new-action-plan-implementation-european-pillar-social-rights"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ro/our-work/opinions-information-reports/opinions/towards-balanced-european-energy-system" TargetMode="External"/><Relationship Id="rId43" Type="http://schemas.openxmlformats.org/officeDocument/2006/relationships/hyperlink" Target="https://www.eesc.europa.eu/ro/our-work/opinions-information-reports/opinions/regenerative-agriculture-target-towards-sustainable-agriculture-and-food-production-supporting-climate-and-biodiversity" TargetMode="External"/><Relationship Id="rId48" Type="http://schemas.openxmlformats.org/officeDocument/2006/relationships/hyperlink" Target="https://www.eesc.europa.eu/ro/our-work/opinions-information-reports/opinions/reindustrialisation-europe-opportunity-businesses-employees-and-citizens-context-cost-living-crisis" TargetMode="External"/><Relationship Id="rId56" Type="http://schemas.openxmlformats.org/officeDocument/2006/relationships/header" Target="header2.xml"/><Relationship Id="rId64"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ro/our-work/opinions-information-reports/opinions/critical-medicines-act/related-links-ccmi-240" TargetMode="External"/><Relationship Id="rId12" Type="http://schemas.openxmlformats.org/officeDocument/2006/relationships/image" Target="media/image1.jpeg"/><Relationship Id="rId17" Type="http://schemas.openxmlformats.org/officeDocument/2006/relationships/hyperlink" Target="mailto:David.Scuderi@eesc.europa.eu" TargetMode="External"/><Relationship Id="rId25" Type="http://schemas.openxmlformats.org/officeDocument/2006/relationships/hyperlink" Target="https://www.eesc.europa.eu/ro/our-work/opinions-information-reports/opinions/enhancing-legal-and-organised-labour-migration-eu" TargetMode="External"/><Relationship Id="rId33" Type="http://schemas.openxmlformats.org/officeDocument/2006/relationships/hyperlink" Target="https://www.eesc.europa.eu/ro/our-work/opinions-information-reports/opinions/support-workers-affected-imminent-job-displacement-enterprises-undergoing-restructuring" TargetMode="External"/><Relationship Id="rId38" Type="http://schemas.openxmlformats.org/officeDocument/2006/relationships/hyperlink" Target="mailto:Maja.Radman@eesc.europa.eu" TargetMode="External"/><Relationship Id="rId46" Type="http://schemas.openxmlformats.org/officeDocument/2006/relationships/hyperlink" Target="https://www.eesc.europa.eu/ro/our-work/opinions-information-reports/information-reports/situation-civil-society-organisations-asean-countries" TargetMode="External"/><Relationship Id="rId59" Type="http://schemas.openxmlformats.org/officeDocument/2006/relationships/header" Target="header3.xml"/><Relationship Id="rId20" Type="http://schemas.openxmlformats.org/officeDocument/2006/relationships/hyperlink" Target="mailto:Gabriela.Grasu@eesc.europa.eu" TargetMode="External"/><Relationship Id="rId41" Type="http://schemas.openxmlformats.org/officeDocument/2006/relationships/hyperlink" Target="https://www.eesc.europa.eu/ro/our-work/opinions-information-reports/opinions/economic-dimension-rule-law" TargetMode="External"/><Relationship Id="rId54" Type="http://schemas.openxmlformats.org/officeDocument/2006/relationships/hyperlink" Target="mailto:Ioannis.Diamantopoulos@eesc.europa.eu" TargetMode="External"/><Relationship Id="rId62"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ro/our-work/opinions-information-reports/opinions/additional-assistance-outermost-regions" TargetMode="External"/><Relationship Id="rId28" Type="http://schemas.openxmlformats.org/officeDocument/2006/relationships/hyperlink" Target="mailto:Bartek.Bednarowicz@eesc.europa.eu" TargetMode="External"/><Relationship Id="rId36" Type="http://schemas.openxmlformats.org/officeDocument/2006/relationships/hyperlink" Target="mailto:GiorgiaAndrea.Bordignon@eesc.europa.eu" TargetMode="External"/><Relationship Id="rId49" Type="http://schemas.openxmlformats.org/officeDocument/2006/relationships/hyperlink" Target="https://www.eesc.europa.eu/ro/initiatives/youth-engagement-eesc"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eesc.europa.eu/ro/our-work/opinions-information-reports/opinions/how-address-loss-purchasing-power-and-risk-rising-inequalities-exclusion-and-marginalization" TargetMode="External"/><Relationship Id="rId44" Type="http://schemas.openxmlformats.org/officeDocument/2006/relationships/hyperlink" Target="mailto:Martine.Delanoy@eesc.europa.eu" TargetMode="External"/><Relationship Id="rId52" Type="http://schemas.openxmlformats.org/officeDocument/2006/relationships/hyperlink" Target="mailto:JacopoErnesto.Caja@eesc.europa.eu" TargetMode="External"/><Relationship Id="rId60" Type="http://schemas.openxmlformats.org/officeDocument/2006/relationships/footer" Target="footer4.xml"/><Relationship Id="rId65"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A6WAAD5KZT2Q-293470456-8551</_dlc_DocId>
    <_dlc_DocIdUrl xmlns="1a33af13-4045-4f88-9d7b-618e30f79918">
      <Url>http://dm/eesc/2025/_layouts/15/DocIdRedir.aspx?ID=A6WAAD5KZT2Q-293470456-8551</Url>
      <Description>A6WAAD5KZT2Q-293470456-8551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Greff Daniela</DisplayName>
        <AccountId>1474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12BC552A-199E-4DAE-A1FA-E7C18E304145}"/>
</file>

<file path=customXml/itemProps2.xml><?xml version="1.0" encoding="utf-8"?>
<ds:datastoreItem xmlns:ds="http://schemas.openxmlformats.org/officeDocument/2006/customXml" ds:itemID="{06E10AB4-9D36-46E3-B2E3-F0C12FF2F58D}"/>
</file>

<file path=customXml/itemProps3.xml><?xml version="1.0" encoding="utf-8"?>
<ds:datastoreItem xmlns:ds="http://schemas.openxmlformats.org/officeDocument/2006/customXml" ds:itemID="{A3B583B4-05FA-4B74-B8C4-31F55425DAAE}"/>
</file>

<file path=customXml/itemProps4.xml><?xml version="1.0" encoding="utf-8"?>
<ds:datastoreItem xmlns:ds="http://schemas.openxmlformats.org/officeDocument/2006/customXml" ds:itemID="{C981AD64-89D7-4FB0-9605-7D77929DEBF3}"/>
</file>

<file path=docProps/app.xml><?xml version="1.0" encoding="utf-8"?>
<Properties xmlns="http://schemas.openxmlformats.org/officeDocument/2006/extended-properties" xmlns:vt="http://schemas.openxmlformats.org/officeDocument/2006/docPropsVTypes">
  <Template>Normal.dotm</Template>
  <TotalTime>0</TotalTime>
  <Pages>24</Pages>
  <Words>8137</Words>
  <Characters>46381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rezoluțiilor și rapoartelor de informare/evaluare adoptate la a 597-a sesiune plenară din iunie 2025</dc:title>
  <dc:subject>TCD</dc:subject>
  <dc:creator>Nieddu Emma</dc:creator>
  <cp:keywords>EESC-2025-01645-00-00-TCD-TRA-EN</cp:keywords>
  <dc:description>Rapporteur:  - Original language: EN - Date of document: 01/07/2025 - Date of meeting: 30/16/2025 14:30 - External documents:  - Administrator: MME TAMASAUSKIENE Julija</dc:description>
  <cp:lastModifiedBy>Greff Daniela</cp:lastModifiedBy>
  <cp:revision>36</cp:revision>
  <dcterms:created xsi:type="dcterms:W3CDTF">2025-07-01T13:36:00Z</dcterms:created>
  <dcterms:modified xsi:type="dcterms:W3CDTF">2025-07-01T15:01:00Z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3b026ab8-326c-4198-bd77-6f1c7eedf237</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S|e7a6b05b-ae16-40c8-add9-68b64b03aeba;CS|72f9705b-0217-4fd3-bea2-cbc7ed80e26e;EN|f2175f21-25d7-44a3-96da-d6a61b075e1b;PL|1e03da61-4678-4e07-b136-b5024ca9197b;DE|f6b31e5a-26fa-4935-b661-318e46daf27e;HU|6b229040-c589-4408-b4c1-4285663d20a8;HR|2f555653-ed1a-4fe6-8362-9082d95989e5;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50;#HR|2f555653-ed1a-4fe6-8362-9082d95989e5;#67;#SPL-CES|32d8cb1f-c9ec-4365-95c7-8385a18618ac;#29;#CS|72f9705b-0217-4fd3-bea2-cbc7ed80e26e;#24;#PL|1e03da61-4678-4e07-b136-b5024ca9197b;#23;#DE|f6b31e5a-26fa-4935-b661-318e46daf27e;#19;#TCD|cd9d6eb6-3f4f-424a-b2d1-57c9d450eaaf;#16;#ES|e7a6b05b-ae16-40c8-add9-68b64b03aeba;#15;#Unrestricted|826e22d7-d029-4ec0-a450-0c28ff673572;#13;#TRA|150d2a88-1431-44e6-a8ca-0bb753ab8672;#8;#Final|ea5e6674-7b27-4bac-b091-73adbb394efe;#5;#EN|f2175f21-25d7-44a3-96da-d6a61b075e1b;#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36;#RO|feb747a2-64cd-4299-af12-4833ddc30497</vt:lpwstr>
  </property>
  <property fmtid="{D5CDD505-2E9C-101B-9397-08002B2CF9AE}" pid="38" name="_docset_NoMedatataSyncRequired">
    <vt:lpwstr>False</vt:lpwstr>
  </property>
</Properties>
</file>