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AC0" w:rsidP="004D7AC0" w:rsidRDefault="007E62AA" w14:paraId="4982DD4D" w14:textId="19AAE586">
      <w:pPr>
        <w:jc w:val="center"/>
      </w:pPr>
      <w:r>
        <w:rPr>
          <w:noProof/>
        </w:rPr>
        <w:drawing>
          <wp:inline distT="0" distB="0" distL="0" distR="0" wp14:anchorId="0FC59DE6" wp14:editId="2BE56044">
            <wp:extent cx="1792605" cy="1239520"/>
            <wp:effectExtent l="0" t="0" r="0" b="0"/>
            <wp:docPr id="1" name="Picture 1" title="EESCLogo_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4C3410D5" wp14:anchorId="4982DE4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4D7AC0" w:rsidP="004D7AC0" w:rsidRDefault="004D7AC0" w14:paraId="4982DE54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82DE48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4D7AC0" w:rsidP="004D7AC0" w:rsidRDefault="004D7AC0" w14:paraId="4982DE54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7AC0" w:rsidP="004D7AC0" w:rsidRDefault="004D7AC0" w14:paraId="4982DD4E" w14:textId="77777777"/>
    <w:p w:rsidR="004D7AC0" w:rsidP="004D7AC0" w:rsidRDefault="004D7AC0" w14:paraId="4982DD4F" w14:textId="030EEE42">
      <w:pPr>
        <w:jc w:val="right"/>
      </w:pPr>
      <w:r>
        <w:t>Bruxelas, 27 de junho de 2025</w:t>
      </w:r>
    </w:p>
    <w:p w:rsidR="004D7AC0" w:rsidP="004D7AC0" w:rsidRDefault="004D7AC0" w14:paraId="4982DD50" w14:textId="77777777"/>
    <w:p w:rsidR="004D7AC0" w:rsidP="004D7AC0" w:rsidRDefault="004D7AC0" w14:paraId="4982DD51" w14:textId="77777777"/>
    <w:p w:rsidR="004D7AC0" w:rsidP="004D7AC0" w:rsidRDefault="004D7AC0" w14:paraId="4982DD52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:rsidTr="00600C84" w14:paraId="4982DD59" w14:textId="77777777">
        <w:tc>
          <w:tcPr>
            <w:tcW w:w="9289" w:type="dxa"/>
            <w:tcBorders>
              <w:bottom w:val="double" w:color="auto" w:sz="4" w:space="0"/>
            </w:tcBorders>
          </w:tcPr>
          <w:p w:rsidR="003066BE" w:rsidP="00600C84" w:rsidRDefault="006537CB" w14:paraId="4982DD53" w14:textId="1FE991DD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597.ª REUNIÃO PLENÁRIA</w:t>
            </w:r>
          </w:p>
          <w:p w:rsidR="003066BE" w:rsidP="00600C84" w:rsidRDefault="003066BE" w14:paraId="4982DD54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066BE" w:rsidP="00600C84" w:rsidRDefault="00D228C8" w14:paraId="4982DD55" w14:textId="7766F7F0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18 e 19 de junho de 2025</w:t>
            </w:r>
          </w:p>
          <w:p w:rsidR="003066BE" w:rsidP="00600C84" w:rsidRDefault="003066BE" w14:paraId="4982DD56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Pr="0081153B" w:rsidR="004D7AC0" w:rsidP="00600C84" w:rsidRDefault="00754027" w14:paraId="4982DD57" w14:textId="1AC2A22A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SÍNTESE DOS PARECERES, RESOLUÇÕES E </w:t>
            </w:r>
            <w:r w:rsidR="00DE0BF5"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t>RELATÓRIOS DE INFORMAÇÃO E AVALIAÇÃO ADOTADOS</w:t>
            </w:r>
          </w:p>
          <w:p w:rsidR="004D7AC0" w:rsidP="00600C84" w:rsidRDefault="004D7AC0" w14:paraId="4982DD58" w14:textId="77777777">
            <w:pPr>
              <w:snapToGrid w:val="0"/>
            </w:pPr>
          </w:p>
        </w:tc>
      </w:tr>
      <w:tr w:rsidR="004D7AC0" w:rsidTr="00600C84" w14:paraId="4982DD5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1153B" w:rsidR="004D7AC0" w:rsidP="00600C84" w:rsidRDefault="004D7AC0" w14:paraId="4982DD5A" w14:textId="2FFBD7FD">
            <w:pPr>
              <w:snapToGrid w:val="0"/>
              <w:jc w:val="center"/>
            </w:pPr>
            <w:r>
              <w:t>O presente documento pode ser consultado nas línguas oficiais da União Europeia no sítio Web do CESE, no seguinte endereço:</w:t>
            </w:r>
            <w:r>
              <w:br/>
            </w:r>
            <w:r>
              <w:br/>
            </w:r>
            <w:hyperlink w:history="1" r:id="rId13">
              <w:r w:rsidRPr="0074425B" w:rsidR="00A010F4">
                <w:rPr>
                  <w:rStyle w:val="Hyperlink"/>
                </w:rPr>
                <w:t>https://www.eesc.europa.eu/pt/ou</w:t>
              </w:r>
              <w:r w:rsidRPr="0074425B" w:rsidR="00A010F4">
                <w:rPr>
                  <w:rStyle w:val="Hyperlink"/>
                </w:rPr>
                <w:t>r</w:t>
              </w:r>
              <w:r w:rsidRPr="0074425B" w:rsidR="00A010F4">
                <w:rPr>
                  <w:rStyle w:val="Hyperlink"/>
                </w:rPr>
                <w:t>-work/opinions-information-reports/plenary-session-summaries</w:t>
              </w:r>
            </w:hyperlink>
          </w:p>
          <w:p w:rsidRPr="0081153B" w:rsidR="004D7AC0" w:rsidP="00600C84" w:rsidRDefault="004D7AC0" w14:paraId="4982DD5B" w14:textId="77777777">
            <w:pPr>
              <w:snapToGrid w:val="0"/>
              <w:jc w:val="center"/>
            </w:pPr>
          </w:p>
          <w:p w:rsidRPr="0081153B" w:rsidR="004D7AC0" w:rsidP="00600C84" w:rsidRDefault="004D7AC0" w14:paraId="4982DD5C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44561" w:rsidR="004D7AC0" w:rsidP="00600C84" w:rsidRDefault="004D7AC0" w14:paraId="4982DD5D" w14:textId="77777777">
            <w:pPr>
              <w:snapToGrid w:val="0"/>
              <w:jc w:val="center"/>
            </w:pPr>
            <w:r>
              <w:t xml:space="preserve">Os pareceres mencionados podem ser consultados em linha através do motor de busca do CESE: </w:t>
            </w:r>
            <w:r>
              <w:br/>
            </w:r>
            <w:r>
              <w:br/>
            </w:r>
            <w:hyperlink w:history="1" r:id="rId14">
              <w:r>
                <w:rPr>
                  <w:rStyle w:val="Hyperlink"/>
                </w:rPr>
                <w:t>https://dmse</w:t>
              </w:r>
              <w:r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rch.eesc.europa.eu/search/opinion</w:t>
              </w:r>
            </w:hyperlink>
          </w:p>
          <w:p w:rsidRPr="00044561" w:rsidR="004D7AC0" w:rsidP="00600C84" w:rsidRDefault="004D7AC0" w14:paraId="4982DD5E" w14:textId="77777777">
            <w:pPr>
              <w:snapToGrid w:val="0"/>
              <w:jc w:val="center"/>
            </w:pPr>
          </w:p>
        </w:tc>
      </w:tr>
    </w:tbl>
    <w:p w:rsidR="004D7AC0" w:rsidP="004D7AC0" w:rsidRDefault="004D7AC0" w14:paraId="4982DD60" w14:textId="77777777"/>
    <w:p w:rsidR="004D7AC0" w:rsidP="004D7AC0" w:rsidRDefault="004D7AC0" w14:paraId="4982DD61" w14:textId="77777777"/>
    <w:p w:rsidR="004D7AC0" w:rsidP="004D7AC0" w:rsidRDefault="004D7AC0" w14:paraId="4982DD62" w14:textId="77777777">
      <w:pPr>
        <w:sectPr w:rsidR="004D7AC0" w:rsidSect="0005540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A81AFE" w:rsidR="004D7AC0" w:rsidP="00077CC3" w:rsidRDefault="004D7AC0" w14:paraId="4982DD63" w14:textId="31BE8C8C">
      <w:pPr>
        <w:tabs>
          <w:tab w:val="left" w:pos="2367"/>
        </w:tabs>
        <w:rPr>
          <w:b/>
        </w:rPr>
      </w:pPr>
      <w:r>
        <w:rPr>
          <w:b/>
        </w:rPr>
        <w:lastRenderedPageBreak/>
        <w:t>Índice</w:t>
      </w:r>
      <w:r w:rsidR="00077CC3">
        <w:rPr>
          <w:b/>
        </w:rPr>
        <w:tab/>
      </w:r>
    </w:p>
    <w:sdt>
      <w:sdtPr>
        <w:rPr>
          <w:rFonts w:ascii="Times New Roman" w:hAnsi="Times New Roman" w:eastAsia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A81AFE" w:rsidR="004D7AC0" w:rsidP="004D7AC0" w:rsidRDefault="004D7AC0" w14:paraId="4982DD64" w14:textId="77777777">
          <w:pPr>
            <w:pStyle w:val="TOCHeading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:rsidR="00A010F4" w:rsidRDefault="004D7AC0" w14:paraId="26D8318C" w14:textId="2D8CD3B2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02353226">
            <w:r w:rsidRPr="00311619" w:rsidR="00A010F4">
              <w:rPr>
                <w:rStyle w:val="Hyperlink"/>
                <w:b/>
                <w:noProof/>
              </w:rPr>
              <w:t>1.</w:t>
            </w:r>
            <w:r w:rsidR="00A010F4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311619" w:rsidR="00A010F4">
              <w:rPr>
                <w:rStyle w:val="Hyperlink"/>
                <w:b/>
                <w:noProof/>
              </w:rPr>
              <w:t>RESOLUÇÃO</w:t>
            </w:r>
            <w:r w:rsidR="00A010F4">
              <w:rPr>
                <w:noProof/>
                <w:webHidden/>
              </w:rPr>
              <w:tab/>
            </w:r>
            <w:r w:rsidR="00A010F4">
              <w:rPr>
                <w:noProof/>
                <w:webHidden/>
              </w:rPr>
              <w:fldChar w:fldCharType="begin"/>
            </w:r>
            <w:r w:rsidR="00A010F4">
              <w:rPr>
                <w:noProof/>
                <w:webHidden/>
              </w:rPr>
              <w:instrText xml:space="preserve"> PAGEREF _Toc202353226 \h </w:instrText>
            </w:r>
            <w:r w:rsidR="00A010F4">
              <w:rPr>
                <w:noProof/>
                <w:webHidden/>
              </w:rPr>
            </w:r>
            <w:r w:rsidR="00A010F4">
              <w:rPr>
                <w:noProof/>
                <w:webHidden/>
              </w:rPr>
              <w:fldChar w:fldCharType="separate"/>
            </w:r>
            <w:r w:rsidR="003D7AB4">
              <w:rPr>
                <w:noProof/>
                <w:webHidden/>
              </w:rPr>
              <w:t>3</w:t>
            </w:r>
            <w:r w:rsidR="00A010F4">
              <w:rPr>
                <w:noProof/>
                <w:webHidden/>
              </w:rPr>
              <w:fldChar w:fldCharType="end"/>
            </w:r>
          </w:hyperlink>
        </w:p>
        <w:p w:rsidR="00A010F4" w:rsidRDefault="00A010F4" w14:paraId="4EF1836D" w14:textId="7A3213A6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202353227">
            <w:r w:rsidRPr="00311619">
              <w:rPr>
                <w:rStyle w:val="Hyperlink"/>
                <w:b/>
                <w:noProof/>
              </w:rPr>
              <w:t>2.</w:t>
            </w:r>
            <w:r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311619">
              <w:rPr>
                <w:rStyle w:val="Hyperlink"/>
                <w:b/>
                <w:noProof/>
              </w:rPr>
              <w:t>UNIÃO ECONÓMICA E MONETÁRIA E COESÃO ECONÓMICA E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_Toc202353227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AB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0F4" w:rsidP="00A010F4" w:rsidRDefault="00A010F4" w14:paraId="1E0D0454" w14:textId="2F15A58E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202353228">
            <w:r w:rsidRPr="00311619">
              <w:rPr>
                <w:rStyle w:val="Hyperlink"/>
                <w:b/>
                <w:noProof/>
              </w:rPr>
              <w:t>3.</w:t>
            </w:r>
            <w:r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311619">
              <w:rPr>
                <w:rStyle w:val="Hyperlink"/>
                <w:b/>
                <w:noProof/>
              </w:rPr>
              <w:t>EMPREGO, ASSUNTOS SOCIAIS E CIDADANIA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_Toc202353228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AB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0F4" w:rsidRDefault="00A010F4" w14:paraId="746BC93A" w14:textId="152D31CA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202353234">
            <w:r w:rsidRPr="00311619">
              <w:rPr>
                <w:rStyle w:val="Hyperlink"/>
                <w:b/>
                <w:noProof/>
              </w:rPr>
              <w:t>4.</w:t>
            </w:r>
            <w:r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311619">
              <w:rPr>
                <w:rStyle w:val="Hyperlink"/>
                <w:b/>
                <w:noProof/>
              </w:rPr>
              <w:t>TRANSPORTES, ENERGIA, INFRAESTRUTURAS E SOCIEDADE DA INFORMAÇÃO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_Toc202353234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AB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0F4" w:rsidRDefault="00A010F4" w14:paraId="6613B78B" w14:textId="69AF3EA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202353235">
            <w:r w:rsidRPr="00311619">
              <w:rPr>
                <w:rStyle w:val="Hyperlink"/>
                <w:b/>
                <w:noProof/>
              </w:rPr>
              <w:t>5.</w:t>
            </w:r>
            <w:r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311619">
              <w:rPr>
                <w:rStyle w:val="Hyperlink"/>
                <w:b/>
                <w:noProof/>
              </w:rPr>
              <w:t>MERCADO ÚNICO, PRODUÇÃO E CONSUMO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_Toc202353235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AB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0F4" w:rsidRDefault="00A010F4" w14:paraId="1D754AE8" w14:textId="3EC3BBB3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202353236">
            <w:r w:rsidRPr="00311619">
              <w:rPr>
                <w:rStyle w:val="Hyperlink"/>
                <w:b/>
                <w:noProof/>
              </w:rPr>
              <w:t>6.</w:t>
            </w:r>
            <w:r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311619">
              <w:rPr>
                <w:rStyle w:val="Hyperlink"/>
                <w:b/>
                <w:noProof/>
              </w:rPr>
              <w:t>AGRICULTURA, DESENVOLVIMENTO RURAL E AMBIENTE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_Toc202353236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AB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10F4" w:rsidRDefault="00A010F4" w14:paraId="37C75FFA" w14:textId="276138E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202353237">
            <w:r w:rsidRPr="00311619">
              <w:rPr>
                <w:rStyle w:val="Hyperlink"/>
                <w:b/>
                <w:noProof/>
              </w:rPr>
              <w:t>7.</w:t>
            </w:r>
            <w:r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311619">
              <w:rPr>
                <w:rStyle w:val="Hyperlink"/>
                <w:b/>
                <w:noProof/>
              </w:rPr>
              <w:t>RELAÇÕES EXTERNAS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_Toc202353237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AB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A010F4" w:rsidR="004D7AC0" w:rsidP="00A010F4" w:rsidRDefault="00A010F4" w14:paraId="4982DD6A" w14:textId="03937690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202353238">
            <w:r w:rsidRPr="00311619">
              <w:rPr>
                <w:rStyle w:val="Hyperlink"/>
                <w:b/>
                <w:noProof/>
              </w:rPr>
              <w:t>8.</w:t>
            </w:r>
            <w:r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311619">
              <w:rPr>
                <w:rStyle w:val="Hyperlink"/>
                <w:b/>
                <w:noProof/>
              </w:rPr>
              <w:t>COMISSÃO CONSULTIVA DAS MUTAÇÕES INDUSTRIAIS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_Toc202353238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7AB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  <w:r w:rsidR="004D7AC0">
            <w:rPr>
              <w:b/>
            </w:rPr>
            <w:fldChar w:fldCharType="end"/>
          </w:r>
        </w:p>
      </w:sdtContent>
    </w:sdt>
    <w:p w:rsidR="004D7AC0" w:rsidP="004D7AC0" w:rsidRDefault="004D7AC0" w14:paraId="4982DD6B" w14:textId="77777777"/>
    <w:p w:rsidR="004D7AC0" w:rsidP="004D7AC0" w:rsidRDefault="004D7AC0" w14:paraId="4982DD6C" w14:textId="77777777">
      <w:pPr>
        <w:spacing w:after="160" w:line="259" w:lineRule="auto"/>
        <w:jc w:val="left"/>
      </w:pPr>
      <w:r>
        <w:br w:type="page"/>
      </w:r>
    </w:p>
    <w:p w:rsidR="006537CB" w:rsidP="004D7AC0" w:rsidRDefault="006537CB" w14:paraId="3BC52F64" w14:textId="039D100C">
      <w:pPr>
        <w:pStyle w:val="Heading1"/>
        <w:rPr>
          <w:b/>
        </w:rPr>
      </w:pPr>
      <w:bookmarkStart w:name="_Toc202353226" w:id="0"/>
      <w:r>
        <w:rPr>
          <w:b/>
        </w:rPr>
        <w:lastRenderedPageBreak/>
        <w:t>RESOLUÇÃO</w:t>
      </w:r>
      <w:bookmarkEnd w:id="0"/>
    </w:p>
    <w:p w:rsidR="006537CB" w:rsidP="006537CB" w:rsidRDefault="006537CB" w14:paraId="7567FD8E" w14:textId="77777777"/>
    <w:p w:rsidRPr="009F0605" w:rsidR="009F0605" w:rsidP="009F0605" w:rsidRDefault="001C5DC4" w14:paraId="377664B8" w14:textId="5ABC158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21">
        <w:r w:rsidR="009F0605">
          <w:rPr>
            <w:b/>
            <w:i/>
            <w:color w:val="0000FF"/>
            <w:sz w:val="28"/>
            <w:u w:val="single"/>
          </w:rPr>
          <w:t>Resolução – Contributo do Comité Económico e Social Europeu para o programa de trabalho da Comissão Europeia para 2026</w:t>
        </w:r>
      </w:hyperlink>
    </w:p>
    <w:p w:rsidRPr="009F0605" w:rsidR="009F0605" w:rsidP="009F0605" w:rsidRDefault="009F0605" w14:paraId="5402C002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Cs/>
          <w:lang w:val="en-GB"/>
        </w:rPr>
      </w:pPr>
    </w:p>
    <w:tbl>
      <w:tblPr>
        <w:tblStyle w:val="TableGrid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1"/>
        <w:gridCol w:w="7258"/>
      </w:tblGrid>
      <w:tr w:rsidRPr="00055407" w:rsidR="009F0605" w:rsidTr="001757A2" w14:paraId="0751E532" w14:textId="77777777">
        <w:tc>
          <w:tcPr>
            <w:tcW w:w="1093" w:type="pct"/>
          </w:tcPr>
          <w:p w:rsidRPr="006B53B5" w:rsidR="009F0605" w:rsidP="009F0605" w:rsidRDefault="009F0605" w14:paraId="088CEC6A" w14:textId="296377C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B53B5">
              <w:rPr>
                <w:b/>
                <w:sz w:val="22"/>
                <w:szCs w:val="22"/>
              </w:rPr>
              <w:t>Relatores</w:t>
            </w:r>
          </w:p>
        </w:tc>
        <w:tc>
          <w:tcPr>
            <w:tcW w:w="3907" w:type="pct"/>
          </w:tcPr>
          <w:p w:rsidRPr="006B53B5" w:rsidR="009F0605" w:rsidP="009F0605" w:rsidRDefault="009F0605" w14:paraId="2156504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B53B5">
              <w:rPr>
                <w:sz w:val="22"/>
                <w:szCs w:val="22"/>
              </w:rPr>
              <w:t>Maria del Carmen Barrera Chamorro (ES-Grupo dos Trabalhadores)</w:t>
            </w:r>
          </w:p>
        </w:tc>
      </w:tr>
      <w:tr w:rsidRPr="009F0605" w:rsidR="009F0605" w:rsidTr="001757A2" w14:paraId="57D64805" w14:textId="77777777">
        <w:tc>
          <w:tcPr>
            <w:tcW w:w="1093" w:type="pct"/>
          </w:tcPr>
          <w:p w:rsidRPr="006B53B5" w:rsidR="009F0605" w:rsidP="009F0605" w:rsidRDefault="009F0605" w14:paraId="6BD2743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3907" w:type="pct"/>
          </w:tcPr>
          <w:p w:rsidRPr="006B53B5" w:rsidR="009F0605" w:rsidP="009F0605" w:rsidRDefault="009F0605" w14:paraId="03C280DD" w14:textId="344722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B53B5">
              <w:rPr>
                <w:sz w:val="22"/>
                <w:szCs w:val="22"/>
              </w:rPr>
              <w:t>Christa Schweng (AT</w:t>
            </w:r>
            <w:r w:rsidRPr="006B53B5" w:rsidR="00DE0BF5">
              <w:rPr>
                <w:sz w:val="22"/>
                <w:szCs w:val="22"/>
              </w:rPr>
              <w:t>-G</w:t>
            </w:r>
            <w:r w:rsidRPr="006B53B5">
              <w:rPr>
                <w:sz w:val="22"/>
                <w:szCs w:val="22"/>
              </w:rPr>
              <w:t>rupo dos Empregadores)</w:t>
            </w:r>
          </w:p>
        </w:tc>
      </w:tr>
      <w:tr w:rsidRPr="009F0605" w:rsidR="009F0605" w:rsidTr="001757A2" w14:paraId="5835720C" w14:textId="77777777">
        <w:tc>
          <w:tcPr>
            <w:tcW w:w="1093" w:type="pct"/>
          </w:tcPr>
          <w:p w:rsidRPr="006B53B5" w:rsidR="009F0605" w:rsidP="009F0605" w:rsidRDefault="009F0605" w14:paraId="5295C85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907" w:type="pct"/>
          </w:tcPr>
          <w:p w:rsidRPr="006B53B5" w:rsidR="009F0605" w:rsidP="009F0605" w:rsidRDefault="009F0605" w14:paraId="5732F03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B53B5">
              <w:rPr>
                <w:sz w:val="22"/>
                <w:szCs w:val="22"/>
              </w:rPr>
              <w:t>Krzysztof Stanisław Balon (PL-Grupo das Organizações da Sociedade Civil)</w:t>
            </w:r>
          </w:p>
        </w:tc>
      </w:tr>
      <w:tr w:rsidRPr="009F0605" w:rsidR="009F0605" w:rsidTr="001757A2" w14:paraId="3FF4E036" w14:textId="77777777">
        <w:tc>
          <w:tcPr>
            <w:tcW w:w="1093" w:type="pct"/>
          </w:tcPr>
          <w:p w:rsidRPr="006B53B5" w:rsidR="00D228C8" w:rsidP="009F0605" w:rsidRDefault="00D228C8" w14:paraId="18F5301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  <w:p w:rsidRPr="006B53B5" w:rsidR="009F0605" w:rsidP="009F0605" w:rsidRDefault="009F0605" w14:paraId="156525EE" w14:textId="7C92C53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B53B5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3907" w:type="pct"/>
          </w:tcPr>
          <w:p w:rsidRPr="006B53B5" w:rsidR="00D228C8" w:rsidP="009F0605" w:rsidRDefault="00D228C8" w14:paraId="3E8C9C0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  <w:p w:rsidRPr="006B53B5" w:rsidR="009F0605" w:rsidP="009F0605" w:rsidRDefault="009F0605" w14:paraId="646CE0B1" w14:textId="5F89A50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B53B5">
              <w:rPr>
                <w:sz w:val="22"/>
                <w:szCs w:val="22"/>
              </w:rPr>
              <w:t>EESC-2025-01179-00-00-RES</w:t>
            </w:r>
          </w:p>
        </w:tc>
      </w:tr>
    </w:tbl>
    <w:p w:rsidRPr="009F0605" w:rsidR="009F0605" w:rsidP="009F0605" w:rsidRDefault="009F0605" w14:paraId="304A3F6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9F0605" w:rsidR="009F0605" w:rsidP="009F0605" w:rsidRDefault="009F0605" w14:paraId="2B6F065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9F0605" w:rsidR="009F0605" w:rsidP="009F0605" w:rsidRDefault="009F0605" w14:paraId="5D53331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9F0605" w:rsidP="009F0605" w:rsidRDefault="009F0605" w14:paraId="5BDBBA04" w14:textId="2B123530">
      <w:pPr>
        <w:overflowPunct w:val="0"/>
        <w:autoSpaceDE w:val="0"/>
        <w:autoSpaceDN w:val="0"/>
        <w:adjustRightInd w:val="0"/>
        <w:textAlignment w:val="baseline"/>
      </w:pPr>
      <w:r>
        <w:t>O CESE formula as seguintes propostas/reivindicações:</w:t>
      </w:r>
    </w:p>
    <w:p w:rsidR="00F739CD" w:rsidP="009F0605" w:rsidRDefault="00F739CD" w14:paraId="748F2B28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9F0605" w:rsidR="009F0605" w:rsidP="00B60D9A" w:rsidRDefault="009F0605" w14:paraId="103C4DDF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Através da presente resolução, o Comité Económico e Social Europeu (CESE), voz institucional da sociedade civil organizada europeia, dá o seu contributo para moldar o programa de trabalho da Comissão Europeia para 2026. A União Europeia (UE) deve colocar a democracia, os direitos humanos, a sustentabilidade, a igualdade e a justiça social no seu cerne. Os parceiros sociais, a sociedade civil e o setor voluntário são alicerces fundamentais para a resiliência da sociedade e devem ser reconhecidos, protegidos e integrados de forma substantiva em matéria de prospetiva, preparação e recuperação no âmbito de todas as crises.</w:t>
      </w:r>
    </w:p>
    <w:p w:rsidRPr="009F0605" w:rsidR="009F0605" w:rsidP="00B60D9A" w:rsidRDefault="009F0605" w14:paraId="0CEA2C8A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 fim de manter a sua liderança a nível mundial num mundo em rápida mutação, a UE deve adotar uma nova abordagem da competitividade, que integre a política industrial, a ambição climática e a estratégia geopolítica. Tal exige uma forte ênfase no investimento, na promoção da inovação e no reforço da coesão social, assegurando simultaneamente que o crescimento económico é sustentável, social, inclusivo e resiliente. A competitividade e o crescimento económico devem ser acompanhados de inclusão social.</w:t>
      </w:r>
    </w:p>
    <w:p w:rsidRPr="009F0605" w:rsidR="009F0605" w:rsidP="00B60D9A" w:rsidRDefault="009F0605" w14:paraId="45A3F41A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Uma política industrial resiliente deve dar prioridade à inovação, às transições ecológica e digital e à União das Competências, promovendo simultaneamente a aprendizagem ao longo da vida e os empregos de qualidade. A economia social e solidária deve ser apoiada enquanto motor da equidade e da coesão. Uma vez que a prontidão em matéria de defesa se tornou crucial no novo contexto de segurança, deve passar a ser uma prioridade comum, mas continuando ancorada nos direitos, na transparência e no Estado de direito.</w:t>
      </w:r>
    </w:p>
    <w:p w:rsidRPr="009F0605" w:rsidR="009F0605" w:rsidP="00B60D9A" w:rsidRDefault="009F0605" w14:paraId="313D7B01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O investimento na investigação, no desenvolvimento, nas competências e nos setores estratégicos deve estar no cerne desta política industrial, a fim de assegurar a resiliência industrial e o crescimento económico a longo prazo, bem como empregos de qualidade. Ao apostar em tecnologias como a inteligência artificial centrada no ser humano e as energias renováveis, a UE pode manter uma vantagem competitiva nas indústrias de elevado valor.</w:t>
      </w:r>
    </w:p>
    <w:p w:rsidRPr="009F0605" w:rsidR="009F0605" w:rsidP="00B60D9A" w:rsidRDefault="009F0605" w14:paraId="2BF6D130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Aplicar uma Estratégia da UE de Combate à Pobreza que vise erradicar a pobreza extrema e lutar contra a pobreza em matéria de habitação, energia e transportes. Deve também reconhecer explicitamente a relação entre a pobreza persistente e a exclusão democrática, assegurando que as pessoas que vivem em situação de pobreza aderem à cocriação de políticas e à participação cívica e que ninguém é privado de acesso a recursos energéticos essenciais. </w:t>
      </w:r>
    </w:p>
    <w:p w:rsidRPr="009F0605" w:rsidR="009F0605" w:rsidP="00B60D9A" w:rsidRDefault="009F0605" w14:paraId="169FD2E6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lastRenderedPageBreak/>
        <w:t>Aprofundar a Estratégia para a Igualdade de Género para o período pós-2025, com o objetivo de erradicar a violência de género, colmatar as disparidades de género no mercado de trabalho, assegurar a igualdade de participação em diferentes setores da economia, combater as disparidades salariais e de pensões entre homens e mulheres, colmatar as disparidades de género no trabalho de prestação de cuidados, alcançar o equilíbrio de género na tomada de decisões e na política e avaliar os progressos realizados até à data.</w:t>
      </w:r>
    </w:p>
    <w:p w:rsidRPr="009F0605" w:rsidR="009F0605" w:rsidP="00B60D9A" w:rsidRDefault="009F0605" w14:paraId="6DF86478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Reforçar a democracia no trabalho através do diálogo social, da negociação coletiva e da plena aplicação dos direitos de informação, consulta e representação dos trabalhadores. As instituições da UE devem prestar apoio pertinente ao diálogo social e à negociação coletiva, a todos os níveis, com vista a continuar a desenvolver as capacidades dos parceiros sociais e a adotar medidas de execução pertinentes, incluindo medidas financeiras, a fim de aumentar a cobertura da negociação coletiva, especialmente nos países e nas regiões em que o seu potencial continua por explorar.</w:t>
      </w:r>
    </w:p>
    <w:p w:rsidRPr="009F0605" w:rsidR="009F0605" w:rsidP="00B60D9A" w:rsidRDefault="009F0605" w14:paraId="6197F8BD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O processo de alargamento deve prosseguir no sentido da paz, da prosperidade e da democracia, criando simultaneamente estabilidade a longo prazo no nosso continente, com a participação dos intervenientes sociais e civis. Neste contexto, cabe dar um lugar de destaque à Ucrânia, cuja resiliência democrática face à agressão sofrida é um exemplo de defesa dos valores europeus, juntamente com a Moldávia e os Balcãs Ocidentais. </w:t>
      </w:r>
    </w:p>
    <w:p w:rsidRPr="009F0605" w:rsidR="009F0605" w:rsidP="00B60D9A" w:rsidRDefault="009F0605" w14:paraId="71D85F38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Criação de um Fundo Europeu para Investimentos Estratégicos, centrado no financiamento de projetos europeus prioritários. Além disso, o Quadro Financeiro Plurianual 2028-2034 deve aumentar significativamente os recursos afetados às prioridades de investimento, com base numa forte condicionalidade social.</w:t>
      </w:r>
    </w:p>
    <w:p w:rsidRPr="009F0605" w:rsidR="009F0605" w:rsidP="009F0605" w:rsidRDefault="009F0605" w14:paraId="14C9D7AA" w14:textId="77777777">
      <w:pPr>
        <w:widowControl w:val="0"/>
        <w:overflowPunct w:val="0"/>
        <w:autoSpaceDE w:val="0"/>
        <w:autoSpaceDN w:val="0"/>
        <w:adjustRightInd w:val="0"/>
        <w:ind w:left="644"/>
        <w:textAlignment w:val="baseline"/>
        <w:rPr>
          <w:bCs/>
          <w:iCs/>
          <w:lang w:val="en-GB"/>
        </w:rPr>
      </w:pPr>
    </w:p>
    <w:tbl>
      <w:tblPr>
        <w:tblStyle w:val="TableGrid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9F0605" w:rsidR="009F0605" w:rsidTr="001757A2" w14:paraId="167C203E" w14:textId="77777777">
        <w:tc>
          <w:tcPr>
            <w:tcW w:w="1556" w:type="pct"/>
          </w:tcPr>
          <w:p w:rsidRPr="006B53B5" w:rsidR="009F0605" w:rsidP="009F0605" w:rsidRDefault="009F0605" w14:paraId="1E635307" w14:textId="25A5B6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b/>
                <w:i/>
                <w:sz w:val="22"/>
                <w:szCs w:val="22"/>
              </w:rPr>
              <w:t xml:space="preserve">Contacto 1 </w:t>
            </w:r>
          </w:p>
        </w:tc>
        <w:tc>
          <w:tcPr>
            <w:tcW w:w="3444" w:type="pct"/>
          </w:tcPr>
          <w:p w:rsidRPr="006B53B5" w:rsidR="009F0605" w:rsidP="009F0605" w:rsidRDefault="009F0605" w14:paraId="6374E4D8" w14:textId="7B0FEE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>David Scuderi</w:t>
            </w:r>
          </w:p>
        </w:tc>
      </w:tr>
      <w:tr w:rsidRPr="009F0605" w:rsidR="009F0605" w:rsidTr="001757A2" w14:paraId="769F8713" w14:textId="77777777">
        <w:tc>
          <w:tcPr>
            <w:tcW w:w="1556" w:type="pct"/>
          </w:tcPr>
          <w:p w:rsidRPr="006B53B5" w:rsidR="009F0605" w:rsidP="009F0605" w:rsidRDefault="009F0605" w14:paraId="32EDA1F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6B53B5" w:rsidR="009F0605" w:rsidP="009F0605" w:rsidRDefault="009F0605" w14:paraId="616B90D1" w14:textId="68461B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>+32 2 546 81 22</w:t>
            </w:r>
          </w:p>
        </w:tc>
      </w:tr>
      <w:tr w:rsidRPr="009F0605" w:rsidR="009F0605" w:rsidTr="001757A2" w14:paraId="648DF4EA" w14:textId="77777777">
        <w:tc>
          <w:tcPr>
            <w:tcW w:w="1556" w:type="pct"/>
          </w:tcPr>
          <w:p w:rsidRPr="006B53B5" w:rsidR="009F0605" w:rsidP="009F0605" w:rsidRDefault="009F0605" w14:paraId="610DEC5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444" w:type="pct"/>
          </w:tcPr>
          <w:p w:rsidRPr="006B53B5" w:rsidR="009F0605" w:rsidP="001B7DAA" w:rsidRDefault="001C5DC4" w14:paraId="32945AFA" w14:textId="614E0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2">
              <w:r w:rsidRPr="006B53B5" w:rsidR="005275B5">
                <w:rPr>
                  <w:rStyle w:val="Hyperlink"/>
                  <w:i/>
                  <w:sz w:val="22"/>
                  <w:szCs w:val="22"/>
                </w:rPr>
                <w:t>David.Scuderi@eesc.europa.eu</w:t>
              </w:r>
            </w:hyperlink>
          </w:p>
          <w:p w:rsidRPr="006B53B5" w:rsidR="001B7DAA" w:rsidP="001B7DAA" w:rsidRDefault="001B7DAA" w14:paraId="6E30E354" w14:textId="07964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</w:tc>
      </w:tr>
      <w:tr w:rsidRPr="009F0605" w:rsidR="009F0605" w:rsidTr="001757A2" w14:paraId="72A78D13" w14:textId="77777777">
        <w:tc>
          <w:tcPr>
            <w:tcW w:w="1556" w:type="pct"/>
          </w:tcPr>
          <w:p w:rsidRPr="006B53B5" w:rsidR="009F0605" w:rsidP="009F0605" w:rsidRDefault="009F0605" w14:paraId="34F9A853" w14:textId="0888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b/>
                <w:i/>
                <w:sz w:val="22"/>
                <w:szCs w:val="22"/>
              </w:rPr>
              <w:t xml:space="preserve">Contacto 2 </w:t>
            </w:r>
          </w:p>
        </w:tc>
        <w:tc>
          <w:tcPr>
            <w:tcW w:w="3444" w:type="pct"/>
          </w:tcPr>
          <w:p w:rsidRPr="006B53B5" w:rsidR="009F0605" w:rsidP="009F0605" w:rsidRDefault="009F0605" w14:paraId="68BB4088" w14:textId="29D237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>Stefania Lopedote</w:t>
            </w:r>
          </w:p>
        </w:tc>
      </w:tr>
      <w:tr w:rsidRPr="009F0605" w:rsidR="009F0605" w:rsidTr="001757A2" w14:paraId="059B6C18" w14:textId="77777777">
        <w:tc>
          <w:tcPr>
            <w:tcW w:w="1556" w:type="pct"/>
          </w:tcPr>
          <w:p w:rsidRPr="006B53B5" w:rsidR="009F0605" w:rsidP="009F0605" w:rsidRDefault="009F0605" w14:paraId="20DC12C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6B53B5" w:rsidR="009F0605" w:rsidP="009F0605" w:rsidRDefault="009F0605" w14:paraId="35C94651" w14:textId="32E0E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>+32 2 546 88 29</w:t>
            </w:r>
          </w:p>
        </w:tc>
      </w:tr>
      <w:tr w:rsidRPr="009F0605" w:rsidR="009F0605" w:rsidTr="001757A2" w14:paraId="1B56E629" w14:textId="77777777">
        <w:tc>
          <w:tcPr>
            <w:tcW w:w="1556" w:type="pct"/>
          </w:tcPr>
          <w:p w:rsidRPr="006B53B5" w:rsidR="009F0605" w:rsidP="009F0605" w:rsidRDefault="009F0605" w14:paraId="368E7FF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444" w:type="pct"/>
          </w:tcPr>
          <w:p w:rsidRPr="006B53B5" w:rsidR="005275B5" w:rsidP="009F0605" w:rsidRDefault="001C5DC4" w14:paraId="32836B7B" w14:textId="7D224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3">
              <w:r w:rsidRPr="006B53B5" w:rsidR="005275B5">
                <w:rPr>
                  <w:rStyle w:val="Hyperlink"/>
                  <w:i/>
                  <w:sz w:val="22"/>
                  <w:szCs w:val="22"/>
                </w:rPr>
                <w:t>Stefania.Lopedote@eesc.europa.eu</w:t>
              </w:r>
            </w:hyperlink>
          </w:p>
          <w:p w:rsidRPr="006B53B5" w:rsidR="009F0605" w:rsidP="009F0605" w:rsidRDefault="009F0605" w14:paraId="13CF8611" w14:textId="62AD6E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B53B5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9F0605" w:rsidP="006537CB" w:rsidRDefault="009F0605" w14:paraId="6E940869" w14:textId="2F09DDCA">
      <w:pPr>
        <w:rPr>
          <w:lang w:val="en-GB"/>
        </w:rPr>
      </w:pPr>
    </w:p>
    <w:p w:rsidR="00E32C54" w:rsidRDefault="00E32C54" w14:paraId="68CEF362" w14:textId="77777777">
      <w:pPr>
        <w:spacing w:after="160" w:line="259" w:lineRule="auto"/>
        <w:jc w:val="left"/>
      </w:pPr>
      <w:r>
        <w:br w:type="page"/>
      </w:r>
    </w:p>
    <w:p w:rsidRPr="00E11CA7" w:rsidR="00E32C54" w:rsidP="00E32C54" w:rsidRDefault="001C5DC4" w14:paraId="4CE812CD" w14:textId="3697225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history="1" r:id="rId24">
        <w:r w:rsidR="00E32C54">
          <w:rPr>
            <w:b/>
            <w:i/>
            <w:color w:val="0000FF"/>
            <w:sz w:val="28"/>
            <w:u w:val="single"/>
          </w:rPr>
          <w:t xml:space="preserve">Resolução </w:t>
        </w:r>
        <w:r w:rsidR="00E32C54">
          <w:rPr>
            <w:b/>
            <w:i/>
            <w:color w:val="0000FF"/>
            <w:sz w:val="28"/>
            <w:u w:val="single"/>
          </w:rPr>
          <w:t>–</w:t>
        </w:r>
        <w:r w:rsidR="00E32C54">
          <w:rPr>
            <w:b/>
            <w:i/>
            <w:color w:val="0000FF"/>
            <w:sz w:val="28"/>
            <w:u w:val="single"/>
          </w:rPr>
          <w:t xml:space="preserve"> Roteiro dos Direitos das Mulheres – Apoio à Declaração de princípios para um</w:t>
        </w:r>
        <w:r w:rsidR="00E32C54">
          <w:rPr>
            <w:b/>
            <w:i/>
            <w:color w:val="0000FF"/>
            <w:sz w:val="28"/>
            <w:u w:val="single"/>
          </w:rPr>
          <w:t>a</w:t>
        </w:r>
        <w:r w:rsidR="00E32C54">
          <w:rPr>
            <w:b/>
            <w:i/>
            <w:color w:val="0000FF"/>
            <w:sz w:val="28"/>
            <w:u w:val="single"/>
          </w:rPr>
          <w:t xml:space="preserve"> sociedade igualitária em termos de género</w:t>
        </w:r>
      </w:hyperlink>
      <w:r w:rsidR="00E32C54">
        <w:rPr>
          <w:b/>
          <w:i/>
          <w:sz w:val="28"/>
        </w:rPr>
        <w:t xml:space="preserve"> </w:t>
      </w:r>
    </w:p>
    <w:p w:rsidRPr="00E11CA7" w:rsidR="00E32C54" w:rsidP="00E32C54" w:rsidRDefault="00E32C54" w14:paraId="7E2617B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37"/>
      </w:tblGrid>
      <w:tr w:rsidRPr="00E11CA7" w:rsidR="00E32C54" w:rsidTr="0047118A" w14:paraId="5FCE0CAA" w14:textId="77777777">
        <w:tc>
          <w:tcPr>
            <w:tcW w:w="1701" w:type="dxa"/>
          </w:tcPr>
          <w:p w:rsidRPr="0047118A" w:rsidR="00E32C54" w:rsidP="00A94024" w:rsidRDefault="00E32C54" w14:paraId="1669A2A0" w14:textId="5F0D932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47118A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5637" w:type="dxa"/>
          </w:tcPr>
          <w:p w:rsidRPr="0047118A" w:rsidR="00E32C54" w:rsidP="00A94024" w:rsidRDefault="00E32C54" w14:paraId="6D909C6E" w14:textId="37FB44A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7118A">
              <w:rPr>
                <w:sz w:val="22"/>
                <w:szCs w:val="22"/>
              </w:rPr>
              <w:t>Sif Holst (DK</w:t>
            </w:r>
            <w:r w:rsidR="00E838F9">
              <w:rPr>
                <w:sz w:val="22"/>
                <w:szCs w:val="22"/>
              </w:rPr>
              <w:t>-</w:t>
            </w:r>
            <w:r w:rsidRPr="0047118A">
              <w:rPr>
                <w:sz w:val="22"/>
                <w:szCs w:val="22"/>
              </w:rPr>
              <w:t>Grupo das Organizações da Sociedade Civil)</w:t>
            </w:r>
          </w:p>
        </w:tc>
      </w:tr>
      <w:tr w:rsidRPr="00E11CA7" w:rsidR="00E32C54" w:rsidTr="0047118A" w14:paraId="74BD49F9" w14:textId="77777777">
        <w:tc>
          <w:tcPr>
            <w:tcW w:w="7338" w:type="dxa"/>
            <w:gridSpan w:val="2"/>
          </w:tcPr>
          <w:p w:rsidRPr="0047118A" w:rsidR="00E32C54" w:rsidP="00A94024" w:rsidRDefault="00E32C54" w14:paraId="7EC8B4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E11CA7" w:rsidR="00E32C54" w:rsidTr="0047118A" w14:paraId="7D37C4DF" w14:textId="77777777">
        <w:tc>
          <w:tcPr>
            <w:tcW w:w="1701" w:type="dxa"/>
            <w:vMerge w:val="restart"/>
          </w:tcPr>
          <w:p w:rsidRPr="0047118A" w:rsidR="00E32C54" w:rsidP="00A94024" w:rsidRDefault="00E32C54" w14:paraId="1CCBDA28" w14:textId="1A4E284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47118A">
              <w:rPr>
                <w:b/>
                <w:sz w:val="22"/>
                <w:szCs w:val="22"/>
              </w:rPr>
              <w:t xml:space="preserve">Referências </w:t>
            </w:r>
          </w:p>
        </w:tc>
        <w:tc>
          <w:tcPr>
            <w:tcW w:w="5637" w:type="dxa"/>
          </w:tcPr>
          <w:p w:rsidRPr="0047118A" w:rsidR="00E32C54" w:rsidP="00A94024" w:rsidRDefault="00E32C54" w14:paraId="537CFE6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7118A">
              <w:rPr>
                <w:sz w:val="22"/>
                <w:szCs w:val="22"/>
              </w:rPr>
              <w:t>COM (2025) 97 final</w:t>
            </w:r>
          </w:p>
        </w:tc>
      </w:tr>
      <w:tr w:rsidRPr="00E11CA7" w:rsidR="00E32C54" w:rsidTr="0047118A" w14:paraId="57724416" w14:textId="77777777">
        <w:tc>
          <w:tcPr>
            <w:tcW w:w="1701" w:type="dxa"/>
            <w:vMerge/>
          </w:tcPr>
          <w:p w:rsidRPr="0047118A" w:rsidR="00E32C54" w:rsidP="00A94024" w:rsidRDefault="00E32C54" w14:paraId="5F88A5F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637" w:type="dxa"/>
          </w:tcPr>
          <w:p w:rsidRPr="0047118A" w:rsidR="00E32C54" w:rsidP="00A94024" w:rsidRDefault="00E32C54" w14:paraId="18538717" w14:textId="436CE6C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47118A">
              <w:rPr>
                <w:sz w:val="22"/>
                <w:szCs w:val="22"/>
              </w:rPr>
              <w:t>EESC-2025-01814-00-00-RES</w:t>
            </w:r>
          </w:p>
        </w:tc>
      </w:tr>
    </w:tbl>
    <w:p w:rsidRPr="00E11CA7" w:rsidR="00E32C54" w:rsidP="00E32C54" w:rsidRDefault="00E32C54" w14:paraId="55AAEBD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E11CA7" w:rsidR="00E32C54" w:rsidP="00E32C54" w:rsidRDefault="00E32C54" w14:paraId="19257304" w14:textId="43DEC4E6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E11CA7" w:rsidR="00E32C54" w:rsidP="00E32C54" w:rsidRDefault="00E32C54" w14:paraId="4CBA1BD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E32C54" w:rsidP="00E32C54" w:rsidRDefault="00E32C54" w14:paraId="1ACC156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:rsidRPr="00E11CA7" w:rsidR="00BC7002" w:rsidP="00E32C54" w:rsidRDefault="00BC7002" w14:paraId="16595F4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E11CA7" w:rsidR="00E32C54" w:rsidP="00B60D9A" w:rsidRDefault="00E32C54" w14:paraId="225EC127" w14:textId="77777777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reafirma o seu compromisso inabalável em prol da </w:t>
      </w:r>
      <w:r>
        <w:rPr>
          <w:b/>
        </w:rPr>
        <w:t>igualdade de género e dos direitos das mulheres enquanto pilares fundamentais da democracia, da justiça social e do crescimento inclusivo</w:t>
      </w:r>
      <w:r>
        <w:t xml:space="preserve"> e apoia firmemente todos os intervenientes que procuram </w:t>
      </w:r>
      <w:r>
        <w:rPr>
          <w:b/>
        </w:rPr>
        <w:t>promover a igualdade para todas as mulheres e raparigas, em toda a sua diversidade</w:t>
      </w:r>
      <w:r>
        <w:t>;</w:t>
      </w:r>
    </w:p>
    <w:p w:rsidRPr="00E11CA7" w:rsidR="00E32C54" w:rsidP="00B60D9A" w:rsidRDefault="00E32C54" w14:paraId="2824C4BE" w14:textId="77777777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apoia a declaração de princípios para uma sociedade igualitária em termos de género, que está estreitamente alinhada com os valores e prioridades repetidamente expressos nos pareceres do CESE;</w:t>
      </w:r>
    </w:p>
    <w:p w:rsidRPr="00E11CA7" w:rsidR="00E32C54" w:rsidP="00B60D9A" w:rsidRDefault="00E32C54" w14:paraId="259C831E" w14:textId="77777777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reconhece que a aplicação destes princípios exige uma ação coordenada e sustentada e está empenhado em:</w:t>
      </w:r>
    </w:p>
    <w:p w:rsidRPr="00E11CA7" w:rsidR="00E32C54" w:rsidP="00B60D9A" w:rsidRDefault="00E32C54" w14:paraId="005EE46D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200" w:line="276" w:lineRule="auto"/>
        <w:ind w:left="567" w:hanging="283"/>
        <w:contextualSpacing/>
        <w:textAlignment w:val="baseline"/>
        <w:rPr>
          <w:szCs w:val="20"/>
        </w:rPr>
      </w:pPr>
      <w:r>
        <w:t>promover a igualdade de género através do diálogo social e civil estruturado e da participação inclusiva a todos os níveis;</w:t>
      </w:r>
    </w:p>
    <w:p w:rsidRPr="00E11CA7" w:rsidR="00E32C54" w:rsidP="00B60D9A" w:rsidRDefault="00E32C54" w14:paraId="536DEADC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200" w:line="276" w:lineRule="auto"/>
        <w:ind w:left="567" w:hanging="283"/>
        <w:contextualSpacing/>
        <w:textAlignment w:val="baseline"/>
        <w:rPr>
          <w:szCs w:val="20"/>
        </w:rPr>
      </w:pPr>
      <w:r>
        <w:t>reforçar o papel dos jovens, das organizações da sociedade civil e dos parceiros sociais na definição, no acompanhamento e na execução das políticas de igualdade;</w:t>
      </w:r>
    </w:p>
    <w:p w:rsidRPr="00E11CA7" w:rsidR="00E32C54" w:rsidP="00B60D9A" w:rsidRDefault="00E32C54" w14:paraId="3AD7DBC8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200" w:line="276" w:lineRule="auto"/>
        <w:ind w:left="567" w:hanging="283"/>
        <w:contextualSpacing/>
        <w:textAlignment w:val="baseline"/>
        <w:rPr>
          <w:szCs w:val="20"/>
        </w:rPr>
      </w:pPr>
      <w:r>
        <w:t>apoiar abordagens interseccionais, que tenham em conta as realidades das mulheres que enfrentam formas múltiplas e concomitantes de discriminação;</w:t>
      </w:r>
    </w:p>
    <w:p w:rsidRPr="00E11CA7" w:rsidR="00E32C54" w:rsidP="00B60D9A" w:rsidRDefault="00E32C54" w14:paraId="06175210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200" w:line="276" w:lineRule="auto"/>
        <w:ind w:left="567" w:hanging="283"/>
        <w:contextualSpacing/>
        <w:textAlignment w:val="baseline"/>
        <w:rPr>
          <w:szCs w:val="20"/>
        </w:rPr>
      </w:pPr>
      <w:r>
        <w:t>incentivar políticas que garantam a saúde sexual e reprodutiva e os direitos nesse âmbito, o acesso equitativo aos cuidados de saúde e espaços democráticos seguros e inclusivos;</w:t>
      </w:r>
    </w:p>
    <w:p w:rsidRPr="00E11CA7" w:rsidR="00E32C54" w:rsidP="00B60D9A" w:rsidRDefault="00E32C54" w14:paraId="47B3F173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200" w:line="276" w:lineRule="auto"/>
        <w:ind w:left="567" w:hanging="283"/>
        <w:contextualSpacing/>
        <w:textAlignment w:val="baseline"/>
        <w:rPr>
          <w:rFonts w:ascii="Calibri" w:hAnsi="Calibri"/>
        </w:rPr>
      </w:pPr>
      <w:r>
        <w:t>promover a integração da perspetiva de género e a orçamentação sensível ao género, bem como a recolha sistemática e a utilização generalizada de dados desagregados por sexo e de natureza interseccional;</w:t>
      </w:r>
    </w:p>
    <w:p w:rsidRPr="00E11CA7" w:rsidR="00E32C54" w:rsidP="00B60D9A" w:rsidRDefault="00E32C54" w14:paraId="5D42A71C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200" w:line="276" w:lineRule="auto"/>
        <w:ind w:left="567" w:hanging="283"/>
        <w:contextualSpacing/>
        <w:textAlignment w:val="baseline"/>
        <w:rPr>
          <w:rFonts w:ascii="Calibri" w:hAnsi="Calibri"/>
        </w:rPr>
      </w:pPr>
      <w:r>
        <w:t xml:space="preserve">está disposto a </w:t>
      </w:r>
      <w:r>
        <w:rPr>
          <w:b/>
        </w:rPr>
        <w:t>contribuir ativamente para a concretização deste roteiro</w:t>
      </w:r>
      <w:r>
        <w:t xml:space="preserve"> e a trabalhar com as instituições europeias e os Estados-Membros, a fim de pôr estes princípios em prática.</w:t>
      </w:r>
    </w:p>
    <w:p w:rsidRPr="00E11CA7" w:rsidR="00E32C54" w:rsidP="00E32C54" w:rsidRDefault="00E32C54" w14:paraId="6111D14F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Pr="0056288B" w:rsidR="00E32C54" w:rsidTr="00E838F9" w14:paraId="139B1DD5" w14:textId="77777777">
        <w:tc>
          <w:tcPr>
            <w:tcW w:w="2093" w:type="dxa"/>
          </w:tcPr>
          <w:p w:rsidRPr="0056288B" w:rsidR="00E32C54" w:rsidP="00A94024" w:rsidRDefault="00E32C54" w14:paraId="0397B25F" w14:textId="54348C8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56288B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:rsidRPr="0056288B" w:rsidR="00E32C54" w:rsidP="00A94024" w:rsidRDefault="00E32C54" w14:paraId="6DA2A4D9" w14:textId="769AACE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56288B">
              <w:rPr>
                <w:i/>
                <w:sz w:val="22"/>
                <w:szCs w:val="22"/>
              </w:rPr>
              <w:t>Gabriela Grasu</w:t>
            </w:r>
          </w:p>
        </w:tc>
      </w:tr>
      <w:tr w:rsidRPr="0056288B" w:rsidR="00E32C54" w:rsidTr="00E838F9" w14:paraId="338937A5" w14:textId="77777777">
        <w:tc>
          <w:tcPr>
            <w:tcW w:w="2093" w:type="dxa"/>
          </w:tcPr>
          <w:p w:rsidRPr="0056288B" w:rsidR="00E32C54" w:rsidP="00A94024" w:rsidRDefault="00E32C54" w14:paraId="40D437BD" w14:textId="7EFF591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56288B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:rsidRPr="0056288B" w:rsidR="00E32C54" w:rsidP="00A94024" w:rsidRDefault="00E32C54" w14:paraId="286B32D1" w14:textId="6048305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56288B">
              <w:rPr>
                <w:i/>
                <w:sz w:val="22"/>
                <w:szCs w:val="22"/>
              </w:rPr>
              <w:t>+32 2 546 91 62</w:t>
            </w:r>
          </w:p>
        </w:tc>
      </w:tr>
      <w:tr w:rsidRPr="0056288B" w:rsidR="00E32C54" w:rsidTr="00E838F9" w14:paraId="559316EA" w14:textId="77777777">
        <w:tc>
          <w:tcPr>
            <w:tcW w:w="2093" w:type="dxa"/>
          </w:tcPr>
          <w:p w:rsidRPr="0056288B" w:rsidR="00E32C54" w:rsidP="00A94024" w:rsidRDefault="00BC7002" w14:paraId="322885DD" w14:textId="6AFB81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56288B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:rsidRPr="0056288B" w:rsidR="00E32C54" w:rsidP="00A94024" w:rsidRDefault="001C5DC4" w14:paraId="57A44FB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25">
              <w:r w:rsidRPr="0056288B" w:rsidR="00381CCE">
                <w:rPr>
                  <w:i/>
                  <w:color w:val="0000FF"/>
                  <w:sz w:val="22"/>
                  <w:szCs w:val="22"/>
                  <w:u w:val="single"/>
                </w:rPr>
                <w:t>Gabriela.Grasu@eesc.europa.eu</w:t>
              </w:r>
            </w:hyperlink>
          </w:p>
        </w:tc>
      </w:tr>
    </w:tbl>
    <w:p w:rsidR="00E32C54" w:rsidP="00E32C54" w:rsidRDefault="00E32C54" w14:paraId="06E2FD62" w14:textId="77777777">
      <w:pPr>
        <w:spacing w:after="160" w:line="259" w:lineRule="auto"/>
        <w:jc w:val="left"/>
        <w:rPr>
          <w:lang w:val="en-GB"/>
        </w:rPr>
      </w:pPr>
    </w:p>
    <w:p w:rsidR="009F0605" w:rsidRDefault="009F0605" w14:paraId="288E6860" w14:textId="1F285198">
      <w:pPr>
        <w:spacing w:after="160" w:line="259" w:lineRule="auto"/>
        <w:jc w:val="left"/>
      </w:pPr>
      <w:r>
        <w:br w:type="page"/>
      </w:r>
    </w:p>
    <w:p w:rsidR="004D7AC0" w:rsidP="004D7AC0" w:rsidRDefault="004D7AC0" w14:paraId="4982DD6D" w14:textId="27928A02">
      <w:pPr>
        <w:pStyle w:val="Heading1"/>
        <w:rPr>
          <w:b/>
        </w:rPr>
      </w:pPr>
      <w:bookmarkStart w:name="_Toc202353227" w:id="1"/>
      <w:r>
        <w:rPr>
          <w:b/>
        </w:rPr>
        <w:lastRenderedPageBreak/>
        <w:t>UNIÃO ECONÓMICA E MONETÁRIA E COESÃO ECONÓMICA E SOCIAL</w:t>
      </w:r>
      <w:bookmarkEnd w:id="1"/>
    </w:p>
    <w:p w:rsidR="004D7AC0" w:rsidP="004D7AC0" w:rsidRDefault="004D7AC0" w14:paraId="4982DD6E" w14:textId="77777777"/>
    <w:p w:rsidRPr="00A174E9" w:rsidR="00A174E9" w:rsidP="00A174E9" w:rsidRDefault="001C5DC4" w14:paraId="33A5C04E" w14:textId="1AE0FEE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6">
        <w:r w:rsidR="00381CCE">
          <w:rPr>
            <w:b/>
            <w:i/>
            <w:color w:val="0000FF"/>
            <w:sz w:val="28"/>
            <w:u w:val="single"/>
          </w:rPr>
          <w:t>Avaliação das obrigações de comunicação de informações fiscais na UE</w:t>
        </w:r>
      </w:hyperlink>
    </w:p>
    <w:p w:rsidRPr="00A174E9" w:rsidR="00A174E9" w:rsidP="00A174E9" w:rsidRDefault="00A174E9" w14:paraId="78CF486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3"/>
        <w:tblW w:w="375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934"/>
      </w:tblGrid>
      <w:tr w:rsidRPr="00A174E9" w:rsidR="00A174E9" w:rsidTr="001757A2" w14:paraId="1422115B" w14:textId="77777777">
        <w:tc>
          <w:tcPr>
            <w:tcW w:w="1459" w:type="pct"/>
          </w:tcPr>
          <w:p w:rsidRPr="00D359A9" w:rsidR="00A174E9" w:rsidP="00A174E9" w:rsidRDefault="00A174E9" w14:paraId="4318752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359A9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3541" w:type="pct"/>
          </w:tcPr>
          <w:p w:rsidRPr="00D359A9" w:rsidR="00A174E9" w:rsidP="00A174E9" w:rsidRDefault="00A174E9" w14:paraId="1C5215FB" w14:textId="633835D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  <w:r w:rsidRPr="00D359A9">
              <w:rPr>
                <w:sz w:val="22"/>
                <w:szCs w:val="22"/>
              </w:rPr>
              <w:t>Krister Andersson (SE</w:t>
            </w:r>
            <w:r w:rsidR="00D359A9">
              <w:rPr>
                <w:sz w:val="22"/>
                <w:szCs w:val="22"/>
              </w:rPr>
              <w:t>-</w:t>
            </w:r>
            <w:r w:rsidRPr="00D359A9">
              <w:rPr>
                <w:sz w:val="22"/>
                <w:szCs w:val="22"/>
              </w:rPr>
              <w:t>Grupo dos Empregadores)</w:t>
            </w:r>
          </w:p>
        </w:tc>
      </w:tr>
      <w:tr w:rsidRPr="00A174E9" w:rsidR="00A174E9" w:rsidTr="001757A2" w14:paraId="04550752" w14:textId="77777777">
        <w:tc>
          <w:tcPr>
            <w:tcW w:w="5000" w:type="pct"/>
            <w:gridSpan w:val="2"/>
          </w:tcPr>
          <w:p w:rsidRPr="00D359A9" w:rsidR="00A174E9" w:rsidP="00A174E9" w:rsidRDefault="00A174E9" w14:paraId="7A009B5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A174E9" w:rsidR="00A174E9" w:rsidTr="001757A2" w14:paraId="4F937316" w14:textId="77777777">
        <w:tc>
          <w:tcPr>
            <w:tcW w:w="1459" w:type="pct"/>
          </w:tcPr>
          <w:p w:rsidRPr="00D359A9" w:rsidR="00A174E9" w:rsidP="00A174E9" w:rsidRDefault="00A174E9" w14:paraId="4D0681AC" w14:textId="6CC08B5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359A9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3541" w:type="pct"/>
          </w:tcPr>
          <w:p w:rsidRPr="00D359A9" w:rsidR="00A174E9" w:rsidP="00A174E9" w:rsidRDefault="00A174E9" w14:paraId="0DA975C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359A9">
              <w:rPr>
                <w:sz w:val="22"/>
                <w:szCs w:val="22"/>
              </w:rPr>
              <w:t>Parecer de iniciativa</w:t>
            </w:r>
          </w:p>
          <w:p w:rsidRPr="00D359A9" w:rsidR="00A174E9" w:rsidP="00A174E9" w:rsidRDefault="00A174E9" w14:paraId="391757E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359A9">
              <w:rPr>
                <w:sz w:val="22"/>
                <w:szCs w:val="22"/>
              </w:rPr>
              <w:t>EESC-2025-00462-00-00-AC</w:t>
            </w:r>
          </w:p>
        </w:tc>
      </w:tr>
    </w:tbl>
    <w:p w:rsidRPr="00A174E9" w:rsidR="00A174E9" w:rsidP="00A174E9" w:rsidRDefault="00A174E9" w14:paraId="66B2E1B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:rsidRPr="00A174E9" w:rsidR="00A174E9" w:rsidP="00A174E9" w:rsidRDefault="00A174E9" w14:paraId="778B0C3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A174E9" w:rsidR="00A174E9" w:rsidP="00A174E9" w:rsidRDefault="00A174E9" w14:paraId="2C5F894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:rsidR="00A174E9" w:rsidP="00A174E9" w:rsidRDefault="00A174E9" w14:paraId="6822E5D3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 (CESE):</w:t>
      </w:r>
    </w:p>
    <w:p w:rsidRPr="00A174E9" w:rsidR="00E661EA" w:rsidP="00A174E9" w:rsidRDefault="00E661EA" w14:paraId="75F44294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A174E9" w:rsidR="00A174E9" w:rsidP="00B60D9A" w:rsidRDefault="00A174E9" w14:paraId="1DD7B8DB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apoia os planos da Comissão para simplificar, reduzir os encargos administrativos e reforçar a competitividade da economia europeia;</w:t>
      </w:r>
    </w:p>
    <w:p w:rsidRPr="00A174E9" w:rsidR="00A174E9" w:rsidP="00B60D9A" w:rsidRDefault="00A174E9" w14:paraId="35AF7264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considera que a simplificação fiscal deve promover a prestação de informações de modo eficiente em termos de custos, melhorando a utilização e o intercâmbio de informações entre as autoridades tributárias, sem conduzir a alterações injustas ou involuntárias das obrigações fiscais nem criar possibilidades de evasão fiscal ou de concorrência fiscal prejudicial;</w:t>
      </w:r>
    </w:p>
    <w:p w:rsidRPr="00A174E9" w:rsidR="00A174E9" w:rsidP="00B60D9A" w:rsidRDefault="00A174E9" w14:paraId="502996F3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salienta que uma simplificação substancial também pode ser alcançada harmonizando conceitos jurídicos e terminologia semelhantes mas não totalmente alinhados que estão consagrados em várias diretivas da União Europeia (UE) em matéria de fiscalidade indireta;</w:t>
      </w:r>
    </w:p>
    <w:p w:rsidRPr="00A174E9" w:rsidR="00A174E9" w:rsidP="00B60D9A" w:rsidRDefault="00A174E9" w14:paraId="5C45759E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considera que seria de realizar uma avaliação de impacto para cada proposta, a fim de aferir adequadamente as implicações concretas das novas iniciativas legislativas para os contribuintes e as empresas;</w:t>
      </w:r>
    </w:p>
    <w:p w:rsidRPr="00A174E9" w:rsidR="00A174E9" w:rsidP="00B60D9A" w:rsidRDefault="00A174E9" w14:paraId="6BAD3708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recomenda igualmente a realização de controlos da competitividade das novas iniciativas legislativas no domínio da fiscalidade, incluindo para as pequenas e médias empresas (PME), a fim de assegurar que as novas regras apoiam efetivamente os objetivos previstos pela Comissão em matéria de simplificação, racionalização e redução dos encargos administrativos;</w:t>
      </w:r>
    </w:p>
    <w:p w:rsidRPr="00A174E9" w:rsidR="00A174E9" w:rsidP="00B60D9A" w:rsidRDefault="00A174E9" w14:paraId="7F0DC96F" w14:textId="133441C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propõe a introdução de um sistema de decisão antecipada a nível da UE. A criação de um órgão judicial permitiria uma interpretação clara das diretivas e dos regulamentos aplicados nos Estados</w:t>
      </w:r>
      <w:r w:rsidR="00B55BCB">
        <w:noBreakHyphen/>
      </w:r>
      <w:r>
        <w:t>Membros;</w:t>
      </w:r>
    </w:p>
    <w:p w:rsidRPr="00A174E9" w:rsidR="00A174E9" w:rsidP="00B60D9A" w:rsidRDefault="00A174E9" w14:paraId="4184B3A7" w14:textId="7777777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recomenda a criação de um novo Fórum Conjunto em matéria de Preços de Transferência.</w:t>
      </w:r>
    </w:p>
    <w:p w:rsidRPr="00A174E9" w:rsidR="00A174E9" w:rsidP="00A174E9" w:rsidRDefault="00A174E9" w14:paraId="1AECDD3F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3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D359A9" w:rsidR="00A174E9" w:rsidTr="001757A2" w14:paraId="15FA655D" w14:textId="77777777">
        <w:tc>
          <w:tcPr>
            <w:tcW w:w="1556" w:type="pct"/>
          </w:tcPr>
          <w:p w:rsidRPr="00D359A9" w:rsidR="00A174E9" w:rsidP="00A174E9" w:rsidRDefault="00A174E9" w14:paraId="0BF0699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359A9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444" w:type="pct"/>
          </w:tcPr>
          <w:p w:rsidRPr="00D359A9" w:rsidR="00A174E9" w:rsidP="00A174E9" w:rsidRDefault="00A174E9" w14:paraId="2110A0E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359A9">
              <w:rPr>
                <w:i/>
                <w:sz w:val="22"/>
                <w:szCs w:val="22"/>
              </w:rPr>
              <w:t>Jüri Soosaar</w:t>
            </w:r>
          </w:p>
        </w:tc>
      </w:tr>
      <w:tr w:rsidRPr="00D359A9" w:rsidR="00A174E9" w:rsidTr="001757A2" w14:paraId="497E6EC8" w14:textId="77777777">
        <w:tc>
          <w:tcPr>
            <w:tcW w:w="1556" w:type="pct"/>
          </w:tcPr>
          <w:p w:rsidRPr="00D359A9" w:rsidR="00A174E9" w:rsidP="00A174E9" w:rsidRDefault="00A174E9" w14:paraId="420F5C4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359A9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D359A9" w:rsidR="00A174E9" w:rsidP="00A174E9" w:rsidRDefault="00A174E9" w14:paraId="6253F22C" w14:textId="0F91B2C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359A9">
              <w:rPr>
                <w:i/>
                <w:sz w:val="22"/>
                <w:szCs w:val="22"/>
              </w:rPr>
              <w:t>+32 2 546</w:t>
            </w:r>
            <w:r w:rsidR="00D359A9">
              <w:rPr>
                <w:i/>
                <w:sz w:val="22"/>
                <w:szCs w:val="22"/>
              </w:rPr>
              <w:t xml:space="preserve"> </w:t>
            </w:r>
            <w:r w:rsidRPr="00D359A9">
              <w:rPr>
                <w:i/>
                <w:sz w:val="22"/>
                <w:szCs w:val="22"/>
              </w:rPr>
              <w:t>96</w:t>
            </w:r>
            <w:r w:rsidR="00D359A9">
              <w:rPr>
                <w:i/>
                <w:sz w:val="22"/>
                <w:szCs w:val="22"/>
              </w:rPr>
              <w:t xml:space="preserve"> </w:t>
            </w:r>
            <w:r w:rsidRPr="00D359A9">
              <w:rPr>
                <w:i/>
                <w:sz w:val="22"/>
                <w:szCs w:val="22"/>
              </w:rPr>
              <w:t>28</w:t>
            </w:r>
          </w:p>
        </w:tc>
      </w:tr>
      <w:tr w:rsidRPr="00D359A9" w:rsidR="00A174E9" w:rsidTr="001757A2" w14:paraId="52B62205" w14:textId="77777777">
        <w:tc>
          <w:tcPr>
            <w:tcW w:w="1556" w:type="pct"/>
          </w:tcPr>
          <w:p w:rsidRPr="00D359A9" w:rsidR="00A174E9" w:rsidP="00A174E9" w:rsidRDefault="00A174E9" w14:paraId="126CBE9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359A9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444" w:type="pct"/>
          </w:tcPr>
          <w:p w:rsidRPr="00D359A9" w:rsidR="00A174E9" w:rsidP="00A174E9" w:rsidRDefault="001C5DC4" w14:paraId="70D912E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27">
              <w:r w:rsidRPr="00D359A9" w:rsidR="00381CCE">
                <w:rPr>
                  <w:i/>
                  <w:color w:val="0000FF"/>
                  <w:sz w:val="22"/>
                  <w:szCs w:val="22"/>
                  <w:u w:val="single"/>
                </w:rPr>
                <w:t>Juri.Soosaar@eesc.europa.eu</w:t>
              </w:r>
            </w:hyperlink>
          </w:p>
        </w:tc>
      </w:tr>
    </w:tbl>
    <w:p w:rsidRPr="00D359A9" w:rsidR="004D7AC0" w:rsidP="009F0605" w:rsidRDefault="004D7AC0" w14:paraId="4982DD6F" w14:textId="77777777">
      <w:pPr>
        <w:ind w:left="710"/>
        <w:rPr>
          <w:b/>
          <w:i/>
          <w:sz w:val="32"/>
          <w:szCs w:val="32"/>
          <w:lang w:val="en-GB"/>
        </w:rPr>
      </w:pPr>
    </w:p>
    <w:p w:rsidR="00A174E9" w:rsidRDefault="00A174E9" w14:paraId="4982DD70" w14:textId="1D96BDFD">
      <w:pPr>
        <w:spacing w:after="160" w:line="259" w:lineRule="auto"/>
        <w:jc w:val="left"/>
      </w:pPr>
      <w:r>
        <w:br w:type="page"/>
      </w:r>
    </w:p>
    <w:p w:rsidRPr="0089162C" w:rsidR="0089162C" w:rsidP="00B60D9A" w:rsidRDefault="001C5DC4" w14:paraId="5CD8227E" w14:textId="333EB76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sz w:val="24"/>
          <w:szCs w:val="24"/>
        </w:rPr>
      </w:pPr>
      <w:hyperlink w:history="1" r:id="rId28">
        <w:r w:rsidR="0089162C">
          <w:rPr>
            <w:b/>
            <w:i/>
            <w:color w:val="0000FF"/>
            <w:sz w:val="28"/>
            <w:u w:val="single"/>
          </w:rPr>
          <w:t>Assistência adicional às regiões ultraperiféricas</w:t>
        </w:r>
      </w:hyperlink>
    </w:p>
    <w:p w:rsidRPr="0089162C" w:rsidR="0089162C" w:rsidP="00B60D9A" w:rsidRDefault="0089162C" w14:paraId="6AB01B4E" w14:textId="77777777">
      <w:pPr>
        <w:widowControl w:val="0"/>
        <w:overflowPunct w:val="0"/>
        <w:autoSpaceDE w:val="0"/>
        <w:autoSpaceDN w:val="0"/>
        <w:adjustRightInd w:val="0"/>
        <w:spacing w:line="276" w:lineRule="auto"/>
        <w:ind w:left="567"/>
        <w:textAlignment w:val="baseline"/>
        <w:rPr>
          <w:sz w:val="24"/>
          <w:szCs w:val="24"/>
          <w:lang w:val="en-GB"/>
        </w:rPr>
      </w:pPr>
    </w:p>
    <w:tbl>
      <w:tblPr>
        <w:tblStyle w:val="TableGrid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90"/>
        <w:gridCol w:w="4025"/>
        <w:gridCol w:w="3456"/>
      </w:tblGrid>
      <w:tr w:rsidRPr="0089162C" w:rsidR="0089162C" w:rsidTr="001757A2" w14:paraId="238F1F14" w14:textId="77777777">
        <w:tc>
          <w:tcPr>
            <w:tcW w:w="1590" w:type="dxa"/>
          </w:tcPr>
          <w:p w:rsidRPr="009D6FFC" w:rsidR="0089162C" w:rsidP="00B60D9A" w:rsidRDefault="0089162C" w14:paraId="01146FE2" w14:textId="080E971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9D6FFC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7481" w:type="dxa"/>
            <w:gridSpan w:val="2"/>
          </w:tcPr>
          <w:p w:rsidRPr="009D6FFC" w:rsidR="0089162C" w:rsidP="00B60D9A" w:rsidRDefault="0089162C" w14:paraId="0814DDD6" w14:textId="54CB0B0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sz w:val="22"/>
                <w:szCs w:val="22"/>
              </w:rPr>
            </w:pPr>
            <w:r w:rsidRPr="009D6FFC">
              <w:rPr>
                <w:sz w:val="22"/>
                <w:szCs w:val="22"/>
              </w:rPr>
              <w:t>Joël DESTOM (</w:t>
            </w:r>
            <w:r w:rsidR="009D6FFC">
              <w:rPr>
                <w:sz w:val="22"/>
                <w:szCs w:val="22"/>
              </w:rPr>
              <w:t>FR-</w:t>
            </w:r>
            <w:r w:rsidRPr="009D6FFC" w:rsidR="009D6FFC">
              <w:rPr>
                <w:sz w:val="22"/>
                <w:szCs w:val="22"/>
              </w:rPr>
              <w:t>Grupo das Organizações da Sociedade Civil</w:t>
            </w:r>
            <w:r w:rsidRPr="009D6FFC">
              <w:rPr>
                <w:sz w:val="22"/>
                <w:szCs w:val="22"/>
              </w:rPr>
              <w:t>)</w:t>
            </w:r>
          </w:p>
        </w:tc>
      </w:tr>
      <w:tr w:rsidRPr="0089162C" w:rsidR="0089162C" w:rsidTr="001757A2" w14:paraId="28873E7F" w14:textId="77777777">
        <w:tc>
          <w:tcPr>
            <w:tcW w:w="5615" w:type="dxa"/>
            <w:gridSpan w:val="2"/>
          </w:tcPr>
          <w:p w:rsidRPr="009D6FFC" w:rsidR="0089162C" w:rsidP="00B60D9A" w:rsidRDefault="0089162C" w14:paraId="44A81A6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  <w:tc>
          <w:tcPr>
            <w:tcW w:w="3456" w:type="dxa"/>
          </w:tcPr>
          <w:p w:rsidRPr="0089162C" w:rsidR="0089162C" w:rsidP="00B60D9A" w:rsidRDefault="0089162C" w14:paraId="000A5C6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lang w:val="en-GB"/>
              </w:rPr>
            </w:pPr>
          </w:p>
        </w:tc>
      </w:tr>
      <w:tr w:rsidRPr="0089162C" w:rsidR="0089162C" w:rsidTr="001757A2" w14:paraId="2686AFD3" w14:textId="77777777">
        <w:tc>
          <w:tcPr>
            <w:tcW w:w="1590" w:type="dxa"/>
            <w:vMerge w:val="restart"/>
          </w:tcPr>
          <w:p w:rsidRPr="009D6FFC" w:rsidR="0089162C" w:rsidP="00B60D9A" w:rsidRDefault="0089162C" w14:paraId="677563A1" w14:textId="07B3F2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9D6FFC">
              <w:rPr>
                <w:b/>
                <w:sz w:val="22"/>
                <w:szCs w:val="22"/>
              </w:rPr>
              <w:t xml:space="preserve">Referências </w:t>
            </w:r>
          </w:p>
        </w:tc>
        <w:tc>
          <w:tcPr>
            <w:tcW w:w="4025" w:type="dxa"/>
          </w:tcPr>
          <w:p w:rsidRPr="009D6FFC" w:rsidR="0089162C" w:rsidP="00B60D9A" w:rsidRDefault="0089162C" w14:paraId="1D7C08A2" w14:textId="1D6FB6A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sz w:val="22"/>
                <w:szCs w:val="22"/>
              </w:rPr>
            </w:pPr>
            <w:r w:rsidRPr="009D6FFC">
              <w:rPr>
                <w:sz w:val="22"/>
                <w:szCs w:val="22"/>
              </w:rPr>
              <w:t xml:space="preserve">COM(2025) 190 final </w:t>
            </w:r>
          </w:p>
        </w:tc>
        <w:tc>
          <w:tcPr>
            <w:tcW w:w="3456" w:type="dxa"/>
          </w:tcPr>
          <w:p w:rsidRPr="0089162C" w:rsidR="0089162C" w:rsidP="00B60D9A" w:rsidRDefault="0089162C" w14:paraId="3A63ECF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lang w:val="en-GB"/>
              </w:rPr>
            </w:pPr>
          </w:p>
        </w:tc>
      </w:tr>
      <w:tr w:rsidRPr="0089162C" w:rsidR="0089162C" w:rsidTr="001757A2" w14:paraId="17DB497D" w14:textId="77777777">
        <w:tc>
          <w:tcPr>
            <w:tcW w:w="1590" w:type="dxa"/>
            <w:vMerge/>
          </w:tcPr>
          <w:p w:rsidRPr="009D6FFC" w:rsidR="0089162C" w:rsidP="00B60D9A" w:rsidRDefault="0089162C" w14:paraId="1814014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025" w:type="dxa"/>
          </w:tcPr>
          <w:p w:rsidRPr="009D6FFC" w:rsidR="0089162C" w:rsidP="00B60D9A" w:rsidRDefault="0089162C" w14:paraId="14F2BAED" w14:textId="61BDCB1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sz w:val="22"/>
                <w:szCs w:val="22"/>
              </w:rPr>
            </w:pPr>
            <w:r w:rsidRPr="009D6FFC">
              <w:rPr>
                <w:sz w:val="22"/>
                <w:szCs w:val="22"/>
              </w:rPr>
              <w:t>EESC-2025-01633-00-00-AC</w:t>
            </w:r>
          </w:p>
          <w:p w:rsidRPr="009D6FFC" w:rsidR="00E661EA" w:rsidP="00B60D9A" w:rsidRDefault="00E661EA" w14:paraId="5282C408" w14:textId="04F017B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  <w:tc>
          <w:tcPr>
            <w:tcW w:w="3456" w:type="dxa"/>
          </w:tcPr>
          <w:p w:rsidRPr="0089162C" w:rsidR="0089162C" w:rsidP="00B60D9A" w:rsidRDefault="0089162C" w14:paraId="7DA757A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lang w:val="en-GB"/>
              </w:rPr>
            </w:pPr>
          </w:p>
        </w:tc>
      </w:tr>
    </w:tbl>
    <w:p w:rsidR="005D51A7" w:rsidP="00B60D9A" w:rsidRDefault="005D51A7" w14:paraId="623C150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  <w:lang w:val="en-GB"/>
        </w:rPr>
      </w:pPr>
    </w:p>
    <w:p w:rsidRPr="0089162C" w:rsidR="0089162C" w:rsidP="00B60D9A" w:rsidRDefault="0089162C" w14:paraId="529EF861" w14:textId="49248586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89162C" w:rsidR="0089162C" w:rsidP="00B60D9A" w:rsidRDefault="0089162C" w14:paraId="37AB9561" w14:textId="7777777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  <w:lang w:val="en-GB"/>
        </w:rPr>
      </w:pPr>
    </w:p>
    <w:p w:rsidR="0089162C" w:rsidP="00B60D9A" w:rsidRDefault="0089162C" w14:paraId="4C8E728B" w14:textId="7777777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</w:rPr>
      </w:pPr>
      <w:r>
        <w:t>O Comité Económico e Social Europeu (CESE):</w:t>
      </w:r>
    </w:p>
    <w:p w:rsidR="005D51A7" w:rsidP="00B60D9A" w:rsidRDefault="005D51A7" w14:paraId="3D056374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  <w:lang w:val="en-GB"/>
        </w:rPr>
      </w:pPr>
    </w:p>
    <w:p w:rsidRPr="0089162C" w:rsidR="0089162C" w:rsidP="00B60D9A" w:rsidRDefault="0089162C" w14:paraId="0FCD2334" w14:textId="77777777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acolhe com agrado a proposta da Comissão Europeia, que reconhece plenamente a vulnerabilidade estrutural das regiões ultraperiféricas (RUP) às catástrofes naturais e às alterações climáticas estabelecendo medidas de flexibilidade para ter em conta as situações de emergência climática e humanitária nestas regiões, nomeadamente em Maiote;</w:t>
      </w:r>
    </w:p>
    <w:p w:rsidRPr="0089162C" w:rsidR="0089162C" w:rsidP="00B60D9A" w:rsidRDefault="0089162C" w14:paraId="4BCC3A29" w14:textId="1923358E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concorda com as alterações específicas do Regulamento (UE) n.º 228/2013, que visam:</w:t>
      </w:r>
    </w:p>
    <w:p w:rsidRPr="0089162C" w:rsidR="0089162C" w:rsidP="005215A3" w:rsidRDefault="0089162C" w14:paraId="74E0208A" w14:textId="77777777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>
        <w:t>assegurar a continuidade do apoio do Programa de Opções Específicas para fazer face ao Afastamento e à Insularidade (POSEI) durante o período de recuperação, mesmo na ausência de atividade produtiva;</w:t>
      </w:r>
    </w:p>
    <w:p w:rsidRPr="0089162C" w:rsidR="0089162C" w:rsidP="005215A3" w:rsidRDefault="0089162C" w14:paraId="554D52AE" w14:textId="76CA543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>
        <w:t>suprimir o limite máximo de 10% para a reafetação das dotações no âmbito do Fundo Europeu Agrícola de Desenvolvimento Rural (FEADER) em Maiote e adiar o prazo para a seleção dos beneficiários para além de 30 de junho de 2025;</w:t>
      </w:r>
    </w:p>
    <w:p w:rsidRPr="0089162C" w:rsidR="0089162C" w:rsidP="00B60D9A" w:rsidRDefault="0089162C" w14:paraId="1269C37E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exorta a Comissão e os Estados-Membros a garantir que a reafetação dos fundos não compromete projetos estruturais de desenvolvimento rural. Defende igualmente que o regulamento inclua uma disposição que incentive a utilização de soluções baseadas na natureza na fase de reconstrução após as catástrofes e que se efetue um acompanhamento anual rigoroso e transparente dos compromissos assumidos pelos beneficiários;</w:t>
      </w:r>
    </w:p>
    <w:p w:rsidRPr="0089162C" w:rsidR="0089162C" w:rsidP="00B60D9A" w:rsidRDefault="0089162C" w14:paraId="7E7D69EC" w14:textId="77777777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exorta a Comissão Europeia a colaborar estreitamente com os Estados-Membros, os órgãos de poder local e as organizações da sociedade civil com vista a utilizar quanto antes e o mais eficazmente possível as possibilidade de apoio às regiões afetadas. As organizações da sociedade civil, os trabalhadores, as pequenas e médias empresas (PME) e as organizações não governamentais (ONG) foram gravemente afetados pelas catástrofes naturais, pelo que uma parte substancial dos fundos deve ser destinada a estes intervenientes;</w:t>
      </w:r>
    </w:p>
    <w:p w:rsidRPr="0089162C" w:rsidR="0089162C" w:rsidP="00B60D9A" w:rsidRDefault="0089162C" w14:paraId="2C5588EF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além disso, recomenda que:</w:t>
      </w:r>
    </w:p>
    <w:p w:rsidRPr="0089162C" w:rsidR="0089162C" w:rsidP="003F1917" w:rsidRDefault="0089162C" w14:paraId="6872F896" w14:textId="7777777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3"/>
        <w:textAlignment w:val="baseline"/>
        <w:rPr>
          <w:szCs w:val="20"/>
        </w:rPr>
      </w:pPr>
      <w:r>
        <w:t>seja formalizado a nível europeu um procedimento de reconhecimento rápido das situações de catástrofe natural;</w:t>
      </w:r>
    </w:p>
    <w:p w:rsidRPr="0089162C" w:rsidR="0089162C" w:rsidP="003F1917" w:rsidRDefault="0089162C" w14:paraId="1DB78270" w14:textId="7777777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3"/>
        <w:textAlignment w:val="baseline"/>
        <w:rPr>
          <w:szCs w:val="20"/>
        </w:rPr>
      </w:pPr>
      <w:r>
        <w:t>se preveja a criação de um fundo específico da UE para as catástrofes climáticas para responder eficazmente a crises graves sem comprometer as políticas estruturais financiadas pelo FEADER ou pela política agrícola comum (PAC). Tal fundo, complementar do Fundo de Solidariedade da União Europeia, garantiria a sustentabilidade da ajuda futura num contexto de agravamento dos riscos principais;</w:t>
      </w:r>
    </w:p>
    <w:p w:rsidR="0089162C" w:rsidP="003F1917" w:rsidRDefault="0089162C" w14:paraId="2413C467" w14:textId="7777777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3"/>
        <w:textAlignment w:val="baseline"/>
        <w:rPr>
          <w:szCs w:val="20"/>
        </w:rPr>
      </w:pPr>
      <w:r>
        <w:t>as alterações do regulamento façam parte do quadro estratégico mais vasto da visão a longo prazo para as zonas rurais da UE, assegurando a coerência entre a ajuda de emergência, a resiliência territorial e o desenvolvimento rural sustentável.</w:t>
      </w:r>
    </w:p>
    <w:p w:rsidRPr="009D6FFC" w:rsidR="00055407" w:rsidP="009D6FFC" w:rsidRDefault="0089162C" w14:paraId="3BCC5154" w14:textId="06D44ABE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ind w:left="567" w:hanging="283"/>
        <w:jc w:val="left"/>
        <w:textAlignment w:val="baseline"/>
        <w:rPr>
          <w:szCs w:val="20"/>
        </w:rPr>
      </w:pPr>
      <w:r>
        <w:lastRenderedPageBreak/>
        <w:t>considera que a UE necessita de um novo mecanismo de financiamento estável e sólido, que deve ser adaptável, flexível e estar pronto para responder a crises novas e emergentes nos próximos anos;</w:t>
      </w:r>
    </w:p>
    <w:p w:rsidR="0089162C" w:rsidP="00B60D9A" w:rsidRDefault="0089162C" w14:paraId="4A642D13" w14:textId="77777777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567" w:hanging="283"/>
        <w:textAlignment w:val="baseline"/>
        <w:rPr>
          <w:szCs w:val="20"/>
        </w:rPr>
      </w:pPr>
      <w:r>
        <w:t>por último, defende uma maior coordenação entre os vários instrumentos europeus de resposta a catástrofes e a criação de um quadro de prevenção estruturado, que inclua um balcão único para as RUP e um mecanismo de alerta precoce em matéria de clima para as RUP e procedimentos administrativos simplificados para a concessão de ajudas.</w:t>
      </w:r>
    </w:p>
    <w:p w:rsidRPr="0089162C" w:rsidR="00C2185C" w:rsidP="00B60D9A" w:rsidRDefault="00C2185C" w14:paraId="7946C4EC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szCs w:val="20"/>
          <w:lang w:val="en-GB"/>
        </w:rPr>
      </w:pPr>
    </w:p>
    <w:tbl>
      <w:tblPr>
        <w:tblStyle w:val="TableGrid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Pr="0089162C" w:rsidR="0089162C" w:rsidTr="009D6FFC" w14:paraId="2AFA9E15" w14:textId="77777777">
        <w:tc>
          <w:tcPr>
            <w:tcW w:w="2093" w:type="dxa"/>
          </w:tcPr>
          <w:p w:rsidRPr="009D6FFC" w:rsidR="0089162C" w:rsidP="0089162C" w:rsidRDefault="0089162C" w14:paraId="3856C519" w14:textId="4B0C99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9D6FFC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:rsidRPr="009D6FFC" w:rsidR="0089162C" w:rsidP="0089162C" w:rsidRDefault="0089162C" w14:paraId="73D41A1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9D6FFC">
              <w:rPr>
                <w:i/>
                <w:sz w:val="22"/>
                <w:szCs w:val="22"/>
              </w:rPr>
              <w:t>Georgios Meleas</w:t>
            </w:r>
          </w:p>
        </w:tc>
      </w:tr>
      <w:tr w:rsidRPr="0089162C" w:rsidR="0089162C" w:rsidTr="009D6FFC" w14:paraId="51D98A7C" w14:textId="77777777">
        <w:tc>
          <w:tcPr>
            <w:tcW w:w="2093" w:type="dxa"/>
          </w:tcPr>
          <w:p w:rsidRPr="009D6FFC" w:rsidR="0089162C" w:rsidP="0089162C" w:rsidRDefault="0089162C" w14:paraId="6B8F537C" w14:textId="3D76B63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9D6FFC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:rsidRPr="009D6FFC" w:rsidR="0089162C" w:rsidP="0089162C" w:rsidRDefault="0089162C" w14:paraId="74829D4D" w14:textId="22C688D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9D6FFC">
              <w:rPr>
                <w:i/>
                <w:sz w:val="22"/>
                <w:szCs w:val="22"/>
              </w:rPr>
              <w:t>+32 2 546</w:t>
            </w:r>
            <w:r w:rsidR="009D6FFC">
              <w:rPr>
                <w:i/>
                <w:sz w:val="22"/>
                <w:szCs w:val="22"/>
              </w:rPr>
              <w:t xml:space="preserve"> </w:t>
            </w:r>
            <w:r w:rsidRPr="009D6FFC">
              <w:rPr>
                <w:i/>
                <w:sz w:val="22"/>
                <w:szCs w:val="22"/>
              </w:rPr>
              <w:t>97</w:t>
            </w:r>
            <w:r w:rsidR="009D6FFC">
              <w:rPr>
                <w:i/>
                <w:sz w:val="22"/>
                <w:szCs w:val="22"/>
              </w:rPr>
              <w:t xml:space="preserve"> </w:t>
            </w:r>
            <w:r w:rsidRPr="009D6FFC">
              <w:rPr>
                <w:i/>
                <w:sz w:val="22"/>
                <w:szCs w:val="22"/>
              </w:rPr>
              <w:t>95</w:t>
            </w:r>
          </w:p>
        </w:tc>
      </w:tr>
      <w:tr w:rsidRPr="0089162C" w:rsidR="0089162C" w:rsidTr="009D6FFC" w14:paraId="443155D9" w14:textId="77777777">
        <w:tc>
          <w:tcPr>
            <w:tcW w:w="2093" w:type="dxa"/>
          </w:tcPr>
          <w:p w:rsidRPr="009D6FFC" w:rsidR="0089162C" w:rsidP="0089162C" w:rsidRDefault="00C86ABE" w14:paraId="21A28619" w14:textId="4E3177B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9D6FFC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:rsidRPr="009D6FFC" w:rsidR="0089162C" w:rsidP="0089162C" w:rsidRDefault="001C5DC4" w14:paraId="72FF38C2" w14:textId="5AC9978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29">
              <w:r w:rsidRPr="009D6FFC" w:rsidR="00381CCE">
                <w:rPr>
                  <w:i/>
                  <w:color w:val="0000FF"/>
                  <w:sz w:val="22"/>
                  <w:szCs w:val="22"/>
                  <w:u w:val="single"/>
                </w:rPr>
                <w:t>GeorgiosMeleas@eesc.europa.eu</w:t>
              </w:r>
            </w:hyperlink>
          </w:p>
        </w:tc>
      </w:tr>
    </w:tbl>
    <w:p w:rsidR="0089162C" w:rsidP="004D7AC0" w:rsidRDefault="0089162C" w14:paraId="4982DD98" w14:textId="687F4A7D">
      <w:pPr>
        <w:spacing w:after="160" w:line="259" w:lineRule="auto"/>
        <w:jc w:val="left"/>
      </w:pPr>
    </w:p>
    <w:p w:rsidR="0089162C" w:rsidRDefault="0089162C" w14:paraId="76598F99" w14:textId="77777777">
      <w:pPr>
        <w:spacing w:after="160" w:line="259" w:lineRule="auto"/>
        <w:jc w:val="left"/>
      </w:pPr>
      <w:r>
        <w:br w:type="page"/>
      </w:r>
    </w:p>
    <w:p w:rsidR="004D7AC0" w:rsidP="004D7AC0" w:rsidRDefault="004D7AC0" w14:paraId="4982DD99" w14:textId="77777777">
      <w:pPr>
        <w:pStyle w:val="Heading1"/>
        <w:rPr>
          <w:b/>
        </w:rPr>
      </w:pPr>
      <w:bookmarkStart w:name="_Toc75527081" w:id="2"/>
      <w:bookmarkStart w:name="_Toc202353228" w:id="3"/>
      <w:r>
        <w:rPr>
          <w:b/>
        </w:rPr>
        <w:lastRenderedPageBreak/>
        <w:t>EMPREGO, ASSUNTOS SOCIAIS E CIDADANIA</w:t>
      </w:r>
      <w:bookmarkEnd w:id="2"/>
      <w:bookmarkEnd w:id="3"/>
    </w:p>
    <w:p w:rsidR="004D7AC0" w:rsidP="004D7AC0" w:rsidRDefault="004D7AC0" w14:paraId="4982DD9A" w14:textId="77777777"/>
    <w:p w:rsidRPr="00BE355C" w:rsidR="00BE355C" w:rsidP="00B60D9A" w:rsidRDefault="001C5DC4" w14:paraId="36F6D783" w14:textId="02C78BF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b/>
        </w:rPr>
      </w:pPr>
      <w:hyperlink w:history="1" r:id="rId30">
        <w:r w:rsidR="00BE355C">
          <w:rPr>
            <w:b/>
            <w:i/>
            <w:color w:val="0000FF"/>
            <w:sz w:val="28"/>
            <w:u w:val="single"/>
          </w:rPr>
          <w:t>Reforçar a migração laboral legal e organizada para a UE</w:t>
        </w:r>
      </w:hyperlink>
    </w:p>
    <w:p w:rsidR="00BE355C" w:rsidP="001C720D" w:rsidRDefault="00BE355C" w14:paraId="36B699A7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sz w:val="16"/>
          <w:szCs w:val="16"/>
          <w:lang w:val="en-GB"/>
        </w:rPr>
      </w:pPr>
    </w:p>
    <w:p w:rsidRPr="00BE355C" w:rsidR="001C720D" w:rsidP="00B60D9A" w:rsidRDefault="001C720D" w14:paraId="13148018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sz w:val="16"/>
          <w:szCs w:val="16"/>
          <w:lang w:val="en-GB"/>
        </w:rPr>
      </w:pPr>
    </w:p>
    <w:tbl>
      <w:tblPr>
        <w:tblStyle w:val="TableGrid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237"/>
      </w:tblGrid>
      <w:tr w:rsidRPr="00BE355C" w:rsidR="00BE355C" w:rsidTr="001757A2" w14:paraId="33AF8D5F" w14:textId="77777777">
        <w:tc>
          <w:tcPr>
            <w:tcW w:w="1701" w:type="dxa"/>
          </w:tcPr>
          <w:p w:rsidRPr="009D6FFC" w:rsidR="00BE355C" w:rsidP="00B60D9A" w:rsidRDefault="00BE355C" w14:paraId="1631661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67" w:hanging="567"/>
              <w:textAlignment w:val="baseline"/>
              <w:rPr>
                <w:b/>
                <w:sz w:val="22"/>
                <w:szCs w:val="22"/>
              </w:rPr>
            </w:pPr>
            <w:r w:rsidRPr="009D6FFC">
              <w:rPr>
                <w:b/>
                <w:sz w:val="22"/>
                <w:szCs w:val="22"/>
              </w:rPr>
              <w:t>Relator</w:t>
            </w:r>
          </w:p>
          <w:p w:rsidRPr="009D6FFC" w:rsidR="00BE355C" w:rsidP="00B60D9A" w:rsidRDefault="00BE355C" w14:paraId="0025A88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67" w:hanging="567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:rsidRPr="009D6FFC" w:rsidR="00BE355C" w:rsidP="00B60D9A" w:rsidRDefault="00BE355C" w14:paraId="3FBF9478" w14:textId="257601F4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67" w:hanging="567"/>
              <w:textAlignment w:val="baseline"/>
              <w:rPr>
                <w:sz w:val="22"/>
                <w:szCs w:val="22"/>
              </w:rPr>
            </w:pPr>
            <w:r w:rsidRPr="009D6FFC">
              <w:rPr>
                <w:sz w:val="22"/>
                <w:szCs w:val="22"/>
              </w:rPr>
              <w:t>Thomas Wagnsonner (AT</w:t>
            </w:r>
            <w:r w:rsidR="009D6FFC">
              <w:rPr>
                <w:sz w:val="22"/>
                <w:szCs w:val="22"/>
              </w:rPr>
              <w:t>-</w:t>
            </w:r>
            <w:r w:rsidRPr="009D6FFC">
              <w:rPr>
                <w:sz w:val="22"/>
                <w:szCs w:val="22"/>
              </w:rPr>
              <w:t>Grupo dos Trabalhadores)</w:t>
            </w:r>
          </w:p>
        </w:tc>
      </w:tr>
      <w:tr w:rsidRPr="00BE355C" w:rsidR="00BE355C" w:rsidTr="001757A2" w14:paraId="54C7ED21" w14:textId="77777777">
        <w:tc>
          <w:tcPr>
            <w:tcW w:w="1701" w:type="dxa"/>
            <w:vMerge w:val="restart"/>
          </w:tcPr>
          <w:p w:rsidRPr="009D6FFC" w:rsidR="00BE355C" w:rsidP="00B60D9A" w:rsidRDefault="00BE355C" w14:paraId="70CF4C33" w14:textId="64E065C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67" w:hanging="567"/>
              <w:textAlignment w:val="baseline"/>
              <w:rPr>
                <w:b/>
                <w:sz w:val="22"/>
                <w:szCs w:val="22"/>
              </w:rPr>
            </w:pPr>
            <w:r w:rsidRPr="009D6FFC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6237" w:type="dxa"/>
          </w:tcPr>
          <w:p w:rsidRPr="009D6FFC" w:rsidR="001A0F35" w:rsidP="00B60D9A" w:rsidRDefault="001A0F35" w14:paraId="33355221" w14:textId="136086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67" w:hanging="567"/>
              <w:textAlignment w:val="baseline"/>
              <w:rPr>
                <w:sz w:val="22"/>
                <w:szCs w:val="22"/>
              </w:rPr>
            </w:pPr>
            <w:r w:rsidRPr="009D6FFC">
              <w:rPr>
                <w:sz w:val="22"/>
                <w:szCs w:val="22"/>
              </w:rPr>
              <w:t>Parecer de iniciativa</w:t>
            </w:r>
          </w:p>
          <w:p w:rsidRPr="009D6FFC" w:rsidR="00BE355C" w:rsidP="00B60D9A" w:rsidRDefault="00BE355C" w14:paraId="5BAB46CC" w14:textId="0DAE599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67" w:hanging="567"/>
              <w:textAlignment w:val="baseline"/>
              <w:rPr>
                <w:sz w:val="22"/>
                <w:szCs w:val="22"/>
              </w:rPr>
            </w:pPr>
            <w:r w:rsidRPr="009D6FFC">
              <w:rPr>
                <w:sz w:val="22"/>
                <w:szCs w:val="22"/>
              </w:rPr>
              <w:t>EESC-2025-00142-00-00-AC</w:t>
            </w:r>
          </w:p>
        </w:tc>
      </w:tr>
      <w:tr w:rsidRPr="00BE355C" w:rsidR="00BE355C" w:rsidTr="001757A2" w14:paraId="73F38940" w14:textId="77777777">
        <w:tc>
          <w:tcPr>
            <w:tcW w:w="1701" w:type="dxa"/>
            <w:vMerge/>
          </w:tcPr>
          <w:p w:rsidRPr="00BE355C" w:rsidR="00BE355C" w:rsidP="00B60D9A" w:rsidRDefault="00BE355C" w14:paraId="14E0EFD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6237" w:type="dxa"/>
          </w:tcPr>
          <w:p w:rsidRPr="00BE355C" w:rsidR="00BE355C" w:rsidP="00B60D9A" w:rsidRDefault="00BE355C" w14:paraId="145DF7A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</w:tbl>
    <w:p w:rsidR="001C720D" w:rsidP="001C720D" w:rsidRDefault="001C720D" w14:paraId="5345CB0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  <w:lang w:val="en-GB"/>
        </w:rPr>
      </w:pPr>
    </w:p>
    <w:p w:rsidRPr="00BE355C" w:rsidR="00BE355C" w:rsidP="00B60D9A" w:rsidRDefault="00BE355C" w14:paraId="60E5618C" w14:textId="248667B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BE355C" w:rsidR="00942860" w:rsidP="00B60D9A" w:rsidRDefault="00BE355C" w14:paraId="0E2FB7E6" w14:textId="74AF2860">
      <w:pPr>
        <w:spacing w:before="100" w:beforeAutospacing="1" w:after="100" w:afterAutospacing="1" w:line="276" w:lineRule="auto"/>
        <w:jc w:val="left"/>
      </w:pPr>
      <w:r>
        <w:t>O Comité Económico e Social Europeu (CESE):</w:t>
      </w:r>
    </w:p>
    <w:p w:rsidR="00942860" w:rsidP="00942860" w:rsidRDefault="00BE355C" w14:paraId="1AD6268F" w14:textId="7EACF21E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 xml:space="preserve">sublinha que a </w:t>
      </w:r>
      <w:r>
        <w:rPr>
          <w:b/>
        </w:rPr>
        <w:t>promoção da migração laboral legal e organizada para a União Europeia (UE)</w:t>
      </w:r>
      <w:r>
        <w:t xml:space="preserve"> e as </w:t>
      </w:r>
      <w:r>
        <w:rPr>
          <w:b/>
        </w:rPr>
        <w:t>políticas e instrumentos conexos da UE</w:t>
      </w:r>
      <w:r>
        <w:t xml:space="preserve"> devem basear-se nos </w:t>
      </w:r>
      <w:r>
        <w:rPr>
          <w:b/>
        </w:rPr>
        <w:t>direitos humanos, no Estado de direito</w:t>
      </w:r>
      <w:r>
        <w:t xml:space="preserve">, na </w:t>
      </w:r>
      <w:r>
        <w:rPr>
          <w:b/>
        </w:rPr>
        <w:t>integração</w:t>
      </w:r>
      <w:r>
        <w:t xml:space="preserve"> dos nacionais de países terceiros no mercado de trabalho, velando pelo respeito pelos </w:t>
      </w:r>
      <w:r>
        <w:rPr>
          <w:b/>
        </w:rPr>
        <w:t>valores comuns da UE</w:t>
      </w:r>
      <w:r>
        <w:t xml:space="preserve"> e em </w:t>
      </w:r>
      <w:r>
        <w:rPr>
          <w:b/>
        </w:rPr>
        <w:t>observância</w:t>
      </w:r>
      <w:r>
        <w:t xml:space="preserve"> dos </w:t>
      </w:r>
      <w:r>
        <w:rPr>
          <w:b/>
        </w:rPr>
        <w:t>instrumentos jurídicos internacionais vinculativos</w:t>
      </w:r>
      <w:r>
        <w:t xml:space="preserve"> aplicáveis à migração e aos direitos humanos e laborais;</w:t>
      </w:r>
    </w:p>
    <w:p w:rsidRPr="00942860" w:rsidR="00BE355C" w:rsidP="00B60D9A" w:rsidRDefault="00BE355C" w14:paraId="5D0A618B" w14:textId="7640464E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 xml:space="preserve">solicita a adoção de uma </w:t>
      </w:r>
      <w:r>
        <w:rPr>
          <w:b/>
        </w:rPr>
        <w:t>abordagem equilibrada</w:t>
      </w:r>
      <w:r>
        <w:t xml:space="preserve"> entre </w:t>
      </w:r>
      <w:r>
        <w:rPr>
          <w:b/>
        </w:rPr>
        <w:t>a UE e os países de origem</w:t>
      </w:r>
      <w:r>
        <w:t xml:space="preserve"> em todos os quadros em matéria de migração, tanto vigentes como futuros. Salienta a importância de </w:t>
      </w:r>
      <w:r>
        <w:rPr>
          <w:b/>
        </w:rPr>
        <w:t>atenuar o risco de fuga de cérebros</w:t>
      </w:r>
      <w:r>
        <w:t xml:space="preserve"> mediante o </w:t>
      </w:r>
      <w:r>
        <w:rPr>
          <w:b/>
        </w:rPr>
        <w:t>crescimento económico</w:t>
      </w:r>
      <w:r>
        <w:t xml:space="preserve"> e a criação de </w:t>
      </w:r>
      <w:r>
        <w:rPr>
          <w:b/>
        </w:rPr>
        <w:t>empregos dignos</w:t>
      </w:r>
      <w:r>
        <w:t xml:space="preserve"> nos países de origem, com o apoio da política de coesão da UE. Os </w:t>
      </w:r>
      <w:r>
        <w:rPr>
          <w:b/>
        </w:rPr>
        <w:t>parceiros sociais</w:t>
      </w:r>
      <w:r>
        <w:t xml:space="preserve"> de ambos os lados devem </w:t>
      </w:r>
      <w:r>
        <w:rPr>
          <w:b/>
        </w:rPr>
        <w:t>participar de forma institucionalizada</w:t>
      </w:r>
      <w:r>
        <w:t xml:space="preserve">, em função das condições e práticas nacionais, a fim de </w:t>
      </w:r>
      <w:r>
        <w:rPr>
          <w:b/>
        </w:rPr>
        <w:t>definir as oportunidades, os riscos e os desafios</w:t>
      </w:r>
      <w:r>
        <w:t xml:space="preserve"> para os mercados de trabalho nacionais, e integrar um </w:t>
      </w:r>
      <w:r>
        <w:rPr>
          <w:b/>
        </w:rPr>
        <w:t>quadro de acompanhamento sólido</w:t>
      </w:r>
      <w:r>
        <w:t xml:space="preserve"> aplicável a todos os acordos bilaterais no domínio da migração laboral;</w:t>
      </w:r>
    </w:p>
    <w:p w:rsidRPr="00BE355C" w:rsidR="00BE355C" w:rsidP="00B60D9A" w:rsidRDefault="00BE355C" w14:paraId="724CFAB1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 xml:space="preserve">assinala que a organização de </w:t>
      </w:r>
      <w:r>
        <w:rPr>
          <w:b/>
        </w:rPr>
        <w:t>ações de formação antes e depois da partida pode ser uma forma eficaz de atenuar o risco de fuga de cérebros</w:t>
      </w:r>
      <w:r>
        <w:t>. Essas ações devem ser acompanhadas de programas de integração social e profissional e programas de desenvolvimento de competências nos países de origem, abrangendo uma determinada percentagem de trabalhadores que permanecem nos respetivos países de origem, a fim de promover o desenvolvimento social e económico;</w:t>
      </w:r>
    </w:p>
    <w:p w:rsidRPr="00BE355C" w:rsidR="00BE355C" w:rsidP="00B60D9A" w:rsidRDefault="00BE355C" w14:paraId="0E3A5968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 xml:space="preserve">observa que é fundamental </w:t>
      </w:r>
      <w:r>
        <w:rPr>
          <w:b/>
        </w:rPr>
        <w:t>promover a igualdade de direitos</w:t>
      </w:r>
      <w:r>
        <w:t xml:space="preserve"> para os </w:t>
      </w:r>
      <w:r>
        <w:rPr>
          <w:b/>
        </w:rPr>
        <w:t>trabalhadores migrantes de países terceiros em todos os níveis de competências</w:t>
      </w:r>
      <w:r>
        <w:t xml:space="preserve">. As medidas adotadas devem </w:t>
      </w:r>
      <w:r>
        <w:rPr>
          <w:b/>
        </w:rPr>
        <w:t>reforçar a proteção</w:t>
      </w:r>
      <w:r>
        <w:t xml:space="preserve"> destes trabalhadores </w:t>
      </w:r>
      <w:r>
        <w:rPr>
          <w:b/>
        </w:rPr>
        <w:t>ao longo do ciclo de migração</w:t>
      </w:r>
      <w:r>
        <w:t>, prevendo a prestação de informações acessíveis antes da partida e após a chegada, orientação e formação, bem como o acesso legal à apresentação de queixas e a vias de recurso;</w:t>
      </w:r>
    </w:p>
    <w:p w:rsidRPr="00BE355C" w:rsidR="00BE355C" w:rsidP="00B60D9A" w:rsidRDefault="00BE355C" w14:paraId="6F849D0E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 xml:space="preserve">faz notar que as </w:t>
      </w:r>
      <w:r>
        <w:rPr>
          <w:b/>
        </w:rPr>
        <w:t>parcerias internacionais em matéria de competências e mobilidade</w:t>
      </w:r>
      <w:r>
        <w:t xml:space="preserve"> podem </w:t>
      </w:r>
      <w:r>
        <w:rPr>
          <w:b/>
        </w:rPr>
        <w:t>reforçar os mercados de trabalho nacionais</w:t>
      </w:r>
      <w:r>
        <w:t>, conciliar a oferta e a procura de mão de obra, transferir competências a todos os níveis e maximizar o «afluxo de cérebros», fazendo simultaneamente face à «fuga de cérebros» e aumentando a competitividade e o crescimento dos países de origem e de destino;</w:t>
      </w:r>
    </w:p>
    <w:p w:rsidR="00055407" w:rsidP="001063C4" w:rsidRDefault="00BE355C" w14:paraId="19560E5B" w14:textId="0FB92F2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00" w:beforeAutospacing="1" w:after="160" w:afterAutospacing="1" w:line="259" w:lineRule="auto"/>
        <w:ind w:left="284" w:hanging="284"/>
        <w:jc w:val="left"/>
        <w:textAlignment w:val="baseline"/>
      </w:pPr>
      <w:r>
        <w:t xml:space="preserve">salienta que </w:t>
      </w:r>
      <w:r w:rsidRPr="001063C4">
        <w:rPr>
          <w:b/>
        </w:rPr>
        <w:t>não há</w:t>
      </w:r>
      <w:r>
        <w:t xml:space="preserve"> atualmente </w:t>
      </w:r>
      <w:r w:rsidRPr="001063C4">
        <w:rPr>
          <w:b/>
        </w:rPr>
        <w:t>transparência</w:t>
      </w:r>
      <w:r>
        <w:t xml:space="preserve"> nem um </w:t>
      </w:r>
      <w:r w:rsidRPr="001063C4">
        <w:rPr>
          <w:b/>
        </w:rPr>
        <w:t>quadro comum</w:t>
      </w:r>
      <w:r>
        <w:t xml:space="preserve"> no âmbito das </w:t>
      </w:r>
      <w:r w:rsidRPr="001063C4">
        <w:rPr>
          <w:b/>
        </w:rPr>
        <w:t>negociações relativas às parcerias para atração de talentos</w:t>
      </w:r>
      <w:r>
        <w:t xml:space="preserve"> e insta a </w:t>
      </w:r>
      <w:r w:rsidRPr="001063C4">
        <w:rPr>
          <w:b/>
        </w:rPr>
        <w:t>Comissão a apresentar um plano de ação</w:t>
      </w:r>
      <w:r>
        <w:t xml:space="preserve"> que defina as </w:t>
      </w:r>
      <w:r w:rsidRPr="001063C4">
        <w:rPr>
          <w:b/>
        </w:rPr>
        <w:t>próximas etapas</w:t>
      </w:r>
      <w:r>
        <w:t xml:space="preserve"> no que se refere a essas parcerias e inclua os </w:t>
      </w:r>
      <w:r>
        <w:lastRenderedPageBreak/>
        <w:t>ensinamentos retirados de projetos em curso e concluídos, bem como políticas para reforçar a coerência e facilitar uma mobilidade harmoniosa;</w:t>
      </w:r>
    </w:p>
    <w:p w:rsidRPr="00BE355C" w:rsidR="00BE355C" w:rsidP="00B60D9A" w:rsidRDefault="00BE355C" w14:paraId="46A2EA98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 xml:space="preserve">destaca que a </w:t>
      </w:r>
      <w:r>
        <w:rPr>
          <w:b/>
        </w:rPr>
        <w:t>UE precisa de mobilizar toda a mão de obra disponível</w:t>
      </w:r>
      <w:r>
        <w:t xml:space="preserve"> e acessoriamente </w:t>
      </w:r>
      <w:r>
        <w:rPr>
          <w:b/>
        </w:rPr>
        <w:t>melhorar a política de migração</w:t>
      </w:r>
      <w:r>
        <w:t xml:space="preserve"> para atrair e manter trabalhadores qualificados. Há que </w:t>
      </w:r>
      <w:r>
        <w:rPr>
          <w:b/>
        </w:rPr>
        <w:t>privilegiar a ativação da mão de obra interna da UE</w:t>
      </w:r>
      <w:r>
        <w:t xml:space="preserve"> para fazer face às necessidades e carências a longo prazo do mercado de trabalho, </w:t>
      </w:r>
      <w:r>
        <w:rPr>
          <w:b/>
        </w:rPr>
        <w:t>respeitando ao mesmo tempo, em casos específicos</w:t>
      </w:r>
      <w:r>
        <w:t xml:space="preserve">, o </w:t>
      </w:r>
      <w:r>
        <w:rPr>
          <w:b/>
        </w:rPr>
        <w:t>interesse das empresas</w:t>
      </w:r>
      <w:r>
        <w:t xml:space="preserve"> em </w:t>
      </w:r>
      <w:r>
        <w:rPr>
          <w:b/>
        </w:rPr>
        <w:t>recrutar com urgência trabalhadores migrantes</w:t>
      </w:r>
      <w:r>
        <w:t xml:space="preserve">. </w:t>
      </w:r>
    </w:p>
    <w:tbl>
      <w:tblPr>
        <w:tblStyle w:val="TableGrid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3610"/>
      </w:tblGrid>
      <w:tr w:rsidRPr="00BE355C" w:rsidR="00BE355C" w:rsidTr="00DD3FB1" w14:paraId="526B6215" w14:textId="77777777">
        <w:tc>
          <w:tcPr>
            <w:tcW w:w="2093" w:type="dxa"/>
          </w:tcPr>
          <w:p w:rsidRPr="00DD3FB1" w:rsidR="00BE355C" w:rsidP="00BE355C" w:rsidRDefault="00BE355C" w14:paraId="730E9F6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D3FB1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610" w:type="dxa"/>
          </w:tcPr>
          <w:p w:rsidRPr="00DD3FB1" w:rsidR="00BE355C" w:rsidP="00BE355C" w:rsidRDefault="00BE355C" w14:paraId="13056E76" w14:textId="77777777">
            <w:pPr>
              <w:overflowPunct w:val="0"/>
              <w:autoSpaceDE w:val="0"/>
              <w:autoSpaceDN w:val="0"/>
              <w:adjustRightInd w:val="0"/>
              <w:ind w:hanging="12"/>
              <w:textAlignment w:val="baseline"/>
              <w:rPr>
                <w:i/>
                <w:sz w:val="22"/>
                <w:szCs w:val="22"/>
              </w:rPr>
            </w:pPr>
            <w:r w:rsidRPr="00DD3FB1">
              <w:rPr>
                <w:i/>
                <w:sz w:val="22"/>
                <w:szCs w:val="22"/>
              </w:rPr>
              <w:t>Triin Aasmaa Gomes</w:t>
            </w:r>
          </w:p>
        </w:tc>
      </w:tr>
      <w:tr w:rsidRPr="00BE355C" w:rsidR="00BE355C" w:rsidTr="00DD3FB1" w14:paraId="6C936FC0" w14:textId="77777777">
        <w:tc>
          <w:tcPr>
            <w:tcW w:w="2093" w:type="dxa"/>
          </w:tcPr>
          <w:p w:rsidRPr="00DD3FB1" w:rsidR="00BE355C" w:rsidP="00BE355C" w:rsidRDefault="00BE355C" w14:paraId="7C9EA8D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D3FB1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610" w:type="dxa"/>
          </w:tcPr>
          <w:p w:rsidRPr="00DD3FB1" w:rsidR="00BE355C" w:rsidP="00BE355C" w:rsidRDefault="00BE355C" w14:paraId="6DBFA7C0" w14:textId="6D510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D3FB1">
              <w:rPr>
                <w:i/>
                <w:sz w:val="22"/>
                <w:szCs w:val="22"/>
              </w:rPr>
              <w:t>+32 2 546</w:t>
            </w:r>
            <w:r w:rsidRPr="00DD3FB1" w:rsidR="001063C4">
              <w:rPr>
                <w:i/>
                <w:sz w:val="22"/>
                <w:szCs w:val="22"/>
              </w:rPr>
              <w:t xml:space="preserve"> </w:t>
            </w:r>
            <w:r w:rsidRPr="00DD3FB1">
              <w:rPr>
                <w:i/>
                <w:sz w:val="22"/>
                <w:szCs w:val="22"/>
              </w:rPr>
              <w:t>95</w:t>
            </w:r>
            <w:r w:rsidRPr="00DD3FB1" w:rsidR="001063C4">
              <w:rPr>
                <w:i/>
                <w:sz w:val="22"/>
                <w:szCs w:val="22"/>
              </w:rPr>
              <w:t xml:space="preserve"> </w:t>
            </w:r>
            <w:r w:rsidRPr="00DD3FB1">
              <w:rPr>
                <w:i/>
                <w:sz w:val="22"/>
                <w:szCs w:val="22"/>
              </w:rPr>
              <w:t>24</w:t>
            </w:r>
          </w:p>
        </w:tc>
      </w:tr>
      <w:tr w:rsidRPr="00BE355C" w:rsidR="00BE355C" w:rsidTr="00DD3FB1" w14:paraId="67ED56F5" w14:textId="77777777">
        <w:tc>
          <w:tcPr>
            <w:tcW w:w="2093" w:type="dxa"/>
          </w:tcPr>
          <w:p w:rsidRPr="00DD3FB1" w:rsidR="00BE355C" w:rsidP="00BE355C" w:rsidRDefault="00BE355C" w14:paraId="6F33147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D3FB1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610" w:type="dxa"/>
          </w:tcPr>
          <w:p w:rsidRPr="00DD3FB1" w:rsidR="00BE355C" w:rsidP="00BE355C" w:rsidRDefault="001C5DC4" w14:paraId="15A4A22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1">
              <w:r w:rsidRPr="00DD3FB1" w:rsidR="00381CCE">
                <w:rPr>
                  <w:i/>
                  <w:color w:val="0000FF"/>
                  <w:sz w:val="22"/>
                  <w:szCs w:val="22"/>
                  <w:u w:val="single"/>
                </w:rPr>
                <w:t>Triin.AasmaaGomes@eesc.europa.eu</w:t>
              </w:r>
            </w:hyperlink>
          </w:p>
        </w:tc>
      </w:tr>
    </w:tbl>
    <w:p w:rsidR="001C720D" w:rsidRDefault="001C720D" w14:paraId="4556B587" w14:textId="1FF01C3D">
      <w:pPr>
        <w:spacing w:after="160" w:line="259" w:lineRule="auto"/>
        <w:jc w:val="left"/>
        <w:rPr>
          <w:lang w:val="en-GB"/>
        </w:rPr>
      </w:pPr>
    </w:p>
    <w:p w:rsidR="001C720D" w:rsidRDefault="001C720D" w14:paraId="59780EB9" w14:textId="77777777">
      <w:pPr>
        <w:spacing w:after="160" w:line="259" w:lineRule="auto"/>
        <w:jc w:val="left"/>
      </w:pPr>
      <w:r>
        <w:br w:type="page"/>
      </w:r>
    </w:p>
    <w:p w:rsidRPr="004721D7" w:rsidR="00AC3821" w:rsidP="00B60D9A" w:rsidRDefault="001C5DC4" w14:paraId="58CDD314" w14:textId="3D002FD0">
      <w:pPr>
        <w:pStyle w:val="ListParagraph"/>
        <w:numPr>
          <w:ilvl w:val="0"/>
          <w:numId w:val="35"/>
        </w:numPr>
        <w:spacing w:after="160" w:line="259" w:lineRule="auto"/>
        <w:ind w:hanging="720"/>
        <w:jc w:val="left"/>
        <w:rPr>
          <w:b/>
          <w:bCs/>
          <w:i/>
          <w:iCs/>
          <w:color w:val="0000FF"/>
          <w:sz w:val="28"/>
          <w:szCs w:val="28"/>
          <w:u w:val="single"/>
        </w:rPr>
      </w:pPr>
      <w:hyperlink w:history="1" r:id="rId32">
        <w:r w:rsidR="00AC3821">
          <w:rPr>
            <w:b/>
            <w:i/>
            <w:color w:val="0000FF"/>
            <w:sz w:val="28"/>
            <w:u w:val="single"/>
          </w:rPr>
          <w:t>Novo plano de ação para a aplicação do Pilar Europeu dos Direitos Sociais</w:t>
        </w:r>
      </w:hyperlink>
    </w:p>
    <w:tbl>
      <w:tblPr>
        <w:tblStyle w:val="TableGrid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71"/>
        <w:gridCol w:w="7318"/>
      </w:tblGrid>
      <w:tr w:rsidRPr="00AC3821" w:rsidR="00AC3821" w:rsidTr="001757A2" w14:paraId="44094615" w14:textId="77777777">
        <w:tc>
          <w:tcPr>
            <w:tcW w:w="1061" w:type="pct"/>
          </w:tcPr>
          <w:p w:rsidRPr="008003BB" w:rsidR="00AC3821" w:rsidP="00AC3821" w:rsidRDefault="00AC3821" w14:paraId="64A6E646" w14:textId="7777777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  <w:sz w:val="22"/>
                <w:szCs w:val="22"/>
              </w:rPr>
            </w:pPr>
            <w:r w:rsidRPr="008003BB">
              <w:rPr>
                <w:b/>
                <w:sz w:val="22"/>
                <w:szCs w:val="22"/>
              </w:rPr>
              <w:t>Relatora</w:t>
            </w:r>
          </w:p>
        </w:tc>
        <w:tc>
          <w:tcPr>
            <w:tcW w:w="3939" w:type="pct"/>
          </w:tcPr>
          <w:p w:rsidRPr="008003BB" w:rsidR="00AC3821" w:rsidP="00AC3821" w:rsidRDefault="00AC3821" w14:paraId="5D48DE03" w14:textId="702B3ECE">
            <w:pPr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  <w:rPr>
                <w:sz w:val="22"/>
                <w:szCs w:val="22"/>
              </w:rPr>
            </w:pPr>
            <w:r w:rsidRPr="008003BB">
              <w:rPr>
                <w:sz w:val="22"/>
                <w:szCs w:val="22"/>
              </w:rPr>
              <w:t>Sophia Reisecker (AT</w:t>
            </w:r>
            <w:r w:rsidR="008003BB">
              <w:rPr>
                <w:sz w:val="22"/>
                <w:szCs w:val="22"/>
              </w:rPr>
              <w:t>-</w:t>
            </w:r>
            <w:r w:rsidRPr="008003BB">
              <w:rPr>
                <w:sz w:val="22"/>
                <w:szCs w:val="22"/>
              </w:rPr>
              <w:t>Grupo dos Trabalhadores)</w:t>
            </w:r>
          </w:p>
          <w:p w:rsidRPr="008003BB" w:rsidR="001C720D" w:rsidP="00AC3821" w:rsidRDefault="001C720D" w14:paraId="71DCF0A8" w14:textId="77777777">
            <w:pPr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  <w:tr w:rsidRPr="00AC3821" w:rsidR="00AC3821" w:rsidTr="001757A2" w14:paraId="0516F2E7" w14:textId="77777777">
        <w:tc>
          <w:tcPr>
            <w:tcW w:w="1061" w:type="pct"/>
            <w:vMerge w:val="restart"/>
          </w:tcPr>
          <w:p w:rsidRPr="008003BB" w:rsidR="00AC3821" w:rsidP="00AC3821" w:rsidRDefault="00AC3821" w14:paraId="1779F340" w14:textId="38DF8AE9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  <w:sz w:val="22"/>
                <w:szCs w:val="22"/>
              </w:rPr>
            </w:pPr>
            <w:r w:rsidRPr="008003BB">
              <w:rPr>
                <w:b/>
                <w:sz w:val="22"/>
                <w:szCs w:val="22"/>
              </w:rPr>
              <w:t>Referência</w:t>
            </w:r>
          </w:p>
          <w:p w:rsidRPr="008003BB" w:rsidR="001C720D" w:rsidP="00AC3821" w:rsidRDefault="001C720D" w14:paraId="32D26095" w14:textId="7777777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939" w:type="pct"/>
          </w:tcPr>
          <w:p w:rsidRPr="008003BB" w:rsidR="001C720D" w:rsidP="00AC3821" w:rsidRDefault="001C720D" w14:paraId="60D25AC1" w14:textId="1BFFE555">
            <w:pPr>
              <w:tabs>
                <w:tab w:val="left" w:pos="4430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  <w:rPr>
                <w:sz w:val="22"/>
                <w:szCs w:val="22"/>
              </w:rPr>
            </w:pPr>
            <w:r w:rsidRPr="008003BB">
              <w:rPr>
                <w:sz w:val="22"/>
                <w:szCs w:val="22"/>
              </w:rPr>
              <w:t>Parecer de iniciativa</w:t>
            </w:r>
          </w:p>
          <w:p w:rsidRPr="008003BB" w:rsidR="00AC3821" w:rsidP="00AC3821" w:rsidRDefault="00AC3821" w14:paraId="4BCFFC82" w14:textId="3D898C26">
            <w:pPr>
              <w:tabs>
                <w:tab w:val="left" w:pos="4430"/>
              </w:tabs>
              <w:overflowPunct w:val="0"/>
              <w:autoSpaceDE w:val="0"/>
              <w:autoSpaceDN w:val="0"/>
              <w:adjustRightInd w:val="0"/>
              <w:ind w:left="-113" w:right="-823"/>
              <w:textAlignment w:val="baseline"/>
              <w:rPr>
                <w:sz w:val="22"/>
                <w:szCs w:val="22"/>
              </w:rPr>
            </w:pPr>
            <w:r w:rsidRPr="008003BB">
              <w:rPr>
                <w:sz w:val="22"/>
                <w:szCs w:val="22"/>
              </w:rPr>
              <w:t>EESC-2025-00103-00-00-AC</w:t>
            </w:r>
          </w:p>
        </w:tc>
      </w:tr>
      <w:tr w:rsidRPr="00AC3821" w:rsidR="00AC3821" w:rsidTr="001757A2" w14:paraId="2D6A7931" w14:textId="77777777">
        <w:tc>
          <w:tcPr>
            <w:tcW w:w="1061" w:type="pct"/>
            <w:vMerge/>
          </w:tcPr>
          <w:p w:rsidRPr="00AC3821" w:rsidR="00AC3821" w:rsidP="00AC3821" w:rsidRDefault="00AC3821" w14:paraId="5C713C1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39" w:type="pct"/>
          </w:tcPr>
          <w:p w:rsidRPr="00AC3821" w:rsidR="00AC3821" w:rsidP="00AC3821" w:rsidRDefault="00AC3821" w14:paraId="7F1A4232" w14:textId="77777777">
            <w:pPr>
              <w:tabs>
                <w:tab w:val="center" w:pos="284"/>
                <w:tab w:val="left" w:pos="4430"/>
              </w:tabs>
              <w:overflowPunct w:val="0"/>
              <w:autoSpaceDE w:val="0"/>
              <w:autoSpaceDN w:val="0"/>
              <w:adjustRightInd w:val="0"/>
              <w:ind w:left="266" w:right="-823" w:hanging="266"/>
              <w:textAlignment w:val="baseline"/>
            </w:pPr>
          </w:p>
        </w:tc>
      </w:tr>
    </w:tbl>
    <w:p w:rsidRPr="00AC3821" w:rsidR="00AC3821" w:rsidP="00AC3821" w:rsidRDefault="00AC3821" w14:paraId="68B81E8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AC3821" w:rsidR="00AC3821" w:rsidP="00AC3821" w:rsidRDefault="00AC3821" w14:paraId="7A78C13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AC3821" w:rsidP="00AC3821" w:rsidRDefault="00AC3821" w14:paraId="05994B7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</w:rPr>
      </w:pPr>
      <w:r>
        <w:t>O Comité Económico e Social Europeu (CESE):</w:t>
      </w:r>
    </w:p>
    <w:p w:rsidRPr="00AC3821" w:rsidR="00C2185C" w:rsidP="00AC3821" w:rsidRDefault="00C2185C" w14:paraId="5FF7042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  <w:lang w:val="en-GB"/>
        </w:rPr>
      </w:pPr>
    </w:p>
    <w:p w:rsidRPr="00C2185C" w:rsidR="00AC3821" w:rsidP="00B60D9A" w:rsidRDefault="00AC3821" w14:paraId="64F046FA" w14:textId="77777777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896" w:id="4"/>
      <w:bookmarkStart w:name="_Toc202353229" w:id="5"/>
      <w:r>
        <w:t>apela a uma avaliação exaustiva do Plano de Ação sobre o Pilar Europeu dos Direitos Sociais de 2021, que sirva de base a um novo plano de ação sólido e prospetivo sobre o Pilar Europeu dos Direitos Sociais, com uma melhor integração do painel de indicadores sociais e do Quadro de Convergência Social no Semestre Europeu;</w:t>
      </w:r>
      <w:bookmarkEnd w:id="4"/>
      <w:bookmarkEnd w:id="5"/>
    </w:p>
    <w:p w:rsidRPr="00C2185C" w:rsidR="00AC3821" w:rsidP="00B60D9A" w:rsidRDefault="00AC3821" w14:paraId="70DFDA9B" w14:textId="77777777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897" w:id="6"/>
      <w:bookmarkStart w:name="_Toc202353230" w:id="7"/>
      <w:r>
        <w:t>apoia uma meta da UE para o emprego de qualidade, normas mínimas de combate à pobreza e à insegurança no trabalho, melhores condições de trabalho no setor da prestação de cuidados e uma maior proteção dos jovens, incluindo estágios justos e apoio ao emprego;</w:t>
      </w:r>
      <w:bookmarkEnd w:id="6"/>
      <w:bookmarkEnd w:id="7"/>
    </w:p>
    <w:p w:rsidRPr="00C2185C" w:rsidR="00AC3821" w:rsidP="00B60D9A" w:rsidRDefault="00AC3821" w14:paraId="56D25AD4" w14:textId="77777777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898" w:id="8"/>
      <w:bookmarkStart w:name="_Toc202353231" w:id="9"/>
      <w:r>
        <w:t>solicita o estabelecimento de normas ambiciosas a nível da UE em matéria de seguro de desemprego, uma diretiva relativa aos riscos psicossociais e ao direito a desligar e de uma «regra de ouro» para o investimento social na política orçamental, com financiamento específico da UE e nacional;</w:t>
      </w:r>
      <w:bookmarkEnd w:id="8"/>
      <w:bookmarkEnd w:id="9"/>
    </w:p>
    <w:p w:rsidRPr="00C2185C" w:rsidR="00AC3821" w:rsidP="00B60D9A" w:rsidRDefault="00AC3821" w14:paraId="5EF34DDB" w14:textId="77777777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899" w:id="10"/>
      <w:bookmarkStart w:name="_Toc202353232" w:id="11"/>
      <w:r>
        <w:t>defende o reconhecimento da aprendizagem ao longo da vida como um direito, promovendo o investimento público e privado na formação, integrando e dando prioridade aos objetivos sociais e à igualdade de género em todo o Pilar Europeu dos Direitos Sociais, introduzindo avaliações da perspetiva dos jovens e aplicando plenamente o Plano de Ação para a Economia Social e um quadro para uma transição justa;</w:t>
      </w:r>
      <w:bookmarkEnd w:id="10"/>
      <w:bookmarkEnd w:id="11"/>
    </w:p>
    <w:p w:rsidRPr="00C2185C" w:rsidR="00AC3821" w:rsidP="00B60D9A" w:rsidRDefault="00AC3821" w14:paraId="36FEB868" w14:textId="77777777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00" w:id="12"/>
      <w:bookmarkStart w:name="_Toc202353233" w:id="13"/>
      <w:r>
        <w:t>apela a um diálogo social mais forte, à participação ativa da sociedade civil, a critérios sociais obrigatórios nos contratos públicos e ao desenvolvimento de indicadores «Para além do PIB», a fim de refletir melhor o bem-estar dos cidadãos e o crescimento inclusivo.</w:t>
      </w:r>
      <w:bookmarkEnd w:id="12"/>
      <w:bookmarkEnd w:id="13"/>
    </w:p>
    <w:p w:rsidRPr="00AC3821" w:rsidR="00AC3821" w:rsidP="00AC3821" w:rsidRDefault="00AC3821" w14:paraId="64F52C32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6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AC3821" w:rsidR="00AC3821" w:rsidTr="001757A2" w14:paraId="33DE2F7F" w14:textId="77777777">
        <w:tc>
          <w:tcPr>
            <w:tcW w:w="1556" w:type="pct"/>
          </w:tcPr>
          <w:p w:rsidRPr="00A811F3" w:rsidR="00AC3821" w:rsidP="00AC3821" w:rsidRDefault="00AC3821" w14:paraId="2CAD5FC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811F3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444" w:type="pct"/>
          </w:tcPr>
          <w:p w:rsidRPr="00A811F3" w:rsidR="00AC3821" w:rsidP="00AC3821" w:rsidRDefault="00AC3821" w14:paraId="123FC7BC" w14:textId="3D9C9FC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811F3">
              <w:rPr>
                <w:i/>
                <w:sz w:val="22"/>
                <w:szCs w:val="22"/>
              </w:rPr>
              <w:t>Bartek Bednarowicz</w:t>
            </w:r>
          </w:p>
        </w:tc>
      </w:tr>
      <w:tr w:rsidRPr="00AC3821" w:rsidR="00AC3821" w:rsidTr="001757A2" w14:paraId="43E87E3E" w14:textId="77777777">
        <w:tc>
          <w:tcPr>
            <w:tcW w:w="1556" w:type="pct"/>
          </w:tcPr>
          <w:p w:rsidRPr="00A811F3" w:rsidR="00AC3821" w:rsidP="00AC3821" w:rsidRDefault="00AC3821" w14:paraId="6DD0D77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811F3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A811F3" w:rsidR="00AC3821" w:rsidP="00AC3821" w:rsidRDefault="00AC3821" w14:paraId="7FE65F71" w14:textId="0F5537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811F3">
              <w:rPr>
                <w:i/>
                <w:sz w:val="22"/>
                <w:szCs w:val="22"/>
              </w:rPr>
              <w:t>+32 2 546</w:t>
            </w:r>
            <w:r w:rsidR="00A811F3">
              <w:rPr>
                <w:i/>
                <w:sz w:val="22"/>
                <w:szCs w:val="22"/>
              </w:rPr>
              <w:t xml:space="preserve"> </w:t>
            </w:r>
            <w:r w:rsidRPr="00A811F3">
              <w:rPr>
                <w:i/>
                <w:sz w:val="22"/>
                <w:szCs w:val="22"/>
              </w:rPr>
              <w:t>92</w:t>
            </w:r>
            <w:r w:rsidR="00A811F3">
              <w:rPr>
                <w:i/>
                <w:sz w:val="22"/>
                <w:szCs w:val="22"/>
              </w:rPr>
              <w:t xml:space="preserve"> </w:t>
            </w:r>
            <w:r w:rsidRPr="00A811F3">
              <w:rPr>
                <w:i/>
                <w:sz w:val="22"/>
                <w:szCs w:val="22"/>
              </w:rPr>
              <w:t>29</w:t>
            </w:r>
          </w:p>
        </w:tc>
      </w:tr>
      <w:tr w:rsidRPr="00AC3821" w:rsidR="00AC3821" w:rsidTr="001757A2" w14:paraId="3F84A802" w14:textId="77777777">
        <w:tc>
          <w:tcPr>
            <w:tcW w:w="1556" w:type="pct"/>
          </w:tcPr>
          <w:p w:rsidRPr="00A811F3" w:rsidR="00AC3821" w:rsidP="00AC3821" w:rsidRDefault="00AC3821" w14:paraId="493FE4A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A811F3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444" w:type="pct"/>
          </w:tcPr>
          <w:p w:rsidRPr="00A811F3" w:rsidR="00AC3821" w:rsidP="00AC3821" w:rsidRDefault="001C5DC4" w14:paraId="33344D4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color w:val="0000FF"/>
                <w:sz w:val="22"/>
                <w:szCs w:val="22"/>
                <w:u w:val="single"/>
              </w:rPr>
            </w:pPr>
            <w:hyperlink w:history="1" r:id="rId33">
              <w:r w:rsidRPr="00A811F3" w:rsidR="00381CCE">
                <w:rPr>
                  <w:i/>
                  <w:color w:val="0000FF"/>
                  <w:sz w:val="22"/>
                  <w:szCs w:val="22"/>
                  <w:u w:val="single"/>
                </w:rPr>
                <w:t>Bartek.Bednarowicz@eesc.europa.eu</w:t>
              </w:r>
            </w:hyperlink>
          </w:p>
          <w:p w:rsidRPr="00A811F3" w:rsidR="00AC3821" w:rsidP="00AC3821" w:rsidRDefault="00AC3821" w14:paraId="7885C93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FF"/>
                <w:sz w:val="22"/>
                <w:szCs w:val="22"/>
                <w:u w:val="single"/>
                <w:lang w:val="en-GB"/>
              </w:rPr>
            </w:pPr>
          </w:p>
        </w:tc>
      </w:tr>
    </w:tbl>
    <w:p w:rsidR="00AC3821" w:rsidP="004D7AC0" w:rsidRDefault="00AC3821" w14:paraId="21974840" w14:textId="77777777">
      <w:pPr>
        <w:spacing w:after="160" w:line="259" w:lineRule="auto"/>
        <w:jc w:val="left"/>
      </w:pPr>
    </w:p>
    <w:p w:rsidR="00AC3821" w:rsidRDefault="00AC3821" w14:paraId="0C045A87" w14:textId="77777777">
      <w:pPr>
        <w:spacing w:after="160" w:line="259" w:lineRule="auto"/>
        <w:jc w:val="left"/>
      </w:pPr>
      <w:r>
        <w:br w:type="page"/>
      </w:r>
    </w:p>
    <w:p w:rsidRPr="00783D73" w:rsidR="00783D73" w:rsidP="00783D73" w:rsidRDefault="001C5DC4" w14:paraId="0928B101" w14:textId="3FE36B9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history="1" r:id="rId34">
        <w:r w:rsidR="00783D73">
          <w:rPr>
            <w:b/>
            <w:i/>
            <w:color w:val="0000FF"/>
            <w:sz w:val="28"/>
            <w:u w:val="single"/>
          </w:rPr>
          <w:t>O futuro da Estratégia da UE sobre os Direitos das Pessoas com Deficiência após 2025</w:t>
        </w:r>
      </w:hyperlink>
      <w:r w:rsidR="00783D73">
        <w:rPr>
          <w:b/>
          <w:i/>
          <w:sz w:val="28"/>
        </w:rPr>
        <w:t xml:space="preserve"> </w:t>
      </w:r>
    </w:p>
    <w:p w:rsidR="00783D73" w:rsidP="00783D73" w:rsidRDefault="00783D73" w14:paraId="791B33A6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  <w:sz w:val="18"/>
          <w:szCs w:val="18"/>
          <w:lang w:val="en-GB"/>
        </w:rPr>
      </w:pPr>
    </w:p>
    <w:p w:rsidRPr="00783D73" w:rsidR="003F1917" w:rsidP="00783D73" w:rsidRDefault="003F1917" w14:paraId="7CBC2511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  <w:sz w:val="18"/>
          <w:szCs w:val="18"/>
          <w:lang w:val="en-GB"/>
        </w:rPr>
      </w:pPr>
    </w:p>
    <w:tbl>
      <w:tblPr>
        <w:tblStyle w:val="TableGrid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Pr="00783D73" w:rsidR="00783D73" w:rsidTr="00B60D9A" w14:paraId="353E6858" w14:textId="77777777">
        <w:tc>
          <w:tcPr>
            <w:tcW w:w="1701" w:type="dxa"/>
          </w:tcPr>
          <w:p w:rsidRPr="0031700A" w:rsidR="00783D73" w:rsidP="00783D73" w:rsidRDefault="00783D73" w14:paraId="239961AA" w14:textId="12A3FA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31700A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6663" w:type="dxa"/>
          </w:tcPr>
          <w:p w:rsidRPr="0031700A" w:rsidR="00783D73" w:rsidP="00783D73" w:rsidRDefault="00783D73" w14:paraId="4E44820F" w14:textId="4298DD6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529" w:hanging="266"/>
              <w:textAlignment w:val="baseline"/>
              <w:rPr>
                <w:sz w:val="22"/>
                <w:szCs w:val="22"/>
              </w:rPr>
            </w:pPr>
            <w:r w:rsidRPr="0031700A">
              <w:rPr>
                <w:sz w:val="22"/>
                <w:szCs w:val="22"/>
              </w:rPr>
              <w:t>Ioannis Vardakastanis (EL</w:t>
            </w:r>
            <w:r w:rsidR="0031700A">
              <w:rPr>
                <w:sz w:val="22"/>
                <w:szCs w:val="22"/>
              </w:rPr>
              <w:t>-</w:t>
            </w:r>
            <w:r w:rsidRPr="0031700A">
              <w:rPr>
                <w:sz w:val="22"/>
                <w:szCs w:val="22"/>
              </w:rPr>
              <w:t>Grupo das Organizações da Sociedade Civil)</w:t>
            </w:r>
          </w:p>
        </w:tc>
      </w:tr>
      <w:tr w:rsidRPr="00783D73" w:rsidR="00783D73" w:rsidTr="00B60D9A" w14:paraId="4E38B506" w14:textId="77777777">
        <w:tc>
          <w:tcPr>
            <w:tcW w:w="1701" w:type="dxa"/>
          </w:tcPr>
          <w:p w:rsidRPr="0031700A" w:rsidR="00783D73" w:rsidP="00783D73" w:rsidRDefault="00783D73" w14:paraId="3635CB3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663" w:type="dxa"/>
          </w:tcPr>
          <w:p w:rsidRPr="0031700A" w:rsidR="00783D73" w:rsidP="00783D73" w:rsidRDefault="00783D73" w14:paraId="48C1CF4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  <w:tr w:rsidRPr="00783D73" w:rsidR="00783D73" w:rsidTr="00B60D9A" w14:paraId="59CE35F3" w14:textId="77777777">
        <w:tc>
          <w:tcPr>
            <w:tcW w:w="1701" w:type="dxa"/>
            <w:vMerge w:val="restart"/>
          </w:tcPr>
          <w:p w:rsidRPr="0031700A" w:rsidR="00783D73" w:rsidP="00C737A5" w:rsidRDefault="00783D73" w14:paraId="70857ACC" w14:textId="3646BECF">
            <w:pPr>
              <w:tabs>
                <w:tab w:val="center" w:pos="17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31700A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6663" w:type="dxa"/>
          </w:tcPr>
          <w:p w:rsidRPr="0031700A" w:rsidR="00783D73" w:rsidP="00783D73" w:rsidRDefault="00783D73" w14:paraId="4BC4D93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31700A">
              <w:rPr>
                <w:sz w:val="22"/>
                <w:szCs w:val="22"/>
              </w:rPr>
              <w:t>Parecer de iniciativa</w:t>
            </w:r>
          </w:p>
        </w:tc>
      </w:tr>
      <w:tr w:rsidRPr="00783D73" w:rsidR="00783D73" w:rsidTr="00B60D9A" w14:paraId="143EB19B" w14:textId="77777777">
        <w:tc>
          <w:tcPr>
            <w:tcW w:w="1701" w:type="dxa"/>
            <w:vMerge/>
          </w:tcPr>
          <w:p w:rsidRPr="0031700A" w:rsidR="00783D73" w:rsidP="00783D73" w:rsidRDefault="00783D73" w14:paraId="56F887B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663" w:type="dxa"/>
          </w:tcPr>
          <w:p w:rsidRPr="0031700A" w:rsidR="00783D73" w:rsidP="00783D73" w:rsidRDefault="00783D73" w14:paraId="177C3D0C" w14:textId="5312DE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31700A">
              <w:rPr>
                <w:sz w:val="22"/>
                <w:szCs w:val="22"/>
              </w:rPr>
              <w:t>EESC-2025-00909-00-00-AC</w:t>
            </w:r>
          </w:p>
        </w:tc>
      </w:tr>
    </w:tbl>
    <w:p w:rsidRPr="00783D73" w:rsidR="00783D73" w:rsidP="00783D73" w:rsidRDefault="00783D73" w14:paraId="44303C4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 w:val="16"/>
          <w:szCs w:val="16"/>
          <w:lang w:val="en-GB"/>
        </w:rPr>
      </w:pPr>
    </w:p>
    <w:p w:rsidRPr="00783D73" w:rsidR="00783D73" w:rsidP="00783D73" w:rsidRDefault="00783D73" w14:paraId="0985801C" w14:textId="15E10E35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783D73" w:rsidR="00783D73" w:rsidP="00783D73" w:rsidRDefault="00783D73" w14:paraId="61905F8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783D73" w:rsidR="00783D73" w:rsidP="00783D73" w:rsidRDefault="00783D73" w14:paraId="7AACAD94" w14:textId="77777777">
      <w:pPr>
        <w:spacing w:line="276" w:lineRule="auto"/>
        <w:jc w:val="left"/>
        <w:rPr>
          <w:b/>
          <w:bCs/>
        </w:rPr>
      </w:pPr>
      <w:r>
        <w:rPr>
          <w:b/>
        </w:rPr>
        <w:t>O Comité Económico e Social Europeu (CESE):</w:t>
      </w:r>
    </w:p>
    <w:p w:rsidRPr="00783D73" w:rsidR="00783D73" w:rsidP="00783D73" w:rsidRDefault="00783D73" w14:paraId="4D8BFF2D" w14:textId="77777777">
      <w:pPr>
        <w:spacing w:line="276" w:lineRule="auto"/>
        <w:jc w:val="left"/>
        <w:rPr>
          <w:lang w:val="fr-BE" w:eastAsia="fr-BE"/>
        </w:rPr>
      </w:pPr>
    </w:p>
    <w:p w:rsidRPr="00783D73" w:rsidR="00783D73" w:rsidP="00B60D9A" w:rsidRDefault="00783D73" w14:paraId="0EC9374B" w14:textId="77777777">
      <w:pPr>
        <w:numPr>
          <w:ilvl w:val="0"/>
          <w:numId w:val="37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congratula-se com o compromisso assumido pela Comissão Europeia de propor novas ações para a segunda metade do período de execução da Estratégia da UE sobre os Direitos das Pessoas com Deficiência 2021-2030 e salienta a importância do recente exame à União Europeia (UE) realizado pelo Comissão das Nações Unidas para os Direitos das Pessoas com Deficiência, que apela para a prossecução das ações na segunda metade do período de execução da estratégia;</w:t>
      </w:r>
    </w:p>
    <w:p w:rsidRPr="00783D73" w:rsidR="00783D73" w:rsidP="00B60D9A" w:rsidRDefault="00783D73" w14:paraId="585AF8D5" w14:textId="77777777">
      <w:pPr>
        <w:numPr>
          <w:ilvl w:val="0"/>
          <w:numId w:val="37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reconhece que houve êxitos importantes em 2021-2025, mas que também persistem lacunas. No parecer, identifica ações prioritárias e iniciativas emblemáticas para 2025-2030;</w:t>
      </w:r>
    </w:p>
    <w:p w:rsidRPr="00783D73" w:rsidR="00783D73" w:rsidP="00B60D9A" w:rsidRDefault="00783D73" w14:paraId="3508F33F" w14:textId="77777777">
      <w:pPr>
        <w:numPr>
          <w:ilvl w:val="0"/>
          <w:numId w:val="37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exorta a Comissão a começar rapidamente a elaborar o seu próximo plano de ação e a realizar consultas significativas junto das pessoas com deficiência e das organizações que as representam;</w:t>
      </w:r>
    </w:p>
    <w:p w:rsidRPr="00783D73" w:rsidR="00783D73" w:rsidP="00B60D9A" w:rsidRDefault="00783D73" w14:paraId="336898FF" w14:textId="77777777">
      <w:pPr>
        <w:numPr>
          <w:ilvl w:val="0"/>
          <w:numId w:val="37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reclama ações mais vinculativas do que as de 2021 a 2025, com impacto direto e uma dotação orçamental específica no próximo Quadro Financeiro Plurianual para assegurar uma execução eficaz e apoio.</w:t>
      </w:r>
    </w:p>
    <w:p w:rsidRPr="00783D73" w:rsidR="00783D73" w:rsidP="00783D73" w:rsidRDefault="00783D73" w14:paraId="4EC231B2" w14:textId="77777777">
      <w:pPr>
        <w:spacing w:line="276" w:lineRule="auto"/>
        <w:ind w:left="720"/>
        <w:rPr>
          <w:lang w:eastAsia="fr-BE"/>
        </w:rPr>
      </w:pPr>
    </w:p>
    <w:p w:rsidRPr="00783D73" w:rsidR="00783D73" w:rsidP="00783D73" w:rsidRDefault="00783D73" w14:paraId="0AF96950" w14:textId="77777777">
      <w:pPr>
        <w:spacing w:line="276" w:lineRule="auto"/>
        <w:jc w:val="left"/>
        <w:rPr>
          <w:b/>
          <w:bCs/>
        </w:rPr>
      </w:pPr>
      <w:r>
        <w:rPr>
          <w:b/>
        </w:rPr>
        <w:t>Principais ações propostas:</w:t>
      </w:r>
    </w:p>
    <w:p w:rsidRPr="00783D73" w:rsidR="00783D73" w:rsidP="00783D73" w:rsidRDefault="00783D73" w14:paraId="1D49C7E7" w14:textId="77777777">
      <w:pPr>
        <w:spacing w:line="276" w:lineRule="auto"/>
        <w:jc w:val="left"/>
        <w:rPr>
          <w:lang w:val="fr-BE" w:eastAsia="fr-BE"/>
        </w:rPr>
      </w:pPr>
    </w:p>
    <w:p w:rsidRPr="00783D73" w:rsidR="00783D73" w:rsidP="00B60D9A" w:rsidRDefault="00783D73" w14:paraId="3286B858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desenvolver uma alternativa viável à Diretiva Horizontal Igualdade de Tratamento;</w:t>
      </w:r>
    </w:p>
    <w:p w:rsidRPr="00783D73" w:rsidR="00783D73" w:rsidP="00B60D9A" w:rsidRDefault="00783D73" w14:paraId="755AD01F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tirar partido dos ensinamentos do Pacote para o Emprego das Pessoas com Deficiência;</w:t>
      </w:r>
    </w:p>
    <w:p w:rsidRPr="00783D73" w:rsidR="00783D73" w:rsidP="00B60D9A" w:rsidRDefault="00783D73" w14:paraId="37EF3265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colmatar as lacunas deixadas pelo cartão europeu de deficiência em matéria de liberdade de circulação;</w:t>
      </w:r>
    </w:p>
    <w:p w:rsidRPr="00783D73" w:rsidR="00783D73" w:rsidP="00B60D9A" w:rsidRDefault="00783D73" w14:paraId="6E6D0D5A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reforçar a atenção prestada à acessibilidade e ir além do Centro «AccessibleEU»;</w:t>
      </w:r>
    </w:p>
    <w:p w:rsidRPr="00783D73" w:rsidR="00783D73" w:rsidP="00B60D9A" w:rsidRDefault="00783D73" w14:paraId="68A62C88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proteger as mulheres e raparigas com deficiência;</w:t>
      </w:r>
    </w:p>
    <w:p w:rsidRPr="00783D73" w:rsidR="00783D73" w:rsidP="00B60D9A" w:rsidRDefault="00783D73" w14:paraId="4A073A8B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resolver a crise da habitação para as pessoas com deficiência;</w:t>
      </w:r>
    </w:p>
    <w:p w:rsidRPr="00783D73" w:rsidR="00783D73" w:rsidP="00B60D9A" w:rsidRDefault="00783D73" w14:paraId="125DB7DF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criar um mecanismo conjunto para a certificação mútua das tecnologias;</w:t>
      </w:r>
    </w:p>
    <w:p w:rsidRPr="00783D73" w:rsidR="00783D73" w:rsidP="00B60D9A" w:rsidRDefault="00783D73" w14:paraId="3063A387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resolver os problemas que as pessoas com deficiência enfrentam quando viajam;</w:t>
      </w:r>
    </w:p>
    <w:p w:rsidRPr="00783D73" w:rsidR="00783D73" w:rsidP="00B60D9A" w:rsidRDefault="00783D73" w14:paraId="798550C0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promover alternativas aos cuidados institucionais;</w:t>
      </w:r>
    </w:p>
    <w:p w:rsidRPr="00783D73" w:rsidR="00783D73" w:rsidP="00B60D9A" w:rsidRDefault="00783D73" w14:paraId="0A77C65F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prevenir a discriminação pela inteligência artificial;</w:t>
      </w:r>
    </w:p>
    <w:p w:rsidRPr="00783D73" w:rsidR="00783D73" w:rsidP="00B60D9A" w:rsidRDefault="00783D73" w14:paraId="3001DE4A" w14:textId="77777777">
      <w:pPr>
        <w:numPr>
          <w:ilvl w:val="0"/>
          <w:numId w:val="3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hanging="720"/>
        <w:jc w:val="left"/>
        <w:textAlignment w:val="baseline"/>
      </w:pPr>
      <w:r>
        <w:t>tornar a ação externa da UE mais coerente.</w:t>
      </w:r>
    </w:p>
    <w:p w:rsidRPr="00783D73" w:rsidR="00783D73" w:rsidP="00B60D9A" w:rsidRDefault="00783D73" w14:paraId="52B98410" w14:textId="77777777">
      <w:pPr>
        <w:overflowPunct w:val="0"/>
        <w:autoSpaceDE w:val="0"/>
        <w:autoSpaceDN w:val="0"/>
        <w:adjustRightInd w:val="0"/>
        <w:spacing w:line="276" w:lineRule="auto"/>
        <w:ind w:left="360"/>
        <w:jc w:val="left"/>
        <w:textAlignment w:val="baseline"/>
        <w:rPr>
          <w:lang w:val="fr-BE" w:eastAsia="fr-BE"/>
        </w:rPr>
      </w:pPr>
    </w:p>
    <w:tbl>
      <w:tblPr>
        <w:tblStyle w:val="TableGrid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3606"/>
      </w:tblGrid>
      <w:tr w:rsidRPr="00783D73" w:rsidR="0031700A" w:rsidTr="0031700A" w14:paraId="6EAB4FDA" w14:textId="77777777">
        <w:tc>
          <w:tcPr>
            <w:tcW w:w="2093" w:type="dxa"/>
          </w:tcPr>
          <w:p w:rsidRPr="0031700A" w:rsidR="0031700A" w:rsidP="00783D73" w:rsidRDefault="0031700A" w14:paraId="320C4915" w14:textId="75EAB5C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31700A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606" w:type="dxa"/>
          </w:tcPr>
          <w:p w:rsidRPr="0031700A" w:rsidR="0031700A" w:rsidP="00783D73" w:rsidRDefault="0031700A" w14:paraId="22CEB2BA" w14:textId="594A1D2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31700A">
              <w:rPr>
                <w:i/>
                <w:sz w:val="22"/>
                <w:szCs w:val="22"/>
              </w:rPr>
              <w:t>Valeria Atzori</w:t>
            </w:r>
          </w:p>
        </w:tc>
      </w:tr>
      <w:tr w:rsidRPr="00783D73" w:rsidR="0031700A" w:rsidTr="0031700A" w14:paraId="152A8D02" w14:textId="77777777">
        <w:tc>
          <w:tcPr>
            <w:tcW w:w="2093" w:type="dxa"/>
          </w:tcPr>
          <w:p w:rsidRPr="0031700A" w:rsidR="0031700A" w:rsidP="00783D73" w:rsidRDefault="0031700A" w14:paraId="3D234692" w14:textId="484CB22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31700A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606" w:type="dxa"/>
          </w:tcPr>
          <w:p w:rsidRPr="0031700A" w:rsidR="0031700A" w:rsidP="00783D73" w:rsidRDefault="0031700A" w14:paraId="63F04F99" w14:textId="0A53EA6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31700A">
              <w:rPr>
                <w:i/>
                <w:sz w:val="22"/>
                <w:szCs w:val="22"/>
              </w:rPr>
              <w:t>+ 32 2 546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1700A">
              <w:rPr>
                <w:i/>
                <w:sz w:val="22"/>
                <w:szCs w:val="22"/>
              </w:rPr>
              <w:t>87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1700A">
              <w:rPr>
                <w:i/>
                <w:sz w:val="22"/>
                <w:szCs w:val="22"/>
              </w:rPr>
              <w:t>74</w:t>
            </w:r>
          </w:p>
        </w:tc>
      </w:tr>
      <w:tr w:rsidRPr="00783D73" w:rsidR="0031700A" w:rsidTr="0031700A" w14:paraId="0E945862" w14:textId="77777777">
        <w:tc>
          <w:tcPr>
            <w:tcW w:w="2093" w:type="dxa"/>
          </w:tcPr>
          <w:p w:rsidRPr="0031700A" w:rsidR="0031700A" w:rsidP="00783D73" w:rsidRDefault="0031700A" w14:paraId="1C7032D6" w14:textId="415AEBE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31700A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606" w:type="dxa"/>
          </w:tcPr>
          <w:p w:rsidRPr="0031700A" w:rsidR="0031700A" w:rsidP="00783D73" w:rsidRDefault="0031700A" w14:paraId="1897B20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35">
              <w:r w:rsidRPr="0031700A">
                <w:rPr>
                  <w:i/>
                  <w:color w:val="0000FF"/>
                  <w:sz w:val="22"/>
                  <w:szCs w:val="22"/>
                  <w:u w:val="single"/>
                </w:rPr>
                <w:t>Valeria.Atzori@eesc.europa.eu</w:t>
              </w:r>
            </w:hyperlink>
          </w:p>
        </w:tc>
      </w:tr>
    </w:tbl>
    <w:p w:rsidR="00E11CA7" w:rsidP="004D7AC0" w:rsidRDefault="00E11CA7" w14:paraId="6C64EDA5" w14:textId="77777777">
      <w:pPr>
        <w:spacing w:after="160" w:line="259" w:lineRule="auto"/>
        <w:jc w:val="left"/>
        <w:rPr>
          <w:lang w:val="en-GB"/>
        </w:rPr>
      </w:pPr>
    </w:p>
    <w:p w:rsidR="00E11CA7" w:rsidRDefault="00E11CA7" w14:paraId="7E0538F3" w14:textId="77777777">
      <w:pPr>
        <w:spacing w:after="160" w:line="259" w:lineRule="auto"/>
        <w:jc w:val="left"/>
      </w:pPr>
      <w:r>
        <w:br w:type="page"/>
      </w:r>
    </w:p>
    <w:p w:rsidRPr="00D04355" w:rsidR="00D04355" w:rsidP="00D04355" w:rsidRDefault="001C5DC4" w14:paraId="06040395" w14:textId="6C469ED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color w:val="0000FF"/>
          <w:u w:val="single"/>
        </w:rPr>
      </w:pPr>
      <w:hyperlink w:history="1" r:id="rId36">
        <w:r w:rsidR="00D04355">
          <w:rPr>
            <w:b/>
            <w:i/>
            <w:color w:val="0000FF"/>
            <w:sz w:val="28"/>
            <w:u w:val="single"/>
          </w:rPr>
          <w:t>Como fazer face à perda de poder de compra e ao risco de aumento das desigualdades, da exclusão e da marginalização</w:t>
        </w:r>
      </w:hyperlink>
    </w:p>
    <w:p w:rsidRPr="00D04355" w:rsidR="00D04355" w:rsidP="00D04355" w:rsidRDefault="00D04355" w14:paraId="630A1D0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</w:rPr>
      </w:pPr>
    </w:p>
    <w:tbl>
      <w:tblPr>
        <w:tblStyle w:val="TableGrid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487"/>
      </w:tblGrid>
      <w:tr w:rsidRPr="00D04355" w:rsidR="00D04355" w:rsidTr="003F5128" w14:paraId="2B95FD7E" w14:textId="77777777">
        <w:tc>
          <w:tcPr>
            <w:tcW w:w="1701" w:type="dxa"/>
          </w:tcPr>
          <w:p w:rsidRPr="003F5128" w:rsidR="00D04355" w:rsidP="00D04355" w:rsidRDefault="00D04355" w14:paraId="160894B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  <w:sz w:val="22"/>
                <w:szCs w:val="22"/>
              </w:rPr>
            </w:pPr>
            <w:r w:rsidRPr="003F5128">
              <w:rPr>
                <w:b/>
                <w:sz w:val="22"/>
                <w:szCs w:val="22"/>
              </w:rPr>
              <w:t>Relatora</w:t>
            </w:r>
          </w:p>
          <w:p w:rsidRPr="003F5128" w:rsidR="00D04355" w:rsidP="00D04355" w:rsidRDefault="00D04355" w14:paraId="623D53D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487" w:type="dxa"/>
          </w:tcPr>
          <w:p w:rsidRPr="003F5128" w:rsidR="00D04355" w:rsidP="00D04355" w:rsidRDefault="00D04355" w14:paraId="65C7585E" w14:textId="4D348CB8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sz w:val="22"/>
                <w:szCs w:val="22"/>
              </w:rPr>
            </w:pPr>
            <w:r w:rsidRPr="003F5128">
              <w:rPr>
                <w:sz w:val="22"/>
                <w:szCs w:val="22"/>
              </w:rPr>
              <w:t>Maria del Carmen Barrera Chamorro (ES</w:t>
            </w:r>
            <w:r w:rsidR="003F5128">
              <w:rPr>
                <w:sz w:val="22"/>
                <w:szCs w:val="22"/>
              </w:rPr>
              <w:t>-</w:t>
            </w:r>
            <w:r w:rsidRPr="003F5128">
              <w:rPr>
                <w:sz w:val="22"/>
                <w:szCs w:val="22"/>
              </w:rPr>
              <w:t>Grupo dos Trabalhadores)</w:t>
            </w:r>
          </w:p>
        </w:tc>
      </w:tr>
      <w:tr w:rsidRPr="00D04355" w:rsidR="00D04355" w:rsidTr="003F5128" w14:paraId="116D55BD" w14:textId="77777777">
        <w:tc>
          <w:tcPr>
            <w:tcW w:w="1701" w:type="dxa"/>
            <w:vMerge w:val="restart"/>
          </w:tcPr>
          <w:p w:rsidRPr="003F5128" w:rsidR="00D04355" w:rsidP="00D04355" w:rsidRDefault="00D04355" w14:paraId="342AA177" w14:textId="2AB0E08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  <w:sz w:val="22"/>
                <w:szCs w:val="22"/>
              </w:rPr>
            </w:pPr>
            <w:r w:rsidRPr="003F5128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6487" w:type="dxa"/>
          </w:tcPr>
          <w:p w:rsidRPr="003F5128" w:rsidR="005F797E" w:rsidP="00D04355" w:rsidRDefault="005F797E" w14:paraId="08E43C66" w14:textId="6C1BD93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sz w:val="22"/>
                <w:szCs w:val="22"/>
              </w:rPr>
            </w:pPr>
            <w:r w:rsidRPr="003F5128">
              <w:rPr>
                <w:sz w:val="22"/>
                <w:szCs w:val="22"/>
              </w:rPr>
              <w:t>Parecer de iniciativa</w:t>
            </w:r>
          </w:p>
          <w:p w:rsidRPr="003F5128" w:rsidR="00D04355" w:rsidP="00D04355" w:rsidRDefault="00D04355" w14:paraId="62813223" w14:textId="1EB4606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sz w:val="22"/>
                <w:szCs w:val="22"/>
              </w:rPr>
            </w:pPr>
            <w:r w:rsidRPr="003F5128">
              <w:rPr>
                <w:sz w:val="22"/>
                <w:szCs w:val="22"/>
              </w:rPr>
              <w:t>EESC-2025-00015-00-00-AC</w:t>
            </w:r>
          </w:p>
        </w:tc>
      </w:tr>
      <w:tr w:rsidRPr="00D04355" w:rsidR="00D04355" w:rsidTr="003F5128" w14:paraId="58A8AC48" w14:textId="77777777">
        <w:tc>
          <w:tcPr>
            <w:tcW w:w="1701" w:type="dxa"/>
            <w:vMerge/>
          </w:tcPr>
          <w:p w:rsidRPr="00B60D9A" w:rsidR="00D04355" w:rsidP="00D04355" w:rsidRDefault="00D04355" w14:paraId="2A7EF22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487" w:type="dxa"/>
          </w:tcPr>
          <w:p w:rsidRPr="00B60D9A" w:rsidR="00D04355" w:rsidP="00D04355" w:rsidRDefault="00D04355" w14:paraId="631C886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6"/>
                <w:szCs w:val="16"/>
              </w:rPr>
            </w:pPr>
          </w:p>
        </w:tc>
      </w:tr>
    </w:tbl>
    <w:p w:rsidRPr="00D04355" w:rsidR="00D04355" w:rsidP="00D04355" w:rsidRDefault="00D04355" w14:paraId="59E6251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B60D9A" w:rsidR="00D04355" w:rsidP="00D04355" w:rsidRDefault="00D04355" w14:paraId="76180FA7" w14:textId="77777777">
      <w:pPr>
        <w:spacing w:before="100" w:beforeAutospacing="1" w:after="100" w:afterAutospacing="1" w:line="240" w:lineRule="auto"/>
        <w:jc w:val="left"/>
      </w:pPr>
      <w:r>
        <w:rPr>
          <w:b/>
        </w:rPr>
        <w:t>O Comité Económico e Social Europeu (CESE):</w:t>
      </w:r>
    </w:p>
    <w:p w:rsidRPr="00B60D9A" w:rsidR="00D04355" w:rsidP="00B60D9A" w:rsidRDefault="00D04355" w14:paraId="141D6172" w14:textId="77777777">
      <w:pPr>
        <w:numPr>
          <w:ilvl w:val="0"/>
          <w:numId w:val="3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textAlignment w:val="baseline"/>
      </w:pPr>
      <w:r>
        <w:t>considera que o investimento nas pessoas e na economia, uma tributação justa, serviços públicos de qualidade e a preços acessíveis, bem como um apoio direcionado para as pessoas mais vulneráveis, a par de uma política industrial a curto e longo prazo e de esforços para aumentar a competitividade, são elementos essenciais para a atenuação da crise do custo de vida e a proteção contra choques futuros;</w:t>
      </w:r>
    </w:p>
    <w:p w:rsidRPr="00B60D9A" w:rsidR="00D04355" w:rsidP="00B60D9A" w:rsidRDefault="00D04355" w14:paraId="46301BEB" w14:textId="77777777">
      <w:pPr>
        <w:numPr>
          <w:ilvl w:val="0"/>
          <w:numId w:val="3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textAlignment w:val="baseline"/>
      </w:pPr>
      <w:r>
        <w:t>recomenda uma maior utilização do diálogo social, da negociação coletiva e do diálogo civil para fazer face aos desafios do mercado de trabalho e melhorar os salários e a proteção social dos trabalhadores, em consonância com a evolução da produtividade;</w:t>
      </w:r>
    </w:p>
    <w:p w:rsidRPr="00B60D9A" w:rsidR="00D04355" w:rsidP="00B60D9A" w:rsidRDefault="00D04355" w14:paraId="3EABE77B" w14:textId="77777777">
      <w:pPr>
        <w:numPr>
          <w:ilvl w:val="0"/>
          <w:numId w:val="3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textAlignment w:val="baseline"/>
      </w:pPr>
      <w:r>
        <w:t>reconhece a importância dos aumentos dos salários e dos salários mínimos e destaca o impacto positivo da Diretiva relativa a salários mínimos adequados na promoção do crescimento dos salários;</w:t>
      </w:r>
    </w:p>
    <w:p w:rsidRPr="00B60D9A" w:rsidR="00D04355" w:rsidP="00B60D9A" w:rsidRDefault="00D04355" w14:paraId="63DC1CBE" w14:textId="77777777">
      <w:pPr>
        <w:numPr>
          <w:ilvl w:val="0"/>
          <w:numId w:val="3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textAlignment w:val="baseline"/>
      </w:pPr>
      <w:r>
        <w:t>considera que a UE deve reforçar a sua capacidade de prevenção e resposta a futuras crises, nomeadamente através da adoção de um instrumento financeiro permanente para estabilizar as despesas dos Estados-Membros face a choques económicos externos; recomenda igualmente a adoção de políticas de preços adequadas, tais como limites máximos dos preços da energia, juntamente com a aplicação de políticas de habitação a preços acessíveis pelos Estados-Membros e uma estratégia europeia abrangente para combater o fenómeno da condição de sem-abrigo;</w:t>
      </w:r>
    </w:p>
    <w:p w:rsidRPr="00B60D9A" w:rsidR="00D04355" w:rsidP="00B60D9A" w:rsidRDefault="00D04355" w14:paraId="0E4794AC" w14:textId="77777777">
      <w:pPr>
        <w:numPr>
          <w:ilvl w:val="0"/>
          <w:numId w:val="3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textAlignment w:val="baseline"/>
      </w:pPr>
      <w:r>
        <w:t>sublinha o papel da educação como instrumento poderoso de prevenção da exclusão, da marginalização e da desigualdade, e insta a UE e os Estados-Membros a reforçarem o investimento neste domínio;</w:t>
      </w:r>
    </w:p>
    <w:p w:rsidRPr="00B60D9A" w:rsidR="00D04355" w:rsidP="00B60D9A" w:rsidRDefault="00D04355" w14:paraId="6B1F3052" w14:textId="77777777">
      <w:pPr>
        <w:numPr>
          <w:ilvl w:val="0"/>
          <w:numId w:val="3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textAlignment w:val="baseline"/>
      </w:pPr>
      <w:r>
        <w:t>considera que os serviços essenciais e sociais, incluindo os que são prestados pelas entidades da economia social, devem ser desenvolvidos de forma a eliminar os obstáculos ao acesso;</w:t>
      </w:r>
    </w:p>
    <w:p w:rsidRPr="00B60D9A" w:rsidR="00D04355" w:rsidP="00B60D9A" w:rsidRDefault="00D04355" w14:paraId="268DAF94" w14:textId="77777777">
      <w:pPr>
        <w:numPr>
          <w:ilvl w:val="0"/>
          <w:numId w:val="3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textAlignment w:val="baseline"/>
      </w:pPr>
      <w:r>
        <w:t>salienta a necessidade de reforçar a utilização de avaliações de impacto distributivo no âmbito do Semestre Europeu e do seu Quadro de Convergência Social, a fim de assegurar que as políticas em todos os domínios não agravam a pobreza nem as desigualdades;</w:t>
      </w:r>
    </w:p>
    <w:p w:rsidRPr="00B60D9A" w:rsidR="00D04355" w:rsidP="00B60D9A" w:rsidRDefault="00D04355" w14:paraId="249588EC" w14:textId="77777777">
      <w:pPr>
        <w:numPr>
          <w:ilvl w:val="0"/>
          <w:numId w:val="39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textAlignment w:val="baseline"/>
      </w:pPr>
      <w:r>
        <w:t>insta a UE a incentivar os Estados-Membros a manterem uma despesa pública adequada com os sistemas de segurança social, a educação, a formação, os cuidados de saúde e os cuidados de proximidade.</w:t>
      </w:r>
    </w:p>
    <w:tbl>
      <w:tblPr>
        <w:tblStyle w:val="TableGrid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3610"/>
      </w:tblGrid>
      <w:tr w:rsidRPr="00D04355" w:rsidR="00D04355" w:rsidTr="001B71FA" w14:paraId="154968C7" w14:textId="77777777">
        <w:tc>
          <w:tcPr>
            <w:tcW w:w="2093" w:type="dxa"/>
          </w:tcPr>
          <w:p w:rsidRPr="001B71FA" w:rsidR="00D04355" w:rsidP="00D04355" w:rsidRDefault="00D04355" w14:paraId="17B29C8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610" w:type="dxa"/>
          </w:tcPr>
          <w:p w:rsidRPr="001B71FA" w:rsidR="00D04355" w:rsidP="00D04355" w:rsidRDefault="00D04355" w14:paraId="3A2AC16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2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i/>
                <w:sz w:val="22"/>
                <w:szCs w:val="22"/>
              </w:rPr>
              <w:t>Valeria Atzori</w:t>
            </w:r>
          </w:p>
        </w:tc>
      </w:tr>
      <w:tr w:rsidRPr="00D04355" w:rsidR="00D04355" w:rsidTr="001B71FA" w14:paraId="2B72ECEF" w14:textId="77777777">
        <w:tc>
          <w:tcPr>
            <w:tcW w:w="2093" w:type="dxa"/>
          </w:tcPr>
          <w:p w:rsidRPr="001B71FA" w:rsidR="00D04355" w:rsidP="00D04355" w:rsidRDefault="00D04355" w14:paraId="3C45592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610" w:type="dxa"/>
          </w:tcPr>
          <w:p w:rsidRPr="001B71FA" w:rsidR="00D04355" w:rsidP="00D04355" w:rsidRDefault="00D04355" w14:paraId="4B7A3C95" w14:textId="48867EE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i/>
                <w:sz w:val="22"/>
                <w:szCs w:val="22"/>
              </w:rPr>
              <w:t>+32 2 546</w:t>
            </w:r>
            <w:r w:rsidR="001B71FA">
              <w:rPr>
                <w:i/>
                <w:sz w:val="22"/>
                <w:szCs w:val="22"/>
              </w:rPr>
              <w:t xml:space="preserve"> </w:t>
            </w:r>
            <w:r w:rsidRPr="001B71FA">
              <w:rPr>
                <w:i/>
                <w:sz w:val="22"/>
                <w:szCs w:val="22"/>
              </w:rPr>
              <w:t>8</w:t>
            </w:r>
            <w:r w:rsidRPr="001B71FA">
              <w:rPr>
                <w:sz w:val="22"/>
                <w:szCs w:val="22"/>
              </w:rPr>
              <w:t>7</w:t>
            </w:r>
            <w:r w:rsidR="001B71FA">
              <w:rPr>
                <w:sz w:val="22"/>
                <w:szCs w:val="22"/>
              </w:rPr>
              <w:t xml:space="preserve"> </w:t>
            </w:r>
            <w:r w:rsidRPr="001B71FA">
              <w:rPr>
                <w:sz w:val="22"/>
                <w:szCs w:val="22"/>
              </w:rPr>
              <w:t>7</w:t>
            </w:r>
            <w:r w:rsidRPr="001B71FA">
              <w:rPr>
                <w:i/>
                <w:sz w:val="22"/>
                <w:szCs w:val="22"/>
              </w:rPr>
              <w:t>4</w:t>
            </w:r>
          </w:p>
        </w:tc>
      </w:tr>
      <w:tr w:rsidRPr="00D04355" w:rsidR="00D04355" w:rsidTr="001B71FA" w14:paraId="6C3F5A3C" w14:textId="77777777">
        <w:tc>
          <w:tcPr>
            <w:tcW w:w="2093" w:type="dxa"/>
          </w:tcPr>
          <w:p w:rsidRPr="001B71FA" w:rsidR="00D04355" w:rsidP="00D04355" w:rsidRDefault="00D04355" w14:paraId="72F8474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610" w:type="dxa"/>
          </w:tcPr>
          <w:p w:rsidRPr="001B71FA" w:rsidR="00D04355" w:rsidP="00D04355" w:rsidRDefault="001C5DC4" w14:paraId="39D2EF9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37">
              <w:r w:rsidRPr="001B71FA" w:rsidR="00381CCE">
                <w:rPr>
                  <w:i/>
                  <w:color w:val="0000FF"/>
                  <w:sz w:val="22"/>
                  <w:szCs w:val="22"/>
                  <w:u w:val="single"/>
                </w:rPr>
                <w:t>Valeria.Atzori@eesc.europa.eu</w:t>
              </w:r>
            </w:hyperlink>
          </w:p>
        </w:tc>
      </w:tr>
    </w:tbl>
    <w:p w:rsidR="00E11CA7" w:rsidRDefault="00E11CA7" w14:paraId="0E2F1265" w14:textId="2EA40197">
      <w:pPr>
        <w:spacing w:after="160" w:line="259" w:lineRule="auto"/>
        <w:jc w:val="left"/>
      </w:pPr>
      <w:r>
        <w:br w:type="page"/>
      </w:r>
    </w:p>
    <w:p w:rsidRPr="009A3B12" w:rsidR="009A3B12" w:rsidP="002950A0" w:rsidRDefault="001C5DC4" w14:paraId="140E663D" w14:textId="50248690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b/>
        </w:rPr>
      </w:pPr>
      <w:hyperlink w:history="1" r:id="rId38">
        <w:r w:rsidR="009A3B12">
          <w:rPr>
            <w:b/>
            <w:i/>
            <w:color w:val="0000FF"/>
            <w:sz w:val="28"/>
            <w:u w:val="single"/>
          </w:rPr>
          <w:t>Apoio a trabalhadores cujo despedimento esteja iminente</w:t>
        </w:r>
      </w:hyperlink>
    </w:p>
    <w:p w:rsidRPr="009A3B12" w:rsidR="009A3B12" w:rsidP="009A3B12" w:rsidRDefault="009A3B12" w14:paraId="0774FBD2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8"/>
        <w:gridCol w:w="6663"/>
      </w:tblGrid>
      <w:tr w:rsidRPr="009A3B12" w:rsidR="009A3B12" w:rsidTr="001757A2" w14:paraId="0872CBCE" w14:textId="77777777">
        <w:tc>
          <w:tcPr>
            <w:tcW w:w="2268" w:type="dxa"/>
          </w:tcPr>
          <w:p w:rsidRPr="001B71FA" w:rsidR="009A3B12" w:rsidP="009A3B12" w:rsidRDefault="009A3B12" w14:paraId="2DED499C" w14:textId="244B1A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1B71FA">
              <w:rPr>
                <w:b/>
                <w:sz w:val="22"/>
                <w:szCs w:val="22"/>
              </w:rPr>
              <w:t>Relatora-geral</w:t>
            </w:r>
          </w:p>
        </w:tc>
        <w:tc>
          <w:tcPr>
            <w:tcW w:w="6663" w:type="dxa"/>
          </w:tcPr>
          <w:p w:rsidRPr="001B71FA" w:rsidR="009A3B12" w:rsidP="009A3B12" w:rsidRDefault="009A3B12" w14:paraId="032DA07F" w14:textId="0AA61C2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529" w:hanging="266"/>
              <w:textAlignment w:val="baseline"/>
              <w:rPr>
                <w:sz w:val="22"/>
                <w:szCs w:val="22"/>
              </w:rPr>
            </w:pPr>
            <w:r w:rsidRPr="001B71FA">
              <w:rPr>
                <w:sz w:val="22"/>
                <w:szCs w:val="22"/>
              </w:rPr>
              <w:t>Tatjana Babrauskienė (LT</w:t>
            </w:r>
            <w:r w:rsidR="001B71FA">
              <w:rPr>
                <w:sz w:val="22"/>
                <w:szCs w:val="22"/>
              </w:rPr>
              <w:t>-</w:t>
            </w:r>
            <w:r w:rsidRPr="001B71FA">
              <w:rPr>
                <w:sz w:val="22"/>
                <w:szCs w:val="22"/>
              </w:rPr>
              <w:t>Grupo dos Trabalhadores)</w:t>
            </w:r>
          </w:p>
        </w:tc>
      </w:tr>
      <w:tr w:rsidRPr="009A3B12" w:rsidR="009A3B12" w:rsidTr="001757A2" w14:paraId="65F12F2A" w14:textId="77777777">
        <w:tc>
          <w:tcPr>
            <w:tcW w:w="2268" w:type="dxa"/>
          </w:tcPr>
          <w:p w:rsidRPr="001B71FA" w:rsidR="009A3B12" w:rsidP="009A3B12" w:rsidRDefault="009A3B12" w14:paraId="370162F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663" w:type="dxa"/>
          </w:tcPr>
          <w:p w:rsidRPr="001B71FA" w:rsidR="009A3B12" w:rsidP="009A3B12" w:rsidRDefault="009A3B12" w14:paraId="4B3FB43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  <w:tr w:rsidRPr="009A3B12" w:rsidR="009A3B12" w:rsidTr="001757A2" w14:paraId="34C2376C" w14:textId="77777777">
        <w:tc>
          <w:tcPr>
            <w:tcW w:w="2268" w:type="dxa"/>
          </w:tcPr>
          <w:p w:rsidRPr="001B71FA" w:rsidR="009A3B12" w:rsidP="009A3B12" w:rsidRDefault="009A3B12" w14:paraId="70AB5D42" w14:textId="00E8C2C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B71FA">
              <w:rPr>
                <w:b/>
                <w:sz w:val="22"/>
                <w:szCs w:val="22"/>
              </w:rPr>
              <w:t xml:space="preserve">Referência </w:t>
            </w:r>
          </w:p>
        </w:tc>
        <w:tc>
          <w:tcPr>
            <w:tcW w:w="6663" w:type="dxa"/>
          </w:tcPr>
          <w:p w:rsidRPr="001B71FA" w:rsidR="002950A0" w:rsidP="009A3B12" w:rsidRDefault="002950A0" w14:paraId="62127887" w14:textId="560616F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B71FA">
              <w:rPr>
                <w:sz w:val="22"/>
                <w:szCs w:val="22"/>
              </w:rPr>
              <w:t>Parecer de iniciativa</w:t>
            </w:r>
          </w:p>
          <w:p w:rsidRPr="001B71FA" w:rsidR="009A3B12" w:rsidP="009A3B12" w:rsidRDefault="009A3B12" w14:paraId="7925A89B" w14:textId="700745E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B71FA">
              <w:rPr>
                <w:sz w:val="22"/>
                <w:szCs w:val="22"/>
              </w:rPr>
              <w:t>EESC-2025-01654-00-00-AC</w:t>
            </w:r>
          </w:p>
        </w:tc>
      </w:tr>
    </w:tbl>
    <w:p w:rsidRPr="009A3B12" w:rsidR="009A3B12" w:rsidP="009A3B12" w:rsidRDefault="009A3B12" w14:paraId="19D5007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9A3B12" w:rsidR="009A3B12" w:rsidP="009A3B12" w:rsidRDefault="009A3B12" w14:paraId="1B8024C9" w14:textId="7C85AC1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9A3B12" w:rsidR="009A3B12" w:rsidP="009A3B12" w:rsidRDefault="009A3B12" w14:paraId="1E0FEC0B" w14:textId="77777777">
      <w:pPr>
        <w:spacing w:before="100" w:beforeAutospacing="1" w:after="100" w:afterAutospacing="1"/>
        <w:jc w:val="left"/>
      </w:pPr>
      <w:r>
        <w:rPr>
          <w:b/>
        </w:rPr>
        <w:t>O Comité Económico e Social Europeu (CESE):</w:t>
      </w:r>
      <w:r>
        <w:t xml:space="preserve"> </w:t>
      </w:r>
    </w:p>
    <w:p w:rsidRPr="009A3B12" w:rsidR="009A3B12" w:rsidP="00B60D9A" w:rsidRDefault="009A3B12" w14:paraId="63DF1E3D" w14:textId="77777777">
      <w:pPr>
        <w:numPr>
          <w:ilvl w:val="0"/>
          <w:numId w:val="40"/>
        </w:numPr>
        <w:tabs>
          <w:tab w:val="clear" w:pos="720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>congratula-se com a proposta de alteração do Regulamento (UE) 2021/691, a qual visa melhorar o apoio aos trabalhadores cujo despedimento esteja iminente devido a reestruturações e reforçar a eficácia do Fundo Europeu de Ajustamento à Globalização (FEG);</w:t>
      </w:r>
    </w:p>
    <w:p w:rsidRPr="009A3B12" w:rsidR="009A3B12" w:rsidP="00B60D9A" w:rsidRDefault="009A3B12" w14:paraId="0197E580" w14:textId="77777777">
      <w:pPr>
        <w:numPr>
          <w:ilvl w:val="0"/>
          <w:numId w:val="40"/>
        </w:numPr>
        <w:tabs>
          <w:tab w:val="clear" w:pos="720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>salienta a necessidade de prestar apoio atempado e personalizado, incluindo a melhoria de competências, a reintegração no emprego, o apoio ao rendimento e serviços de saúde mental, dedicando especial atenção às competências digitais e verdes;</w:t>
      </w:r>
    </w:p>
    <w:p w:rsidRPr="009A3B12" w:rsidR="009A3B12" w:rsidP="00B60D9A" w:rsidRDefault="009A3B12" w14:paraId="3B4C2316" w14:textId="77777777">
      <w:pPr>
        <w:numPr>
          <w:ilvl w:val="0"/>
          <w:numId w:val="40"/>
        </w:numPr>
        <w:tabs>
          <w:tab w:val="clear" w:pos="720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>solicita que os trabalhadores continuem a beneficiar de assistência após a cessação da sua relação de trabalho e que os Estados-Membros possam apresentar candidaturas posteriores; defende a inclusão dos grupos vulneráveis ou de outra forma excluídos, como os trabalhadores das PME e dos subcontratantes, os trabalhadores mais velhos, com deficiência e pouco qualificados, bem como a integração dos intervenientes da economia social;</w:t>
      </w:r>
    </w:p>
    <w:p w:rsidRPr="009A3B12" w:rsidR="009A3B12" w:rsidP="00B60D9A" w:rsidRDefault="009A3B12" w14:paraId="72EAD6AF" w14:textId="77777777">
      <w:pPr>
        <w:numPr>
          <w:ilvl w:val="0"/>
          <w:numId w:val="40"/>
        </w:numPr>
        <w:tabs>
          <w:tab w:val="clear" w:pos="720"/>
          <w:tab w:val="left" w:pos="1843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>recomenda um apoio adaptado às regiões mais afetadas pela reestruturação e uma maior participação dos órgãos de poder local e dos parceiros sociais;</w:t>
      </w:r>
    </w:p>
    <w:p w:rsidRPr="009A3B12" w:rsidR="009A3B12" w:rsidP="00B60D9A" w:rsidRDefault="009A3B12" w14:paraId="363AFF1F" w14:textId="77777777">
      <w:pPr>
        <w:numPr>
          <w:ilvl w:val="0"/>
          <w:numId w:val="40"/>
        </w:numPr>
        <w:tabs>
          <w:tab w:val="clear" w:pos="720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>preconiza a concessão de financiamento suficiente para assistência técnica, uma melhor coordenação entre os instrumentos da UE (FEG, FSE+, FTJ), quadros sólidos de acompanhamento e avaliação através de dados qualitativos e quantitativos e campanhas de sensibilização, a fim de assegurar uma utilização equitativa e eficaz do FEG;</w:t>
      </w:r>
    </w:p>
    <w:p w:rsidRPr="009A3B12" w:rsidR="009A3B12" w:rsidP="00B60D9A" w:rsidRDefault="009A3B12" w14:paraId="105A125E" w14:textId="77777777">
      <w:pPr>
        <w:numPr>
          <w:ilvl w:val="0"/>
          <w:numId w:val="40"/>
        </w:numPr>
        <w:tabs>
          <w:tab w:val="clear" w:pos="720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284" w:hanging="284"/>
        <w:textAlignment w:val="baseline"/>
      </w:pPr>
      <w:r>
        <w:t>salienta a importância de realizar um diálogo social profícuo numa fase incipiente, de exigir das empresas beneficiárias a elaboração de planos de transição obrigatórios e de cumprir plenamente as diretivas da UE em matéria de informação, consulta e despedimentos coletivos.</w:t>
      </w:r>
    </w:p>
    <w:p w:rsidRPr="009A3B12" w:rsidR="009A3B12" w:rsidP="009A3B12" w:rsidRDefault="009A3B12" w14:paraId="6A7F6C46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szCs w:val="20"/>
          <w:lang w:val="en-GB"/>
        </w:rPr>
      </w:pPr>
    </w:p>
    <w:tbl>
      <w:tblPr>
        <w:tblStyle w:val="TableGrid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3529"/>
      </w:tblGrid>
      <w:tr w:rsidRPr="009A3B12" w:rsidR="001B71FA" w:rsidTr="001B71FA" w14:paraId="15A1BCBA" w14:textId="77777777">
        <w:tc>
          <w:tcPr>
            <w:tcW w:w="2093" w:type="dxa"/>
          </w:tcPr>
          <w:p w:rsidRPr="001B71FA" w:rsidR="001B71FA" w:rsidP="009A3B12" w:rsidRDefault="001B71FA" w14:paraId="3569A840" w14:textId="219354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2752" w:type="dxa"/>
          </w:tcPr>
          <w:p w:rsidRPr="001B71FA" w:rsidR="001B71FA" w:rsidP="009A3B12" w:rsidRDefault="001B71FA" w14:paraId="0DF1F070" w14:textId="4487F8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i/>
                <w:sz w:val="22"/>
                <w:szCs w:val="22"/>
              </w:rPr>
              <w:t>Bartek Bednarowicz</w:t>
            </w:r>
          </w:p>
        </w:tc>
      </w:tr>
      <w:tr w:rsidRPr="009A3B12" w:rsidR="001B71FA" w:rsidTr="001B71FA" w14:paraId="18B66F47" w14:textId="77777777">
        <w:tc>
          <w:tcPr>
            <w:tcW w:w="2093" w:type="dxa"/>
          </w:tcPr>
          <w:p w:rsidRPr="001B71FA" w:rsidR="001B71FA" w:rsidP="009A3B12" w:rsidRDefault="001B71FA" w14:paraId="78D1DC58" w14:textId="38B037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2752" w:type="dxa"/>
          </w:tcPr>
          <w:p w:rsidRPr="001B71FA" w:rsidR="001B71FA" w:rsidP="009A3B12" w:rsidRDefault="001B71FA" w14:paraId="4855A562" w14:textId="0F7FF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i/>
                <w:sz w:val="22"/>
                <w:szCs w:val="22"/>
              </w:rPr>
              <w:t>+32 2 546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71FA">
              <w:rPr>
                <w:i/>
                <w:sz w:val="22"/>
                <w:szCs w:val="22"/>
              </w:rPr>
              <w:t>92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71FA">
              <w:rPr>
                <w:i/>
                <w:sz w:val="22"/>
                <w:szCs w:val="22"/>
              </w:rPr>
              <w:t>29</w:t>
            </w:r>
          </w:p>
        </w:tc>
      </w:tr>
      <w:tr w:rsidRPr="009A3B12" w:rsidR="001B71FA" w:rsidTr="001B71FA" w14:paraId="7B9461F8" w14:textId="77777777">
        <w:tc>
          <w:tcPr>
            <w:tcW w:w="2093" w:type="dxa"/>
          </w:tcPr>
          <w:p w:rsidRPr="001B71FA" w:rsidR="001B71FA" w:rsidP="009A3B12" w:rsidRDefault="001B71FA" w14:paraId="29D7C5FE" w14:textId="5B5260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B71FA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2752" w:type="dxa"/>
          </w:tcPr>
          <w:p w:rsidRPr="001B71FA" w:rsidR="001B71FA" w:rsidP="009A3B12" w:rsidRDefault="001B71FA" w14:paraId="2D1E399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39">
              <w:r w:rsidRPr="001B71FA">
                <w:rPr>
                  <w:i/>
                  <w:color w:val="0000FF"/>
                  <w:sz w:val="22"/>
                  <w:szCs w:val="22"/>
                  <w:u w:val="single"/>
                </w:rPr>
                <w:t>Bartek.Bednarowicz@eesc.europa.eu</w:t>
              </w:r>
            </w:hyperlink>
          </w:p>
        </w:tc>
      </w:tr>
    </w:tbl>
    <w:p w:rsidR="004D7AC0" w:rsidP="004D7AC0" w:rsidRDefault="004D7AC0" w14:paraId="4982DDC5" w14:textId="03813085">
      <w:pPr>
        <w:spacing w:after="160" w:line="259" w:lineRule="auto"/>
        <w:jc w:val="left"/>
      </w:pPr>
      <w:r>
        <w:br w:type="page"/>
      </w:r>
    </w:p>
    <w:p w:rsidR="004D7AC0" w:rsidP="004D7AC0" w:rsidRDefault="004D7AC0" w14:paraId="4982DDC6" w14:textId="77777777">
      <w:pPr>
        <w:pStyle w:val="Heading1"/>
        <w:rPr>
          <w:b/>
        </w:rPr>
      </w:pPr>
      <w:bookmarkStart w:name="_Toc24617160" w:id="14"/>
      <w:bookmarkStart w:name="_Toc75527082" w:id="15"/>
      <w:bookmarkStart w:name="_Toc202353234" w:id="16"/>
      <w:r>
        <w:rPr>
          <w:b/>
        </w:rPr>
        <w:lastRenderedPageBreak/>
        <w:t>TRANSPORTES, ENERGIA, INFRAESTRUTURAS E SOCIEDADE DA INFORMAÇÃO</w:t>
      </w:r>
      <w:bookmarkEnd w:id="14"/>
      <w:bookmarkEnd w:id="15"/>
      <w:bookmarkEnd w:id="16"/>
    </w:p>
    <w:p w:rsidR="004D7AC0" w:rsidP="00290411" w:rsidRDefault="004D7AC0" w14:paraId="4982DDC7" w14:textId="77777777">
      <w:pPr>
        <w:widowControl w:val="0"/>
        <w:overflowPunct w:val="0"/>
        <w:autoSpaceDE w:val="0"/>
        <w:autoSpaceDN w:val="0"/>
        <w:adjustRightInd w:val="0"/>
        <w:spacing w:line="240" w:lineRule="auto"/>
        <w:ind w:left="709"/>
        <w:textAlignment w:val="baseline"/>
      </w:pPr>
    </w:p>
    <w:p w:rsidRPr="00240FD7" w:rsidR="00240FD7" w:rsidP="00240FD7" w:rsidRDefault="001C5DC4" w14:paraId="5D1441A9" w14:textId="025C096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 w:val="20"/>
          <w:szCs w:val="20"/>
        </w:rPr>
      </w:pPr>
      <w:hyperlink w:history="1" r:id="rId40">
        <w:r w:rsidR="00381CCE">
          <w:rPr>
            <w:b/>
            <w:i/>
            <w:color w:val="0000FF"/>
            <w:sz w:val="28"/>
            <w:u w:val="single"/>
          </w:rPr>
          <w:t>Rumo a um sistema energético europeu equilibrado</w:t>
        </w:r>
      </w:hyperlink>
    </w:p>
    <w:p w:rsidRPr="00240FD7" w:rsidR="00240FD7" w:rsidP="00290411" w:rsidRDefault="00240FD7" w14:paraId="6D27DCE3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709"/>
        <w:textAlignment w:val="baseline"/>
        <w:rPr>
          <w:b/>
          <w:lang w:val="en-GB"/>
        </w:rPr>
      </w:pPr>
    </w:p>
    <w:tbl>
      <w:tblPr>
        <w:tblStyle w:val="TableGrid11"/>
        <w:tblW w:w="4407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5660"/>
        <w:gridCol w:w="494"/>
      </w:tblGrid>
      <w:tr w:rsidRPr="00240FD7" w:rsidR="00240FD7" w:rsidTr="00290411" w14:paraId="42A3F122" w14:textId="77777777">
        <w:tc>
          <w:tcPr>
            <w:tcW w:w="1241" w:type="pct"/>
          </w:tcPr>
          <w:p w:rsidRPr="00290411" w:rsidR="00240FD7" w:rsidP="00240FD7" w:rsidRDefault="00240FD7" w14:paraId="2D51F14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290411">
              <w:rPr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3759" w:type="pct"/>
            <w:gridSpan w:val="2"/>
          </w:tcPr>
          <w:p w:rsidRPr="00290411" w:rsidR="00240FD7" w:rsidP="00240FD7" w:rsidRDefault="00240FD7" w14:paraId="3BA1A0D5" w14:textId="5E10BCD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290411">
              <w:rPr>
                <w:sz w:val="22"/>
                <w:szCs w:val="22"/>
              </w:rPr>
              <w:t>Zsolt Kükedi (HU</w:t>
            </w:r>
            <w:r w:rsidRPr="00290411" w:rsidR="00290411">
              <w:rPr>
                <w:sz w:val="22"/>
                <w:szCs w:val="22"/>
              </w:rPr>
              <w:t>-</w:t>
            </w:r>
            <w:r w:rsidRPr="00290411">
              <w:rPr>
                <w:sz w:val="22"/>
                <w:szCs w:val="22"/>
              </w:rPr>
              <w:t>Grupo das Organizações da Sociedade Civil)</w:t>
            </w:r>
          </w:p>
        </w:tc>
      </w:tr>
      <w:tr w:rsidRPr="00240FD7" w:rsidR="00240FD7" w:rsidTr="00290411" w14:paraId="480245EF" w14:textId="77777777">
        <w:trPr>
          <w:gridAfter w:val="1"/>
          <w:wAfter w:w="302" w:type="pct"/>
        </w:trPr>
        <w:tc>
          <w:tcPr>
            <w:tcW w:w="1241" w:type="pct"/>
          </w:tcPr>
          <w:p w:rsidRPr="00290411" w:rsidR="00240FD7" w:rsidP="00240FD7" w:rsidRDefault="00240FD7" w14:paraId="2666727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290411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3457" w:type="pct"/>
          </w:tcPr>
          <w:p w:rsidRPr="00290411" w:rsidR="00240FD7" w:rsidP="00240FD7" w:rsidRDefault="00240FD7" w14:paraId="4341A275" w14:textId="2ADB183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290411">
              <w:rPr>
                <w:sz w:val="22"/>
                <w:szCs w:val="22"/>
              </w:rPr>
              <w:t>Philippe Charry (FR</w:t>
            </w:r>
            <w:r w:rsidRPr="00290411" w:rsidR="00290411">
              <w:rPr>
                <w:sz w:val="22"/>
                <w:szCs w:val="22"/>
              </w:rPr>
              <w:t>-</w:t>
            </w:r>
            <w:r w:rsidRPr="00290411">
              <w:rPr>
                <w:sz w:val="22"/>
                <w:szCs w:val="22"/>
              </w:rPr>
              <w:t>Grupo dos Trabalhadores)</w:t>
            </w:r>
          </w:p>
        </w:tc>
      </w:tr>
      <w:tr w:rsidRPr="00240FD7" w:rsidR="00240FD7" w:rsidTr="00290411" w14:paraId="66FFD7F8" w14:textId="77777777">
        <w:trPr>
          <w:gridAfter w:val="1"/>
          <w:wAfter w:w="302" w:type="pct"/>
        </w:trPr>
        <w:tc>
          <w:tcPr>
            <w:tcW w:w="4698" w:type="pct"/>
            <w:gridSpan w:val="2"/>
          </w:tcPr>
          <w:p w:rsidRPr="00290411" w:rsidR="00240FD7" w:rsidP="00240FD7" w:rsidRDefault="00240FD7" w14:paraId="1A41BD1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240FD7" w:rsidR="00240FD7" w:rsidTr="00290411" w14:paraId="092A8E45" w14:textId="77777777">
        <w:trPr>
          <w:gridAfter w:val="1"/>
          <w:wAfter w:w="302" w:type="pct"/>
        </w:trPr>
        <w:tc>
          <w:tcPr>
            <w:tcW w:w="1241" w:type="pct"/>
            <w:vMerge w:val="restart"/>
          </w:tcPr>
          <w:p w:rsidRPr="00290411" w:rsidR="00240FD7" w:rsidP="00240FD7" w:rsidRDefault="00240FD7" w14:paraId="000D434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290411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3457" w:type="pct"/>
          </w:tcPr>
          <w:p w:rsidRPr="00290411" w:rsidR="00240FD7" w:rsidP="00240FD7" w:rsidRDefault="00240FD7" w14:paraId="17DAA9C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290411">
              <w:rPr>
                <w:sz w:val="22"/>
                <w:szCs w:val="22"/>
              </w:rPr>
              <w:t>Parecer de iniciativa</w:t>
            </w:r>
          </w:p>
          <w:p w:rsidRPr="00290411" w:rsidR="00240FD7" w:rsidP="00240FD7" w:rsidRDefault="00240FD7" w14:paraId="3AAFE68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290411">
              <w:rPr>
                <w:sz w:val="22"/>
                <w:szCs w:val="22"/>
              </w:rPr>
              <w:t>EESC-2025-00328-00-00-AC</w:t>
            </w:r>
          </w:p>
        </w:tc>
      </w:tr>
      <w:tr w:rsidRPr="00240FD7" w:rsidR="00240FD7" w:rsidTr="00290411" w14:paraId="683AC6FA" w14:textId="77777777">
        <w:trPr>
          <w:gridAfter w:val="1"/>
          <w:wAfter w:w="302" w:type="pct"/>
        </w:trPr>
        <w:tc>
          <w:tcPr>
            <w:tcW w:w="1241" w:type="pct"/>
            <w:vMerge/>
          </w:tcPr>
          <w:p w:rsidRPr="00240FD7" w:rsidR="00240FD7" w:rsidP="00240FD7" w:rsidRDefault="00240FD7" w14:paraId="40A09F3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457" w:type="pct"/>
          </w:tcPr>
          <w:p w:rsidRPr="00240FD7" w:rsidR="00240FD7" w:rsidP="00240FD7" w:rsidRDefault="00240FD7" w14:paraId="6D08087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240FD7" w:rsidR="00240FD7" w:rsidP="00240FD7" w:rsidRDefault="00240FD7" w14:paraId="6BA3086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240FD7" w:rsidR="00240FD7" w:rsidP="00290411" w:rsidRDefault="00240FD7" w14:paraId="68865F43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709"/>
        <w:textAlignment w:val="baseline"/>
        <w:rPr>
          <w:b/>
          <w:lang w:val="en-GB"/>
        </w:rPr>
      </w:pPr>
    </w:p>
    <w:p w:rsidRPr="00240FD7" w:rsidR="00240FD7" w:rsidP="00240FD7" w:rsidRDefault="00240FD7" w14:paraId="06017352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 (CESE):</w:t>
      </w:r>
    </w:p>
    <w:p w:rsidRPr="00240FD7" w:rsidR="00240FD7" w:rsidP="00290411" w:rsidRDefault="00240FD7" w14:paraId="00B1CC70" w14:textId="77777777">
      <w:pPr>
        <w:widowControl w:val="0"/>
        <w:overflowPunct w:val="0"/>
        <w:autoSpaceDE w:val="0"/>
        <w:autoSpaceDN w:val="0"/>
        <w:adjustRightInd w:val="0"/>
        <w:spacing w:line="240" w:lineRule="auto"/>
        <w:ind w:left="709"/>
        <w:textAlignment w:val="baseline"/>
        <w:rPr>
          <w:bCs/>
          <w:iCs/>
          <w:lang w:val="en-GB"/>
        </w:rPr>
      </w:pPr>
    </w:p>
    <w:p w:rsidRPr="00240FD7" w:rsidR="00240FD7" w:rsidP="00B60D9A" w:rsidRDefault="00240FD7" w14:paraId="3FFC8847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bCs/>
          <w:iCs/>
        </w:rPr>
      </w:pPr>
      <w:r>
        <w:t>considera que a acessibilidade dos preços da energia, a neutralidade carbónica e a segurança energética devem ser os principais objetivos de um sistema energético equilibrado;</w:t>
      </w:r>
    </w:p>
    <w:p w:rsidRPr="00240FD7" w:rsidR="00240FD7" w:rsidP="00B60D9A" w:rsidRDefault="00240FD7" w14:paraId="5604F059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bCs/>
          <w:iCs/>
        </w:rPr>
      </w:pPr>
      <w:r>
        <w:t>salienta que a manutenção da produção de carga de base e de uma matriz energética limpa diversificada é essencial para equilibrar a oferta e a procura, designadamente a produção intermitente e constante, as fontes controláveis e não controláveis e as diferenças energéticas a nível regional;</w:t>
      </w:r>
    </w:p>
    <w:p w:rsidRPr="00240FD7" w:rsidR="00240FD7" w:rsidP="00B60D9A" w:rsidRDefault="00240FD7" w14:paraId="1685627F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bCs/>
          <w:iCs/>
        </w:rPr>
      </w:pPr>
      <w:r>
        <w:t>subscreve o apelo da Comissão para se recomendar aos Estados-Membros que reduzam temporariamente os impostos e as taxas para conter os custos elevados, tal como referido no Plano de Ação para Energia a Preços Acessíveis;</w:t>
      </w:r>
    </w:p>
    <w:p w:rsidRPr="00240FD7" w:rsidR="00240FD7" w:rsidP="00B60D9A" w:rsidRDefault="00240FD7" w14:paraId="162065A6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bCs/>
          <w:iCs/>
        </w:rPr>
      </w:pPr>
      <w:r>
        <w:t>propõe um roteiro flexível, mas firme, para os Estados-Membros dependentes dos combustíveis fósseis, numa cooperação a nível da UE e nacional;</w:t>
      </w:r>
    </w:p>
    <w:p w:rsidRPr="00240FD7" w:rsidR="00240FD7" w:rsidP="00B60D9A" w:rsidRDefault="00240FD7" w14:paraId="73E85E07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bCs/>
          <w:iCs/>
        </w:rPr>
      </w:pPr>
      <w:r>
        <w:t>salienta a necessidade de aumentar a flexibilidade e a eficiência e o papel da gestão ativa da procura e do consumo inteligente e insta à realização de campanhas de sensibilização e à implantação de soluções para aumentar a eficiência, bem como de modelos empresariais que promovam o agrupamento dos recursos de consumidores e produtores de menor dimensão;</w:t>
      </w:r>
    </w:p>
    <w:p w:rsidRPr="00240FD7" w:rsidR="00240FD7" w:rsidP="00B60D9A" w:rsidRDefault="00240FD7" w14:paraId="346C32BF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bCs/>
          <w:iCs/>
        </w:rPr>
      </w:pPr>
      <w:r>
        <w:t>advoga a criação de interligações transfronteiriças mais rápidas e a modernização das infraestruturas para concluir a União da Energia e reforçar os fluxos internos de energia, em especial na sequência do recente apagão em Espanha e Portugal;</w:t>
      </w:r>
    </w:p>
    <w:p w:rsidRPr="00240FD7" w:rsidR="00240FD7" w:rsidP="00B60D9A" w:rsidRDefault="00240FD7" w14:paraId="35E39B22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</w:pPr>
      <w:r>
        <w:t>recomenda que se estudem formas de melhorar a utilização de fontes subaproveitadas (por exemplo, o recurso à energia geotérmica para produzir eletricidade, o biogás para a produção local) e de acelerar a inovação (eficiência, digitalização, flexibilidade da rede, integração setorial);</w:t>
      </w:r>
    </w:p>
    <w:p w:rsidRPr="00240FD7" w:rsidR="00240FD7" w:rsidP="00B60D9A" w:rsidRDefault="00240FD7" w14:paraId="77C347B5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szCs w:val="20"/>
        </w:rPr>
      </w:pPr>
      <w:r>
        <w:t>recomenda que se aumente a acessibilidade da produção descentralizada de energias renováveis (prossumidores e comunidades de energia) através da eliminação das lacunas regulamentares e da luta contra os conflitos de interesses;</w:t>
      </w:r>
    </w:p>
    <w:p w:rsidRPr="00240FD7" w:rsidR="00240FD7" w:rsidP="00B60D9A" w:rsidRDefault="00240FD7" w14:paraId="19A2DB39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426"/>
        <w:textAlignment w:val="baseline"/>
        <w:rPr>
          <w:szCs w:val="20"/>
        </w:rPr>
      </w:pPr>
      <w:r>
        <w:t>propõe a elaboração de um Plano de Ação Europeu de Estabilidade Transitória, que inclua avaliações de impacto obrigatórias da inércia sintética, testes de resposta transitória para novos ativos e avaliações anuais da resiliência do sistema elétrico a perturbações rápidas para evitar falhas generalizadas da rede.</w:t>
      </w:r>
    </w:p>
    <w:p w:rsidRPr="00240FD7" w:rsidR="00240FD7" w:rsidP="00290411" w:rsidRDefault="00240FD7" w14:paraId="17C0E5E9" w14:textId="77777777">
      <w:pPr>
        <w:widowControl w:val="0"/>
        <w:overflowPunct w:val="0"/>
        <w:autoSpaceDE w:val="0"/>
        <w:autoSpaceDN w:val="0"/>
        <w:adjustRightInd w:val="0"/>
        <w:spacing w:line="240" w:lineRule="auto"/>
        <w:ind w:left="709"/>
        <w:textAlignment w:val="baseline"/>
        <w:rPr>
          <w:szCs w:val="20"/>
          <w:lang w:val="en-GB"/>
        </w:rPr>
      </w:pPr>
    </w:p>
    <w:tbl>
      <w:tblPr>
        <w:tblStyle w:val="TableGrid1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240FD7" w:rsidR="00240FD7" w:rsidTr="001757A2" w14:paraId="7F5A586D" w14:textId="77777777">
        <w:tc>
          <w:tcPr>
            <w:tcW w:w="1556" w:type="pct"/>
          </w:tcPr>
          <w:p w:rsidRPr="00290411" w:rsidR="00240FD7" w:rsidP="00240FD7" w:rsidRDefault="00240FD7" w14:paraId="5E40EB1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290411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444" w:type="pct"/>
          </w:tcPr>
          <w:p w:rsidRPr="00290411" w:rsidR="00240FD7" w:rsidP="00240FD7" w:rsidRDefault="00240FD7" w14:paraId="7B86D9B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290411">
              <w:rPr>
                <w:i/>
                <w:sz w:val="22"/>
                <w:szCs w:val="22"/>
              </w:rPr>
              <w:t>Giorgia Bordignon</w:t>
            </w:r>
          </w:p>
        </w:tc>
      </w:tr>
      <w:tr w:rsidRPr="00240FD7" w:rsidR="00240FD7" w:rsidTr="001757A2" w14:paraId="3717A876" w14:textId="77777777">
        <w:tc>
          <w:tcPr>
            <w:tcW w:w="1556" w:type="pct"/>
          </w:tcPr>
          <w:p w:rsidRPr="00290411" w:rsidR="00240FD7" w:rsidP="00240FD7" w:rsidRDefault="00240FD7" w14:paraId="47FF5AF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290411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290411" w:rsidR="00240FD7" w:rsidP="00240FD7" w:rsidRDefault="00240FD7" w14:paraId="2A526C76" w14:textId="187059F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290411">
              <w:rPr>
                <w:i/>
                <w:sz w:val="22"/>
                <w:szCs w:val="22"/>
              </w:rPr>
              <w:t>+32 2 546</w:t>
            </w:r>
            <w:r w:rsidR="00290411">
              <w:rPr>
                <w:i/>
                <w:sz w:val="22"/>
                <w:szCs w:val="22"/>
              </w:rPr>
              <w:t xml:space="preserve"> </w:t>
            </w:r>
            <w:r w:rsidRPr="00290411">
              <w:rPr>
                <w:i/>
                <w:sz w:val="22"/>
                <w:szCs w:val="22"/>
              </w:rPr>
              <w:t>85</w:t>
            </w:r>
            <w:r w:rsidR="00290411">
              <w:rPr>
                <w:i/>
                <w:sz w:val="22"/>
                <w:szCs w:val="22"/>
              </w:rPr>
              <w:t xml:space="preserve"> </w:t>
            </w:r>
            <w:r w:rsidRPr="00290411">
              <w:rPr>
                <w:i/>
                <w:sz w:val="22"/>
                <w:szCs w:val="22"/>
              </w:rPr>
              <w:t>35</w:t>
            </w:r>
          </w:p>
        </w:tc>
      </w:tr>
      <w:tr w:rsidRPr="00240FD7" w:rsidR="00240FD7" w:rsidTr="001757A2" w14:paraId="3D1E5EB1" w14:textId="77777777">
        <w:tc>
          <w:tcPr>
            <w:tcW w:w="1556" w:type="pct"/>
          </w:tcPr>
          <w:p w:rsidRPr="00290411" w:rsidR="00240FD7" w:rsidP="00240FD7" w:rsidRDefault="00BD4876" w14:paraId="21A6762F" w14:textId="79A0E54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290411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444" w:type="pct"/>
          </w:tcPr>
          <w:p w:rsidRPr="00290411" w:rsidR="00240FD7" w:rsidP="00240FD7" w:rsidRDefault="001C5DC4" w14:paraId="0A10AF3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41">
              <w:r w:rsidRPr="00290411" w:rsidR="00381CCE">
                <w:rPr>
                  <w:i/>
                  <w:color w:val="0000FF"/>
                  <w:sz w:val="22"/>
                  <w:szCs w:val="22"/>
                  <w:u w:val="single"/>
                </w:rPr>
                <w:t>GiorgiaAndrea.Bordignon@eesc.europa.eu</w:t>
              </w:r>
            </w:hyperlink>
            <w:r w:rsidRPr="00290411" w:rsidR="00381CCE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Pr="00240FD7" w:rsidR="00240FD7" w:rsidP="00240FD7" w:rsidRDefault="001C5DC4" w14:paraId="2E1E7900" w14:textId="31C347E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2">
        <w:r w:rsidR="00381CCE">
          <w:rPr>
            <w:b/>
            <w:i/>
            <w:color w:val="0000FF"/>
            <w:sz w:val="28"/>
            <w:u w:val="single"/>
          </w:rPr>
          <w:t>Planeamento da mobilidade urbana sustentável na UE</w:t>
        </w:r>
      </w:hyperlink>
    </w:p>
    <w:p w:rsidRPr="00240FD7" w:rsidR="00240FD7" w:rsidP="00240FD7" w:rsidRDefault="00240FD7" w14:paraId="6214C6F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2"/>
        <w:tblW w:w="461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1"/>
        <w:gridCol w:w="6533"/>
      </w:tblGrid>
      <w:tr w:rsidRPr="00240FD7" w:rsidR="00240FD7" w:rsidTr="001757A2" w14:paraId="37155882" w14:textId="77777777">
        <w:tc>
          <w:tcPr>
            <w:tcW w:w="1186" w:type="pct"/>
          </w:tcPr>
          <w:p w:rsidRPr="007F5873" w:rsidR="00240FD7" w:rsidP="00240FD7" w:rsidRDefault="00240FD7" w14:paraId="52220D5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7F5873">
              <w:rPr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3814" w:type="pct"/>
          </w:tcPr>
          <w:p w:rsidRPr="007F5873" w:rsidR="00240FD7" w:rsidP="00240FD7" w:rsidRDefault="00240FD7" w14:paraId="7F674029" w14:textId="3E1F8AE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103" w:hanging="266"/>
              <w:textAlignment w:val="baseline"/>
              <w:rPr>
                <w:sz w:val="22"/>
                <w:szCs w:val="22"/>
              </w:rPr>
            </w:pPr>
            <w:r w:rsidRPr="007F5873">
              <w:rPr>
                <w:sz w:val="22"/>
                <w:szCs w:val="22"/>
              </w:rPr>
              <w:t>Lidija Pavić-Rogošić (HR</w:t>
            </w:r>
            <w:r w:rsidR="007F5873">
              <w:rPr>
                <w:sz w:val="22"/>
                <w:szCs w:val="22"/>
              </w:rPr>
              <w:t>-</w:t>
            </w:r>
            <w:r w:rsidRPr="007F5873">
              <w:rPr>
                <w:sz w:val="22"/>
                <w:szCs w:val="22"/>
              </w:rPr>
              <w:t>Grupo das Organizações da Sociedade Civil)</w:t>
            </w:r>
          </w:p>
        </w:tc>
      </w:tr>
      <w:tr w:rsidRPr="00240FD7" w:rsidR="00240FD7" w:rsidTr="001757A2" w14:paraId="646084EA" w14:textId="77777777">
        <w:tc>
          <w:tcPr>
            <w:tcW w:w="1186" w:type="pct"/>
          </w:tcPr>
          <w:p w:rsidRPr="007F5873" w:rsidR="00240FD7" w:rsidP="00240FD7" w:rsidRDefault="00240FD7" w14:paraId="48F1578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7F5873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3814" w:type="pct"/>
          </w:tcPr>
          <w:p w:rsidRPr="007F5873" w:rsidR="00240FD7" w:rsidP="00240FD7" w:rsidRDefault="00240FD7" w14:paraId="6DB8C4BD" w14:textId="5B20D14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7F5873">
              <w:rPr>
                <w:sz w:val="22"/>
                <w:szCs w:val="22"/>
              </w:rPr>
              <w:t>Mateusz Szymański (PL</w:t>
            </w:r>
            <w:r w:rsidR="007F5873">
              <w:rPr>
                <w:sz w:val="22"/>
                <w:szCs w:val="22"/>
              </w:rPr>
              <w:t>-</w:t>
            </w:r>
            <w:r w:rsidRPr="007F5873">
              <w:rPr>
                <w:sz w:val="22"/>
                <w:szCs w:val="22"/>
              </w:rPr>
              <w:t>Grupo dos Trabalhadores)</w:t>
            </w:r>
          </w:p>
        </w:tc>
      </w:tr>
      <w:tr w:rsidRPr="00240FD7" w:rsidR="00240FD7" w:rsidTr="001757A2" w14:paraId="25EEB81C" w14:textId="77777777">
        <w:tc>
          <w:tcPr>
            <w:tcW w:w="5000" w:type="pct"/>
            <w:gridSpan w:val="2"/>
          </w:tcPr>
          <w:p w:rsidRPr="007F5873" w:rsidR="00240FD7" w:rsidP="00240FD7" w:rsidRDefault="00240FD7" w14:paraId="65D7E1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240FD7" w:rsidR="00240FD7" w:rsidTr="001757A2" w14:paraId="5BEF82B7" w14:textId="77777777">
        <w:tc>
          <w:tcPr>
            <w:tcW w:w="1186" w:type="pct"/>
            <w:vMerge w:val="restart"/>
          </w:tcPr>
          <w:p w:rsidRPr="007F5873" w:rsidR="00240FD7" w:rsidP="00240FD7" w:rsidRDefault="00240FD7" w14:paraId="5219CA8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7F5873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3814" w:type="pct"/>
          </w:tcPr>
          <w:p w:rsidRPr="007F5873" w:rsidR="00240FD7" w:rsidP="00240FD7" w:rsidRDefault="00240FD7" w14:paraId="427BC4B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7F5873">
              <w:rPr>
                <w:sz w:val="22"/>
                <w:szCs w:val="22"/>
              </w:rPr>
              <w:t>Parecer de iniciativa</w:t>
            </w:r>
          </w:p>
          <w:p w:rsidRPr="007F5873" w:rsidR="00240FD7" w:rsidP="00240FD7" w:rsidRDefault="00240FD7" w14:paraId="2137276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7F5873">
              <w:rPr>
                <w:sz w:val="22"/>
                <w:szCs w:val="22"/>
              </w:rPr>
              <w:t>EESC-2025-00372-00-00-AC</w:t>
            </w:r>
          </w:p>
        </w:tc>
      </w:tr>
      <w:tr w:rsidRPr="00240FD7" w:rsidR="00240FD7" w:rsidTr="001757A2" w14:paraId="1B9C8807" w14:textId="77777777">
        <w:tc>
          <w:tcPr>
            <w:tcW w:w="1186" w:type="pct"/>
            <w:vMerge/>
          </w:tcPr>
          <w:p w:rsidRPr="00240FD7" w:rsidR="00240FD7" w:rsidP="00240FD7" w:rsidRDefault="00240FD7" w14:paraId="0E76A0B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14" w:type="pct"/>
          </w:tcPr>
          <w:p w:rsidRPr="00240FD7" w:rsidR="00240FD7" w:rsidP="00240FD7" w:rsidRDefault="00240FD7" w14:paraId="77FF639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240FD7" w:rsidR="00240FD7" w:rsidP="00240FD7" w:rsidRDefault="00240FD7" w14:paraId="2F625EE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 xml:space="preserve"> Pontos principais</w:t>
      </w:r>
    </w:p>
    <w:p w:rsidRPr="00240FD7" w:rsidR="00240FD7" w:rsidP="00240FD7" w:rsidRDefault="00240FD7" w14:paraId="6BE04A6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240FD7" w:rsidR="00240FD7" w:rsidP="00240FD7" w:rsidRDefault="00240FD7" w14:paraId="1692C32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 (CESE):</w:t>
      </w:r>
    </w:p>
    <w:p w:rsidRPr="00240FD7" w:rsidR="00240FD7" w:rsidP="00240FD7" w:rsidRDefault="00240FD7" w14:paraId="1756A86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240FD7" w:rsidR="00240FD7" w:rsidP="00B60D9A" w:rsidRDefault="00240FD7" w14:paraId="7288734D" w14:textId="7777777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recomenda a elaboração de planos de mobilidade urbana sustentável (PMUS) para melhorar a mobilidade urbana e reduzir o seu impacto ambiental; insta os Estados-Membros a elaborarem programas nacionais para ajudar os órgãos de poder local e regional na elaboração e execução dos PMUS através de orientações, reforço das capacidades e financiamento, e insta a Comissão a apoiar a continuação e a expansão das redes CIVINET;</w:t>
      </w:r>
    </w:p>
    <w:p w:rsidRPr="00240FD7" w:rsidR="00240FD7" w:rsidP="00B60D9A" w:rsidRDefault="00240FD7" w14:paraId="77BC4E06" w14:textId="7777777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salienta que os PMUS são fundamentais para um desenvolvimento regional equilibrado. Mobilizar a criatividade e o capital social de uma região é um passo vital; as organizações de empregadores, de trabalhadores e da sociedade civil têm um papel fundamental a desempenhar e devem ser incentivadas a contribuir para este diálogo. É importante chamar todas as partes interessadas pertinentes a nível local, nacional e da UE a participarem no planeamento, incluindo no que toca a questões transfronteiriças;</w:t>
      </w:r>
    </w:p>
    <w:p w:rsidRPr="00240FD7" w:rsidR="00240FD7" w:rsidP="00B60D9A" w:rsidRDefault="00240FD7" w14:paraId="0E0A4288" w14:textId="7777777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considera que, no planeamento da mobilidade «urbana», há que ter em mente que a vida social e económica das zonas urbanas se estende às zonas suburbanas, periurbanas e rurais e que importa ter em conta os seus pontos de vista e necessidades. A falta de eficiência no sistema de mobilidade cria e faz perdurar o fosso entre as zonas urbanas e rurais e as respetivas implicações negativas a nível económico, social e político. A equidade no sistema de mobilidade traduz-se numa mobilidade a preços acessíveis, que não cria privilégios para quem já se encontra numa posição privilegiada.</w:t>
      </w:r>
    </w:p>
    <w:p w:rsidRPr="00240FD7" w:rsidR="00240FD7" w:rsidP="00240FD7" w:rsidRDefault="00240FD7" w14:paraId="3AA702BF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240FD7" w:rsidR="00240FD7" w:rsidP="00240FD7" w:rsidRDefault="00240FD7" w14:paraId="34211ABA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2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240FD7" w:rsidR="00240FD7" w:rsidTr="001757A2" w14:paraId="052C1995" w14:textId="77777777">
        <w:tc>
          <w:tcPr>
            <w:tcW w:w="1556" w:type="pct"/>
          </w:tcPr>
          <w:p w:rsidRPr="007F5873" w:rsidR="00240FD7" w:rsidP="00240FD7" w:rsidRDefault="00240FD7" w14:paraId="750B140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F5873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444" w:type="pct"/>
          </w:tcPr>
          <w:p w:rsidRPr="007F5873" w:rsidR="00240FD7" w:rsidP="00240FD7" w:rsidRDefault="00240FD7" w14:paraId="450C552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F5873">
              <w:rPr>
                <w:i/>
                <w:sz w:val="22"/>
                <w:szCs w:val="22"/>
              </w:rPr>
              <w:t>Maja Radman</w:t>
            </w:r>
          </w:p>
        </w:tc>
      </w:tr>
      <w:tr w:rsidRPr="00240FD7" w:rsidR="00240FD7" w:rsidTr="001757A2" w14:paraId="60E956CE" w14:textId="77777777">
        <w:tc>
          <w:tcPr>
            <w:tcW w:w="1556" w:type="pct"/>
          </w:tcPr>
          <w:p w:rsidRPr="007F5873" w:rsidR="00240FD7" w:rsidP="00240FD7" w:rsidRDefault="00240FD7" w14:paraId="07DE1D2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F5873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7F5873" w:rsidR="00240FD7" w:rsidP="00240FD7" w:rsidRDefault="00240FD7" w14:paraId="6F105713" w14:textId="2780012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F5873">
              <w:rPr>
                <w:i/>
                <w:sz w:val="22"/>
                <w:szCs w:val="22"/>
              </w:rPr>
              <w:t>+32 2 546</w:t>
            </w:r>
            <w:r w:rsidR="007F5873">
              <w:rPr>
                <w:i/>
                <w:sz w:val="22"/>
                <w:szCs w:val="22"/>
              </w:rPr>
              <w:t xml:space="preserve"> </w:t>
            </w:r>
            <w:r w:rsidRPr="007F5873">
              <w:rPr>
                <w:i/>
                <w:sz w:val="22"/>
                <w:szCs w:val="22"/>
              </w:rPr>
              <w:t>90</w:t>
            </w:r>
            <w:r w:rsidR="007F5873">
              <w:rPr>
                <w:i/>
                <w:sz w:val="22"/>
                <w:szCs w:val="22"/>
              </w:rPr>
              <w:t xml:space="preserve"> </w:t>
            </w:r>
            <w:r w:rsidRPr="007F5873">
              <w:rPr>
                <w:i/>
                <w:sz w:val="22"/>
                <w:szCs w:val="22"/>
              </w:rPr>
              <w:t>51</w:t>
            </w:r>
          </w:p>
        </w:tc>
      </w:tr>
      <w:tr w:rsidRPr="00240FD7" w:rsidR="00240FD7" w:rsidTr="001757A2" w14:paraId="0A241900" w14:textId="77777777">
        <w:tc>
          <w:tcPr>
            <w:tcW w:w="1556" w:type="pct"/>
          </w:tcPr>
          <w:p w:rsidRPr="007F5873" w:rsidR="00240FD7" w:rsidP="00240FD7" w:rsidRDefault="00240FD7" w14:paraId="72B4140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F5873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444" w:type="pct"/>
          </w:tcPr>
          <w:p w:rsidRPr="007F5873" w:rsidR="00240FD7" w:rsidP="00240FD7" w:rsidRDefault="001C5DC4" w14:paraId="0171E9D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43">
              <w:r w:rsidRPr="007F5873" w:rsidR="00381CCE">
                <w:rPr>
                  <w:i/>
                  <w:color w:val="0000FF"/>
                  <w:sz w:val="22"/>
                  <w:szCs w:val="22"/>
                  <w:u w:val="single"/>
                </w:rPr>
                <w:t>Maja.Radman@eesc.europa.eu</w:t>
              </w:r>
            </w:hyperlink>
            <w:r w:rsidRPr="007F5873" w:rsidR="00381CCE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Pr="00240FD7" w:rsidR="00240FD7" w:rsidP="00240FD7" w:rsidRDefault="00240FD7" w14:paraId="25DFC435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4D7AC0" w:rsidP="004D7AC0" w:rsidRDefault="004D7AC0" w14:paraId="4982DDF2" w14:textId="50B1413F">
      <w:pPr>
        <w:spacing w:after="160" w:line="259" w:lineRule="auto"/>
        <w:jc w:val="left"/>
      </w:pPr>
      <w:r>
        <w:br w:type="page"/>
      </w:r>
    </w:p>
    <w:p w:rsidR="004D7AC0" w:rsidP="004D7AC0" w:rsidRDefault="004D7AC0" w14:paraId="4982DDF3" w14:textId="77777777">
      <w:pPr>
        <w:pStyle w:val="Heading1"/>
        <w:rPr>
          <w:b/>
        </w:rPr>
      </w:pPr>
      <w:bookmarkStart w:name="_Toc75527083" w:id="17"/>
      <w:bookmarkStart w:name="_Toc202353235" w:id="18"/>
      <w:r>
        <w:rPr>
          <w:b/>
        </w:rPr>
        <w:lastRenderedPageBreak/>
        <w:t>MERCADO ÚNICO, PRODUÇÃO E CONSUMO</w:t>
      </w:r>
      <w:bookmarkEnd w:id="17"/>
      <w:bookmarkEnd w:id="18"/>
    </w:p>
    <w:p w:rsidR="004D7AC0" w:rsidP="004D7AC0" w:rsidRDefault="004D7AC0" w14:paraId="4982DDF4" w14:textId="77777777"/>
    <w:p w:rsidRPr="00254761" w:rsidR="00254761" w:rsidP="00254761" w:rsidRDefault="001C5DC4" w14:paraId="5865EBE1" w14:textId="3E6DF70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tgtFrame="_blank" w:history="1" r:id="rId44">
        <w:r w:rsidR="00381CCE">
          <w:rPr>
            <w:b/>
            <w:i/>
            <w:color w:val="0000FF"/>
            <w:sz w:val="28"/>
            <w:u w:val="single"/>
          </w:rPr>
          <w:t>Políticas de dever de diligência relacionado com as baterias</w:t>
        </w:r>
      </w:hyperlink>
    </w:p>
    <w:p w:rsidRPr="00254761" w:rsidR="00254761" w:rsidP="00254761" w:rsidRDefault="00254761" w14:paraId="5917093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7195"/>
      </w:tblGrid>
      <w:tr w:rsidRPr="00254761" w:rsidR="00254761" w:rsidTr="001757A2" w14:paraId="54495A3D" w14:textId="77777777">
        <w:tc>
          <w:tcPr>
            <w:tcW w:w="9180" w:type="dxa"/>
            <w:gridSpan w:val="2"/>
          </w:tcPr>
          <w:p w:rsidRPr="00254761" w:rsidR="00254761" w:rsidP="00254761" w:rsidRDefault="00254761" w14:paraId="580F0BE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254761" w:rsidR="00254761" w:rsidTr="001757A2" w14:paraId="2F4C44FD" w14:textId="77777777">
        <w:tc>
          <w:tcPr>
            <w:tcW w:w="1985" w:type="dxa"/>
            <w:vMerge w:val="restart"/>
          </w:tcPr>
          <w:p w:rsidRPr="00ED265E" w:rsidR="00254761" w:rsidP="00254761" w:rsidRDefault="00254761" w14:paraId="1D17B984" w14:textId="09C91CA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ED265E">
              <w:rPr>
                <w:b/>
                <w:sz w:val="22"/>
                <w:szCs w:val="22"/>
              </w:rPr>
              <w:t>Referência</w:t>
            </w:r>
            <w:r w:rsidRPr="00ED265E" w:rsidR="00ED265E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7195" w:type="dxa"/>
          </w:tcPr>
          <w:p w:rsidRPr="00ED265E" w:rsidR="007435E6" w:rsidP="00254761" w:rsidRDefault="007435E6" w14:paraId="416BB1A8" w14:textId="3617077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Parecer da categoria C</w:t>
            </w:r>
          </w:p>
          <w:p w:rsidRPr="00ED265E" w:rsidR="00254761" w:rsidP="00254761" w:rsidRDefault="00254761" w14:paraId="3234D140" w14:textId="1D07704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COM(2025) 258 final</w:t>
            </w:r>
          </w:p>
        </w:tc>
      </w:tr>
      <w:tr w:rsidRPr="00254761" w:rsidR="00254761" w:rsidTr="001757A2" w14:paraId="3C451620" w14:textId="77777777">
        <w:tc>
          <w:tcPr>
            <w:tcW w:w="1985" w:type="dxa"/>
            <w:vMerge/>
          </w:tcPr>
          <w:p w:rsidRPr="00ED265E" w:rsidR="00254761" w:rsidP="00254761" w:rsidRDefault="00254761" w14:paraId="1BFF755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195" w:type="dxa"/>
          </w:tcPr>
          <w:p w:rsidRPr="00ED265E" w:rsidR="00254761" w:rsidP="00254761" w:rsidRDefault="00254761" w14:paraId="3245D69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EESC-2025-02082-00-00-AC</w:t>
            </w:r>
          </w:p>
        </w:tc>
      </w:tr>
    </w:tbl>
    <w:p w:rsidRPr="00254761" w:rsidR="00254761" w:rsidP="00254761" w:rsidRDefault="00254761" w14:paraId="416E8BD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254761" w:rsidR="00254761" w:rsidP="00254761" w:rsidRDefault="00254761" w14:paraId="48F866A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254761" w:rsidR="00254761" w:rsidP="00254761" w:rsidRDefault="00254761" w14:paraId="7C8674B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254761" w:rsidR="00254761" w:rsidP="00254761" w:rsidRDefault="00254761" w14:paraId="4D39B50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 (CESE) considera que o conteúdo da proposta é satisfatório e não suscita quaisquer observações.</w:t>
      </w:r>
    </w:p>
    <w:p w:rsidRPr="00254761" w:rsidR="00254761" w:rsidP="00254761" w:rsidRDefault="00254761" w14:paraId="39E3A2B1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Style w:val="TableGrid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Pr="00254761" w:rsidR="00254761" w:rsidTr="00ED265E" w14:paraId="4DF7D8AB" w14:textId="77777777">
        <w:tc>
          <w:tcPr>
            <w:tcW w:w="2093" w:type="dxa"/>
          </w:tcPr>
          <w:p w:rsidRPr="00ED265E" w:rsidR="00254761" w:rsidP="00254761" w:rsidRDefault="00254761" w14:paraId="6CE53A8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7087" w:type="dxa"/>
          </w:tcPr>
          <w:p w:rsidRPr="00ED265E" w:rsidR="00254761" w:rsidP="00254761" w:rsidRDefault="00254761" w14:paraId="3102A81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Alice Tétu</w:t>
            </w:r>
          </w:p>
        </w:tc>
      </w:tr>
      <w:tr w:rsidRPr="00254761" w:rsidR="00254761" w:rsidTr="00ED265E" w14:paraId="1A08D712" w14:textId="77777777">
        <w:tc>
          <w:tcPr>
            <w:tcW w:w="2093" w:type="dxa"/>
          </w:tcPr>
          <w:p w:rsidRPr="00ED265E" w:rsidR="00254761" w:rsidP="00254761" w:rsidRDefault="00254761" w14:paraId="383FEF30" w14:textId="3CED3DF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7087" w:type="dxa"/>
          </w:tcPr>
          <w:p w:rsidRPr="00ED265E" w:rsidR="00254761" w:rsidP="00254761" w:rsidRDefault="00254761" w14:paraId="07C7E0D4" w14:textId="0C2C91F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+ 32 2 546</w:t>
            </w:r>
            <w:r w:rsidR="00ED265E">
              <w:rPr>
                <w:i/>
                <w:sz w:val="22"/>
                <w:szCs w:val="22"/>
              </w:rPr>
              <w:t xml:space="preserve"> </w:t>
            </w:r>
            <w:r w:rsidRPr="00ED265E">
              <w:rPr>
                <w:i/>
                <w:sz w:val="22"/>
                <w:szCs w:val="22"/>
              </w:rPr>
              <w:t>82</w:t>
            </w:r>
            <w:r w:rsidR="00ED265E">
              <w:rPr>
                <w:i/>
                <w:sz w:val="22"/>
                <w:szCs w:val="22"/>
              </w:rPr>
              <w:t xml:space="preserve"> </w:t>
            </w:r>
            <w:r w:rsidRPr="00ED265E">
              <w:rPr>
                <w:i/>
                <w:sz w:val="22"/>
                <w:szCs w:val="22"/>
              </w:rPr>
              <w:t>86</w:t>
            </w:r>
          </w:p>
        </w:tc>
      </w:tr>
      <w:tr w:rsidRPr="00254761" w:rsidR="00254761" w:rsidTr="00ED265E" w14:paraId="5AABF235" w14:textId="77777777">
        <w:tc>
          <w:tcPr>
            <w:tcW w:w="2093" w:type="dxa"/>
          </w:tcPr>
          <w:p w:rsidRPr="00ED265E" w:rsidR="00254761" w:rsidP="00254761" w:rsidRDefault="00254761" w14:paraId="602F8DE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7087" w:type="dxa"/>
          </w:tcPr>
          <w:p w:rsidRPr="00ED265E" w:rsidR="00254761" w:rsidP="00254761" w:rsidRDefault="001C5DC4" w14:paraId="1B63B1E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45">
              <w:r w:rsidRPr="00ED265E" w:rsidR="00381CCE">
                <w:rPr>
                  <w:i/>
                  <w:color w:val="0000FF"/>
                  <w:sz w:val="22"/>
                  <w:szCs w:val="22"/>
                  <w:u w:val="single"/>
                </w:rPr>
                <w:t>Alice.Tetu@eesc.europa.eu</w:t>
              </w:r>
            </w:hyperlink>
          </w:p>
        </w:tc>
      </w:tr>
    </w:tbl>
    <w:p w:rsidR="00254761" w:rsidRDefault="00254761" w14:paraId="603D0B54" w14:textId="77777777">
      <w:pPr>
        <w:spacing w:after="160" w:line="259" w:lineRule="auto"/>
        <w:jc w:val="left"/>
        <w:rPr>
          <w:b/>
          <w:i/>
          <w:sz w:val="28"/>
          <w:szCs w:val="28"/>
          <w:lang w:val="en-GB"/>
        </w:rPr>
      </w:pPr>
    </w:p>
    <w:p w:rsidR="00254761" w:rsidRDefault="00254761" w14:paraId="13016555" w14:textId="77777777">
      <w:pPr>
        <w:spacing w:after="160" w:line="259" w:lineRule="auto"/>
        <w:jc w:val="left"/>
        <w:rPr>
          <w:b/>
          <w:i/>
          <w:sz w:val="28"/>
          <w:szCs w:val="28"/>
        </w:rPr>
      </w:pPr>
      <w:r>
        <w:br w:type="page"/>
      </w:r>
    </w:p>
    <w:p w:rsidRPr="0026311A" w:rsidR="0026311A" w:rsidP="0026311A" w:rsidRDefault="001C5DC4" w14:paraId="2CBAAB44" w14:textId="07F3548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w:tgtFrame="_blank" w:history="1" r:id="rId46">
        <w:r w:rsidR="00381CCE">
          <w:rPr>
            <w:b/>
            <w:i/>
            <w:color w:val="0000FF"/>
            <w:sz w:val="28"/>
            <w:u w:val="single"/>
          </w:rPr>
          <w:t xml:space="preserve">Primeiro pacote </w:t>
        </w:r>
        <w:r w:rsidR="00381CCE">
          <w:rPr>
            <w:b/>
            <w:i/>
            <w:iCs/>
            <w:color w:val="0000FF"/>
            <w:sz w:val="28"/>
            <w:u w:val="single"/>
          </w:rPr>
          <w:t>omnibus</w:t>
        </w:r>
        <w:r w:rsidR="00381CCE">
          <w:rPr>
            <w:b/>
            <w:i/>
            <w:color w:val="0000FF"/>
            <w:sz w:val="28"/>
            <w:u w:val="single"/>
          </w:rPr>
          <w:t xml:space="preserve"> sobre sustentabilidade</w:t>
        </w:r>
      </w:hyperlink>
      <w:r w:rsidR="00381CCE">
        <w:rPr>
          <w:b/>
          <w:i/>
          <w:sz w:val="28"/>
        </w:rPr>
        <w:t xml:space="preserve"> </w:t>
      </w:r>
    </w:p>
    <w:p w:rsidRPr="0026311A" w:rsidR="0026311A" w:rsidP="0026311A" w:rsidRDefault="0026311A" w14:paraId="1049256D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lang w:val="en-GB"/>
        </w:rPr>
      </w:pPr>
    </w:p>
    <w:tbl>
      <w:tblPr>
        <w:tblStyle w:val="TableGrid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26311A" w:rsidR="0026311A" w:rsidTr="001757A2" w14:paraId="5C3B6829" w14:textId="77777777">
        <w:tc>
          <w:tcPr>
            <w:tcW w:w="1701" w:type="dxa"/>
          </w:tcPr>
          <w:p w:rsidRPr="00ED265E" w:rsidR="0026311A" w:rsidP="0026311A" w:rsidRDefault="0026311A" w14:paraId="612D724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ED265E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5387" w:type="dxa"/>
          </w:tcPr>
          <w:p w:rsidRPr="00ED265E" w:rsidR="0026311A" w:rsidP="0026311A" w:rsidRDefault="0026311A" w14:paraId="27860A07" w14:textId="78A37D9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Matteo Carlo Borsani (IT</w:t>
            </w:r>
            <w:r w:rsidR="00ED265E">
              <w:rPr>
                <w:sz w:val="22"/>
                <w:szCs w:val="22"/>
              </w:rPr>
              <w:t>-</w:t>
            </w:r>
            <w:r w:rsidRPr="00ED265E">
              <w:rPr>
                <w:sz w:val="22"/>
                <w:szCs w:val="22"/>
              </w:rPr>
              <w:t>Grupo dos Empregadores)</w:t>
            </w:r>
          </w:p>
        </w:tc>
      </w:tr>
      <w:tr w:rsidRPr="0026311A" w:rsidR="0026311A" w:rsidTr="001757A2" w14:paraId="251B1ED6" w14:textId="77777777">
        <w:tc>
          <w:tcPr>
            <w:tcW w:w="7088" w:type="dxa"/>
            <w:gridSpan w:val="2"/>
          </w:tcPr>
          <w:p w:rsidRPr="00ED265E" w:rsidR="0026311A" w:rsidP="0026311A" w:rsidRDefault="0026311A" w14:paraId="6E17E0E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  <w:tr w:rsidRPr="0026311A" w:rsidR="0026311A" w:rsidTr="001757A2" w14:paraId="5FBF37DA" w14:textId="77777777">
        <w:tc>
          <w:tcPr>
            <w:tcW w:w="1701" w:type="dxa"/>
            <w:vMerge w:val="restart"/>
          </w:tcPr>
          <w:p w:rsidRPr="00ED265E" w:rsidR="0026311A" w:rsidP="0026311A" w:rsidRDefault="0026311A" w14:paraId="1C7ABE67" w14:textId="784B466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ED265E">
              <w:rPr>
                <w:b/>
                <w:sz w:val="22"/>
                <w:szCs w:val="22"/>
              </w:rPr>
              <w:t>Referência</w:t>
            </w:r>
            <w:r w:rsidR="00ED265E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387" w:type="dxa"/>
          </w:tcPr>
          <w:p w:rsidRPr="00ED265E" w:rsidR="0026311A" w:rsidP="0026311A" w:rsidRDefault="0026311A" w14:paraId="2BE733E9" w14:textId="0CDFAC1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COM(2025) 81 final</w:t>
            </w:r>
          </w:p>
        </w:tc>
      </w:tr>
      <w:tr w:rsidRPr="0026311A" w:rsidR="0026311A" w:rsidTr="001757A2" w14:paraId="4EFC7FE6" w14:textId="77777777">
        <w:tc>
          <w:tcPr>
            <w:tcW w:w="1701" w:type="dxa"/>
            <w:vMerge/>
          </w:tcPr>
          <w:p w:rsidRPr="00ED265E" w:rsidR="0026311A" w:rsidP="0026311A" w:rsidRDefault="0026311A" w14:paraId="45CE879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Pr="00ED265E" w:rsidR="0026311A" w:rsidP="0026311A" w:rsidRDefault="0026311A" w14:paraId="1F34FDE2" w14:textId="7BD9E6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EESC-2025-00896-00-00-AC</w:t>
            </w:r>
          </w:p>
        </w:tc>
      </w:tr>
    </w:tbl>
    <w:p w:rsidRPr="0026311A" w:rsidR="0026311A" w:rsidP="0026311A" w:rsidRDefault="0026311A" w14:paraId="47C3684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26311A" w:rsidR="0026311A" w:rsidP="0026311A" w:rsidRDefault="0026311A" w14:paraId="2E836D5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26311A" w:rsidR="0026311A" w:rsidP="0026311A" w:rsidRDefault="0026311A" w14:paraId="03057EE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26311A" w:rsidR="0026311A" w:rsidP="0026311A" w:rsidRDefault="0026311A" w14:paraId="04E1A8B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 (CESE):</w:t>
      </w:r>
    </w:p>
    <w:p w:rsidRPr="0026311A" w:rsidR="0026311A" w:rsidP="0026311A" w:rsidRDefault="0026311A" w14:paraId="6012AE61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26311A" w:rsidR="0026311A" w:rsidP="00B60D9A" w:rsidRDefault="0026311A" w14:paraId="47B8A2A9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exorta os colegisladores a </w:t>
      </w:r>
      <w:r>
        <w:rPr>
          <w:b/>
        </w:rPr>
        <w:t>preverem tempo suficiente para uma consulta inclusiva das partes interessadas e dos parceiros sociais</w:t>
      </w:r>
      <w:r>
        <w:t>;</w:t>
      </w:r>
    </w:p>
    <w:p w:rsidRPr="0026311A" w:rsidR="0026311A" w:rsidP="00B60D9A" w:rsidRDefault="0026311A" w14:paraId="1144F960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reconhece que </w:t>
      </w:r>
      <w:r>
        <w:rPr>
          <w:b/>
        </w:rPr>
        <w:t>as PME, em particular, têm dificuldade em aplicar processos de sustentabilidade e de transparência</w:t>
      </w:r>
      <w:r>
        <w:t>. As PME e os auditores precisam de mais assistência para se conformarem às normas, o que é essencial dada a importância vital de proteger os valores e os modelos sociais europeus;</w:t>
      </w:r>
    </w:p>
    <w:p w:rsidRPr="0026311A" w:rsidR="0026311A" w:rsidP="00B60D9A" w:rsidRDefault="0026311A" w14:paraId="1E1F9265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sublinha que o exercício do dever de diligência por parte das empresas é essencial para garantir </w:t>
      </w:r>
      <w:r>
        <w:rPr>
          <w:b/>
        </w:rPr>
        <w:t>uma conduta empresarial responsável e para promover cadeias de valor sustentáveis</w:t>
      </w:r>
      <w:r>
        <w:t xml:space="preserve"> e solicita </w:t>
      </w:r>
      <w:r>
        <w:rPr>
          <w:b/>
        </w:rPr>
        <w:t>regras e sanções claras e proporcionadas</w:t>
      </w:r>
      <w:r>
        <w:t xml:space="preserve">, que são fundamentais para que as empresas possam cumprir eficazmente as suas obrigações; </w:t>
      </w:r>
    </w:p>
    <w:p w:rsidRPr="0026311A" w:rsidR="0026311A" w:rsidP="00B60D9A" w:rsidRDefault="0026311A" w14:paraId="3C400136" w14:textId="716583D8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reconhece a intenção da Comissão de reorientar determinadas obrigações em matéria de dever de diligência para as operações próprias, as filiais e os parceiros comerciais diretos das empresas, mas solicita que </w:t>
      </w:r>
      <w:r>
        <w:rPr>
          <w:b/>
        </w:rPr>
        <w:t>seja ponderada uma derrogação para as empresas com menos de 500 trabalhadores que operam em setores de alto risco</w:t>
      </w:r>
      <w:r>
        <w:t xml:space="preserve">, salientando ao mesmo tempo que </w:t>
      </w:r>
      <w:r>
        <w:rPr>
          <w:b/>
        </w:rPr>
        <w:t>todas as empresas têm a obrigação de respeitar os direitos humanos</w:t>
      </w:r>
      <w:r>
        <w:t>;</w:t>
      </w:r>
    </w:p>
    <w:p w:rsidRPr="0026311A" w:rsidR="0026311A" w:rsidP="00B60D9A" w:rsidRDefault="0026311A" w14:paraId="7E7B4A42" w14:textId="4DF6CBB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insta os legisladores a clarificarem que as empresas devem adotar </w:t>
      </w:r>
      <w:r>
        <w:rPr>
          <w:b/>
        </w:rPr>
        <w:t>medidas adequadas para realizar avaliações aprofundadas, com base numa abordagem baseada nos riscos</w:t>
      </w:r>
      <w:r>
        <w:t xml:space="preserve"> e orientadas pelas suas próprias atividades de levantamento. Além disso, o CESE insta os colegisladores a reconsiderarem a escolha do conceito de «</w:t>
      </w:r>
      <w:r>
        <w:rPr>
          <w:b/>
        </w:rPr>
        <w:t>informações plausíveis</w:t>
      </w:r>
      <w:r>
        <w:t>», a fim de garantir uma maior segurança jurídica;</w:t>
      </w:r>
    </w:p>
    <w:p w:rsidRPr="0026311A" w:rsidR="0026311A" w:rsidP="00B60D9A" w:rsidRDefault="0026311A" w14:paraId="5ADCB76B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lamenta que tenha sido eliminada a </w:t>
      </w:r>
      <w:r>
        <w:rPr>
          <w:b/>
        </w:rPr>
        <w:t>possibilidade de as vítimas serem representadas por ONG</w:t>
      </w:r>
      <w:r>
        <w:t xml:space="preserve"> ou sindicatos em ações judiciais e expressa a sua preocupação pelo facto de tal poder limitar o acesso à justiça por parte das pessoas afetadas; convida a uma reflexão mais aprofundada sobre a forma de assegurar um apoio jurídico eficaz às vítimas, em especial as que enfrentam obstáculos estruturais ao acesso a vias de recurso.</w:t>
      </w:r>
    </w:p>
    <w:p w:rsidRPr="0026311A" w:rsidR="0026311A" w:rsidP="0026311A" w:rsidRDefault="0026311A" w14:paraId="60755E02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Pr="0026311A" w:rsidR="0026311A" w:rsidTr="00ED265E" w14:paraId="3BE180F7" w14:textId="77777777">
        <w:tc>
          <w:tcPr>
            <w:tcW w:w="2093" w:type="dxa"/>
          </w:tcPr>
          <w:p w:rsidRPr="00ED265E" w:rsidR="0026311A" w:rsidP="0026311A" w:rsidRDefault="0026311A" w14:paraId="11A4604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:rsidRPr="00ED265E" w:rsidR="0026311A" w:rsidP="0026311A" w:rsidRDefault="0026311A" w14:paraId="6A0E2655" w14:textId="579FCCA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Silvia Staffa</w:t>
            </w:r>
          </w:p>
        </w:tc>
      </w:tr>
      <w:tr w:rsidRPr="0026311A" w:rsidR="0026311A" w:rsidTr="00ED265E" w14:paraId="174E0FA4" w14:textId="77777777">
        <w:tc>
          <w:tcPr>
            <w:tcW w:w="2093" w:type="dxa"/>
          </w:tcPr>
          <w:p w:rsidRPr="00ED265E" w:rsidR="0026311A" w:rsidP="0026311A" w:rsidRDefault="0026311A" w14:paraId="551D67C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:rsidRPr="00ED265E" w:rsidR="0026311A" w:rsidP="0026311A" w:rsidRDefault="0026311A" w14:paraId="64226A1F" w14:textId="140D699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+ 32 2 546</w:t>
            </w:r>
            <w:r w:rsidR="00ED265E">
              <w:rPr>
                <w:i/>
                <w:sz w:val="22"/>
                <w:szCs w:val="22"/>
              </w:rPr>
              <w:t xml:space="preserve"> </w:t>
            </w:r>
            <w:r w:rsidRPr="00ED265E">
              <w:rPr>
                <w:i/>
                <w:sz w:val="22"/>
                <w:szCs w:val="22"/>
              </w:rPr>
              <w:t>83</w:t>
            </w:r>
            <w:r w:rsidR="00ED265E">
              <w:rPr>
                <w:i/>
                <w:sz w:val="22"/>
                <w:szCs w:val="22"/>
              </w:rPr>
              <w:t xml:space="preserve"> </w:t>
            </w:r>
            <w:r w:rsidRPr="00ED265E">
              <w:rPr>
                <w:i/>
                <w:sz w:val="22"/>
                <w:szCs w:val="22"/>
              </w:rPr>
              <w:t>78</w:t>
            </w:r>
          </w:p>
        </w:tc>
      </w:tr>
      <w:tr w:rsidRPr="0026311A" w:rsidR="0026311A" w:rsidTr="00ED265E" w14:paraId="2F97E083" w14:textId="77777777">
        <w:tc>
          <w:tcPr>
            <w:tcW w:w="2093" w:type="dxa"/>
          </w:tcPr>
          <w:p w:rsidRPr="00ED265E" w:rsidR="0026311A" w:rsidP="0026311A" w:rsidRDefault="009770F1" w14:paraId="28BABB08" w14:textId="5E7FEE2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:rsidRPr="00ED265E" w:rsidR="0026311A" w:rsidP="0026311A" w:rsidRDefault="001C5DC4" w14:paraId="1EA5DB1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47">
              <w:r w:rsidRPr="00ED265E" w:rsidR="00381CCE">
                <w:rPr>
                  <w:i/>
                  <w:color w:val="0000FF"/>
                  <w:sz w:val="22"/>
                  <w:szCs w:val="22"/>
                  <w:u w:val="single"/>
                </w:rPr>
                <w:t>Silvia.Staffa@eesc.europa.eu</w:t>
              </w:r>
            </w:hyperlink>
          </w:p>
          <w:p w:rsidRPr="00ED265E" w:rsidR="0026311A" w:rsidP="0026311A" w:rsidRDefault="0026311A" w14:paraId="5BD2587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</w:p>
        </w:tc>
      </w:tr>
    </w:tbl>
    <w:p w:rsidRPr="0026311A" w:rsidR="0026311A" w:rsidP="0026311A" w:rsidRDefault="0026311A" w14:paraId="708CC5EC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en-GB"/>
        </w:rPr>
      </w:pPr>
    </w:p>
    <w:p w:rsidR="004D7AC0" w:rsidP="004D7AC0" w:rsidRDefault="004D7AC0" w14:paraId="4982DE1E" w14:textId="77777777">
      <w:pPr>
        <w:spacing w:after="160" w:line="259" w:lineRule="auto"/>
        <w:jc w:val="left"/>
      </w:pPr>
      <w:r>
        <w:br w:type="page"/>
      </w:r>
    </w:p>
    <w:p w:rsidR="004D7AC0" w:rsidP="004D7AC0" w:rsidRDefault="004D7AC0" w14:paraId="4982DE1F" w14:textId="77777777">
      <w:pPr>
        <w:pStyle w:val="Heading1"/>
        <w:rPr>
          <w:b/>
        </w:rPr>
      </w:pPr>
      <w:bookmarkStart w:name="_Toc70322234" w:id="19"/>
      <w:bookmarkStart w:name="_Toc75527084" w:id="20"/>
      <w:bookmarkStart w:name="_Toc202353236" w:id="21"/>
      <w:r>
        <w:rPr>
          <w:b/>
        </w:rPr>
        <w:lastRenderedPageBreak/>
        <w:t>AGRICULTURA, DESENVOLVIMENTO RURAL E AMBIENTE</w:t>
      </w:r>
      <w:bookmarkEnd w:id="19"/>
      <w:bookmarkEnd w:id="20"/>
      <w:bookmarkEnd w:id="21"/>
    </w:p>
    <w:p w:rsidR="004D7AC0" w:rsidP="004D7AC0" w:rsidRDefault="004D7AC0" w14:paraId="4982DE20" w14:textId="77777777"/>
    <w:p w:rsidRPr="00B60D9A" w:rsidR="006179EF" w:rsidP="006179EF" w:rsidRDefault="001C5DC4" w14:paraId="36F81ECC" w14:textId="6CE12629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6"/>
          <w:szCs w:val="26"/>
        </w:rPr>
      </w:pPr>
      <w:hyperlink w:history="1" r:id="rId48">
        <w:r w:rsidR="00381CCE">
          <w:rPr>
            <w:b/>
            <w:i/>
            <w:color w:val="0000FF"/>
            <w:sz w:val="26"/>
            <w:u w:val="single"/>
          </w:rPr>
          <w:t>A agricultura regenerativa ao serviço de uma produção alimentar sustentável: um contributo para os objetivos em matéria de clima e biodiversidade</w:t>
        </w:r>
      </w:hyperlink>
    </w:p>
    <w:p w:rsidRPr="006179EF" w:rsidR="000959E6" w:rsidP="00B60D9A" w:rsidRDefault="000959E6" w14:paraId="0DF78EE1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sz w:val="26"/>
          <w:szCs w:val="26"/>
          <w:lang w:val="en-GB"/>
        </w:rPr>
      </w:pPr>
    </w:p>
    <w:p w:rsidRPr="006179EF" w:rsidR="006179EF" w:rsidP="006179EF" w:rsidRDefault="006179EF" w14:paraId="67C253B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2"/>
          <w:szCs w:val="12"/>
          <w:lang w:val="en-GB"/>
        </w:rPr>
      </w:pPr>
    </w:p>
    <w:tbl>
      <w:tblPr>
        <w:tblStyle w:val="TableGrid15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6821"/>
      </w:tblGrid>
      <w:tr w:rsidRPr="006179EF" w:rsidR="006179EF" w:rsidTr="001757A2" w14:paraId="6B6F3236" w14:textId="77777777">
        <w:tc>
          <w:tcPr>
            <w:tcW w:w="1148" w:type="pct"/>
          </w:tcPr>
          <w:p w:rsidRPr="00ED265E" w:rsidR="006179EF" w:rsidP="006179EF" w:rsidRDefault="006179EF" w14:paraId="2513A5D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ED265E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3852" w:type="pct"/>
          </w:tcPr>
          <w:p w:rsidRPr="00ED265E" w:rsidR="006179EF" w:rsidP="006179EF" w:rsidRDefault="006179EF" w14:paraId="7DCE390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Stoyan Tchoukanov (BG-Grupo das Organizações da Sociedade Civil)</w:t>
            </w:r>
          </w:p>
        </w:tc>
      </w:tr>
      <w:tr w:rsidRPr="006179EF" w:rsidR="006179EF" w:rsidTr="001757A2" w14:paraId="50308CCC" w14:textId="77777777">
        <w:tc>
          <w:tcPr>
            <w:tcW w:w="5000" w:type="pct"/>
            <w:gridSpan w:val="2"/>
          </w:tcPr>
          <w:p w:rsidRPr="00ED265E" w:rsidR="006179EF" w:rsidP="006179EF" w:rsidRDefault="006179EF" w14:paraId="23E62BF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6179EF" w:rsidR="006179EF" w:rsidTr="001757A2" w14:paraId="5AE231AC" w14:textId="77777777">
        <w:tc>
          <w:tcPr>
            <w:tcW w:w="1148" w:type="pct"/>
            <w:vMerge w:val="restart"/>
          </w:tcPr>
          <w:p w:rsidRPr="00ED265E" w:rsidR="006179EF" w:rsidP="006179EF" w:rsidRDefault="006179EF" w14:paraId="71965C8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ED265E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3852" w:type="pct"/>
          </w:tcPr>
          <w:p w:rsidRPr="00ED265E" w:rsidR="000959E6" w:rsidP="006179EF" w:rsidRDefault="000959E6" w14:paraId="5B3FA4A8" w14:textId="082D811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Parecer de iniciativa</w:t>
            </w:r>
          </w:p>
          <w:p w:rsidRPr="00ED265E" w:rsidR="006179EF" w:rsidP="006179EF" w:rsidRDefault="006179EF" w14:paraId="30698363" w14:textId="1481EFB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ED265E">
              <w:rPr>
                <w:sz w:val="22"/>
                <w:szCs w:val="22"/>
              </w:rPr>
              <w:t>EESC-2025-00954-00-00-AC</w:t>
            </w:r>
          </w:p>
        </w:tc>
      </w:tr>
      <w:tr w:rsidRPr="006179EF" w:rsidR="006179EF" w:rsidTr="001757A2" w14:paraId="45A33472" w14:textId="77777777">
        <w:tc>
          <w:tcPr>
            <w:tcW w:w="1148" w:type="pct"/>
            <w:vMerge/>
          </w:tcPr>
          <w:p w:rsidRPr="006179EF" w:rsidR="006179EF" w:rsidP="006179EF" w:rsidRDefault="006179EF" w14:paraId="329882F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:rsidRPr="006179EF" w:rsidR="006179EF" w:rsidP="006179EF" w:rsidRDefault="006179EF" w14:paraId="1FE5957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6"/>
                <w:szCs w:val="16"/>
              </w:rPr>
            </w:pPr>
          </w:p>
        </w:tc>
      </w:tr>
    </w:tbl>
    <w:p w:rsidRPr="006179EF" w:rsidR="006179EF" w:rsidP="006179EF" w:rsidRDefault="006179EF" w14:paraId="211FC0D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6179EF" w:rsidR="006179EF" w:rsidP="006179EF" w:rsidRDefault="006179EF" w14:paraId="5A35161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6179EF" w:rsidP="006179EF" w:rsidRDefault="006179EF" w14:paraId="419DA6C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 (CESE):</w:t>
      </w:r>
    </w:p>
    <w:p w:rsidRPr="006179EF" w:rsidR="006D5AE4" w:rsidP="006179EF" w:rsidRDefault="006D5AE4" w14:paraId="76129185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6179EF" w:rsidR="006179EF" w:rsidP="00B60D9A" w:rsidRDefault="006179EF" w14:paraId="581511FD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considera que as formas de agricultura regenerativas podem promover uma produção alimentar mais sustentável, contribuindo para os objetivos em matéria de clima, saúde dos solos e biodiversidade, bem como aumentar, simultaneamente, o rendimento dos agricultores, a produtividade agrícola e a resiliência a fenómenos climáticos extremos;</w:t>
      </w:r>
    </w:p>
    <w:p w:rsidRPr="006179EF" w:rsidR="006179EF" w:rsidP="00B60D9A" w:rsidRDefault="006179EF" w14:paraId="3B5FF8FE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entende que o atual quadro da UE não promove suficientemente formas de agricultura regenerativas, em particular no que diz respeito à saúde dos solos, que deve ser considerada um bem público;</w:t>
      </w:r>
    </w:p>
    <w:p w:rsidRPr="006179EF" w:rsidR="006179EF" w:rsidP="00B60D9A" w:rsidRDefault="006179EF" w14:paraId="6BDFF932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observa que a agricultura regenerativa promove uma nova narrativa para a agricultura suscetível de estimular a renovação do setor, atraindo jovens e novos operadores, e fomentar modelos empresariais e financiamento sustentáveis;</w:t>
      </w:r>
    </w:p>
    <w:p w:rsidRPr="006179EF" w:rsidR="006179EF" w:rsidP="00B60D9A" w:rsidRDefault="006179EF" w14:paraId="0A67D39A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insta, por conseguinte, a que se chegue a um entendimento comum do termo «agricultura regenerativa» e dos benefícios destas práticas para a sociedade no seu conjunto, e solicita a adaptação do quadro regulamentar da UE, a fim de reconhecer e apoiar estas práticas;</w:t>
      </w:r>
    </w:p>
    <w:p w:rsidRPr="006179EF" w:rsidR="006179EF" w:rsidP="00B60D9A" w:rsidRDefault="006179EF" w14:paraId="4C2D65BB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propõe uma definição que sublinhe os resultados positivos da agricultura regenerativa nos três pilares da sustentabilidade: a agricultura regenerativa é uma abordagem agrícola adaptável e assente nos resultados que aplica métodos comprovados na prática e baseados em dados científicos, com impactos positivos no ambiente, na subsistência das comunidades agrícolas e na saúde pública, assegurando a resiliência dos rendimentos, a competitividade e a eficiência, bem como resultados a nível social;</w:t>
      </w:r>
    </w:p>
    <w:p w:rsidRPr="006179EF" w:rsidR="006179EF" w:rsidP="00B60D9A" w:rsidRDefault="006179EF" w14:paraId="04A485E9" w14:textId="77777777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propõe também a utilização de indicadores de curto e de longo prazo baseados nos resultados e no desempenho obtidos através dos sistemas de controlo ou medição existentes, para alinhar os instrumentos políticos, os mecanismos financeiros, os quadros regulamentares e as normas aplicáveis às cadeias de abastecimento;</w:t>
      </w:r>
    </w:p>
    <w:p w:rsidRPr="00ED265E" w:rsidR="006179EF" w:rsidP="006D5AE4" w:rsidRDefault="006179EF" w14:paraId="4BAA0B87" w14:textId="59A90C69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rFonts w:ascii="Calibri" w:hAnsi="Calibri"/>
        </w:rPr>
      </w:pPr>
      <w:r>
        <w:t xml:space="preserve">insta a Comissão Europeia e os Estados-Membros da UE a expandirem as formas de agricultura regenerativas, alinhando o financiamento (tanto no âmbito da PAC como noutros domínios), alargando consideravelmente as medidas em matéria de saúde dos solos/cobertura do solo nos planos estratégicos da PAC, criando ou reforçando serviços de aconselhamento independentes e redes de apoio pelos pares, apoiando mudanças de mentalidade, realizando projetos específicos de investigação e inovação, aumentando o apoio ao investimento, reforçando a colaboração entre os setores público e privado, simplificando e alinhando os quadros regulamentares em vigor e propondo um ambiente de incentivos favorável (em especial nos primeiros anos de conversão), apoiando seguros de transição adaptados ao contexto, assegurando preços justos para produtos de </w:t>
      </w:r>
      <w:r>
        <w:lastRenderedPageBreak/>
        <w:t>qualidade graças a uma melhor distribuição do valor na cadeia agroalimentar e garantindo melhores condições para a transferência de terras.</w:t>
      </w:r>
    </w:p>
    <w:p w:rsidR="00ED265E" w:rsidP="00ED265E" w:rsidRDefault="00ED265E" w14:paraId="454E01DE" w14:textId="5CAA86CD">
      <w:pPr>
        <w:overflowPunct w:val="0"/>
        <w:autoSpaceDE w:val="0"/>
        <w:autoSpaceDN w:val="0"/>
        <w:adjustRightInd w:val="0"/>
        <w:spacing w:line="276" w:lineRule="auto"/>
        <w:ind w:left="284"/>
        <w:contextualSpacing/>
        <w:textAlignment w:val="baseline"/>
      </w:pPr>
    </w:p>
    <w:tbl>
      <w:tblPr>
        <w:tblStyle w:val="TableGrid15"/>
        <w:tblpPr w:leftFromText="180" w:rightFromText="180" w:vertAnchor="text" w:horzAnchor="page" w:tblpX="1746" w:tblpY="-40"/>
        <w:tblW w:w="274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3001"/>
      </w:tblGrid>
      <w:tr w:rsidRPr="00B60D9A" w:rsidR="00ED265E" w:rsidTr="00ED265E" w14:paraId="2E317378" w14:textId="77777777">
        <w:tc>
          <w:tcPr>
            <w:tcW w:w="2054" w:type="pct"/>
          </w:tcPr>
          <w:p w:rsidRPr="00ED265E" w:rsidR="00ED265E" w:rsidP="00EB6CF6" w:rsidRDefault="00ED265E" w14:paraId="13A6408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36" w:firstLine="536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b/>
                <w:i/>
                <w:sz w:val="22"/>
                <w:szCs w:val="22"/>
              </w:rPr>
              <w:t xml:space="preserve">Contacto </w:t>
            </w:r>
          </w:p>
        </w:tc>
        <w:tc>
          <w:tcPr>
            <w:tcW w:w="2946" w:type="pct"/>
          </w:tcPr>
          <w:p w:rsidRPr="00ED265E" w:rsidR="00ED265E" w:rsidP="00EB6CF6" w:rsidRDefault="00ED265E" w14:paraId="6C059BA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36" w:firstLine="536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Martine Delanoy</w:t>
            </w:r>
          </w:p>
        </w:tc>
      </w:tr>
      <w:tr w:rsidRPr="00B60D9A" w:rsidR="00ED265E" w:rsidTr="00ED265E" w14:paraId="7653B4D4" w14:textId="77777777">
        <w:tc>
          <w:tcPr>
            <w:tcW w:w="2054" w:type="pct"/>
          </w:tcPr>
          <w:p w:rsidRPr="00ED265E" w:rsidR="00ED265E" w:rsidP="00EB6CF6" w:rsidRDefault="00ED265E" w14:paraId="3A278AC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36" w:firstLine="536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2946" w:type="pct"/>
          </w:tcPr>
          <w:p w:rsidRPr="00ED265E" w:rsidR="00ED265E" w:rsidP="00EB6CF6" w:rsidRDefault="00ED265E" w14:paraId="1A02BE85" w14:textId="62090E0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36" w:firstLine="536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+32 2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D265E">
              <w:rPr>
                <w:i/>
                <w:sz w:val="22"/>
                <w:szCs w:val="22"/>
              </w:rPr>
              <w:t>546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D265E">
              <w:rPr>
                <w:i/>
                <w:sz w:val="22"/>
                <w:szCs w:val="22"/>
              </w:rPr>
              <w:t>98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D265E">
              <w:rPr>
                <w:i/>
                <w:sz w:val="22"/>
                <w:szCs w:val="22"/>
              </w:rPr>
              <w:t>02</w:t>
            </w:r>
          </w:p>
        </w:tc>
      </w:tr>
      <w:tr w:rsidRPr="006D5AE4" w:rsidR="00ED265E" w:rsidTr="00ED265E" w14:paraId="0F159DDA" w14:textId="77777777">
        <w:tc>
          <w:tcPr>
            <w:tcW w:w="2054" w:type="pct"/>
          </w:tcPr>
          <w:p w:rsidRPr="00ED265E" w:rsidR="00ED265E" w:rsidP="00EB6CF6" w:rsidRDefault="00ED265E" w14:paraId="044D11E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36" w:firstLine="536"/>
              <w:textAlignment w:val="baseline"/>
              <w:rPr>
                <w:i/>
                <w:sz w:val="22"/>
                <w:szCs w:val="22"/>
              </w:rPr>
            </w:pPr>
            <w:r w:rsidRPr="00ED265E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2946" w:type="pct"/>
          </w:tcPr>
          <w:p w:rsidRPr="00ED265E" w:rsidR="00ED265E" w:rsidP="00EB6CF6" w:rsidRDefault="00ED265E" w14:paraId="1BB5233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36" w:firstLine="536"/>
              <w:textAlignment w:val="baseline"/>
              <w:rPr>
                <w:i/>
                <w:sz w:val="22"/>
                <w:szCs w:val="22"/>
              </w:rPr>
            </w:pPr>
            <w:hyperlink w:history="1" r:id="rId49">
              <w:r w:rsidRPr="00ED265E">
                <w:rPr>
                  <w:i/>
                  <w:color w:val="0000FF"/>
                  <w:sz w:val="22"/>
                  <w:szCs w:val="22"/>
                  <w:u w:val="single"/>
                </w:rPr>
                <w:t>Martine.Delanoy@eesc.europa.eu</w:t>
              </w:r>
            </w:hyperlink>
            <w:r w:rsidRPr="00ED265E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Pr="00B60D9A" w:rsidR="00ED265E" w:rsidP="00ED265E" w:rsidRDefault="00ED265E" w14:paraId="1502488F" w14:textId="77777777">
      <w:pPr>
        <w:overflowPunct w:val="0"/>
        <w:autoSpaceDE w:val="0"/>
        <w:autoSpaceDN w:val="0"/>
        <w:adjustRightInd w:val="0"/>
        <w:spacing w:line="276" w:lineRule="auto"/>
        <w:ind w:left="284"/>
        <w:contextualSpacing/>
        <w:textAlignment w:val="baseline"/>
        <w:rPr>
          <w:rFonts w:ascii="Calibri" w:hAnsi="Calibri"/>
        </w:rPr>
      </w:pPr>
    </w:p>
    <w:p w:rsidRPr="00B60D9A" w:rsidR="004F6E52" w:rsidP="00B60D9A" w:rsidRDefault="004F6E52" w14:paraId="7FF3E47F" w14:textId="77777777">
      <w:pPr>
        <w:overflowPunct w:val="0"/>
        <w:autoSpaceDE w:val="0"/>
        <w:autoSpaceDN w:val="0"/>
        <w:adjustRightInd w:val="0"/>
        <w:spacing w:line="276" w:lineRule="auto"/>
        <w:ind w:left="360"/>
        <w:contextualSpacing/>
        <w:textAlignment w:val="baseline"/>
        <w:rPr>
          <w:rFonts w:ascii="Calibri" w:hAnsi="Calibri"/>
          <w:lang w:val="en-GB" w:eastAsia="zh-CN"/>
        </w:rPr>
      </w:pPr>
    </w:p>
    <w:p w:rsidRPr="00B60D9A" w:rsidR="006D5AE4" w:rsidP="00B60D9A" w:rsidRDefault="006D5AE4" w14:paraId="2C4DCFE7" w14:textId="77777777">
      <w:pPr>
        <w:overflowPunct w:val="0"/>
        <w:autoSpaceDE w:val="0"/>
        <w:autoSpaceDN w:val="0"/>
        <w:adjustRightInd w:val="0"/>
        <w:spacing w:line="276" w:lineRule="auto"/>
        <w:ind w:left="360"/>
        <w:contextualSpacing/>
        <w:textAlignment w:val="baseline"/>
        <w:rPr>
          <w:rFonts w:ascii="Calibri" w:hAnsi="Calibri"/>
          <w:lang w:val="en-GB" w:eastAsia="zh-CN"/>
        </w:rPr>
      </w:pPr>
    </w:p>
    <w:p w:rsidR="006D5AE4" w:rsidP="006D5AE4" w:rsidRDefault="006D5AE4" w14:paraId="47D75CF9" w14:textId="77777777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lang w:eastAsia="zh-CN"/>
        </w:rPr>
      </w:pPr>
    </w:p>
    <w:p w:rsidR="00055407" w:rsidRDefault="00055407" w14:paraId="20B8A69F" w14:textId="7F6D1EF8">
      <w:pPr>
        <w:spacing w:after="160" w:line="259" w:lineRule="auto"/>
        <w:jc w:val="left"/>
        <w:rPr>
          <w:rFonts w:ascii="Calibri" w:hAnsi="Calibri"/>
        </w:rPr>
      </w:pPr>
      <w:r>
        <w:br w:type="page"/>
      </w:r>
    </w:p>
    <w:p w:rsidR="007F5784" w:rsidP="007F5784" w:rsidRDefault="007F5784" w14:paraId="14026A78" w14:textId="4FAE1588">
      <w:pPr>
        <w:pStyle w:val="Heading1"/>
        <w:rPr>
          <w:b/>
        </w:rPr>
      </w:pPr>
      <w:bookmarkStart w:name="_Toc202353237" w:id="22"/>
      <w:r>
        <w:rPr>
          <w:b/>
        </w:rPr>
        <w:lastRenderedPageBreak/>
        <w:t>RELAÇÕES EXTERNAS</w:t>
      </w:r>
      <w:bookmarkEnd w:id="22"/>
    </w:p>
    <w:p w:rsidR="007F5784" w:rsidP="007F5784" w:rsidRDefault="007F5784" w14:paraId="3BBB3E68" w14:textId="77777777"/>
    <w:p w:rsidRPr="006179EF" w:rsidR="006179EF" w:rsidP="006179EF" w:rsidRDefault="006179EF" w14:paraId="276A5E66" w14:textId="5AA2032A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color w:val="0000FF"/>
          <w:sz w:val="20"/>
          <w:szCs w:val="20"/>
          <w:u w:val="single"/>
        </w:rPr>
      </w:pPr>
      <w:r w:rsidRPr="006179EF">
        <w:rPr>
          <w:b/>
          <w:i/>
          <w:sz w:val="28"/>
        </w:rPr>
        <w:fldChar w:fldCharType="begin"/>
      </w:r>
      <w:r w:rsidRPr="006179EF">
        <w:rPr>
          <w:b/>
          <w:i/>
          <w:sz w:val="28"/>
        </w:rPr>
        <w:instrText>HYPERLINK "https://www.eesc.europa.eu/en/our-work/opinions-information-reports/opinions/fragmentation-supply-chains-and-impact-cost-living"</w:instrText>
      </w:r>
      <w:r w:rsidRPr="006179EF">
        <w:rPr>
          <w:b/>
          <w:i/>
          <w:sz w:val="28"/>
        </w:rPr>
        <w:fldChar w:fldCharType="separate"/>
      </w:r>
      <w:r>
        <w:rPr>
          <w:b/>
          <w:i/>
          <w:color w:val="0000FF"/>
          <w:sz w:val="28"/>
          <w:u w:val="single"/>
        </w:rPr>
        <w:t>Fragmentação das cadeias de abastecimento e impacto no custo de vida</w:t>
      </w:r>
    </w:p>
    <w:p w:rsidRPr="00B55BCB" w:rsidR="006179EF" w:rsidP="006179EF" w:rsidRDefault="006179EF" w14:paraId="36B4319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4"/>
          <w:szCs w:val="24"/>
        </w:rPr>
      </w:pPr>
      <w:r w:rsidRPr="006179EF">
        <w:rPr>
          <w:b/>
          <w:i/>
          <w:sz w:val="28"/>
        </w:rPr>
        <w:fldChar w:fldCharType="end"/>
      </w:r>
    </w:p>
    <w:tbl>
      <w:tblPr>
        <w:tblStyle w:val="TableGrid16"/>
        <w:tblW w:w="492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2"/>
        <w:gridCol w:w="7112"/>
      </w:tblGrid>
      <w:tr w:rsidRPr="00B55BCB" w:rsidR="006179EF" w:rsidTr="001757A2" w14:paraId="1A577F91" w14:textId="77777777">
        <w:tc>
          <w:tcPr>
            <w:tcW w:w="1111" w:type="pct"/>
          </w:tcPr>
          <w:p w:rsidRPr="00B55BCB" w:rsidR="006179EF" w:rsidP="006179EF" w:rsidRDefault="006179EF" w14:paraId="39DEF71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B55BCB">
              <w:rPr>
                <w:b/>
                <w:sz w:val="22"/>
                <w:szCs w:val="22"/>
              </w:rPr>
              <w:t>Relator</w:t>
            </w:r>
          </w:p>
          <w:p w:rsidRPr="00B55BCB" w:rsidR="006179EF" w:rsidP="006179EF" w:rsidRDefault="006179EF" w14:paraId="39BAC4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B55BCB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3889" w:type="pct"/>
          </w:tcPr>
          <w:p w:rsidRPr="00B55BCB" w:rsidR="006179EF" w:rsidP="006179EF" w:rsidRDefault="006179EF" w14:paraId="4D0CF44A" w14:textId="069F6FA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B55BCB">
              <w:rPr>
                <w:sz w:val="22"/>
                <w:szCs w:val="22"/>
              </w:rPr>
              <w:t>Dimitris Dimitriadis (EL</w:t>
            </w:r>
            <w:r w:rsidRPr="00B55BCB" w:rsidR="00DC7B88">
              <w:rPr>
                <w:sz w:val="22"/>
                <w:szCs w:val="22"/>
              </w:rPr>
              <w:t>-</w:t>
            </w:r>
            <w:r w:rsidRPr="00B55BCB">
              <w:rPr>
                <w:sz w:val="22"/>
                <w:szCs w:val="22"/>
              </w:rPr>
              <w:t>Grupo dos Empregadores)</w:t>
            </w:r>
          </w:p>
          <w:p w:rsidRPr="00B55BCB" w:rsidR="006179EF" w:rsidP="006179EF" w:rsidRDefault="006179EF" w14:paraId="05048B0F" w14:textId="4EEAE36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B55BCB">
              <w:rPr>
                <w:sz w:val="22"/>
                <w:szCs w:val="22"/>
              </w:rPr>
              <w:t>Anastasis Yiapanis (CY</w:t>
            </w:r>
            <w:r w:rsidRPr="00B55BCB" w:rsidR="00DC7B88">
              <w:rPr>
                <w:sz w:val="22"/>
                <w:szCs w:val="22"/>
              </w:rPr>
              <w:t>-</w:t>
            </w:r>
            <w:r w:rsidRPr="00B55BCB">
              <w:rPr>
                <w:sz w:val="22"/>
                <w:szCs w:val="22"/>
              </w:rPr>
              <w:t>Grupo das Organizações da Sociedade Civil)</w:t>
            </w:r>
          </w:p>
        </w:tc>
      </w:tr>
      <w:tr w:rsidRPr="00B55BCB" w:rsidR="006179EF" w:rsidTr="001757A2" w14:paraId="1A7B410F" w14:textId="77777777">
        <w:tc>
          <w:tcPr>
            <w:tcW w:w="5000" w:type="pct"/>
            <w:gridSpan w:val="2"/>
          </w:tcPr>
          <w:p w:rsidRPr="00B55BCB" w:rsidR="006179EF" w:rsidP="006179EF" w:rsidRDefault="006179EF" w14:paraId="29C58B3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B55BCB" w:rsidR="006179EF" w:rsidTr="001757A2" w14:paraId="0CC40A64" w14:textId="77777777">
        <w:tc>
          <w:tcPr>
            <w:tcW w:w="1111" w:type="pct"/>
          </w:tcPr>
          <w:p w:rsidRPr="00B55BCB" w:rsidR="006179EF" w:rsidP="006179EF" w:rsidRDefault="006179EF" w14:paraId="057BA22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B55BCB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3889" w:type="pct"/>
          </w:tcPr>
          <w:p w:rsidRPr="00B55BCB" w:rsidR="00651562" w:rsidP="006179EF" w:rsidRDefault="00651562" w14:paraId="1E9C436D" w14:textId="3E28A31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B55BCB">
              <w:rPr>
                <w:sz w:val="22"/>
                <w:szCs w:val="22"/>
              </w:rPr>
              <w:t>Parecer de iniciativa</w:t>
            </w:r>
          </w:p>
          <w:p w:rsidRPr="00B55BCB" w:rsidR="006179EF" w:rsidP="006179EF" w:rsidRDefault="006179EF" w14:paraId="7307C957" w14:textId="41596C4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B55BCB">
              <w:rPr>
                <w:sz w:val="22"/>
                <w:szCs w:val="22"/>
              </w:rPr>
              <w:t>EESC-2025-00037-00-00-AC</w:t>
            </w:r>
          </w:p>
        </w:tc>
      </w:tr>
    </w:tbl>
    <w:p w:rsidRPr="006179EF" w:rsidR="006179EF" w:rsidP="006179EF" w:rsidRDefault="006179EF" w14:paraId="57CF548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6179EF" w:rsidR="006179EF" w:rsidP="006179EF" w:rsidRDefault="006179EF" w14:paraId="47E998D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6179EF" w:rsidR="006179EF" w:rsidP="006179EF" w:rsidRDefault="006179EF" w14:paraId="6799C1A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6179EF" w:rsidP="006179EF" w:rsidRDefault="006179EF" w14:paraId="10A80BE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 (CESE):</w:t>
      </w:r>
    </w:p>
    <w:p w:rsidRPr="006179EF" w:rsidR="00651562" w:rsidP="006179EF" w:rsidRDefault="00651562" w14:paraId="2B564F9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6179EF" w:rsidR="006179EF" w:rsidP="00B60D9A" w:rsidRDefault="006179EF" w14:paraId="19DE432A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salienta que a UE </w:t>
      </w:r>
      <w:r>
        <w:rPr>
          <w:b/>
        </w:rPr>
        <w:t>deve reduzir as dependências em relação às importações</w:t>
      </w:r>
      <w:r>
        <w:t xml:space="preserve">, em especial de materiais críticos como os produtos farmacêuticos e os semicondutores, e </w:t>
      </w:r>
      <w:r>
        <w:rPr>
          <w:b/>
        </w:rPr>
        <w:t>diversificar as cadeias de abastecimento</w:t>
      </w:r>
      <w:r>
        <w:t xml:space="preserve">, promovendo várias </w:t>
      </w:r>
      <w:r>
        <w:rPr>
          <w:b/>
        </w:rPr>
        <w:t>parcerias internacionais</w:t>
      </w:r>
      <w:r>
        <w:t>;</w:t>
      </w:r>
    </w:p>
    <w:p w:rsidRPr="006179EF" w:rsidR="006179EF" w:rsidP="00B60D9A" w:rsidRDefault="006179EF" w14:paraId="7EC36158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frisa que é urgente reforçar a resiliência económica através de </w:t>
      </w:r>
      <w:r>
        <w:rPr>
          <w:b/>
        </w:rPr>
        <w:t>investimentos específicos em indústrias e infraestruturas estratégicas</w:t>
      </w:r>
      <w:r>
        <w:t xml:space="preserve"> e </w:t>
      </w:r>
      <w:r>
        <w:rPr>
          <w:b/>
        </w:rPr>
        <w:t>colmatar as disparidades de produtividade</w:t>
      </w:r>
      <w:r>
        <w:t xml:space="preserve"> entre os produtores europeus. Esses investimentos devem fazer parte de uma política industrial bem coordenada, abrangente e devidamente financiada;</w:t>
      </w:r>
    </w:p>
    <w:p w:rsidRPr="006179EF" w:rsidR="006179EF" w:rsidP="00B60D9A" w:rsidRDefault="006179EF" w14:paraId="287A6AED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recomenda </w:t>
      </w:r>
      <w:r>
        <w:rPr>
          <w:b/>
        </w:rPr>
        <w:t>alargar os acordos comerciais</w:t>
      </w:r>
      <w:r>
        <w:t xml:space="preserve">, especialmente com parceiros fiáveis do Sul Global, e defende a </w:t>
      </w:r>
      <w:r>
        <w:rPr>
          <w:b/>
        </w:rPr>
        <w:t>melhoria da eficiência regulamentar</w:t>
      </w:r>
      <w:r>
        <w:t xml:space="preserve"> a fim de racionalizar os quadros regulamentares complexos da UE </w:t>
      </w:r>
      <w:r>
        <w:rPr>
          <w:b/>
        </w:rPr>
        <w:t>sem comprometer as suas elevadas normas</w:t>
      </w:r>
      <w:r>
        <w:t>;</w:t>
      </w:r>
    </w:p>
    <w:p w:rsidRPr="006179EF" w:rsidR="006179EF" w:rsidP="00B60D9A" w:rsidRDefault="006179EF" w14:paraId="7B64C69C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exorta a que continue a promover-se a inclusão de </w:t>
      </w:r>
      <w:r>
        <w:rPr>
          <w:b/>
        </w:rPr>
        <w:t>capítulos vinculativos e executórios sobre comércio e desenvolvimento sustentável</w:t>
      </w:r>
      <w:r>
        <w:t xml:space="preserve"> para proteger os mercados da UE contra práticas de concorrência desleal decorrentes de normas de produção anormalmente baixas;</w:t>
      </w:r>
    </w:p>
    <w:p w:rsidRPr="006179EF" w:rsidR="006179EF" w:rsidP="00B60D9A" w:rsidRDefault="006179EF" w14:paraId="64243792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reclama </w:t>
      </w:r>
      <w:r>
        <w:rPr>
          <w:b/>
        </w:rPr>
        <w:t>mecanismos reforçados de apoio financeiro e técnico às micro, pequenas e médias empresas (MPME)</w:t>
      </w:r>
      <w:r>
        <w:t xml:space="preserve"> para as ajudar a diversificar os fornecedores, a adotar modelos empresariais sustentáveis e a lidar com as complexidades regulamentares;</w:t>
      </w:r>
    </w:p>
    <w:p w:rsidRPr="006179EF" w:rsidR="006179EF" w:rsidP="00B60D9A" w:rsidRDefault="006179EF" w14:paraId="5C74C144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frisa a importância de </w:t>
      </w:r>
      <w:r>
        <w:rPr>
          <w:b/>
        </w:rPr>
        <w:t>mais investimentos em investigação e desenvolvimento</w:t>
      </w:r>
      <w:r>
        <w:t xml:space="preserve"> para as indústrias de alta tecnologia e a indústria transformadora sustentável, incluindo uma </w:t>
      </w:r>
      <w:r>
        <w:rPr>
          <w:b/>
        </w:rPr>
        <w:t>maior utilização da inteligência artificial</w:t>
      </w:r>
      <w:r>
        <w:t xml:space="preserve"> e da cadeia de blocos para otimizar a gestão da cadeia de abastecimento;</w:t>
      </w:r>
    </w:p>
    <w:p w:rsidRPr="006179EF" w:rsidR="006179EF" w:rsidP="00B60D9A" w:rsidRDefault="006179EF" w14:paraId="062736C2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realça que são necessárias </w:t>
      </w:r>
      <w:r>
        <w:rPr>
          <w:b/>
        </w:rPr>
        <w:t>iniciativas específicas de educação e formação</w:t>
      </w:r>
      <w:r>
        <w:t xml:space="preserve"> para reforçar as competências dos trabalhadores, </w:t>
      </w:r>
      <w:r>
        <w:rPr>
          <w:b/>
        </w:rPr>
        <w:t>promover a mobilidade laboral</w:t>
      </w:r>
      <w:r>
        <w:t xml:space="preserve"> no mercado único e </w:t>
      </w:r>
      <w:r>
        <w:rPr>
          <w:b/>
        </w:rPr>
        <w:t>atrair e reter talentos</w:t>
      </w:r>
      <w:r>
        <w:t xml:space="preserve">, de forma a </w:t>
      </w:r>
      <w:r>
        <w:rPr>
          <w:b/>
        </w:rPr>
        <w:t>aumentar a sua capacidade de inovação</w:t>
      </w:r>
      <w:r>
        <w:t>.</w:t>
      </w:r>
    </w:p>
    <w:p w:rsidRPr="006179EF" w:rsidR="006179EF" w:rsidP="006179EF" w:rsidRDefault="006179EF" w14:paraId="296C56EB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16"/>
          <w:szCs w:val="16"/>
          <w:lang w:val="en-GB"/>
        </w:rPr>
      </w:pPr>
    </w:p>
    <w:tbl>
      <w:tblPr>
        <w:tblStyle w:val="TableGrid16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Pr="00DC7B88" w:rsidR="006179EF" w:rsidTr="001757A2" w14:paraId="679F4C15" w14:textId="77777777">
        <w:tc>
          <w:tcPr>
            <w:tcW w:w="1556" w:type="pct"/>
          </w:tcPr>
          <w:p w:rsidRPr="00DC7B88" w:rsidR="006179EF" w:rsidP="006179EF" w:rsidRDefault="006179EF" w14:paraId="3C4F2FD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444" w:type="pct"/>
          </w:tcPr>
          <w:p w:rsidRPr="00DC7B88" w:rsidR="006179EF" w:rsidP="006179EF" w:rsidRDefault="006179EF" w14:paraId="44EA327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Marco Ristori</w:t>
            </w:r>
          </w:p>
        </w:tc>
      </w:tr>
      <w:tr w:rsidRPr="00DC7B88" w:rsidR="006179EF" w:rsidTr="001757A2" w14:paraId="7E487032" w14:textId="77777777">
        <w:tc>
          <w:tcPr>
            <w:tcW w:w="1556" w:type="pct"/>
          </w:tcPr>
          <w:p w:rsidRPr="00DC7B88" w:rsidR="006179EF" w:rsidP="006179EF" w:rsidRDefault="006179EF" w14:paraId="6536B2B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DC7B88" w:rsidR="006179EF" w:rsidP="006179EF" w:rsidRDefault="006179EF" w14:paraId="7E72342C" w14:textId="7A8334C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+32 2 546</w:t>
            </w:r>
            <w:r w:rsidR="00DC7B88">
              <w:rPr>
                <w:i/>
                <w:sz w:val="22"/>
                <w:szCs w:val="22"/>
              </w:rPr>
              <w:t xml:space="preserve"> </w:t>
            </w:r>
            <w:r w:rsidRPr="00DC7B88">
              <w:rPr>
                <w:i/>
                <w:sz w:val="22"/>
                <w:szCs w:val="22"/>
              </w:rPr>
              <w:t>99</w:t>
            </w:r>
            <w:r w:rsidR="00DC7B88">
              <w:rPr>
                <w:i/>
                <w:sz w:val="22"/>
                <w:szCs w:val="22"/>
              </w:rPr>
              <w:t xml:space="preserve"> </w:t>
            </w:r>
            <w:r w:rsidRPr="00DC7B88">
              <w:rPr>
                <w:i/>
                <w:sz w:val="22"/>
                <w:szCs w:val="22"/>
              </w:rPr>
              <w:t>69</w:t>
            </w:r>
          </w:p>
        </w:tc>
      </w:tr>
      <w:tr w:rsidRPr="00DC7B88" w:rsidR="006179EF" w:rsidTr="001757A2" w14:paraId="68C451DB" w14:textId="77777777">
        <w:tc>
          <w:tcPr>
            <w:tcW w:w="1556" w:type="pct"/>
          </w:tcPr>
          <w:p w:rsidRPr="00DC7B88" w:rsidR="006179EF" w:rsidP="006179EF" w:rsidRDefault="006179EF" w14:paraId="3C0523E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444" w:type="pct"/>
          </w:tcPr>
          <w:p w:rsidRPr="00DC7B88" w:rsidR="006179EF" w:rsidP="006179EF" w:rsidRDefault="001C5DC4" w14:paraId="2C3E300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50">
              <w:r w:rsidRPr="00DC7B88" w:rsidR="00381CCE">
                <w:rPr>
                  <w:i/>
                  <w:color w:val="0000FF"/>
                  <w:sz w:val="22"/>
                  <w:szCs w:val="22"/>
                  <w:u w:val="single"/>
                </w:rPr>
                <w:t>Marco.Ristori@eesc.europa.eu</w:t>
              </w:r>
            </w:hyperlink>
          </w:p>
        </w:tc>
      </w:tr>
    </w:tbl>
    <w:p w:rsidRPr="00DC7B88" w:rsidR="00055407" w:rsidP="006179EF" w:rsidRDefault="00055407" w14:paraId="1955FA32" w14:textId="0F805188">
      <w:pPr>
        <w:ind w:left="710"/>
        <w:rPr>
          <w:b/>
          <w:i/>
          <w:sz w:val="32"/>
          <w:szCs w:val="32"/>
          <w:lang w:val="en-GB"/>
        </w:rPr>
      </w:pPr>
    </w:p>
    <w:p w:rsidR="00055407" w:rsidRDefault="00055407" w14:paraId="48C49104" w14:textId="77777777">
      <w:pPr>
        <w:spacing w:after="160" w:line="259" w:lineRule="auto"/>
        <w:jc w:val="left"/>
        <w:rPr>
          <w:b/>
          <w:i/>
          <w:sz w:val="28"/>
          <w:szCs w:val="28"/>
        </w:rPr>
      </w:pPr>
      <w:r>
        <w:br w:type="page"/>
      </w:r>
    </w:p>
    <w:p w:rsidRPr="00AE7912" w:rsidR="00AE7912" w:rsidP="00AE7912" w:rsidRDefault="001C5DC4" w14:paraId="471A5D31" w14:textId="7485F03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ind w:hanging="567"/>
        <w:jc w:val="left"/>
        <w:textAlignment w:val="baseline"/>
        <w:rPr>
          <w:b/>
          <w:bCs/>
          <w:i/>
          <w:iCs/>
          <w:color w:val="0000FF"/>
          <w:sz w:val="28"/>
          <w:szCs w:val="28"/>
          <w:u w:val="single"/>
        </w:rPr>
      </w:pPr>
      <w:hyperlink w:history="1" r:id="rId51">
        <w:r w:rsidR="00381CCE">
          <w:rPr>
            <w:b/>
            <w:i/>
            <w:color w:val="0000FF"/>
            <w:sz w:val="28"/>
            <w:u w:val="single"/>
          </w:rPr>
          <w:t>A situação das organizações da sociedade civil nos países da ASEAN</w:t>
        </w:r>
      </w:hyperlink>
    </w:p>
    <w:p w:rsidRPr="00AE7912" w:rsidR="00AE7912" w:rsidP="00AE7912" w:rsidRDefault="00AE7912" w14:paraId="5975EE80" w14:textId="77777777">
      <w:pPr>
        <w:widowControl w:val="0"/>
        <w:overflowPunct w:val="0"/>
        <w:autoSpaceDE w:val="0"/>
        <w:autoSpaceDN w:val="0"/>
        <w:adjustRightInd w:val="0"/>
        <w:ind w:left="567"/>
        <w:jc w:val="left"/>
        <w:textAlignment w:val="baseline"/>
        <w:rPr>
          <w:sz w:val="20"/>
          <w:szCs w:val="20"/>
          <w:lang w:val="en-GB"/>
        </w:rPr>
      </w:pPr>
    </w:p>
    <w:p w:rsidRPr="00AE7912" w:rsidR="00AE7912" w:rsidP="00AE7912" w:rsidRDefault="00AE7912" w14:paraId="1C4B8C34" w14:textId="77777777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sz w:val="20"/>
          <w:szCs w:val="20"/>
          <w:lang w:val="en-GB"/>
        </w:rPr>
      </w:pPr>
    </w:p>
    <w:tbl>
      <w:tblPr>
        <w:tblStyle w:val="TableGrid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AE7912" w:rsidR="00AE7912" w:rsidTr="001757A2" w14:paraId="7635A0CF" w14:textId="77777777">
        <w:trPr>
          <w:trHeight w:val="330"/>
        </w:trPr>
        <w:tc>
          <w:tcPr>
            <w:tcW w:w="1701" w:type="dxa"/>
          </w:tcPr>
          <w:p w:rsidRPr="00DC7B88" w:rsidR="00AE7912" w:rsidP="00AE7912" w:rsidRDefault="00AE7912" w14:paraId="194E695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C7B88">
              <w:rPr>
                <w:b/>
                <w:sz w:val="22"/>
                <w:szCs w:val="22"/>
              </w:rPr>
              <w:t>Relatora</w:t>
            </w:r>
          </w:p>
        </w:tc>
        <w:tc>
          <w:tcPr>
            <w:tcW w:w="5387" w:type="dxa"/>
          </w:tcPr>
          <w:p w:rsidRPr="00DC7B88" w:rsidR="00AE7912" w:rsidP="00AE7912" w:rsidRDefault="00AE7912" w14:paraId="6BC39091" w14:textId="5D2DE030">
            <w:pPr>
              <w:tabs>
                <w:tab w:val="center" w:pos="258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  <w:r w:rsidRPr="00DC7B88">
              <w:rPr>
                <w:sz w:val="22"/>
                <w:szCs w:val="22"/>
              </w:rPr>
              <w:t>Erika Koller (HU</w:t>
            </w:r>
            <w:r w:rsidR="00DC7B88">
              <w:rPr>
                <w:sz w:val="22"/>
                <w:szCs w:val="22"/>
              </w:rPr>
              <w:t>-</w:t>
            </w:r>
            <w:r w:rsidRPr="00DC7B88">
              <w:rPr>
                <w:sz w:val="22"/>
                <w:szCs w:val="22"/>
              </w:rPr>
              <w:t>Grupo dos Trabalhadores)</w:t>
            </w:r>
          </w:p>
          <w:p w:rsidRPr="00DC7B88" w:rsidR="004F6E52" w:rsidP="00AE7912" w:rsidRDefault="004F6E52" w14:paraId="702C7FF4" w14:textId="5C863D55">
            <w:pPr>
              <w:tabs>
                <w:tab w:val="center" w:pos="2585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  <w:tr w:rsidRPr="00AE7912" w:rsidR="00AE7912" w:rsidTr="001757A2" w14:paraId="1D543515" w14:textId="77777777">
        <w:tc>
          <w:tcPr>
            <w:tcW w:w="1701" w:type="dxa"/>
          </w:tcPr>
          <w:p w:rsidRPr="00DC7B88" w:rsidR="00AE7912" w:rsidP="00AE7912" w:rsidRDefault="00AE7912" w14:paraId="0267181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C7B88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5387" w:type="dxa"/>
          </w:tcPr>
          <w:p w:rsidRPr="00DC7B88" w:rsidR="00C504F7" w:rsidP="00AE7912" w:rsidRDefault="00C504F7" w14:paraId="008BF5D5" w14:textId="53E2F32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C7B88">
              <w:rPr>
                <w:sz w:val="22"/>
                <w:szCs w:val="22"/>
              </w:rPr>
              <w:t>Relatório de informação</w:t>
            </w:r>
          </w:p>
          <w:p w:rsidRPr="00DC7B88" w:rsidR="00AE7912" w:rsidP="00AE7912" w:rsidRDefault="00AE7912" w14:paraId="4813092F" w14:textId="37923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C7B88">
              <w:rPr>
                <w:sz w:val="22"/>
                <w:szCs w:val="22"/>
              </w:rPr>
              <w:t>EESC-2025-00840-00-00-RI</w:t>
            </w:r>
          </w:p>
        </w:tc>
      </w:tr>
    </w:tbl>
    <w:p w:rsidRPr="00AE7912" w:rsidR="00AE7912" w:rsidP="00AE7912" w:rsidRDefault="00AE7912" w14:paraId="42852B6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AE7912" w:rsidR="00AE7912" w:rsidP="00AE7912" w:rsidRDefault="00AE7912" w14:paraId="09DF519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AE7912" w:rsidR="00AE7912" w:rsidP="00AE7912" w:rsidRDefault="00AE7912" w14:paraId="574A87D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AE7912" w:rsidR="00AE7912" w:rsidP="00B60D9A" w:rsidRDefault="00AE7912" w14:paraId="614934F7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O presente relatório visa ilustrar a evolução das relações entre a Associação das Nações do Sudeste Asiático (ASEAN) e a União Europeia (UE), nomeadamente no que se refere ao papel da sociedade civil e ao desenvolvimento sustentável no contexto da cooperação comercial e política. </w:t>
      </w:r>
    </w:p>
    <w:p w:rsidRPr="00AE7912" w:rsidR="00AE7912" w:rsidP="00B60D9A" w:rsidRDefault="00AE7912" w14:paraId="5081D1FA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As duas regiões têm mais em comum do que o que geralmente se reconhece. Uma parceria sólida entre a UE e a ASEAN, assente numa cooperação baseada em princípios e no respeito recíproco pelas abordagens políticas de cada parte, representa uma força estabilizadora num contexto mundial cada vez mais volátil. Ambas as partes partilham o apoio à ordem internacional assente em regras, bem como o compromisso em prol da paz e do desenvolvimento. </w:t>
      </w:r>
    </w:p>
    <w:p w:rsidRPr="00AE7912" w:rsidR="00AE7912" w:rsidP="00B60D9A" w:rsidRDefault="00AE7912" w14:paraId="1F615364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As relações UE-ASEAN seguem um ritmo estabelecido de reuniões anuais e de grupos de trabalho, incluindo um comité misto que contribui para diálogos ministeriais de alto nível e uma cooperação industrial levada a cabo através de fóruns especializados. </w:t>
      </w:r>
    </w:p>
    <w:p w:rsidRPr="00AE7912" w:rsidR="00AE7912" w:rsidP="00B60D9A" w:rsidRDefault="00AE7912" w14:paraId="73C8E88F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A sociedade civil desempenha um papel central na promoção da cooperação inter-regional, em particular impulsionando processos políticos participativos e apoiando os esforços de consolidação entre as regiões. Para os países que partilham dos mesmos valores, é essencial reconhecer as complexas realidades políticas, sociais e culturais do Sudeste Asiático, que podem diferir significativamente das expectativas europeias. Superar estas diferenças é fundamental para cultivar um diálogo institucionalizado, aberto e inclusivo, em que a sociedade civil tenha uma participação significativa. Para manter um diálogo deste tipo, há que reconsiderar as estratégias de participação e as realidades locais, assegurando a inclusão das vozes marginalizadas, em particular as das organizações de base, das mulheres, das minorias étnicas e indígenas e da juventude. No entanto, importa também realizar uma avaliação cuidadosa ao estabelecer parcerias com organizações da sociedade civil.</w:t>
      </w:r>
    </w:p>
    <w:p w:rsidRPr="00AE7912" w:rsidR="00AE7912" w:rsidP="00AE7912" w:rsidRDefault="00AE7912" w14:paraId="7D8EAFDB" w14:textId="77777777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Cs w:val="20"/>
          <w:lang w:val="en-GB"/>
        </w:rPr>
      </w:pPr>
    </w:p>
    <w:tbl>
      <w:tblPr>
        <w:tblStyle w:val="TableGrid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Pr="00AE7912" w:rsidR="00AE7912" w:rsidTr="00DC7B88" w14:paraId="17A93B18" w14:textId="77777777">
        <w:tc>
          <w:tcPr>
            <w:tcW w:w="2093" w:type="dxa"/>
          </w:tcPr>
          <w:p w:rsidRPr="00DC7B88" w:rsidR="00AE7912" w:rsidP="00AE7912" w:rsidRDefault="00AE7912" w14:paraId="65FD52C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:rsidRPr="00DC7B88" w:rsidR="00AE7912" w:rsidP="00AE7912" w:rsidRDefault="00AE7912" w14:paraId="425D7DA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Gunilla Fèvre-Burdy</w:t>
            </w:r>
          </w:p>
        </w:tc>
      </w:tr>
      <w:tr w:rsidRPr="00AE7912" w:rsidR="00AE7912" w:rsidTr="00DC7B88" w14:paraId="053D8F5C" w14:textId="77777777">
        <w:tc>
          <w:tcPr>
            <w:tcW w:w="2093" w:type="dxa"/>
          </w:tcPr>
          <w:p w:rsidRPr="00DC7B88" w:rsidR="00AE7912" w:rsidP="00AE7912" w:rsidRDefault="00AE7912" w14:paraId="524CC4A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:rsidRPr="00DC7B88" w:rsidR="00AE7912" w:rsidP="00AE7912" w:rsidRDefault="00AE7912" w14:paraId="66206E8A" w14:textId="135AA9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+32 2 546</w:t>
            </w:r>
            <w:r w:rsidR="00DC7B88">
              <w:rPr>
                <w:i/>
                <w:sz w:val="22"/>
                <w:szCs w:val="22"/>
              </w:rPr>
              <w:t xml:space="preserve"> </w:t>
            </w:r>
            <w:r w:rsidRPr="00DC7B88">
              <w:rPr>
                <w:i/>
                <w:sz w:val="22"/>
                <w:szCs w:val="22"/>
              </w:rPr>
              <w:t>91</w:t>
            </w:r>
            <w:r w:rsidR="00DC7B88">
              <w:rPr>
                <w:i/>
                <w:sz w:val="22"/>
                <w:szCs w:val="22"/>
              </w:rPr>
              <w:t xml:space="preserve"> </w:t>
            </w:r>
            <w:r w:rsidRPr="00DC7B88">
              <w:rPr>
                <w:i/>
                <w:sz w:val="22"/>
                <w:szCs w:val="22"/>
              </w:rPr>
              <w:t>08</w:t>
            </w:r>
          </w:p>
        </w:tc>
      </w:tr>
      <w:tr w:rsidRPr="00AE7912" w:rsidR="00AE7912" w:rsidTr="00DC7B88" w14:paraId="782EE881" w14:textId="77777777">
        <w:tc>
          <w:tcPr>
            <w:tcW w:w="2093" w:type="dxa"/>
          </w:tcPr>
          <w:p w:rsidRPr="00DC7B88" w:rsidR="00AE7912" w:rsidP="00AE7912" w:rsidRDefault="00AE7912" w14:paraId="25B16D2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:rsidRPr="00DC7B88" w:rsidR="00AE7912" w:rsidP="00AE7912" w:rsidRDefault="001C5DC4" w14:paraId="22B4410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color w:val="0000FF"/>
                <w:sz w:val="22"/>
                <w:szCs w:val="22"/>
                <w:u w:val="single"/>
              </w:rPr>
            </w:pPr>
            <w:hyperlink w:history="1" r:id="rId52">
              <w:r w:rsidRPr="00DC7B88" w:rsidR="00381CCE">
                <w:rPr>
                  <w:i/>
                  <w:color w:val="0000FF"/>
                  <w:sz w:val="22"/>
                  <w:szCs w:val="22"/>
                  <w:u w:val="single"/>
                </w:rPr>
                <w:t>Gunilla.Sandberg@eesc.europa.eu</w:t>
              </w:r>
            </w:hyperlink>
          </w:p>
        </w:tc>
      </w:tr>
    </w:tbl>
    <w:p w:rsidR="006179EF" w:rsidRDefault="006179EF" w14:paraId="126BFE8C" w14:textId="2DA8AC15">
      <w:pPr>
        <w:spacing w:after="160" w:line="259" w:lineRule="auto"/>
        <w:jc w:val="left"/>
      </w:pPr>
      <w:r>
        <w:br w:type="page"/>
      </w:r>
    </w:p>
    <w:p w:rsidRPr="006D2C8A" w:rsidR="006D2C8A" w:rsidP="006D2C8A" w:rsidRDefault="006D2C8A" w14:paraId="528C73AA" w14:textId="46DE726B">
      <w:pPr>
        <w:pStyle w:val="Heading1"/>
        <w:rPr>
          <w:b/>
        </w:rPr>
      </w:pPr>
      <w:bookmarkStart w:name="_Toc202353238" w:id="23"/>
      <w:r>
        <w:rPr>
          <w:b/>
          <w:color w:val="222A35" w:themeColor="text2" w:themeShade="80"/>
        </w:rPr>
        <w:lastRenderedPageBreak/>
        <w:t>COMISSÃO CONSULTIVA DAS MUTAÇÕES INDUSTRIAIS</w:t>
      </w:r>
      <w:bookmarkEnd w:id="23"/>
    </w:p>
    <w:p w:rsidRPr="00B60D9A" w:rsidR="006D2C8A" w:rsidP="006D2C8A" w:rsidRDefault="006D2C8A" w14:paraId="713E272F" w14:textId="77777777">
      <w:pPr>
        <w:rPr>
          <w:sz w:val="18"/>
          <w:szCs w:val="18"/>
        </w:rPr>
      </w:pPr>
    </w:p>
    <w:p w:rsidRPr="001E19E2" w:rsidR="001E19E2" w:rsidP="001E19E2" w:rsidRDefault="001C5DC4" w14:paraId="3B88A2BA" w14:textId="12D2BA1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left"/>
        <w:textAlignment w:val="baseline"/>
        <w:rPr>
          <w:b/>
          <w:bCs/>
          <w:i/>
          <w:iCs/>
          <w:color w:val="0000FF"/>
          <w:sz w:val="28"/>
          <w:szCs w:val="28"/>
          <w:u w:val="single"/>
        </w:rPr>
      </w:pPr>
      <w:hyperlink w:history="1" r:id="rId53">
        <w:r w:rsidR="001E19E2">
          <w:rPr>
            <w:b/>
            <w:i/>
            <w:color w:val="0000FF"/>
            <w:sz w:val="28"/>
            <w:u w:val="single"/>
          </w:rPr>
          <w:t>Reindustrialização da Europa – Oportunidades para as empresas, os trabalhadores e os cidadãos no contexto da crise do custo de vida</w:t>
        </w:r>
      </w:hyperlink>
    </w:p>
    <w:p w:rsidRPr="00B60D9A" w:rsidR="001E19E2" w:rsidP="001E19E2" w:rsidRDefault="001E19E2" w14:paraId="03D77D6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8"/>
          <w:szCs w:val="18"/>
          <w:lang w:val="en-GB"/>
        </w:rPr>
      </w:pPr>
    </w:p>
    <w:tbl>
      <w:tblPr>
        <w:tblStyle w:val="TableGrid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Pr="00055407" w:rsidR="001E19E2" w:rsidTr="001757A2" w14:paraId="7674091C" w14:textId="77777777">
        <w:tc>
          <w:tcPr>
            <w:tcW w:w="1701" w:type="dxa"/>
          </w:tcPr>
          <w:p w:rsidRPr="00DC7B88" w:rsidR="001E19E2" w:rsidP="001E19E2" w:rsidRDefault="001E19E2" w14:paraId="7CF1DAD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C7B88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5670" w:type="dxa"/>
          </w:tcPr>
          <w:p w:rsidRPr="00DC7B88" w:rsidR="001E19E2" w:rsidP="001E19E2" w:rsidRDefault="001E19E2" w14:paraId="65653375" w14:textId="63F7BFE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C7B88">
              <w:rPr>
                <w:sz w:val="22"/>
                <w:szCs w:val="22"/>
              </w:rPr>
              <w:t>Andrés Barceló Delgado (ES</w:t>
            </w:r>
            <w:r w:rsidR="00DC7B88">
              <w:rPr>
                <w:sz w:val="22"/>
                <w:szCs w:val="22"/>
              </w:rPr>
              <w:t>-</w:t>
            </w:r>
            <w:r w:rsidRPr="00DC7B88">
              <w:rPr>
                <w:sz w:val="22"/>
                <w:szCs w:val="22"/>
              </w:rPr>
              <w:t>Grupo dos Empregadores)</w:t>
            </w:r>
          </w:p>
        </w:tc>
      </w:tr>
      <w:tr w:rsidRPr="001E19E2" w:rsidR="001E19E2" w:rsidTr="001757A2" w14:paraId="1EB02009" w14:textId="77777777">
        <w:tc>
          <w:tcPr>
            <w:tcW w:w="1701" w:type="dxa"/>
          </w:tcPr>
          <w:p w:rsidRPr="00DC7B88" w:rsidR="001E19E2" w:rsidP="001E19E2" w:rsidRDefault="001E19E2" w14:paraId="5C8E6F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C7B88">
              <w:rPr>
                <w:b/>
                <w:sz w:val="22"/>
                <w:szCs w:val="22"/>
              </w:rPr>
              <w:t>Correlatora</w:t>
            </w:r>
          </w:p>
        </w:tc>
        <w:tc>
          <w:tcPr>
            <w:tcW w:w="5670" w:type="dxa"/>
          </w:tcPr>
          <w:p w:rsidRPr="00DC7B88" w:rsidR="001E19E2" w:rsidP="001E19E2" w:rsidRDefault="001E19E2" w14:paraId="5F641CC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C7B88">
              <w:rPr>
                <w:sz w:val="22"/>
                <w:szCs w:val="22"/>
              </w:rPr>
              <w:t>Monika Sitárová (SK-Cat. 2)</w:t>
            </w:r>
          </w:p>
        </w:tc>
      </w:tr>
      <w:tr w:rsidRPr="001E19E2" w:rsidR="001E19E2" w:rsidTr="001757A2" w14:paraId="07CF0C37" w14:textId="77777777">
        <w:tc>
          <w:tcPr>
            <w:tcW w:w="7371" w:type="dxa"/>
            <w:gridSpan w:val="2"/>
          </w:tcPr>
          <w:p w:rsidRPr="00DC7B88" w:rsidR="001E19E2" w:rsidP="001E19E2" w:rsidRDefault="001E19E2" w14:paraId="65C9BFC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1E19E2" w:rsidR="001E19E2" w:rsidTr="001757A2" w14:paraId="5170DF5B" w14:textId="77777777">
        <w:tc>
          <w:tcPr>
            <w:tcW w:w="1701" w:type="dxa"/>
            <w:vMerge w:val="restart"/>
          </w:tcPr>
          <w:p w:rsidRPr="00DC7B88" w:rsidR="001E19E2" w:rsidP="001E19E2" w:rsidRDefault="001E19E2" w14:paraId="2D144212" w14:textId="328AB9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C7B88">
              <w:rPr>
                <w:b/>
                <w:sz w:val="22"/>
                <w:szCs w:val="22"/>
              </w:rPr>
              <w:t>Referência</w:t>
            </w:r>
          </w:p>
        </w:tc>
        <w:tc>
          <w:tcPr>
            <w:tcW w:w="5670" w:type="dxa"/>
          </w:tcPr>
          <w:p w:rsidRPr="00DC7B88" w:rsidR="004F6E52" w:rsidP="001E19E2" w:rsidRDefault="004F6E52" w14:paraId="5B15416B" w14:textId="63F97B6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C7B88">
              <w:rPr>
                <w:sz w:val="22"/>
                <w:szCs w:val="22"/>
              </w:rPr>
              <w:t>Parecer de iniciativa</w:t>
            </w:r>
          </w:p>
          <w:p w:rsidRPr="00DC7B88" w:rsidR="001E19E2" w:rsidP="001E19E2" w:rsidRDefault="001E19E2" w14:paraId="7D3766D4" w14:textId="7D8B10E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C7B88">
              <w:rPr>
                <w:sz w:val="22"/>
                <w:szCs w:val="22"/>
              </w:rPr>
              <w:t>EESC-2025-00169-00-00-AC</w:t>
            </w:r>
          </w:p>
        </w:tc>
      </w:tr>
      <w:tr w:rsidRPr="001E19E2" w:rsidR="001E19E2" w:rsidTr="001757A2" w14:paraId="4E1E466F" w14:textId="77777777">
        <w:tc>
          <w:tcPr>
            <w:tcW w:w="1701" w:type="dxa"/>
            <w:vMerge/>
          </w:tcPr>
          <w:p w:rsidRPr="001E19E2" w:rsidR="001E19E2" w:rsidP="001E19E2" w:rsidRDefault="001E19E2" w14:paraId="7235882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670" w:type="dxa"/>
          </w:tcPr>
          <w:p w:rsidRPr="001E19E2" w:rsidR="001E19E2" w:rsidP="001E19E2" w:rsidRDefault="001E19E2" w14:paraId="0AB49E0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1E19E2" w:rsidR="001E19E2" w:rsidP="001E19E2" w:rsidRDefault="001E19E2" w14:paraId="7A80E16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1E19E2" w:rsidR="001E19E2" w:rsidP="001E19E2" w:rsidRDefault="001E19E2" w14:paraId="3D53CE1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E19E2" w:rsidR="001E19E2" w:rsidP="001E19E2" w:rsidRDefault="001E19E2" w14:paraId="531504B8" w14:textId="77777777">
      <w:pPr>
        <w:keepNext/>
        <w:keepLines/>
        <w:tabs>
          <w:tab w:val="center" w:pos="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t xml:space="preserve">O CESE aplicou a </w:t>
      </w:r>
      <w:hyperlink w:history="1" r:id="rId54">
        <w:r>
          <w:rPr>
            <w:color w:val="0000FF"/>
            <w:u w:val="single"/>
          </w:rPr>
          <w:t>avaliação da pers</w:t>
        </w:r>
        <w:r>
          <w:rPr>
            <w:color w:val="0000FF"/>
            <w:u w:val="single"/>
          </w:rPr>
          <w:t>p</w:t>
        </w:r>
        <w:r>
          <w:rPr>
            <w:color w:val="0000FF"/>
            <w:u w:val="single"/>
          </w:rPr>
          <w:t>etiva dos jovens pela UE</w:t>
        </w:r>
      </w:hyperlink>
      <w:r>
        <w:t xml:space="preserve"> no quadro deste parecer. O Fórum da Juventude para a Região do Mar Báltico foi escolhido por um grupo de organizações de juventude interessadas para as representar durante o processo de elaboração do parecer.</w:t>
      </w:r>
    </w:p>
    <w:p w:rsidRPr="001E19E2" w:rsidR="001E19E2" w:rsidP="001E19E2" w:rsidRDefault="001E19E2" w14:paraId="6862D69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E19E2" w:rsidR="001E19E2" w:rsidP="001E19E2" w:rsidRDefault="001E19E2" w14:paraId="32CE5CB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O Comité Económico e Social Europeu:</w:t>
      </w:r>
    </w:p>
    <w:p w:rsidRPr="001E19E2" w:rsidR="001E19E2" w:rsidP="00B60D9A" w:rsidRDefault="001E19E2" w14:paraId="46A30BA5" w14:textId="7777777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congratula-se com a </w:t>
      </w:r>
      <w:r>
        <w:rPr>
          <w:b/>
        </w:rPr>
        <w:t>iniciativa da Comissão Europeia intitulada «Bússola para a Competitividade»</w:t>
      </w:r>
      <w:r>
        <w:t xml:space="preserve">, centrada na </w:t>
      </w:r>
      <w:r>
        <w:rPr>
          <w:b/>
        </w:rPr>
        <w:t>melhoria da competitividade da economia da União Europeia (UE), a fim de colmatar o fosso em relação aos EUA e à Ásia</w:t>
      </w:r>
      <w:r>
        <w:t>. O seu desenvolvimento deve conter métricas de desempenho claras para permitir que as instituições da UE e as partes interessadas acompanhem a realização de todas as tarefas previstas na Bússola;</w:t>
      </w:r>
    </w:p>
    <w:p w:rsidRPr="001E19E2" w:rsidR="001E19E2" w:rsidP="00B60D9A" w:rsidRDefault="001E19E2" w14:paraId="780293C0" w14:textId="7777777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/>
          <w:iCs/>
        </w:rPr>
      </w:pPr>
      <w:r>
        <w:t xml:space="preserve">insta </w:t>
      </w:r>
      <w:r>
        <w:rPr>
          <w:b/>
        </w:rPr>
        <w:t>a Comissão a garantir que o Plano de Ação para Energia a Preços Acessíveis assegurará o fornecimento de eletricidade a um preço estável, competitivo e previsível</w:t>
      </w:r>
      <w:r>
        <w:t>;</w:t>
      </w:r>
    </w:p>
    <w:p w:rsidRPr="001E19E2" w:rsidR="001E19E2" w:rsidP="00B60D9A" w:rsidRDefault="001E19E2" w14:paraId="15EB32A6" w14:textId="7777777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/>
          <w:iCs/>
        </w:rPr>
      </w:pPr>
      <w:r>
        <w:t xml:space="preserve">salienta que a </w:t>
      </w:r>
      <w:r>
        <w:rPr>
          <w:b/>
        </w:rPr>
        <w:t>autonomia estratégica aberta deve estar no cerne do processo de reindustrialização</w:t>
      </w:r>
      <w:r>
        <w:t xml:space="preserve">, garantindo o </w:t>
      </w:r>
      <w:r>
        <w:rPr>
          <w:b/>
        </w:rPr>
        <w:t>acesso às matérias-primas, diversificando as fontes e tornando a economia da UE mais resiliente</w:t>
      </w:r>
      <w:r>
        <w:t xml:space="preserve">. Para incentivar as empresas </w:t>
      </w:r>
      <w:r>
        <w:rPr>
          <w:b/>
        </w:rPr>
        <w:t>a aproximarem a sua produção da UE</w:t>
      </w:r>
      <w:r>
        <w:t xml:space="preserve">, o CESE recomenda </w:t>
      </w:r>
      <w:r>
        <w:rPr>
          <w:b/>
        </w:rPr>
        <w:t>uma política industrial assente numa abordagem da cadeia de valor</w:t>
      </w:r>
      <w:r>
        <w:t>;</w:t>
      </w:r>
    </w:p>
    <w:p w:rsidRPr="001E19E2" w:rsidR="001E19E2" w:rsidP="00B60D9A" w:rsidRDefault="001E19E2" w14:paraId="7B02D48E" w14:textId="7777777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/>
          <w:bCs/>
        </w:rPr>
      </w:pPr>
      <w:r>
        <w:t xml:space="preserve">realça que os legisladores da UE devem utilizar o futuro </w:t>
      </w:r>
      <w:r>
        <w:rPr>
          <w:b/>
        </w:rPr>
        <w:t>ato legislativo sobre o acelerador da descarbonização industrial para assegurar a sustentabilidade de modelos de negócio alternativos e circulares</w:t>
      </w:r>
      <w:r>
        <w:t xml:space="preserve">, proporcionando </w:t>
      </w:r>
      <w:r>
        <w:rPr>
          <w:b/>
        </w:rPr>
        <w:t>licenciamento acelerado, apoio financeiro e políticas de apoio</w:t>
      </w:r>
      <w:r>
        <w:t xml:space="preserve"> às empresas empenhadas na transição. A proposta de </w:t>
      </w:r>
      <w:r>
        <w:rPr>
          <w:b/>
        </w:rPr>
        <w:t>ato legislativo sobre economia circular</w:t>
      </w:r>
      <w:r>
        <w:t xml:space="preserve"> deverá transmitir uma mensagem clara de </w:t>
      </w:r>
      <w:r>
        <w:rPr>
          <w:b/>
        </w:rPr>
        <w:t>apoio às empresas circulares, garantindo aos investidores que a UE é o ambiente ideal para o desenvolvimento de soluções limpas</w:t>
      </w:r>
      <w:r>
        <w:t>;</w:t>
      </w:r>
    </w:p>
    <w:p w:rsidRPr="001E19E2" w:rsidR="001E19E2" w:rsidP="00B60D9A" w:rsidRDefault="001E19E2" w14:paraId="36A14C04" w14:textId="7777777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rPr>
          <w:b/>
        </w:rPr>
        <w:t>assinala que a reindustrialização exige um programa de inovação específico</w:t>
      </w:r>
      <w:r>
        <w:t xml:space="preserve"> com metas concretas que abranjam tanto as indústrias existentes como os novos empreendimentos e que se baseiem no diálogo social; </w:t>
      </w:r>
    </w:p>
    <w:p w:rsidRPr="001E19E2" w:rsidR="001E19E2" w:rsidP="00B60D9A" w:rsidRDefault="001E19E2" w14:paraId="64EDF5D1" w14:textId="77777777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/>
          <w:bCs/>
        </w:rPr>
      </w:pPr>
      <w:r>
        <w:t xml:space="preserve">propõe que a </w:t>
      </w:r>
      <w:r>
        <w:rPr>
          <w:b/>
        </w:rPr>
        <w:t>UE promova programas de parceria público-privada para impulsionar o investimento industrial, que incluam uma secção específica para fomentar o empreendedorismo dos jovens no setor da indústria transformadora</w:t>
      </w:r>
      <w:r>
        <w:t>;</w:t>
      </w:r>
      <w:r>
        <w:rPr>
          <w:b/>
        </w:rPr>
        <w:t xml:space="preserve"> </w:t>
      </w:r>
    </w:p>
    <w:p w:rsidRPr="00E1573A" w:rsidR="001E19E2" w:rsidP="002560DC" w:rsidRDefault="001E19E2" w14:paraId="40794AEF" w14:textId="77777777">
      <w:pPr>
        <w:pStyle w:val="ListParagraph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Theme="minorHAnsi" w:hAnsiTheme="minorHAnsi"/>
          <w:b/>
          <w:bCs/>
          <w:szCs w:val="20"/>
        </w:rPr>
      </w:pPr>
      <w:r>
        <w:t xml:space="preserve">solicita que a </w:t>
      </w:r>
      <w:r>
        <w:rPr>
          <w:b/>
        </w:rPr>
        <w:t>futura proposta da Comissão sobre a União das Competências preveja o reconhecimento direto e a validação das competências dos trabalhadores em toda a UE</w:t>
      </w:r>
      <w:r>
        <w:t xml:space="preserve">, uma vez reconhecidas por um organismo do setor público de um Estado-Membro, reduzindo os encargos burocráticos. A Comissão deve lançar </w:t>
      </w:r>
      <w:r>
        <w:rPr>
          <w:b/>
        </w:rPr>
        <w:t xml:space="preserve">um programa à escala da UE para promover </w:t>
      </w:r>
      <w:r>
        <w:rPr>
          <w:b/>
        </w:rPr>
        <w:lastRenderedPageBreak/>
        <w:t>programas de aprendizagem com uma remuneração justa no setor da indústria entre as gerações mais jovens, o que favorece uma mão de obra mais resiliente</w:t>
      </w:r>
      <w:r>
        <w:t>.</w:t>
      </w:r>
      <w:r>
        <w:rPr>
          <w:b/>
        </w:rPr>
        <w:t xml:space="preserve"> </w:t>
      </w:r>
    </w:p>
    <w:p w:rsidRPr="001E19E2" w:rsidR="001E19E2" w:rsidP="001E19E2" w:rsidRDefault="001E19E2" w14:paraId="083C9B21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Pr="001E19E2" w:rsidR="001E19E2" w:rsidTr="00DC7B88" w14:paraId="31E7420E" w14:textId="77777777">
        <w:tc>
          <w:tcPr>
            <w:tcW w:w="2093" w:type="dxa"/>
          </w:tcPr>
          <w:p w:rsidRPr="00DC7B88" w:rsidR="001E19E2" w:rsidP="001E19E2" w:rsidRDefault="001E19E2" w14:paraId="1817EE7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:rsidRPr="00DC7B88" w:rsidR="001E19E2" w:rsidP="001E19E2" w:rsidRDefault="001E19E2" w14:paraId="6924553F" w14:textId="1DEF523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Adam Dorywalski</w:t>
            </w:r>
          </w:p>
        </w:tc>
      </w:tr>
      <w:tr w:rsidRPr="001E19E2" w:rsidR="001E19E2" w:rsidTr="00DC7B88" w14:paraId="02FDC2A9" w14:textId="77777777">
        <w:tc>
          <w:tcPr>
            <w:tcW w:w="2093" w:type="dxa"/>
          </w:tcPr>
          <w:p w:rsidRPr="00DC7B88" w:rsidR="001E19E2" w:rsidP="001E19E2" w:rsidRDefault="001E19E2" w14:paraId="0FDDE9B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:rsidRPr="00DC7B88" w:rsidR="001E19E2" w:rsidP="001E19E2" w:rsidRDefault="001E19E2" w14:paraId="4F5B7754" w14:textId="4BAC34A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+32 2 546</w:t>
            </w:r>
            <w:r w:rsidR="00DC7B88">
              <w:rPr>
                <w:i/>
                <w:sz w:val="22"/>
                <w:szCs w:val="22"/>
              </w:rPr>
              <w:t xml:space="preserve"> </w:t>
            </w:r>
            <w:r w:rsidRPr="00DC7B88">
              <w:rPr>
                <w:i/>
                <w:sz w:val="22"/>
                <w:szCs w:val="22"/>
              </w:rPr>
              <w:t>93</w:t>
            </w:r>
            <w:r w:rsidR="00DC7B88">
              <w:rPr>
                <w:i/>
                <w:sz w:val="22"/>
                <w:szCs w:val="22"/>
              </w:rPr>
              <w:t xml:space="preserve"> </w:t>
            </w:r>
            <w:r w:rsidRPr="00DC7B88">
              <w:rPr>
                <w:i/>
                <w:sz w:val="22"/>
                <w:szCs w:val="22"/>
              </w:rPr>
              <w:t>97</w:t>
            </w:r>
          </w:p>
        </w:tc>
      </w:tr>
      <w:tr w:rsidRPr="001E19E2" w:rsidR="001E19E2" w:rsidTr="00DC7B88" w14:paraId="14B73272" w14:textId="77777777">
        <w:trPr>
          <w:trHeight w:val="80"/>
        </w:trPr>
        <w:tc>
          <w:tcPr>
            <w:tcW w:w="2093" w:type="dxa"/>
          </w:tcPr>
          <w:p w:rsidRPr="00DC7B88" w:rsidR="001E19E2" w:rsidP="001E19E2" w:rsidRDefault="00E1573A" w14:paraId="5C218B82" w14:textId="74F267B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C7B88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:rsidRPr="00DC7B88" w:rsidR="001E19E2" w:rsidP="001E19E2" w:rsidRDefault="001C5DC4" w14:paraId="0DF1EA5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55">
              <w:r w:rsidRPr="00DC7B88" w:rsidR="00381CCE">
                <w:rPr>
                  <w:i/>
                  <w:color w:val="0000FF"/>
                  <w:sz w:val="22"/>
                  <w:szCs w:val="22"/>
                  <w:u w:val="single"/>
                </w:rPr>
                <w:t>Adam.Dorywalski@eesc.europa.eu</w:t>
              </w:r>
            </w:hyperlink>
          </w:p>
        </w:tc>
      </w:tr>
    </w:tbl>
    <w:p w:rsidR="00055407" w:rsidRDefault="00055407" w14:paraId="2FEBBE37" w14:textId="77777777">
      <w:pPr>
        <w:spacing w:after="160" w:line="259" w:lineRule="auto"/>
        <w:jc w:val="left"/>
      </w:pPr>
      <w:r>
        <w:br w:type="page"/>
      </w:r>
    </w:p>
    <w:p w:rsidRPr="00B60D9A" w:rsidR="00E34939" w:rsidP="00E34939" w:rsidRDefault="001C5DC4" w14:paraId="51598283" w14:textId="4C844AF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left"/>
        <w:textAlignment w:val="baseline"/>
        <w:rPr>
          <w:sz w:val="28"/>
          <w:szCs w:val="28"/>
        </w:rPr>
      </w:pPr>
      <w:hyperlink w:history="1" r:id="rId56">
        <w:r w:rsidR="00E34939">
          <w:rPr>
            <w:b/>
            <w:i/>
            <w:color w:val="0000FF"/>
            <w:sz w:val="28"/>
            <w:u w:val="single"/>
          </w:rPr>
          <w:t>Ato legislativo sobre medicamentos críticos</w:t>
        </w:r>
      </w:hyperlink>
    </w:p>
    <w:p w:rsidRPr="00E34939" w:rsidR="004F51B1" w:rsidP="00B60D9A" w:rsidRDefault="004F51B1" w14:paraId="756BCE6E" w14:textId="77777777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jc w:val="left"/>
        <w:textAlignment w:val="baseline"/>
        <w:rPr>
          <w:sz w:val="28"/>
          <w:szCs w:val="28"/>
          <w:lang w:val="en-GB" w:eastAsia="zh-CN"/>
        </w:rPr>
      </w:pPr>
    </w:p>
    <w:tbl>
      <w:tblPr>
        <w:tblStyle w:val="TableGrid1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Pr="00E34939" w:rsidR="00E34939" w:rsidTr="001757A2" w14:paraId="66DA7C26" w14:textId="77777777">
        <w:tc>
          <w:tcPr>
            <w:tcW w:w="1701" w:type="dxa"/>
          </w:tcPr>
          <w:p w:rsidRPr="007B5D25" w:rsidR="00E34939" w:rsidP="00E34939" w:rsidRDefault="00E34939" w14:paraId="71F0C76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7B5D25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5670" w:type="dxa"/>
          </w:tcPr>
          <w:p w:rsidRPr="007B5D25" w:rsidR="00E34939" w:rsidP="00E34939" w:rsidRDefault="00E34939" w14:paraId="3D1EEF98" w14:textId="1558010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7B5D25">
              <w:rPr>
                <w:sz w:val="22"/>
                <w:szCs w:val="22"/>
              </w:rPr>
              <w:t>Veselin Mitov (BG</w:t>
            </w:r>
            <w:r w:rsidR="007B5D25">
              <w:rPr>
                <w:sz w:val="22"/>
                <w:szCs w:val="22"/>
              </w:rPr>
              <w:t>-</w:t>
            </w:r>
            <w:r w:rsidRPr="007B5D25">
              <w:rPr>
                <w:sz w:val="22"/>
                <w:szCs w:val="22"/>
              </w:rPr>
              <w:t>Grupo dos Trabalhadores)</w:t>
            </w:r>
          </w:p>
        </w:tc>
      </w:tr>
      <w:tr w:rsidRPr="00E34939" w:rsidR="00E34939" w:rsidTr="001757A2" w14:paraId="43AC0DCB" w14:textId="77777777">
        <w:tc>
          <w:tcPr>
            <w:tcW w:w="1701" w:type="dxa"/>
          </w:tcPr>
          <w:p w:rsidRPr="007B5D25" w:rsidR="00E34939" w:rsidP="00E34939" w:rsidRDefault="00E34939" w14:paraId="66D9A72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7B5D25">
              <w:rPr>
                <w:b/>
                <w:sz w:val="22"/>
                <w:szCs w:val="22"/>
              </w:rPr>
              <w:t>Correlatora</w:t>
            </w:r>
          </w:p>
        </w:tc>
        <w:tc>
          <w:tcPr>
            <w:tcW w:w="5670" w:type="dxa"/>
          </w:tcPr>
          <w:p w:rsidRPr="007B5D25" w:rsidR="00E34939" w:rsidP="00E34939" w:rsidRDefault="00E34939" w14:paraId="46EE6BD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7B5D25">
              <w:rPr>
                <w:sz w:val="22"/>
                <w:szCs w:val="22"/>
              </w:rPr>
              <w:t>Elżbieta Szadzińska (PL-Cat. 3)</w:t>
            </w:r>
          </w:p>
        </w:tc>
      </w:tr>
      <w:tr w:rsidRPr="00E34939" w:rsidR="00E34939" w:rsidTr="001757A2" w14:paraId="3F2AA4CA" w14:textId="77777777">
        <w:tc>
          <w:tcPr>
            <w:tcW w:w="7371" w:type="dxa"/>
            <w:gridSpan w:val="2"/>
          </w:tcPr>
          <w:p w:rsidRPr="007B5D25" w:rsidR="00E34939" w:rsidP="00E34939" w:rsidRDefault="00E34939" w14:paraId="3A99F3C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E34939" w:rsidR="00E34939" w:rsidTr="001757A2" w14:paraId="60C25C06" w14:textId="77777777">
        <w:tc>
          <w:tcPr>
            <w:tcW w:w="1701" w:type="dxa"/>
            <w:vMerge w:val="restart"/>
          </w:tcPr>
          <w:p w:rsidRPr="007B5D25" w:rsidR="00E34939" w:rsidP="00E34939" w:rsidRDefault="00E34939" w14:paraId="62009E64" w14:textId="36F8028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7B5D25">
              <w:rPr>
                <w:b/>
                <w:sz w:val="22"/>
                <w:szCs w:val="22"/>
              </w:rPr>
              <w:t>Referência</w:t>
            </w:r>
            <w:r w:rsidR="007B5D25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670" w:type="dxa"/>
          </w:tcPr>
          <w:p w:rsidRPr="007B5D25" w:rsidR="004B7430" w:rsidP="00E34939" w:rsidRDefault="004B7430" w14:paraId="275E7DFE" w14:textId="20DCA4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7B5D25">
              <w:rPr>
                <w:sz w:val="22"/>
                <w:szCs w:val="22"/>
              </w:rPr>
              <w:t>COM(2025) 102 final</w:t>
            </w:r>
          </w:p>
          <w:p w:rsidRPr="007B5D25" w:rsidR="00E34939" w:rsidP="00E34939" w:rsidRDefault="00E34939" w14:paraId="4CC94755" w14:textId="411D980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7B5D25">
              <w:rPr>
                <w:sz w:val="22"/>
                <w:szCs w:val="22"/>
              </w:rPr>
              <w:t>EESC-2025-01074-00-00-AC</w:t>
            </w:r>
          </w:p>
        </w:tc>
      </w:tr>
      <w:tr w:rsidRPr="00E34939" w:rsidR="00E34939" w:rsidTr="001757A2" w14:paraId="465114C9" w14:textId="77777777">
        <w:tc>
          <w:tcPr>
            <w:tcW w:w="1701" w:type="dxa"/>
            <w:vMerge/>
          </w:tcPr>
          <w:p w:rsidRPr="00E34939" w:rsidR="00E34939" w:rsidP="00E34939" w:rsidRDefault="00E34939" w14:paraId="1B512B5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670" w:type="dxa"/>
          </w:tcPr>
          <w:p w:rsidRPr="00E34939" w:rsidR="00E34939" w:rsidP="00E34939" w:rsidRDefault="00E34939" w14:paraId="13F8AEA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E34939" w:rsidR="00E34939" w:rsidP="00E34939" w:rsidRDefault="00E34939" w14:paraId="2F972DE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E34939" w:rsidR="00E34939" w:rsidP="00E34939" w:rsidRDefault="00E34939" w14:paraId="55C7AF7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E34939" w:rsidR="00E34939" w:rsidP="00E34939" w:rsidRDefault="00E34939" w14:paraId="68A3077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O Comité Económico e Social Europeu (CESE):</w:t>
      </w:r>
    </w:p>
    <w:p w:rsidRPr="00E34939" w:rsidR="00E34939" w:rsidP="00E34939" w:rsidRDefault="00E34939" w14:paraId="5162A35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:rsidRPr="004B7430" w:rsidR="00E34939" w:rsidP="00B60D9A" w:rsidRDefault="00E34939" w14:paraId="50214082" w14:textId="1FDAEE52">
      <w:pPr>
        <w:pStyle w:val="ListParagraph"/>
        <w:numPr>
          <w:ilvl w:val="0"/>
          <w:numId w:val="48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06" w:id="24"/>
      <w:bookmarkStart w:name="_Toc202353239" w:id="25"/>
      <w:r>
        <w:t xml:space="preserve">recomenda um </w:t>
      </w:r>
      <w:r>
        <w:rPr>
          <w:b/>
        </w:rPr>
        <w:t>aumento significativo do financiamento</w:t>
      </w:r>
      <w:r>
        <w:t xml:space="preserve"> para apoiar os objetivos do ato legislativo sobre medicamentos críticos. </w:t>
      </w:r>
      <w:r>
        <w:rPr>
          <w:b/>
        </w:rPr>
        <w:t>Deve ser criado um fundo europeu específico para as matérias</w:t>
      </w:r>
      <w:r w:rsidR="00B55BCB">
        <w:rPr>
          <w:b/>
        </w:rPr>
        <w:noBreakHyphen/>
      </w:r>
      <w:r>
        <w:rPr>
          <w:b/>
        </w:rPr>
        <w:t>primas, os princípios ativos farmacêuticos e os medicamentos críticos</w:t>
      </w:r>
      <w:r>
        <w:t>, com a contribuição dos Estados-Membros, do Banco Europeu de Investimento e de operadores privados. O financiamento deve apoiar a produção na UE e as atividades de investigação e desenvolvimento (I&amp;D) para tecnologias sustentáveis, assim como compensar as desvantagens de custos em relação aos produtores de países terceiros;</w:t>
      </w:r>
      <w:bookmarkEnd w:id="24"/>
      <w:bookmarkEnd w:id="25"/>
    </w:p>
    <w:p w:rsidRPr="004B7430" w:rsidR="00E34939" w:rsidP="00B60D9A" w:rsidRDefault="00E34939" w14:paraId="79209AD6" w14:textId="77777777">
      <w:pPr>
        <w:pStyle w:val="ListParagraph"/>
        <w:numPr>
          <w:ilvl w:val="0"/>
          <w:numId w:val="48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07" w:id="26"/>
      <w:bookmarkStart w:name="_Toc202353240" w:id="27"/>
      <w:r>
        <w:t xml:space="preserve">apela para a criação de uma </w:t>
      </w:r>
      <w:r>
        <w:rPr>
          <w:b/>
        </w:rPr>
        <w:t>base de dados totalmente interoperável à escala da UE</w:t>
      </w:r>
      <w:r>
        <w:t xml:space="preserve"> para integrar os sistemas nacionais, dar visibilidade às vulnerabilidades da cadeia de abastecimento em tempo real e assegurar a proteção da cibersegurança. Devem ser atribuídos fundos para </w:t>
      </w:r>
      <w:r>
        <w:rPr>
          <w:b/>
        </w:rPr>
        <w:t>a localização em tempo real, os sistemas de alerta precoce e as tecnologias digitais</w:t>
      </w:r>
      <w:r>
        <w:t>, a fim de prever situações de rutura e melhorar a resposta a situações de crise;</w:t>
      </w:r>
      <w:bookmarkEnd w:id="26"/>
      <w:bookmarkEnd w:id="27"/>
    </w:p>
    <w:p w:rsidRPr="004B7430" w:rsidR="00E34939" w:rsidP="00B60D9A" w:rsidRDefault="00E34939" w14:paraId="3B6A2338" w14:textId="77777777">
      <w:pPr>
        <w:pStyle w:val="ListParagraph"/>
        <w:numPr>
          <w:ilvl w:val="0"/>
          <w:numId w:val="48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08" w:id="28"/>
      <w:bookmarkStart w:name="_Toc202353241" w:id="29"/>
      <w:r>
        <w:t xml:space="preserve">salienta a necessidade de uma </w:t>
      </w:r>
      <w:r>
        <w:rPr>
          <w:b/>
        </w:rPr>
        <w:t>avaliação de impacto exaustiva e assente em dados concretos</w:t>
      </w:r>
      <w:r>
        <w:t xml:space="preserve"> do ato legislativo sobre medicamentos críticos, em paralelo com o trabalho legislativo e sem atrasar a adoção do ato, abrangendo toda a cadeia de abastecimento e abordando os impactos socioeconómicos;</w:t>
      </w:r>
      <w:bookmarkEnd w:id="28"/>
      <w:bookmarkEnd w:id="29"/>
    </w:p>
    <w:p w:rsidRPr="004B7430" w:rsidR="00E34939" w:rsidP="00B60D9A" w:rsidRDefault="00E34939" w14:paraId="36F56BB7" w14:textId="77777777">
      <w:pPr>
        <w:pStyle w:val="ListParagraph"/>
        <w:numPr>
          <w:ilvl w:val="0"/>
          <w:numId w:val="48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b/>
          <w:bCs/>
          <w:szCs w:val="20"/>
        </w:rPr>
      </w:pPr>
      <w:bookmarkStart w:name="_Toc201570909" w:id="30"/>
      <w:bookmarkStart w:name="_Toc202353242" w:id="31"/>
      <w:r>
        <w:t xml:space="preserve">considera que a UE deve investir em </w:t>
      </w:r>
      <w:r>
        <w:rPr>
          <w:b/>
        </w:rPr>
        <w:t>iniciativas de melhoria de competências e requalificação em grande escala</w:t>
      </w:r>
      <w:r>
        <w:t xml:space="preserve"> e criar centros de competências, a par de um apoio financeiro alargado ao ensino profissional, a programas de aprendizagem, a programas universitários e a formação orientada para a indústria;</w:t>
      </w:r>
      <w:bookmarkEnd w:id="30"/>
      <w:bookmarkEnd w:id="31"/>
    </w:p>
    <w:p w:rsidRPr="004B7430" w:rsidR="00E34939" w:rsidP="00B60D9A" w:rsidRDefault="00E34939" w14:paraId="1C78A75D" w14:textId="77777777">
      <w:pPr>
        <w:pStyle w:val="ListParagraph"/>
        <w:numPr>
          <w:ilvl w:val="0"/>
          <w:numId w:val="48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10" w:id="32"/>
      <w:bookmarkStart w:name="_Toc202353243" w:id="33"/>
      <w:r>
        <w:t xml:space="preserve">recomenda que seja realizada uma análise da proposta de </w:t>
      </w:r>
      <w:r>
        <w:rPr>
          <w:b/>
        </w:rPr>
        <w:t>integrar o ato legislativo sobre medicamentos críticos no enquadramento mais alargado da autonomia estratégica e segurança da UE</w:t>
      </w:r>
      <w:r>
        <w:t>, reconhecendo as cadeias de abastecimento de produtos farmacêuticos como uma questão de saúde pública e de segurança europeia;</w:t>
      </w:r>
      <w:bookmarkEnd w:id="32"/>
      <w:bookmarkEnd w:id="33"/>
    </w:p>
    <w:p w:rsidRPr="004B7430" w:rsidR="00E34939" w:rsidP="00B60D9A" w:rsidRDefault="00E34939" w14:paraId="70E4EA69" w14:textId="77777777">
      <w:pPr>
        <w:pStyle w:val="ListParagraph"/>
        <w:numPr>
          <w:ilvl w:val="0"/>
          <w:numId w:val="48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11" w:id="34"/>
      <w:bookmarkStart w:name="_Toc202353244" w:id="35"/>
      <w:r>
        <w:t xml:space="preserve">solicita </w:t>
      </w:r>
      <w:r>
        <w:rPr>
          <w:b/>
        </w:rPr>
        <w:t>medidas rigorosas para garantir a acessibilidade dos preços dos medicamentos críticos, nomeadamente para as doenças raras</w:t>
      </w:r>
      <w:r>
        <w:t>, introduzindo mecanismos para regular os preços dos medicamentos, aumentar a transparência e evitar o aumento dos preços para os consumidores.</w:t>
      </w:r>
      <w:bookmarkEnd w:id="34"/>
      <w:bookmarkEnd w:id="35"/>
    </w:p>
    <w:p w:rsidRPr="00E34939" w:rsidR="00E34939" w:rsidP="00E34939" w:rsidRDefault="00E34939" w14:paraId="1901AF10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1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4995"/>
      </w:tblGrid>
      <w:tr w:rsidRPr="00E34939" w:rsidR="00E34939" w:rsidTr="007B5D25" w14:paraId="0CBCFC05" w14:textId="77777777">
        <w:tc>
          <w:tcPr>
            <w:tcW w:w="2093" w:type="dxa"/>
          </w:tcPr>
          <w:p w:rsidRPr="007B5D25" w:rsidR="00E34939" w:rsidP="00E34939" w:rsidRDefault="00E34939" w14:paraId="70A5C87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B5D25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4995" w:type="dxa"/>
          </w:tcPr>
          <w:p w:rsidRPr="007B5D25" w:rsidR="00E34939" w:rsidP="00E34939" w:rsidRDefault="00E34939" w14:paraId="230833EE" w14:textId="7D1B02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B5D25">
              <w:rPr>
                <w:i/>
                <w:sz w:val="22"/>
                <w:szCs w:val="22"/>
              </w:rPr>
              <w:t>Jacopo Ernesto Caja</w:t>
            </w:r>
          </w:p>
        </w:tc>
      </w:tr>
      <w:tr w:rsidRPr="00E34939" w:rsidR="00E34939" w:rsidTr="007B5D25" w14:paraId="1259B2BE" w14:textId="77777777">
        <w:tc>
          <w:tcPr>
            <w:tcW w:w="2093" w:type="dxa"/>
          </w:tcPr>
          <w:p w:rsidRPr="007B5D25" w:rsidR="00E34939" w:rsidP="00E34939" w:rsidRDefault="00E34939" w14:paraId="491CF50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B5D25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995" w:type="dxa"/>
          </w:tcPr>
          <w:p w:rsidRPr="007B5D25" w:rsidR="00E34939" w:rsidP="00E34939" w:rsidRDefault="00E34939" w14:paraId="76F0E3A2" w14:textId="2D76037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B5D25">
              <w:rPr>
                <w:i/>
                <w:sz w:val="22"/>
                <w:szCs w:val="22"/>
              </w:rPr>
              <w:t>+32 2 546</w:t>
            </w:r>
            <w:r w:rsidR="007B5D25">
              <w:rPr>
                <w:i/>
                <w:sz w:val="22"/>
                <w:szCs w:val="22"/>
              </w:rPr>
              <w:t xml:space="preserve"> </w:t>
            </w:r>
            <w:r w:rsidRPr="007B5D25">
              <w:rPr>
                <w:i/>
                <w:sz w:val="22"/>
                <w:szCs w:val="22"/>
              </w:rPr>
              <w:t>95</w:t>
            </w:r>
            <w:r w:rsidR="007B5D25">
              <w:rPr>
                <w:i/>
                <w:sz w:val="22"/>
                <w:szCs w:val="22"/>
              </w:rPr>
              <w:t xml:space="preserve"> </w:t>
            </w:r>
            <w:r w:rsidRPr="007B5D25">
              <w:rPr>
                <w:i/>
                <w:sz w:val="22"/>
                <w:szCs w:val="22"/>
              </w:rPr>
              <w:t>80</w:t>
            </w:r>
          </w:p>
        </w:tc>
      </w:tr>
      <w:tr w:rsidRPr="00E34939" w:rsidR="00E34939" w:rsidTr="007B5D25" w14:paraId="29EF9342" w14:textId="77777777">
        <w:trPr>
          <w:trHeight w:val="80"/>
        </w:trPr>
        <w:tc>
          <w:tcPr>
            <w:tcW w:w="2093" w:type="dxa"/>
          </w:tcPr>
          <w:p w:rsidRPr="007B5D25" w:rsidR="00E34939" w:rsidP="00E34939" w:rsidRDefault="00E34939" w14:paraId="162AE44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7B5D25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4995" w:type="dxa"/>
          </w:tcPr>
          <w:p w:rsidRPr="007B5D25" w:rsidR="00E34939" w:rsidP="00E34939" w:rsidRDefault="001C5DC4" w14:paraId="0684A66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57">
              <w:r w:rsidRPr="007B5D25" w:rsidR="00381CCE">
                <w:rPr>
                  <w:i/>
                  <w:color w:val="0000FF"/>
                  <w:sz w:val="22"/>
                  <w:szCs w:val="22"/>
                  <w:u w:val="single"/>
                </w:rPr>
                <w:t>JacopoErnesto.Caja@eesc.europa.eu</w:t>
              </w:r>
            </w:hyperlink>
            <w:r w:rsidRPr="007B5D25" w:rsidR="00381CCE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Pr="00E34939" w:rsidR="00E34939" w:rsidP="00E34939" w:rsidRDefault="00E34939" w14:paraId="66F11168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en-GB"/>
        </w:rPr>
      </w:pPr>
    </w:p>
    <w:p w:rsidR="00E34939" w:rsidRDefault="00E34939" w14:paraId="7B14C9F4" w14:textId="2BB83F42">
      <w:pPr>
        <w:spacing w:after="160" w:line="259" w:lineRule="auto"/>
        <w:jc w:val="left"/>
      </w:pPr>
    </w:p>
    <w:p w:rsidRPr="000F397E" w:rsidR="000F397E" w:rsidP="000F397E" w:rsidRDefault="001C5DC4" w14:paraId="015BBC38" w14:textId="1CBC25D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jc w:val="left"/>
        <w:textAlignment w:val="baseline"/>
        <w:rPr>
          <w:sz w:val="28"/>
          <w:szCs w:val="28"/>
        </w:rPr>
      </w:pPr>
      <w:hyperlink w:history="1" r:id="rId58">
        <w:r w:rsidR="000F397E">
          <w:rPr>
            <w:b/>
            <w:i/>
            <w:color w:val="0000FF"/>
            <w:sz w:val="28"/>
            <w:u w:val="single"/>
          </w:rPr>
          <w:t>Plano de Ação Europeu para a Cibersegurança dos Hospitais e dos Prestadores de Cuidados de Saúde</w:t>
        </w:r>
      </w:hyperlink>
    </w:p>
    <w:p w:rsidRPr="000F397E" w:rsidR="000F397E" w:rsidP="000F397E" w:rsidRDefault="000F397E" w14:paraId="37506AA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Pr="000F397E" w:rsidR="000F397E" w:rsidTr="001757A2" w14:paraId="04A98D5F" w14:textId="77777777">
        <w:tc>
          <w:tcPr>
            <w:tcW w:w="1701" w:type="dxa"/>
          </w:tcPr>
          <w:p w:rsidRPr="00DB5992" w:rsidR="000F397E" w:rsidP="000F397E" w:rsidRDefault="000F397E" w14:paraId="2317D53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B5992">
              <w:rPr>
                <w:b/>
                <w:sz w:val="22"/>
                <w:szCs w:val="22"/>
              </w:rPr>
              <w:t>Relator</w:t>
            </w:r>
          </w:p>
        </w:tc>
        <w:tc>
          <w:tcPr>
            <w:tcW w:w="7479" w:type="dxa"/>
          </w:tcPr>
          <w:p w:rsidRPr="00DB5992" w:rsidR="000F397E" w:rsidP="000F397E" w:rsidRDefault="000F397E" w14:paraId="645AA645" w14:textId="0779B49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B5992">
              <w:rPr>
                <w:sz w:val="22"/>
                <w:szCs w:val="22"/>
              </w:rPr>
              <w:t>Alain Coheur (BE</w:t>
            </w:r>
            <w:r w:rsidR="00DB5992">
              <w:rPr>
                <w:sz w:val="22"/>
                <w:szCs w:val="22"/>
              </w:rPr>
              <w:t>-</w:t>
            </w:r>
            <w:r w:rsidRPr="00DB5992">
              <w:rPr>
                <w:sz w:val="22"/>
                <w:szCs w:val="22"/>
              </w:rPr>
              <w:t>Grupo das Organizações da Sociedade Civil)</w:t>
            </w:r>
          </w:p>
        </w:tc>
      </w:tr>
      <w:tr w:rsidRPr="000F397E" w:rsidR="000F397E" w:rsidTr="001757A2" w14:paraId="4E626D6A" w14:textId="77777777">
        <w:tc>
          <w:tcPr>
            <w:tcW w:w="1701" w:type="dxa"/>
          </w:tcPr>
          <w:p w:rsidRPr="00DB5992" w:rsidR="000F397E" w:rsidP="000F397E" w:rsidRDefault="000F397E" w14:paraId="77A122F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B5992">
              <w:rPr>
                <w:b/>
                <w:sz w:val="22"/>
                <w:szCs w:val="22"/>
              </w:rPr>
              <w:t>Correlator</w:t>
            </w:r>
          </w:p>
        </w:tc>
        <w:tc>
          <w:tcPr>
            <w:tcW w:w="7479" w:type="dxa"/>
          </w:tcPr>
          <w:p w:rsidRPr="00DB5992" w:rsidR="000F397E" w:rsidP="000F397E" w:rsidRDefault="000F397E" w14:paraId="7BC84DE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B5992">
              <w:rPr>
                <w:sz w:val="22"/>
                <w:szCs w:val="22"/>
              </w:rPr>
              <w:t>Hervé Jeannin (FR-Cat. 2)</w:t>
            </w:r>
          </w:p>
        </w:tc>
      </w:tr>
      <w:tr w:rsidRPr="000F397E" w:rsidR="000F397E" w:rsidTr="001757A2" w14:paraId="42D0F662" w14:textId="77777777">
        <w:tc>
          <w:tcPr>
            <w:tcW w:w="9180" w:type="dxa"/>
            <w:gridSpan w:val="2"/>
          </w:tcPr>
          <w:p w:rsidRPr="00DB5992" w:rsidR="000F397E" w:rsidP="000F397E" w:rsidRDefault="000F397E" w14:paraId="310C602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0F397E" w:rsidR="000F397E" w:rsidTr="001757A2" w14:paraId="0BD5F07F" w14:textId="77777777">
        <w:tc>
          <w:tcPr>
            <w:tcW w:w="1701" w:type="dxa"/>
          </w:tcPr>
          <w:p w:rsidRPr="00DB5992" w:rsidR="000F397E" w:rsidP="000F397E" w:rsidRDefault="000F397E" w14:paraId="6588D50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DB5992">
              <w:rPr>
                <w:b/>
                <w:sz w:val="22"/>
                <w:szCs w:val="22"/>
              </w:rPr>
              <w:t>Referências</w:t>
            </w:r>
          </w:p>
        </w:tc>
        <w:tc>
          <w:tcPr>
            <w:tcW w:w="7479" w:type="dxa"/>
          </w:tcPr>
          <w:p w:rsidRPr="00DB5992" w:rsidR="002666A0" w:rsidP="000F397E" w:rsidRDefault="002666A0" w14:paraId="2852B56E" w14:textId="01CE5A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B5992">
              <w:rPr>
                <w:sz w:val="22"/>
                <w:szCs w:val="22"/>
              </w:rPr>
              <w:t>COM(2025) 10 final</w:t>
            </w:r>
          </w:p>
          <w:p w:rsidRPr="00DB5992" w:rsidR="000F397E" w:rsidP="000F397E" w:rsidRDefault="000F397E" w14:paraId="4D608B89" w14:textId="7904820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DB5992">
              <w:rPr>
                <w:sz w:val="22"/>
                <w:szCs w:val="22"/>
              </w:rPr>
              <w:t>EESC-2025-00633-00-00-AC</w:t>
            </w:r>
          </w:p>
        </w:tc>
      </w:tr>
    </w:tbl>
    <w:p w:rsidRPr="000F397E" w:rsidR="000F397E" w:rsidP="000F397E" w:rsidRDefault="000F397E" w14:paraId="2977F6E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0F397E" w:rsidR="000F397E" w:rsidP="000F397E" w:rsidRDefault="000F397E" w14:paraId="7A48C42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0F397E" w:rsidR="000F397E" w:rsidP="000F397E" w:rsidRDefault="000F397E" w14:paraId="549AE9A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0F397E" w:rsidP="000F397E" w:rsidRDefault="000F397E" w14:paraId="5601CC4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O Comité Económico e Social Europeu (CESE):</w:t>
      </w:r>
    </w:p>
    <w:p w:rsidRPr="000F397E" w:rsidR="002666A0" w:rsidP="000F397E" w:rsidRDefault="002666A0" w14:paraId="35A4C95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:rsidRPr="002666A0" w:rsidR="000F397E" w:rsidP="00B60D9A" w:rsidRDefault="000F397E" w14:paraId="1E06DD98" w14:textId="77777777">
      <w:pPr>
        <w:pStyle w:val="ListParagraph"/>
        <w:numPr>
          <w:ilvl w:val="0"/>
          <w:numId w:val="49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12" w:id="36"/>
      <w:bookmarkStart w:name="_Toc202353245" w:id="37"/>
      <w:r>
        <w:t>congratula-se com o nível de ambição do Plano de Ação Europeu para a Cibersegurança dos Hospitais e dos Prestadores de Cuidados de Saúde e com a atenção dedicada a este assunto. A melhoria da cibersegurança no setor da saúde reforça a segurança e a resiliência em geral e contribui para a União da Preparação;</w:t>
      </w:r>
      <w:bookmarkEnd w:id="36"/>
      <w:bookmarkEnd w:id="37"/>
    </w:p>
    <w:p w:rsidRPr="002666A0" w:rsidR="000F397E" w:rsidP="00B60D9A" w:rsidRDefault="000F397E" w14:paraId="086FD83B" w14:textId="77777777">
      <w:pPr>
        <w:pStyle w:val="ListParagraph"/>
        <w:numPr>
          <w:ilvl w:val="0"/>
          <w:numId w:val="49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13" w:id="38"/>
      <w:bookmarkStart w:name="_Toc202353246" w:id="39"/>
      <w:r>
        <w:t>lamenta que a questão do apoio financeiro à execução do plano de ação continue por resolver; incentiva a Comissão a assegurar uma concentração temática para apoio financeiro através dos fundos no âmbito da política de coesão;</w:t>
      </w:r>
      <w:bookmarkEnd w:id="38"/>
      <w:bookmarkEnd w:id="39"/>
    </w:p>
    <w:p w:rsidRPr="002666A0" w:rsidR="000F397E" w:rsidP="00B60D9A" w:rsidRDefault="000F397E" w14:paraId="45C6F1E7" w14:textId="77777777">
      <w:pPr>
        <w:pStyle w:val="ListParagraph"/>
        <w:numPr>
          <w:ilvl w:val="0"/>
          <w:numId w:val="49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14" w:id="40"/>
      <w:bookmarkStart w:name="_Toc202353247" w:id="41"/>
      <w:r>
        <w:t>assinala o apoio de 6 milhões de euros concedido à Agência da União Europeia para a Cibersegurança (ENISA), mas sublinha que é insuficiente tendo em conta a importância do que está em causa;</w:t>
      </w:r>
      <w:bookmarkEnd w:id="40"/>
      <w:bookmarkEnd w:id="41"/>
    </w:p>
    <w:p w:rsidRPr="002666A0" w:rsidR="000F397E" w:rsidP="00B60D9A" w:rsidRDefault="000F397E" w14:paraId="7C3AF3AC" w14:textId="77777777">
      <w:pPr>
        <w:pStyle w:val="ListParagraph"/>
        <w:numPr>
          <w:ilvl w:val="0"/>
          <w:numId w:val="49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15" w:id="42"/>
      <w:bookmarkStart w:name="_Toc202353248" w:id="43"/>
      <w:r>
        <w:t>recomenda a sensibilização para as práticas básicas de ciber-higiene, o investimento em gémeos digitais para hospitais, sistemas de saúde ou dispositivos médicos, a fim de promover a fiabilidade e facilitar a realização de testes, a prestação de assistência técnica a unidades médicas sem serviços informáticos e o investimento em capacidades técnicas estratégicas;</w:t>
      </w:r>
      <w:bookmarkEnd w:id="42"/>
      <w:bookmarkEnd w:id="43"/>
    </w:p>
    <w:p w:rsidRPr="002666A0" w:rsidR="000F397E" w:rsidP="00B60D9A" w:rsidRDefault="000F397E" w14:paraId="7CA2F5A2" w14:textId="77777777">
      <w:pPr>
        <w:pStyle w:val="ListParagraph"/>
        <w:numPr>
          <w:ilvl w:val="0"/>
          <w:numId w:val="49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16" w:id="44"/>
      <w:bookmarkStart w:name="_Toc202353249" w:id="45"/>
      <w:r>
        <w:t>chama a atenção para um conjunto de medidas de precaução e prevenção que deverão melhorar o nível de proteção no setor dos cuidados de saúde e reduzir o risco de ciberataques: a realização de ensaios adequados, a elaboração de planos de continuidade das atividades, atualizados e revistos regularmente, tanto a nível interno como externo, por auditores independentes e o acompanhamento da aplicação de boas práticas em matéria de controlo e correção;</w:t>
      </w:r>
      <w:bookmarkEnd w:id="44"/>
      <w:bookmarkEnd w:id="45"/>
    </w:p>
    <w:p w:rsidRPr="002666A0" w:rsidR="000F397E" w:rsidP="00B60D9A" w:rsidRDefault="000F397E" w14:paraId="12B63447" w14:textId="77777777">
      <w:pPr>
        <w:pStyle w:val="ListParagraph"/>
        <w:numPr>
          <w:ilvl w:val="0"/>
          <w:numId w:val="49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name="_Toc201570917" w:id="46"/>
      <w:bookmarkStart w:name="_Toc202353250" w:id="47"/>
      <w:r>
        <w:t>recomenda que sejam elaborados planos de aprendizagem e de formação contínuas com os parceiros sociais, bem como mecanismos para a transferência de conhecimentos entre as diversas entidades e partes interessadas profissionais, a fim de fazer face aos desafios em matéria de cibersegurança, ética, privacidade e inteligência artificial (IA).</w:t>
      </w:r>
      <w:bookmarkEnd w:id="46"/>
      <w:bookmarkEnd w:id="47"/>
    </w:p>
    <w:p w:rsidRPr="000F397E" w:rsidR="000F397E" w:rsidP="000F397E" w:rsidRDefault="000F397E" w14:paraId="730034F9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20"/>
        <w:tblW w:w="494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3"/>
        <w:gridCol w:w="7088"/>
      </w:tblGrid>
      <w:tr w:rsidRPr="000F397E" w:rsidR="000F397E" w:rsidTr="00DB5992" w14:paraId="4456BAA8" w14:textId="77777777">
        <w:tc>
          <w:tcPr>
            <w:tcW w:w="1140" w:type="pct"/>
          </w:tcPr>
          <w:p w:rsidRPr="00DB5992" w:rsidR="000F397E" w:rsidP="000F397E" w:rsidRDefault="000F397E" w14:paraId="69FD229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B5992">
              <w:rPr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3860" w:type="pct"/>
          </w:tcPr>
          <w:p w:rsidRPr="00DB5992" w:rsidR="000F397E" w:rsidP="000F397E" w:rsidRDefault="000F397E" w14:paraId="2F254863" w14:textId="378EA08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B5992">
              <w:rPr>
                <w:i/>
                <w:sz w:val="22"/>
                <w:szCs w:val="22"/>
              </w:rPr>
              <w:t>Ioannis Diamantopoulos</w:t>
            </w:r>
          </w:p>
        </w:tc>
      </w:tr>
      <w:tr w:rsidRPr="000F397E" w:rsidR="000F397E" w:rsidTr="00DB5992" w14:paraId="084C83C0" w14:textId="77777777">
        <w:tc>
          <w:tcPr>
            <w:tcW w:w="1140" w:type="pct"/>
          </w:tcPr>
          <w:p w:rsidRPr="00DB5992" w:rsidR="000F397E" w:rsidP="000F397E" w:rsidRDefault="000F397E" w14:paraId="4E439DD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B5992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860" w:type="pct"/>
          </w:tcPr>
          <w:p w:rsidRPr="00DB5992" w:rsidR="000F397E" w:rsidP="000F397E" w:rsidRDefault="000F397E" w14:paraId="130A2C27" w14:textId="1367B17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B5992">
              <w:rPr>
                <w:i/>
                <w:sz w:val="22"/>
                <w:szCs w:val="22"/>
              </w:rPr>
              <w:t>+32 2 546</w:t>
            </w:r>
            <w:r w:rsidR="00DB5992">
              <w:rPr>
                <w:i/>
                <w:sz w:val="22"/>
                <w:szCs w:val="22"/>
              </w:rPr>
              <w:t xml:space="preserve"> </w:t>
            </w:r>
            <w:r w:rsidRPr="00DB5992">
              <w:rPr>
                <w:i/>
                <w:sz w:val="22"/>
                <w:szCs w:val="22"/>
              </w:rPr>
              <w:t>91</w:t>
            </w:r>
            <w:r w:rsidR="00DB5992">
              <w:rPr>
                <w:i/>
                <w:sz w:val="22"/>
                <w:szCs w:val="22"/>
              </w:rPr>
              <w:t xml:space="preserve"> </w:t>
            </w:r>
            <w:r w:rsidRPr="00DB5992">
              <w:rPr>
                <w:i/>
                <w:sz w:val="22"/>
                <w:szCs w:val="22"/>
              </w:rPr>
              <w:t>70</w:t>
            </w:r>
          </w:p>
        </w:tc>
      </w:tr>
      <w:tr w:rsidRPr="000F397E" w:rsidR="000F397E" w:rsidTr="00DB5992" w14:paraId="27237F5B" w14:textId="77777777">
        <w:tc>
          <w:tcPr>
            <w:tcW w:w="1140" w:type="pct"/>
          </w:tcPr>
          <w:p w:rsidRPr="00DB5992" w:rsidR="000F397E" w:rsidP="000F397E" w:rsidRDefault="000F397E" w14:paraId="7A671D5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  <w:r w:rsidRPr="00DB5992">
              <w:rPr>
                <w:i/>
                <w:sz w:val="22"/>
                <w:szCs w:val="22"/>
              </w:rPr>
              <w:t>Endereço eletrónico</w:t>
            </w:r>
          </w:p>
        </w:tc>
        <w:tc>
          <w:tcPr>
            <w:tcW w:w="3860" w:type="pct"/>
          </w:tcPr>
          <w:p w:rsidRPr="00DB5992" w:rsidR="000F397E" w:rsidP="000F397E" w:rsidRDefault="001C5DC4" w14:paraId="178AEB8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sz w:val="22"/>
                <w:szCs w:val="22"/>
              </w:rPr>
            </w:pPr>
            <w:hyperlink w:history="1" r:id="rId59">
              <w:r w:rsidRPr="00DB5992" w:rsidR="00381CCE">
                <w:rPr>
                  <w:i/>
                  <w:color w:val="0000FF"/>
                  <w:sz w:val="22"/>
                  <w:szCs w:val="22"/>
                  <w:u w:val="single"/>
                </w:rPr>
                <w:t>Ioannis.Diamantopoulos@eesc.europa.eu</w:t>
              </w:r>
            </w:hyperlink>
          </w:p>
          <w:p w:rsidRPr="00DB5992" w:rsidR="000F397E" w:rsidP="000F397E" w:rsidRDefault="000F397E" w14:paraId="60DD5C1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sz w:val="22"/>
                <w:szCs w:val="22"/>
              </w:rPr>
            </w:pPr>
          </w:p>
        </w:tc>
      </w:tr>
    </w:tbl>
    <w:p w:rsidRPr="000F397E" w:rsidR="000F397E" w:rsidP="000F397E" w:rsidRDefault="000F397E" w14:paraId="17D99017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t>_____________</w:t>
      </w:r>
    </w:p>
    <w:p w:rsidRPr="001E19E2" w:rsidR="000D394D" w:rsidRDefault="000D394D" w14:paraId="0D2DBE11" w14:textId="77777777">
      <w:pPr>
        <w:spacing w:after="160" w:line="259" w:lineRule="auto"/>
        <w:jc w:val="left"/>
        <w:rPr>
          <w:lang w:val="en-GB"/>
        </w:rPr>
      </w:pPr>
    </w:p>
    <w:sectPr w:rsidRPr="001E19E2" w:rsidR="000D394D" w:rsidSect="00055407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0FBB" w14:textId="77777777" w:rsidR="001E391D" w:rsidRDefault="001E391D" w:rsidP="00B518C9">
      <w:pPr>
        <w:spacing w:line="240" w:lineRule="auto"/>
      </w:pPr>
      <w:r>
        <w:separator/>
      </w:r>
    </w:p>
  </w:endnote>
  <w:endnote w:type="continuationSeparator" w:id="0">
    <w:p w14:paraId="11583423" w14:textId="77777777" w:rsidR="001E391D" w:rsidRDefault="001E391D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A52A" w14:textId="77777777" w:rsidR="00055407" w:rsidRPr="00055407" w:rsidRDefault="00055407" w:rsidP="00055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161DC846" w:rsidR="00B518C9" w:rsidRPr="00055407" w:rsidRDefault="00055407" w:rsidP="00055407">
    <w:pPr>
      <w:pStyle w:val="Footer"/>
    </w:pPr>
    <w:r>
      <w:t xml:space="preserve">EESC-2025-01645-00-00-TCD-TRA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81CCE">
      <w:t>1</w:t>
    </w:r>
    <w:r>
      <w:fldChar w:fldCharType="end"/>
    </w:r>
    <w:r>
      <w:t>/</w:t>
    </w:r>
    <w:r w:rsidR="001C5DC4">
      <w:fldChar w:fldCharType="begin"/>
    </w:r>
    <w:r w:rsidR="001C5DC4">
      <w:instrText xml:space="preserve"> NUMPAGES </w:instrText>
    </w:r>
    <w:r w:rsidR="001C5DC4">
      <w:fldChar w:fldCharType="separate"/>
    </w:r>
    <w:r w:rsidR="00381CCE">
      <w:t>2</w:t>
    </w:r>
    <w:r w:rsidR="001C5DC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2C3C" w14:textId="77777777" w:rsidR="00055407" w:rsidRPr="00055407" w:rsidRDefault="00055407" w:rsidP="000554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CD2C" w14:textId="77777777" w:rsidR="00055407" w:rsidRPr="00055407" w:rsidRDefault="00055407" w:rsidP="0005540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3359" w14:textId="281A9974" w:rsidR="00055407" w:rsidRPr="00055407" w:rsidRDefault="00055407" w:rsidP="00055407">
    <w:pPr>
      <w:pStyle w:val="Footer"/>
    </w:pPr>
    <w:r>
      <w:t xml:space="preserve">EESC-2025-01645-00-00-TCD-TRA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1C5DC4">
      <w:fldChar w:fldCharType="begin"/>
    </w:r>
    <w:r w:rsidR="001C5DC4">
      <w:instrText xml:space="preserve"> NUMPAGES </w:instrText>
    </w:r>
    <w:r w:rsidR="001C5DC4">
      <w:fldChar w:fldCharType="separate"/>
    </w:r>
    <w:r>
      <w:t>28</w:t>
    </w:r>
    <w:r w:rsidR="001C5DC4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2D21" w14:textId="77777777" w:rsidR="00055407" w:rsidRPr="00055407" w:rsidRDefault="00055407" w:rsidP="00055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DB26" w14:textId="77777777" w:rsidR="001E391D" w:rsidRDefault="001E391D" w:rsidP="00B518C9">
      <w:pPr>
        <w:spacing w:line="240" w:lineRule="auto"/>
      </w:pPr>
      <w:r>
        <w:separator/>
      </w:r>
    </w:p>
  </w:footnote>
  <w:footnote w:type="continuationSeparator" w:id="0">
    <w:p w14:paraId="1175CF01" w14:textId="77777777" w:rsidR="001E391D" w:rsidRDefault="001E391D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0DD3" w14:textId="77777777" w:rsidR="00055407" w:rsidRPr="00055407" w:rsidRDefault="00055407" w:rsidP="00055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5006" w14:textId="067921A6" w:rsidR="00055407" w:rsidRPr="00055407" w:rsidRDefault="00055407" w:rsidP="00055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B00C" w14:textId="77777777" w:rsidR="00055407" w:rsidRPr="00055407" w:rsidRDefault="00055407" w:rsidP="000554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A058" w14:textId="77777777" w:rsidR="00055407" w:rsidRPr="00055407" w:rsidRDefault="00055407" w:rsidP="000554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ADAA" w14:textId="2B776D36" w:rsidR="00055407" w:rsidRPr="00055407" w:rsidRDefault="00055407" w:rsidP="000554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8CFA" w14:textId="77777777" w:rsidR="00055407" w:rsidRPr="00055407" w:rsidRDefault="00055407" w:rsidP="00055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6BAC0384"/>
    <w:lvl w:ilvl="0">
      <w:numFmt w:val="decimal"/>
      <w:lvlText w:val="*"/>
      <w:lvlJc w:val="left"/>
    </w:lvl>
  </w:abstractNum>
  <w:abstractNum w:abstractNumId="2" w15:restartNumberingAfterBreak="0">
    <w:nsid w:val="00A4313A"/>
    <w:multiLevelType w:val="hybridMultilevel"/>
    <w:tmpl w:val="8A2407E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E91ABA"/>
    <w:multiLevelType w:val="hybridMultilevel"/>
    <w:tmpl w:val="0A6E670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A08B3"/>
    <w:multiLevelType w:val="multilevel"/>
    <w:tmpl w:val="449684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E4E04"/>
    <w:multiLevelType w:val="hybridMultilevel"/>
    <w:tmpl w:val="ACAE1A9C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56E06"/>
    <w:multiLevelType w:val="hybridMultilevel"/>
    <w:tmpl w:val="4E56A66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7CF268"/>
    <w:multiLevelType w:val="hybridMultilevel"/>
    <w:tmpl w:val="400EA9C6"/>
    <w:lvl w:ilvl="0" w:tplc="AF664816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  <w:color w:val="000000" w:themeColor="text1"/>
      </w:rPr>
    </w:lvl>
    <w:lvl w:ilvl="1" w:tplc="E71E2474">
      <w:start w:val="1"/>
      <w:numFmt w:val="lowerLetter"/>
      <w:lvlText w:val="%2."/>
      <w:lvlJc w:val="left"/>
      <w:pPr>
        <w:ind w:left="1287" w:hanging="360"/>
      </w:pPr>
    </w:lvl>
    <w:lvl w:ilvl="2" w:tplc="CF80E7CA">
      <w:start w:val="1"/>
      <w:numFmt w:val="lowerRoman"/>
      <w:lvlText w:val="%3."/>
      <w:lvlJc w:val="right"/>
      <w:pPr>
        <w:ind w:left="2007" w:hanging="180"/>
      </w:pPr>
    </w:lvl>
    <w:lvl w:ilvl="3" w:tplc="E474BBE2">
      <w:start w:val="1"/>
      <w:numFmt w:val="decimal"/>
      <w:lvlText w:val="%4."/>
      <w:lvlJc w:val="left"/>
      <w:pPr>
        <w:ind w:left="2727" w:hanging="360"/>
      </w:pPr>
    </w:lvl>
    <w:lvl w:ilvl="4" w:tplc="462EC6F6">
      <w:start w:val="1"/>
      <w:numFmt w:val="lowerLetter"/>
      <w:lvlText w:val="%5."/>
      <w:lvlJc w:val="left"/>
      <w:pPr>
        <w:ind w:left="3447" w:hanging="360"/>
      </w:pPr>
    </w:lvl>
    <w:lvl w:ilvl="5" w:tplc="61E4D974">
      <w:start w:val="1"/>
      <w:numFmt w:val="lowerRoman"/>
      <w:lvlText w:val="%6."/>
      <w:lvlJc w:val="right"/>
      <w:pPr>
        <w:ind w:left="4167" w:hanging="180"/>
      </w:pPr>
    </w:lvl>
    <w:lvl w:ilvl="6" w:tplc="F6861F06">
      <w:start w:val="1"/>
      <w:numFmt w:val="decimal"/>
      <w:lvlText w:val="%7."/>
      <w:lvlJc w:val="left"/>
      <w:pPr>
        <w:ind w:left="4887" w:hanging="360"/>
      </w:pPr>
    </w:lvl>
    <w:lvl w:ilvl="7" w:tplc="737E3C6A">
      <w:start w:val="1"/>
      <w:numFmt w:val="lowerLetter"/>
      <w:lvlText w:val="%8."/>
      <w:lvlJc w:val="left"/>
      <w:pPr>
        <w:ind w:left="5607" w:hanging="360"/>
      </w:pPr>
    </w:lvl>
    <w:lvl w:ilvl="8" w:tplc="267CDF42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1093134A"/>
    <w:multiLevelType w:val="hybridMultilevel"/>
    <w:tmpl w:val="7A26A4E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129786E"/>
    <w:multiLevelType w:val="hybridMultilevel"/>
    <w:tmpl w:val="C24C81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2FD5"/>
    <w:multiLevelType w:val="multilevel"/>
    <w:tmpl w:val="E3E463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42DDD"/>
    <w:multiLevelType w:val="hybridMultilevel"/>
    <w:tmpl w:val="54E40C3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8720B11"/>
    <w:multiLevelType w:val="hybridMultilevel"/>
    <w:tmpl w:val="905A438A"/>
    <w:lvl w:ilvl="0" w:tplc="3DC081D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1D230797"/>
    <w:multiLevelType w:val="hybridMultilevel"/>
    <w:tmpl w:val="DEB8D55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241F7C"/>
    <w:multiLevelType w:val="hybridMultilevel"/>
    <w:tmpl w:val="262A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A1625"/>
    <w:multiLevelType w:val="hybridMultilevel"/>
    <w:tmpl w:val="9566F87C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949ED"/>
    <w:multiLevelType w:val="hybridMultilevel"/>
    <w:tmpl w:val="8446FD7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0D83C0E"/>
    <w:multiLevelType w:val="hybridMultilevel"/>
    <w:tmpl w:val="AC5015D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64D01"/>
    <w:multiLevelType w:val="multilevel"/>
    <w:tmpl w:val="E362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631B73"/>
    <w:multiLevelType w:val="multilevel"/>
    <w:tmpl w:val="9432EE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8F1BA9"/>
    <w:multiLevelType w:val="hybridMultilevel"/>
    <w:tmpl w:val="BCE07BC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F75D4"/>
    <w:multiLevelType w:val="hybridMultilevel"/>
    <w:tmpl w:val="3534599E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45E5D03"/>
    <w:multiLevelType w:val="hybridMultilevel"/>
    <w:tmpl w:val="E620FBB8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7785EB1"/>
    <w:multiLevelType w:val="hybridMultilevel"/>
    <w:tmpl w:val="FF48068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F5E45"/>
    <w:multiLevelType w:val="hybridMultilevel"/>
    <w:tmpl w:val="A002FEA2"/>
    <w:lvl w:ilvl="0" w:tplc="8E864B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C21CF4"/>
    <w:multiLevelType w:val="hybridMultilevel"/>
    <w:tmpl w:val="B0E23C88"/>
    <w:lvl w:ilvl="0" w:tplc="BE182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842BD"/>
    <w:multiLevelType w:val="multilevel"/>
    <w:tmpl w:val="4E2EA0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077A0E"/>
    <w:multiLevelType w:val="hybridMultilevel"/>
    <w:tmpl w:val="2CFABAB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A5B7D00"/>
    <w:multiLevelType w:val="multilevel"/>
    <w:tmpl w:val="640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017F1"/>
    <w:multiLevelType w:val="hybridMultilevel"/>
    <w:tmpl w:val="ABC42F3C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406E5"/>
    <w:multiLevelType w:val="hybridMultilevel"/>
    <w:tmpl w:val="D786E98A"/>
    <w:lvl w:ilvl="0" w:tplc="8E864B0C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007" w:hanging="180"/>
      </w:pPr>
    </w:lvl>
    <w:lvl w:ilvl="3" w:tplc="FFFFFFFF">
      <w:start w:val="1"/>
      <w:numFmt w:val="decimal"/>
      <w:lvlText w:val="%4."/>
      <w:lvlJc w:val="left"/>
      <w:pPr>
        <w:ind w:left="2727" w:hanging="360"/>
      </w:pPr>
    </w:lvl>
    <w:lvl w:ilvl="4" w:tplc="FFFFFFFF">
      <w:start w:val="1"/>
      <w:numFmt w:val="lowerLetter"/>
      <w:lvlText w:val="%5."/>
      <w:lvlJc w:val="left"/>
      <w:pPr>
        <w:ind w:left="3447" w:hanging="360"/>
      </w:pPr>
    </w:lvl>
    <w:lvl w:ilvl="5" w:tplc="FFFFFFFF">
      <w:start w:val="1"/>
      <w:numFmt w:val="lowerRoman"/>
      <w:lvlText w:val="%6."/>
      <w:lvlJc w:val="right"/>
      <w:pPr>
        <w:ind w:left="4167" w:hanging="180"/>
      </w:pPr>
    </w:lvl>
    <w:lvl w:ilvl="6" w:tplc="FFFFFFFF">
      <w:start w:val="1"/>
      <w:numFmt w:val="decimal"/>
      <w:lvlText w:val="%7."/>
      <w:lvlJc w:val="left"/>
      <w:pPr>
        <w:ind w:left="4887" w:hanging="360"/>
      </w:pPr>
    </w:lvl>
    <w:lvl w:ilvl="7" w:tplc="FFFFFFFF">
      <w:start w:val="1"/>
      <w:numFmt w:val="lowerLetter"/>
      <w:lvlText w:val="%8."/>
      <w:lvlJc w:val="left"/>
      <w:pPr>
        <w:ind w:left="5607" w:hanging="360"/>
      </w:pPr>
    </w:lvl>
    <w:lvl w:ilvl="8" w:tplc="FFFFFFFF">
      <w:start w:val="1"/>
      <w:numFmt w:val="lowerRoman"/>
      <w:lvlText w:val="%9."/>
      <w:lvlJc w:val="right"/>
      <w:pPr>
        <w:ind w:left="6327" w:hanging="180"/>
      </w:pPr>
    </w:lvl>
  </w:abstractNum>
  <w:abstractNum w:abstractNumId="31" w15:restartNumberingAfterBreak="0">
    <w:nsid w:val="4C70277D"/>
    <w:multiLevelType w:val="hybridMultilevel"/>
    <w:tmpl w:val="424EFA08"/>
    <w:lvl w:ilvl="0" w:tplc="3DC081D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5CCA7FD5"/>
    <w:multiLevelType w:val="hybridMultilevel"/>
    <w:tmpl w:val="BAE6A93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E7A72"/>
    <w:multiLevelType w:val="hybridMultilevel"/>
    <w:tmpl w:val="5C70B10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17D9"/>
    <w:multiLevelType w:val="hybridMultilevel"/>
    <w:tmpl w:val="5112BA32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62E6A1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27C73E2"/>
    <w:multiLevelType w:val="hybridMultilevel"/>
    <w:tmpl w:val="D9784A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43822"/>
    <w:multiLevelType w:val="hybridMultilevel"/>
    <w:tmpl w:val="470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70EDF"/>
    <w:multiLevelType w:val="hybridMultilevel"/>
    <w:tmpl w:val="49661D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A127BD6"/>
    <w:multiLevelType w:val="hybridMultilevel"/>
    <w:tmpl w:val="DB422EAE"/>
    <w:lvl w:ilvl="0" w:tplc="54B0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EABE0"/>
    <w:multiLevelType w:val="hybridMultilevel"/>
    <w:tmpl w:val="071AAFC2"/>
    <w:lvl w:ilvl="0" w:tplc="3ECEE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4394E770">
      <w:start w:val="1"/>
      <w:numFmt w:val="lowerLetter"/>
      <w:lvlText w:val="%2."/>
      <w:lvlJc w:val="left"/>
      <w:pPr>
        <w:ind w:left="1440" w:hanging="360"/>
      </w:pPr>
    </w:lvl>
    <w:lvl w:ilvl="2" w:tplc="48F2FBB0">
      <w:start w:val="1"/>
      <w:numFmt w:val="lowerRoman"/>
      <w:lvlText w:val="%3."/>
      <w:lvlJc w:val="right"/>
      <w:pPr>
        <w:ind w:left="2160" w:hanging="180"/>
      </w:pPr>
    </w:lvl>
    <w:lvl w:ilvl="3" w:tplc="194A9B02">
      <w:start w:val="1"/>
      <w:numFmt w:val="decimal"/>
      <w:lvlText w:val="%4."/>
      <w:lvlJc w:val="left"/>
      <w:pPr>
        <w:ind w:left="2880" w:hanging="360"/>
      </w:pPr>
    </w:lvl>
    <w:lvl w:ilvl="4" w:tplc="10E6AFD6">
      <w:start w:val="1"/>
      <w:numFmt w:val="lowerLetter"/>
      <w:lvlText w:val="%5."/>
      <w:lvlJc w:val="left"/>
      <w:pPr>
        <w:ind w:left="3600" w:hanging="360"/>
      </w:pPr>
    </w:lvl>
    <w:lvl w:ilvl="5" w:tplc="59546A76">
      <w:start w:val="1"/>
      <w:numFmt w:val="lowerRoman"/>
      <w:lvlText w:val="%6."/>
      <w:lvlJc w:val="right"/>
      <w:pPr>
        <w:ind w:left="4320" w:hanging="180"/>
      </w:pPr>
    </w:lvl>
    <w:lvl w:ilvl="6" w:tplc="B28879B6">
      <w:start w:val="1"/>
      <w:numFmt w:val="decimal"/>
      <w:lvlText w:val="%7."/>
      <w:lvlJc w:val="left"/>
      <w:pPr>
        <w:ind w:left="5040" w:hanging="360"/>
      </w:pPr>
    </w:lvl>
    <w:lvl w:ilvl="7" w:tplc="C930E540">
      <w:start w:val="1"/>
      <w:numFmt w:val="lowerLetter"/>
      <w:lvlText w:val="%8."/>
      <w:lvlJc w:val="left"/>
      <w:pPr>
        <w:ind w:left="5760" w:hanging="360"/>
      </w:pPr>
    </w:lvl>
    <w:lvl w:ilvl="8" w:tplc="766A47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016D5"/>
    <w:multiLevelType w:val="hybridMultilevel"/>
    <w:tmpl w:val="BFC45A1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579E2"/>
    <w:multiLevelType w:val="multilevel"/>
    <w:tmpl w:val="DC9249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A7990"/>
    <w:multiLevelType w:val="multilevel"/>
    <w:tmpl w:val="A0B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F3195"/>
    <w:multiLevelType w:val="hybridMultilevel"/>
    <w:tmpl w:val="C67CF7B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4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color w:val="auto"/>
        </w:rPr>
      </w:lvl>
    </w:lvlOverride>
  </w:num>
  <w:num w:numId="5">
    <w:abstractNumId w:val="21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7">
    <w:abstractNumId w:val="34"/>
  </w:num>
  <w:num w:numId="8">
    <w:abstractNumId w:val="37"/>
  </w:num>
  <w:num w:numId="9">
    <w:abstractNumId w:val="31"/>
  </w:num>
  <w:num w:numId="10">
    <w:abstractNumId w:val="12"/>
  </w:num>
  <w:num w:numId="11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12">
    <w:abstractNumId w:val="14"/>
  </w:num>
  <w:num w:numId="13">
    <w:abstractNumId w:val="35"/>
  </w:num>
  <w:num w:numId="14">
    <w:abstractNumId w:val="28"/>
  </w:num>
  <w:num w:numId="15">
    <w:abstractNumId w:val="44"/>
  </w:num>
  <w:num w:numId="16">
    <w:abstractNumId w:val="18"/>
  </w:num>
  <w:num w:numId="17">
    <w:abstractNumId w:val="36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19">
    <w:abstractNumId w:val="23"/>
  </w:num>
  <w:num w:numId="20">
    <w:abstractNumId w:val="40"/>
  </w:num>
  <w:num w:numId="21">
    <w:abstractNumId w:val="7"/>
  </w:num>
  <w:num w:numId="22">
    <w:abstractNumId w:val="25"/>
  </w:num>
  <w:num w:numId="23">
    <w:abstractNumId w:val="9"/>
  </w:num>
  <w:num w:numId="24">
    <w:abstractNumId w:val="27"/>
  </w:num>
  <w:num w:numId="25">
    <w:abstractNumId w:val="8"/>
  </w:num>
  <w:num w:numId="26">
    <w:abstractNumId w:val="33"/>
  </w:num>
  <w:num w:numId="27">
    <w:abstractNumId w:val="17"/>
  </w:num>
  <w:num w:numId="28">
    <w:abstractNumId w:val="6"/>
  </w:num>
  <w:num w:numId="29">
    <w:abstractNumId w:val="16"/>
  </w:num>
  <w:num w:numId="30">
    <w:abstractNumId w:val="2"/>
  </w:num>
  <w:num w:numId="31">
    <w:abstractNumId w:val="11"/>
  </w:num>
  <w:num w:numId="32">
    <w:abstractNumId w:val="41"/>
  </w:num>
  <w:num w:numId="33">
    <w:abstractNumId w:val="3"/>
  </w:num>
  <w:num w:numId="34">
    <w:abstractNumId w:val="24"/>
  </w:num>
  <w:num w:numId="35">
    <w:abstractNumId w:val="39"/>
  </w:num>
  <w:num w:numId="36">
    <w:abstractNumId w:val="42"/>
  </w:num>
  <w:num w:numId="37">
    <w:abstractNumId w:val="10"/>
  </w:num>
  <w:num w:numId="38">
    <w:abstractNumId w:val="4"/>
  </w:num>
  <w:num w:numId="39">
    <w:abstractNumId w:val="19"/>
  </w:num>
  <w:num w:numId="40">
    <w:abstractNumId w:val="26"/>
  </w:num>
  <w:num w:numId="41">
    <w:abstractNumId w:val="13"/>
  </w:num>
  <w:num w:numId="42">
    <w:abstractNumId w:val="45"/>
  </w:num>
  <w:num w:numId="43">
    <w:abstractNumId w:val="29"/>
  </w:num>
  <w:num w:numId="44">
    <w:abstractNumId w:val="15"/>
  </w:num>
  <w:num w:numId="45">
    <w:abstractNumId w:val="5"/>
  </w:num>
  <w:num w:numId="46">
    <w:abstractNumId w:val="30"/>
  </w:num>
  <w:num w:numId="47">
    <w:abstractNumId w:val="22"/>
  </w:num>
  <w:num w:numId="48">
    <w:abstractNumId w:val="2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10A4D"/>
    <w:rsid w:val="00043305"/>
    <w:rsid w:val="00055407"/>
    <w:rsid w:val="00063DFF"/>
    <w:rsid w:val="00075030"/>
    <w:rsid w:val="00077CC3"/>
    <w:rsid w:val="000959E6"/>
    <w:rsid w:val="000A075F"/>
    <w:rsid w:val="000C63A4"/>
    <w:rsid w:val="000D394D"/>
    <w:rsid w:val="000E6568"/>
    <w:rsid w:val="000F397E"/>
    <w:rsid w:val="001063C4"/>
    <w:rsid w:val="00123381"/>
    <w:rsid w:val="00156D53"/>
    <w:rsid w:val="00171B2B"/>
    <w:rsid w:val="0019737D"/>
    <w:rsid w:val="001A0F35"/>
    <w:rsid w:val="001B63A4"/>
    <w:rsid w:val="001B71FA"/>
    <w:rsid w:val="001B7DAA"/>
    <w:rsid w:val="001C5DC4"/>
    <w:rsid w:val="001C720D"/>
    <w:rsid w:val="001E19E2"/>
    <w:rsid w:val="001E391D"/>
    <w:rsid w:val="0020025C"/>
    <w:rsid w:val="00212375"/>
    <w:rsid w:val="00231020"/>
    <w:rsid w:val="00240934"/>
    <w:rsid w:val="00240FD7"/>
    <w:rsid w:val="00254761"/>
    <w:rsid w:val="002560DC"/>
    <w:rsid w:val="0026311A"/>
    <w:rsid w:val="002666A0"/>
    <w:rsid w:val="00290411"/>
    <w:rsid w:val="002950A0"/>
    <w:rsid w:val="002A5636"/>
    <w:rsid w:val="002B7981"/>
    <w:rsid w:val="002E1FD0"/>
    <w:rsid w:val="00303A9D"/>
    <w:rsid w:val="003066BE"/>
    <w:rsid w:val="003151D0"/>
    <w:rsid w:val="003161AA"/>
    <w:rsid w:val="0031700A"/>
    <w:rsid w:val="00320FF5"/>
    <w:rsid w:val="003227CC"/>
    <w:rsid w:val="0034685F"/>
    <w:rsid w:val="00351E5A"/>
    <w:rsid w:val="003572EF"/>
    <w:rsid w:val="00381CCE"/>
    <w:rsid w:val="00382E57"/>
    <w:rsid w:val="003B35DF"/>
    <w:rsid w:val="003C2D04"/>
    <w:rsid w:val="003D7AB4"/>
    <w:rsid w:val="003F1917"/>
    <w:rsid w:val="003F326D"/>
    <w:rsid w:val="003F5128"/>
    <w:rsid w:val="003F79EF"/>
    <w:rsid w:val="0043191A"/>
    <w:rsid w:val="00432B76"/>
    <w:rsid w:val="00450837"/>
    <w:rsid w:val="0047118A"/>
    <w:rsid w:val="004721D7"/>
    <w:rsid w:val="004801BE"/>
    <w:rsid w:val="004A5CD7"/>
    <w:rsid w:val="004B7430"/>
    <w:rsid w:val="004B7C66"/>
    <w:rsid w:val="004D7AC0"/>
    <w:rsid w:val="004F51B1"/>
    <w:rsid w:val="004F6E52"/>
    <w:rsid w:val="005215A3"/>
    <w:rsid w:val="005275B5"/>
    <w:rsid w:val="00532089"/>
    <w:rsid w:val="00554171"/>
    <w:rsid w:val="0056288B"/>
    <w:rsid w:val="00586B4B"/>
    <w:rsid w:val="005A0BDA"/>
    <w:rsid w:val="005C73A1"/>
    <w:rsid w:val="005D51A7"/>
    <w:rsid w:val="005D59E4"/>
    <w:rsid w:val="005E432E"/>
    <w:rsid w:val="005E7651"/>
    <w:rsid w:val="005F1C0E"/>
    <w:rsid w:val="005F797E"/>
    <w:rsid w:val="006179EF"/>
    <w:rsid w:val="00625CA3"/>
    <w:rsid w:val="00641262"/>
    <w:rsid w:val="00651562"/>
    <w:rsid w:val="006537CB"/>
    <w:rsid w:val="006B53B5"/>
    <w:rsid w:val="006D2C8A"/>
    <w:rsid w:val="006D2D64"/>
    <w:rsid w:val="006D5AE4"/>
    <w:rsid w:val="007435E6"/>
    <w:rsid w:val="00752354"/>
    <w:rsid w:val="00754027"/>
    <w:rsid w:val="0075742D"/>
    <w:rsid w:val="00766B1A"/>
    <w:rsid w:val="00770396"/>
    <w:rsid w:val="00783D73"/>
    <w:rsid w:val="00797AAF"/>
    <w:rsid w:val="007A5F20"/>
    <w:rsid w:val="007B5D25"/>
    <w:rsid w:val="007C4222"/>
    <w:rsid w:val="007E62AA"/>
    <w:rsid w:val="007F5784"/>
    <w:rsid w:val="007F5873"/>
    <w:rsid w:val="008003BB"/>
    <w:rsid w:val="0080201B"/>
    <w:rsid w:val="00805E64"/>
    <w:rsid w:val="00844CF3"/>
    <w:rsid w:val="00845F24"/>
    <w:rsid w:val="00863217"/>
    <w:rsid w:val="0088219D"/>
    <w:rsid w:val="0089162C"/>
    <w:rsid w:val="008943CC"/>
    <w:rsid w:val="008B600E"/>
    <w:rsid w:val="00942860"/>
    <w:rsid w:val="009770F1"/>
    <w:rsid w:val="00993832"/>
    <w:rsid w:val="009964F4"/>
    <w:rsid w:val="009A3B12"/>
    <w:rsid w:val="009D6FFC"/>
    <w:rsid w:val="009F0605"/>
    <w:rsid w:val="009F43C9"/>
    <w:rsid w:val="00A010F4"/>
    <w:rsid w:val="00A1625F"/>
    <w:rsid w:val="00A174E9"/>
    <w:rsid w:val="00A20E9D"/>
    <w:rsid w:val="00A26860"/>
    <w:rsid w:val="00A272B2"/>
    <w:rsid w:val="00A50553"/>
    <w:rsid w:val="00A6461A"/>
    <w:rsid w:val="00A811F3"/>
    <w:rsid w:val="00A9750A"/>
    <w:rsid w:val="00AC3348"/>
    <w:rsid w:val="00AC3821"/>
    <w:rsid w:val="00AE1A95"/>
    <w:rsid w:val="00AE7912"/>
    <w:rsid w:val="00AF27EF"/>
    <w:rsid w:val="00B203DA"/>
    <w:rsid w:val="00B44BF4"/>
    <w:rsid w:val="00B518C9"/>
    <w:rsid w:val="00B52F62"/>
    <w:rsid w:val="00B55BCB"/>
    <w:rsid w:val="00B56F4F"/>
    <w:rsid w:val="00B60D9A"/>
    <w:rsid w:val="00B71CD1"/>
    <w:rsid w:val="00B92D7E"/>
    <w:rsid w:val="00BC7002"/>
    <w:rsid w:val="00BD11E7"/>
    <w:rsid w:val="00BD4876"/>
    <w:rsid w:val="00BE355C"/>
    <w:rsid w:val="00BE54B3"/>
    <w:rsid w:val="00C008B4"/>
    <w:rsid w:val="00C17ABD"/>
    <w:rsid w:val="00C2185C"/>
    <w:rsid w:val="00C26C67"/>
    <w:rsid w:val="00C504F7"/>
    <w:rsid w:val="00C737A5"/>
    <w:rsid w:val="00C821A5"/>
    <w:rsid w:val="00C86ABE"/>
    <w:rsid w:val="00D04355"/>
    <w:rsid w:val="00D228C8"/>
    <w:rsid w:val="00D264E4"/>
    <w:rsid w:val="00D359A9"/>
    <w:rsid w:val="00D43613"/>
    <w:rsid w:val="00D5108B"/>
    <w:rsid w:val="00D7076A"/>
    <w:rsid w:val="00D81F5E"/>
    <w:rsid w:val="00D92269"/>
    <w:rsid w:val="00DB5992"/>
    <w:rsid w:val="00DC7B88"/>
    <w:rsid w:val="00DD3FB1"/>
    <w:rsid w:val="00DE0BF5"/>
    <w:rsid w:val="00DE176A"/>
    <w:rsid w:val="00DF2F81"/>
    <w:rsid w:val="00E00A6B"/>
    <w:rsid w:val="00E11CA7"/>
    <w:rsid w:val="00E1573A"/>
    <w:rsid w:val="00E32C54"/>
    <w:rsid w:val="00E34939"/>
    <w:rsid w:val="00E449A3"/>
    <w:rsid w:val="00E661EA"/>
    <w:rsid w:val="00E77899"/>
    <w:rsid w:val="00E7797E"/>
    <w:rsid w:val="00E838F9"/>
    <w:rsid w:val="00E8520F"/>
    <w:rsid w:val="00EA5508"/>
    <w:rsid w:val="00ED265E"/>
    <w:rsid w:val="00EE332D"/>
    <w:rsid w:val="00EE3630"/>
    <w:rsid w:val="00F225C2"/>
    <w:rsid w:val="00F267B0"/>
    <w:rsid w:val="00F739CD"/>
    <w:rsid w:val="00F837B3"/>
    <w:rsid w:val="00F83C17"/>
    <w:rsid w:val="00F96D7F"/>
    <w:rsid w:val="00F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x-bh-SD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2DD4D"/>
  <w15:chartTrackingRefBased/>
  <w15:docId w15:val="{CC2967CE-8393-4E48-B2BE-AAD92919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37CB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rsid w:val="009F0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F0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A17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9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E3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AC3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783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E1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9A3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D04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24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24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25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263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61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61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AE7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1E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E34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0F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E32C54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5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1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esc.europa.eu/pt/our-work/opinions-information-reports/opinions/assessing-tax-reporting-obligations-eu" TargetMode="External"/><Relationship Id="rId21" Type="http://schemas.openxmlformats.org/officeDocument/2006/relationships/hyperlink" Target="https://www.eesc.europa.eu/pt/documents/resolution/eesc-contribution-2026-european-commission-work-programme" TargetMode="External"/><Relationship Id="rId34" Type="http://schemas.openxmlformats.org/officeDocument/2006/relationships/hyperlink" Target="https://www.eesc.europa.eu/en/our-work/opinions-information-reports/opinions/future-eu-strategy-rights-persons-disabilities-post-2025" TargetMode="External"/><Relationship Id="rId42" Type="http://schemas.openxmlformats.org/officeDocument/2006/relationships/hyperlink" Target="https://www.eesc.europa.eu/en/our-work/opinions-information-reports/opinions/planning-sustainable-urban-mobility-eu" TargetMode="External"/><Relationship Id="rId47" Type="http://schemas.openxmlformats.org/officeDocument/2006/relationships/hyperlink" Target="mailto:Silvia.Staffa@eesc.europa.eu" TargetMode="External"/><Relationship Id="rId50" Type="http://schemas.openxmlformats.org/officeDocument/2006/relationships/hyperlink" Target="mailto:Marco.Ristori@eesc.europa.eu" TargetMode="External"/><Relationship Id="rId55" Type="http://schemas.openxmlformats.org/officeDocument/2006/relationships/hyperlink" Target="mailto:Adam.Dorywalski@eesc.europa.eu" TargetMode="External"/><Relationship Id="rId63" Type="http://schemas.openxmlformats.org/officeDocument/2006/relationships/footer" Target="footer5.xml"/><Relationship Id="rId68" Type="http://schemas.openxmlformats.org/officeDocument/2006/relationships/customXml" Target="../customXml/item1.xml"/><Relationship Id="rId7" Type="http://schemas.openxmlformats.org/officeDocument/2006/relationships/styles" Target="styles.xml"/><Relationship Id="rId71" Type="http://schemas.openxmlformats.org/officeDocument/2006/relationships/customXml" Target="../customXml/item4.xml"/><Relationship Id="rId16" Type="http://schemas.openxmlformats.org/officeDocument/2006/relationships/header" Target="header2.xml"/><Relationship Id="rId29" Type="http://schemas.openxmlformats.org/officeDocument/2006/relationships/hyperlink" Target="mailto:GeorgiosMeleas@eesc.europa.eu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eesc.europa.eu/pt/our-work/opinions-information-reports/opinions/roadmap-womens-rights" TargetMode="External"/><Relationship Id="rId32" Type="http://schemas.openxmlformats.org/officeDocument/2006/relationships/hyperlink" Target="https://www.eesc.europa.eu/pt/our-work/opinions-information-reports/opinions/new-action-plan-implementation-european-pillar-social-rights" TargetMode="External"/><Relationship Id="rId37" Type="http://schemas.openxmlformats.org/officeDocument/2006/relationships/hyperlink" Target="mailto:Valeria.Atzori@eesc.europa.eu" TargetMode="External"/><Relationship Id="rId40" Type="http://schemas.openxmlformats.org/officeDocument/2006/relationships/hyperlink" Target="http://www.eesc.europa.eu/pt/our-work/opinions-information-reports/opinions/towards-balanced-european-energy-system" TargetMode="External"/><Relationship Id="rId45" Type="http://schemas.openxmlformats.org/officeDocument/2006/relationships/hyperlink" Target="mailto:Alice.Tetu@eesc.europa.eu" TargetMode="External"/><Relationship Id="rId53" Type="http://schemas.openxmlformats.org/officeDocument/2006/relationships/hyperlink" Target="https://www.eesc.europa.eu/en/our-work/opinions-information-reports/opinions/reindustrialisation-europe-opportunity-businesses-employees-and-citizens-context-cost-living-crisis" TargetMode="External"/><Relationship Id="rId58" Type="http://schemas.openxmlformats.org/officeDocument/2006/relationships/hyperlink" Target="https://www.eesc.europa.eu/pt/our-work/opinions-information-reports/opinions/european-action-plan-cybersecurity-hospitals-and-healthcare-providers" TargetMode="External"/><Relationship Id="rId66" Type="http://schemas.openxmlformats.org/officeDocument/2006/relationships/fontTable" Target="fontTable.xml"/><Relationship Id="rId61" Type="http://schemas.openxmlformats.org/officeDocument/2006/relationships/header" Target="header5.xml"/><Relationship Id="rId19" Type="http://schemas.openxmlformats.org/officeDocument/2006/relationships/header" Target="header3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mailto:David.Scuderi@eesc.europa.eu" TargetMode="External"/><Relationship Id="rId27" Type="http://schemas.openxmlformats.org/officeDocument/2006/relationships/hyperlink" Target="mailto:Juri.Soosaar@eesc.europa.eu" TargetMode="External"/><Relationship Id="rId30" Type="http://schemas.openxmlformats.org/officeDocument/2006/relationships/hyperlink" Target="https://www.eesc.europa.eu/pt/our-work/opinions-information-reports/opinions/enhancing-legal-and-organised-labour-migration-eu" TargetMode="External"/><Relationship Id="rId35" Type="http://schemas.openxmlformats.org/officeDocument/2006/relationships/hyperlink" Target="mailto:Valeria.Atzori@eesc.europa.eu" TargetMode="External"/><Relationship Id="rId43" Type="http://schemas.openxmlformats.org/officeDocument/2006/relationships/hyperlink" Target="mailto:Maja.Radman@eesc.europa.eu" TargetMode="External"/><Relationship Id="rId48" Type="http://schemas.openxmlformats.org/officeDocument/2006/relationships/hyperlink" Target="https://www.eesc.europa.eu/pt/our-work/opinions-information-reports/opinions/regenerative-agriculture-target-towards-enhancing-sustainable-food-production-supporting-climate-and-biodiversity" TargetMode="External"/><Relationship Id="rId56" Type="http://schemas.openxmlformats.org/officeDocument/2006/relationships/hyperlink" Target="https://www.eesc.europa.eu/en/our-work/opinions-information-reports/opinions/critical-medicines-act/related-links-ccmi-240" TargetMode="External"/><Relationship Id="rId64" Type="http://schemas.openxmlformats.org/officeDocument/2006/relationships/header" Target="header6.xml"/><Relationship Id="rId69" Type="http://schemas.openxmlformats.org/officeDocument/2006/relationships/customXml" Target="../customXml/item2.xml"/><Relationship Id="rId8" Type="http://schemas.openxmlformats.org/officeDocument/2006/relationships/settings" Target="settings.xml"/><Relationship Id="rId51" Type="http://schemas.openxmlformats.org/officeDocument/2006/relationships/hyperlink" Target="https://www.eesc.europa.eu/pt/our-work/opinions-information-reports/information-reports/situation-civil-society-organisations-asean-countries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yperlink" Target="mailto:Gabriela.Grasu@eesc.europa.eu" TargetMode="External"/><Relationship Id="rId33" Type="http://schemas.openxmlformats.org/officeDocument/2006/relationships/hyperlink" Target="mailto:Bartek.Bednarowicz@eesc.europa.eu" TargetMode="External"/><Relationship Id="rId38" Type="http://schemas.openxmlformats.org/officeDocument/2006/relationships/hyperlink" Target="https://www.eesc.europa.eu/pt/our-work/opinions-information-reports/opinions/support-workers-affected-imminent-job-displacement-enterprises-undergoing-restructuring" TargetMode="External"/><Relationship Id="rId46" Type="http://schemas.openxmlformats.org/officeDocument/2006/relationships/hyperlink" Target="https://www.eesc.europa.eu/pt/our-work/opinions-information-reports/opinions/first-omnibus-package-sustainability" TargetMode="External"/><Relationship Id="rId59" Type="http://schemas.openxmlformats.org/officeDocument/2006/relationships/hyperlink" Target="mailto:Ioannis.Diamantopoulos@eesc.europa.eu" TargetMode="External"/><Relationship Id="rId67" Type="http://schemas.openxmlformats.org/officeDocument/2006/relationships/theme" Target="theme/theme1.xml"/><Relationship Id="rId20" Type="http://schemas.openxmlformats.org/officeDocument/2006/relationships/footer" Target="footer3.xml"/><Relationship Id="rId41" Type="http://schemas.openxmlformats.org/officeDocument/2006/relationships/hyperlink" Target="mailto:GiorgiaAndrea.Bordignon@eesc.europa.eu" TargetMode="External"/><Relationship Id="rId54" Type="http://schemas.openxmlformats.org/officeDocument/2006/relationships/hyperlink" Target="https://www.eesc.europa.eu/pt/initiatives/eu-youth-test-eesc" TargetMode="External"/><Relationship Id="rId62" Type="http://schemas.openxmlformats.org/officeDocument/2006/relationships/footer" Target="footer4.xml"/><Relationship Id="rId70" Type="http://schemas.openxmlformats.org/officeDocument/2006/relationships/customXml" Target="../customXml/item3.xml"/><Relationship Id="rId6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Stefania.Lopedote@eesc.europa.eu" TargetMode="External"/><Relationship Id="rId28" Type="http://schemas.openxmlformats.org/officeDocument/2006/relationships/hyperlink" Target="https://www.eesc.europa.eu/en/our-work/opinions-information-reports/opinions/additional-assistance-outermost-regions" TargetMode="External"/><Relationship Id="rId36" Type="http://schemas.openxmlformats.org/officeDocument/2006/relationships/hyperlink" Target="https://www.eesc.europa.eu/pt/our-work/opinions-information-reports/opinions/how-address-loss-purchasing-power-and-risk-rising-inequalities-exclusion-and-marginalization" TargetMode="External"/><Relationship Id="rId49" Type="http://schemas.openxmlformats.org/officeDocument/2006/relationships/hyperlink" Target="mailto:Martine.Delanoy@eesc.europa.eu" TargetMode="External"/><Relationship Id="rId57" Type="http://schemas.openxmlformats.org/officeDocument/2006/relationships/hyperlink" Target="mailto:JacopoErnesto.Caja@eesc.europa.eu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Triin.AasmaaGomes@eesc.europa.eu" TargetMode="External"/><Relationship Id="rId44" Type="http://schemas.openxmlformats.org/officeDocument/2006/relationships/hyperlink" Target="https://www.eesc.europa.eu/pt/our-work/opinions-information-reports/opinions/battery-due-diligence-policies" TargetMode="External"/><Relationship Id="rId52" Type="http://schemas.openxmlformats.org/officeDocument/2006/relationships/hyperlink" Target="mailto:Gunilla.Sandberg@eesc.europa.eu" TargetMode="External"/><Relationship Id="rId60" Type="http://schemas.openxmlformats.org/officeDocument/2006/relationships/header" Target="header4.xml"/><Relationship Id="rId65" Type="http://schemas.openxmlformats.org/officeDocument/2006/relationships/footer" Target="footer6.xml"/><Relationship Id="rId9" Type="http://schemas.openxmlformats.org/officeDocument/2006/relationships/webSettings" Target="webSettings.xml"/><Relationship Id="rId13" Type="http://schemas.openxmlformats.org/officeDocument/2006/relationships/hyperlink" Target="https://www.eesc.europa.eu/pt/our-work/opinions-information-reports/plenary-session-summaries" TargetMode="External"/><Relationship Id="rId18" Type="http://schemas.openxmlformats.org/officeDocument/2006/relationships/footer" Target="footer2.xml"/><Relationship Id="rId39" Type="http://schemas.openxmlformats.org/officeDocument/2006/relationships/hyperlink" Target="mailto:Bartek.Bednarowicz@eesc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A6WAAD5KZT2Q-293470456-8656</_dlc_DocId>
    <_dlc_DocIdUrl xmlns="1a33af13-4045-4f88-9d7b-618e30f79918">
      <Url>http://dm/eesc/2025/_layouts/15/DocIdRedir.aspx?ID=A6WAAD5KZT2Q-293470456-8656</Url>
      <Description>A6WAAD5KZT2Q-293470456-8656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2025-07-02T12:00:00+00:00</ProductionDate>
    <DocumentNumber xmlns="aa382cf6-584e-4bd2-bd73-0bac1a20efcb">1645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2025-07-16T12:00:00+00:00</MeetingDate>
    <TaxCatchAll xmlns="1a33af13-4045-4f88-9d7b-618e30f79918">
      <Value>67</Value>
      <Value>50</Value>
      <Value>47</Value>
      <Value>46</Value>
      <Value>42</Value>
      <Value>41</Value>
      <Value>40</Value>
      <Value>39</Value>
      <Value>37</Value>
      <Value>36</Value>
      <Value>35</Value>
      <Value>34</Value>
      <Value>33</Value>
      <Value>31</Value>
      <Value>30</Value>
      <Value>29</Value>
      <Value>28</Value>
      <Value>27</Value>
      <Value>24</Value>
      <Value>23</Value>
      <Value>19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6540</FicheNumber>
    <OriginalSender xmlns="1a33af13-4045-4f88-9d7b-618e30f79918">
      <UserInfo>
        <DisplayName>Pomba Ramos Joao</DisplayName>
        <AccountId>1599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>598</MeetingNumber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DC302685-F927-4ED4-A22D-CB7F18975D19}"/>
</file>

<file path=customXml/itemProps2.xml><?xml version="1.0" encoding="utf-8"?>
<ds:datastoreItem xmlns:ds="http://schemas.openxmlformats.org/officeDocument/2006/customXml" ds:itemID="{6E7F3952-EF24-40AB-A57D-1C2009CD873C}"/>
</file>

<file path=customXml/itemProps3.xml><?xml version="1.0" encoding="utf-8"?>
<ds:datastoreItem xmlns:ds="http://schemas.openxmlformats.org/officeDocument/2006/customXml" ds:itemID="{993375A5-3FEC-40C3-A8D5-52EFF68E41A3}"/>
</file>

<file path=customXml/itemProps4.xml><?xml version="1.0" encoding="utf-8"?>
<ds:datastoreItem xmlns:ds="http://schemas.openxmlformats.org/officeDocument/2006/customXml" ds:itemID="{50FBB214-0934-429F-8312-308987C2B5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8437</Words>
  <Characters>45564</Characters>
  <Application>Microsoft Office Word</Application>
  <DocSecurity>0</DocSecurity>
  <Lines>379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Company>CESE-CdR</Company>
  <LinksUpToDate>false</LinksUpToDate>
  <CharactersWithSpaces>53894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Síntese dos pareceres - 597. reunião plenária - junho 2025</dc:title>
  <dc:subject>TCD</dc:subject>
  <dc:creator>Nieddu Emma</dc:creator>
  <cp:keywords>EESC-2025-01645-00-00-TCD-TRA-EN</cp:keywords>
  <dc:description>Rapporteur:  - Original language: EN - Date of document: 02/07/2025 - Date of meeting: 30/16/2025 14:30 - External documents:  - Administrator: MME TAMASAUSKIENE Julija</dc:description>
  <cp:lastModifiedBy>Pomba Ramos Joao</cp:lastModifiedBy>
  <cp:revision>35</cp:revision>
  <dcterms:created xsi:type="dcterms:W3CDTF">2025-06-24T14:06:00Z</dcterms:created>
  <dcterms:modified xsi:type="dcterms:W3CDTF">2025-07-02T11:18:00Z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24/06/2025, 02/05/2022, 02/05/2022, 28/06/2021</vt:lpwstr>
  </property>
  <property fmtid="{D5CDD505-2E9C-101B-9397-08002B2CF9AE}" pid="4" name="Pref_Time">
    <vt:lpwstr>16:06:11, 12:28:29, 12:25:37, 08:41:48</vt:lpwstr>
  </property>
  <property fmtid="{D5CDD505-2E9C-101B-9397-08002B2CF9AE}" pid="5" name="Pref_User">
    <vt:lpwstr>pacup, enied, enied, enied</vt:lpwstr>
  </property>
  <property fmtid="{D5CDD505-2E9C-101B-9397-08002B2CF9AE}" pid="6" name="Pref_FileName">
    <vt:lpwstr>EESC-2025-01645-00-00-TCD-ORI.docx,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d12f8575-8228-436e-a766-18f8b682c063</vt:lpwstr>
  </property>
  <property fmtid="{D5CDD505-2E9C-101B-9397-08002B2CF9AE}" pid="9" name="AvailableTranslations">
    <vt:lpwstr>40;#DA|5d49c027-8956-412b-aa16-e85a0f96ad0e;#16;#ES|e7a6b05b-ae16-40c8-add9-68b64b03aeba;#41;#ET|ff6c3f4c-b02c-4c3c-ab07-2c37995a7a0a;#33;#PT|50ccc04a-eadd-42ae-a0cb-acaf45f812ba;#29;#CS|72f9705b-0217-4fd3-bea2-cbc7ed80e26e;#28;#SV|c2ed69e7-a339-43d7-8f22-d93680a92aa0;#42;#EL|6d4f4d51-af9b-4650-94b4-4276bee85c91;#5;#EN|f2175f21-25d7-44a3-96da-d6a61b075e1b;#35;#FI|87606a43-d45f-42d6-b8c9-e1a3457db5b7;#24;#PL|1e03da61-4678-4e07-b136-b5024ca9197b;#46;#SK|46d9fce0-ef79-4f71-b89b-cd6aa82426b8;#36;#RO|feb747a2-64cd-4299-af12-4833ddc30497;#23;#DE|f6b31e5a-26fa-4935-b661-318e46daf27e;#27;#NL|55c6556c-b4f4-441d-9acf-c498d4f838bd;#31;#SL|98a412ae-eb01-49e9-ae3d-585a81724cfc;#12;#FR|d2afafd3-4c81-4f60-8f52-ee33f2f54ff3;#47;#BG|1a1b3951-7821-4e6a-85f5-5673fc08bd2c;#37;#HU|6b229040-c589-4408-b4c1-4285663d20a8;#50;#HR|2f555653-ed1a-4fe6-8362-9082d95989e5;#34;#IT|0774613c-01ed-4e5d-a25d-11d2388de825;#39;#LV|46f7e311-5d9f-4663-b433-18aeccb7ace7;#30;#LT|a7ff5ce7-6123-4f68-865a-a57c31810414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598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1645</vt:i4>
  </property>
  <property fmtid="{D5CDD505-2E9C-101B-9397-08002B2CF9AE}" pid="15" name="DocumentVersion">
    <vt:i4>0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19;#TCD|cd9d6eb6-3f4f-424a-b2d1-57c9d450eaaf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15;#Unrestricted|826e22d7-d029-4ec0-a450-0c28ff673572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67;#SPL-CES|32d8cb1f-c9ec-4365-95c7-8385a18618ac</vt:lpwstr>
  </property>
  <property fmtid="{D5CDD505-2E9C-101B-9397-08002B2CF9AE}" pid="28" name="MeetingDate">
    <vt:filetime>2025-07-16T12:00:00Z</vt:filetime>
  </property>
  <property fmtid="{D5CDD505-2E9C-101B-9397-08002B2CF9AE}" pid="29" name="AvailableTranslations_0">
    <vt:lpwstr>DA|5d49c027-8956-412b-aa16-e85a0f96ad0e;ES|e7a6b05b-ae16-40c8-add9-68b64b03aeba;CS|72f9705b-0217-4fd3-bea2-cbc7ed80e26e;EN|f2175f21-25d7-44a3-96da-d6a61b075e1b;PL|1e03da61-4678-4e07-b136-b5024ca9197b;SK|46d9fce0-ef79-4f71-b89b-cd6aa82426b8;RO|feb747a2-64cd-4299-af12-4833ddc30497;DE|f6b31e5a-26fa-4935-b661-318e46daf27e;NL|55c6556c-b4f4-441d-9acf-c498d4f838bd;SL|98a412ae-eb01-49e9-ae3d-585a81724cfc;BG|1a1b3951-7821-4e6a-85f5-5673fc08bd2c;HU|6b229040-c589-4408-b4c1-4285663d20a8;HR|2f555653-ed1a-4fe6-8362-9082d95989e5;LV|46f7e311-5d9f-4663-b433-18aeccb7ace7;LT|a7ff5ce7-6123-4f68-865a-a57c31810414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RO|feb747a2-64cd-4299-af12-4833ddc30497;#50;#HR|2f555653-ed1a-4fe6-8362-9082d95989e5;#31;#SL|98a412ae-eb01-49e9-ae3d-585a81724cfc;#67;#SPL-CES|32d8cb1f-c9ec-4365-95c7-8385a18618ac;#29;#CS|72f9705b-0217-4fd3-bea2-cbc7ed80e26e;#27;#NL|55c6556c-b4f4-441d-9acf-c498d4f838bd;#24;#PL|1e03da61-4678-4e07-b136-b5024ca9197b;#23;#DE|f6b31e5a-26fa-4935-b661-318e46daf27e;#19;#TCD|cd9d6eb6-3f4f-424a-b2d1-57c9d450eaaf;#16;#ES|e7a6b05b-ae16-40c8-add9-68b64b03aeba;#15;#Unrestricted|826e22d7-d029-4ec0-a450-0c28ff673572;#13;#TRA|150d2a88-1431-44e6-a8ca-0bb753ab8672;#47;#BG|1a1b3951-7821-4e6a-85f5-5673fc08bd2c;#46;#SK|46d9fce0-ef79-4f71-b89b-cd6aa82426b8;#8;#Final|ea5e6674-7b27-4bac-b091-73adbb394efe;#30;#LT|a7ff5ce7-6123-4f68-865a-a57c31810414;#5;#EN|f2175f21-25d7-44a3-96da-d6a61b075e1b;#40;#DA|5d49c027-8956-412b-aa16-e85a0f96ad0e;#39;#LV|46f7e311-5d9f-4663-b433-18aeccb7ace7;#1;#EESC|422833ec-8d7e-4e65-8e4e-8bed07ffb729;#37;#HU|6b229040-c589-4408-b4c1-4285663d20a8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2025</vt:i4>
  </property>
  <property fmtid="{D5CDD505-2E9C-101B-9397-08002B2CF9AE}" pid="36" name="FicheNumber">
    <vt:i4>6540</vt:i4>
  </property>
  <property fmtid="{D5CDD505-2E9C-101B-9397-08002B2CF9AE}" pid="37" name="DocumentLanguage">
    <vt:lpwstr>33;#PT|50ccc04a-eadd-42ae-a0cb-acaf45f812ba</vt:lpwstr>
  </property>
</Properties>
</file>