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B46980" w14:paraId="4982DD4D" w14:textId="36B9B6B8">
      <w:pPr>
        <w:jc w:val="center"/>
      </w:pPr>
      <w:r>
        <w:rPr>
          <w:noProof/>
        </w:rPr>
        <w:drawing>
          <wp:inline distT="0" distB="0" distL="0" distR="0" wp14:anchorId="78EE7E4F" wp14:editId="1545ED9F">
            <wp:extent cx="1792605" cy="1239520"/>
            <wp:effectExtent l="0" t="0" r="0" b="0"/>
            <wp:docPr id="1" name="Picture 1" title="EESCLogo_LV"/>
            <wp:cNvGraphicFramePr/>
            <a:graphic xmlns:a="http://schemas.openxmlformats.org/drawingml/2006/main">
              <a:graphicData uri="http://schemas.openxmlformats.org/drawingml/2006/picture">
                <pic:pic xmlns:pic="http://schemas.openxmlformats.org/drawingml/2006/picture">
                  <pic:nvPicPr>
                    <pic:cNvPr id="1" name="Picture 1" title="EESCLogo_LV"/>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0DA36F0A"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LV</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Briselē, 2025. gada 27. jūnijā</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 PLENĀRĀ SESIJA</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2025. gada 18. un 19. jūnijā</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PIEŅEMTO ATZINUMU UN REZOLŪCIJU, KĀ ARĪ INFORMATĪVO / NOVĒRTĒJUMA ZIŅOJUMU KOPSAVILKUMS</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Šis dokuments visās oficiālajās Eiropas Savienības valodās ir pieejams EESK tīmekļa vietnē:</w:t>
            </w:r>
            <w:r>
              <w:br/>
            </w:r>
            <w:r>
              <w:br/>
            </w:r>
            <w:hyperlink w:history="1" r:id="rId13">
              <w:r>
                <w:rPr>
                  <w:rStyle w:val="Hyperlink"/>
                </w:rPr>
                <w:t>https://www.eesc.europa.eu/lv/our-work/opinions-information-reports/plenary-session-summaries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Ar atzinumiem var iepazīties tiešsaistē, izmantojot EESK meklētājprogrammu:</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Satura rādītājs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D63AF4" w:rsidRDefault="004D7AC0" w14:paraId="393FEE44" w14:textId="17148E91">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202264188">
            <w:r w:rsidRPr="00914C83" w:rsidR="00D63AF4">
              <w:rPr>
                <w:rStyle w:val="Hyperlink"/>
                <w:b/>
                <w:noProof/>
              </w:rPr>
              <w:t>1.</w:t>
            </w:r>
            <w:r w:rsidR="00D63AF4">
              <w:rPr>
                <w:rFonts w:asciiTheme="minorHAnsi" w:hAnsiTheme="minorHAnsi" w:eastAsiaTheme="minorEastAsia" w:cstheme="minorBidi"/>
                <w:noProof/>
                <w:lang w:val="en-US"/>
              </w:rPr>
              <w:tab/>
            </w:r>
            <w:r w:rsidRPr="00914C83" w:rsidR="00D63AF4">
              <w:rPr>
                <w:rStyle w:val="Hyperlink"/>
                <w:b/>
                <w:noProof/>
              </w:rPr>
              <w:t>REZOLŪCIJA</w:t>
            </w:r>
            <w:r w:rsidR="00D63AF4">
              <w:rPr>
                <w:noProof/>
                <w:webHidden/>
              </w:rPr>
              <w:tab/>
            </w:r>
            <w:r w:rsidR="00D63AF4">
              <w:rPr>
                <w:noProof/>
                <w:webHidden/>
              </w:rPr>
              <w:fldChar w:fldCharType="begin"/>
            </w:r>
            <w:r w:rsidR="00D63AF4">
              <w:rPr>
                <w:noProof/>
                <w:webHidden/>
              </w:rPr>
              <w:instrText xml:space="preserve"> PAGEREF _Toc202264188 \h </w:instrText>
            </w:r>
            <w:r w:rsidR="00D63AF4">
              <w:rPr>
                <w:noProof/>
                <w:webHidden/>
              </w:rPr>
            </w:r>
            <w:r w:rsidR="00D63AF4">
              <w:rPr>
                <w:noProof/>
                <w:webHidden/>
              </w:rPr>
              <w:fldChar w:fldCharType="separate"/>
            </w:r>
            <w:r w:rsidR="00D63AF4">
              <w:rPr>
                <w:noProof/>
                <w:webHidden/>
              </w:rPr>
              <w:t>3</w:t>
            </w:r>
            <w:r w:rsidR="00D63AF4">
              <w:rPr>
                <w:noProof/>
                <w:webHidden/>
              </w:rPr>
              <w:fldChar w:fldCharType="end"/>
            </w:r>
          </w:hyperlink>
        </w:p>
        <w:p w:rsidR="00D63AF4" w:rsidRDefault="00D63AF4" w14:paraId="64A47A2C" w14:textId="113FB8CB">
          <w:pPr>
            <w:pStyle w:val="TOC1"/>
            <w:tabs>
              <w:tab w:val="left" w:pos="440"/>
              <w:tab w:val="right" w:leader="dot" w:pos="9063"/>
            </w:tabs>
            <w:rPr>
              <w:rFonts w:asciiTheme="minorHAnsi" w:hAnsiTheme="minorHAnsi" w:eastAsiaTheme="minorEastAsia" w:cstheme="minorBidi"/>
              <w:noProof/>
              <w:lang w:val="en-US"/>
            </w:rPr>
          </w:pPr>
          <w:hyperlink w:history="1" w:anchor="_Toc202264189">
            <w:r w:rsidRPr="00914C83">
              <w:rPr>
                <w:rStyle w:val="Hyperlink"/>
                <w:b/>
                <w:noProof/>
              </w:rPr>
              <w:t>2.</w:t>
            </w:r>
            <w:r>
              <w:rPr>
                <w:rFonts w:asciiTheme="minorHAnsi" w:hAnsiTheme="minorHAnsi" w:eastAsiaTheme="minorEastAsia" w:cstheme="minorBidi"/>
                <w:noProof/>
                <w:lang w:val="en-US"/>
              </w:rPr>
              <w:tab/>
            </w:r>
            <w:r w:rsidRPr="00914C83">
              <w:rPr>
                <w:rStyle w:val="Hyperlink"/>
                <w:b/>
                <w:noProof/>
              </w:rPr>
              <w:t>EKONOMIKAS UN MONETĀRĀ SAVIENĪBA, EKONOMISKĀ UN SOCIĀLĀ KOHĒZIJA</w:t>
            </w:r>
            <w:r>
              <w:rPr>
                <w:noProof/>
                <w:webHidden/>
              </w:rPr>
              <w:tab/>
            </w:r>
            <w:r>
              <w:rPr>
                <w:noProof/>
                <w:webHidden/>
              </w:rPr>
              <w:fldChar w:fldCharType="begin"/>
            </w:r>
            <w:r>
              <w:rPr>
                <w:noProof/>
                <w:webHidden/>
              </w:rPr>
              <w:instrText xml:space="preserve"> PAGEREF _Toc202264189 \h </w:instrText>
            </w:r>
            <w:r>
              <w:rPr>
                <w:noProof/>
                <w:webHidden/>
              </w:rPr>
            </w:r>
            <w:r>
              <w:rPr>
                <w:noProof/>
                <w:webHidden/>
              </w:rPr>
              <w:fldChar w:fldCharType="separate"/>
            </w:r>
            <w:r>
              <w:rPr>
                <w:noProof/>
                <w:webHidden/>
              </w:rPr>
              <w:t>6</w:t>
            </w:r>
            <w:r>
              <w:rPr>
                <w:noProof/>
                <w:webHidden/>
              </w:rPr>
              <w:fldChar w:fldCharType="end"/>
            </w:r>
          </w:hyperlink>
        </w:p>
        <w:p w:rsidR="00D63AF4" w:rsidRDefault="00D63AF4" w14:paraId="14EFD12A" w14:textId="39F5DB63">
          <w:pPr>
            <w:pStyle w:val="TOC1"/>
            <w:tabs>
              <w:tab w:val="left" w:pos="440"/>
              <w:tab w:val="right" w:leader="dot" w:pos="9063"/>
            </w:tabs>
            <w:rPr>
              <w:rFonts w:asciiTheme="minorHAnsi" w:hAnsiTheme="minorHAnsi" w:eastAsiaTheme="minorEastAsia" w:cstheme="minorBidi"/>
              <w:noProof/>
              <w:lang w:val="en-US"/>
            </w:rPr>
          </w:pPr>
          <w:hyperlink w:history="1" w:anchor="_Toc202264190">
            <w:r w:rsidRPr="00914C83">
              <w:rPr>
                <w:rStyle w:val="Hyperlink"/>
                <w:b/>
                <w:noProof/>
              </w:rPr>
              <w:t>3.</w:t>
            </w:r>
            <w:r>
              <w:rPr>
                <w:rFonts w:asciiTheme="minorHAnsi" w:hAnsiTheme="minorHAnsi" w:eastAsiaTheme="minorEastAsia" w:cstheme="minorBidi"/>
                <w:noProof/>
                <w:lang w:val="en-US"/>
              </w:rPr>
              <w:tab/>
            </w:r>
            <w:r w:rsidRPr="00914C83">
              <w:rPr>
                <w:rStyle w:val="Hyperlink"/>
                <w:b/>
                <w:noProof/>
              </w:rPr>
              <w:t>NODARBINĀTĪBA, SOCIĀLĀS LIETAS UN PILSONISKUMS</w:t>
            </w:r>
            <w:r>
              <w:rPr>
                <w:noProof/>
                <w:webHidden/>
              </w:rPr>
              <w:tab/>
            </w:r>
            <w:r>
              <w:rPr>
                <w:noProof/>
                <w:webHidden/>
              </w:rPr>
              <w:fldChar w:fldCharType="begin"/>
            </w:r>
            <w:r>
              <w:rPr>
                <w:noProof/>
                <w:webHidden/>
              </w:rPr>
              <w:instrText xml:space="preserve"> PAGEREF _Toc202264190 \h </w:instrText>
            </w:r>
            <w:r>
              <w:rPr>
                <w:noProof/>
                <w:webHidden/>
              </w:rPr>
            </w:r>
            <w:r>
              <w:rPr>
                <w:noProof/>
                <w:webHidden/>
              </w:rPr>
              <w:fldChar w:fldCharType="separate"/>
            </w:r>
            <w:r>
              <w:rPr>
                <w:noProof/>
                <w:webHidden/>
              </w:rPr>
              <w:t>9</w:t>
            </w:r>
            <w:r>
              <w:rPr>
                <w:noProof/>
                <w:webHidden/>
              </w:rPr>
              <w:fldChar w:fldCharType="end"/>
            </w:r>
          </w:hyperlink>
        </w:p>
        <w:p w:rsidR="00D63AF4" w:rsidRDefault="00D63AF4" w14:paraId="4F37F04E" w14:textId="111C19B6">
          <w:pPr>
            <w:pStyle w:val="TOC1"/>
            <w:tabs>
              <w:tab w:val="left" w:pos="440"/>
              <w:tab w:val="right" w:leader="dot" w:pos="9063"/>
            </w:tabs>
            <w:rPr>
              <w:rFonts w:asciiTheme="minorHAnsi" w:hAnsiTheme="minorHAnsi" w:eastAsiaTheme="minorEastAsia" w:cstheme="minorBidi"/>
              <w:noProof/>
              <w:lang w:val="en-US"/>
            </w:rPr>
          </w:pPr>
          <w:hyperlink w:history="1" w:anchor="_Toc202264191">
            <w:r w:rsidRPr="00914C83">
              <w:rPr>
                <w:rStyle w:val="Hyperlink"/>
                <w:b/>
                <w:noProof/>
              </w:rPr>
              <w:t>4.</w:t>
            </w:r>
            <w:r>
              <w:rPr>
                <w:rFonts w:asciiTheme="minorHAnsi" w:hAnsiTheme="minorHAnsi" w:eastAsiaTheme="minorEastAsia" w:cstheme="minorBidi"/>
                <w:noProof/>
                <w:lang w:val="en-US"/>
              </w:rPr>
              <w:tab/>
            </w:r>
            <w:r w:rsidRPr="00914C83">
              <w:rPr>
                <w:rStyle w:val="Hyperlink"/>
                <w:b/>
                <w:noProof/>
              </w:rPr>
              <w:t>TRANSPORTS, ENERĢĒTIKA, INFRASTRUKTŪRA UN INFORMĀCIJAS SABIEDRĪBA</w:t>
            </w:r>
            <w:r>
              <w:rPr>
                <w:noProof/>
                <w:webHidden/>
              </w:rPr>
              <w:tab/>
            </w:r>
            <w:r>
              <w:rPr>
                <w:noProof/>
                <w:webHidden/>
              </w:rPr>
              <w:fldChar w:fldCharType="begin"/>
            </w:r>
            <w:r>
              <w:rPr>
                <w:noProof/>
                <w:webHidden/>
              </w:rPr>
              <w:instrText xml:space="preserve"> PAGEREF _Toc202264191 \h </w:instrText>
            </w:r>
            <w:r>
              <w:rPr>
                <w:noProof/>
                <w:webHidden/>
              </w:rPr>
            </w:r>
            <w:r>
              <w:rPr>
                <w:noProof/>
                <w:webHidden/>
              </w:rPr>
              <w:fldChar w:fldCharType="separate"/>
            </w:r>
            <w:r>
              <w:rPr>
                <w:noProof/>
                <w:webHidden/>
              </w:rPr>
              <w:t>15</w:t>
            </w:r>
            <w:r>
              <w:rPr>
                <w:noProof/>
                <w:webHidden/>
              </w:rPr>
              <w:fldChar w:fldCharType="end"/>
            </w:r>
          </w:hyperlink>
        </w:p>
        <w:p w:rsidR="00D63AF4" w:rsidRDefault="00D63AF4" w14:paraId="300AB515" w14:textId="1914C300">
          <w:pPr>
            <w:pStyle w:val="TOC1"/>
            <w:tabs>
              <w:tab w:val="left" w:pos="440"/>
              <w:tab w:val="right" w:leader="dot" w:pos="9063"/>
            </w:tabs>
            <w:rPr>
              <w:rFonts w:asciiTheme="minorHAnsi" w:hAnsiTheme="minorHAnsi" w:eastAsiaTheme="minorEastAsia" w:cstheme="minorBidi"/>
              <w:noProof/>
              <w:lang w:val="en-US"/>
            </w:rPr>
          </w:pPr>
          <w:hyperlink w:history="1" w:anchor="_Toc202264192">
            <w:r w:rsidRPr="00914C83">
              <w:rPr>
                <w:rStyle w:val="Hyperlink"/>
                <w:b/>
                <w:noProof/>
              </w:rPr>
              <w:t>5.</w:t>
            </w:r>
            <w:r>
              <w:rPr>
                <w:rFonts w:asciiTheme="minorHAnsi" w:hAnsiTheme="minorHAnsi" w:eastAsiaTheme="minorEastAsia" w:cstheme="minorBidi"/>
                <w:noProof/>
                <w:lang w:val="en-US"/>
              </w:rPr>
              <w:tab/>
            </w:r>
            <w:r w:rsidRPr="00914C83">
              <w:rPr>
                <w:rStyle w:val="Hyperlink"/>
                <w:b/>
                <w:noProof/>
              </w:rPr>
              <w:t>VIENOTAIS TIRGUS, RAŽOŠANA UN PATĒRIŅŠ</w:t>
            </w:r>
            <w:r>
              <w:rPr>
                <w:noProof/>
                <w:webHidden/>
              </w:rPr>
              <w:tab/>
            </w:r>
            <w:r>
              <w:rPr>
                <w:noProof/>
                <w:webHidden/>
              </w:rPr>
              <w:fldChar w:fldCharType="begin"/>
            </w:r>
            <w:r>
              <w:rPr>
                <w:noProof/>
                <w:webHidden/>
              </w:rPr>
              <w:instrText xml:space="preserve"> PAGEREF _Toc202264192 \h </w:instrText>
            </w:r>
            <w:r>
              <w:rPr>
                <w:noProof/>
                <w:webHidden/>
              </w:rPr>
            </w:r>
            <w:r>
              <w:rPr>
                <w:noProof/>
                <w:webHidden/>
              </w:rPr>
              <w:fldChar w:fldCharType="separate"/>
            </w:r>
            <w:r>
              <w:rPr>
                <w:noProof/>
                <w:webHidden/>
              </w:rPr>
              <w:t>17</w:t>
            </w:r>
            <w:r>
              <w:rPr>
                <w:noProof/>
                <w:webHidden/>
              </w:rPr>
              <w:fldChar w:fldCharType="end"/>
            </w:r>
          </w:hyperlink>
        </w:p>
        <w:p w:rsidR="00D63AF4" w:rsidRDefault="00D63AF4" w14:paraId="25D1AAD1" w14:textId="5803AF9D">
          <w:pPr>
            <w:pStyle w:val="TOC1"/>
            <w:tabs>
              <w:tab w:val="left" w:pos="440"/>
              <w:tab w:val="right" w:leader="dot" w:pos="9063"/>
            </w:tabs>
            <w:rPr>
              <w:rFonts w:asciiTheme="minorHAnsi" w:hAnsiTheme="minorHAnsi" w:eastAsiaTheme="minorEastAsia" w:cstheme="minorBidi"/>
              <w:noProof/>
              <w:lang w:val="en-US"/>
            </w:rPr>
          </w:pPr>
          <w:hyperlink w:history="1" w:anchor="_Toc202264193">
            <w:r w:rsidRPr="00914C83">
              <w:rPr>
                <w:rStyle w:val="Hyperlink"/>
                <w:b/>
                <w:noProof/>
              </w:rPr>
              <w:t>6.</w:t>
            </w:r>
            <w:r>
              <w:rPr>
                <w:rFonts w:asciiTheme="minorHAnsi" w:hAnsiTheme="minorHAnsi" w:eastAsiaTheme="minorEastAsia" w:cstheme="minorBidi"/>
                <w:noProof/>
                <w:lang w:val="en-US"/>
              </w:rPr>
              <w:tab/>
            </w:r>
            <w:r w:rsidRPr="00914C83">
              <w:rPr>
                <w:rStyle w:val="Hyperlink"/>
                <w:b/>
                <w:noProof/>
              </w:rPr>
              <w:t>LAUKSAIMNIECĪBA, LAUKU ATTĪSTĪBA UN VIDE</w:t>
            </w:r>
            <w:r>
              <w:rPr>
                <w:noProof/>
                <w:webHidden/>
              </w:rPr>
              <w:tab/>
            </w:r>
            <w:r>
              <w:rPr>
                <w:noProof/>
                <w:webHidden/>
              </w:rPr>
              <w:fldChar w:fldCharType="begin"/>
            </w:r>
            <w:r>
              <w:rPr>
                <w:noProof/>
                <w:webHidden/>
              </w:rPr>
              <w:instrText xml:space="preserve"> PAGEREF _Toc202264193 \h </w:instrText>
            </w:r>
            <w:r>
              <w:rPr>
                <w:noProof/>
                <w:webHidden/>
              </w:rPr>
            </w:r>
            <w:r>
              <w:rPr>
                <w:noProof/>
                <w:webHidden/>
              </w:rPr>
              <w:fldChar w:fldCharType="separate"/>
            </w:r>
            <w:r>
              <w:rPr>
                <w:noProof/>
                <w:webHidden/>
              </w:rPr>
              <w:t>19</w:t>
            </w:r>
            <w:r>
              <w:rPr>
                <w:noProof/>
                <w:webHidden/>
              </w:rPr>
              <w:fldChar w:fldCharType="end"/>
            </w:r>
          </w:hyperlink>
        </w:p>
        <w:p w:rsidR="00D63AF4" w:rsidRDefault="00D63AF4" w14:paraId="7792D2A3" w14:textId="3716AA76">
          <w:pPr>
            <w:pStyle w:val="TOC1"/>
            <w:tabs>
              <w:tab w:val="left" w:pos="440"/>
              <w:tab w:val="right" w:leader="dot" w:pos="9063"/>
            </w:tabs>
            <w:rPr>
              <w:rFonts w:asciiTheme="minorHAnsi" w:hAnsiTheme="minorHAnsi" w:eastAsiaTheme="minorEastAsia" w:cstheme="minorBidi"/>
              <w:noProof/>
              <w:lang w:val="en-US"/>
            </w:rPr>
          </w:pPr>
          <w:hyperlink w:history="1" w:anchor="_Toc202264194">
            <w:r w:rsidRPr="00914C83">
              <w:rPr>
                <w:rStyle w:val="Hyperlink"/>
                <w:b/>
                <w:noProof/>
              </w:rPr>
              <w:t>7.</w:t>
            </w:r>
            <w:r>
              <w:rPr>
                <w:rFonts w:asciiTheme="minorHAnsi" w:hAnsiTheme="minorHAnsi" w:eastAsiaTheme="minorEastAsia" w:cstheme="minorBidi"/>
                <w:noProof/>
                <w:lang w:val="en-US"/>
              </w:rPr>
              <w:tab/>
            </w:r>
            <w:r w:rsidRPr="00914C83">
              <w:rPr>
                <w:rStyle w:val="Hyperlink"/>
                <w:b/>
                <w:noProof/>
              </w:rPr>
              <w:t>ĀRĒJĀS ATTIECĪBAS</w:t>
            </w:r>
            <w:r>
              <w:rPr>
                <w:noProof/>
                <w:webHidden/>
              </w:rPr>
              <w:tab/>
            </w:r>
            <w:r>
              <w:rPr>
                <w:noProof/>
                <w:webHidden/>
              </w:rPr>
              <w:fldChar w:fldCharType="begin"/>
            </w:r>
            <w:r>
              <w:rPr>
                <w:noProof/>
                <w:webHidden/>
              </w:rPr>
              <w:instrText xml:space="preserve"> PAGEREF _Toc202264194 \h </w:instrText>
            </w:r>
            <w:r>
              <w:rPr>
                <w:noProof/>
                <w:webHidden/>
              </w:rPr>
            </w:r>
            <w:r>
              <w:rPr>
                <w:noProof/>
                <w:webHidden/>
              </w:rPr>
              <w:fldChar w:fldCharType="separate"/>
            </w:r>
            <w:r>
              <w:rPr>
                <w:noProof/>
                <w:webHidden/>
              </w:rPr>
              <w:t>20</w:t>
            </w:r>
            <w:r>
              <w:rPr>
                <w:noProof/>
                <w:webHidden/>
              </w:rPr>
              <w:fldChar w:fldCharType="end"/>
            </w:r>
          </w:hyperlink>
        </w:p>
        <w:p w:rsidR="00D63AF4" w:rsidRDefault="00D63AF4" w14:paraId="56A7B8B1" w14:textId="7725FA48">
          <w:pPr>
            <w:pStyle w:val="TOC1"/>
            <w:tabs>
              <w:tab w:val="left" w:pos="440"/>
              <w:tab w:val="right" w:leader="dot" w:pos="9063"/>
            </w:tabs>
            <w:rPr>
              <w:rFonts w:asciiTheme="minorHAnsi" w:hAnsiTheme="minorHAnsi" w:eastAsiaTheme="minorEastAsia" w:cstheme="minorBidi"/>
              <w:noProof/>
              <w:lang w:val="en-US"/>
            </w:rPr>
          </w:pPr>
          <w:hyperlink w:history="1" w:anchor="_Toc202264195">
            <w:r w:rsidRPr="00914C83">
              <w:rPr>
                <w:rStyle w:val="Hyperlink"/>
                <w:b/>
                <w:noProof/>
              </w:rPr>
              <w:t>8.</w:t>
            </w:r>
            <w:r>
              <w:rPr>
                <w:rFonts w:asciiTheme="minorHAnsi" w:hAnsiTheme="minorHAnsi" w:eastAsiaTheme="minorEastAsia" w:cstheme="minorBidi"/>
                <w:noProof/>
                <w:lang w:val="en-US"/>
              </w:rPr>
              <w:tab/>
            </w:r>
            <w:r w:rsidRPr="00914C83">
              <w:rPr>
                <w:rStyle w:val="Hyperlink"/>
                <w:b/>
                <w:noProof/>
              </w:rPr>
              <w:t>RŪPNIECĪBAS PĀRMAIŅU KONSULTATĪVĀ KOMISIJA</w:t>
            </w:r>
            <w:r>
              <w:rPr>
                <w:noProof/>
                <w:webHidden/>
              </w:rPr>
              <w:tab/>
            </w:r>
            <w:r>
              <w:rPr>
                <w:noProof/>
                <w:webHidden/>
              </w:rPr>
              <w:fldChar w:fldCharType="begin"/>
            </w:r>
            <w:r>
              <w:rPr>
                <w:noProof/>
                <w:webHidden/>
              </w:rPr>
              <w:instrText xml:space="preserve"> PAGEREF _Toc202264195 \h </w:instrText>
            </w:r>
            <w:r>
              <w:rPr>
                <w:noProof/>
                <w:webHidden/>
              </w:rPr>
            </w:r>
            <w:r>
              <w:rPr>
                <w:noProof/>
                <w:webHidden/>
              </w:rPr>
              <w:fldChar w:fldCharType="separate"/>
            </w:r>
            <w:r>
              <w:rPr>
                <w:noProof/>
                <w:webHidden/>
              </w:rPr>
              <w:t>22</w:t>
            </w:r>
            <w:r>
              <w:rPr>
                <w:noProof/>
                <w:webHidden/>
              </w:rPr>
              <w:fldChar w:fldCharType="end"/>
            </w:r>
          </w:hyperlink>
        </w:p>
        <w:p w:rsidR="004D7AC0" w:rsidP="004D7AC0" w:rsidRDefault="004D7AC0" w14:paraId="4982DD6A" w14:textId="7B653357">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2264188" w:id="0"/>
      <w:r>
        <w:rPr>
          <w:b/>
        </w:rPr>
        <w:lastRenderedPageBreak/>
        <w:t>REZOLŪCIJA</w:t>
      </w:r>
      <w:bookmarkEnd w:id="0"/>
    </w:p>
    <w:p w:rsidR="006537CB" w:rsidP="006537CB" w:rsidRDefault="006537CB" w14:paraId="7567FD8E" w14:textId="77777777"/>
    <w:p w:rsidRPr="009F0605" w:rsidR="009F0605" w:rsidP="009F0605" w:rsidRDefault="00742D51"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Rezolūcija - Eiropas Ekonomikas un sociālo lietu komitejas ieguldījums Eiropas Komisijas 2026. gada darba programmā”</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Ziņotāja</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proofErr w:type="spellStart"/>
            <w:r>
              <w:t>Maria</w:t>
            </w:r>
            <w:proofErr w:type="spellEnd"/>
            <w:r>
              <w:t xml:space="preserve"> </w:t>
            </w:r>
            <w:proofErr w:type="spellStart"/>
            <w:r>
              <w:t>del</w:t>
            </w:r>
            <w:proofErr w:type="spellEnd"/>
            <w:r>
              <w:t xml:space="preserve"> </w:t>
            </w:r>
            <w:proofErr w:type="spellStart"/>
            <w:r>
              <w:t>Carmen</w:t>
            </w:r>
            <w:proofErr w:type="spellEnd"/>
            <w:r>
              <w:t xml:space="preserve"> </w:t>
            </w:r>
            <w:proofErr w:type="spellStart"/>
            <w:r>
              <w:t>Barrera</w:t>
            </w:r>
            <w:proofErr w:type="spellEnd"/>
            <w:r>
              <w:t xml:space="preserve"> </w:t>
            </w:r>
            <w:proofErr w:type="spellStart"/>
            <w:r>
              <w:t>Chamorro</w:t>
            </w:r>
            <w:proofErr w:type="spellEnd"/>
            <w:r>
              <w:t xml:space="preserve"> (Darba ņēmēju grupa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lang w:val="es-ES"/>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proofErr w:type="spellStart"/>
            <w:r>
              <w:t>Christa</w:t>
            </w:r>
            <w:proofErr w:type="spellEnd"/>
            <w:r>
              <w:t> </w:t>
            </w:r>
            <w:proofErr w:type="spellStart"/>
            <w:r>
              <w:t>Schweng</w:t>
            </w:r>
            <w:proofErr w:type="spellEnd"/>
            <w:r>
              <w:t xml:space="preserve"> (Darba devēju grupa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proofErr w:type="spellStart"/>
            <w:r>
              <w:t>Krzysztof</w:t>
            </w:r>
            <w:proofErr w:type="spellEnd"/>
            <w:r>
              <w:t xml:space="preserve"> </w:t>
            </w:r>
            <w:proofErr w:type="spellStart"/>
            <w:r>
              <w:t>Stanisław</w:t>
            </w:r>
            <w:proofErr w:type="spellEnd"/>
            <w:r>
              <w:t xml:space="preserve"> Balon (Pilsoniskās sabiedrības organizāciju </w:t>
            </w:r>
            <w:proofErr w:type="spellStart"/>
            <w:r>
              <w:t>grup</w:t>
            </w:r>
            <w:proofErr w:type="spellEnd"/>
            <w:r>
              <w:t xml:space="preserve">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7C92C53D">
            <w:pPr>
              <w:tabs>
                <w:tab w:val="center" w:pos="284"/>
              </w:tabs>
              <w:overflowPunct w:val="0"/>
              <w:autoSpaceDE w:val="0"/>
              <w:autoSpaceDN w:val="0"/>
              <w:adjustRightInd w:val="0"/>
              <w:ind w:left="266" w:hanging="266"/>
              <w:textAlignment w:val="baseline"/>
              <w:rPr>
                <w:b/>
              </w:rPr>
            </w:pPr>
            <w:r>
              <w:rPr>
                <w:b/>
              </w:rPr>
              <w:t>Atsauces</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77777777">
      <w:pPr>
        <w:overflowPunct w:val="0"/>
        <w:autoSpaceDE w:val="0"/>
        <w:autoSpaceDN w:val="0"/>
        <w:adjustRightInd w:val="0"/>
        <w:textAlignment w:val="baseline"/>
        <w:rPr>
          <w:bCs/>
          <w:iCs/>
        </w:rPr>
      </w:pPr>
      <w:r>
        <w:t>EESK ieteikumi ir šādi:</w:t>
      </w: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Ar šo rezolūciju EESK kā Eiropas organizētas pilsoniskās sabiedrības institucionālā balss palīdz veidot Eiropas Komisijas 2026. gada darba programmu. ES uzmanības centrā ir jāliek demokrātija, cilvēktiesības, ilgtspēja, vienlīdzība un sociālais taisnīgums. Sociālie partneri, pilsoniskā sabiedrība un brīvprātīgā darba sektors ir sabiedrības noturībai būtiska infrastruktūra, un kas jāatzīst, jāaizsargā un jebkuras krīzes gadījumā jēgpilni jāiesaista prognozēšanas, sagatavošanās un atveseļošanas darbā.</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Lai saglabātu savu vadošo lomu pasaulē, kurā notiek straujas pārmaiņas, ES ir jāizvēlas jauna konkurētspējas pieeja, kas ietver rūpniecības politiku, klimata mērķus un ģeopolitisko stratēģiju. Šajā nolūkā spēcīgs uzsvars ir jāliek uz ieguldījumiem, inovācijas un sociālās kohēzijas veicināšanu un vienlaikus ir jānodrošina, lai ekonomikas izaugsme būtu ilgtspējīga, sociāla, iekļaujoša un noturīga. Par konkurētspēju un ekonomikas izaugsmi ir jārūpējas vienkopus ar sociālo iekļaušanu.</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 xml:space="preserve">Noturīgā rūpniecības politikā par prioritāti ir jānosaka inovācija, zaļā un digitālā pārkārtošanās un prasmju savienība, bet vienlaikus ir jāveicina mūžizglītība un kvalitatīvas darbvietas. Sociālā un solidārā ekonomika ir jāatbalsta, jo tā ir taisnīguma un kohēzijas virzītājspēks. Tā kā aizsardzības gatavība jaunajā drošības vidē ir kļuvusi izšķiroši svarīga, tā ir jāuzskata par vispārēju prioritāti, bet vienlaikus tai arī turpmāk ir jābūt balstītai uz tiesībām, </w:t>
      </w:r>
      <w:proofErr w:type="spellStart"/>
      <w:r>
        <w:t>pārredzamību</w:t>
      </w:r>
      <w:proofErr w:type="spellEnd"/>
      <w:r>
        <w:t xml:space="preserve"> un tiesiskumu.</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 xml:space="preserve">Lai nodrošinātu rūpniecības noturību un ilgtermiņa ekonomikas izaugsmi, kā arī kvalitatīvas darbvietas, ieguldījumiem pētniecībā, izstrādē, prasmēs un stratēģiskajās nozarēs jābūt šīs rūpniecības politikas uzmanības centrā. Ja ES koncentrējas uz tādām tehnoloģijām kā uz cilvēku orientēts mākslīgais intelekts un </w:t>
      </w:r>
      <w:proofErr w:type="spellStart"/>
      <w:r>
        <w:t>atjaunīgā</w:t>
      </w:r>
      <w:proofErr w:type="spellEnd"/>
      <w:r>
        <w:t xml:space="preserve"> enerģija, ES var saglabāt konkurētspēju augstvērtīgās nozarēs.</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Īstenot nabadzības novēršanas stratēģiju, kuras mērķis ir izskaust galēju nabadzību un risināt mājokļu, enerģētiskās un mobilitātes nabadzības problēmu. Tai ir arī skaidri jāatzīst saikne starp iesīkstējušu nabadzību un atstumtību no demokrātijas un jānodrošina, lai cilvēki, kas ir piedzīvojuši nabadzību, būtu ietverti politikas </w:t>
      </w:r>
      <w:proofErr w:type="spellStart"/>
      <w:r>
        <w:t>līdzradīšanā</w:t>
      </w:r>
      <w:proofErr w:type="spellEnd"/>
      <w:r>
        <w:t xml:space="preserve"> un pilsoniskajā līdzdalībā un lai nevienam nebūtu liegta piekļuve pamata energoresursiem.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t xml:space="preserve">Izstrādāt dzimumu līdztiesības stratēģiju laikposmam pēc 2025. gada ar mērķi izskaust ar dzimumu saistītu vardarbību, novērst dzimumu nevienlīdzību darba tirgū, panākt vienlīdzīgu līdzdalību dažādās ekonomikas jomās, novērst ar dzimumu saistītas darba samaksas un pensiju atšķirības, </w:t>
      </w:r>
      <w:r>
        <w:lastRenderedPageBreak/>
        <w:t>novērst dzimumu nevienlīdzību aprūpes darbā, panākt dzimumu līdzsvaru lēmumu pieņemšanā un politikā un novērtēt līdzšinējos panākumus.</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Ar sociālā dialoga palīdzību panākta spēcīgāka demokrātija darbā, darba koplīguma slēgšanas sarunas un visu darba ņēmēju informēšanas, uzklausīšanas un pārstāvības tiesību īstenošana. ES iestādēm būtu jāsniedz piemērots atbalsts visu līmeņu sociālajam dialogam un darba koplīguma slēgšanas sarunām, lai turpinātu pilnveidot sociālo partneru spējas un veikt attiecīgus īstenošanas pasākumus, tostarp finansiālus pasākumus ar mērķi palielināt darba koplīguma slēgšanas sarunu tvērumu, jo īpaši valstīs un reģionos, kuros to potenciāls vēl nav izmantots.</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Paplašināšanās procesam būtu jāturpinās miera, labklājības un demokrātijas virzienā un mūsu kontinentā jārada ilgtermiņa stabilitāte, iesaistot sociālās un pilsoniskās sabiedrības pārstāvjus. Tajā būtu spēcīgi jāiesaista Ukraina, kuras demokrātiskā noturība agresijas apstākļos ir piemērs Eiropas vērtību aizsardzībai, un tas attiecas arī uz Moldovu un </w:t>
      </w:r>
      <w:proofErr w:type="spellStart"/>
      <w:r>
        <w:t>Rietumbalkāniem</w:t>
      </w:r>
      <w:proofErr w:type="spellEnd"/>
      <w:r>
        <w:t xml:space="preserve">.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Ir jāizveido Eiropas Stratēģisko investīciju fonds, kas būtu vērsts uz Eiropas prioritāro projektu finansēšanu. Daudzgadu finanšu shēmā (DFS) 2028.–2034. gadam būtu ievērojami jāpalielina investīciju prioritātēm paredzētie resursi, taču nedrīkst aizmirst par stingriem sociālajiem nosacījumiem.</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Kontaktpersona: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proofErr w:type="spellStart"/>
            <w:r>
              <w:rPr>
                <w:i/>
              </w:rPr>
              <w:t>David</w:t>
            </w:r>
            <w:proofErr w:type="spellEnd"/>
            <w:r>
              <w:rPr>
                <w:i/>
              </w:rPr>
              <w:t xml:space="preserve">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Tālr.:</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E-pasts:</w:t>
            </w:r>
          </w:p>
        </w:tc>
        <w:tc>
          <w:tcPr>
            <w:tcW w:w="3444" w:type="pct"/>
          </w:tcPr>
          <w:p w:rsidR="009F0605" w:rsidP="001B7DAA" w:rsidRDefault="00742D51"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Kontaktpersona: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proofErr w:type="spellStart"/>
            <w:r>
              <w:rPr>
                <w:i/>
              </w:rPr>
              <w:t>Stefania</w:t>
            </w:r>
            <w:proofErr w:type="spellEnd"/>
            <w:r>
              <w:rPr>
                <w:i/>
              </w:rPr>
              <w:t xml:space="preserve">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Tālr.:</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E-pasts:</w:t>
            </w:r>
          </w:p>
        </w:tc>
        <w:tc>
          <w:tcPr>
            <w:tcW w:w="3444" w:type="pct"/>
          </w:tcPr>
          <w:p w:rsidR="005275B5" w:rsidP="009F0605" w:rsidRDefault="00742D51"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742D51"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24">
        <w:r w:rsidR="00E32C54">
          <w:rPr>
            <w:b/>
            <w:i/>
            <w:color w:val="0000FF"/>
            <w:sz w:val="28"/>
            <w:u w:val="single"/>
          </w:rPr>
          <w:t xml:space="preserve">Rezolūcija - Sieviešu tiesību ceļvedis. Atbalsts Deklarācijai par </w:t>
        </w:r>
        <w:proofErr w:type="spellStart"/>
        <w:r w:rsidR="00E32C54">
          <w:rPr>
            <w:b/>
            <w:i/>
            <w:color w:val="0000FF"/>
            <w:sz w:val="28"/>
            <w:u w:val="single"/>
          </w:rPr>
          <w:t>dzimumlīdztiesīgas</w:t>
        </w:r>
        <w:proofErr w:type="spellEnd"/>
        <w:r w:rsidR="00E32C54">
          <w:rPr>
            <w:b/>
            <w:i/>
            <w:color w:val="0000FF"/>
            <w:sz w:val="28"/>
            <w:u w:val="single"/>
          </w:rPr>
          <w:t xml:space="preserve"> sabiedrības principiem</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11CA7" w:rsidR="00E32C54" w:rsidTr="00A94024"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Ziņotājs</w:t>
            </w:r>
          </w:p>
        </w:tc>
        <w:tc>
          <w:tcPr>
            <w:tcW w:w="5387"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proofErr w:type="spellStart"/>
            <w:r>
              <w:t>Sif</w:t>
            </w:r>
            <w:proofErr w:type="spellEnd"/>
            <w:r>
              <w:t> HOLST (Pilsoniskās sabiedrības organizāciju grupa – DK)</w:t>
            </w:r>
          </w:p>
        </w:tc>
      </w:tr>
      <w:tr w:rsidRPr="00E11CA7" w:rsidR="00E32C54" w:rsidTr="00A94024" w14:paraId="74BD49F9" w14:textId="77777777">
        <w:tc>
          <w:tcPr>
            <w:tcW w:w="7088"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A94024"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Atsauces </w:t>
            </w:r>
          </w:p>
        </w:tc>
        <w:tc>
          <w:tcPr>
            <w:tcW w:w="5387"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 xml:space="preserve">COM (2025) 97 </w:t>
            </w:r>
            <w:proofErr w:type="spellStart"/>
            <w:r>
              <w:t>final</w:t>
            </w:r>
            <w:proofErr w:type="spellEnd"/>
          </w:p>
        </w:tc>
      </w:tr>
      <w:tr w:rsidRPr="00E11CA7" w:rsidR="00E32C54" w:rsidTr="00A94024"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5387"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Galvenās nostādnes</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EESK:</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vēlreiz apliecina savu nelokāmo apņemšanos respektēt </w:t>
      </w:r>
      <w:r>
        <w:rPr>
          <w:b/>
        </w:rPr>
        <w:t xml:space="preserve">dzimumu līdztiesību un sieviešu tiesības kā demokrātijas, sociālā taisnīguma un iekļaujošas izaugsmes </w:t>
      </w:r>
      <w:proofErr w:type="spellStart"/>
      <w:r>
        <w:rPr>
          <w:b/>
        </w:rPr>
        <w:t>pamatpīlārus</w:t>
      </w:r>
      <w:proofErr w:type="spellEnd"/>
      <w:r>
        <w:t xml:space="preserve"> un stingri atbalsta visus dalībniekus, kuri cenšas </w:t>
      </w:r>
      <w:r>
        <w:rPr>
          <w:b/>
        </w:rPr>
        <w:t>veicināt visu sieviešu un meiteņu līdztiesību visā viņu daudzveidībā</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 xml:space="preserve">atbalsta Deklarāciju par </w:t>
      </w:r>
      <w:proofErr w:type="spellStart"/>
      <w:r>
        <w:t>dzimumlīdztiesīgas</w:t>
      </w:r>
      <w:proofErr w:type="spellEnd"/>
      <w:r>
        <w:t xml:space="preserve"> sabiedrības principiem, kas ir cieši saistīti ar vērtībām un prioritātēm, kuras vairākkārt minētas EESK atzinumos;</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atzīmē, ka vajadzīga koordinēta un noturīga rīcība, kas nodrošina šo principu īstenošanu, un ir apņēmusies:</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veicināt dzimumu līdztiesību, veidojot strukturētu sociālo un pilsonisko dialogu un sekmējot iekļaujošu līdzdalību visos līmeņos;</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stiprināt jauniešu, pilsoniskās sabiedrības organizāciju un sociālo partneru lomu līdztiesības politikas pasākumu veidošanā, uzraudzībā un īstenošanā;</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 xml:space="preserve">atbalstīt </w:t>
      </w:r>
      <w:proofErr w:type="spellStart"/>
      <w:r>
        <w:t>intersekcionālus</w:t>
      </w:r>
      <w:proofErr w:type="spellEnd"/>
      <w:r>
        <w:t xml:space="preserve"> risinājumus, kas pievēršas to sieviešu realitātei, kuras saskaras ar dažādiem diskriminācijas veidiem, kas pārklājas;</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mudināt veikt politikas pasākumus, kas garantē seksuālo un reproduktīvo veselību un ar to saistītās tiesības, vienlīdzīgu aprūpes pieejamību un drošu, iekļaujošu demokrātisko telpu;</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veicināt integrētu pieeju dzimumu līdztiesībai, dzimumu līdztiesības principa ievērošanu budžeta plānošanā un sistemātisku pēc dzimuma sadalītu un </w:t>
      </w:r>
      <w:proofErr w:type="spellStart"/>
      <w:r>
        <w:t>intersekcionālu</w:t>
      </w:r>
      <w:proofErr w:type="spellEnd"/>
      <w:r>
        <w:t xml:space="preserve"> datu vākšanu un izmantošanu.</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pauž gatavību </w:t>
      </w:r>
      <w:r>
        <w:rPr>
          <w:b/>
        </w:rPr>
        <w:t>aktīvi piedalīties šā ceļveža īstenošanā</w:t>
      </w:r>
      <w:r>
        <w:t xml:space="preserve"> un sadarboties ar Eiropas iestādēm un dalībvalstīm, lai principus pārvērstu praksē.</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E11CA7" w:rsidR="00E32C54" w:rsidTr="00A94024" w14:paraId="139B1DD5" w14:textId="77777777">
        <w:tc>
          <w:tcPr>
            <w:tcW w:w="1418"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Kontaktpersona:</w:t>
            </w:r>
          </w:p>
        </w:tc>
        <w:tc>
          <w:tcPr>
            <w:tcW w:w="5670"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Gabriela Grasu</w:t>
            </w:r>
          </w:p>
        </w:tc>
      </w:tr>
      <w:tr w:rsidRPr="00E11CA7" w:rsidR="00E32C54" w:rsidTr="00A94024" w14:paraId="338937A5" w14:textId="77777777">
        <w:tc>
          <w:tcPr>
            <w:tcW w:w="1418"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Tālr.:</w:t>
            </w:r>
          </w:p>
        </w:tc>
        <w:tc>
          <w:tcPr>
            <w:tcW w:w="5670"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A94024" w14:paraId="559316EA" w14:textId="77777777">
        <w:tc>
          <w:tcPr>
            <w:tcW w:w="1418"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E-pasts:</w:t>
            </w:r>
          </w:p>
        </w:tc>
        <w:tc>
          <w:tcPr>
            <w:tcW w:w="5670" w:type="dxa"/>
          </w:tcPr>
          <w:p w:rsidRPr="00E11CA7" w:rsidR="00E32C54" w:rsidP="00A94024" w:rsidRDefault="00742D51"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2264189" w:id="1"/>
      <w:r>
        <w:rPr>
          <w:b/>
        </w:rPr>
        <w:lastRenderedPageBreak/>
        <w:t>EKONOMIKAS UN MONETĀRĀ SAVIENĪBA, EKONOMISKĀ UN SOCIĀLĀ KOHĒZIJA</w:t>
      </w:r>
      <w:bookmarkEnd w:id="1"/>
    </w:p>
    <w:p w:rsidR="004D7AC0" w:rsidP="004D7AC0" w:rsidRDefault="004D7AC0" w14:paraId="4982DD6E" w14:textId="77777777"/>
    <w:p w:rsidRPr="00A174E9" w:rsidR="00A174E9" w:rsidP="00A174E9" w:rsidRDefault="00742D51"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Eiropas Savienībā pastāvošo nodokļu deklarēšanas pienākumu izvērtēšana</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Ziņotājs</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proofErr w:type="spellStart"/>
            <w:r>
              <w:t>Krister</w:t>
            </w:r>
            <w:proofErr w:type="spellEnd"/>
            <w:r>
              <w:t xml:space="preserve"> ANDERSSON (Darba devēju grupa </w:t>
            </w:r>
            <w:r>
              <w:rPr>
                <w:b/>
                <w:i/>
              </w:rPr>
              <w:t>–</w:t>
            </w:r>
            <w:r>
              <w:t xml:space="preserve">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6CC08B57">
            <w:pPr>
              <w:tabs>
                <w:tab w:val="center" w:pos="284"/>
              </w:tabs>
              <w:overflowPunct w:val="0"/>
              <w:autoSpaceDE w:val="0"/>
              <w:autoSpaceDN w:val="0"/>
              <w:adjustRightInd w:val="0"/>
              <w:ind w:left="266" w:hanging="266"/>
              <w:textAlignment w:val="baseline"/>
              <w:rPr>
                <w:b/>
              </w:rPr>
            </w:pPr>
            <w:r>
              <w:rPr>
                <w:b/>
              </w:rPr>
              <w:t>Atsauces</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Pašiniciatīvas atzinums</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EESK:</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atbalsta Komisijas plānus veikt vienkāršošanu, samazināt administratīvo slogu un uzlabot Eiropas ekonomikas konkurētspēju;</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uzskata, ka vienkāršojot nodokļus, jāveicina izmaksu ziņā efektīvas informācijas sniegšana, uzlabojot informācijas izmantošanu un apmaiņu starp nodokļu iestādēm. Minētajām darbībām nevajadzētu izraisīt netaisnīgas vai negribētas nodokļu saistību izmaiņas vai pavērt iespējas izvairīties no nodokļu maksāšanas, vai radīt kaitējošu konkurenci nodokļu jomā;</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uzsver, ka būtisku vienkāršošanu varētu panākt, arī saskaņojot līdzīgus, bet nepilnīgi saskaņotus juridiskos jēdzienus un terminoloģiju, kas izmantota dažādās ES direktīvās par netiešajiem nodokļiem;</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uzskata, ka attiecībā uz katru priekšlikumu būtu jāveic ietekmes novērtējums, lai pienācīgi novērtētu jauno likumdošanas iniciatīvu konkrēto ietekmi uz nodokļu maksātājiem un uzņēmumiem;</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jaunām likumdošanas iniciatīvām nodokļu jomā iesaka veikt konkurētspējas pārbaudes, tostarp attiecībā uz MVU, lai nodrošinātu, ka jaunie noteikumi patiešām atbalsta Komisijas plānotos mērķus vienkāršošanas, liekā atmešanas un administratīvā sloga samazināšanas jomā;</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ierosina ES līmenī ieviest iepriekšēju nolēmumu sistēmu. Tiesu iestādes izveide nodrošinātu dalībvalstīs īstenoto direktīvu un regulu skaidru interpretāciju;</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iesaka izveidot jaunu Kopējo transfertcenu noteikšanas forumu.</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174E9" w:rsidR="00A174E9" w:rsidTr="001757A2" w14:paraId="15FA655D" w14:textId="77777777">
        <w:tc>
          <w:tcPr>
            <w:tcW w:w="1556"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174E9" w:rsidR="00A174E9" w:rsidTr="001757A2" w14:paraId="497E6EC8" w14:textId="77777777">
        <w:tc>
          <w:tcPr>
            <w:tcW w:w="1556"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Tālr.:</w:t>
            </w:r>
          </w:p>
        </w:tc>
        <w:tc>
          <w:tcPr>
            <w:tcW w:w="3444"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1757A2" w14:paraId="52B62205" w14:textId="77777777">
        <w:tc>
          <w:tcPr>
            <w:tcW w:w="1556"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E-pasts:</w:t>
            </w:r>
          </w:p>
        </w:tc>
        <w:tc>
          <w:tcPr>
            <w:tcW w:w="3444" w:type="pct"/>
          </w:tcPr>
          <w:p w:rsidRPr="00A174E9" w:rsidR="00A174E9" w:rsidP="00A174E9" w:rsidRDefault="00742D51"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742D51"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0089162C">
          <w:rPr>
            <w:b/>
            <w:i/>
            <w:color w:val="0000FF"/>
            <w:sz w:val="28"/>
            <w:u w:val="single"/>
          </w:rPr>
          <w:t>Papildu palīdzība tālākajiem reģioniem</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Ziņotājs</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proofErr w:type="spellStart"/>
            <w:r>
              <w:t>Joël</w:t>
            </w:r>
            <w:proofErr w:type="spellEnd"/>
            <w:r>
              <w:t xml:space="preserve"> DESTOM (Pilsoniskās sabiedrības organizāciju grupa-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Atsauces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w:t>
            </w:r>
            <w:proofErr w:type="spellStart"/>
            <w:r>
              <w:t>final</w:t>
            </w:r>
            <w:proofErr w:type="spellEnd"/>
            <w:r>
              <w:t xml:space="preserve">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0089162C" w:rsidP="00B60D9A" w:rsidRDefault="0089162C" w14:paraId="14F2BAED" w14:textId="61BDCB13">
            <w:pPr>
              <w:tabs>
                <w:tab w:val="center" w:pos="284"/>
              </w:tabs>
              <w:overflowPunct w:val="0"/>
              <w:autoSpaceDE w:val="0"/>
              <w:autoSpaceDN w:val="0"/>
              <w:adjustRightInd w:val="0"/>
              <w:spacing w:line="276" w:lineRule="auto"/>
              <w:ind w:left="266" w:hanging="266"/>
              <w:textAlignment w:val="baseline"/>
            </w:pPr>
            <w:r>
              <w:t>EESC-2025-01633-00-00-AC</w:t>
            </w:r>
          </w:p>
          <w:p w:rsidRPr="0089162C" w:rsidR="00E661EA" w:rsidP="00B60D9A" w:rsidRDefault="00E661EA" w14:paraId="5282C408" w14:textId="04F017BC">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Galvenās nostādnes</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EESK:</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 xml:space="preserve">atzinīgi vērtē Eiropas Komisijas priekšlikumu, kurā pilnībā atzīta tālāko reģionu strukturālā neaizsargātība pret dabas katastrofām un klimata pārmaiņām, un apsvērti elastības pasākumi, kuros ņemtas vērā klimata un humanitārās ārkārtas situācijas šajos reģionos, it īpaši </w:t>
      </w:r>
      <w:proofErr w:type="spellStart"/>
      <w:r>
        <w:t>Majotā</w:t>
      </w:r>
      <w:proofErr w:type="spellEnd"/>
      <w:r>
        <w:t>;</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atbalsta mērķtiecīgos grozījumus Regulā (ES) Nr. 228/2013, kuru mērķis ir:</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attālu apvidu un salu reģionu īpašo attīstības problēmu pārvarēšanas programmā (</w:t>
      </w:r>
      <w:r>
        <w:rPr>
          <w:i/>
          <w:iCs/>
        </w:rPr>
        <w:t>POSEI</w:t>
      </w:r>
      <w:r>
        <w:t>) nodrošināt atbalsta nepārtrauktību atjaunošanas laikā pat ražošanas darbības neesamības gadījumā;</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proofErr w:type="spellStart"/>
      <w:r>
        <w:t>Majotai</w:t>
      </w:r>
      <w:proofErr w:type="spellEnd"/>
      <w:r>
        <w:t xml:space="preserve"> atcelt Eiropas Lauksaimniecības fonda lauku attīstībai (ELFLA) līdzekļu pārdalei 10 % apmērā noteikto maksimālo apjomu un saņēmēju atlases termiņu pārcelt pēc 2025. gada 30. jūnija.</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aicina EK un dalībvalstis nodrošināt, lai līdzekļu pārdale nenotiktu uz lauku attīstības strukturālo projektu rēķina. Komiteja arī aicina regulā iekļaut noteikumu par dabā balstītu risinājumu izmantošanas veicināšanu atjaunošanas posmā pēc katastrofas un saglabāt stingru un pārredzamu ikgadēju uzraudzību pār saistībām, ko uzņēmušies saņēmēji;</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 xml:space="preserve">mudina EK cieši sadarboties ar dalībvalstīm, vietējām pašvaldībām un pilsoniskās sabiedrības organizācijām, lai iespējami efektīvāk un ātrāk izmantotu iespējas atbalstīt skartos reģionus. Dabas katastrofas ir smagi </w:t>
      </w:r>
      <w:proofErr w:type="spellStart"/>
      <w:r>
        <w:t>skārušas</w:t>
      </w:r>
      <w:proofErr w:type="spellEnd"/>
      <w:r>
        <w:t xml:space="preserve"> pilsoniskās sabiedrības organizācijas, darba ņēmējus, MVU un NVO, un ievērojama līdzekļu daļa ir jānovirza tiem;</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Iesaka apsvērt arī šādus jautājumus:</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ES līmenī oficiāli noteikt procedūru ātrai dabas katastrofas stāvokļa atzīšanai;</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tāda īpaša ES Klimata katastrofu fonda izveidi, kas ļautu efektīvi reaģēt uz lielām krīzēm, neapdraudot no ELFLA vai kopējās lauksaimniecības politikas (KLP) finansēto struktūrpolitiku. Šis Eiropas Savienības Solidaritātes fondu papildinošais fonds nodrošinātu turpmākās palīdzības stabilitāti būtisku risku palielināšanās kontekstā;</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regulas pielāgojumus iekļaut Ilgtermiņa redzējuma par ES lauku apvidiem plašākā stratēģiskā satvarā, nodrošinot saskaņotību starp ārkārtas atbalstu, teritoriālo noturību un ilgtspējīgu lauku attīstību;</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uzskata, ka Eiropas Savienībai ir vajadzīgs jauns, stabils un noturīgs finansēšanas mehānisms, kam jābūt pielāgojamam, elastīgam un gatavam reaģēt uz jaunām krīzēm turpmākajos gados; </w:t>
      </w:r>
    </w:p>
    <w:p w:rsidR="00055407" w:rsidRDefault="00055407" w14:paraId="3BCC5154" w14:textId="76FFE567">
      <w:pPr>
        <w:spacing w:after="160" w:line="259" w:lineRule="auto"/>
        <w:jc w:val="left"/>
        <w:rPr>
          <w:szCs w:val="20"/>
        </w:rPr>
      </w:pPr>
      <w:r>
        <w:br w:type="page"/>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noslēgumā aicina uzlabot koordināciju starp dažādiem ES instrumentiem reaģēšanai katastrofu gadījumos un izveidot strukturētu riska novēršanas satvaru, kas ietvertu vienotu kontaktpunktu tālākajiem reģioniem un tiem paredzētu klimata agrīnās brīdināšanas mehānismu, kā arī vienkāršotas administratīvās procedūras atbalsta piešķiršanai.</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89162C" w:rsidR="0089162C" w:rsidTr="001757A2" w14:paraId="2AFA9E15" w14:textId="77777777">
        <w:tc>
          <w:tcPr>
            <w:tcW w:w="1418"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Kontaktpersona:</w:t>
            </w:r>
          </w:p>
        </w:tc>
        <w:tc>
          <w:tcPr>
            <w:tcW w:w="5670"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89162C" w:rsidR="0089162C" w:rsidTr="001757A2" w14:paraId="51D98A7C" w14:textId="77777777">
        <w:tc>
          <w:tcPr>
            <w:tcW w:w="1418"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Tālr.:</w:t>
            </w:r>
          </w:p>
        </w:tc>
        <w:tc>
          <w:tcPr>
            <w:tcW w:w="5670"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1757A2" w14:paraId="443155D9" w14:textId="77777777">
        <w:tc>
          <w:tcPr>
            <w:tcW w:w="1418"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E-pasts:</w:t>
            </w:r>
          </w:p>
        </w:tc>
        <w:tc>
          <w:tcPr>
            <w:tcW w:w="5670" w:type="dxa"/>
          </w:tcPr>
          <w:p w:rsidRPr="0089162C" w:rsidR="0089162C" w:rsidP="0089162C" w:rsidRDefault="00742D51"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2264190" w:id="3"/>
      <w:r>
        <w:rPr>
          <w:b/>
        </w:rPr>
        <w:lastRenderedPageBreak/>
        <w:t>NODARBINĀTĪBA, SOCIĀLĀS LIETAS UN PILSONISKUMS</w:t>
      </w:r>
      <w:bookmarkEnd w:id="2"/>
      <w:bookmarkEnd w:id="3"/>
    </w:p>
    <w:p w:rsidR="004D7AC0" w:rsidP="004D7AC0" w:rsidRDefault="004D7AC0" w14:paraId="4982DD9A" w14:textId="77777777"/>
    <w:p w:rsidRPr="00BE355C" w:rsidR="00BE355C" w:rsidP="00B60D9A" w:rsidRDefault="00742D51"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Centieni veicināt likumīgu un organizētu darbaspēka migrāciju uz Eiropas Savienību</w:t>
        </w:r>
      </w:hyperlink>
    </w:p>
    <w:p w:rsidR="00BE355C" w:rsidP="001C720D" w:rsidRDefault="00BE355C" w14:paraId="36B699A7"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p w:rsidRPr="00BE355C"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sz w:val="16"/>
          <w:szCs w:val="16"/>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Ziņotājs</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proofErr w:type="spellStart"/>
            <w:r>
              <w:t>Thomas</w:t>
            </w:r>
            <w:proofErr w:type="spellEnd"/>
            <w:r>
              <w:t xml:space="preserve"> WAGNSONNER (Darba ņēmēju grupa – AT)</w:t>
            </w:r>
          </w:p>
        </w:tc>
      </w:tr>
      <w:tr w:rsidRPr="00BE355C" w:rsidR="00BE355C" w:rsidTr="001757A2" w14:paraId="54C7ED21" w14:textId="77777777">
        <w:tc>
          <w:tcPr>
            <w:tcW w:w="1701" w:type="dxa"/>
            <w:vMerge w:val="restart"/>
          </w:tcPr>
          <w:p w:rsidRPr="00BE355C" w:rsidR="00BE355C" w:rsidP="00B60D9A" w:rsidRDefault="00BE355C" w14:paraId="70CF4C33" w14:textId="3C511563">
            <w:pPr>
              <w:tabs>
                <w:tab w:val="center" w:pos="284"/>
              </w:tabs>
              <w:overflowPunct w:val="0"/>
              <w:autoSpaceDE w:val="0"/>
              <w:autoSpaceDN w:val="0"/>
              <w:adjustRightInd w:val="0"/>
              <w:spacing w:line="276" w:lineRule="auto"/>
              <w:ind w:left="567" w:hanging="567"/>
              <w:textAlignment w:val="baseline"/>
              <w:rPr>
                <w:b/>
              </w:rPr>
            </w:pPr>
            <w:r>
              <w:rPr>
                <w:b/>
              </w:rPr>
              <w:t>Atsauces</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Pašiniciatīvas atzinums</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r w:rsidRPr="00BE355C" w:rsidR="00BE355C" w:rsidTr="001757A2" w14:paraId="73F38940" w14:textId="77777777">
        <w:tc>
          <w:tcPr>
            <w:tcW w:w="1701" w:type="dxa"/>
            <w:vMerge/>
          </w:tcPr>
          <w:p w:rsidRPr="00BE355C" w:rsidR="00BE355C" w:rsidP="00B60D9A" w:rsidRDefault="00BE355C" w14:paraId="14E0EFD8"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6237" w:type="dxa"/>
          </w:tcPr>
          <w:p w:rsidRPr="00BE355C" w:rsidR="00BE355C" w:rsidP="00B60D9A" w:rsidRDefault="00BE355C" w14:paraId="145DF7AE" w14:textId="77777777">
            <w:pPr>
              <w:tabs>
                <w:tab w:val="center" w:pos="284"/>
              </w:tabs>
              <w:overflowPunct w:val="0"/>
              <w:autoSpaceDE w:val="0"/>
              <w:autoSpaceDN w:val="0"/>
              <w:adjustRightInd w:val="0"/>
              <w:spacing w:line="276" w:lineRule="auto"/>
              <w:ind w:left="266" w:hanging="266"/>
              <w:textAlignment w:val="baseline"/>
              <w:rPr>
                <w:sz w:val="16"/>
                <w:szCs w:val="16"/>
                <w:lang w:val="en-GB"/>
              </w:rPr>
            </w:pPr>
          </w:p>
        </w:tc>
      </w:tr>
    </w:tbl>
    <w:p w:rsidR="001C720D" w:rsidP="001C720D" w:rsidRDefault="001C720D" w14:paraId="5345CB05"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BE355C" w:rsidR="00BE355C" w:rsidP="00B60D9A" w:rsidRDefault="00BE355C" w14:paraId="60E5618C" w14:textId="248667B8">
      <w:pPr>
        <w:keepNext/>
        <w:keepLines/>
        <w:tabs>
          <w:tab w:val="center" w:pos="284"/>
        </w:tabs>
        <w:overflowPunct w:val="0"/>
        <w:autoSpaceDE w:val="0"/>
        <w:autoSpaceDN w:val="0"/>
        <w:adjustRightInd w:val="0"/>
        <w:spacing w:line="276" w:lineRule="auto"/>
        <w:ind w:left="266" w:hanging="266"/>
        <w:textAlignment w:val="baseline"/>
        <w:rPr>
          <w:b/>
        </w:rPr>
      </w:pPr>
      <w:r>
        <w:rPr>
          <w:b/>
        </w:rPr>
        <w:t>Galvenās nostādnes</w:t>
      </w:r>
    </w:p>
    <w:p w:rsidRPr="00BE355C" w:rsidR="00942860" w:rsidP="00B60D9A" w:rsidRDefault="00BE355C" w14:paraId="0E2FB7E6" w14:textId="74AF2860">
      <w:pPr>
        <w:spacing w:before="100" w:beforeAutospacing="1" w:after="100" w:afterAutospacing="1" w:line="276" w:lineRule="auto"/>
        <w:jc w:val="left"/>
      </w:pPr>
      <w:r>
        <w:t>EESK:</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uzsver, ka </w:t>
      </w:r>
      <w:r>
        <w:rPr>
          <w:b/>
        </w:rPr>
        <w:t>likumīgas un organizētas darbaspēka migrācijas uz ES veicināšana</w:t>
      </w:r>
      <w:r>
        <w:t xml:space="preserve"> un </w:t>
      </w:r>
      <w:r>
        <w:rPr>
          <w:b/>
        </w:rPr>
        <w:t>ar to saistītie ES politikas pasākumi un instrumenti</w:t>
      </w:r>
      <w:r>
        <w:t xml:space="preserve"> ir jābalsta uz </w:t>
      </w:r>
      <w:r>
        <w:rPr>
          <w:b/>
        </w:rPr>
        <w:t>cilvēktiesībām</w:t>
      </w:r>
      <w:r>
        <w:t xml:space="preserve">, </w:t>
      </w:r>
      <w:r>
        <w:rPr>
          <w:b/>
        </w:rPr>
        <w:t>tiesiskumu</w:t>
      </w:r>
      <w:r>
        <w:t xml:space="preserve">, trešo valstu </w:t>
      </w:r>
      <w:proofErr w:type="spellStart"/>
      <w:r>
        <w:t>valstspiederīgo</w:t>
      </w:r>
      <w:proofErr w:type="spellEnd"/>
      <w:r>
        <w:t xml:space="preserve"> </w:t>
      </w:r>
      <w:r>
        <w:rPr>
          <w:b/>
        </w:rPr>
        <w:t>integrāciju</w:t>
      </w:r>
      <w:r>
        <w:t xml:space="preserve"> darba tirgū, </w:t>
      </w:r>
      <w:r>
        <w:rPr>
          <w:b/>
        </w:rPr>
        <w:t>ES kopējo vērtību</w:t>
      </w:r>
      <w:r>
        <w:t xml:space="preserve"> respektēšanu un </w:t>
      </w:r>
      <w:r>
        <w:rPr>
          <w:b/>
        </w:rPr>
        <w:t>atbilstību saistošiem starptautiskajiem juridiskajiem instrumentiem</w:t>
      </w:r>
      <w:r>
        <w:t>, kas attiecas gan uz migrāciju, gan uz cilvēktiesībām un darba tiesībām;</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aicina visos spēkā esošajos un turpmākajos migrācijas politikas satvaros īstenot </w:t>
      </w:r>
      <w:r>
        <w:rPr>
          <w:b/>
        </w:rPr>
        <w:t>līdzsvarotu pieeju</w:t>
      </w:r>
      <w:r>
        <w:t xml:space="preserve"> starp </w:t>
      </w:r>
      <w:r>
        <w:rPr>
          <w:b/>
        </w:rPr>
        <w:t>ES un izcelsmes valstīm</w:t>
      </w:r>
      <w:r>
        <w:t xml:space="preserve">. uzsver, ka ir svarīgi </w:t>
      </w:r>
      <w:r>
        <w:rPr>
          <w:b/>
        </w:rPr>
        <w:t>mazināt intelektuālā darbaspēka emigrācijas risku</w:t>
      </w:r>
      <w:r>
        <w:t xml:space="preserve">, ar ES kohēzijas politikas atbalstu izcelsmes valstīs radot apstākļus </w:t>
      </w:r>
      <w:r>
        <w:rPr>
          <w:b/>
        </w:rPr>
        <w:t>ekonomikas izaugsmei un pienācīgas kvalitātes nodarbinātībai</w:t>
      </w:r>
      <w:r>
        <w:t xml:space="preserve">. Ir </w:t>
      </w:r>
      <w:proofErr w:type="spellStart"/>
      <w:r>
        <w:rPr>
          <w:b/>
        </w:rPr>
        <w:t>jāinstitucionalizē</w:t>
      </w:r>
      <w:proofErr w:type="spellEnd"/>
      <w:r>
        <w:t xml:space="preserve"> abu pušu </w:t>
      </w:r>
      <w:r>
        <w:rPr>
          <w:b/>
        </w:rPr>
        <w:t>sociālo partneru līdzdalība</w:t>
      </w:r>
      <w:r>
        <w:t xml:space="preserve"> saskaņā ar attiecīgo valstu apstākļiem un praksi, lai varētu</w:t>
      </w:r>
      <w:r>
        <w:rPr>
          <w:b/>
        </w:rPr>
        <w:t xml:space="preserve"> apzināt iespējas, riskus un problēmas</w:t>
      </w:r>
      <w:r>
        <w:t xml:space="preserve"> vietējos darba tirgos, un sociālos partnerus iesaistīt </w:t>
      </w:r>
      <w:r>
        <w:rPr>
          <w:b/>
        </w:rPr>
        <w:t>pārdomātās sistēmās</w:t>
      </w:r>
      <w:r>
        <w:t xml:space="preserve"> visu divpusējo darba migrācijas nolīgumu uzraudzībai;</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norāda, ka </w:t>
      </w:r>
      <w:r>
        <w:rPr>
          <w:b/>
        </w:rPr>
        <w:t>efektīvs veids, kā mazināt intelektuālā darbaspēka aizplūšanas risku</w:t>
      </w:r>
      <w:r>
        <w:t xml:space="preserve">, var būt </w:t>
      </w:r>
      <w:r>
        <w:rPr>
          <w:b/>
        </w:rPr>
        <w:t>pirms aizbraukšanas un pēc aizbraukšanas rīkota apmācība</w:t>
      </w:r>
      <w:r>
        <w:t>, tostarp izcelsmes valstīs īstenotas sociālās un profesionālās integrācijas un prasmju attīstības programmas, kurās piedalās noteikta procentuālā daļa darba ņēmēju, kas paliek savā izcelsmes valstī, lai veicinātu sociālo un ekonomisko attīstību;</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norāda, ka ir </w:t>
      </w:r>
      <w:r>
        <w:rPr>
          <w:b/>
        </w:rPr>
        <w:t xml:space="preserve">jāveicina vienlīdzīgu tiesību nodrošināšana migrējošiem visu kvalifikācijas līmeņu darba ņēmējiem no </w:t>
      </w:r>
      <w:proofErr w:type="spellStart"/>
      <w:r>
        <w:rPr>
          <w:b/>
        </w:rPr>
        <w:t>trešām</w:t>
      </w:r>
      <w:proofErr w:type="spellEnd"/>
      <w:r>
        <w:rPr>
          <w:b/>
        </w:rPr>
        <w:t xml:space="preserve"> valstīm</w:t>
      </w:r>
      <w:r>
        <w:t xml:space="preserve">. Viņu </w:t>
      </w:r>
      <w:r>
        <w:rPr>
          <w:b/>
        </w:rPr>
        <w:t>aizsardzība visā migrācijas ciklā</w:t>
      </w:r>
      <w:r>
        <w:t xml:space="preserve"> būtu jāuzlabo ar tādiem pasākumiem kā informācijas pieejamība pirms izceļošanas un pēc ierašanās, orientācija un apmācība, kā arī likumīga piekļuve sūdzību mehānismiem un tiesiskajai aizsardzībai;</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atzīmē, ka </w:t>
      </w:r>
      <w:r>
        <w:rPr>
          <w:b/>
        </w:rPr>
        <w:t>starptautiskās prasmju un mobilitātes partnerības</w:t>
      </w:r>
      <w:r>
        <w:t xml:space="preserve"> var </w:t>
      </w:r>
      <w:r>
        <w:rPr>
          <w:b/>
        </w:rPr>
        <w:t>stiprināt vietējos darba tirgus</w:t>
      </w:r>
      <w:r>
        <w:t>, saskaņot darbaspēka piedāvājumu un pieprasījumu, nodot prasmes visos līmeņos un iespējami paplašināt intelektuālā darbaspēka imigrāciju, vienlaikus risināt intelektuālā darbaspēka aizplūšanas problēmu un uzlabot konkurētspēju un izaugsmi izcelsmes valstīs un galamērķa valstīs;</w:t>
      </w:r>
    </w:p>
    <w:p w:rsidR="00055407" w:rsidP="00942860" w:rsidRDefault="00BE355C" w14:paraId="4D8A1DB8" w14:textId="6508B008">
      <w:pPr>
        <w:numPr>
          <w:ilvl w:val="0"/>
          <w:numId w:val="32"/>
        </w:numPr>
        <w:overflowPunct w:val="0"/>
        <w:autoSpaceDE w:val="0"/>
        <w:autoSpaceDN w:val="0"/>
        <w:adjustRightInd w:val="0"/>
        <w:spacing w:before="100" w:beforeAutospacing="1" w:after="100" w:afterAutospacing="1"/>
        <w:ind w:left="284" w:hanging="284"/>
        <w:textAlignment w:val="baseline"/>
      </w:pPr>
      <w:r>
        <w:t xml:space="preserve">norāda, ka pašlaik </w:t>
      </w:r>
      <w:r>
        <w:rPr>
          <w:b/>
        </w:rPr>
        <w:t>trūkst vienota satvara</w:t>
      </w:r>
      <w:r>
        <w:t xml:space="preserve"> un</w:t>
      </w:r>
      <w:r>
        <w:rPr>
          <w:b/>
        </w:rPr>
        <w:t xml:space="preserve"> </w:t>
      </w:r>
      <w:proofErr w:type="spellStart"/>
      <w:r>
        <w:rPr>
          <w:b/>
        </w:rPr>
        <w:t>pārredzamības</w:t>
      </w:r>
      <w:proofErr w:type="spellEnd"/>
      <w:r>
        <w:rPr>
          <w:b/>
        </w:rPr>
        <w:t xml:space="preserve"> sarunās</w:t>
      </w:r>
      <w:r>
        <w:t xml:space="preserve"> par </w:t>
      </w:r>
      <w:r>
        <w:rPr>
          <w:b/>
        </w:rPr>
        <w:t>talantu partnerībām</w:t>
      </w:r>
      <w:r>
        <w:t xml:space="preserve">, un aicina </w:t>
      </w:r>
      <w:r>
        <w:rPr>
          <w:b/>
        </w:rPr>
        <w:t>Komisiju nākt klajā ar rīcības plānu</w:t>
      </w:r>
      <w:r>
        <w:t xml:space="preserve">, kurā būtu izklāstīti </w:t>
      </w:r>
      <w:r>
        <w:rPr>
          <w:b/>
        </w:rPr>
        <w:t>turpmākie pasākumi</w:t>
      </w:r>
      <w:r>
        <w:t xml:space="preserve"> attiecībā uz talantu partnerībām, pašreizējos un iepriekšējos projektos gūtā pieredze, kā arī politikas pasākumi, kas uzlabotu saskaņotību un veicinātu netraucētu mobilitāti;</w:t>
      </w:r>
    </w:p>
    <w:p w:rsidR="00055407" w:rsidRDefault="00055407" w14:paraId="19560E5B" w14:textId="77777777">
      <w:pPr>
        <w:spacing w:after="160" w:line="259" w:lineRule="auto"/>
        <w:jc w:val="left"/>
      </w:pPr>
      <w:r>
        <w:br w:type="page"/>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lastRenderedPageBreak/>
        <w:t xml:space="preserve">uzsver, ka </w:t>
      </w:r>
      <w:r>
        <w:rPr>
          <w:b/>
        </w:rPr>
        <w:t>Eiropas Savienībai jāmobilizē visi pieejamie darbaspēka resursi</w:t>
      </w:r>
      <w:r>
        <w:t xml:space="preserve">, vienlaikus </w:t>
      </w:r>
      <w:r>
        <w:rPr>
          <w:b/>
        </w:rPr>
        <w:t>pilnveidojot migrācijas politiku</w:t>
      </w:r>
      <w:r>
        <w:t xml:space="preserve">, lai piesaistītu un noturētu kvalificētus darba ņēmējus. </w:t>
      </w:r>
      <w:r>
        <w:rPr>
          <w:b/>
        </w:rPr>
        <w:t>Prioritāte ir ES vietējā darbaspēka aktivizēšana</w:t>
      </w:r>
      <w:r>
        <w:t xml:space="preserve">, lai ilgtermiņā mazinātu darbaspēka un prasmju trūkumu, īpašu uzmanību pievēršot maz mobilizētām grupām, un vienlaikus atzīmē, ka </w:t>
      </w:r>
      <w:r>
        <w:rPr>
          <w:b/>
        </w:rPr>
        <w:t>īpašos gadījumos ir jārespektē uzņēmumu intereses steidzami aizpildīt vakances ar migrējošiem darba ņēmējiem</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4493"/>
      </w:tblGrid>
      <w:tr w:rsidRPr="00BE355C" w:rsidR="00BE355C" w:rsidTr="001757A2" w14:paraId="526B6215" w14:textId="77777777">
        <w:tc>
          <w:tcPr>
            <w:tcW w:w="1210" w:type="dxa"/>
          </w:tcPr>
          <w:p w:rsidRPr="00BE355C" w:rsidR="00BE355C" w:rsidP="00BE355C" w:rsidRDefault="00BE355C" w14:paraId="730E9F62" w14:textId="77777777">
            <w:pPr>
              <w:overflowPunct w:val="0"/>
              <w:autoSpaceDE w:val="0"/>
              <w:autoSpaceDN w:val="0"/>
              <w:adjustRightInd w:val="0"/>
              <w:textAlignment w:val="baseline"/>
              <w:rPr>
                <w:i/>
              </w:rPr>
            </w:pPr>
            <w:r>
              <w:rPr>
                <w:b/>
                <w:i/>
              </w:rPr>
              <w:t>Kontaktpersona:</w:t>
            </w:r>
          </w:p>
        </w:tc>
        <w:tc>
          <w:tcPr>
            <w:tcW w:w="4493" w:type="dxa"/>
          </w:tcPr>
          <w:p w:rsidRPr="00BE355C" w:rsidR="00BE355C" w:rsidP="00BE355C" w:rsidRDefault="00BE355C" w14:paraId="13056E76" w14:textId="77777777">
            <w:pPr>
              <w:overflowPunct w:val="0"/>
              <w:autoSpaceDE w:val="0"/>
              <w:autoSpaceDN w:val="0"/>
              <w:adjustRightInd w:val="0"/>
              <w:ind w:hanging="12"/>
              <w:textAlignment w:val="baseline"/>
              <w:rPr>
                <w:i/>
              </w:rPr>
            </w:pPr>
            <w:proofErr w:type="spellStart"/>
            <w:r>
              <w:rPr>
                <w:i/>
              </w:rPr>
              <w:t>Triin</w:t>
            </w:r>
            <w:proofErr w:type="spellEnd"/>
            <w:r>
              <w:rPr>
                <w:i/>
              </w:rPr>
              <w:t xml:space="preserve"> </w:t>
            </w:r>
            <w:proofErr w:type="spellStart"/>
            <w:r>
              <w:rPr>
                <w:i/>
              </w:rPr>
              <w:t>Aasmaa</w:t>
            </w:r>
            <w:proofErr w:type="spellEnd"/>
            <w:r>
              <w:rPr>
                <w:i/>
              </w:rPr>
              <w:t xml:space="preserve"> </w:t>
            </w:r>
            <w:proofErr w:type="spellStart"/>
            <w:r>
              <w:rPr>
                <w:i/>
              </w:rPr>
              <w:t>Gomes</w:t>
            </w:r>
            <w:proofErr w:type="spellEnd"/>
          </w:p>
        </w:tc>
      </w:tr>
      <w:tr w:rsidRPr="00BE355C" w:rsidR="00BE355C" w:rsidTr="001757A2" w14:paraId="6C936FC0" w14:textId="77777777">
        <w:tc>
          <w:tcPr>
            <w:tcW w:w="1210" w:type="dxa"/>
          </w:tcPr>
          <w:p w:rsidRPr="00BE355C" w:rsidR="00BE355C" w:rsidP="00BE355C" w:rsidRDefault="00BE355C" w14:paraId="7C9EA8D3" w14:textId="77777777">
            <w:pPr>
              <w:overflowPunct w:val="0"/>
              <w:autoSpaceDE w:val="0"/>
              <w:autoSpaceDN w:val="0"/>
              <w:adjustRightInd w:val="0"/>
              <w:textAlignment w:val="baseline"/>
              <w:rPr>
                <w:i/>
              </w:rPr>
            </w:pPr>
            <w:r>
              <w:rPr>
                <w:i/>
              </w:rPr>
              <w:t>Tālr.:</w:t>
            </w:r>
          </w:p>
        </w:tc>
        <w:tc>
          <w:tcPr>
            <w:tcW w:w="4493"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1757A2" w14:paraId="67ED56F5" w14:textId="77777777">
        <w:tc>
          <w:tcPr>
            <w:tcW w:w="1210" w:type="dxa"/>
          </w:tcPr>
          <w:p w:rsidRPr="00BE355C" w:rsidR="00BE355C" w:rsidP="00BE355C" w:rsidRDefault="00BE355C" w14:paraId="6F331474" w14:textId="77777777">
            <w:pPr>
              <w:overflowPunct w:val="0"/>
              <w:autoSpaceDE w:val="0"/>
              <w:autoSpaceDN w:val="0"/>
              <w:adjustRightInd w:val="0"/>
              <w:textAlignment w:val="baseline"/>
              <w:rPr>
                <w:i/>
              </w:rPr>
            </w:pPr>
            <w:r>
              <w:rPr>
                <w:i/>
              </w:rPr>
              <w:t>E-pasts:</w:t>
            </w:r>
          </w:p>
        </w:tc>
        <w:tc>
          <w:tcPr>
            <w:tcW w:w="4493" w:type="dxa"/>
          </w:tcPr>
          <w:p w:rsidRPr="00BE355C" w:rsidR="00BE355C" w:rsidP="00BE355C" w:rsidRDefault="00742D51"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742D51"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32">
        <w:r w:rsidR="00AC3821">
          <w:rPr>
            <w:b/>
            <w:i/>
            <w:color w:val="0000FF"/>
            <w:sz w:val="28"/>
            <w:u w:val="single"/>
          </w:rPr>
          <w:t>Jauns rīcības plāns Eiropas sociālo tiesību pīlāra īstenošanai</w:t>
        </w:r>
      </w:hyperlink>
      <w:r w:rsidRPr="00AC3821" w:rsidR="00AC3821">
        <w:rPr>
          <w:b/>
          <w:i/>
          <w:sz w:val="28"/>
        </w:rPr>
        <w:fldChar w:fldCharType="begin"/>
      </w:r>
      <w:r w:rsidRPr="004721D7" w:rsidR="00AC3821">
        <w:rPr>
          <w:b/>
          <w:i/>
          <w:sz w:val="28"/>
        </w:rPr>
        <w:instrText>HYPERLINK "https://www.eesc.europa.eu/lv/our-work/opinions-information-reports/opinions/new-action-plan-implementation-european-pillar-social-rights"</w:instrText>
      </w:r>
      <w:r w:rsidRPr="00AC3821" w:rsidR="00AC3821">
        <w:rPr>
          <w:b/>
          <w:i/>
          <w:sz w:val="28"/>
        </w:rPr>
        <w:fldChar w:fldCharType="separate"/>
      </w:r>
    </w:p>
    <w:p w:rsidRPr="00AC3821" w:rsidR="00AC3821" w:rsidP="00AC3821" w:rsidRDefault="00AC3821" w14:paraId="6B277B02" w14:textId="77777777">
      <w:pPr>
        <w:widowControl w:val="0"/>
        <w:overflowPunct w:val="0"/>
        <w:autoSpaceDE w:val="0"/>
        <w:autoSpaceDN w:val="0"/>
        <w:adjustRightInd w:val="0"/>
        <w:ind w:left="567"/>
        <w:textAlignment w:val="baseline"/>
        <w:rPr>
          <w:b/>
          <w:i/>
          <w:sz w:val="28"/>
        </w:rPr>
      </w:pPr>
      <w:r w:rsidRPr="00AC3821">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Ziņotāja</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proofErr w:type="spellStart"/>
            <w:r>
              <w:t>Sophia</w:t>
            </w:r>
            <w:proofErr w:type="spellEnd"/>
            <w:r>
              <w:t xml:space="preserve"> REISECKER (Darba ņēmēju grupa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4B3714CE">
            <w:pPr>
              <w:overflowPunct w:val="0"/>
              <w:autoSpaceDE w:val="0"/>
              <w:autoSpaceDN w:val="0"/>
              <w:adjustRightInd w:val="0"/>
              <w:ind w:left="-113"/>
              <w:textAlignment w:val="baseline"/>
              <w:rPr>
                <w:b/>
              </w:rPr>
            </w:pPr>
            <w:r>
              <w:rPr>
                <w:b/>
              </w:rPr>
              <w:t>Atsauces</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Pašiniciatīvas atzinums</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EESK:</w:t>
      </w:r>
    </w:p>
    <w:p w:rsidRPr="00AC3821" w:rsidR="00C2185C" w:rsidP="00EE3EBF"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EE3EBF" w:rsidRDefault="00AC3821" w14:paraId="64F046FA" w14:textId="77777777">
      <w:pPr>
        <w:pStyle w:val="ListParagraph"/>
        <w:numPr>
          <w:ilvl w:val="0"/>
          <w:numId w:val="34"/>
        </w:numPr>
        <w:overflowPunct w:val="0"/>
        <w:autoSpaceDE w:val="0"/>
        <w:autoSpaceDN w:val="0"/>
        <w:adjustRightInd w:val="0"/>
        <w:ind w:left="284" w:hanging="284"/>
        <w:textAlignment w:val="baseline"/>
        <w:rPr>
          <w:szCs w:val="20"/>
        </w:rPr>
      </w:pPr>
      <w:bookmarkStart w:name="_Toc201570896" w:id="4"/>
      <w:r>
        <w:t>aicina rūpīgi izvērtēt 2021. gada Eiropas sociālo tiesību pīlāra (ESTP) rīcības plānu, lai iegūtu informāciju, uz kuras pamata veidot jaunu stabilu, uz nākotni vērstu ESTP rīcības plānu, kurā Eiropas pusgadā labāk būtu integrēts gan sociālo rezultātu pārskats, gan sociālās konverģences sistēma;</w:t>
      </w:r>
      <w:bookmarkEnd w:id="4"/>
    </w:p>
    <w:p w:rsidRPr="00C2185C" w:rsidR="00AC3821" w:rsidP="00EE3EBF" w:rsidRDefault="00AC3821" w14:paraId="70DFDA9B" w14:textId="77777777">
      <w:pPr>
        <w:pStyle w:val="ListParagraph"/>
        <w:numPr>
          <w:ilvl w:val="0"/>
          <w:numId w:val="34"/>
        </w:numPr>
        <w:overflowPunct w:val="0"/>
        <w:autoSpaceDE w:val="0"/>
        <w:autoSpaceDN w:val="0"/>
        <w:adjustRightInd w:val="0"/>
        <w:ind w:left="284" w:hanging="284"/>
        <w:textAlignment w:val="baseline"/>
        <w:rPr>
          <w:szCs w:val="20"/>
        </w:rPr>
      </w:pPr>
      <w:bookmarkStart w:name="_Toc201570897" w:id="5"/>
      <w:r>
        <w:t>atbalsta ES līmenī noteiktu kvalitatīvu darbvietu mērķi, minimālos standartus nodarbinātu personu nabadzības un nedrošības novēršanai, uzlabotus darba apstākļus aprūpes nozarē un spēcīgāku aizsardzību jauniešiem, tostarp taisnīgu stažēšanos un ar to saistītu atbalstu nodarbinātībai;</w:t>
      </w:r>
      <w:bookmarkEnd w:id="5"/>
    </w:p>
    <w:p w:rsidRPr="00C2185C" w:rsidR="00AC3821" w:rsidP="00EE3EBF" w:rsidRDefault="00AC3821" w14:paraId="56D25AD4" w14:textId="77777777">
      <w:pPr>
        <w:pStyle w:val="ListParagraph"/>
        <w:numPr>
          <w:ilvl w:val="0"/>
          <w:numId w:val="34"/>
        </w:numPr>
        <w:overflowPunct w:val="0"/>
        <w:autoSpaceDE w:val="0"/>
        <w:autoSpaceDN w:val="0"/>
        <w:adjustRightInd w:val="0"/>
        <w:ind w:left="284" w:hanging="284"/>
        <w:textAlignment w:val="baseline"/>
        <w:rPr>
          <w:szCs w:val="20"/>
        </w:rPr>
      </w:pPr>
      <w:bookmarkStart w:name="_Toc201570898" w:id="6"/>
      <w:r>
        <w:t xml:space="preserve">mudina noteikt spēcīgus ES mēroga standartus bezdarba apdrošināšanai, direktīvu par </w:t>
      </w:r>
      <w:proofErr w:type="spellStart"/>
      <w:r>
        <w:t>psihosociālajiem</w:t>
      </w:r>
      <w:proofErr w:type="spellEnd"/>
      <w:r>
        <w:t xml:space="preserve"> riskiem un tiesībām atslēgties un līdzsvarota budžeta normu sociālajiem ieguldījumiem fiskālajā politikā ar īpašu ES un valstu finansējumu;</w:t>
      </w:r>
      <w:bookmarkEnd w:id="6"/>
    </w:p>
    <w:p w:rsidRPr="00C2185C" w:rsidR="00AC3821" w:rsidP="00EE3EBF" w:rsidRDefault="00AC3821" w14:paraId="5EF34DDB" w14:textId="77777777">
      <w:pPr>
        <w:pStyle w:val="ListParagraph"/>
        <w:numPr>
          <w:ilvl w:val="0"/>
          <w:numId w:val="34"/>
        </w:numPr>
        <w:overflowPunct w:val="0"/>
        <w:autoSpaceDE w:val="0"/>
        <w:autoSpaceDN w:val="0"/>
        <w:adjustRightInd w:val="0"/>
        <w:ind w:left="284" w:hanging="284"/>
        <w:textAlignment w:val="baseline"/>
        <w:rPr>
          <w:szCs w:val="20"/>
        </w:rPr>
      </w:pPr>
      <w:bookmarkStart w:name="_Toc201570899" w:id="7"/>
      <w:r>
        <w:t xml:space="preserve">atbalsta mūžizglītības atzīšanu par tiesībām, publiskā un privātā sektora apmācības ieguldījumu palielināšanu, sociālo mērķu un dzimumu līdztiesības integrēšanu un </w:t>
      </w:r>
      <w:proofErr w:type="spellStart"/>
      <w:r>
        <w:t>prioritizēšanu</w:t>
      </w:r>
      <w:proofErr w:type="spellEnd"/>
      <w:r>
        <w:t xml:space="preserve"> visā ESTP, pārbaudi par ietekmi uz jauniešiem ieviešanu un pilnīgu Sociālās ekonomikas rīcības plāna un taisnīgas pārkārtošanās satvara īstenošanu;</w:t>
      </w:r>
      <w:bookmarkEnd w:id="7"/>
    </w:p>
    <w:p w:rsidRPr="00C2185C" w:rsidR="00AC3821" w:rsidP="00EE3EBF" w:rsidRDefault="00AC3821" w14:paraId="36FEB868" w14:textId="77777777">
      <w:pPr>
        <w:pStyle w:val="ListParagraph"/>
        <w:numPr>
          <w:ilvl w:val="0"/>
          <w:numId w:val="34"/>
        </w:numPr>
        <w:overflowPunct w:val="0"/>
        <w:autoSpaceDE w:val="0"/>
        <w:autoSpaceDN w:val="0"/>
        <w:adjustRightInd w:val="0"/>
        <w:ind w:left="284" w:hanging="284"/>
        <w:textAlignment w:val="baseline"/>
        <w:rPr>
          <w:szCs w:val="20"/>
        </w:rPr>
      </w:pPr>
      <w:bookmarkStart w:name="_Toc201570900" w:id="8"/>
      <w:r>
        <w:t xml:space="preserve">aicina stiprināt sociālo dialogu, aktīvi iesaistīt pilsonisko sabiedrību, noteikt obligātus sociālos kritērijus publiskajā iepirkumā un izstrādāt rādītājus “tālāk par IKP”, lai labāk atspoguļotu iedzīvotāju </w:t>
      </w:r>
      <w:proofErr w:type="spellStart"/>
      <w:r>
        <w:t>labbūtību</w:t>
      </w:r>
      <w:proofErr w:type="spellEnd"/>
      <w:r>
        <w:t xml:space="preserve"> un iekļaujošu izaugsmi.</w:t>
      </w:r>
      <w:bookmarkEnd w:id="8"/>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AC3821" w:rsidR="00AC3821" w:rsidTr="001757A2" w14:paraId="33DE2F7F" w14:textId="77777777">
        <w:tc>
          <w:tcPr>
            <w:tcW w:w="1556"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AC3821" w:rsidR="00AC3821" w:rsidTr="001757A2" w14:paraId="43E87E3E" w14:textId="77777777">
        <w:tc>
          <w:tcPr>
            <w:tcW w:w="1556"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Tālr.:</w:t>
            </w:r>
          </w:p>
        </w:tc>
        <w:tc>
          <w:tcPr>
            <w:tcW w:w="3444"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1757A2" w14:paraId="3F84A802" w14:textId="77777777">
        <w:tc>
          <w:tcPr>
            <w:tcW w:w="1556"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E-pasts:</w:t>
            </w:r>
          </w:p>
        </w:tc>
        <w:tc>
          <w:tcPr>
            <w:tcW w:w="3444" w:type="pct"/>
          </w:tcPr>
          <w:p w:rsidRPr="00AC3821" w:rsidR="00AC3821" w:rsidP="00AC3821" w:rsidRDefault="00742D51" w14:paraId="33344D49" w14:textId="77777777">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p w:rsidRPr="00AC3821" w:rsidR="00AC3821" w:rsidP="00AC3821" w:rsidRDefault="00AC3821" w14:paraId="7885C933" w14:textId="77777777">
            <w:pPr>
              <w:overflowPunct w:val="0"/>
              <w:autoSpaceDE w:val="0"/>
              <w:autoSpaceDN w:val="0"/>
              <w:adjustRightInd w:val="0"/>
              <w:spacing w:line="240" w:lineRule="auto"/>
              <w:textAlignment w:val="baseline"/>
              <w:rPr>
                <w:color w:val="0000FF"/>
                <w:u w:val="single"/>
                <w:lang w:val="en-GB"/>
              </w:rPr>
            </w:pPr>
          </w:p>
        </w:tc>
      </w:tr>
    </w:tbl>
    <w:p w:rsidR="00AC3821" w:rsidP="004D7AC0" w:rsidRDefault="00AC3821" w14:paraId="21974840" w14:textId="77777777">
      <w:pPr>
        <w:spacing w:after="160" w:line="259" w:lineRule="auto"/>
        <w:jc w:val="left"/>
      </w:pPr>
    </w:p>
    <w:p w:rsidR="00AC3821" w:rsidRDefault="00AC3821" w14:paraId="0C045A87" w14:textId="77777777">
      <w:pPr>
        <w:spacing w:after="160" w:line="259" w:lineRule="auto"/>
        <w:jc w:val="left"/>
      </w:pPr>
      <w:r>
        <w:br w:type="page"/>
      </w:r>
    </w:p>
    <w:p w:rsidRPr="00783D73" w:rsidR="00783D73" w:rsidP="00783D73" w:rsidRDefault="00742D51"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ES Personu ar invaliditāti tiesību stratēģijas nākotne pēc 2025. gada</w:t>
        </w:r>
      </w:hyperlink>
      <w:r w:rsidR="00783D73">
        <w:rPr>
          <w:b/>
          <w:i/>
          <w:sz w:val="28"/>
        </w:rPr>
        <w:t xml:space="preserve"> </w:t>
      </w:r>
    </w:p>
    <w:p w:rsidR="00783D73" w:rsidP="00783D73" w:rsidRDefault="00783D73" w14:paraId="791B33A6"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p w:rsidRPr="00783D73"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sz w:val="18"/>
          <w:szCs w:val="18"/>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Ziņotājs</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proofErr w:type="spellStart"/>
            <w:r>
              <w:t>Ioannis</w:t>
            </w:r>
            <w:proofErr w:type="spellEnd"/>
            <w:r>
              <w:t xml:space="preserve"> VARDAKASTANIS  (Pilsoniskās sabiedrības organizāciju grupa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3646BECF">
            <w:pPr>
              <w:tabs>
                <w:tab w:val="center" w:pos="174"/>
              </w:tabs>
              <w:overflowPunct w:val="0"/>
              <w:autoSpaceDE w:val="0"/>
              <w:autoSpaceDN w:val="0"/>
              <w:adjustRightInd w:val="0"/>
              <w:ind w:left="266" w:hanging="266"/>
              <w:textAlignment w:val="baseline"/>
              <w:rPr>
                <w:b/>
              </w:rPr>
            </w:pPr>
            <w:r>
              <w:rPr>
                <w:b/>
              </w:rPr>
              <w:t>Atsauces</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Pašiniciatīvas atzinums</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783D73" w:rsidR="00783D73" w:rsidP="00783D73" w:rsidRDefault="00783D73" w14:paraId="44303C48" w14:textId="77777777">
      <w:pPr>
        <w:tabs>
          <w:tab w:val="center" w:pos="284"/>
        </w:tabs>
        <w:overflowPunct w:val="0"/>
        <w:autoSpaceDE w:val="0"/>
        <w:autoSpaceDN w:val="0"/>
        <w:adjustRightInd w:val="0"/>
        <w:ind w:left="266" w:hanging="266"/>
        <w:textAlignment w:val="baseline"/>
        <w:rPr>
          <w:sz w:val="16"/>
          <w:szCs w:val="16"/>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Galvenās nostādnes</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EESK:</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 xml:space="preserve">atzinīgi vērtē Eiropas Komisijas apņemšanos Personu ar invaliditāti tiesību stratēģijas 2021.–2030. gadam otrajai pusei iesniegt jaunus pasākumus un uzsver ANO Personu ar invaliditāti tiesību komitejas pārskatu par ES, kurā ietverts aicinājums turpināt strādāt tālāk pēc stratēģijas </w:t>
      </w:r>
      <w:proofErr w:type="spellStart"/>
      <w:r>
        <w:t>vidusposma</w:t>
      </w:r>
      <w:proofErr w:type="spellEnd"/>
      <w:r>
        <w:t xml:space="preserve"> sasniegšanas;</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 xml:space="preserve">atzīst 2021. –2025. gadā gūtos svarīgos panākumus, bet piezīmē, ka nepilnības joprojām pastāv. Šajā atzinumā Komiteja ir uzskaitījusi prioritāros pasākumus un </w:t>
      </w:r>
      <w:proofErr w:type="spellStart"/>
      <w:r>
        <w:t>pamatiniciatīvas</w:t>
      </w:r>
      <w:proofErr w:type="spellEnd"/>
      <w:r>
        <w:t xml:space="preserve"> 2025.–2030. gada periodam;</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mudina Komisiju bez kavēšanās, apspriežoties ar personām ar invaliditāti un viņu organizācijām, sagatavot nākamo rīcības plānu;</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aicina paredzēt spēcīgākus pasākumus ar tiešu ietekmi, kas uzliktu stingrākus pienākumus nekā 2021.–2025. gada pasākumi un kuriem daudzgadu finanšu shēmā būtu paredzēts īpašs finansējums, kas nodrošinātu efektīvu īstenošanu un atbalstu.</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Svarīgākie ierosinātie pasākumi</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Veidot alternatīvu Horizontālajai vienlīdzīgas attieksmes direktīvai</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Balstīties uz Personu ar invaliditāti nodarbinātības paketi</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Novērst ES invaliditātes kartes un pārvietošanās brīvību nepilnības</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proofErr w:type="spellStart"/>
      <w:r>
        <w:t>Piekļūstamības</w:t>
      </w:r>
      <w:proofErr w:type="spellEnd"/>
      <w:r>
        <w:t xml:space="preserve"> jomā strādāt plašāk par resursu centru </w:t>
      </w:r>
      <w:r>
        <w:rPr>
          <w:i/>
          <w:iCs/>
        </w:rPr>
        <w:t>“</w:t>
      </w:r>
      <w:proofErr w:type="spellStart"/>
      <w:r>
        <w:rPr>
          <w:i/>
          <w:iCs/>
        </w:rPr>
        <w:t>AccessibleEU</w:t>
      </w:r>
      <w:proofErr w:type="spellEnd"/>
      <w:r>
        <w:rPr>
          <w:i/>
          <w:iCs/>
        </w:rPr>
        <w:t>”</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Aizsargāt sievietes un meitenes ar invaliditāti</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Risināt personu ar invaliditāti mājokļu krīzes problēmu</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Izveidot vienotu mehānismu </w:t>
      </w:r>
      <w:proofErr w:type="spellStart"/>
      <w:r>
        <w:t>palīgtehnoloģiju</w:t>
      </w:r>
      <w:proofErr w:type="spellEnd"/>
      <w:r>
        <w:t xml:space="preserve"> sertificēšanai</w:t>
      </w:r>
    </w:p>
    <w:p w:rsidRPr="00783D73"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Novērst šķēršļus, ar kuriem personas ar invaliditāti saskaras ceļojot</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 xml:space="preserve">Atbalstīt </w:t>
      </w:r>
      <w:proofErr w:type="spellStart"/>
      <w:r>
        <w:t>deinstitucionalizāciju</w:t>
      </w:r>
      <w:proofErr w:type="spellEnd"/>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Novērst uz mākslīgo intelektu balstītu diskrimināciju</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Nodrošināt konsekvenci ar ES ārējo darbību</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238"/>
        <w:gridCol w:w="4507"/>
      </w:tblGrid>
      <w:tr w:rsidRPr="00783D73" w:rsidR="00783D73" w:rsidTr="001757A2" w14:paraId="6EAB4FDA" w14:textId="77777777">
        <w:tc>
          <w:tcPr>
            <w:tcW w:w="1238" w:type="dxa"/>
          </w:tcPr>
          <w:p w:rsidRPr="00783D73" w:rsidR="00783D73" w:rsidP="00783D73" w:rsidRDefault="00783D73" w14:paraId="320C4915" w14:textId="75EAB5C8">
            <w:pPr>
              <w:overflowPunct w:val="0"/>
              <w:autoSpaceDE w:val="0"/>
              <w:autoSpaceDN w:val="0"/>
              <w:adjustRightInd w:val="0"/>
              <w:spacing w:line="240" w:lineRule="auto"/>
              <w:textAlignment w:val="baseline"/>
              <w:rPr>
                <w:i/>
              </w:rPr>
            </w:pPr>
            <w:r>
              <w:rPr>
                <w:b/>
                <w:i/>
              </w:rPr>
              <w:t>Kontaktpersona:</w:t>
            </w:r>
          </w:p>
        </w:tc>
        <w:tc>
          <w:tcPr>
            <w:tcW w:w="238" w:type="dxa"/>
          </w:tcPr>
          <w:p w:rsidRPr="00783D73" w:rsidR="00783D73" w:rsidP="00783D73" w:rsidRDefault="00783D73" w14:paraId="1C5C7A5B"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22CEB2BA" w14:textId="594A1D2C">
            <w:pPr>
              <w:overflowPunct w:val="0"/>
              <w:autoSpaceDE w:val="0"/>
              <w:autoSpaceDN w:val="0"/>
              <w:adjustRightInd w:val="0"/>
              <w:spacing w:line="240" w:lineRule="auto"/>
              <w:textAlignment w:val="baseline"/>
              <w:rPr>
                <w:i/>
              </w:rPr>
            </w:pPr>
            <w:proofErr w:type="spellStart"/>
            <w:r>
              <w:rPr>
                <w:i/>
              </w:rPr>
              <w:t>Valeria</w:t>
            </w:r>
            <w:proofErr w:type="spellEnd"/>
            <w:r>
              <w:rPr>
                <w:i/>
              </w:rPr>
              <w:t xml:space="preserve"> </w:t>
            </w:r>
            <w:proofErr w:type="spellStart"/>
            <w:r>
              <w:rPr>
                <w:i/>
              </w:rPr>
              <w:t>Atzori</w:t>
            </w:r>
            <w:proofErr w:type="spellEnd"/>
          </w:p>
        </w:tc>
      </w:tr>
      <w:tr w:rsidRPr="00783D73" w:rsidR="00783D73" w:rsidTr="001757A2" w14:paraId="152A8D02" w14:textId="77777777">
        <w:tc>
          <w:tcPr>
            <w:tcW w:w="1238" w:type="dxa"/>
          </w:tcPr>
          <w:p w:rsidRPr="00783D73" w:rsidR="00783D73" w:rsidP="00783D73" w:rsidRDefault="00783D73" w14:paraId="3D234692" w14:textId="484CB224">
            <w:pPr>
              <w:overflowPunct w:val="0"/>
              <w:autoSpaceDE w:val="0"/>
              <w:autoSpaceDN w:val="0"/>
              <w:adjustRightInd w:val="0"/>
              <w:spacing w:line="240" w:lineRule="auto"/>
              <w:textAlignment w:val="baseline"/>
              <w:rPr>
                <w:i/>
              </w:rPr>
            </w:pPr>
            <w:r>
              <w:rPr>
                <w:i/>
              </w:rPr>
              <w:t>Tālr.:</w:t>
            </w:r>
          </w:p>
        </w:tc>
        <w:tc>
          <w:tcPr>
            <w:tcW w:w="238" w:type="dxa"/>
          </w:tcPr>
          <w:p w:rsidRPr="00783D73" w:rsidR="00783D73" w:rsidP="00783D73" w:rsidRDefault="00783D73" w14:paraId="0D5729EE" w14:textId="77777777">
            <w:pPr>
              <w:overflowPunct w:val="0"/>
              <w:autoSpaceDE w:val="0"/>
              <w:autoSpaceDN w:val="0"/>
              <w:adjustRightInd w:val="0"/>
              <w:spacing w:line="240" w:lineRule="auto"/>
              <w:textAlignment w:val="baseline"/>
              <w:rPr>
                <w:i/>
                <w:lang w:val="en-GB"/>
              </w:rPr>
            </w:pPr>
          </w:p>
        </w:tc>
        <w:tc>
          <w:tcPr>
            <w:tcW w:w="4507" w:type="dxa"/>
          </w:tcPr>
          <w:p w:rsidRPr="00783D73" w:rsidR="00783D73" w:rsidP="00783D73" w:rsidRDefault="00783D73" w14:paraId="63F04F99" w14:textId="50DFEAE8">
            <w:pPr>
              <w:overflowPunct w:val="0"/>
              <w:autoSpaceDE w:val="0"/>
              <w:autoSpaceDN w:val="0"/>
              <w:adjustRightInd w:val="0"/>
              <w:spacing w:line="240" w:lineRule="auto"/>
              <w:textAlignment w:val="baseline"/>
              <w:rPr>
                <w:i/>
              </w:rPr>
            </w:pPr>
            <w:r>
              <w:rPr>
                <w:i/>
              </w:rPr>
              <w:t>+ 32 2 5468774</w:t>
            </w:r>
          </w:p>
        </w:tc>
      </w:tr>
      <w:tr w:rsidRPr="00783D73" w:rsidR="00783D73" w:rsidTr="001757A2" w14:paraId="0E945862" w14:textId="77777777">
        <w:tc>
          <w:tcPr>
            <w:tcW w:w="1238" w:type="dxa"/>
          </w:tcPr>
          <w:p w:rsidRPr="00783D73" w:rsidR="00783D73" w:rsidP="00783D73" w:rsidRDefault="00783D73" w14:paraId="1C7032D6" w14:textId="415AEBEA">
            <w:pPr>
              <w:overflowPunct w:val="0"/>
              <w:autoSpaceDE w:val="0"/>
              <w:autoSpaceDN w:val="0"/>
              <w:adjustRightInd w:val="0"/>
              <w:spacing w:line="240" w:lineRule="auto"/>
              <w:textAlignment w:val="baseline"/>
              <w:rPr>
                <w:i/>
              </w:rPr>
            </w:pPr>
            <w:r>
              <w:rPr>
                <w:i/>
              </w:rPr>
              <w:t>E-pasts:</w:t>
            </w:r>
          </w:p>
        </w:tc>
        <w:tc>
          <w:tcPr>
            <w:tcW w:w="238" w:type="dxa"/>
          </w:tcPr>
          <w:p w:rsidRPr="00783D73" w:rsidR="00783D73" w:rsidP="00783D73" w:rsidRDefault="00783D73" w14:paraId="175AFC8F" w14:textId="77777777">
            <w:pPr>
              <w:overflowPunct w:val="0"/>
              <w:autoSpaceDE w:val="0"/>
              <w:autoSpaceDN w:val="0"/>
              <w:adjustRightInd w:val="0"/>
              <w:spacing w:line="240" w:lineRule="auto"/>
              <w:textAlignment w:val="baseline"/>
              <w:rPr>
                <w:lang w:val="en-GB"/>
              </w:rPr>
            </w:pPr>
          </w:p>
        </w:tc>
        <w:tc>
          <w:tcPr>
            <w:tcW w:w="4507" w:type="dxa"/>
          </w:tcPr>
          <w:p w:rsidRPr="00783D73" w:rsidR="00783D73" w:rsidP="00783D73" w:rsidRDefault="00742D51" w14:paraId="1897B200" w14:textId="77777777">
            <w:pPr>
              <w:overflowPunct w:val="0"/>
              <w:autoSpaceDE w:val="0"/>
              <w:autoSpaceDN w:val="0"/>
              <w:adjustRightInd w:val="0"/>
              <w:spacing w:line="240" w:lineRule="auto"/>
              <w:textAlignment w:val="baseline"/>
              <w:rPr>
                <w:i/>
                <w:iCs/>
              </w:rPr>
            </w:pPr>
            <w:hyperlink w:history="1" r:id="rId35">
              <w:r w:rsidR="00381CCE">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742D51"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 xml:space="preserve">Kā novērst pirktspējas zudumu un nevienlīdzības, atstumtības un </w:t>
        </w:r>
        <w:proofErr w:type="spellStart"/>
        <w:r w:rsidR="00D04355">
          <w:rPr>
            <w:b/>
            <w:i/>
            <w:color w:val="0000FF"/>
            <w:sz w:val="28"/>
            <w:u w:val="single"/>
          </w:rPr>
          <w:t>marginalizācijas</w:t>
        </w:r>
        <w:proofErr w:type="spellEnd"/>
        <w:r w:rsidR="00D04355">
          <w:rPr>
            <w:b/>
            <w:i/>
            <w:color w:val="0000FF"/>
            <w:sz w:val="28"/>
            <w:u w:val="single"/>
          </w:rPr>
          <w:t xml:space="preserve"> palielināšanās risku</w:t>
        </w:r>
      </w:hyperlink>
    </w:p>
    <w:p w:rsidRPr="00D04355" w:rsidR="00D04355" w:rsidP="00D04355" w:rsidRDefault="00D04355" w14:paraId="630A1D08" w14:textId="77777777">
      <w:pPr>
        <w:tabs>
          <w:tab w:val="center" w:pos="284"/>
        </w:tabs>
        <w:overflowPunct w:val="0"/>
        <w:autoSpaceDE w:val="0"/>
        <w:autoSpaceDN w:val="0"/>
        <w:adjustRightInd w:val="0"/>
        <w:ind w:left="567" w:hanging="567"/>
        <w:textAlignment w:val="baseline"/>
        <w:rPr>
          <w:sz w:val="16"/>
          <w:szCs w:val="16"/>
        </w:rPr>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D04355" w:rsidR="00D04355" w:rsidTr="001757A2"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Ziņotāja</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6237" w:type="dxa"/>
          </w:tcPr>
          <w:p w:rsidRPr="00D04355" w:rsidR="00D04355" w:rsidP="00D04355" w:rsidRDefault="00D04355" w14:paraId="65C7585E" w14:textId="77777777">
            <w:pPr>
              <w:overflowPunct w:val="0"/>
              <w:autoSpaceDE w:val="0"/>
              <w:autoSpaceDN w:val="0"/>
              <w:adjustRightInd w:val="0"/>
              <w:ind w:left="567" w:hanging="567"/>
              <w:textAlignment w:val="baseline"/>
            </w:pPr>
            <w:proofErr w:type="spellStart"/>
            <w:r>
              <w:t>Maria</w:t>
            </w:r>
            <w:proofErr w:type="spellEnd"/>
            <w:r>
              <w:t xml:space="preserve"> </w:t>
            </w:r>
            <w:proofErr w:type="spellStart"/>
            <w:r>
              <w:t>del</w:t>
            </w:r>
            <w:proofErr w:type="spellEnd"/>
            <w:r>
              <w:t xml:space="preserve"> </w:t>
            </w:r>
            <w:proofErr w:type="spellStart"/>
            <w:r>
              <w:t>Carmen</w:t>
            </w:r>
            <w:proofErr w:type="spellEnd"/>
            <w:r>
              <w:t xml:space="preserve"> BARRERA CHAMORRO (Darba ņēmēju grupa – ES)</w:t>
            </w:r>
          </w:p>
        </w:tc>
      </w:tr>
      <w:tr w:rsidRPr="00D04355" w:rsidR="00D04355" w:rsidTr="001757A2" w14:paraId="116D55BD" w14:textId="77777777">
        <w:tc>
          <w:tcPr>
            <w:tcW w:w="1701" w:type="dxa"/>
            <w:vMerge w:val="restart"/>
          </w:tcPr>
          <w:p w:rsidRPr="00D04355" w:rsidR="00D04355" w:rsidP="00D04355" w:rsidRDefault="00D04355" w14:paraId="342AA177" w14:textId="6C47BD5F">
            <w:pPr>
              <w:tabs>
                <w:tab w:val="center" w:pos="284"/>
              </w:tabs>
              <w:overflowPunct w:val="0"/>
              <w:autoSpaceDE w:val="0"/>
              <w:autoSpaceDN w:val="0"/>
              <w:adjustRightInd w:val="0"/>
              <w:ind w:left="567" w:hanging="567"/>
              <w:textAlignment w:val="baseline"/>
              <w:rPr>
                <w:b/>
              </w:rPr>
            </w:pPr>
            <w:r>
              <w:rPr>
                <w:b/>
              </w:rPr>
              <w:t>Atsauces</w:t>
            </w:r>
          </w:p>
        </w:tc>
        <w:tc>
          <w:tcPr>
            <w:tcW w:w="6237"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Pašiniciatīvas atzinums</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1757A2"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6237"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D04355" w:rsidR="00D04355" w:rsidP="00D04355" w:rsidRDefault="00D04355" w14:paraId="6D29C283" w14:textId="77777777">
      <w:pPr>
        <w:overflowPunct w:val="0"/>
        <w:autoSpaceDE w:val="0"/>
        <w:autoSpaceDN w:val="0"/>
        <w:adjustRightInd w:val="0"/>
        <w:textAlignment w:val="baseline"/>
        <w:rPr>
          <w:szCs w:val="20"/>
          <w:lang w:val="en-GB"/>
        </w:rPr>
      </w:pPr>
    </w:p>
    <w:p w:rsidRPr="00B60D9A" w:rsidR="00D04355" w:rsidP="00D04355" w:rsidRDefault="00D04355" w14:paraId="76180FA7" w14:textId="77777777">
      <w:pPr>
        <w:spacing w:before="100" w:beforeAutospacing="1" w:after="100" w:afterAutospacing="1" w:line="240" w:lineRule="auto"/>
        <w:jc w:val="left"/>
      </w:pPr>
      <w:r>
        <w:rPr>
          <w:b/>
        </w:rPr>
        <w:t>EESK:</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uzskata, ka ieguldījumi cilvēkos un ekonomikā, taisnīgi nodokļi, kvalitatīvi un cenas ziņā pieejami sabiedriskie pakalpojumi, kā arī mērķtiecīgs atbalsts visneaizsargātākajiem cilvēkiem – līdztekus īstermiņa un ilgtermiņa rūpniecības politikai un centieniem uzlabot konkurētspēju – ir būtiski pasākumi, lai ierobežotu dzīves dārdzības krīzi un aizsargātu pret turpmākiem satricinājumiem.</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iesaka aktīvāk izmantot sociālo dialogu, darba koplīguma slēgšanas sarunas un pilsonisko dialogu, lai risinātu darba tirgus problēmas un uzlabotu darba ņēmēju atalgojumu un sociālo aizsardzību atkarībā no ražīguma pieauguma;</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atzīmē, ka darba samaksas un minimālās algas palielināšana ir svarīga, un uzsver Direktīvas par adekvātu minimālo algu pozitīvo ietekmi uz atalgojuma pieaugumu;</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 xml:space="preserve">uzskata, ka Eiropas Savienībai ir jāuzlabo spēja novērst turpmākas krīzes un reaģēt uz tām, tostarp izveidojot pastāvīgu finanšu instrumentu, lai stabilizētu dalībvalstu izdevumus, kad tās saskaras ar ārējiem ekonomikas satricinājumiem. Komiteja arī iesaka paredzēt atbilstošus cenu politikas pasākumus, piemēram, noteikt enerģijas cenu griestus, un dalībvalstīs īstenot cenas ziņā pieejamu mājokļu politiku un izstrādāt visaptverošu Eiropas stratēģiju </w:t>
      </w:r>
      <w:proofErr w:type="spellStart"/>
      <w:r>
        <w:t>bezpajumtniecības</w:t>
      </w:r>
      <w:proofErr w:type="spellEnd"/>
      <w:r>
        <w:t xml:space="preserve"> apkarošanai;</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 xml:space="preserve">norāda, ka izglītība ir efektīvs preventīvs instruments, kas palīdz mazināt atstumtību, </w:t>
      </w:r>
      <w:proofErr w:type="spellStart"/>
      <w:r>
        <w:t>marginalizāciju</w:t>
      </w:r>
      <w:proofErr w:type="spellEnd"/>
      <w:r>
        <w:t xml:space="preserve"> un nevienlīdzību, un aicina ES un dalībvalstis palielināt ieguldījumus šajā jomā;</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uzskata: jāattīsta pamatpakalpojumi un sociālie pakalpojumi, tostarp sociālās ekonomikas struktūru sniegtie pakalpojumi, un tas jādara tādā veidā, kas palīdz pārvarēt piekļuves šķēršļus;</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uzsver, ka jāpastiprina distributīvās ietekmes novērtējumu izmantošana Eiropas pusgadā un tā sociālās konverģences sistēmā, lai nodrošinātu, ka visu jomu politikas pasākumi nepalielina nabadzību vai nevienlīdzību;</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visnotaļ aicina ES mudināt dalībvalstis saglabāt pienācīgus publiskos tēriņus sociālā nodrošinājuma sistēmām, izglītībai, apmācībai, veselības aprūpei un kopienas aprūpei.</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4493"/>
      </w:tblGrid>
      <w:tr w:rsidRPr="00D04355" w:rsidR="00D04355" w:rsidTr="001757A2" w14:paraId="154968C7" w14:textId="77777777">
        <w:tc>
          <w:tcPr>
            <w:tcW w:w="1210"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Kontaktpersona:</w:t>
            </w:r>
          </w:p>
        </w:tc>
        <w:tc>
          <w:tcPr>
            <w:tcW w:w="4493"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proofErr w:type="spellStart"/>
            <w:r>
              <w:rPr>
                <w:i/>
              </w:rPr>
              <w:t>Valeria</w:t>
            </w:r>
            <w:proofErr w:type="spellEnd"/>
            <w:r>
              <w:rPr>
                <w:i/>
              </w:rPr>
              <w:t xml:space="preserve"> </w:t>
            </w:r>
            <w:proofErr w:type="spellStart"/>
            <w:r>
              <w:rPr>
                <w:i/>
              </w:rPr>
              <w:t>Atzori</w:t>
            </w:r>
            <w:proofErr w:type="spellEnd"/>
          </w:p>
        </w:tc>
      </w:tr>
      <w:tr w:rsidRPr="00D04355" w:rsidR="00D04355" w:rsidTr="001757A2" w14:paraId="2B72ECEF" w14:textId="77777777">
        <w:tc>
          <w:tcPr>
            <w:tcW w:w="1210"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Tālr.:</w:t>
            </w:r>
          </w:p>
        </w:tc>
        <w:tc>
          <w:tcPr>
            <w:tcW w:w="4493"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1757A2" w14:paraId="6C3F5A3C" w14:textId="77777777">
        <w:tc>
          <w:tcPr>
            <w:tcW w:w="1210"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E-pasts:</w:t>
            </w:r>
          </w:p>
        </w:tc>
        <w:tc>
          <w:tcPr>
            <w:tcW w:w="4493" w:type="dxa"/>
          </w:tcPr>
          <w:p w:rsidRPr="00D04355" w:rsidR="00D04355" w:rsidP="00D04355" w:rsidRDefault="00742D51"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950A0" w:rsidRDefault="00742D51" w14:paraId="140E663D" w14:textId="50248690">
      <w:pPr>
        <w:widowControl w:val="0"/>
        <w:numPr>
          <w:ilvl w:val="0"/>
          <w:numId w:val="6"/>
        </w:numPr>
        <w:overflowPunct w:val="0"/>
        <w:autoSpaceDE w:val="0"/>
        <w:autoSpaceDN w:val="0"/>
        <w:adjustRightInd w:val="0"/>
        <w:ind w:left="284" w:hanging="426"/>
        <w:textAlignment w:val="baseline"/>
        <w:rPr>
          <w:b/>
        </w:rPr>
      </w:pPr>
      <w:hyperlink w:history="1" r:id="rId38">
        <w:r w:rsidR="009A3B12">
          <w:rPr>
            <w:b/>
            <w:i/>
            <w:color w:val="0000FF"/>
            <w:sz w:val="28"/>
            <w:u w:val="single"/>
          </w:rPr>
          <w:t>Atbalsts atlaišanu gaidošajiem darba ņēmējiem uzņēmumos, kuros notiek pārstrukturēšana</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Galvenā ziņotāja</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Tatjana BABRAUSKIENĖ (Darba ņēmēju grupa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00E8C2CC">
            <w:pPr>
              <w:tabs>
                <w:tab w:val="center" w:pos="284"/>
              </w:tabs>
              <w:overflowPunct w:val="0"/>
              <w:autoSpaceDE w:val="0"/>
              <w:autoSpaceDN w:val="0"/>
              <w:adjustRightInd w:val="0"/>
              <w:ind w:left="266" w:hanging="266"/>
              <w:textAlignment w:val="baseline"/>
              <w:rPr>
                <w:b/>
              </w:rPr>
            </w:pPr>
            <w:r>
              <w:rPr>
                <w:b/>
              </w:rPr>
              <w:t xml:space="preserve">Atsauces </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Pašiniciatīvas atzinums</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Galvenās nostādnes</w:t>
      </w:r>
    </w:p>
    <w:p w:rsidRPr="009A3B12" w:rsidR="009A3B12" w:rsidP="009A3B12" w:rsidRDefault="009A3B12" w14:paraId="1E0FEC0B" w14:textId="77777777">
      <w:pPr>
        <w:spacing w:before="100" w:beforeAutospacing="1" w:after="100" w:afterAutospacing="1"/>
        <w:jc w:val="left"/>
      </w:pPr>
      <w:r>
        <w:rPr>
          <w:b/>
        </w:rPr>
        <w:t>EESK:</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atzinīgi vērtē ierosināto priekšlikumu grozīt Regulu (ES) 2021/691 ar mērķi palielināt atbalstu darba ņēmējiem, kuri pārstrukturēšanas dēļ saskaras ar nenovēršamu darba zaudēšanu, un stiprināt Eiropas Globalizācijas pielāgošanās fonda (EGF) efektivitāti;</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 xml:space="preserve">uzsver, ka jāsniedz savlaicīgs, pielāgots atbalsts, tostarp prasmju pilnveide, atgriešanās darbā, ienākumu palīdzība un </w:t>
      </w:r>
      <w:proofErr w:type="spellStart"/>
      <w:r>
        <w:t>psihoemocionālās</w:t>
      </w:r>
      <w:proofErr w:type="spellEnd"/>
      <w:r>
        <w:t xml:space="preserve"> veselības pakalpojumi. Īpaša uzmanība būtu jāpievērš digitālajām un zaļajām prasmēm;</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 xml:space="preserve">aicina darba ņēmējiem saglabāt tiesības uz palīdzību pēc viņu darba attiecību izbeigšanas, paredzēt turpmākus pieteikumus un iekļaut neaizsargātas vai cita veida atstumtas grupas, piemēram, MVU un apakšuzņēmēju darba ņēmējus, gados vecākus darba ņēmējus, personas ar invaliditāti un </w:t>
      </w:r>
      <w:proofErr w:type="spellStart"/>
      <w:r>
        <w:t>mazprasmīgus</w:t>
      </w:r>
      <w:proofErr w:type="spellEnd"/>
      <w:r>
        <w:t xml:space="preserve"> darba ņēmējus, kā arī integrēt sociālās ekonomikas dalībniekus;</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iesaka pielāgot atbalstu tiem reģioniem, kurus pārstrukturēšana skar visvairāk, un vairāk iesaistīt vietējās pašvaldības un sociālos partnerus;</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mudina piešķirt pietiekamu finansējumu tehniskajai palīdzībai, uzlabot koordināciju starp ES instrumentiem (EGF, ESF+, TPF), izveidot stabilas uzraudzības un novērtēšanas sistēmas, izmantojot kvalitatīvus un kvantitatīvus datus un izpratnes veicināšanas kampaņas, lai nodrošinātu EGF taisnīgu un efektīvu izmantošanu;</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uzsver, ka svarīgs ir savlaicīgs un jēgpilns sociālais dialogs, atbalsta saņēmēju uzņēmumu obligātie pārkārtošanās plāni un pilnīga atbilstība ES direktīvām par informēšanu, apspriešanos un kolektīvo atlaišanu.</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238"/>
        <w:gridCol w:w="4507"/>
      </w:tblGrid>
      <w:tr w:rsidRPr="009A3B12" w:rsidR="009A3B12" w:rsidTr="001757A2" w14:paraId="15A1BCBA" w14:textId="77777777">
        <w:tc>
          <w:tcPr>
            <w:tcW w:w="1238" w:type="dxa"/>
          </w:tcPr>
          <w:p w:rsidRPr="009A3B12" w:rsidR="009A3B12" w:rsidP="009A3B12" w:rsidRDefault="009A3B12" w14:paraId="3569A840" w14:textId="2F2850CB">
            <w:pPr>
              <w:overflowPunct w:val="0"/>
              <w:autoSpaceDE w:val="0"/>
              <w:autoSpaceDN w:val="0"/>
              <w:adjustRightInd w:val="0"/>
              <w:textAlignment w:val="baseline"/>
              <w:rPr>
                <w:i/>
              </w:rPr>
            </w:pPr>
            <w:r>
              <w:rPr>
                <w:b/>
                <w:i/>
              </w:rPr>
              <w:t>Kontaktpersona:</w:t>
            </w:r>
          </w:p>
        </w:tc>
        <w:tc>
          <w:tcPr>
            <w:tcW w:w="238" w:type="dxa"/>
          </w:tcPr>
          <w:p w:rsidRPr="009A3B12" w:rsidR="009A3B12" w:rsidP="009A3B12" w:rsidRDefault="009A3B12" w14:paraId="31686B87"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0DF1F070" w14:textId="4487F88B">
            <w:pPr>
              <w:overflowPunct w:val="0"/>
              <w:autoSpaceDE w:val="0"/>
              <w:autoSpaceDN w:val="0"/>
              <w:adjustRightInd w:val="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9A3B12" w:rsidR="009A3B12" w:rsidTr="001757A2" w14:paraId="18B66F47" w14:textId="77777777">
        <w:tc>
          <w:tcPr>
            <w:tcW w:w="1238" w:type="dxa"/>
          </w:tcPr>
          <w:p w:rsidRPr="009A3B12" w:rsidR="009A3B12" w:rsidP="009A3B12" w:rsidRDefault="009A3B12" w14:paraId="78D1DC58" w14:textId="38B0379D">
            <w:pPr>
              <w:overflowPunct w:val="0"/>
              <w:autoSpaceDE w:val="0"/>
              <w:autoSpaceDN w:val="0"/>
              <w:adjustRightInd w:val="0"/>
              <w:textAlignment w:val="baseline"/>
              <w:rPr>
                <w:i/>
              </w:rPr>
            </w:pPr>
            <w:r>
              <w:rPr>
                <w:i/>
              </w:rPr>
              <w:t>Tālr.:</w:t>
            </w:r>
          </w:p>
        </w:tc>
        <w:tc>
          <w:tcPr>
            <w:tcW w:w="238" w:type="dxa"/>
          </w:tcPr>
          <w:p w:rsidRPr="009A3B12" w:rsidR="009A3B12" w:rsidP="009A3B12" w:rsidRDefault="009A3B12" w14:paraId="25FF25B0" w14:textId="77777777">
            <w:pPr>
              <w:overflowPunct w:val="0"/>
              <w:autoSpaceDE w:val="0"/>
              <w:autoSpaceDN w:val="0"/>
              <w:adjustRightInd w:val="0"/>
              <w:textAlignment w:val="baseline"/>
              <w:rPr>
                <w:i/>
                <w:lang w:val="en-GB"/>
              </w:rPr>
            </w:pPr>
          </w:p>
        </w:tc>
        <w:tc>
          <w:tcPr>
            <w:tcW w:w="4507" w:type="dxa"/>
          </w:tcPr>
          <w:p w:rsidRPr="009A3B12" w:rsidR="009A3B12" w:rsidP="009A3B12" w:rsidRDefault="009A3B12" w14:paraId="4855A562" w14:textId="74692B7B">
            <w:pPr>
              <w:overflowPunct w:val="0"/>
              <w:autoSpaceDE w:val="0"/>
              <w:autoSpaceDN w:val="0"/>
              <w:adjustRightInd w:val="0"/>
              <w:textAlignment w:val="baseline"/>
              <w:rPr>
                <w:i/>
              </w:rPr>
            </w:pPr>
            <w:r>
              <w:rPr>
                <w:i/>
              </w:rPr>
              <w:t>+32 2 5469229</w:t>
            </w:r>
          </w:p>
        </w:tc>
      </w:tr>
      <w:tr w:rsidRPr="009A3B12" w:rsidR="009A3B12" w:rsidTr="001757A2" w14:paraId="7B9461F8" w14:textId="77777777">
        <w:tc>
          <w:tcPr>
            <w:tcW w:w="1238" w:type="dxa"/>
          </w:tcPr>
          <w:p w:rsidRPr="009A3B12" w:rsidR="009A3B12" w:rsidP="009A3B12" w:rsidRDefault="009A3B12" w14:paraId="29D7C5FE" w14:textId="5B5260E5">
            <w:pPr>
              <w:overflowPunct w:val="0"/>
              <w:autoSpaceDE w:val="0"/>
              <w:autoSpaceDN w:val="0"/>
              <w:adjustRightInd w:val="0"/>
              <w:textAlignment w:val="baseline"/>
              <w:rPr>
                <w:i/>
              </w:rPr>
            </w:pPr>
            <w:r>
              <w:rPr>
                <w:i/>
              </w:rPr>
              <w:t>E-pasts:</w:t>
            </w:r>
          </w:p>
        </w:tc>
        <w:tc>
          <w:tcPr>
            <w:tcW w:w="238" w:type="dxa"/>
          </w:tcPr>
          <w:p w:rsidRPr="009A3B12" w:rsidR="009A3B12" w:rsidP="009A3B12" w:rsidRDefault="009A3B12" w14:paraId="55D37AE3" w14:textId="77777777">
            <w:pPr>
              <w:overflowPunct w:val="0"/>
              <w:autoSpaceDE w:val="0"/>
              <w:autoSpaceDN w:val="0"/>
              <w:adjustRightInd w:val="0"/>
              <w:textAlignment w:val="baseline"/>
              <w:rPr>
                <w:lang w:val="en-GB"/>
              </w:rPr>
            </w:pPr>
          </w:p>
        </w:tc>
        <w:tc>
          <w:tcPr>
            <w:tcW w:w="4507" w:type="dxa"/>
          </w:tcPr>
          <w:p w:rsidRPr="009A3B12" w:rsidR="009A3B12" w:rsidP="009A3B12" w:rsidRDefault="00742D51" w14:paraId="2D1E3999" w14:textId="77777777">
            <w:pPr>
              <w:overflowPunct w:val="0"/>
              <w:autoSpaceDE w:val="0"/>
              <w:autoSpaceDN w:val="0"/>
              <w:adjustRightInd w:val="0"/>
              <w:textAlignment w:val="baseline"/>
              <w:rPr>
                <w:i/>
                <w:iCs/>
              </w:rPr>
            </w:pPr>
            <w:hyperlink w:history="1" r:id="rId39">
              <w:r w:rsidR="00381CCE">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9"/>
      <w:bookmarkStart w:name="_Toc75527082" w:id="10"/>
      <w:bookmarkStart w:name="_Toc202264191" w:id="11"/>
      <w:r>
        <w:rPr>
          <w:b/>
        </w:rPr>
        <w:lastRenderedPageBreak/>
        <w:t>TRANSPORTS, ENERĢĒTIKA, INFRASTRUKTŪRA UN INFORMĀCIJAS SABIEDRĪBA</w:t>
      </w:r>
      <w:bookmarkEnd w:id="9"/>
      <w:bookmarkEnd w:id="10"/>
      <w:bookmarkEnd w:id="11"/>
    </w:p>
    <w:p w:rsidR="004D7AC0" w:rsidP="004D7AC0" w:rsidRDefault="004D7AC0" w14:paraId="4982DDC7" w14:textId="77777777"/>
    <w:p w:rsidRPr="00240FD7" w:rsidR="00240FD7" w:rsidP="00240FD7" w:rsidRDefault="00742D51"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Virzība uz līdzsvarotu Eiropas enerģētikas sistēmu</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61"/>
      </w:tblGrid>
      <w:tr w:rsidRPr="00240FD7" w:rsidR="00240FD7" w:rsidTr="001757A2" w14:paraId="42A3F122" w14:textId="77777777">
        <w:tc>
          <w:tcPr>
            <w:tcW w:w="1321"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Ziņotājs </w:t>
            </w:r>
          </w:p>
        </w:tc>
        <w:tc>
          <w:tcPr>
            <w:tcW w:w="3679"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proofErr w:type="spellStart"/>
            <w:r>
              <w:t>Zsolt</w:t>
            </w:r>
            <w:proofErr w:type="spellEnd"/>
            <w:r>
              <w:t> KÜKEDI (Pilsoniskās sabiedrības organizāciju grupa – HU)</w:t>
            </w:r>
          </w:p>
        </w:tc>
      </w:tr>
      <w:tr w:rsidRPr="00240FD7" w:rsidR="00240FD7" w:rsidTr="001757A2" w14:paraId="480245EF" w14:textId="77777777">
        <w:tc>
          <w:tcPr>
            <w:tcW w:w="1321"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Līdzziņotājs</w:t>
            </w:r>
          </w:p>
        </w:tc>
        <w:tc>
          <w:tcPr>
            <w:tcW w:w="3679"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proofErr w:type="spellStart"/>
            <w:r>
              <w:t>Philippe</w:t>
            </w:r>
            <w:proofErr w:type="spellEnd"/>
            <w:r>
              <w:t xml:space="preserve"> CHARRY (Darba ņēmēju grupa – FR)</w:t>
            </w:r>
          </w:p>
        </w:tc>
      </w:tr>
      <w:tr w:rsidRPr="00240FD7" w:rsidR="00240FD7" w:rsidTr="001757A2"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092A8E45" w14:textId="77777777">
        <w:tc>
          <w:tcPr>
            <w:tcW w:w="1321" w:type="pct"/>
            <w:vMerge w:val="restart"/>
          </w:tcPr>
          <w:p w:rsidRPr="00240FD7" w:rsidR="00240FD7" w:rsidP="00240FD7" w:rsidRDefault="00240FD7" w14:paraId="000D4347" w14:textId="77777777">
            <w:pPr>
              <w:tabs>
                <w:tab w:val="center" w:pos="284"/>
              </w:tabs>
              <w:overflowPunct w:val="0"/>
              <w:autoSpaceDE w:val="0"/>
              <w:autoSpaceDN w:val="0"/>
              <w:adjustRightInd w:val="0"/>
              <w:ind w:left="266" w:hanging="266"/>
              <w:textAlignment w:val="baseline"/>
              <w:rPr>
                <w:b/>
              </w:rPr>
            </w:pPr>
            <w:r>
              <w:rPr>
                <w:b/>
              </w:rPr>
              <w:t>Atsauces</w:t>
            </w:r>
          </w:p>
        </w:tc>
        <w:tc>
          <w:tcPr>
            <w:tcW w:w="3679"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Pašiniciatīvas atzinums</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1757A2" w14:paraId="683AC6FA" w14:textId="77777777">
        <w:tc>
          <w:tcPr>
            <w:tcW w:w="1321"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679"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EESK:</w:t>
      </w:r>
    </w:p>
    <w:p w:rsidRPr="00240FD7" w:rsidR="00240FD7" w:rsidP="00240FD7" w:rsidRDefault="00240FD7" w14:paraId="00B1CC70" w14:textId="77777777">
      <w:pPr>
        <w:widowControl w:val="0"/>
        <w:overflowPunct w:val="0"/>
        <w:autoSpaceDE w:val="0"/>
        <w:autoSpaceDN w:val="0"/>
        <w:adjustRightInd w:val="0"/>
        <w:ind w:left="709"/>
        <w:textAlignment w:val="baseline"/>
        <w:rPr>
          <w:bCs/>
          <w:iCs/>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 xml:space="preserve">uzskata, ka līdzsvarotas energosistēmas pamatmērķi ir enerģijas pieejamība cenas ziņā, </w:t>
      </w:r>
      <w:proofErr w:type="spellStart"/>
      <w:r>
        <w:t>oglekļneitralitāte</w:t>
      </w:r>
      <w:proofErr w:type="spellEnd"/>
      <w:r>
        <w:t xml:space="preserve"> un enerģētiskā drošība;</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uzsver: lai līdzsvarotu piedāvājumu un pieprasījumu, ir svarīgi saglabāt bāzes slodzes ražošanu un daudzveidīgu tīru energoresursu struktūru, ieskaitot nepastāvīgu un pastāvīgu ražošanu, kontrolējamus un nekontrolējamus avotus un reģionālo enerģijas sistēmu atšķirības;</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atbalsta Komisijas aicinājumu ieteikt dalībvalstīm uz laiku samazināt nodokļus un nodevas, lai ierobežotu augstās izmaksas, kā norādīts Lētākas enerģijas rīcības plānā;</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ierosina – Eiropas Savienībai sadarbībā ar valstīm – izstrādāt elastīgu, bet stingru ceļvedi no fosilā kurināmā atkarīgām dalībvalstīm;</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norāda, ka ir jāpalielina elastīgums un efektivitāte, uzsver aktīvas pieprasījuma pārvaldības un vieda patēriņa nozīmi un aicina rīkot izpratnes veicināšanas kampaņas, nākt klajā ar efektivitāti veicinošiem risinājumiem un uzņēmējdarbības modeļiem, kas atbalsta mazāku patērētāju un ražotāju resursu apvienošanu;</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 xml:space="preserve">aicina ātrāk veikt pārrobežu </w:t>
      </w:r>
      <w:proofErr w:type="spellStart"/>
      <w:r>
        <w:t>starpsavienojumus</w:t>
      </w:r>
      <w:proofErr w:type="spellEnd"/>
      <w:r>
        <w:t xml:space="preserve"> un modernizēt infrastruktūru, lai pabeigtu enerģētikas savienības izveidi un stiprinātu iekšējās enerģijas plūsmas, it īpaši pēc nesenā pārrāvuma Spānijā un Portugālē;</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 xml:space="preserve">aicina analizēt, kā labāk varētu izmantot nepietiekami izmantotus avotus (piemēram, ģeotermālo enerģiju elektroenerģijas ražošanai, biogāzi vietējai ražošanai) un paātrināt inovāciju (efektivitāte, </w:t>
      </w:r>
      <w:proofErr w:type="spellStart"/>
      <w:r>
        <w:t>digitalizācija</w:t>
      </w:r>
      <w:proofErr w:type="spellEnd"/>
      <w:r>
        <w:t>, tīkla elastība, energosistēmas integrācija);</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 xml:space="preserve">iesaka novērst regulējuma nepilnības un interešu konfliktus, lai padarītu pieejamāku decentralizētu </w:t>
      </w:r>
      <w:proofErr w:type="spellStart"/>
      <w:r>
        <w:t>atjaunīgās</w:t>
      </w:r>
      <w:proofErr w:type="spellEnd"/>
      <w:r>
        <w:t xml:space="preserve"> enerģijas ražošanu (ražojoši patērētāji un enerģijas kopienas);</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ierosina izstrādāt Eiropas rīcības plānu pārejas stabilitātes nodrošināšanai, tostarp obligātus virtuālās inerces standartus, īslaicīgu reakcijas testēšanu jauniem aktīviem un ikgadēju ziņošanu par energosistēmas noturību pret pēkšņiem traucējumiem, lai novērstu tīkla darbības traucējumus.</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7F5A586D" w14:textId="77777777">
        <w:tc>
          <w:tcPr>
            <w:tcW w:w="1556"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240FD7" w:rsidR="00240FD7" w:rsidTr="001757A2" w14:paraId="3717A876" w14:textId="77777777">
        <w:tc>
          <w:tcPr>
            <w:tcW w:w="1556"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Tālr.:</w:t>
            </w:r>
          </w:p>
        </w:tc>
        <w:tc>
          <w:tcPr>
            <w:tcW w:w="3444"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1757A2" w14:paraId="3D1E5EB1" w14:textId="77777777">
        <w:tc>
          <w:tcPr>
            <w:tcW w:w="1556"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E-pasts:</w:t>
            </w:r>
          </w:p>
        </w:tc>
        <w:tc>
          <w:tcPr>
            <w:tcW w:w="3444" w:type="pct"/>
          </w:tcPr>
          <w:p w:rsidRPr="00240FD7" w:rsidR="00240FD7" w:rsidP="00240FD7" w:rsidRDefault="00742D51"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240FD7" w:rsidR="00240FD7" w:rsidP="00240FD7" w:rsidRDefault="00742D51"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00381CCE">
          <w:rPr>
            <w:b/>
            <w:i/>
            <w:color w:val="0000FF"/>
            <w:sz w:val="28"/>
            <w:u w:val="single"/>
          </w:rPr>
          <w:t xml:space="preserve">Ilgtspējīgas </w:t>
        </w:r>
        <w:proofErr w:type="spellStart"/>
        <w:r w:rsidR="00381CCE">
          <w:rPr>
            <w:b/>
            <w:i/>
            <w:color w:val="0000FF"/>
            <w:sz w:val="28"/>
            <w:u w:val="single"/>
          </w:rPr>
          <w:t>pilsētmobilitātes</w:t>
        </w:r>
        <w:proofErr w:type="spellEnd"/>
        <w:r w:rsidR="00381CCE">
          <w:rPr>
            <w:b/>
            <w:i/>
            <w:color w:val="0000FF"/>
            <w:sz w:val="28"/>
            <w:u w:val="single"/>
          </w:rPr>
          <w:t xml:space="preserve"> plānošana Eiropas Savienībā</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6533"/>
      </w:tblGrid>
      <w:tr w:rsidRPr="00240FD7" w:rsidR="00240FD7" w:rsidTr="001757A2" w14:paraId="37155882" w14:textId="77777777">
        <w:tc>
          <w:tcPr>
            <w:tcW w:w="1186"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Ziņotāja </w:t>
            </w:r>
          </w:p>
        </w:tc>
        <w:tc>
          <w:tcPr>
            <w:tcW w:w="3814"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r>
              <w:t>Lidija PAVIĆ-ROGOŠIĆ (Pilsoniskās sabiedrības organizāciju grupa – HR)</w:t>
            </w:r>
          </w:p>
        </w:tc>
      </w:tr>
      <w:tr w:rsidRPr="00240FD7" w:rsidR="00240FD7" w:rsidTr="001757A2" w14:paraId="646084EA" w14:textId="77777777">
        <w:tc>
          <w:tcPr>
            <w:tcW w:w="1186"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Līdzziņotājs</w:t>
            </w:r>
          </w:p>
        </w:tc>
        <w:tc>
          <w:tcPr>
            <w:tcW w:w="3814"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(Darba ņēmēju grupa – PL)</w:t>
            </w:r>
          </w:p>
        </w:tc>
      </w:tr>
      <w:tr w:rsidRPr="00240FD7" w:rsidR="00240FD7" w:rsidTr="001757A2"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1757A2" w14:paraId="5BEF82B7" w14:textId="77777777">
        <w:tc>
          <w:tcPr>
            <w:tcW w:w="1186" w:type="pct"/>
            <w:vMerge w:val="restart"/>
          </w:tcPr>
          <w:p w:rsidRPr="00240FD7" w:rsidR="00240FD7" w:rsidP="00240FD7" w:rsidRDefault="00240FD7" w14:paraId="5219CA89" w14:textId="77777777">
            <w:pPr>
              <w:tabs>
                <w:tab w:val="center" w:pos="284"/>
              </w:tabs>
              <w:overflowPunct w:val="0"/>
              <w:autoSpaceDE w:val="0"/>
              <w:autoSpaceDN w:val="0"/>
              <w:adjustRightInd w:val="0"/>
              <w:ind w:left="266" w:hanging="266"/>
              <w:textAlignment w:val="baseline"/>
              <w:rPr>
                <w:b/>
              </w:rPr>
            </w:pPr>
            <w:r>
              <w:rPr>
                <w:b/>
              </w:rPr>
              <w:t>Atsauces</w:t>
            </w:r>
          </w:p>
        </w:tc>
        <w:tc>
          <w:tcPr>
            <w:tcW w:w="3814"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Pašiniciatīvas atzinums</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1757A2" w14:paraId="1B9C8807" w14:textId="77777777">
        <w:tc>
          <w:tcPr>
            <w:tcW w:w="1186"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14"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77777777">
      <w:pPr>
        <w:keepNext/>
        <w:keepLines/>
        <w:tabs>
          <w:tab w:val="center" w:pos="284"/>
        </w:tabs>
        <w:overflowPunct w:val="0"/>
        <w:autoSpaceDE w:val="0"/>
        <w:autoSpaceDN w:val="0"/>
        <w:adjustRightInd w:val="0"/>
        <w:ind w:left="266" w:hanging="266"/>
        <w:textAlignment w:val="baseline"/>
        <w:rPr>
          <w:b/>
        </w:rPr>
      </w:pPr>
      <w:r>
        <w:rPr>
          <w:b/>
        </w:rPr>
        <w:t xml:space="preserve"> Galvenās nostādnes</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EESK:</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 xml:space="preserve">lai varētu uzlabot </w:t>
      </w:r>
      <w:proofErr w:type="spellStart"/>
      <w:r>
        <w:t>pilsētmobilitāti</w:t>
      </w:r>
      <w:proofErr w:type="spellEnd"/>
      <w:r>
        <w:t xml:space="preserve"> un samazināt tās ietekmi uz vidi, iesaka izstrādāt ilgtspējīgas pilsētu mobilitātes plānus. EESK aicina dalībvalstis izstrādāt valsts programmas, lai, izmantojot norādījumus, spēju veidošanu un finansējumu, palīdzētu vietējām un reģionālajām pašvaldībām sagatavot un īstenot šos ilgtspējīgas pilsētu mobilitātes plānus, un Komisiju aicina atbalstīt </w:t>
      </w:r>
      <w:r>
        <w:rPr>
          <w:i/>
          <w:iCs/>
        </w:rPr>
        <w:t>CIVINET</w:t>
      </w:r>
      <w:r>
        <w:t xml:space="preserve"> tīklu darbības turpināšanu un paplašināšanu;</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uzsver, ka ilgtspējīgas pilsētu mobilitātes plāni ir svarīgi līdzsvarotai reģionālai attīstībai. Reģionālā radošuma un sociālā kapitāla mobilizācija ir nozīmīgs solis; arī darba devēju, darba ņēmēju un pilsoniskās sabiedrības organizācijām ir jāpilda noteikti uzdevumi, un minētie dalībnieki ir jāmudina iesaistīties šajā dialogā. Būtiski ir plānošanā, tostarp pārrobežu jautājumu izskatīšanā, iesaistīt visas vietējā, valsts un ES līmeņa attiecīgās ieinteresētās personas;</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 xml:space="preserve">iesaka, ka plānojot </w:t>
      </w:r>
      <w:proofErr w:type="spellStart"/>
      <w:r>
        <w:t>pilsētmobilitāti</w:t>
      </w:r>
      <w:proofErr w:type="spellEnd"/>
      <w:r>
        <w:t>, mums ir jāņem vērā tas, ka pilsētu teritoriju sociālā un ekonomiskā dzīve iesniedzas tālu pilsētas nomalēs, piepilsētas un lauku teritorijās un ka to viedoklis un vajadzības ir jāievēro. Nepietiekami efektīva mobilitātes sistēma rada plaisu starp pilsētām un laukiem un uztur gan šo plaisu, gan tās radītās negatīvās ekonomiskās, sociālās un politiskās sekas. Taisnīga mobilitātes sistēma ir tāda, kas nodrošina cenas ziņā pieejamu mobilitāti un nerada privilēģijas tiem, kuri jau ir labākā situācijā.</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proofErr w:type="spellStart"/>
            <w:r>
              <w:rPr>
                <w:i/>
              </w:rPr>
              <w:t>Maja</w:t>
            </w:r>
            <w:proofErr w:type="spellEnd"/>
            <w:r>
              <w:rPr>
                <w:i/>
              </w:rPr>
              <w:t xml:space="preserve"> </w:t>
            </w:r>
            <w:proofErr w:type="spellStart"/>
            <w:r>
              <w:rPr>
                <w:i/>
              </w:rPr>
              <w:t>Radman</w:t>
            </w:r>
            <w:proofErr w:type="spellEnd"/>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Tālr.:</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E-pasts:</w:t>
            </w:r>
          </w:p>
        </w:tc>
        <w:tc>
          <w:tcPr>
            <w:tcW w:w="3444" w:type="pct"/>
          </w:tcPr>
          <w:p w:rsidRPr="00240FD7" w:rsidR="00240FD7" w:rsidP="00240FD7" w:rsidRDefault="00742D51"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2"/>
      <w:bookmarkStart w:name="_Toc202264192" w:id="13"/>
      <w:r>
        <w:rPr>
          <w:b/>
        </w:rPr>
        <w:lastRenderedPageBreak/>
        <w:t>VIENOTAIS TIRGUS, RAŽOŠANA UN PATĒRIŅŠ</w:t>
      </w:r>
      <w:bookmarkEnd w:id="12"/>
      <w:bookmarkEnd w:id="13"/>
    </w:p>
    <w:p w:rsidR="004D7AC0" w:rsidP="004D7AC0" w:rsidRDefault="004D7AC0" w14:paraId="4982DDF4" w14:textId="77777777"/>
    <w:p w:rsidRPr="00254761" w:rsidR="00254761" w:rsidP="00254761" w:rsidRDefault="00742D51"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Bateriju pienācīgas pārbaudes politika</w:t>
        </w:r>
      </w:hyperlink>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142"/>
        <w:gridCol w:w="7053"/>
      </w:tblGrid>
      <w:tr w:rsidRPr="00254761" w:rsidR="00254761" w:rsidTr="001757A2" w14:paraId="76A2A133" w14:textId="77777777">
        <w:tc>
          <w:tcPr>
            <w:tcW w:w="2127" w:type="dxa"/>
            <w:gridSpan w:val="2"/>
          </w:tcPr>
          <w:p w:rsidRPr="00254761" w:rsidR="00254761" w:rsidP="00254761" w:rsidRDefault="00254761" w14:paraId="63C9E4E3" w14:textId="1BAAF12F">
            <w:pPr>
              <w:tabs>
                <w:tab w:val="center" w:pos="284"/>
              </w:tabs>
              <w:overflowPunct w:val="0"/>
              <w:autoSpaceDE w:val="0"/>
              <w:autoSpaceDN w:val="0"/>
              <w:adjustRightInd w:val="0"/>
              <w:ind w:left="266" w:hanging="266"/>
              <w:jc w:val="left"/>
              <w:textAlignment w:val="baseline"/>
              <w:rPr>
                <w:b/>
              </w:rPr>
            </w:pPr>
          </w:p>
        </w:tc>
        <w:tc>
          <w:tcPr>
            <w:tcW w:w="7053" w:type="dxa"/>
          </w:tcPr>
          <w:p w:rsidRPr="00254761" w:rsidR="00254761" w:rsidP="00254761" w:rsidRDefault="00254761" w14:paraId="535ECB1B" w14:textId="77777777">
            <w:pPr>
              <w:tabs>
                <w:tab w:val="center" w:pos="284"/>
              </w:tabs>
              <w:overflowPunct w:val="0"/>
              <w:autoSpaceDE w:val="0"/>
              <w:autoSpaceDN w:val="0"/>
              <w:adjustRightInd w:val="0"/>
              <w:ind w:left="266" w:hanging="266"/>
              <w:jc w:val="left"/>
              <w:textAlignment w:val="baseline"/>
            </w:pPr>
          </w:p>
        </w:tc>
      </w:tr>
      <w:tr w:rsidRPr="00254761" w:rsidR="00254761" w:rsidTr="001757A2" w14:paraId="54495A3D" w14:textId="77777777">
        <w:tc>
          <w:tcPr>
            <w:tcW w:w="9180" w:type="dxa"/>
            <w:gridSpan w:val="3"/>
          </w:tcPr>
          <w:p w:rsidRPr="00254761" w:rsidR="00254761" w:rsidP="00254761" w:rsidRDefault="00254761" w14:paraId="580F0BED" w14:textId="77777777">
            <w:pPr>
              <w:tabs>
                <w:tab w:val="center" w:pos="284"/>
              </w:tabs>
              <w:overflowPunct w:val="0"/>
              <w:autoSpaceDE w:val="0"/>
              <w:autoSpaceDN w:val="0"/>
              <w:adjustRightInd w:val="0"/>
              <w:spacing w:line="160" w:lineRule="exact"/>
              <w:ind w:left="266" w:hanging="266"/>
              <w:textAlignment w:val="baseline"/>
            </w:pPr>
          </w:p>
        </w:tc>
      </w:tr>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Atsauces</w:t>
            </w:r>
          </w:p>
        </w:tc>
        <w:tc>
          <w:tcPr>
            <w:tcW w:w="7195" w:type="dxa"/>
            <w:gridSpan w:val="2"/>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C kategorijas atzinums</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 xml:space="preserve">COM(2025) 258 </w:t>
            </w:r>
            <w:proofErr w:type="spellStart"/>
            <w:r>
              <w:t>final</w:t>
            </w:r>
            <w:proofErr w:type="spellEnd"/>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gridSpan w:val="2"/>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EESK pilnībā atbalsta priekšlikuma saturu un uzskata, ka attiecībā uz to nav nepieciešami nekādi Komitejas komentāri.</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7694"/>
      </w:tblGrid>
      <w:tr w:rsidRPr="00254761" w:rsidR="00254761" w:rsidTr="001757A2" w14:paraId="4DF7D8AB" w14:textId="77777777">
        <w:tc>
          <w:tcPr>
            <w:tcW w:w="1418"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Kontaktpersona:</w:t>
            </w:r>
          </w:p>
        </w:tc>
        <w:tc>
          <w:tcPr>
            <w:tcW w:w="7762"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proofErr w:type="spellStart"/>
            <w:r>
              <w:rPr>
                <w:i/>
              </w:rPr>
              <w:t>Alice</w:t>
            </w:r>
            <w:proofErr w:type="spellEnd"/>
            <w:r>
              <w:rPr>
                <w:i/>
              </w:rPr>
              <w:t> </w:t>
            </w:r>
            <w:proofErr w:type="spellStart"/>
            <w:r>
              <w:rPr>
                <w:i/>
              </w:rPr>
              <w:t>Tétu</w:t>
            </w:r>
            <w:proofErr w:type="spellEnd"/>
          </w:p>
        </w:tc>
      </w:tr>
      <w:tr w:rsidRPr="00254761" w:rsidR="00254761" w:rsidTr="001757A2" w14:paraId="1A08D712" w14:textId="77777777">
        <w:tc>
          <w:tcPr>
            <w:tcW w:w="1418"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Tālr.:</w:t>
            </w:r>
          </w:p>
        </w:tc>
        <w:tc>
          <w:tcPr>
            <w:tcW w:w="7762"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1757A2" w14:paraId="5AABF235" w14:textId="77777777">
        <w:tc>
          <w:tcPr>
            <w:tcW w:w="1418"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E-pasts:</w:t>
            </w:r>
          </w:p>
        </w:tc>
        <w:tc>
          <w:tcPr>
            <w:tcW w:w="7762" w:type="dxa"/>
          </w:tcPr>
          <w:p w:rsidRPr="00254761" w:rsidR="00254761" w:rsidP="00254761" w:rsidRDefault="00742D51"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00254761" w:rsidRDefault="00254761" w14:paraId="603D0B54" w14:textId="77777777">
      <w:pPr>
        <w:spacing w:after="160" w:line="259" w:lineRule="auto"/>
        <w:jc w:val="left"/>
        <w:rPr>
          <w:b/>
          <w:i/>
          <w:sz w:val="28"/>
          <w:szCs w:val="28"/>
          <w:lang w:val="en-GB"/>
        </w:rPr>
      </w:pPr>
    </w:p>
    <w:p w:rsidR="00254761" w:rsidRDefault="00254761" w14:paraId="13016555" w14:textId="77777777">
      <w:pPr>
        <w:spacing w:after="160" w:line="259" w:lineRule="auto"/>
        <w:jc w:val="left"/>
        <w:rPr>
          <w:b/>
          <w:i/>
          <w:sz w:val="28"/>
          <w:szCs w:val="28"/>
        </w:rPr>
      </w:pPr>
      <w:r>
        <w:br w:type="page"/>
      </w:r>
    </w:p>
    <w:p w:rsidRPr="0026311A" w:rsidR="0026311A" w:rsidP="0026311A" w:rsidRDefault="00742D51"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00381CCE">
          <w:rPr>
            <w:b/>
            <w:i/>
            <w:color w:val="0000FF"/>
            <w:sz w:val="28"/>
            <w:u w:val="single"/>
          </w:rPr>
          <w:t xml:space="preserve">Pirmā </w:t>
        </w:r>
        <w:proofErr w:type="spellStart"/>
        <w:r w:rsidR="00381CCE">
          <w:rPr>
            <w:b/>
            <w:i/>
            <w:iCs/>
            <w:color w:val="0000FF"/>
            <w:sz w:val="28"/>
            <w:u w:val="single"/>
          </w:rPr>
          <w:t>Omnibus</w:t>
        </w:r>
        <w:proofErr w:type="spellEnd"/>
        <w:r w:rsidR="00381CCE">
          <w:rPr>
            <w:b/>
            <w:i/>
            <w:color w:val="0000FF"/>
            <w:sz w:val="28"/>
            <w:u w:val="single"/>
          </w:rPr>
          <w:t xml:space="preserve"> pakete attiecībā uz ilgtspēju</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Ziņotājs</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proofErr w:type="spellStart"/>
            <w:r>
              <w:t>Matteo</w:t>
            </w:r>
            <w:proofErr w:type="spellEnd"/>
            <w:r>
              <w:t xml:space="preserve"> </w:t>
            </w:r>
            <w:proofErr w:type="spellStart"/>
            <w:r>
              <w:t>Carlo</w:t>
            </w:r>
            <w:proofErr w:type="spellEnd"/>
            <w:r>
              <w:t xml:space="preserve"> BORSANI (Darba devēju grupa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Atsauces</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 xml:space="preserve">COM(2025) 81 </w:t>
            </w:r>
            <w:proofErr w:type="spellStart"/>
            <w:r>
              <w:t>final</w:t>
            </w:r>
            <w:proofErr w:type="spellEnd"/>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EESK:</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aicina abus likumdevējus </w:t>
      </w:r>
      <w:r>
        <w:rPr>
          <w:b/>
        </w:rPr>
        <w:t>atvēlēt pietiekami daudz laika iekļaujošai apspriešanai ar ieinteresētajām personām un sociālajiem partneriem</w:t>
      </w:r>
      <w:r>
        <w:t>;</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atzīst, ka </w:t>
      </w:r>
      <w:r>
        <w:rPr>
          <w:b/>
        </w:rPr>
        <w:t xml:space="preserve">sevišķi MVU ir grūti īstenot ilgtspējas un </w:t>
      </w:r>
      <w:proofErr w:type="spellStart"/>
      <w:r>
        <w:rPr>
          <w:b/>
        </w:rPr>
        <w:t>pārredzamības</w:t>
      </w:r>
      <w:proofErr w:type="spellEnd"/>
      <w:r>
        <w:rPr>
          <w:b/>
        </w:rPr>
        <w:t xml:space="preserve"> procesus</w:t>
      </w:r>
      <w:r>
        <w:t>. MVU un revidentiem ir vajadzīga lielāka palīdzība atbilstības nodrošināšanai, kas ir būtiski, jo ir ārkārtīgi svarīgi aizsargāt Eiropas vērtības un sociālos modeļus;</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uzsver, ka uzņēmumu darbībā ir svarīgi ievērot pienācīgas rūpības pienākumu, lai nodrošinātu </w:t>
      </w:r>
      <w:r>
        <w:rPr>
          <w:b/>
        </w:rPr>
        <w:t>atbildīgu uzņēmējdarbību, un veicinātu ilgtspējīgas vērtības ķēdes</w:t>
      </w:r>
      <w:r>
        <w:t xml:space="preserve">, un aicina ieviest </w:t>
      </w:r>
      <w:r>
        <w:rPr>
          <w:b/>
        </w:rPr>
        <w:t>skaidrus un samērīgus noteikumus un sodus</w:t>
      </w:r>
      <w:r>
        <w:t xml:space="preserve">, jo tas ir būtiski, lai uzņēmumi varētu efektīvi pildīt savus pienākumus;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atzinīgi vērtē Komisijas nodomu dažus pienācīgas rūpības pienākumus pārorientēt uz uzņēmumu pašu darbību, meitasuzņēmumiem un tiešajiem darījumu partneriem, taču aicina </w:t>
      </w:r>
      <w:r>
        <w:rPr>
          <w:b/>
        </w:rPr>
        <w:t>apsvērt iespēju piemērot atkāpi uzņēmumiem, kuros ir mazāk nekā 500 darbinieku un kuri darbojas augsta riska nozarēs</w:t>
      </w:r>
      <w:r>
        <w:t xml:space="preserve">, un vienlaikus norāda, ka </w:t>
      </w:r>
      <w:r>
        <w:rPr>
          <w:b/>
        </w:rPr>
        <w:t>visiem uzņēmumiem ir pienākums ievērot cilvēktiesības</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mudina likumdevējus arī precizēt, ka uzņēmumiem būtu jāīsteno </w:t>
      </w:r>
      <w:r>
        <w:rPr>
          <w:b/>
        </w:rPr>
        <w:t>atbilstoši pasākumi, lai veiktu padziļinātus novērtējumus, pamatojoties uz riska faktoros balstītu pieeju</w:t>
      </w:r>
      <w:r>
        <w:t xml:space="preserve"> un vadoties pēc pašu veiktajām kartēšanas darbībām. Turklāt, lai nodrošinātu lielāku juridisko noteiktību, EESK aicina abus likumdevējus pārskatīt </w:t>
      </w:r>
      <w:r>
        <w:rPr>
          <w:b/>
        </w:rPr>
        <w:t>ticamas informācijas</w:t>
      </w:r>
      <w:r>
        <w:t xml:space="preserve"> jēdziena izvēli;</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ar nožēlu konstatē, ka ir atcelta </w:t>
      </w:r>
      <w:r>
        <w:rPr>
          <w:b/>
        </w:rPr>
        <w:t>NVO</w:t>
      </w:r>
      <w:r>
        <w:t xml:space="preserve"> vai arodbiedrību </w:t>
      </w:r>
      <w:r>
        <w:rPr>
          <w:b/>
        </w:rPr>
        <w:t>iespēja cietušos pārstāvēt</w:t>
      </w:r>
      <w:r>
        <w:t xml:space="preserve"> tiesvedībā, un ir satraukta, ka tas var ierobežot tiesu iestāžu pieejamību cietušajiem cilvēkiem. EESK mudina turpināt pārdomāt to, kā cietušajiem, it īpaši tiem, kas saskaras ar strukturāliem tiesiskās aizsardzības līdzekļu pieejamības šķēršļiem, nodrošināt efektīvu juridisko atbalstu.</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26311A" w:rsidR="0026311A" w:rsidTr="001757A2" w14:paraId="3BE180F7" w14:textId="77777777">
        <w:tc>
          <w:tcPr>
            <w:tcW w:w="1418"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Kontaktpersona:</w:t>
            </w:r>
          </w:p>
        </w:tc>
        <w:tc>
          <w:tcPr>
            <w:tcW w:w="5670"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proofErr w:type="spellStart"/>
            <w:r>
              <w:rPr>
                <w:i/>
              </w:rPr>
              <w:t>Silvia</w:t>
            </w:r>
            <w:proofErr w:type="spellEnd"/>
            <w:r>
              <w:rPr>
                <w:i/>
              </w:rPr>
              <w:t xml:space="preserve"> </w:t>
            </w:r>
            <w:proofErr w:type="spellStart"/>
            <w:r>
              <w:rPr>
                <w:i/>
              </w:rPr>
              <w:t>Staffa</w:t>
            </w:r>
            <w:proofErr w:type="spellEnd"/>
          </w:p>
        </w:tc>
      </w:tr>
      <w:tr w:rsidRPr="0026311A" w:rsidR="0026311A" w:rsidTr="001757A2" w14:paraId="174E0FA4" w14:textId="77777777">
        <w:tc>
          <w:tcPr>
            <w:tcW w:w="1418"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Tālr.:</w:t>
            </w:r>
          </w:p>
        </w:tc>
        <w:tc>
          <w:tcPr>
            <w:tcW w:w="5670"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1757A2" w14:paraId="2F97E083" w14:textId="77777777">
        <w:tc>
          <w:tcPr>
            <w:tcW w:w="1418"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E-pasts:</w:t>
            </w:r>
          </w:p>
        </w:tc>
        <w:tc>
          <w:tcPr>
            <w:tcW w:w="5670" w:type="dxa"/>
          </w:tcPr>
          <w:p w:rsidRPr="0026311A" w:rsidR="0026311A" w:rsidP="0026311A" w:rsidRDefault="00742D51" w14:paraId="1EA5DB14" w14:textId="77777777">
            <w:pPr>
              <w:overflowPunct w:val="0"/>
              <w:autoSpaceDE w:val="0"/>
              <w:autoSpaceDN w:val="0"/>
              <w:adjustRightInd w:val="0"/>
              <w:spacing w:line="240" w:lineRule="auto"/>
              <w:textAlignment w:val="baseline"/>
              <w:rPr>
                <w:i/>
                <w:iCs/>
              </w:rPr>
            </w:pPr>
            <w:hyperlink w:history="1" r:id="rId47">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4"/>
      <w:bookmarkStart w:name="_Toc75527084" w:id="15"/>
      <w:bookmarkStart w:name="_Toc202264193" w:id="16"/>
      <w:r>
        <w:rPr>
          <w:b/>
        </w:rPr>
        <w:lastRenderedPageBreak/>
        <w:t>LAUKSAIMNIECĪBA, LAUKU ATTĪSTĪBA UN VIDE</w:t>
      </w:r>
      <w:bookmarkEnd w:id="14"/>
      <w:bookmarkEnd w:id="15"/>
      <w:bookmarkEnd w:id="16"/>
    </w:p>
    <w:p w:rsidR="004D7AC0" w:rsidP="004D7AC0" w:rsidRDefault="004D7AC0" w14:paraId="4982DE20" w14:textId="77777777"/>
    <w:p w:rsidRPr="00B60D9A" w:rsidR="006179EF" w:rsidP="006179EF" w:rsidRDefault="00742D51"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8">
        <w:r w:rsidR="00381CCE">
          <w:rPr>
            <w:b/>
            <w:i/>
            <w:color w:val="0000FF"/>
            <w:sz w:val="26"/>
            <w:u w:val="single"/>
          </w:rPr>
          <w:t xml:space="preserve">Reģeneratīvā lauksaimniecība kā mērķis virzībā uz ilgtspējīgas pārtikas ražošanas veicināšanu un kā ieguldījums klimata un </w:t>
        </w:r>
        <w:proofErr w:type="spellStart"/>
        <w:r w:rsidR="00381CCE">
          <w:rPr>
            <w:b/>
            <w:i/>
            <w:color w:val="0000FF"/>
            <w:sz w:val="26"/>
            <w:u w:val="single"/>
          </w:rPr>
          <w:t>biodaudzveidības</w:t>
        </w:r>
        <w:proofErr w:type="spellEnd"/>
        <w:r w:rsidR="00381CCE">
          <w:rPr>
            <w:b/>
            <w:i/>
            <w:color w:val="0000FF"/>
            <w:sz w:val="26"/>
            <w:u w:val="single"/>
          </w:rPr>
          <w:t xml:space="preserve"> mērķu sasniegšanā</w:t>
        </w:r>
      </w:hyperlink>
    </w:p>
    <w:p w:rsidRPr="006179EF" w:rsidR="006179EF" w:rsidP="006179EF" w:rsidRDefault="006179EF" w14:paraId="67C253BF" w14:textId="77777777">
      <w:pPr>
        <w:tabs>
          <w:tab w:val="center" w:pos="284"/>
        </w:tabs>
        <w:overflowPunct w:val="0"/>
        <w:autoSpaceDE w:val="0"/>
        <w:autoSpaceDN w:val="0"/>
        <w:adjustRightInd w:val="0"/>
        <w:ind w:left="266" w:hanging="266"/>
        <w:textAlignment w:val="baseline"/>
        <w:rPr>
          <w:b/>
          <w:sz w:val="12"/>
          <w:szCs w:val="12"/>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Ziņotājs</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TCHOUKANOV (Pilsoniskās sabiedrības organizāciju grupa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6179EF" w14:paraId="71965C8D" w14:textId="77777777">
            <w:pPr>
              <w:tabs>
                <w:tab w:val="center" w:pos="284"/>
              </w:tabs>
              <w:overflowPunct w:val="0"/>
              <w:autoSpaceDE w:val="0"/>
              <w:autoSpaceDN w:val="0"/>
              <w:adjustRightInd w:val="0"/>
              <w:ind w:left="266" w:hanging="266"/>
              <w:textAlignment w:val="baseline"/>
              <w:rPr>
                <w:b/>
              </w:rPr>
            </w:pPr>
            <w:r>
              <w:rPr>
                <w:b/>
              </w:rPr>
              <w:t>Atsauces</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Pašiniciatīvas atzinums</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922462"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6179EF" w:rsidP="006179EF" w:rsidRDefault="006179EF" w14:paraId="419DA6CE" w14:textId="77777777">
      <w:pPr>
        <w:overflowPunct w:val="0"/>
        <w:autoSpaceDE w:val="0"/>
        <w:autoSpaceDN w:val="0"/>
        <w:adjustRightInd w:val="0"/>
        <w:textAlignment w:val="baseline"/>
        <w:rPr>
          <w:bCs/>
          <w:iCs/>
        </w:rPr>
      </w:pPr>
      <w:r>
        <w:t>EESK:</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 xml:space="preserve">uzskata, ka reģeneratīvi lauksaimniecības veidi var veicināt ilgtspējīgu pārtikas ražošanu, jo tie atbalsta klimata, augsnes veselības un </w:t>
      </w:r>
      <w:proofErr w:type="spellStart"/>
      <w:r>
        <w:t>biodaudzveidības</w:t>
      </w:r>
      <w:proofErr w:type="spellEnd"/>
      <w:r>
        <w:t xml:space="preserve"> mērķus un vienlaikus palielina gan lauksaimnieku ienākumus, gan lauksaimniecības ražīgumu un noturību pret ekstremāliem klimata notikumiem;</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uzskata, ka pašreizējais ES regulējums nepietiekami veicina reģeneratīvus lauksaimniecības veidus, piemēram, augsnes veselības jomā, kas ir jāuzskata par sabiedrisku labumu;</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norāda, ka reģeneratīvā lauksaimniecība nes tādu jaunu vēstījumu par lauksaimniecību, kam piemīt spēja veicināt nozares atjaunošanu, piesaistīt jauniešus un jaunus lauksaimniekus, kā arī atbalstīt ilgtspējīgus uzņēmējdarbības modeļus un finansējumu;</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tāpēc aicina panākt vienotu izpratni par terminu “reģeneratīvā lauksaimniecība” (RL) un šādas prakses ieguvumiem sabiedrībai kopumā, kā arī saskaņot ES tiesisko regulējumu, lai atzītu un atbalstītu šādu praksi;</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ierosina definīciju, kurā uzsvērti RL pozitīvie rezultāti attiecībā uz trim ilgtspējas pīlāriem: “Reģeneratīvā lauksaimniecība ir adaptīva, uz rezultātiem balstīta lauksaimniecības pieeja, kurā tiek izmantotas praksē pārbaudītas un zinātniski pamatotas metodes, kas pozitīvi ietekmē vidi, lauksaimnieku kopienu iztiku un sabiedrības veselību, nodrošinot ražas noturību, kā arī konkurētspēju, efektivitāti un sociālos rezultātus”;</w:t>
      </w:r>
    </w:p>
    <w:p w:rsidRPr="006179EF" w:rsidR="00922462" w:rsidP="00922462" w:rsidRDefault="006179EF" w14:paraId="1DE62A24" w14:textId="5D404CAB">
      <w:pPr>
        <w:numPr>
          <w:ilvl w:val="0"/>
          <w:numId w:val="44"/>
        </w:numPr>
        <w:overflowPunct w:val="0"/>
        <w:autoSpaceDE w:val="0"/>
        <w:autoSpaceDN w:val="0"/>
        <w:adjustRightInd w:val="0"/>
        <w:spacing w:line="276" w:lineRule="auto"/>
        <w:ind w:left="284" w:hanging="284"/>
        <w:contextualSpacing/>
        <w:textAlignment w:val="baseline"/>
      </w:pPr>
      <w:r>
        <w:t>turklāt ierosina uz īstermiņa un ilgtermiņa rezultātiem un darbību balstītus rādītājus, kas saistīti ar esošajām kontroles vai mērīšanas sistēmām un kas būtu jāizmanto, lai saskaņotu politikas instrumentus, finanšu mehānismus, tiesisko regulējumu un piegādes ķēžu standartus;</w:t>
      </w:r>
    </w:p>
    <w:p w:rsidRPr="00922462" w:rsidR="006179EF" w:rsidP="006D5AE4" w:rsidRDefault="006179EF" w14:paraId="4BAA0B87" w14:textId="3700FB36">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mudina Eiropas Komisiju un ES dalībvalstis paplašināt reģeneratīvos lauksaimniecības veidus, saskaņojot finansējumu (KLP un ne tikai), ievērojami paplašinot augsnes veselības / zemes seguma pasākumus KLP stratēģiskajos plānos, uzlabojot vai aktivizējot neatkarīgus konsultāciju pakalpojumus un līdzbiedru atbalsta tīklus, atbalstot attieksmes maiņu, īstenojot īpašus pētniecības un inovācijas projektus, palielinot ieguldījumu atbalstu, uzlabojot publiskā un privātā sektora sadarbību, vienkāršojot un saskaņojot pašreizējo tiesisko regulējumu un ierosinot labvēlīgu stimulu vidi (sevišķi pirmajos pārveides gados), atbalstot konkrētai situācijai pielāgotu pārejas apdrošināšanu, ar labāku vērtības sadali lauksaimniecības un pārtikas produktu ķēdē nodrošinot taisnīgas cenas kvalitatīviem produktiem un labākus zemes nodošanas nosacījumus.</w:t>
      </w:r>
    </w:p>
    <w:p w:rsidRPr="00F73AAC" w:rsidR="00922462" w:rsidP="00922462" w:rsidRDefault="00922462" w14:paraId="3BB20ABA" w14:textId="77777777">
      <w:pPr>
        <w:overflowPunct w:val="0"/>
        <w:autoSpaceDE w:val="0"/>
        <w:autoSpaceDN w:val="0"/>
        <w:adjustRightInd w:val="0"/>
        <w:spacing w:line="276" w:lineRule="auto"/>
        <w:ind w:left="284"/>
        <w:contextualSpacing/>
        <w:textAlignment w:val="baseline"/>
        <w:rPr>
          <w:rFonts w:ascii="Calibri" w:hAnsi="Calibri"/>
          <w:sz w:val="12"/>
          <w:szCs w:val="12"/>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922462" w:rsidTr="00D33111" w14:paraId="2BE56B81" w14:textId="77777777">
        <w:tc>
          <w:tcPr>
            <w:tcW w:w="1556" w:type="pct"/>
          </w:tcPr>
          <w:p w:rsidRPr="006179EF" w:rsidR="00922462" w:rsidP="00D33111" w:rsidRDefault="00922462" w14:paraId="0EBB1BC9"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6179EF" w:rsidR="00922462" w:rsidP="00D33111" w:rsidRDefault="00F73AAC" w14:paraId="3B259582" w14:textId="033085A6">
            <w:pPr>
              <w:overflowPunct w:val="0"/>
              <w:autoSpaceDE w:val="0"/>
              <w:autoSpaceDN w:val="0"/>
              <w:adjustRightInd w:val="0"/>
              <w:spacing w:line="240" w:lineRule="auto"/>
              <w:textAlignment w:val="baseline"/>
              <w:rPr>
                <w:i/>
                <w:iCs/>
              </w:rPr>
            </w:pPr>
            <w:proofErr w:type="spellStart"/>
            <w:r>
              <w:rPr>
                <w:i/>
              </w:rPr>
              <w:t>Martine</w:t>
            </w:r>
            <w:proofErr w:type="spellEnd"/>
            <w:r>
              <w:rPr>
                <w:i/>
              </w:rPr>
              <w:t xml:space="preserve"> </w:t>
            </w:r>
            <w:proofErr w:type="spellStart"/>
            <w:r>
              <w:rPr>
                <w:i/>
              </w:rPr>
              <w:t>Delanoy</w:t>
            </w:r>
            <w:proofErr w:type="spellEnd"/>
          </w:p>
        </w:tc>
      </w:tr>
      <w:tr w:rsidRPr="006179EF" w:rsidR="00922462" w:rsidTr="00D33111" w14:paraId="40E0A558" w14:textId="77777777">
        <w:tc>
          <w:tcPr>
            <w:tcW w:w="1556" w:type="pct"/>
          </w:tcPr>
          <w:p w:rsidRPr="006179EF" w:rsidR="00922462" w:rsidP="00D33111" w:rsidRDefault="00922462" w14:paraId="1B59EE16" w14:textId="77777777">
            <w:pPr>
              <w:overflowPunct w:val="0"/>
              <w:autoSpaceDE w:val="0"/>
              <w:autoSpaceDN w:val="0"/>
              <w:adjustRightInd w:val="0"/>
              <w:spacing w:line="240" w:lineRule="auto"/>
              <w:textAlignment w:val="baseline"/>
              <w:rPr>
                <w:i/>
              </w:rPr>
            </w:pPr>
            <w:r>
              <w:rPr>
                <w:i/>
              </w:rPr>
              <w:t>Tālr.:</w:t>
            </w:r>
          </w:p>
        </w:tc>
        <w:tc>
          <w:tcPr>
            <w:tcW w:w="3444" w:type="pct"/>
          </w:tcPr>
          <w:p w:rsidRPr="006179EF" w:rsidR="00922462" w:rsidP="00D33111" w:rsidRDefault="00F73AAC" w14:paraId="640F7AA3" w14:textId="037559C6">
            <w:pPr>
              <w:overflowPunct w:val="0"/>
              <w:autoSpaceDE w:val="0"/>
              <w:autoSpaceDN w:val="0"/>
              <w:adjustRightInd w:val="0"/>
              <w:spacing w:line="240" w:lineRule="auto"/>
              <w:textAlignment w:val="baseline"/>
              <w:rPr>
                <w:i/>
              </w:rPr>
            </w:pPr>
            <w:r>
              <w:rPr>
                <w:i/>
              </w:rPr>
              <w:t>+32 2 5469802</w:t>
            </w:r>
          </w:p>
        </w:tc>
      </w:tr>
      <w:tr w:rsidRPr="006179EF" w:rsidR="00922462" w:rsidTr="00D33111" w14:paraId="7D908A20" w14:textId="77777777">
        <w:tc>
          <w:tcPr>
            <w:tcW w:w="1556" w:type="pct"/>
          </w:tcPr>
          <w:p w:rsidRPr="006179EF" w:rsidR="00922462" w:rsidP="00D33111" w:rsidRDefault="00922462" w14:paraId="0533EA8D" w14:textId="77777777">
            <w:pPr>
              <w:overflowPunct w:val="0"/>
              <w:autoSpaceDE w:val="0"/>
              <w:autoSpaceDN w:val="0"/>
              <w:adjustRightInd w:val="0"/>
              <w:spacing w:line="240" w:lineRule="auto"/>
              <w:textAlignment w:val="baseline"/>
              <w:rPr>
                <w:i/>
              </w:rPr>
            </w:pPr>
            <w:r>
              <w:rPr>
                <w:i/>
              </w:rPr>
              <w:t>E-pasts:</w:t>
            </w:r>
          </w:p>
        </w:tc>
        <w:tc>
          <w:tcPr>
            <w:tcW w:w="3444" w:type="pct"/>
          </w:tcPr>
          <w:p w:rsidRPr="006179EF" w:rsidR="00922462" w:rsidP="00D33111" w:rsidRDefault="00F73AAC" w14:paraId="33B9E4F0" w14:textId="620A871F">
            <w:pPr>
              <w:overflowPunct w:val="0"/>
              <w:autoSpaceDE w:val="0"/>
              <w:autoSpaceDN w:val="0"/>
              <w:adjustRightInd w:val="0"/>
              <w:spacing w:line="240" w:lineRule="auto"/>
              <w:textAlignment w:val="baseline"/>
              <w:rPr>
                <w:i/>
              </w:rPr>
            </w:pPr>
            <w:hyperlink w:history="1" r:id="rId49">
              <w:r>
                <w:rPr>
                  <w:i/>
                  <w:color w:val="0000FF"/>
                  <w:u w:val="single"/>
                </w:rPr>
                <w:t>Martine.Delanoy@eesc.europa.eu</w:t>
              </w:r>
            </w:hyperlink>
          </w:p>
        </w:tc>
      </w:tr>
    </w:tbl>
    <w:p w:rsidR="00055407" w:rsidRDefault="00055407" w14:paraId="20B8A69F" w14:textId="7F6D1EF8">
      <w:pPr>
        <w:spacing w:after="160" w:line="259" w:lineRule="auto"/>
        <w:jc w:val="left"/>
        <w:rPr>
          <w:rFonts w:ascii="Calibri" w:hAnsi="Calibri"/>
        </w:rPr>
      </w:pPr>
      <w:r>
        <w:br w:type="page"/>
      </w:r>
    </w:p>
    <w:p w:rsidR="007F5784" w:rsidP="007F5784" w:rsidRDefault="007F5784" w14:paraId="14026A78" w14:textId="4FAE1588">
      <w:pPr>
        <w:pStyle w:val="Heading1"/>
        <w:rPr>
          <w:b/>
        </w:rPr>
      </w:pPr>
      <w:bookmarkStart w:name="_Toc202264194" w:id="17"/>
      <w:r>
        <w:rPr>
          <w:b/>
        </w:rPr>
        <w:lastRenderedPageBreak/>
        <w:t>ĀRĒJĀS ATTIECĪBAS</w:t>
      </w:r>
      <w:bookmarkEnd w:id="17"/>
    </w:p>
    <w:p w:rsidR="007F5784" w:rsidP="007F5784" w:rsidRDefault="007F5784" w14:paraId="3BBB3E68" w14:textId="77777777"/>
    <w:p w:rsidRPr="006179EF"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"https://www.eesc.europa.eu/lv/our-work/opinions-information-reports/opinions/fragmentation-supply-chains-and-impact-cost-living"</w:instrText>
      </w:r>
      <w:r w:rsidRPr="006179EF">
        <w:rPr>
          <w:b/>
          <w:i/>
          <w:sz w:val="28"/>
        </w:rPr>
        <w:fldChar w:fldCharType="separate"/>
      </w:r>
      <w:r>
        <w:rPr>
          <w:b/>
          <w:i/>
          <w:color w:val="0000FF"/>
          <w:sz w:val="28"/>
          <w:u w:val="single"/>
        </w:rPr>
        <w:t>Piegādes ķēžu sadrumstalotība un ietekme uz dzīves dārdzību</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Ziņotājs</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Līdzziņotājs</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proofErr w:type="spellStart"/>
            <w:r>
              <w:t>Dimitris</w:t>
            </w:r>
            <w:proofErr w:type="spellEnd"/>
            <w:r>
              <w:t> DIMITRIADIS (Darba devēju grupa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proofErr w:type="spellStart"/>
            <w:r>
              <w:t>Anastasis</w:t>
            </w:r>
            <w:proofErr w:type="spellEnd"/>
            <w:r>
              <w:t xml:space="preserve"> </w:t>
            </w:r>
            <w:proofErr w:type="spellStart"/>
            <w:r>
              <w:t>Yiapanis</w:t>
            </w:r>
            <w:proofErr w:type="spellEnd"/>
            <w:r>
              <w:t xml:space="preserve"> (Pilsoniskās sabiedrības organizāciju grupa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77777777">
            <w:pPr>
              <w:tabs>
                <w:tab w:val="center" w:pos="284"/>
              </w:tabs>
              <w:overflowPunct w:val="0"/>
              <w:autoSpaceDE w:val="0"/>
              <w:autoSpaceDN w:val="0"/>
              <w:adjustRightInd w:val="0"/>
              <w:ind w:left="266" w:hanging="266"/>
              <w:textAlignment w:val="baseline"/>
              <w:rPr>
                <w:b/>
              </w:rPr>
            </w:pPr>
            <w:r>
              <w:rPr>
                <w:b/>
              </w:rPr>
              <w:t>Atsauces</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Pašiniciatīvas atzinums</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EESK:</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uzsver, ka </w:t>
      </w:r>
      <w:r>
        <w:rPr>
          <w:b/>
        </w:rPr>
        <w:t>Eiropas Savienībai jāsamazina atkarība no importa</w:t>
      </w:r>
      <w:r>
        <w:t xml:space="preserve">, it īpaši attiecībā uz kritiski svarīgām precēm, piemēram, zālēm un pusvadītājiem, un </w:t>
      </w:r>
      <w:r>
        <w:rPr>
          <w:b/>
        </w:rPr>
        <w:t>jādažādo piegādes ķēdes</w:t>
      </w:r>
      <w:r>
        <w:t xml:space="preserve">, attīstot vairākas </w:t>
      </w:r>
      <w:r>
        <w:rPr>
          <w:b/>
        </w:rPr>
        <w:t>starptautiskas partnerības</w:t>
      </w:r>
      <w:r>
        <w:t>;</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uzsver, ka steidzami ir vajadzīgas </w:t>
      </w:r>
      <w:r>
        <w:rPr>
          <w:b/>
        </w:rPr>
        <w:t>mērķtiecīgas investīcijas stratēģiskās nozarēs</w:t>
      </w:r>
      <w:r>
        <w:t xml:space="preserve"> un infrastruktūrā, lai stiprinātu ekonomikas noturību un </w:t>
      </w:r>
      <w:r>
        <w:rPr>
          <w:b/>
        </w:rPr>
        <w:t>novērstu produktivitātes atšķirības</w:t>
      </w:r>
      <w:r>
        <w:t xml:space="preserve"> starp Eiropas ražotājiem. Šādām investīcijām vajadzētu būt daļai no labi koordinētas, visaptverošas un pienācīgi finansētas rūpniecības politikas;</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iesaka </w:t>
      </w:r>
      <w:r>
        <w:rPr>
          <w:b/>
        </w:rPr>
        <w:t>paplašināt tirdzniecības nolīgumus</w:t>
      </w:r>
      <w:r>
        <w:t xml:space="preserve"> it īpaši ar uzticamiem partneriem globālajos dienvidos, un atbalsta </w:t>
      </w:r>
      <w:r>
        <w:rPr>
          <w:b/>
        </w:rPr>
        <w:t>regulējuma efektivitātes uzlabošanu</w:t>
      </w:r>
      <w:r>
        <w:t xml:space="preserve">, lai racionalizētu sarežģītas ES sistēmas, vienlaikus </w:t>
      </w:r>
      <w:r>
        <w:rPr>
          <w:b/>
        </w:rPr>
        <w:t>saglabājot augstus standartus</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mudina arī turpmāk veicināt juridiski </w:t>
      </w:r>
      <w:r>
        <w:rPr>
          <w:b/>
        </w:rPr>
        <w:t>saistošas un izpildāmas tirdzniecībai un ilgtspējīgai attīstībai veltītas sadaļas</w:t>
      </w:r>
      <w:r>
        <w:t>, lai aizsargātu ES tirgus pret negodīgu konkurences praksi, ko izraisa zemāki globālie ražošanas standarti;</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aicina </w:t>
      </w:r>
      <w:r>
        <w:rPr>
          <w:b/>
        </w:rPr>
        <w:t xml:space="preserve">uzlabot finansiālā un tehniskā atbalsta mehānismus </w:t>
      </w:r>
      <w:proofErr w:type="spellStart"/>
      <w:r>
        <w:rPr>
          <w:b/>
        </w:rPr>
        <w:t>mikrouzņēmumiem</w:t>
      </w:r>
      <w:proofErr w:type="spellEnd"/>
      <w:r>
        <w:rPr>
          <w:b/>
        </w:rPr>
        <w:t>, mazajiem un vidējiem uzņēmumiem (MMVU)</w:t>
      </w:r>
      <w:r>
        <w:t>, lai tie dažādotu savus piegādātājus, izmantotu ilgtspējīgus uzņēmējdarbības modeļus un efektīvi pārvarētu regulatīvos sarežģījumus;</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norāda, ka augsto tehnoloģiju un ilgtspējīgu ražošanas nozaru vajadzībām ir svarīgi </w:t>
      </w:r>
      <w:r>
        <w:rPr>
          <w:b/>
        </w:rPr>
        <w:t>palielināt investīcijas pētniecībā un izstrādē</w:t>
      </w:r>
      <w:r>
        <w:t xml:space="preserve">, kā arī </w:t>
      </w:r>
      <w:r>
        <w:rPr>
          <w:b/>
        </w:rPr>
        <w:t>plašāk izmantot mākslīgo intelektu</w:t>
      </w:r>
      <w:r>
        <w:t xml:space="preserve"> un </w:t>
      </w:r>
      <w:proofErr w:type="spellStart"/>
      <w:r>
        <w:t>blokķēdes</w:t>
      </w:r>
      <w:proofErr w:type="spellEnd"/>
      <w:r>
        <w:t xml:space="preserve"> tehnoloģijas, lai optimizētu piegādes ķēdes pārvaldību;</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uzsver, ka ir vajadzīgas </w:t>
      </w:r>
      <w:r>
        <w:rPr>
          <w:b/>
        </w:rPr>
        <w:t>mērķtiecīgas izglītības un apmācības iniciatīvas</w:t>
      </w:r>
      <w:r>
        <w:t xml:space="preserve">, lai uzlabotu darbaspēka prasmes, </w:t>
      </w:r>
      <w:r>
        <w:rPr>
          <w:b/>
        </w:rPr>
        <w:t>veicinātu darbaspēka mobilitāti</w:t>
      </w:r>
      <w:r>
        <w:t xml:space="preserve"> vienotajā tirgū un </w:t>
      </w:r>
      <w:r>
        <w:rPr>
          <w:b/>
        </w:rPr>
        <w:t>piesaistītu un noturētu talantus</w:t>
      </w:r>
      <w:r>
        <w:t xml:space="preserve">, tādējādi </w:t>
      </w:r>
      <w:r>
        <w:rPr>
          <w:b/>
        </w:rPr>
        <w:t>stiprinot inovācijas spējas</w:t>
      </w:r>
      <w:r>
        <w:t>.</w:t>
      </w:r>
    </w:p>
    <w:p w:rsidRPr="006179EF" w:rsidR="006179EF" w:rsidP="006179EF" w:rsidRDefault="006179EF" w14:paraId="296C56EB" w14:textId="77777777">
      <w:pPr>
        <w:widowControl w:val="0"/>
        <w:overflowPunct w:val="0"/>
        <w:autoSpaceDE w:val="0"/>
        <w:autoSpaceDN w:val="0"/>
        <w:adjustRightInd w:val="0"/>
        <w:ind w:left="709"/>
        <w:textAlignment w:val="baseline"/>
        <w:rPr>
          <w:sz w:val="16"/>
          <w:szCs w:val="16"/>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6179EF" w:rsidR="006179EF" w:rsidTr="001757A2" w14:paraId="679F4C15" w14:textId="77777777">
        <w:tc>
          <w:tcPr>
            <w:tcW w:w="1556"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Kontaktpersona:</w:t>
            </w:r>
          </w:p>
        </w:tc>
        <w:tc>
          <w:tcPr>
            <w:tcW w:w="3444"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 xml:space="preserve">Marco </w:t>
            </w:r>
            <w:proofErr w:type="spellStart"/>
            <w:r>
              <w:rPr>
                <w:i/>
              </w:rPr>
              <w:t>Ristori</w:t>
            </w:r>
            <w:proofErr w:type="spellEnd"/>
          </w:p>
        </w:tc>
      </w:tr>
      <w:tr w:rsidRPr="006179EF" w:rsidR="006179EF" w:rsidTr="001757A2" w14:paraId="7E487032" w14:textId="77777777">
        <w:tc>
          <w:tcPr>
            <w:tcW w:w="1556"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Tālr.:</w:t>
            </w:r>
          </w:p>
        </w:tc>
        <w:tc>
          <w:tcPr>
            <w:tcW w:w="3444"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1757A2" w14:paraId="68C451DB" w14:textId="77777777">
        <w:tc>
          <w:tcPr>
            <w:tcW w:w="1556"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E-pasts:</w:t>
            </w:r>
          </w:p>
        </w:tc>
        <w:tc>
          <w:tcPr>
            <w:tcW w:w="3444" w:type="pct"/>
          </w:tcPr>
          <w:p w:rsidRPr="006179EF" w:rsidR="006179EF" w:rsidP="006179EF" w:rsidRDefault="00742D51" w14:paraId="2C3E3001" w14:textId="77777777">
            <w:pPr>
              <w:overflowPunct w:val="0"/>
              <w:autoSpaceDE w:val="0"/>
              <w:autoSpaceDN w:val="0"/>
              <w:adjustRightInd w:val="0"/>
              <w:spacing w:line="240" w:lineRule="auto"/>
              <w:textAlignment w:val="baseline"/>
              <w:rPr>
                <w:i/>
              </w:rPr>
            </w:pPr>
            <w:hyperlink w:history="1" r:id="rId50">
              <w:r w:rsidR="00381CCE">
                <w:rPr>
                  <w:i/>
                  <w:color w:val="0000FF"/>
                  <w:u w:val="single"/>
                </w:rPr>
                <w:t>Marco.Ristori@eesc.europa.eu</w:t>
              </w:r>
            </w:hyperlink>
          </w:p>
        </w:tc>
      </w:tr>
    </w:tbl>
    <w:p w:rsidR="00055407" w:rsidP="006179EF" w:rsidRDefault="00055407" w14:paraId="1955FA32" w14:textId="0F805188">
      <w:pPr>
        <w:ind w:left="710"/>
        <w:rPr>
          <w:b/>
          <w:i/>
          <w:sz w:val="28"/>
          <w:szCs w:val="28"/>
          <w:lang w:val="en-GB"/>
        </w:rPr>
      </w:pPr>
    </w:p>
    <w:p w:rsidR="00055407" w:rsidRDefault="00055407" w14:paraId="48C49104" w14:textId="77777777">
      <w:pPr>
        <w:spacing w:after="160" w:line="259" w:lineRule="auto"/>
        <w:jc w:val="left"/>
        <w:rPr>
          <w:b/>
          <w:i/>
          <w:sz w:val="28"/>
          <w:szCs w:val="28"/>
        </w:rPr>
      </w:pPr>
      <w:r>
        <w:br w:type="page"/>
      </w:r>
    </w:p>
    <w:p w:rsidRPr="00AE7912" w:rsidR="00AE7912" w:rsidP="00AE7912" w:rsidRDefault="00742D51"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00381CCE">
          <w:rPr>
            <w:b/>
            <w:i/>
            <w:color w:val="0000FF"/>
            <w:sz w:val="28"/>
            <w:u w:val="single"/>
          </w:rPr>
          <w:t>Pilsoniskās sabiedrības organizāciju stāvoklis ASEAN valstīs</w:t>
        </w:r>
      </w:hyperlink>
    </w:p>
    <w:p w:rsidRPr="00AE7912" w:rsidR="00AE7912" w:rsidP="00AE7912" w:rsidRDefault="00AE7912" w14:paraId="5975EE80" w14:textId="77777777">
      <w:pPr>
        <w:widowControl w:val="0"/>
        <w:overflowPunct w:val="0"/>
        <w:autoSpaceDE w:val="0"/>
        <w:autoSpaceDN w:val="0"/>
        <w:adjustRightInd w:val="0"/>
        <w:ind w:left="567"/>
        <w:jc w:val="left"/>
        <w:textAlignment w:val="baseline"/>
        <w:rPr>
          <w:sz w:val="20"/>
          <w:szCs w:val="20"/>
          <w:lang w:val="en-GB"/>
        </w:rPr>
      </w:pPr>
    </w:p>
    <w:p w:rsidRPr="00AE7912" w:rsidR="00AE7912" w:rsidP="00AE7912" w:rsidRDefault="00AE7912" w14:paraId="1C4B8C34" w14:textId="77777777">
      <w:pPr>
        <w:widowControl w:val="0"/>
        <w:overflowPunct w:val="0"/>
        <w:autoSpaceDE w:val="0"/>
        <w:autoSpaceDN w:val="0"/>
        <w:adjustRightInd w:val="0"/>
        <w:jc w:val="left"/>
        <w:textAlignment w:val="baseline"/>
        <w:rPr>
          <w:sz w:val="20"/>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Ziņotāja</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(Darba ņēmēju grupa – 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77777777">
            <w:pPr>
              <w:tabs>
                <w:tab w:val="center" w:pos="284"/>
              </w:tabs>
              <w:overflowPunct w:val="0"/>
              <w:autoSpaceDE w:val="0"/>
              <w:autoSpaceDN w:val="0"/>
              <w:adjustRightInd w:val="0"/>
              <w:ind w:left="266" w:hanging="266"/>
              <w:textAlignment w:val="baseline"/>
              <w:rPr>
                <w:b/>
                <w:szCs w:val="24"/>
              </w:rPr>
            </w:pPr>
            <w:r>
              <w:rPr>
                <w:b/>
              </w:rPr>
              <w:t>Atsauces</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Informatīvs ziņojums</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Šā ziņojuma mērķis ir skaidrot </w:t>
      </w:r>
      <w:proofErr w:type="spellStart"/>
      <w:r>
        <w:t>Dienvidaustrumāzijas</w:t>
      </w:r>
      <w:proofErr w:type="spellEnd"/>
      <w:r>
        <w:t xml:space="preserve"> valstu asociācijas (ASEAN) un Eiropas Savienības (ES) attiecību attīstību, it īpaši saistībā ar pilsoniskās sabiedrības lomu un ilgtspējīgu attīstību tirdzniecības un politiskās sadarbības kontekstā.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Abiem reģioniem ir vairāk kopīga, nekā bieži vien tiek atzīts. Jēgpilna ES un ASEAN partnerība, kas balstīta uz principiālu sadarbību un pretējās puses politisko pieeju respektēšanu, ir stabilizējošs spēks arvien nestabilākā globālā vidē. ES un </w:t>
      </w:r>
      <w:r>
        <w:rPr>
          <w:i/>
          <w:iCs/>
        </w:rPr>
        <w:t xml:space="preserve">ASEAN </w:t>
      </w:r>
      <w:r>
        <w:t xml:space="preserve">vieno gan kopīgs atbalsts noteikumos balstītai daudzpusējai kārtībai, gan apņemšanās veicināt mieru un attīstību.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ES un ASEAN attiecībās ir nostabilizējies noteikts ritms, ko nosaka gada sanāksmes un darba grupas, tostarp apvienotā komiteja, kas piedalās augstākā līmeņa ministru dialogos un rūpnieciskajā sadarbībā ar specializēto forumu starpniecību.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 xml:space="preserve">Pilsoniskajai sabiedrībai ir izšķiroša nozīme </w:t>
      </w:r>
      <w:proofErr w:type="spellStart"/>
      <w:r>
        <w:t>starpreģionālās</w:t>
      </w:r>
      <w:proofErr w:type="spellEnd"/>
      <w:r>
        <w:t xml:space="preserve"> sadarbības veicināšanā, konkrēti, līdzdalības politisko procesu virzīšanā un reģionu savstarpējās konsolidācijas atbalstīšanā. Līdzīgi domājošām valstīm ir būtiski atzīt </w:t>
      </w:r>
      <w:proofErr w:type="spellStart"/>
      <w:r>
        <w:t>Dienvidaustrumāzijas</w:t>
      </w:r>
      <w:proofErr w:type="spellEnd"/>
      <w:r>
        <w:t xml:space="preserve"> sarežģīto politisko, sociālo un kultūras realitāti, kas var būtiski atšķirties no Eiropas priekšstatiem. Šo atšķirību pārvarēšana ir svarīga, lai veidotu </w:t>
      </w:r>
      <w:proofErr w:type="spellStart"/>
      <w:r>
        <w:t>institucionalizētu</w:t>
      </w:r>
      <w:proofErr w:type="spellEnd"/>
      <w:r>
        <w:t>, atklātu un iekļaujošu dialogu ar jēgpilnu pilsoniskās sabiedrības iesaisti. Šāds dialogs nozīmē, ka atkārtoti jāizskata iesaistes stratēģijas un vietējie apstākļi un jānodrošina atstumtībai pakļautu sabiedrības grupu, it īpaši vietējo organizāciju, sieviešu, etnisko un pirmiedzīvotāju minoritāšu un jauniešu, viedokļa iekļaušana. Tomēr rūpīgai vērtēšanai ir jānotiek arī sadarbojoties ar pilsoniskās sabiedrības organizācijām (PSO).</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AE7912" w:rsidR="00AE7912" w:rsidTr="001757A2" w14:paraId="17A93B18" w14:textId="77777777">
        <w:tc>
          <w:tcPr>
            <w:tcW w:w="1418"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Kontaktpersona:</w:t>
            </w:r>
          </w:p>
        </w:tc>
        <w:tc>
          <w:tcPr>
            <w:tcW w:w="5670" w:type="dxa"/>
          </w:tcPr>
          <w:p w:rsidRPr="00B60D9A" w:rsidR="00AE7912" w:rsidP="00AE7912" w:rsidRDefault="00AE7912" w14:paraId="425D7DA0" w14:textId="77777777">
            <w:pPr>
              <w:overflowPunct w:val="0"/>
              <w:autoSpaceDE w:val="0"/>
              <w:autoSpaceDN w:val="0"/>
              <w:adjustRightInd w:val="0"/>
              <w:textAlignment w:val="baseline"/>
              <w:rPr>
                <w:i/>
                <w:szCs w:val="24"/>
              </w:rPr>
            </w:pPr>
            <w:r>
              <w:rPr>
                <w:i/>
              </w:rPr>
              <w:t xml:space="preserve">Gunilla </w:t>
            </w:r>
            <w:proofErr w:type="spellStart"/>
            <w:r>
              <w:rPr>
                <w:i/>
              </w:rPr>
              <w:t>Fèvre-Burdy</w:t>
            </w:r>
            <w:proofErr w:type="spellEnd"/>
          </w:p>
        </w:tc>
      </w:tr>
      <w:tr w:rsidRPr="00AE7912" w:rsidR="00AE7912" w:rsidTr="001757A2" w14:paraId="053D8F5C" w14:textId="77777777">
        <w:tc>
          <w:tcPr>
            <w:tcW w:w="1418"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Tālr.:</w:t>
            </w:r>
          </w:p>
        </w:tc>
        <w:tc>
          <w:tcPr>
            <w:tcW w:w="5670"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1757A2" w14:paraId="782EE881" w14:textId="77777777">
        <w:tc>
          <w:tcPr>
            <w:tcW w:w="1418"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E-pasts:</w:t>
            </w:r>
          </w:p>
        </w:tc>
        <w:tc>
          <w:tcPr>
            <w:tcW w:w="5670" w:type="dxa"/>
          </w:tcPr>
          <w:p w:rsidRPr="00AE7912" w:rsidR="00AE7912" w:rsidP="00AE7912" w:rsidRDefault="00742D51" w14:paraId="22B44104" w14:textId="77777777">
            <w:pPr>
              <w:overflowPunct w:val="0"/>
              <w:autoSpaceDE w:val="0"/>
              <w:autoSpaceDN w:val="0"/>
              <w:adjustRightInd w:val="0"/>
              <w:textAlignment w:val="baseline"/>
              <w:rPr>
                <w:i/>
                <w:color w:val="0000FF"/>
                <w:szCs w:val="24"/>
                <w:u w:val="single"/>
              </w:rPr>
            </w:pPr>
            <w:hyperlink w:history="1" r:id="rId52">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2264195" w:id="18"/>
      <w:r>
        <w:rPr>
          <w:b/>
          <w:color w:val="222A35" w:themeColor="text2" w:themeShade="80"/>
        </w:rPr>
        <w:lastRenderedPageBreak/>
        <w:t>RŪPNIECĪBAS PĀRMAIŅU KONSULTATĪVĀ KOMISIJA</w:t>
      </w:r>
      <w:bookmarkEnd w:id="18"/>
    </w:p>
    <w:p w:rsidRPr="00B60D9A" w:rsidR="006D2C8A" w:rsidP="006D2C8A" w:rsidRDefault="006D2C8A" w14:paraId="713E272F" w14:textId="77777777">
      <w:pPr>
        <w:rPr>
          <w:sz w:val="18"/>
          <w:szCs w:val="18"/>
        </w:rPr>
      </w:pPr>
    </w:p>
    <w:p w:rsidRPr="001E19E2" w:rsidR="001E19E2" w:rsidP="001E19E2" w:rsidRDefault="00742D51"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r w:rsidR="001E19E2">
          <w:rPr>
            <w:b/>
            <w:i/>
            <w:color w:val="0000FF"/>
            <w:sz w:val="28"/>
            <w:u w:val="single"/>
          </w:rPr>
          <w:t xml:space="preserve">Eiropas </w:t>
        </w:r>
        <w:proofErr w:type="spellStart"/>
        <w:r w:rsidR="001E19E2">
          <w:rPr>
            <w:b/>
            <w:i/>
            <w:color w:val="0000FF"/>
            <w:sz w:val="28"/>
            <w:u w:val="single"/>
          </w:rPr>
          <w:t>reindustrializācija</w:t>
        </w:r>
        <w:proofErr w:type="spellEnd"/>
        <w:r w:rsidR="001E19E2">
          <w:rPr>
            <w:b/>
            <w:i/>
            <w:color w:val="0000FF"/>
            <w:sz w:val="28"/>
            <w:u w:val="single"/>
          </w:rPr>
          <w:t xml:space="preserve"> – uzņēmumu, darba ņēmēju un iedzīvotāju iespēja saistībā ar dzīves dārdzības krīzi</w:t>
        </w:r>
      </w:hyperlink>
    </w:p>
    <w:p w:rsidRPr="00B60D9A"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sz w:val="18"/>
          <w:szCs w:val="18"/>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Ziņotājs</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proofErr w:type="spellStart"/>
            <w:r>
              <w:t>Andrés</w:t>
            </w:r>
            <w:proofErr w:type="spellEnd"/>
            <w:r>
              <w:t xml:space="preserve"> BARCELÓ DELGADO (Darba devēju grupa – 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Līdzziņotāja</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SITÁROVÁ (2. </w:t>
            </w:r>
            <w:proofErr w:type="spellStart"/>
            <w:r>
              <w:t>kat</w:t>
            </w:r>
            <w:proofErr w:type="spellEnd"/>
            <w:r>
              <w:t>.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77777777">
            <w:pPr>
              <w:tabs>
                <w:tab w:val="center" w:pos="284"/>
              </w:tabs>
              <w:overflowPunct w:val="0"/>
              <w:autoSpaceDE w:val="0"/>
              <w:autoSpaceDN w:val="0"/>
              <w:adjustRightInd w:val="0"/>
              <w:ind w:left="266" w:hanging="266"/>
              <w:textAlignment w:val="baseline"/>
              <w:rPr>
                <w:b/>
              </w:rPr>
            </w:pPr>
            <w:r>
              <w:rPr>
                <w:b/>
              </w:rPr>
              <w:t>Atsauces</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Pašiniciatīvas atzinums</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531504B8" w14:textId="77777777">
      <w:pPr>
        <w:keepNext/>
        <w:keepLines/>
        <w:tabs>
          <w:tab w:val="center" w:pos="0"/>
        </w:tabs>
        <w:overflowPunct w:val="0"/>
        <w:autoSpaceDE w:val="0"/>
        <w:autoSpaceDN w:val="0"/>
        <w:adjustRightInd w:val="0"/>
        <w:textAlignment w:val="baseline"/>
        <w:rPr>
          <w:b/>
        </w:rPr>
      </w:pPr>
      <w:r>
        <w:t xml:space="preserve">Šim atzinumam tika piemērots </w:t>
      </w:r>
      <w:hyperlink w:history="1" r:id="rId54">
        <w:r>
          <w:rPr>
            <w:color w:val="0000FF"/>
            <w:u w:val="single"/>
          </w:rPr>
          <w:t>ES jauniešu tests EESK</w:t>
        </w:r>
      </w:hyperlink>
      <w:r>
        <w:t>. Ieinteresēto jaunatnes organizāciju grupa izvēlējās Baltijas Jūras reģiona jaunatnes forumu, lai atzinuma izstrādes procesā tas pārstāvētu visas minētās organizācijas.</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EESK:</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atzinīgi vērtē</w:t>
      </w:r>
      <w:r>
        <w:rPr>
          <w:b/>
        </w:rPr>
        <w:t xml:space="preserve"> Komisijas iniciatīvu “Konkurētspējas kompass</w:t>
      </w:r>
      <w:r>
        <w:t>”, kas vērsta uz</w:t>
      </w:r>
      <w:r>
        <w:rPr>
          <w:b/>
        </w:rPr>
        <w:t xml:space="preserve"> ES ekonomikas konkurētspējas uzlabošanu, lai tā neatpaliktu no ASV un Āzijas</w:t>
      </w:r>
      <w:r>
        <w:t>. Izstrādājot Konkurētspējas kompasu, jānosaka skaidri snieguma rādītāji, lai ES iestādes un ieinteresētās personas varētu uzraudzīt katra kompasā iekļautā uzdevuma izpildi;</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aicina </w:t>
      </w:r>
      <w:r>
        <w:rPr>
          <w:b/>
        </w:rPr>
        <w:t xml:space="preserve">Komisiju garantēt, lai Lētākas enerģijas rīcības plāns nostiprinātu elektroenerģijas piegādes drošību un tās cenas stabilitāti, konkurētspēju un </w:t>
      </w:r>
      <w:proofErr w:type="spellStart"/>
      <w:r>
        <w:rPr>
          <w:b/>
        </w:rPr>
        <w:t>paredzamību</w:t>
      </w:r>
      <w:proofErr w:type="spellEnd"/>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uzsver, ka</w:t>
      </w:r>
      <w:r>
        <w:rPr>
          <w:b/>
        </w:rPr>
        <w:t xml:space="preserve"> </w:t>
      </w:r>
      <w:proofErr w:type="spellStart"/>
      <w:r>
        <w:rPr>
          <w:b/>
        </w:rPr>
        <w:t>reindustrializācijas</w:t>
      </w:r>
      <w:proofErr w:type="spellEnd"/>
      <w:r>
        <w:rPr>
          <w:b/>
        </w:rPr>
        <w:t xml:space="preserve"> procesa centrā jābūt atvērtai stratēģiskajai autonomijai</w:t>
      </w:r>
      <w:r>
        <w:t xml:space="preserve"> – ir jānodrošina </w:t>
      </w:r>
      <w:r>
        <w:rPr>
          <w:b/>
        </w:rPr>
        <w:t>piekļuve izejvielām, jādažādo avoti un jāvairo ES ekonomikas noturība</w:t>
      </w:r>
      <w:r>
        <w:t xml:space="preserve">. Lai mudinātu uzņēmumus </w:t>
      </w:r>
      <w:r>
        <w:rPr>
          <w:b/>
        </w:rPr>
        <w:t>veikt ražošanu tuvumā esošās valstīs Eiropas Savienībā</w:t>
      </w:r>
      <w:r>
        <w:t xml:space="preserve">, EESK iesaka pieņemt </w:t>
      </w:r>
      <w:r>
        <w:rPr>
          <w:b/>
        </w:rPr>
        <w:t>rūpniecības politiku, kas balstīta uz vērtības ķēdes pieeju</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uzsver, ka ES likumdevējiem ir jāizmanto gaidāmais </w:t>
      </w:r>
      <w:r>
        <w:rPr>
          <w:b/>
        </w:rPr>
        <w:t>Rūpniecības dekarbonizācijas paātrināšanas akts, lai nodrošinātu alternatīvu un aprites ekonomikas principiem atbilstošu uzņēmējdarbības modeļu ilgtspēju</w:t>
      </w:r>
      <w:r>
        <w:t xml:space="preserve">, piedāvājot </w:t>
      </w:r>
      <w:r>
        <w:rPr>
          <w:b/>
        </w:rPr>
        <w:t>paātrinātu atļauju piešķiršanu, kā arī finansiālu un politisku atbalstu</w:t>
      </w:r>
      <w:r>
        <w:t xml:space="preserve"> tiem uzņēmumiem, kas apņēmušies šādi pārkārtoties. </w:t>
      </w:r>
      <w:r>
        <w:rPr>
          <w:b/>
        </w:rPr>
        <w:t>Aprites ekonomikas akta</w:t>
      </w:r>
      <w:r>
        <w:t xml:space="preserve"> priekšlikumā būtu jāsniedz skaidrs vēstījums par </w:t>
      </w:r>
      <w:r>
        <w:rPr>
          <w:b/>
        </w:rPr>
        <w:t xml:space="preserve">atbalstu </w:t>
      </w:r>
      <w:proofErr w:type="spellStart"/>
      <w:r>
        <w:rPr>
          <w:b/>
        </w:rPr>
        <w:t>apritīgiem</w:t>
      </w:r>
      <w:proofErr w:type="spellEnd"/>
      <w:r>
        <w:rPr>
          <w:b/>
        </w:rPr>
        <w:t xml:space="preserve"> uzņēmumiem, tādējādi vairojot ieguldītāju pārliecību, ka ES ir vislabākā vide tīru risinājumu izstrādei</w:t>
      </w:r>
      <w:r>
        <w:t>;</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 xml:space="preserve">uzsver, ka </w:t>
      </w:r>
      <w:proofErr w:type="spellStart"/>
      <w:r>
        <w:rPr>
          <w:b/>
        </w:rPr>
        <w:t>reindustrializācijai</w:t>
      </w:r>
      <w:proofErr w:type="spellEnd"/>
      <w:r>
        <w:rPr>
          <w:b/>
        </w:rPr>
        <w:t xml:space="preserve"> ir nepieciešama īpaša inovācijas programma</w:t>
      </w:r>
      <w:r>
        <w:t xml:space="preserve"> ar konkrētiem </w:t>
      </w:r>
      <w:proofErr w:type="spellStart"/>
      <w:r>
        <w:t>mērķrādītājiem</w:t>
      </w:r>
      <w:proofErr w:type="spellEnd"/>
      <w:r>
        <w:t xml:space="preserve">, kuri aptver gan esošās nozares, gan jaunas norises un kuru pamatā ir sociālais dialogs; </w:t>
      </w:r>
    </w:p>
    <w:p w:rsidRPr="00F73AAC" w:rsidR="001E19E2" w:rsidP="00B60D9A" w:rsidRDefault="001E19E2" w14:paraId="64EDF5D1" w14:textId="14ABE6DE">
      <w:pPr>
        <w:widowControl w:val="0"/>
        <w:numPr>
          <w:ilvl w:val="0"/>
          <w:numId w:val="47"/>
        </w:numPr>
        <w:overflowPunct w:val="0"/>
        <w:autoSpaceDE w:val="0"/>
        <w:autoSpaceDN w:val="0"/>
        <w:adjustRightInd w:val="0"/>
        <w:ind w:left="284" w:hanging="284"/>
        <w:textAlignment w:val="baseline"/>
        <w:rPr>
          <w:b/>
          <w:bCs/>
        </w:rPr>
      </w:pPr>
      <w:r>
        <w:t xml:space="preserve">iesaka </w:t>
      </w:r>
      <w:r>
        <w:rPr>
          <w:b/>
        </w:rPr>
        <w:t>Eiropas Savienībai atbalstīt publiskā un privātā sektora partnerības programmas, kas veicinātu ieguldījumus ražošanā, un izveidot īpašu sadaļu jauniešu uzņēmējdarbības veicināšanai rūpniecības nozarē</w:t>
      </w:r>
      <w:r>
        <w:t>;</w:t>
      </w:r>
      <w:r>
        <w:rPr>
          <w:b/>
        </w:rPr>
        <w:t xml:space="preserve"> </w:t>
      </w:r>
    </w:p>
    <w:p w:rsidRPr="00F73AAC" w:rsidR="001E19E2" w:rsidP="00F73AAC" w:rsidRDefault="00F73AAC" w14:paraId="40794AEF" w14:textId="2DC5094D">
      <w:pPr>
        <w:widowControl w:val="0"/>
        <w:numPr>
          <w:ilvl w:val="0"/>
          <w:numId w:val="47"/>
        </w:numPr>
        <w:overflowPunct w:val="0"/>
        <w:autoSpaceDE w:val="0"/>
        <w:autoSpaceDN w:val="0"/>
        <w:adjustRightInd w:val="0"/>
        <w:ind w:left="284" w:hanging="284"/>
        <w:textAlignment w:val="baseline"/>
        <w:rPr>
          <w:b/>
          <w:bCs/>
        </w:rPr>
      </w:pPr>
      <w:r>
        <w:t xml:space="preserve">aicina </w:t>
      </w:r>
      <w:r>
        <w:rPr>
          <w:b/>
        </w:rPr>
        <w:t>gaidāmajā Komisijas priekšlikumā par prasmju savienību paredzēt, ka darba ņēmēju prasmes tiek tieši atzītas un apstiprinātas visā ES</w:t>
      </w:r>
      <w:r>
        <w:t xml:space="preserve">, tiklīdz tās atzinušas vienas dalībvalsts publiskās iestādes; tas samazinātu birokrātisko slogu. Komisijai jāuzsāk </w:t>
      </w:r>
      <w:r>
        <w:rPr>
          <w:b/>
        </w:rPr>
        <w:t>ES mēroga programma, lai jaunāko paaudžu cilvēkus piesaistītu taisnīgi apmaksātai māceklībai rūpniecības jomā un tādējādi atbalstītu noturīgāka darbaspēka veidošanos</w:t>
      </w:r>
      <w:r>
        <w:t>.</w:t>
      </w:r>
    </w:p>
    <w:p w:rsidRPr="001E19E2" w:rsidR="001E19E2" w:rsidP="001E19E2"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1E19E2" w:rsidR="001E19E2" w:rsidTr="001757A2" w14:paraId="31E7420E" w14:textId="77777777">
        <w:tc>
          <w:tcPr>
            <w:tcW w:w="1418"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t>Kontaktpersona:</w:t>
            </w:r>
          </w:p>
        </w:tc>
        <w:tc>
          <w:tcPr>
            <w:tcW w:w="5670"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 xml:space="preserve">Adam </w:t>
            </w:r>
            <w:proofErr w:type="spellStart"/>
            <w:r>
              <w:rPr>
                <w:i/>
              </w:rPr>
              <w:t>Dorywalski</w:t>
            </w:r>
            <w:proofErr w:type="spellEnd"/>
          </w:p>
        </w:tc>
      </w:tr>
      <w:tr w:rsidRPr="001E19E2" w:rsidR="001E19E2" w:rsidTr="001757A2" w14:paraId="02FDC2A9" w14:textId="77777777">
        <w:tc>
          <w:tcPr>
            <w:tcW w:w="1418"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Tālr.:</w:t>
            </w:r>
          </w:p>
        </w:tc>
        <w:tc>
          <w:tcPr>
            <w:tcW w:w="5670"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1757A2" w14:paraId="14B73272" w14:textId="77777777">
        <w:trPr>
          <w:trHeight w:val="80"/>
        </w:trPr>
        <w:tc>
          <w:tcPr>
            <w:tcW w:w="1418"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E-pasts:</w:t>
            </w:r>
          </w:p>
        </w:tc>
        <w:tc>
          <w:tcPr>
            <w:tcW w:w="5670" w:type="dxa"/>
          </w:tcPr>
          <w:p w:rsidRPr="001E19E2" w:rsidR="001E19E2" w:rsidP="001E19E2" w:rsidRDefault="00742D51" w14:paraId="0DF1EA53" w14:textId="77777777">
            <w:pPr>
              <w:overflowPunct w:val="0"/>
              <w:autoSpaceDE w:val="0"/>
              <w:autoSpaceDN w:val="0"/>
              <w:adjustRightInd w:val="0"/>
              <w:spacing w:line="240" w:lineRule="auto"/>
              <w:textAlignment w:val="baseline"/>
              <w:rPr>
                <w:i/>
              </w:rPr>
            </w:pPr>
            <w:hyperlink w:history="1" r:id="rId55">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742D51"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00E34939">
          <w:rPr>
            <w:b/>
            <w:i/>
            <w:color w:val="0000FF"/>
            <w:sz w:val="28"/>
            <w:u w:val="single"/>
          </w:rPr>
          <w:t>Kritiski svarīgo zāļu akts – saistītās saites</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Ziņotājs</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proofErr w:type="spellStart"/>
            <w:r>
              <w:t>Veselin</w:t>
            </w:r>
            <w:proofErr w:type="spellEnd"/>
            <w:r>
              <w:t xml:space="preserve"> MITOV (Darba ņēmēju grupa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Līdzziņotāja</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proofErr w:type="spellStart"/>
            <w:r>
              <w:t>Elżbieta</w:t>
            </w:r>
            <w:proofErr w:type="spellEnd"/>
            <w:r>
              <w:t xml:space="preserve"> SZADZIŃSKA (3. </w:t>
            </w:r>
            <w:proofErr w:type="spellStart"/>
            <w:r>
              <w:t>kat</w:t>
            </w:r>
            <w:proofErr w:type="spellEnd"/>
            <w:r>
              <w:t>.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Atsauces</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 xml:space="preserve">COM(2025) 102 </w:t>
            </w:r>
            <w:proofErr w:type="spellStart"/>
            <w:r>
              <w:t>final</w:t>
            </w:r>
            <w:proofErr w:type="spellEnd"/>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EESK:</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EE3EBF" w:rsidRDefault="00E34939" w14:paraId="50214082" w14:textId="77777777">
      <w:pPr>
        <w:pStyle w:val="ListParagraph"/>
        <w:numPr>
          <w:ilvl w:val="0"/>
          <w:numId w:val="48"/>
        </w:numPr>
        <w:overflowPunct w:val="0"/>
        <w:autoSpaceDE w:val="0"/>
        <w:autoSpaceDN w:val="0"/>
        <w:adjustRightInd w:val="0"/>
        <w:ind w:left="284" w:hanging="284"/>
        <w:textAlignment w:val="baseline"/>
        <w:rPr>
          <w:szCs w:val="20"/>
        </w:rPr>
      </w:pPr>
      <w:bookmarkStart w:name="_Toc201570906" w:id="19"/>
      <w:r>
        <w:t xml:space="preserve">iesaka </w:t>
      </w:r>
      <w:r>
        <w:rPr>
          <w:b/>
          <w:bCs/>
        </w:rPr>
        <w:t>ievērojami palielināt finansējumu</w:t>
      </w:r>
      <w:r>
        <w:t xml:space="preserve"> Kritiski svarīgo zāļu akta mērķu atbalstam. Būtu jāizveido </w:t>
      </w:r>
      <w:r>
        <w:rPr>
          <w:b/>
        </w:rPr>
        <w:t>īpašs Eiropas fonds izejvielām, aktīvajām farmaceitiskajām vielām (AFV) un kritiski svarīgām zālēm</w:t>
      </w:r>
      <w:r>
        <w:t xml:space="preserve"> ar finansiālām dalībvalstu, Eiropas Investīciju bankas (EIB) un privātā sektora iemaksām. Šim finansējumam būtu jāatbalsta ES bāzēta ražošana, ilgtspējīgu tehnoloģiju pētniecība un izstrāde un jākompensē tie papildu izdevumi, kas ES ražotājus nostāda sliktākās pozīcijās nekā trešo valstu ražotājus;</w:t>
      </w:r>
      <w:bookmarkEnd w:id="19"/>
    </w:p>
    <w:p w:rsidRPr="004B7430" w:rsidR="00E34939" w:rsidP="00EE3EBF" w:rsidRDefault="00E34939" w14:paraId="79209AD6" w14:textId="77777777">
      <w:pPr>
        <w:pStyle w:val="ListParagraph"/>
        <w:numPr>
          <w:ilvl w:val="0"/>
          <w:numId w:val="48"/>
        </w:numPr>
        <w:overflowPunct w:val="0"/>
        <w:autoSpaceDE w:val="0"/>
        <w:autoSpaceDN w:val="0"/>
        <w:adjustRightInd w:val="0"/>
        <w:ind w:left="284" w:hanging="284"/>
        <w:textAlignment w:val="baseline"/>
        <w:rPr>
          <w:szCs w:val="20"/>
        </w:rPr>
      </w:pPr>
      <w:bookmarkStart w:name="_Toc201570907" w:id="20"/>
      <w:r>
        <w:t xml:space="preserve">aicina izveidot </w:t>
      </w:r>
      <w:r>
        <w:rPr>
          <w:b/>
        </w:rPr>
        <w:t xml:space="preserve">pilnībā </w:t>
      </w:r>
      <w:proofErr w:type="spellStart"/>
      <w:r>
        <w:rPr>
          <w:b/>
        </w:rPr>
        <w:t>sadarbspējīgu</w:t>
      </w:r>
      <w:proofErr w:type="spellEnd"/>
      <w:r>
        <w:rPr>
          <w:b/>
        </w:rPr>
        <w:t xml:space="preserve"> ES mēroga datubāzi</w:t>
      </w:r>
      <w:r>
        <w:t xml:space="preserve">, kurā būtu integrētas valstu sistēmas un kas reāllaikā sniegtu informāciju par piegādes ķēdes neaizsargātības faktoriem un nodrošinātu aizsardzību pret </w:t>
      </w:r>
      <w:proofErr w:type="spellStart"/>
      <w:r>
        <w:t>kiberdraudiem</w:t>
      </w:r>
      <w:proofErr w:type="spellEnd"/>
      <w:r>
        <w:t xml:space="preserve">. Finansējums būtu jāpiešķir </w:t>
      </w:r>
      <w:r>
        <w:rPr>
          <w:b/>
          <w:bCs/>
        </w:rPr>
        <w:t>reāllaika izsekošanas sistēmu, agrīnās brīdināšanas mehānismu un digitālo tehnoloģiju</w:t>
      </w:r>
      <w:r>
        <w:t xml:space="preserve"> ieviešanai, lai prognozētu deficītu un uzlabotu reaģēšanu krīzes situācijās;</w:t>
      </w:r>
      <w:bookmarkEnd w:id="20"/>
    </w:p>
    <w:p w:rsidRPr="004B7430" w:rsidR="00E34939" w:rsidP="00EE3EBF" w:rsidRDefault="00E34939" w14:paraId="3B6A2338" w14:textId="77777777">
      <w:pPr>
        <w:pStyle w:val="ListParagraph"/>
        <w:numPr>
          <w:ilvl w:val="0"/>
          <w:numId w:val="48"/>
        </w:numPr>
        <w:overflowPunct w:val="0"/>
        <w:autoSpaceDE w:val="0"/>
        <w:autoSpaceDN w:val="0"/>
        <w:adjustRightInd w:val="0"/>
        <w:ind w:left="284" w:hanging="284"/>
        <w:textAlignment w:val="baseline"/>
        <w:rPr>
          <w:szCs w:val="20"/>
        </w:rPr>
      </w:pPr>
      <w:bookmarkStart w:name="_Toc201570908" w:id="21"/>
      <w:r>
        <w:t xml:space="preserve">uzsver nepieciešamību līdztekus likumdošanas darbam </w:t>
      </w:r>
      <w:r>
        <w:rPr>
          <w:b/>
        </w:rPr>
        <w:t>veikt visaptverošu, uz faktiem balstītu Kritiski svarīgo zāļu akta ietekmes novērtējumu</w:t>
      </w:r>
      <w:r>
        <w:t>. Tam nevajadzētu kavēt ierosinātās regulas pieņemšanu un būtu jāaptver visa piegādes ķēde. Tajā būtu jāskata sociāli ekonomiskie aspekti;</w:t>
      </w:r>
      <w:bookmarkEnd w:id="21"/>
    </w:p>
    <w:p w:rsidRPr="004B7430" w:rsidR="00E34939" w:rsidP="00EE3EBF" w:rsidRDefault="00E34939" w14:paraId="36F56BB7" w14:textId="77777777">
      <w:pPr>
        <w:pStyle w:val="ListParagraph"/>
        <w:numPr>
          <w:ilvl w:val="0"/>
          <w:numId w:val="48"/>
        </w:numPr>
        <w:overflowPunct w:val="0"/>
        <w:autoSpaceDE w:val="0"/>
        <w:autoSpaceDN w:val="0"/>
        <w:adjustRightInd w:val="0"/>
        <w:ind w:left="284" w:hanging="284"/>
        <w:textAlignment w:val="baseline"/>
        <w:rPr>
          <w:b/>
          <w:bCs/>
          <w:szCs w:val="20"/>
        </w:rPr>
      </w:pPr>
      <w:bookmarkStart w:name="_Toc201570909" w:id="22"/>
      <w:r>
        <w:t xml:space="preserve">uzskata, ka Eiropas Savienībai būtu jāiegulda </w:t>
      </w:r>
      <w:r>
        <w:rPr>
          <w:b/>
        </w:rPr>
        <w:t xml:space="preserve">plaša mēroga prasmju pilnveides un </w:t>
      </w:r>
      <w:proofErr w:type="spellStart"/>
      <w:r>
        <w:rPr>
          <w:b/>
        </w:rPr>
        <w:t>pārkvalifikācijas</w:t>
      </w:r>
      <w:proofErr w:type="spellEnd"/>
      <w:r>
        <w:rPr>
          <w:b/>
        </w:rPr>
        <w:t xml:space="preserve"> iniciatīvās</w:t>
      </w:r>
      <w:r>
        <w:t xml:space="preserve"> un jāveido kompetenču centri, bet līdztekus būtu jānodrošina lielāks finansējums profesionālajai izglītībai, māceklībai, universitāšu programmām un uz nozarēm orientētām iniciatīvām;</w:t>
      </w:r>
      <w:bookmarkEnd w:id="22"/>
    </w:p>
    <w:p w:rsidRPr="004B7430" w:rsidR="00E34939" w:rsidP="00EE3EBF" w:rsidRDefault="00E34939" w14:paraId="1C78A75D" w14:textId="77777777">
      <w:pPr>
        <w:pStyle w:val="ListParagraph"/>
        <w:numPr>
          <w:ilvl w:val="0"/>
          <w:numId w:val="48"/>
        </w:numPr>
        <w:overflowPunct w:val="0"/>
        <w:autoSpaceDE w:val="0"/>
        <w:autoSpaceDN w:val="0"/>
        <w:adjustRightInd w:val="0"/>
        <w:ind w:left="284" w:hanging="284"/>
        <w:textAlignment w:val="baseline"/>
        <w:rPr>
          <w:szCs w:val="20"/>
        </w:rPr>
      </w:pPr>
      <w:bookmarkStart w:name="_Toc201570910" w:id="23"/>
      <w:r>
        <w:t xml:space="preserve">iesaka analizēt priekšlikumu par </w:t>
      </w:r>
      <w:r>
        <w:rPr>
          <w:b/>
        </w:rPr>
        <w:t>Kritiski svarīgo zāļu akta integrēšanu plašākā ES stratēģiskās autonomijas un drošības satvarā</w:t>
      </w:r>
      <w:r>
        <w:t xml:space="preserve"> un zāļu piegādes ķēdes atzīt par sabiedrības veselības un Eiropas drošības jautājumu;</w:t>
      </w:r>
      <w:bookmarkEnd w:id="23"/>
    </w:p>
    <w:p w:rsidRPr="004B7430" w:rsidR="00E34939" w:rsidP="00EE3EBF" w:rsidRDefault="00E34939" w14:paraId="70E4EA69" w14:textId="77777777">
      <w:pPr>
        <w:pStyle w:val="ListParagraph"/>
        <w:numPr>
          <w:ilvl w:val="0"/>
          <w:numId w:val="48"/>
        </w:numPr>
        <w:overflowPunct w:val="0"/>
        <w:autoSpaceDE w:val="0"/>
        <w:autoSpaceDN w:val="0"/>
        <w:adjustRightInd w:val="0"/>
        <w:ind w:left="284" w:hanging="284"/>
        <w:textAlignment w:val="baseline"/>
        <w:rPr>
          <w:szCs w:val="20"/>
        </w:rPr>
      </w:pPr>
      <w:bookmarkStart w:name="_Toc201570911" w:id="24"/>
      <w:r>
        <w:t xml:space="preserve">mudina noteikt </w:t>
      </w:r>
      <w:r>
        <w:rPr>
          <w:b/>
        </w:rPr>
        <w:t>stingrus pasākumus, lai garantētu kritiski svarīgo zāļu (tostarp reto slimību ārstēšanai vajadzīgo zāļu) cenu pieejamību</w:t>
      </w:r>
      <w:r>
        <w:t xml:space="preserve">. Šajā nolūkā būtu jāievieš mehānismi zāļu cenu noteikšanas regulēšanai, </w:t>
      </w:r>
      <w:proofErr w:type="spellStart"/>
      <w:r>
        <w:t>pārredzamības</w:t>
      </w:r>
      <w:proofErr w:type="spellEnd"/>
      <w:r>
        <w:t xml:space="preserve"> uzlabošanai un cenu inflācijas novēršanai patērētājiem.</w:t>
      </w:r>
      <w:bookmarkEnd w:id="24"/>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5"/>
        <w:gridCol w:w="5670"/>
      </w:tblGrid>
      <w:tr w:rsidRPr="00E34939" w:rsidR="00E34939" w:rsidTr="001757A2" w14:paraId="0CBCFC05" w14:textId="77777777">
        <w:tc>
          <w:tcPr>
            <w:tcW w:w="1418"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Kontaktpersona:</w:t>
            </w:r>
          </w:p>
        </w:tc>
        <w:tc>
          <w:tcPr>
            <w:tcW w:w="5670"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proofErr w:type="spellStart"/>
            <w:r>
              <w:rPr>
                <w:i/>
              </w:rPr>
              <w:t>Jacopo</w:t>
            </w:r>
            <w:proofErr w:type="spellEnd"/>
            <w:r>
              <w:rPr>
                <w:i/>
              </w:rPr>
              <w:t xml:space="preserve"> Ernesto </w:t>
            </w:r>
            <w:proofErr w:type="spellStart"/>
            <w:r>
              <w:rPr>
                <w:i/>
              </w:rPr>
              <w:t>Caja</w:t>
            </w:r>
            <w:proofErr w:type="spellEnd"/>
          </w:p>
        </w:tc>
      </w:tr>
      <w:tr w:rsidRPr="00E34939" w:rsidR="00E34939" w:rsidTr="001757A2" w14:paraId="1259B2BE" w14:textId="77777777">
        <w:tc>
          <w:tcPr>
            <w:tcW w:w="1418"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Tālr.:</w:t>
            </w:r>
          </w:p>
        </w:tc>
        <w:tc>
          <w:tcPr>
            <w:tcW w:w="5670"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1757A2" w14:paraId="29EF9342" w14:textId="77777777">
        <w:trPr>
          <w:trHeight w:val="80"/>
        </w:trPr>
        <w:tc>
          <w:tcPr>
            <w:tcW w:w="1418"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E-pasts:</w:t>
            </w:r>
          </w:p>
        </w:tc>
        <w:tc>
          <w:tcPr>
            <w:tcW w:w="5670" w:type="dxa"/>
          </w:tcPr>
          <w:p w:rsidRPr="00E34939" w:rsidR="00E34939" w:rsidP="00E34939" w:rsidRDefault="00742D51" w14:paraId="0684A661" w14:textId="77777777">
            <w:pPr>
              <w:overflowPunct w:val="0"/>
              <w:autoSpaceDE w:val="0"/>
              <w:autoSpaceDN w:val="0"/>
              <w:adjustRightInd w:val="0"/>
              <w:spacing w:line="240" w:lineRule="auto"/>
              <w:textAlignment w:val="baseline"/>
              <w:rPr>
                <w:i/>
                <w:iCs/>
              </w:rPr>
            </w:pPr>
            <w:hyperlink w:history="1" r:id="rId57">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742D51"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000F397E">
          <w:rPr>
            <w:b/>
            <w:i/>
            <w:color w:val="0000FF"/>
            <w:sz w:val="28"/>
            <w:u w:val="single"/>
          </w:rPr>
          <w:t xml:space="preserve">Eiropas rīcības plāns slimnīcu un veselības aprūpes sniedzēju </w:t>
        </w:r>
        <w:proofErr w:type="spellStart"/>
        <w:r w:rsidR="000F397E">
          <w:rPr>
            <w:b/>
            <w:i/>
            <w:color w:val="0000FF"/>
            <w:sz w:val="28"/>
            <w:u w:val="single"/>
          </w:rPr>
          <w:t>kiberdrošības</w:t>
        </w:r>
        <w:proofErr w:type="spellEnd"/>
        <w:r w:rsidR="000F397E">
          <w:rPr>
            <w:b/>
            <w:i/>
            <w:color w:val="0000FF"/>
            <w:sz w:val="28"/>
            <w:u w:val="single"/>
          </w:rPr>
          <w:t xml:space="preserve"> jomā</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Ziņotājs</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proofErr w:type="spellStart"/>
            <w:r>
              <w:t>Alain</w:t>
            </w:r>
            <w:proofErr w:type="spellEnd"/>
            <w:r>
              <w:t> COHEUR (Pilsoniskās sabiedrības organizāciju grupa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Līdzziņotājs</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proofErr w:type="spellStart"/>
            <w:r>
              <w:t>Hervé</w:t>
            </w:r>
            <w:proofErr w:type="spellEnd"/>
            <w:r>
              <w:t xml:space="preserve"> JEANNIN (2. </w:t>
            </w:r>
            <w:proofErr w:type="spellStart"/>
            <w:r>
              <w:t>kat</w:t>
            </w:r>
            <w:proofErr w:type="spellEnd"/>
            <w:r>
              <w:t>.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Atsauces</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 xml:space="preserve">COM(2025) 10 </w:t>
            </w:r>
            <w:proofErr w:type="spellStart"/>
            <w:r>
              <w:t>final</w:t>
            </w:r>
            <w:proofErr w:type="spellEnd"/>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Galvenās nostādnes</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EESK:</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D63AF4" w:rsidRDefault="000F397E" w14:paraId="1E06DD98"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2" w:id="25"/>
      <w:r>
        <w:t xml:space="preserve">atzinīgi vērtē Eiropas rīcības plānā attiecībā uz slimnīcu un veselības aprūpes sniedzēju </w:t>
      </w:r>
      <w:proofErr w:type="spellStart"/>
      <w:r>
        <w:t>kiberdrošību</w:t>
      </w:r>
      <w:proofErr w:type="spellEnd"/>
      <w:r>
        <w:t xml:space="preserve"> izvirzīto mērķu vērienu un šim jautājumam pievērsto uzmanību. </w:t>
      </w:r>
      <w:proofErr w:type="spellStart"/>
      <w:r>
        <w:t>Kiberdrošības</w:t>
      </w:r>
      <w:proofErr w:type="spellEnd"/>
      <w:r>
        <w:t xml:space="preserve"> uzlabošana veselības nozarē uzlabo vispārējo drošību un noturību un veicina sagatavotības savienību;</w:t>
      </w:r>
      <w:bookmarkEnd w:id="25"/>
    </w:p>
    <w:p w:rsidRPr="002666A0" w:rsidR="000F397E" w:rsidP="00D63AF4" w:rsidRDefault="000F397E" w14:paraId="086FD83B"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3" w:id="26"/>
      <w:r>
        <w:t>pauž nožēlu, ka joprojām nav atrisināts jautājums par finansiālo atbalstu rīcības plāna īstenošanai. EESK mudina Komisiju nodrošināt tematisko koncentrāciju finansiālajam atbalstam no kohēzijas fondiem;</w:t>
      </w:r>
      <w:bookmarkEnd w:id="26"/>
    </w:p>
    <w:p w:rsidRPr="002666A0" w:rsidR="000F397E" w:rsidP="00D63AF4" w:rsidRDefault="000F397E" w14:paraId="45C6F1E7"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4" w:id="27"/>
      <w:r>
        <w:t xml:space="preserve">pieņem zināšanai, ka </w:t>
      </w:r>
      <w:r>
        <w:rPr>
          <w:i/>
          <w:iCs/>
        </w:rPr>
        <w:t>ENISA</w:t>
      </w:r>
      <w:r>
        <w:t xml:space="preserve"> atbalstam ir piešķirti 6 miljoni EUR, taču uzsver, ka, ņemot vērā jautājuma nozīmīgumu, finansējums ir nepietiekams;</w:t>
      </w:r>
      <w:bookmarkEnd w:id="27"/>
    </w:p>
    <w:p w:rsidRPr="002666A0" w:rsidR="000F397E" w:rsidP="00D63AF4" w:rsidRDefault="000F397E" w14:paraId="7C3AF3AC"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5" w:id="28"/>
      <w:r>
        <w:t xml:space="preserve">iesaka palielināt izpratni par digitālās higiēnas </w:t>
      </w:r>
      <w:proofErr w:type="spellStart"/>
      <w:r>
        <w:t>pamatpraksi</w:t>
      </w:r>
      <w:proofErr w:type="spellEnd"/>
      <w:r>
        <w:t>; investēt digitālajos dvīņos, kas paredzēti slimnīcām, veselības aprūpes sistēmām vai medicīnas ierīcēm, lai atvieglotu kvalitātes nodrošināšanu un testēšanu; sniegt tehnisko palīdzību nelielām medicīnas nodaļām, kurās nav IT dienestu; investēt stratēģiskajās tehniskajās spējās;</w:t>
      </w:r>
      <w:bookmarkEnd w:id="28"/>
    </w:p>
    <w:p w:rsidRPr="002666A0" w:rsidR="000F397E" w:rsidP="00D63AF4" w:rsidRDefault="000F397E" w14:paraId="7CA2F5A2"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6" w:id="29"/>
      <w:r>
        <w:t xml:space="preserve">vēlas vērst uzmanību uz virkni piesardzības un preventīvu pasākumu, kas uzlabotu aizsardzības līmeni veselības aprūpes nozarē un samazinātu kiberuzbrukumu risku: veikt atbilstošus testus, izstrādāt darbības nepārtrauktības plānus, kurus regulāri atjaunina un pārskata gan iekšēji, gan ārēji neatkarīgi revidenti; uzraudzīt uzraudzības un sanācijas </w:t>
      </w:r>
      <w:proofErr w:type="spellStart"/>
      <w:r>
        <w:t>paraugpraksi</w:t>
      </w:r>
      <w:proofErr w:type="spellEnd"/>
      <w:r>
        <w:t>;</w:t>
      </w:r>
      <w:bookmarkEnd w:id="29"/>
    </w:p>
    <w:p w:rsidRPr="002666A0" w:rsidR="000F397E" w:rsidP="00D63AF4" w:rsidRDefault="000F397E" w14:paraId="12B63447" w14:textId="77777777">
      <w:pPr>
        <w:pStyle w:val="ListParagraph"/>
        <w:numPr>
          <w:ilvl w:val="0"/>
          <w:numId w:val="49"/>
        </w:numPr>
        <w:overflowPunct w:val="0"/>
        <w:autoSpaceDE w:val="0"/>
        <w:autoSpaceDN w:val="0"/>
        <w:adjustRightInd w:val="0"/>
        <w:ind w:left="284" w:hanging="284"/>
        <w:textAlignment w:val="baseline"/>
        <w:rPr>
          <w:szCs w:val="20"/>
        </w:rPr>
      </w:pPr>
      <w:bookmarkStart w:name="_Toc201570917" w:id="30"/>
      <w:r>
        <w:t xml:space="preserve">iesaka kopā ar sociālajiem partneriem izstrādāt pastāvīgus mācību un apmācības plānus un mehānismus zināšanu nodošanai starp dažādām struktūrām un profesionālām ieinteresētajām personām, lai risinātu problēmas </w:t>
      </w:r>
      <w:proofErr w:type="spellStart"/>
      <w:r>
        <w:t>kiberdrošības</w:t>
      </w:r>
      <w:proofErr w:type="spellEnd"/>
      <w:r>
        <w:t>, ētikas, privātuma un mākslīgā intelekta jomā.</w:t>
      </w:r>
      <w:bookmarkEnd w:id="30"/>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7372"/>
      </w:tblGrid>
      <w:tr w:rsidRPr="000F397E" w:rsidR="000F397E" w:rsidTr="001757A2" w14:paraId="4456BAA8" w14:textId="77777777">
        <w:tc>
          <w:tcPr>
            <w:tcW w:w="985"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Kontaktpersona:</w:t>
            </w:r>
          </w:p>
        </w:tc>
        <w:tc>
          <w:tcPr>
            <w:tcW w:w="4015"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proofErr w:type="spellStart"/>
            <w:r>
              <w:rPr>
                <w:i/>
                <w:iCs/>
              </w:rPr>
              <w:t>Ioannis</w:t>
            </w:r>
            <w:proofErr w:type="spellEnd"/>
            <w:r>
              <w:rPr>
                <w:i/>
                <w:iCs/>
              </w:rPr>
              <w:t xml:space="preserve"> </w:t>
            </w:r>
            <w:proofErr w:type="spellStart"/>
            <w:r>
              <w:rPr>
                <w:i/>
                <w:iCs/>
              </w:rPr>
              <w:t>Diamantopoulos</w:t>
            </w:r>
            <w:proofErr w:type="spellEnd"/>
          </w:p>
        </w:tc>
      </w:tr>
      <w:tr w:rsidRPr="000F397E" w:rsidR="000F397E" w:rsidTr="001757A2" w14:paraId="084C83C0" w14:textId="77777777">
        <w:tc>
          <w:tcPr>
            <w:tcW w:w="985"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Tālr.:</w:t>
            </w:r>
          </w:p>
        </w:tc>
        <w:tc>
          <w:tcPr>
            <w:tcW w:w="4015"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1757A2" w14:paraId="27237F5B" w14:textId="77777777">
        <w:tc>
          <w:tcPr>
            <w:tcW w:w="985"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E-pasts:</w:t>
            </w:r>
          </w:p>
        </w:tc>
        <w:tc>
          <w:tcPr>
            <w:tcW w:w="4015" w:type="pct"/>
          </w:tcPr>
          <w:p w:rsidR="000F397E" w:rsidP="000F397E" w:rsidRDefault="00742D51" w14:paraId="178AEB8A" w14:textId="77777777">
            <w:pPr>
              <w:overflowPunct w:val="0"/>
              <w:autoSpaceDE w:val="0"/>
              <w:autoSpaceDN w:val="0"/>
              <w:adjustRightInd w:val="0"/>
              <w:spacing w:line="240" w:lineRule="auto"/>
              <w:textAlignment w:val="baseline"/>
            </w:pPr>
            <w:hyperlink w:history="1" r:id="rId59">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CA56" w14:textId="77777777" w:rsidR="00B46980" w:rsidRDefault="00B46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742D51">
      <w:fldChar w:fldCharType="begin"/>
    </w:r>
    <w:r w:rsidR="00742D51">
      <w:instrText xml:space="preserve"> NUMPAGES </w:instrText>
    </w:r>
    <w:r w:rsidR="00742D51">
      <w:fldChar w:fldCharType="separate"/>
    </w:r>
    <w:r w:rsidR="00381CCE">
      <w:t>2</w:t>
    </w:r>
    <w:r w:rsidR="00742D5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683E" w14:textId="77777777" w:rsidR="00B46980" w:rsidRDefault="00B469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742D51">
      <w:fldChar w:fldCharType="begin"/>
    </w:r>
    <w:r w:rsidR="00742D51">
      <w:instrText xml:space="preserve"> NUMPAGES </w:instrText>
    </w:r>
    <w:r w:rsidR="00742D51">
      <w:fldChar w:fldCharType="separate"/>
    </w:r>
    <w:r>
      <w:t>28</w:t>
    </w:r>
    <w:r w:rsidR="00742D5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019F" w14:textId="77777777" w:rsidR="00B46980" w:rsidRDefault="00B46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816A" w14:textId="77777777" w:rsidR="00B46980" w:rsidRDefault="00B469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6929" w14:textId="77777777" w:rsidR="00B46980" w:rsidRDefault="00B46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70A29658"/>
    <w:lvl w:ilvl="0" w:tplc="53FE8D76">
      <w:start w:val="1"/>
      <w:numFmt w:val="bullet"/>
      <w:lvlText w:val=""/>
      <w:lvlJc w:val="left"/>
      <w:pPr>
        <w:ind w:left="720" w:hanging="360"/>
      </w:pPr>
      <w:rPr>
        <w:rFonts w:ascii="Symbol" w:hAnsi="Symbol" w:hint="default"/>
        <w:color w:val="auto"/>
        <w:sz w:val="16"/>
        <w:szCs w:val="16"/>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43305"/>
    <w:rsid w:val="00055407"/>
    <w:rsid w:val="00063DFF"/>
    <w:rsid w:val="0007438B"/>
    <w:rsid w:val="00075030"/>
    <w:rsid w:val="000959E6"/>
    <w:rsid w:val="000A075F"/>
    <w:rsid w:val="000B118F"/>
    <w:rsid w:val="000C63A4"/>
    <w:rsid w:val="000D394D"/>
    <w:rsid w:val="000E6568"/>
    <w:rsid w:val="000F397E"/>
    <w:rsid w:val="000F5675"/>
    <w:rsid w:val="00123381"/>
    <w:rsid w:val="00156D53"/>
    <w:rsid w:val="00171B2B"/>
    <w:rsid w:val="0019737D"/>
    <w:rsid w:val="001A0F35"/>
    <w:rsid w:val="001B63A4"/>
    <w:rsid w:val="001B7DAA"/>
    <w:rsid w:val="001C720D"/>
    <w:rsid w:val="001E19E2"/>
    <w:rsid w:val="001E391D"/>
    <w:rsid w:val="0020025C"/>
    <w:rsid w:val="00212375"/>
    <w:rsid w:val="00221E10"/>
    <w:rsid w:val="00231020"/>
    <w:rsid w:val="00240934"/>
    <w:rsid w:val="00240FD7"/>
    <w:rsid w:val="00254761"/>
    <w:rsid w:val="0026311A"/>
    <w:rsid w:val="002666A0"/>
    <w:rsid w:val="00272F7F"/>
    <w:rsid w:val="002950A0"/>
    <w:rsid w:val="002A5636"/>
    <w:rsid w:val="002B7981"/>
    <w:rsid w:val="002E1FD0"/>
    <w:rsid w:val="00303A9D"/>
    <w:rsid w:val="003066BE"/>
    <w:rsid w:val="003151D0"/>
    <w:rsid w:val="003161AA"/>
    <w:rsid w:val="00320FF5"/>
    <w:rsid w:val="003227CC"/>
    <w:rsid w:val="0034685F"/>
    <w:rsid w:val="00351E5A"/>
    <w:rsid w:val="003572EF"/>
    <w:rsid w:val="00381CCE"/>
    <w:rsid w:val="00382E57"/>
    <w:rsid w:val="003B35DF"/>
    <w:rsid w:val="003C2D04"/>
    <w:rsid w:val="003F1917"/>
    <w:rsid w:val="003F326D"/>
    <w:rsid w:val="003F79EF"/>
    <w:rsid w:val="0043191A"/>
    <w:rsid w:val="00432B76"/>
    <w:rsid w:val="00435492"/>
    <w:rsid w:val="00450837"/>
    <w:rsid w:val="004721D7"/>
    <w:rsid w:val="004801BE"/>
    <w:rsid w:val="004A5CD7"/>
    <w:rsid w:val="004B7430"/>
    <w:rsid w:val="004B7C66"/>
    <w:rsid w:val="004D7AC0"/>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4222"/>
    <w:rsid w:val="007F5784"/>
    <w:rsid w:val="0080201B"/>
    <w:rsid w:val="00805E64"/>
    <w:rsid w:val="00844CF3"/>
    <w:rsid w:val="00845F24"/>
    <w:rsid w:val="00863217"/>
    <w:rsid w:val="0088219D"/>
    <w:rsid w:val="0089162C"/>
    <w:rsid w:val="008943CC"/>
    <w:rsid w:val="008B600E"/>
    <w:rsid w:val="00922462"/>
    <w:rsid w:val="00942860"/>
    <w:rsid w:val="009770F1"/>
    <w:rsid w:val="00993832"/>
    <w:rsid w:val="009964F4"/>
    <w:rsid w:val="009A3B12"/>
    <w:rsid w:val="009F0605"/>
    <w:rsid w:val="009F43C9"/>
    <w:rsid w:val="00A1625F"/>
    <w:rsid w:val="00A174E9"/>
    <w:rsid w:val="00A20E9D"/>
    <w:rsid w:val="00A272B2"/>
    <w:rsid w:val="00A50553"/>
    <w:rsid w:val="00A6461A"/>
    <w:rsid w:val="00A9750A"/>
    <w:rsid w:val="00AC3348"/>
    <w:rsid w:val="00AC3821"/>
    <w:rsid w:val="00AE1A95"/>
    <w:rsid w:val="00AE7912"/>
    <w:rsid w:val="00AF27EF"/>
    <w:rsid w:val="00B203DA"/>
    <w:rsid w:val="00B46980"/>
    <w:rsid w:val="00B518C9"/>
    <w:rsid w:val="00B52F62"/>
    <w:rsid w:val="00B55ED1"/>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D04355"/>
    <w:rsid w:val="00D228C8"/>
    <w:rsid w:val="00D264E4"/>
    <w:rsid w:val="00D43613"/>
    <w:rsid w:val="00D5108B"/>
    <w:rsid w:val="00D63AF4"/>
    <w:rsid w:val="00D7076A"/>
    <w:rsid w:val="00D81F5E"/>
    <w:rsid w:val="00D92269"/>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EE3EBF"/>
    <w:rsid w:val="00F225C2"/>
    <w:rsid w:val="00F267B0"/>
    <w:rsid w:val="00F73AAC"/>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lv/our-work/opinions-information-reports/opinions/assessing-tax-reporting-obligations-eu" TargetMode="External"/><Relationship Id="rId21" Type="http://schemas.openxmlformats.org/officeDocument/2006/relationships/hyperlink" Target="https://www.eesc.europa.eu/lv/documents/resolution/eesc-contribution-2026-european-commission-work-programme" TargetMode="External"/><Relationship Id="rId34" Type="http://schemas.openxmlformats.org/officeDocument/2006/relationships/hyperlink" Target="https://www.eesc.europa.eu/lv/our-work/opinions-information-reports/opinions/future-eu-strategy-rights-persons-disabilities-post-2025" TargetMode="External"/><Relationship Id="rId42" Type="http://schemas.openxmlformats.org/officeDocument/2006/relationships/hyperlink" Target="https://www.eesc.europa.eu/lv/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lv/our-work/opinions-information-reports/opinions/roadmap-womens-rights" TargetMode="External"/><Relationship Id="rId32" Type="http://schemas.openxmlformats.org/officeDocument/2006/relationships/hyperlink" Target="https://www.eesc.europa.eu/lv/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www.eesc.europa.eu/lv/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lv/our-work/opinions-information-reports/opinions/reindustrialisation-europe-opportunity-businesses-employees-and-citizens-context-cost-living-crisis" TargetMode="External"/><Relationship Id="rId58" Type="http://schemas.openxmlformats.org/officeDocument/2006/relationships/hyperlink" Target="https://www.eesc.europa.eu/lv/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en/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lv/our-work/opinions-information-reports/opinions/regenerative-agriculture-target-towards-enhancing-sustainable-food-production-supporting-climate-and-biodiversity" TargetMode="External"/><Relationship Id="rId56" Type="http://schemas.openxmlformats.org/officeDocument/2006/relationships/hyperlink" Target="https://www.eesc.europa.eu/lv/our-work/opinions-information-reports/opinions/critical-medicines-act/related-links-ccmi-240"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lv/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lv/our-work/opinions-information-reports/opinions/support-workers-affected-imminent-job-displacement-enterprises-undergoing-restructuring" TargetMode="External"/><Relationship Id="rId46" Type="http://schemas.openxmlformats.org/officeDocument/2006/relationships/hyperlink" Target="https://www.eesc.europa.eu/lv/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lv/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lv/our-work/opinions-information-reports/opinions/additional-assistance-outermost-regions" TargetMode="External"/><Relationship Id="rId36" Type="http://schemas.openxmlformats.org/officeDocument/2006/relationships/hyperlink" Target="https://www.eesc.europa.eu/lv/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lv/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lv/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A6WAAD5KZT2Q-293470456-8453</_dlc_DocId>
    <_dlc_DocIdUrl xmlns="1a33af13-4045-4f88-9d7b-618e30f79918">
      <Url>http://dm/eesc/2025/_layouts/15/DocIdRedir.aspx?ID=A6WAAD5KZT2Q-293470456-8453</Url>
      <Description>A6WAAD5KZT2Q-293470456-8453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2025-07-01T12:00:00+00:00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Goba Evija</DisplayName>
        <AccountId>1610</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91F26D78-50D0-4323-8191-B4015FE66706}"/>
</file>

<file path=customXml/itemProps2.xml><?xml version="1.0" encoding="utf-8"?>
<ds:datastoreItem xmlns:ds="http://schemas.openxmlformats.org/officeDocument/2006/customXml" ds:itemID="{E256B570-FA2E-4128-98C7-67401EB2AACA}"/>
</file>

<file path=customXml/itemProps3.xml><?xml version="1.0" encoding="utf-8"?>
<ds:datastoreItem xmlns:ds="http://schemas.openxmlformats.org/officeDocument/2006/customXml" ds:itemID="{1BBD8445-EEE1-4123-9264-659D1AEF33A0}"/>
</file>

<file path=customXml/itemProps4.xml><?xml version="1.0" encoding="utf-8"?>
<ds:datastoreItem xmlns:ds="http://schemas.openxmlformats.org/officeDocument/2006/customXml" ds:itemID="{4E199047-B3D7-49CB-BEDB-3DF4A22A0A16}"/>
</file>

<file path=docProps/app.xml><?xml version="1.0" encoding="utf-8"?>
<Properties xmlns="http://schemas.openxmlformats.org/officeDocument/2006/extended-properties" xmlns:vt="http://schemas.openxmlformats.org/officeDocument/2006/docPropsVTypes">
  <Template>Normal.dotm</Template>
  <TotalTime>0</TotalTime>
  <Pages>25</Pages>
  <Words>7310</Words>
  <Characters>41670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48883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597. plenārsesijā pieņemto atzinumu kopsavilkums - 2025. gada jūnijs </dc:title>
  <dc:subject>TCD</dc:subject>
  <dc:creator>Nieddu Emma</dc:creator>
  <cp:keywords>EESC-2025-01645-00-00-TCD-TRA-EN</cp:keywords>
  <dc:description>Rapporteur:  - Original language: EN - Date of document: 01/07/2025 - Date of meeting: 30/16/2025 14:30 - External documents:  - Administrator: MME TAMASAUSKIENE Julija</dc:description>
  <cp:lastModifiedBy>Goba Evija</cp:lastModifiedBy>
  <cp:revision>16</cp:revision>
  <dcterms:created xsi:type="dcterms:W3CDTF">2025-06-24T14:06:00Z</dcterms:created>
  <dcterms:modified xsi:type="dcterms:W3CDTF">2025-07-01T10:12:00Z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18425b74-57d6-43b2-ac02-e4392fabe0f8</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ES|e7a6b05b-ae16-40c8-add9-68b64b03aeba;EN|f2175f21-25d7-44a3-96da-d6a61b075e1b;DE|f6b31e5a-26fa-4935-b661-318e46daf27e;HR|2f555653-ed1a-4fe6-8362-9082d95989e5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50;#HR|2f555653-ed1a-4fe6-8362-9082d95989e5;#8;#Final|ea5e6674-7b27-4bac-b091-73adbb394efe;#23;#DE|f6b31e5a-26fa-4935-b661-318e46daf27e;#5;#EN|f2175f21-25d7-44a3-96da-d6a61b075e1b;#19;#TCD|cd9d6eb6-3f4f-424a-b2d1-57c9d450eaaf;#1;#EESC|422833ec-8d7e-4e65-8e4e-8bed07ffb729;#16;#ES|e7a6b05b-ae16-40c8-add9-68b64b03aeba</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39;#LV|46f7e311-5d9f-4663-b433-18aeccb7ace7</vt:lpwstr>
  </property>
  <property fmtid="{D5CDD505-2E9C-101B-9397-08002B2CF9AE}" pid="38" name="_docset_NoMedatataSyncRequired">
    <vt:lpwstr>False</vt:lpwstr>
  </property>
</Properties>
</file>