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4D7AC0" w:rsidRDefault="004C6383" w14:paraId="4982DD4D" w14:textId="61797DE5">
      <w:pPr>
        <w:jc w:val="center"/>
      </w:pPr>
      <w:r>
        <w:rPr>
          <w:noProof/>
        </w:rPr>
        <w:drawing>
          <wp:inline distT="0" distB="0" distL="0" distR="0" wp14:anchorId="286CE582" wp14:editId="26032399">
            <wp:extent cx="1792605" cy="1239520"/>
            <wp:effectExtent l="0" t="0" r="0" b="0"/>
            <wp:docPr id="1" name="Picture 1" title="EESCLogo_FI"/>
            <wp:cNvGraphicFramePr/>
            <a:graphic xmlns:a="http://schemas.openxmlformats.org/drawingml/2006/main">
              <a:graphicData uri="http://schemas.openxmlformats.org/drawingml/2006/picture">
                <pic:pic xmlns:pic="http://schemas.openxmlformats.org/drawingml/2006/picture">
                  <pic:nvPicPr>
                    <pic:cNvPr id="1" name="Picture 1" title="EESCLogo_FI"/>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editId="0CDFA7D1"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FI</w:t>
                      </w:r>
                    </w:p>
                  </w:txbxContent>
                </v:textbox>
                <w10:wrap anchorx="page" anchory="page"/>
              </v:shape>
            </w:pict>
          </mc:Fallback>
        </mc:AlternateContent>
      </w:r>
    </w:p>
    <w:p w:rsidR="004D7AC0" w:rsidP="004D7AC0" w:rsidRDefault="004D7AC0" w14:paraId="4982DD4E" w14:textId="77777777"/>
    <w:p w:rsidR="004D7AC0" w:rsidP="004D7AC0" w:rsidRDefault="004D7AC0" w14:paraId="4982DD4F" w14:textId="030EEE42">
      <w:pPr>
        <w:jc w:val="right"/>
      </w:pPr>
      <w:r>
        <w:t>Bryssel 27. kesäkuuta 2025</w:t>
      </w:r>
    </w:p>
    <w:p w:rsidR="004D7AC0" w:rsidP="004D7AC0" w:rsidRDefault="004D7AC0" w14:paraId="4982DD50" w14:textId="77777777"/>
    <w:p w:rsidR="004D7AC0" w:rsidP="004D7AC0" w:rsidRDefault="004D7AC0" w14:paraId="4982DD51" w14:textId="77777777"/>
    <w:p w:rsidR="004D7AC0" w:rsidP="004D7AC0" w:rsidRDefault="004D7AC0" w14:paraId="4982DD52" w14:textId="77777777"/>
    <w:tbl>
      <w:tblPr>
        <w:tblW w:w="0" w:type="auto"/>
        <w:tblLook w:val="04A0" w:firstRow="1" w:lastRow="0" w:firstColumn="1" w:lastColumn="0" w:noHBand="0" w:noVBand="1"/>
      </w:tblPr>
      <w:tblGrid>
        <w:gridCol w:w="9289"/>
      </w:tblGrid>
      <w:tr w:rsidR="004D7AC0" w:rsidTr="00600C84" w14:paraId="4982DD59" w14:textId="77777777">
        <w:tc>
          <w:tcPr>
            <w:tcW w:w="9289" w:type="dxa"/>
            <w:tcBorders>
              <w:bottom w:val="double" w:color="auto" w:sz="4" w:space="0"/>
            </w:tcBorders>
          </w:tcPr>
          <w:p w:rsidR="003066BE" w:rsidP="00600C84" w:rsidRDefault="006537CB" w14:paraId="4982DD53" w14:textId="1FE991DD">
            <w:pPr>
              <w:snapToGrid w:val="0"/>
              <w:jc w:val="center"/>
              <w:rPr>
                <w:b/>
                <w:sz w:val="32"/>
                <w:szCs w:val="32"/>
              </w:rPr>
            </w:pPr>
            <w:r>
              <w:rPr>
                <w:b/>
                <w:sz w:val="32"/>
              </w:rPr>
              <w:t>597. TÄYSISTUNTO</w:t>
            </w:r>
          </w:p>
          <w:p w:rsidR="003066BE" w:rsidP="00600C84" w:rsidRDefault="003066BE" w14:paraId="4982DD54" w14:textId="77777777">
            <w:pPr>
              <w:snapToGrid w:val="0"/>
              <w:jc w:val="center"/>
              <w:rPr>
                <w:b/>
                <w:sz w:val="32"/>
                <w:szCs w:val="32"/>
              </w:rPr>
            </w:pPr>
          </w:p>
          <w:p w:rsidR="003066BE" w:rsidP="00600C84" w:rsidRDefault="00D228C8" w14:paraId="4982DD55" w14:textId="7766F7F0">
            <w:pPr>
              <w:snapToGrid w:val="0"/>
              <w:jc w:val="center"/>
              <w:rPr>
                <w:b/>
                <w:sz w:val="32"/>
                <w:szCs w:val="32"/>
              </w:rPr>
            </w:pPr>
            <w:r>
              <w:rPr>
                <w:b/>
                <w:sz w:val="32"/>
              </w:rPr>
              <w:t>18. ja 19. kesäkuuta 2025</w:t>
            </w:r>
          </w:p>
          <w:p w:rsidR="003066BE" w:rsidP="00600C84" w:rsidRDefault="003066BE" w14:paraId="4982DD56" w14:textId="77777777">
            <w:pPr>
              <w:snapToGrid w:val="0"/>
              <w:jc w:val="center"/>
              <w:rPr>
                <w:b/>
                <w:sz w:val="32"/>
                <w:szCs w:val="32"/>
              </w:rPr>
            </w:pPr>
          </w:p>
          <w:p w:rsidRPr="0081153B" w:rsidR="004D7AC0" w:rsidP="00600C84" w:rsidRDefault="00754027" w14:paraId="4982DD57" w14:textId="5A35E792">
            <w:pPr>
              <w:snapToGrid w:val="0"/>
              <w:jc w:val="center"/>
              <w:rPr>
                <w:rFonts w:eastAsia="MS Mincho"/>
                <w:b/>
                <w:sz w:val="32"/>
                <w:szCs w:val="32"/>
              </w:rPr>
            </w:pPr>
            <w:r>
              <w:rPr>
                <w:b/>
                <w:sz w:val="32"/>
              </w:rPr>
              <w:t>YHTEENVETO HYVÄKSYTYISTÄ LAUSUNNOISTA, PÄÄTÖSLAUSELMISTA JA TIEDOTUS-/ARVIOINTIKERTOMUKSISTA</w:t>
            </w:r>
          </w:p>
          <w:p w:rsidR="004D7AC0" w:rsidP="00600C84" w:rsidRDefault="004D7AC0" w14:paraId="4982DD58" w14:textId="77777777">
            <w:pPr>
              <w:snapToGrid w:val="0"/>
            </w:pPr>
          </w:p>
        </w:tc>
      </w:tr>
      <w:tr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600C84" w:rsidRDefault="004D7AC0" w14:paraId="4982DD5A" w14:textId="0C0FF99D">
            <w:pPr>
              <w:snapToGrid w:val="0"/>
              <w:jc w:val="center"/>
            </w:pPr>
            <w:r>
              <w:t xml:space="preserve">Asiakirja on saatavilla unionin virallisilla kielillä </w:t>
            </w:r>
            <w:proofErr w:type="spellStart"/>
            <w:r>
              <w:t>ETSK:n</w:t>
            </w:r>
            <w:proofErr w:type="spellEnd"/>
            <w:r>
              <w:t xml:space="preserve"> verkkosivuilla osoitteessa</w:t>
            </w:r>
            <w:r>
              <w:br/>
            </w:r>
            <w:r>
              <w:br/>
            </w:r>
            <w:hyperlink w:history="1" r:id="rId13">
              <w:r>
                <w:rPr>
                  <w:rStyle w:val="Hyperlink"/>
                </w:rPr>
                <w:t>https://www.eesc.europa.eu/fi/our-work/opinions-information-reports/plenary-session-summaries</w:t>
              </w:r>
            </w:hyperlink>
          </w:p>
          <w:p w:rsidRPr="0081153B" w:rsidR="004D7AC0" w:rsidP="00600C84" w:rsidRDefault="004D7AC0" w14:paraId="4982DD5B" w14:textId="77777777">
            <w:pPr>
              <w:snapToGrid w:val="0"/>
              <w:jc w:val="center"/>
            </w:pPr>
          </w:p>
          <w:p w:rsidRPr="0081153B" w:rsidR="004D7AC0" w:rsidP="00600C84" w:rsidRDefault="004D7AC0" w14:paraId="4982DD5C" w14:textId="77777777">
            <w:pPr>
              <w:snapToGrid w:val="0"/>
              <w:jc w:val="center"/>
              <w:rPr>
                <w:rFonts w:eastAsia="SimSun"/>
              </w:rPr>
            </w:pPr>
          </w:p>
          <w:p w:rsidRPr="00044561" w:rsidR="004D7AC0" w:rsidP="00600C84" w:rsidRDefault="004D7AC0" w14:paraId="4982DD5D" w14:textId="77777777">
            <w:pPr>
              <w:snapToGrid w:val="0"/>
              <w:jc w:val="center"/>
            </w:pPr>
            <w:r>
              <w:t>Mainitut lausunnot ovat haettavissa sähköisessä muodossa komitean hakukoneella:</w:t>
            </w:r>
            <w:r>
              <w:br/>
            </w:r>
            <w:r>
              <w:br/>
            </w:r>
            <w:hyperlink w:history="1" r:id="rId14">
              <w:r>
                <w:rPr>
                  <w:rStyle w:val="Hyperlink"/>
                </w:rPr>
                <w:t>https://dmsearch.eesc.europa.eu/search/opinion</w:t>
              </w:r>
            </w:hyperlink>
          </w:p>
          <w:p w:rsidRPr="00044561" w:rsidR="004D7AC0" w:rsidP="00600C84" w:rsidRDefault="004D7AC0" w14:paraId="4982DD5E" w14:textId="77777777">
            <w:pPr>
              <w:snapToGrid w:val="0"/>
              <w:jc w:val="center"/>
            </w:pPr>
          </w:p>
        </w:tc>
      </w:tr>
    </w:tbl>
    <w:p w:rsidR="004D7AC0" w:rsidP="004D7AC0" w:rsidRDefault="004D7AC0" w14:paraId="4982DD60" w14:textId="77777777"/>
    <w:p w:rsidR="004D7AC0" w:rsidP="004D7AC0" w:rsidRDefault="004D7AC0" w14:paraId="4982DD61" w14:textId="77777777"/>
    <w:p w:rsidR="004D7AC0" w:rsidP="004D7AC0" w:rsidRDefault="004D7AC0" w14:paraId="4982DD62" w14:textId="77777777">
      <w:pPr>
        <w:sectPr w:rsidR="004D7AC0" w:rsidSect="00055407">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A81AFE" w:rsidR="004D7AC0" w:rsidP="004D7AC0" w:rsidRDefault="004D7AC0" w14:paraId="4982DD63" w14:textId="77777777">
      <w:pPr>
        <w:rPr>
          <w:b/>
        </w:rPr>
      </w:pPr>
      <w:r>
        <w:rPr>
          <w:b/>
        </w:rPr>
        <w:lastRenderedPageBreak/>
        <w:t>Sisällys</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4D7AC0" w:rsidRDefault="004D7AC0" w14:paraId="4982DD64" w14:textId="77777777">
          <w:pPr>
            <w:pStyle w:val="TOCHeading"/>
            <w:rPr>
              <w:rFonts w:ascii="Times New Roman" w:hAnsi="Times New Roman" w:cs="Times New Roman"/>
              <w:color w:val="auto"/>
              <w:sz w:val="22"/>
              <w:szCs w:val="22"/>
            </w:rPr>
          </w:pPr>
        </w:p>
        <w:p w:rsidR="0030619B" w:rsidRDefault="004D7AC0" w14:paraId="5F4E80AE" w14:textId="5F0F3E8B">
          <w:pPr>
            <w:pStyle w:val="TOC1"/>
            <w:tabs>
              <w:tab w:val="left" w:pos="440"/>
              <w:tab w:val="right" w:leader="dot" w:pos="9063"/>
            </w:tabs>
            <w:rPr>
              <w:rFonts w:asciiTheme="minorHAnsi" w:hAnsiTheme="minorHAnsi" w:eastAsiaTheme="minorEastAsia" w:cstheme="minorBidi"/>
              <w:noProof/>
              <w:lang w:val="en-US"/>
            </w:rPr>
          </w:pPr>
          <w:r>
            <w:fldChar w:fldCharType="begin"/>
          </w:r>
          <w:r>
            <w:instrText xml:space="preserve"> TOC \o "1-3" \h \z \u </w:instrText>
          </w:r>
          <w:r>
            <w:fldChar w:fldCharType="separate"/>
          </w:r>
          <w:hyperlink w:history="1" w:anchor="_Toc202362991">
            <w:r w:rsidRPr="00C96F38" w:rsidR="0030619B">
              <w:rPr>
                <w:rStyle w:val="Hyperlink"/>
                <w:b/>
                <w:noProof/>
              </w:rPr>
              <w:t>1.</w:t>
            </w:r>
            <w:r w:rsidR="0030619B">
              <w:rPr>
                <w:rFonts w:asciiTheme="minorHAnsi" w:hAnsiTheme="minorHAnsi" w:eastAsiaTheme="minorEastAsia" w:cstheme="minorBidi"/>
                <w:noProof/>
                <w:lang w:val="en-US"/>
              </w:rPr>
              <w:tab/>
            </w:r>
            <w:r w:rsidRPr="00C96F38" w:rsidR="0030619B">
              <w:rPr>
                <w:rStyle w:val="Hyperlink"/>
                <w:b/>
                <w:noProof/>
              </w:rPr>
              <w:t>PÄÄTÖSLAUSELMA</w:t>
            </w:r>
            <w:r w:rsidR="0030619B">
              <w:rPr>
                <w:noProof/>
                <w:webHidden/>
              </w:rPr>
              <w:tab/>
            </w:r>
            <w:r w:rsidR="0030619B">
              <w:rPr>
                <w:noProof/>
                <w:webHidden/>
              </w:rPr>
              <w:fldChar w:fldCharType="begin"/>
            </w:r>
            <w:r w:rsidR="0030619B">
              <w:rPr>
                <w:noProof/>
                <w:webHidden/>
              </w:rPr>
              <w:instrText xml:space="preserve"> PAGEREF _Toc202362991 \h </w:instrText>
            </w:r>
            <w:r w:rsidR="0030619B">
              <w:rPr>
                <w:noProof/>
                <w:webHidden/>
              </w:rPr>
            </w:r>
            <w:r w:rsidR="0030619B">
              <w:rPr>
                <w:noProof/>
                <w:webHidden/>
              </w:rPr>
              <w:fldChar w:fldCharType="separate"/>
            </w:r>
            <w:r w:rsidR="00C17B1E">
              <w:rPr>
                <w:noProof/>
                <w:webHidden/>
              </w:rPr>
              <w:t>3</w:t>
            </w:r>
            <w:r w:rsidR="0030619B">
              <w:rPr>
                <w:noProof/>
                <w:webHidden/>
              </w:rPr>
              <w:fldChar w:fldCharType="end"/>
            </w:r>
          </w:hyperlink>
        </w:p>
        <w:p w:rsidR="0030619B" w:rsidRDefault="0030619B" w14:paraId="61AB8B78" w14:textId="1C0742F5">
          <w:pPr>
            <w:pStyle w:val="TOC1"/>
            <w:tabs>
              <w:tab w:val="left" w:pos="440"/>
              <w:tab w:val="right" w:leader="dot" w:pos="9063"/>
            </w:tabs>
            <w:rPr>
              <w:rFonts w:asciiTheme="minorHAnsi" w:hAnsiTheme="minorHAnsi" w:eastAsiaTheme="minorEastAsia" w:cstheme="minorBidi"/>
              <w:noProof/>
              <w:lang w:val="en-US"/>
            </w:rPr>
          </w:pPr>
          <w:hyperlink w:history="1" w:anchor="_Toc202362992">
            <w:r w:rsidRPr="00C96F38">
              <w:rPr>
                <w:rStyle w:val="Hyperlink"/>
                <w:b/>
                <w:noProof/>
              </w:rPr>
              <w:t>2.</w:t>
            </w:r>
            <w:r>
              <w:rPr>
                <w:rFonts w:asciiTheme="minorHAnsi" w:hAnsiTheme="minorHAnsi" w:eastAsiaTheme="minorEastAsia" w:cstheme="minorBidi"/>
                <w:noProof/>
                <w:lang w:val="en-US"/>
              </w:rPr>
              <w:tab/>
            </w:r>
            <w:r w:rsidRPr="00C96F38">
              <w:rPr>
                <w:rStyle w:val="Hyperlink"/>
                <w:b/>
                <w:noProof/>
              </w:rPr>
              <w:t>TALOUS- JA RAHALIITTO, TALOUDELLINEN JA SOSIAALINEN YHTEENKUULUVUUS</w:t>
            </w:r>
            <w:r>
              <w:rPr>
                <w:noProof/>
                <w:webHidden/>
              </w:rPr>
              <w:tab/>
            </w:r>
            <w:r>
              <w:rPr>
                <w:noProof/>
                <w:webHidden/>
              </w:rPr>
              <w:fldChar w:fldCharType="begin"/>
            </w:r>
            <w:r>
              <w:rPr>
                <w:noProof/>
                <w:webHidden/>
              </w:rPr>
              <w:instrText xml:space="preserve"> PAGEREF _Toc202362992 \h </w:instrText>
            </w:r>
            <w:r>
              <w:rPr>
                <w:noProof/>
                <w:webHidden/>
              </w:rPr>
            </w:r>
            <w:r>
              <w:rPr>
                <w:noProof/>
                <w:webHidden/>
              </w:rPr>
              <w:fldChar w:fldCharType="separate"/>
            </w:r>
            <w:r w:rsidR="00C17B1E">
              <w:rPr>
                <w:noProof/>
                <w:webHidden/>
              </w:rPr>
              <w:t>6</w:t>
            </w:r>
            <w:r>
              <w:rPr>
                <w:noProof/>
                <w:webHidden/>
              </w:rPr>
              <w:fldChar w:fldCharType="end"/>
            </w:r>
          </w:hyperlink>
        </w:p>
        <w:p w:rsidR="0030619B" w:rsidP="0030619B" w:rsidRDefault="0030619B" w14:paraId="34D4FD3A" w14:textId="70AB2CC7">
          <w:pPr>
            <w:pStyle w:val="TOC1"/>
            <w:tabs>
              <w:tab w:val="left" w:pos="440"/>
              <w:tab w:val="right" w:leader="dot" w:pos="9063"/>
            </w:tabs>
            <w:rPr>
              <w:rFonts w:asciiTheme="minorHAnsi" w:hAnsiTheme="minorHAnsi" w:eastAsiaTheme="minorEastAsia" w:cstheme="minorBidi"/>
              <w:noProof/>
              <w:lang w:val="en-US"/>
            </w:rPr>
          </w:pPr>
          <w:hyperlink w:history="1" w:anchor="_Toc202362993">
            <w:r w:rsidRPr="00C96F38">
              <w:rPr>
                <w:rStyle w:val="Hyperlink"/>
                <w:b/>
                <w:noProof/>
              </w:rPr>
              <w:t>3.</w:t>
            </w:r>
            <w:r>
              <w:rPr>
                <w:rFonts w:asciiTheme="minorHAnsi" w:hAnsiTheme="minorHAnsi" w:eastAsiaTheme="minorEastAsia" w:cstheme="minorBidi"/>
                <w:noProof/>
                <w:lang w:val="en-US"/>
              </w:rPr>
              <w:tab/>
            </w:r>
            <w:r w:rsidRPr="00C96F38">
              <w:rPr>
                <w:rStyle w:val="Hyperlink"/>
                <w:b/>
                <w:noProof/>
              </w:rPr>
              <w:t>TYÖLLISYYS, SOSIAALIASIAT JA KANSALAISUUS</w:t>
            </w:r>
            <w:r>
              <w:rPr>
                <w:noProof/>
                <w:webHidden/>
              </w:rPr>
              <w:tab/>
            </w:r>
            <w:r>
              <w:rPr>
                <w:noProof/>
                <w:webHidden/>
              </w:rPr>
              <w:fldChar w:fldCharType="begin"/>
            </w:r>
            <w:r>
              <w:rPr>
                <w:noProof/>
                <w:webHidden/>
              </w:rPr>
              <w:instrText xml:space="preserve"> PAGEREF _Toc202362993 \h </w:instrText>
            </w:r>
            <w:r>
              <w:rPr>
                <w:noProof/>
                <w:webHidden/>
              </w:rPr>
            </w:r>
            <w:r>
              <w:rPr>
                <w:noProof/>
                <w:webHidden/>
              </w:rPr>
              <w:fldChar w:fldCharType="separate"/>
            </w:r>
            <w:r w:rsidR="00C17B1E">
              <w:rPr>
                <w:noProof/>
                <w:webHidden/>
              </w:rPr>
              <w:t>9</w:t>
            </w:r>
            <w:r>
              <w:rPr>
                <w:noProof/>
                <w:webHidden/>
              </w:rPr>
              <w:fldChar w:fldCharType="end"/>
            </w:r>
          </w:hyperlink>
        </w:p>
        <w:p w:rsidR="0030619B" w:rsidRDefault="0030619B" w14:paraId="6A036153" w14:textId="7F68281F">
          <w:pPr>
            <w:pStyle w:val="TOC1"/>
            <w:tabs>
              <w:tab w:val="left" w:pos="440"/>
              <w:tab w:val="right" w:leader="dot" w:pos="9063"/>
            </w:tabs>
            <w:rPr>
              <w:rFonts w:asciiTheme="minorHAnsi" w:hAnsiTheme="minorHAnsi" w:eastAsiaTheme="minorEastAsia" w:cstheme="minorBidi"/>
              <w:noProof/>
              <w:lang w:val="en-US"/>
            </w:rPr>
          </w:pPr>
          <w:hyperlink w:history="1" w:anchor="_Toc202362999">
            <w:r w:rsidRPr="00C96F38">
              <w:rPr>
                <w:rStyle w:val="Hyperlink"/>
                <w:b/>
                <w:noProof/>
              </w:rPr>
              <w:t>4.</w:t>
            </w:r>
            <w:r>
              <w:rPr>
                <w:rFonts w:asciiTheme="minorHAnsi" w:hAnsiTheme="minorHAnsi" w:eastAsiaTheme="minorEastAsia" w:cstheme="minorBidi"/>
                <w:noProof/>
                <w:lang w:val="en-US"/>
              </w:rPr>
              <w:tab/>
            </w:r>
            <w:r w:rsidRPr="00C96F38">
              <w:rPr>
                <w:rStyle w:val="Hyperlink"/>
                <w:b/>
                <w:noProof/>
              </w:rPr>
              <w:t>LIIKENNE, ENERGIA, PERUSRAKENTEET, TIETOYHTEISKUNTA</w:t>
            </w:r>
            <w:r>
              <w:rPr>
                <w:noProof/>
                <w:webHidden/>
              </w:rPr>
              <w:tab/>
            </w:r>
            <w:r>
              <w:rPr>
                <w:noProof/>
                <w:webHidden/>
              </w:rPr>
              <w:fldChar w:fldCharType="begin"/>
            </w:r>
            <w:r>
              <w:rPr>
                <w:noProof/>
                <w:webHidden/>
              </w:rPr>
              <w:instrText xml:space="preserve"> PAGEREF _Toc202362999 \h </w:instrText>
            </w:r>
            <w:r>
              <w:rPr>
                <w:noProof/>
                <w:webHidden/>
              </w:rPr>
            </w:r>
            <w:r>
              <w:rPr>
                <w:noProof/>
                <w:webHidden/>
              </w:rPr>
              <w:fldChar w:fldCharType="separate"/>
            </w:r>
            <w:r w:rsidR="00C17B1E">
              <w:rPr>
                <w:noProof/>
                <w:webHidden/>
              </w:rPr>
              <w:t>15</w:t>
            </w:r>
            <w:r>
              <w:rPr>
                <w:noProof/>
                <w:webHidden/>
              </w:rPr>
              <w:fldChar w:fldCharType="end"/>
            </w:r>
          </w:hyperlink>
        </w:p>
        <w:p w:rsidR="0030619B" w:rsidRDefault="0030619B" w14:paraId="1EB9A364" w14:textId="53C29215">
          <w:pPr>
            <w:pStyle w:val="TOC1"/>
            <w:tabs>
              <w:tab w:val="left" w:pos="440"/>
              <w:tab w:val="right" w:leader="dot" w:pos="9063"/>
            </w:tabs>
            <w:rPr>
              <w:rFonts w:asciiTheme="minorHAnsi" w:hAnsiTheme="minorHAnsi" w:eastAsiaTheme="minorEastAsia" w:cstheme="minorBidi"/>
              <w:noProof/>
              <w:lang w:val="en-US"/>
            </w:rPr>
          </w:pPr>
          <w:hyperlink w:history="1" w:anchor="_Toc202363000">
            <w:r w:rsidRPr="00C96F38">
              <w:rPr>
                <w:rStyle w:val="Hyperlink"/>
                <w:b/>
                <w:noProof/>
              </w:rPr>
              <w:t>5.</w:t>
            </w:r>
            <w:r>
              <w:rPr>
                <w:rFonts w:asciiTheme="minorHAnsi" w:hAnsiTheme="minorHAnsi" w:eastAsiaTheme="minorEastAsia" w:cstheme="minorBidi"/>
                <w:noProof/>
                <w:lang w:val="en-US"/>
              </w:rPr>
              <w:tab/>
            </w:r>
            <w:r w:rsidRPr="00C96F38">
              <w:rPr>
                <w:rStyle w:val="Hyperlink"/>
                <w:b/>
                <w:noProof/>
              </w:rPr>
              <w:t>SISÄMARKKINAT, TUOTANTO JA KULUTUS</w:t>
            </w:r>
            <w:r>
              <w:rPr>
                <w:noProof/>
                <w:webHidden/>
              </w:rPr>
              <w:tab/>
            </w:r>
            <w:r>
              <w:rPr>
                <w:noProof/>
                <w:webHidden/>
              </w:rPr>
              <w:fldChar w:fldCharType="begin"/>
            </w:r>
            <w:r>
              <w:rPr>
                <w:noProof/>
                <w:webHidden/>
              </w:rPr>
              <w:instrText xml:space="preserve"> PAGEREF _Toc202363000 \h </w:instrText>
            </w:r>
            <w:r>
              <w:rPr>
                <w:noProof/>
                <w:webHidden/>
              </w:rPr>
            </w:r>
            <w:r>
              <w:rPr>
                <w:noProof/>
                <w:webHidden/>
              </w:rPr>
              <w:fldChar w:fldCharType="separate"/>
            </w:r>
            <w:r w:rsidR="00C17B1E">
              <w:rPr>
                <w:noProof/>
                <w:webHidden/>
              </w:rPr>
              <w:t>18</w:t>
            </w:r>
            <w:r>
              <w:rPr>
                <w:noProof/>
                <w:webHidden/>
              </w:rPr>
              <w:fldChar w:fldCharType="end"/>
            </w:r>
          </w:hyperlink>
        </w:p>
        <w:p w:rsidR="0030619B" w:rsidRDefault="0030619B" w14:paraId="52BDFEEE" w14:textId="288AA46E">
          <w:pPr>
            <w:pStyle w:val="TOC1"/>
            <w:tabs>
              <w:tab w:val="left" w:pos="440"/>
              <w:tab w:val="right" w:leader="dot" w:pos="9063"/>
            </w:tabs>
            <w:rPr>
              <w:rFonts w:asciiTheme="minorHAnsi" w:hAnsiTheme="minorHAnsi" w:eastAsiaTheme="minorEastAsia" w:cstheme="minorBidi"/>
              <w:noProof/>
              <w:lang w:val="en-US"/>
            </w:rPr>
          </w:pPr>
          <w:hyperlink w:history="1" w:anchor="_Toc202363001">
            <w:r w:rsidRPr="00C96F38">
              <w:rPr>
                <w:rStyle w:val="Hyperlink"/>
                <w:b/>
                <w:noProof/>
              </w:rPr>
              <w:t>6.</w:t>
            </w:r>
            <w:r>
              <w:rPr>
                <w:rFonts w:asciiTheme="minorHAnsi" w:hAnsiTheme="minorHAnsi" w:eastAsiaTheme="minorEastAsia" w:cstheme="minorBidi"/>
                <w:noProof/>
                <w:lang w:val="en-US"/>
              </w:rPr>
              <w:tab/>
            </w:r>
            <w:r w:rsidRPr="00C96F38">
              <w:rPr>
                <w:rStyle w:val="Hyperlink"/>
                <w:b/>
                <w:noProof/>
              </w:rPr>
              <w:t>MAATALOUS, MAASEUDUN KEHITTÄMINEN JA YMPÄRISTÖ</w:t>
            </w:r>
            <w:r>
              <w:rPr>
                <w:noProof/>
                <w:webHidden/>
              </w:rPr>
              <w:tab/>
            </w:r>
            <w:r>
              <w:rPr>
                <w:noProof/>
                <w:webHidden/>
              </w:rPr>
              <w:fldChar w:fldCharType="begin"/>
            </w:r>
            <w:r>
              <w:rPr>
                <w:noProof/>
                <w:webHidden/>
              </w:rPr>
              <w:instrText xml:space="preserve"> PAGEREF _Toc202363001 \h </w:instrText>
            </w:r>
            <w:r>
              <w:rPr>
                <w:noProof/>
                <w:webHidden/>
              </w:rPr>
            </w:r>
            <w:r>
              <w:rPr>
                <w:noProof/>
                <w:webHidden/>
              </w:rPr>
              <w:fldChar w:fldCharType="separate"/>
            </w:r>
            <w:r w:rsidR="00C17B1E">
              <w:rPr>
                <w:noProof/>
                <w:webHidden/>
              </w:rPr>
              <w:t>20</w:t>
            </w:r>
            <w:r>
              <w:rPr>
                <w:noProof/>
                <w:webHidden/>
              </w:rPr>
              <w:fldChar w:fldCharType="end"/>
            </w:r>
          </w:hyperlink>
        </w:p>
        <w:p w:rsidR="0030619B" w:rsidRDefault="0030619B" w14:paraId="5DE9D4DD" w14:textId="5877B0A4">
          <w:pPr>
            <w:pStyle w:val="TOC1"/>
            <w:tabs>
              <w:tab w:val="left" w:pos="440"/>
              <w:tab w:val="right" w:leader="dot" w:pos="9063"/>
            </w:tabs>
            <w:rPr>
              <w:rFonts w:asciiTheme="minorHAnsi" w:hAnsiTheme="minorHAnsi" w:eastAsiaTheme="minorEastAsia" w:cstheme="minorBidi"/>
              <w:noProof/>
              <w:lang w:val="en-US"/>
            </w:rPr>
          </w:pPr>
          <w:hyperlink w:history="1" w:anchor="_Toc202363002">
            <w:r w:rsidRPr="00C96F38">
              <w:rPr>
                <w:rStyle w:val="Hyperlink"/>
                <w:b/>
                <w:noProof/>
              </w:rPr>
              <w:t>7.</w:t>
            </w:r>
            <w:r>
              <w:rPr>
                <w:rFonts w:asciiTheme="minorHAnsi" w:hAnsiTheme="minorHAnsi" w:eastAsiaTheme="minorEastAsia" w:cstheme="minorBidi"/>
                <w:noProof/>
                <w:lang w:val="en-US"/>
              </w:rPr>
              <w:tab/>
            </w:r>
            <w:r w:rsidRPr="00C96F38">
              <w:rPr>
                <w:rStyle w:val="Hyperlink"/>
                <w:b/>
                <w:noProof/>
              </w:rPr>
              <w:t>ULKOSUHTEET</w:t>
            </w:r>
            <w:r>
              <w:rPr>
                <w:noProof/>
                <w:webHidden/>
              </w:rPr>
              <w:tab/>
            </w:r>
            <w:r>
              <w:rPr>
                <w:noProof/>
                <w:webHidden/>
              </w:rPr>
              <w:fldChar w:fldCharType="begin"/>
            </w:r>
            <w:r>
              <w:rPr>
                <w:noProof/>
                <w:webHidden/>
              </w:rPr>
              <w:instrText xml:space="preserve"> PAGEREF _Toc202363002 \h </w:instrText>
            </w:r>
            <w:r>
              <w:rPr>
                <w:noProof/>
                <w:webHidden/>
              </w:rPr>
            </w:r>
            <w:r>
              <w:rPr>
                <w:noProof/>
                <w:webHidden/>
              </w:rPr>
              <w:fldChar w:fldCharType="separate"/>
            </w:r>
            <w:r w:rsidR="00C17B1E">
              <w:rPr>
                <w:noProof/>
                <w:webHidden/>
              </w:rPr>
              <w:t>21</w:t>
            </w:r>
            <w:r>
              <w:rPr>
                <w:noProof/>
                <w:webHidden/>
              </w:rPr>
              <w:fldChar w:fldCharType="end"/>
            </w:r>
          </w:hyperlink>
        </w:p>
        <w:p w:rsidR="0030619B" w:rsidP="0030619B" w:rsidRDefault="0030619B" w14:paraId="0FFB22F6" w14:textId="27B5D017">
          <w:pPr>
            <w:pStyle w:val="TOC1"/>
            <w:tabs>
              <w:tab w:val="left" w:pos="440"/>
              <w:tab w:val="right" w:leader="dot" w:pos="9063"/>
            </w:tabs>
            <w:rPr>
              <w:rFonts w:asciiTheme="minorHAnsi" w:hAnsiTheme="minorHAnsi" w:eastAsiaTheme="minorEastAsia" w:cstheme="minorBidi"/>
              <w:noProof/>
              <w:lang w:val="en-US"/>
            </w:rPr>
          </w:pPr>
          <w:hyperlink w:history="1" w:anchor="_Toc202363003">
            <w:r w:rsidRPr="00C96F38">
              <w:rPr>
                <w:rStyle w:val="Hyperlink"/>
                <w:b/>
                <w:noProof/>
              </w:rPr>
              <w:t>8.</w:t>
            </w:r>
            <w:r>
              <w:rPr>
                <w:rFonts w:asciiTheme="minorHAnsi" w:hAnsiTheme="minorHAnsi" w:eastAsiaTheme="minorEastAsia" w:cstheme="minorBidi"/>
                <w:noProof/>
                <w:lang w:val="en-US"/>
              </w:rPr>
              <w:tab/>
            </w:r>
            <w:r w:rsidRPr="00C96F38">
              <w:rPr>
                <w:rStyle w:val="Hyperlink"/>
                <w:b/>
                <w:noProof/>
              </w:rPr>
              <w:t>NEUVOA-ANTAVA VALIOKUNTA ”TEOLLISUUDEN MUUTOKSET”</w:t>
            </w:r>
            <w:r>
              <w:rPr>
                <w:noProof/>
                <w:webHidden/>
              </w:rPr>
              <w:tab/>
            </w:r>
            <w:r>
              <w:rPr>
                <w:noProof/>
                <w:webHidden/>
              </w:rPr>
              <w:fldChar w:fldCharType="begin"/>
            </w:r>
            <w:r>
              <w:rPr>
                <w:noProof/>
                <w:webHidden/>
              </w:rPr>
              <w:instrText xml:space="preserve"> PAGEREF _Toc202363003 \h </w:instrText>
            </w:r>
            <w:r>
              <w:rPr>
                <w:noProof/>
                <w:webHidden/>
              </w:rPr>
            </w:r>
            <w:r>
              <w:rPr>
                <w:noProof/>
                <w:webHidden/>
              </w:rPr>
              <w:fldChar w:fldCharType="separate"/>
            </w:r>
            <w:r w:rsidR="00C17B1E">
              <w:rPr>
                <w:noProof/>
                <w:webHidden/>
              </w:rPr>
              <w:t>23</w:t>
            </w:r>
            <w:r>
              <w:rPr>
                <w:noProof/>
                <w:webHidden/>
              </w:rPr>
              <w:fldChar w:fldCharType="end"/>
            </w:r>
          </w:hyperlink>
        </w:p>
        <w:p w:rsidR="004D7AC0" w:rsidP="004D7AC0" w:rsidRDefault="004D7AC0" w14:paraId="4982DD6A" w14:textId="30790299">
          <w:r>
            <w:rPr>
              <w:b/>
            </w:rPr>
            <w:fldChar w:fldCharType="end"/>
          </w:r>
        </w:p>
      </w:sdtContent>
    </w:sdt>
    <w:p w:rsidR="004D7AC0" w:rsidP="004D7AC0" w:rsidRDefault="004D7AC0" w14:paraId="4982DD6B" w14:textId="77777777"/>
    <w:p w:rsidR="004D7AC0" w:rsidP="004D7AC0" w:rsidRDefault="004D7AC0" w14:paraId="4982DD6C" w14:textId="77777777">
      <w:pPr>
        <w:spacing w:after="160" w:line="259" w:lineRule="auto"/>
        <w:jc w:val="left"/>
      </w:pPr>
      <w:r>
        <w:br w:type="page"/>
      </w:r>
    </w:p>
    <w:p w:rsidR="006537CB" w:rsidP="004D7AC0" w:rsidRDefault="006537CB" w14:paraId="3BC52F64" w14:textId="039D100C">
      <w:pPr>
        <w:pStyle w:val="Heading1"/>
        <w:rPr>
          <w:b/>
        </w:rPr>
      </w:pPr>
      <w:bookmarkStart w:name="_Toc202362991" w:id="0"/>
      <w:r>
        <w:rPr>
          <w:b/>
        </w:rPr>
        <w:lastRenderedPageBreak/>
        <w:t>PÄÄTÖSLAUSELMA</w:t>
      </w:r>
      <w:bookmarkEnd w:id="0"/>
    </w:p>
    <w:p w:rsidR="006537CB" w:rsidP="006537CB" w:rsidRDefault="006537CB" w14:paraId="7567FD8E" w14:textId="77777777"/>
    <w:p w:rsidRPr="00DB7CE7" w:rsidR="00A443CE" w:rsidP="0091345F" w:rsidRDefault="00A443CE" w14:paraId="3BE73428" w14:textId="77777777">
      <w:pPr>
        <w:widowControl w:val="0"/>
        <w:numPr>
          <w:ilvl w:val="0"/>
          <w:numId w:val="2"/>
        </w:numPr>
        <w:overflowPunct w:val="0"/>
        <w:autoSpaceDE w:val="0"/>
        <w:autoSpaceDN w:val="0"/>
        <w:adjustRightInd w:val="0"/>
        <w:ind w:left="567" w:hanging="567"/>
        <w:textAlignment w:val="baseline"/>
        <w:rPr>
          <w:b/>
          <w:bCs/>
          <w:i/>
          <w:iCs/>
          <w:sz w:val="28"/>
          <w:szCs w:val="28"/>
        </w:rPr>
      </w:pPr>
      <w:hyperlink w:history="1" r:id="rId21">
        <w:r>
          <w:rPr>
            <w:rStyle w:val="Hyperlink"/>
            <w:b/>
            <w:i/>
            <w:sz w:val="28"/>
          </w:rPr>
          <w:t>Päätöslauselma – Euroopan komission vuoden 2026 työohjelmaa koskeva Euroopan talous- ja sosiaalikomitean kannanotto</w:t>
        </w:r>
      </w:hyperlink>
    </w:p>
    <w:p w:rsidRPr="0051516D" w:rsidR="00A443CE" w:rsidP="00A443CE" w:rsidRDefault="00A443CE" w14:paraId="2FC8C85C" w14:textId="77777777">
      <w:pPr>
        <w:widowControl w:val="0"/>
        <w:ind w:left="266"/>
        <w:rPr>
          <w:bCs/>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1"/>
        <w:gridCol w:w="7258"/>
      </w:tblGrid>
      <w:tr w:rsidRPr="00A6689B" w:rsidR="00A443CE" w:rsidTr="00D33D43" w14:paraId="5E4241E6" w14:textId="77777777">
        <w:tc>
          <w:tcPr>
            <w:tcW w:w="1093" w:type="pct"/>
          </w:tcPr>
          <w:p w:rsidRPr="00A6689B" w:rsidR="00A443CE" w:rsidP="00D33D43" w:rsidRDefault="00A443CE" w14:paraId="44BB457E" w14:textId="77777777">
            <w:pPr>
              <w:tabs>
                <w:tab w:val="center" w:pos="284"/>
              </w:tabs>
              <w:ind w:left="266" w:hanging="266"/>
              <w:rPr>
                <w:b/>
              </w:rPr>
            </w:pPr>
            <w:r>
              <w:rPr>
                <w:b/>
              </w:rPr>
              <w:t>Esittelijät</w:t>
            </w:r>
          </w:p>
        </w:tc>
        <w:tc>
          <w:tcPr>
            <w:tcW w:w="3907" w:type="pct"/>
          </w:tcPr>
          <w:p w:rsidRPr="00A6689B" w:rsidR="00A443CE" w:rsidP="00D33D43" w:rsidRDefault="00A443CE" w14:paraId="5F65C4F8" w14:textId="77777777">
            <w:pPr>
              <w:tabs>
                <w:tab w:val="center" w:pos="284"/>
              </w:tabs>
              <w:ind w:left="266" w:hanging="266"/>
            </w:pPr>
            <w:proofErr w:type="spellStart"/>
            <w:r>
              <w:t>María</w:t>
            </w:r>
            <w:proofErr w:type="spellEnd"/>
            <w:r>
              <w:t xml:space="preserve"> del Carmen BARRERA CHAMORRO (työntekijät – ES)</w:t>
            </w:r>
          </w:p>
        </w:tc>
      </w:tr>
      <w:tr w:rsidRPr="00A6689B" w:rsidR="00A443CE" w:rsidTr="00D33D43" w14:paraId="6DCDB63C" w14:textId="77777777">
        <w:tc>
          <w:tcPr>
            <w:tcW w:w="1093" w:type="pct"/>
          </w:tcPr>
          <w:p w:rsidRPr="00A6689B" w:rsidR="00A443CE" w:rsidP="00D33D43" w:rsidRDefault="00A443CE" w14:paraId="2EE6EC4C" w14:textId="77777777">
            <w:pPr>
              <w:tabs>
                <w:tab w:val="center" w:pos="284"/>
              </w:tabs>
              <w:ind w:left="266" w:hanging="266"/>
              <w:rPr>
                <w:b/>
                <w:lang w:val="en-US"/>
              </w:rPr>
            </w:pPr>
          </w:p>
        </w:tc>
        <w:tc>
          <w:tcPr>
            <w:tcW w:w="3907" w:type="pct"/>
          </w:tcPr>
          <w:p w:rsidRPr="00A6689B" w:rsidR="00A443CE" w:rsidP="00D33D43" w:rsidRDefault="00A443CE" w14:paraId="6C03EDFB" w14:textId="77777777">
            <w:pPr>
              <w:tabs>
                <w:tab w:val="center" w:pos="284"/>
              </w:tabs>
              <w:ind w:left="266" w:hanging="266"/>
            </w:pPr>
            <w:proofErr w:type="spellStart"/>
            <w:r>
              <w:t>Christa</w:t>
            </w:r>
            <w:proofErr w:type="spellEnd"/>
            <w:r>
              <w:t xml:space="preserve"> SCHWENG (työnantajat – AT)</w:t>
            </w:r>
          </w:p>
        </w:tc>
      </w:tr>
      <w:tr w:rsidRPr="00A6689B" w:rsidR="00A443CE" w:rsidTr="00D33D43" w14:paraId="10F8CCE5" w14:textId="77777777">
        <w:tc>
          <w:tcPr>
            <w:tcW w:w="1093" w:type="pct"/>
          </w:tcPr>
          <w:p w:rsidRPr="00A6689B" w:rsidR="00A443CE" w:rsidP="00D33D43" w:rsidRDefault="00A443CE" w14:paraId="07D505F9" w14:textId="77777777">
            <w:pPr>
              <w:tabs>
                <w:tab w:val="center" w:pos="284"/>
              </w:tabs>
              <w:ind w:left="266" w:hanging="266"/>
              <w:rPr>
                <w:b/>
                <w:lang w:val="en-US"/>
              </w:rPr>
            </w:pPr>
          </w:p>
        </w:tc>
        <w:tc>
          <w:tcPr>
            <w:tcW w:w="3907" w:type="pct"/>
          </w:tcPr>
          <w:p w:rsidRPr="000E2900" w:rsidR="00A443CE" w:rsidP="00D33D43" w:rsidRDefault="00A443CE" w14:paraId="1252E3C6" w14:textId="77777777">
            <w:pPr>
              <w:tabs>
                <w:tab w:val="center" w:pos="284"/>
              </w:tabs>
              <w:ind w:left="266" w:hanging="266"/>
            </w:pPr>
            <w:proofErr w:type="spellStart"/>
            <w:r>
              <w:t>Krzysztof</w:t>
            </w:r>
            <w:proofErr w:type="spellEnd"/>
            <w:r>
              <w:t xml:space="preserve"> </w:t>
            </w:r>
            <w:proofErr w:type="spellStart"/>
            <w:r>
              <w:t>Stanisław</w:t>
            </w:r>
            <w:proofErr w:type="spellEnd"/>
            <w:r>
              <w:t xml:space="preserve"> BALON (kansalaisyhteiskunnan organisaatiot – PL)</w:t>
            </w:r>
          </w:p>
        </w:tc>
      </w:tr>
      <w:tr w:rsidRPr="00A6689B" w:rsidR="00A443CE" w:rsidTr="00D33D43" w14:paraId="0766E1E2" w14:textId="77777777">
        <w:tc>
          <w:tcPr>
            <w:tcW w:w="1093" w:type="pct"/>
          </w:tcPr>
          <w:p w:rsidRPr="00A6689B" w:rsidR="00A443CE" w:rsidP="00D33D43" w:rsidRDefault="00A443CE" w14:paraId="33D915E1" w14:textId="77777777">
            <w:pPr>
              <w:tabs>
                <w:tab w:val="center" w:pos="284"/>
              </w:tabs>
              <w:ind w:left="266" w:hanging="266"/>
              <w:rPr>
                <w:b/>
              </w:rPr>
            </w:pPr>
            <w:r>
              <w:rPr>
                <w:b/>
              </w:rPr>
              <w:t>Viiteasiakirjat</w:t>
            </w:r>
          </w:p>
        </w:tc>
        <w:tc>
          <w:tcPr>
            <w:tcW w:w="3907" w:type="pct"/>
          </w:tcPr>
          <w:p w:rsidRPr="00A6689B" w:rsidR="00A443CE" w:rsidP="00D33D43" w:rsidRDefault="00A443CE" w14:paraId="2A29246B" w14:textId="77777777">
            <w:pPr>
              <w:tabs>
                <w:tab w:val="center" w:pos="284"/>
              </w:tabs>
              <w:ind w:left="266" w:hanging="266"/>
            </w:pPr>
            <w:r>
              <w:t>EESC-2025-01179-00-00-RES</w:t>
            </w:r>
          </w:p>
        </w:tc>
      </w:tr>
    </w:tbl>
    <w:p w:rsidR="00A443CE" w:rsidP="00A443CE" w:rsidRDefault="00A443CE" w14:paraId="10F459BF" w14:textId="77777777">
      <w:pPr>
        <w:keepNext/>
        <w:keepLines/>
        <w:tabs>
          <w:tab w:val="center" w:pos="284"/>
        </w:tabs>
        <w:ind w:left="266" w:hanging="266"/>
        <w:rPr>
          <w:b/>
        </w:rPr>
      </w:pPr>
    </w:p>
    <w:p w:rsidRPr="00A6689B" w:rsidR="00A443CE" w:rsidP="00A443CE" w:rsidRDefault="00A443CE" w14:paraId="0923A22C" w14:textId="77777777">
      <w:pPr>
        <w:keepNext/>
        <w:keepLines/>
        <w:tabs>
          <w:tab w:val="center" w:pos="284"/>
        </w:tabs>
        <w:ind w:left="266" w:hanging="266"/>
        <w:rPr>
          <w:b/>
        </w:rPr>
      </w:pPr>
      <w:r>
        <w:rPr>
          <w:b/>
        </w:rPr>
        <w:t>Keskeiset kohdat</w:t>
      </w:r>
    </w:p>
    <w:p w:rsidRPr="00A6689B" w:rsidR="00A443CE" w:rsidP="00A443CE" w:rsidRDefault="00A443CE" w14:paraId="371124C9" w14:textId="77777777">
      <w:pPr>
        <w:keepNext/>
        <w:keepLines/>
        <w:tabs>
          <w:tab w:val="center" w:pos="284"/>
        </w:tabs>
        <w:ind w:left="266" w:hanging="266"/>
        <w:rPr>
          <w:b/>
        </w:rPr>
      </w:pPr>
    </w:p>
    <w:p w:rsidR="00A443CE" w:rsidP="00A443CE" w:rsidRDefault="00A443CE" w14:paraId="27BD12B4" w14:textId="77777777">
      <w:pPr>
        <w:rPr>
          <w:bCs/>
          <w:iCs/>
        </w:rPr>
      </w:pPr>
      <w:r>
        <w:t>ETSK ehdottaa/pyytää seuraavaa:</w:t>
      </w:r>
    </w:p>
    <w:p w:rsidR="00A443CE" w:rsidP="00A443CE" w:rsidRDefault="00A443CE" w14:paraId="1B835B82" w14:textId="77777777">
      <w:pPr>
        <w:rPr>
          <w:bCs/>
          <w:iCs/>
        </w:rPr>
      </w:pPr>
    </w:p>
    <w:p w:rsidRPr="002E49BF" w:rsidR="00A443CE" w:rsidP="0091345F" w:rsidRDefault="00A443CE" w14:paraId="195A5515" w14:textId="77777777">
      <w:pPr>
        <w:numPr>
          <w:ilvl w:val="0"/>
          <w:numId w:val="3"/>
        </w:numPr>
        <w:overflowPunct w:val="0"/>
        <w:autoSpaceDE w:val="0"/>
        <w:autoSpaceDN w:val="0"/>
        <w:adjustRightInd w:val="0"/>
        <w:ind w:left="567" w:hanging="567"/>
        <w:textAlignment w:val="baseline"/>
        <w:rPr>
          <w:bCs/>
          <w:iCs/>
        </w:rPr>
      </w:pPr>
      <w:r>
        <w:t xml:space="preserve">Käsillä oleva päätöslauselma on Euroopan järjestäytynyttä kansalaisyhteiskuntaa toimielinten tasolla edustavan </w:t>
      </w:r>
      <w:proofErr w:type="spellStart"/>
      <w:r>
        <w:t>ETSK:n</w:t>
      </w:r>
      <w:proofErr w:type="spellEnd"/>
      <w:r>
        <w:t xml:space="preserve"> kannanotto Euroopan komission vuoden 2026 työohjelman laadintaa varten. Demokratia, ihmisoikeudet, kestävyys, tasa-arvo ja sosiaalinen oikeudenmukaisuus on asetettava EU:n keskeisiksi teemoiksi. Työmarkkinaosapuolet, kansalaisyhteiskunta ja vapaaehtoissektori ovat yhteiskunnan selviytymiskyvyn kannalta ratkaisevan tärkeitä infrastruktuureja, ja niiden asema on tunnustettava, niitä on suojeltava ja ne on otettava mielekkäällä tavalla mukaan ennakointiin, varautumiseen ja elpymiseen, olipa kyse mistä tahansa kriisistä.</w:t>
      </w:r>
    </w:p>
    <w:p w:rsidRPr="002E49BF" w:rsidR="00A443CE" w:rsidP="00A443CE" w:rsidRDefault="00A443CE" w14:paraId="397ECBB7" w14:textId="77777777">
      <w:pPr>
        <w:ind w:left="567" w:hanging="567"/>
        <w:rPr>
          <w:bCs/>
          <w:iCs/>
        </w:rPr>
      </w:pPr>
    </w:p>
    <w:p w:rsidRPr="002E49BF" w:rsidR="00A443CE" w:rsidP="0091345F" w:rsidRDefault="00A443CE" w14:paraId="5059F117" w14:textId="77777777">
      <w:pPr>
        <w:numPr>
          <w:ilvl w:val="0"/>
          <w:numId w:val="3"/>
        </w:numPr>
        <w:overflowPunct w:val="0"/>
        <w:autoSpaceDE w:val="0"/>
        <w:autoSpaceDN w:val="0"/>
        <w:adjustRightInd w:val="0"/>
        <w:ind w:left="567" w:hanging="567"/>
        <w:textAlignment w:val="baseline"/>
        <w:rPr>
          <w:bCs/>
          <w:iCs/>
        </w:rPr>
      </w:pPr>
      <w:r>
        <w:t>Voidakseen säilyttää maailmanlaajuisen johtoasemansa nopeasti muuttuvassa maailmassa EU:n on omaksuttava uusi kilpailukykymalli, jossa yhdistyvät teollisuuspolitiikka, ilmastotavoitteet ja geopoliittinen strategia. Tämä edellyttää investointien voimakasta painottamista, innovoinnin edistämistä ja sosiaalisen yhteenkuuluvuuden edistämistä samalla kun varmistetaan, että talouskasvu on kestävää, sosiaalista, osallistavaa ja muutosjoustavaa. Kilpailukyvyn ja talouskasvun ohella on edistettävä ehdottomasti myös sosiaalista osallisuutta.</w:t>
      </w:r>
    </w:p>
    <w:p w:rsidRPr="002E49BF" w:rsidR="00A443CE" w:rsidP="00A443CE" w:rsidRDefault="00A443CE" w14:paraId="2582CF61" w14:textId="77777777">
      <w:pPr>
        <w:ind w:left="567" w:hanging="567"/>
        <w:rPr>
          <w:bCs/>
          <w:iCs/>
        </w:rPr>
      </w:pPr>
    </w:p>
    <w:p w:rsidRPr="002E49BF" w:rsidR="00A443CE" w:rsidP="0091345F" w:rsidRDefault="00A443CE" w14:paraId="265A95C8" w14:textId="77777777">
      <w:pPr>
        <w:numPr>
          <w:ilvl w:val="0"/>
          <w:numId w:val="3"/>
        </w:numPr>
        <w:overflowPunct w:val="0"/>
        <w:autoSpaceDE w:val="0"/>
        <w:autoSpaceDN w:val="0"/>
        <w:adjustRightInd w:val="0"/>
        <w:ind w:left="567" w:hanging="567"/>
        <w:textAlignment w:val="baseline"/>
        <w:rPr>
          <w:bCs/>
          <w:iCs/>
        </w:rPr>
      </w:pPr>
      <w:r>
        <w:t>Muutosjoustavassa teollisuuspolitiikassa on asetettava etusijalle innovointi, vihreä ja digitaalinen siirtymä sekä osaamisunioni, ja samalla on edistettävä elinikäistä oppimista ja laadukkaiden työpaikkojen luomista. Yhteisötaloutta ja solidaarista taloutta on tuettava, sillä ne vahvistavat oikeudenmukaisuutta ja yhteenkuuluvuutta. Koska puolustusvalmiudesta on tullut uudessa turvallisuusympäristössä ratkaisevan tärkeä kysymys, siitä on tultava yhteinen prioriteetti, jonka on kuitenkin perustuttava oikeuksiin, avoimuuteen ja oikeusvaltioperiaatteen noudattamiseen.</w:t>
      </w:r>
    </w:p>
    <w:p w:rsidRPr="002E49BF" w:rsidR="00A443CE" w:rsidP="00A443CE" w:rsidRDefault="00A443CE" w14:paraId="7C30CF74" w14:textId="77777777">
      <w:pPr>
        <w:ind w:left="567" w:hanging="567"/>
        <w:rPr>
          <w:bCs/>
          <w:iCs/>
        </w:rPr>
      </w:pPr>
    </w:p>
    <w:p w:rsidRPr="002E49BF" w:rsidR="00A443CE" w:rsidP="0091345F" w:rsidRDefault="00A443CE" w14:paraId="77937F03" w14:textId="77777777">
      <w:pPr>
        <w:numPr>
          <w:ilvl w:val="0"/>
          <w:numId w:val="3"/>
        </w:numPr>
        <w:overflowPunct w:val="0"/>
        <w:autoSpaceDE w:val="0"/>
        <w:autoSpaceDN w:val="0"/>
        <w:adjustRightInd w:val="0"/>
        <w:ind w:left="567" w:hanging="567"/>
        <w:textAlignment w:val="baseline"/>
        <w:rPr>
          <w:bCs/>
          <w:iCs/>
        </w:rPr>
      </w:pPr>
      <w:r>
        <w:t>Tutkimukseen, kehittämiseen, osaamiseen ja strategisiin aloihin tehtävien investointien on oltava unionin teollisuuspolitiikan keskiössä, jotta voidaan varmistaa teollisuuden häiriönsietokyky ja pitkän aikavälin talouskasvu sekä laadukkaat työpaikat. Keskittymällä ihmiskeskeisen tekoälyn ja uusiutuvan energian kaltaisiin teknologioihin EU voi säilyttää kilpailuedun suuren arvonlisän teollisuudenaloilla.</w:t>
      </w:r>
    </w:p>
    <w:p w:rsidRPr="002E49BF" w:rsidR="00A443CE" w:rsidP="00A443CE" w:rsidRDefault="00A443CE" w14:paraId="707C8941" w14:textId="77777777">
      <w:pPr>
        <w:ind w:left="567" w:hanging="567"/>
        <w:rPr>
          <w:bCs/>
          <w:iCs/>
        </w:rPr>
      </w:pPr>
    </w:p>
    <w:p w:rsidRPr="002E49BF" w:rsidR="00A443CE" w:rsidP="0091345F" w:rsidRDefault="00A443CE" w14:paraId="74AA637E" w14:textId="77777777">
      <w:pPr>
        <w:numPr>
          <w:ilvl w:val="0"/>
          <w:numId w:val="3"/>
        </w:numPr>
        <w:overflowPunct w:val="0"/>
        <w:autoSpaceDE w:val="0"/>
        <w:autoSpaceDN w:val="0"/>
        <w:adjustRightInd w:val="0"/>
        <w:ind w:left="567" w:hanging="567"/>
        <w:textAlignment w:val="baseline"/>
        <w:rPr>
          <w:bCs/>
          <w:iCs/>
        </w:rPr>
      </w:pPr>
      <w:r>
        <w:lastRenderedPageBreak/>
        <w:t xml:space="preserve">Toteutetaan köyhyyden vastainen strategia, joka tähtää äärimmäisen köyhyyden poistamiseen ja asunto-, energia- ja liikenneköyhyyden vähentämiseen. Strategiassa tulee myös tunnustaa yksiselitteisesti, että pitkittynyt köyhyys ja demokraattinen syrjäytyminen ovat kytköksissä toisiinsa, ja sen avulla tulee varmistaa, että köyhyyttä kokemaan joutuneet ihmiset pääsevät mukaan kehittämään politiikkaa yhdessä muiden kanssa ja osallistumaan kansalaistoimintaan ja että kukaan ei jää vaille energiaresursseja, joita eläminen edellyttää. </w:t>
      </w:r>
    </w:p>
    <w:p w:rsidRPr="002E49BF" w:rsidR="00A443CE" w:rsidP="00A443CE" w:rsidRDefault="00A443CE" w14:paraId="47B7D3BB" w14:textId="77777777">
      <w:pPr>
        <w:ind w:left="567" w:hanging="567"/>
        <w:rPr>
          <w:bCs/>
          <w:iCs/>
        </w:rPr>
      </w:pPr>
    </w:p>
    <w:p w:rsidRPr="002E49BF" w:rsidR="00A443CE" w:rsidP="0091345F" w:rsidRDefault="00A443CE" w14:paraId="7242899E" w14:textId="77777777">
      <w:pPr>
        <w:numPr>
          <w:ilvl w:val="0"/>
          <w:numId w:val="3"/>
        </w:numPr>
        <w:overflowPunct w:val="0"/>
        <w:autoSpaceDE w:val="0"/>
        <w:autoSpaceDN w:val="0"/>
        <w:adjustRightInd w:val="0"/>
        <w:ind w:left="567" w:hanging="567"/>
        <w:textAlignment w:val="baseline"/>
        <w:rPr>
          <w:bCs/>
          <w:iCs/>
        </w:rPr>
      </w:pPr>
      <w:r>
        <w:t>Laaditaan vuoden 2025 jälkeiselle ajalle sukupuolten tasa-arvostrategia, jonka tavoitteena on lopettaa sukupuoleen perustuva väkivalta, kuroa umpeen sukupuolten välisiä eroja työmarkkinoilla, saavuttaa tasavertainen osallistuminen talouden eri aloilla, korjata sukupuoleen perustuvat palkka- ja eläke-erot, kuroa umpeen sukupuolten välinen kuilu hoito- ja hoivatyössä, saavuttaa sukupuolten tasapuolinen edustus päätöksenteossa ja politiikassa sekä arvioida tähän mennessä saavutettua edistystä.</w:t>
      </w:r>
    </w:p>
    <w:p w:rsidRPr="002E49BF" w:rsidR="00A443CE" w:rsidP="00A443CE" w:rsidRDefault="00A443CE" w14:paraId="7DA666AF" w14:textId="77777777">
      <w:pPr>
        <w:ind w:left="567" w:hanging="567"/>
        <w:rPr>
          <w:bCs/>
          <w:iCs/>
        </w:rPr>
      </w:pPr>
    </w:p>
    <w:p w:rsidRPr="002E49BF" w:rsidR="00A443CE" w:rsidP="0091345F" w:rsidRDefault="00A443CE" w14:paraId="73BE442D" w14:textId="77777777">
      <w:pPr>
        <w:numPr>
          <w:ilvl w:val="0"/>
          <w:numId w:val="3"/>
        </w:numPr>
        <w:overflowPunct w:val="0"/>
        <w:autoSpaceDE w:val="0"/>
        <w:autoSpaceDN w:val="0"/>
        <w:adjustRightInd w:val="0"/>
        <w:ind w:left="567" w:hanging="567"/>
        <w:textAlignment w:val="baseline"/>
        <w:rPr>
          <w:bCs/>
          <w:iCs/>
        </w:rPr>
      </w:pPr>
      <w:r>
        <w:t>Vahvistetaan työpaikkademokratiaa työmarkkinaosapuolten vuoropuhelun ja työehtosopimusneuvottelujen sekä työntekijöille tiedottamista ja heidän kuulemistaan ja edustustaan koskevien oikeuksien täysipainoisen toteuttamisen avulla. EU:n toimielinten olisi annettava työmarkkinavuoropuhelua ja työehtosopimusneuvotteluja varten asianmukaista tukea kaikilla tasoilla, jotta työmarkkinaosapuolet voivat kehittää edelleen valmiuksiaan ja jotta voidaan toteuttaa asiaankuuluvia täytäntöönpanotoimenpiteitä, myös taloudellisia toimenpiteitä, työehtosopimusneuvottelujen kattavuuden lisäämiseksi erityisesti sellaisissa maissa ja sellaisilla alueilla, missä niiden koko potentiaalia ei ole vielä hyödynnetty.</w:t>
      </w:r>
    </w:p>
    <w:p w:rsidRPr="002E49BF" w:rsidR="00A443CE" w:rsidP="00A443CE" w:rsidRDefault="00A443CE" w14:paraId="654A753F" w14:textId="77777777">
      <w:pPr>
        <w:ind w:left="567" w:hanging="567"/>
        <w:rPr>
          <w:bCs/>
          <w:iCs/>
        </w:rPr>
      </w:pPr>
    </w:p>
    <w:p w:rsidRPr="002E49BF" w:rsidR="00A443CE" w:rsidP="0091345F" w:rsidRDefault="00A443CE" w14:paraId="7480D850" w14:textId="77777777">
      <w:pPr>
        <w:numPr>
          <w:ilvl w:val="0"/>
          <w:numId w:val="3"/>
        </w:numPr>
        <w:overflowPunct w:val="0"/>
        <w:autoSpaceDE w:val="0"/>
        <w:autoSpaceDN w:val="0"/>
        <w:adjustRightInd w:val="0"/>
        <w:ind w:left="567" w:hanging="567"/>
        <w:textAlignment w:val="baseline"/>
        <w:rPr>
          <w:bCs/>
          <w:iCs/>
        </w:rPr>
      </w:pPr>
      <w:r>
        <w:t xml:space="preserve">Jatketaan laajentumisprosessia tavoitellen rauhaa, hyvinvointia ja demokratiaa sekä pitkän aikavälin vakautta Euroopassa yhteiskunnallisten ja kansalaisia edustavien toimijoiden myötävaikutuksella. Tähän olisi otettava näkyvästi mukaan Ukraina, jonka kyky pitää yllä demokratiaa on Moldovan ja Länsi-Balkanin ohella malliesimerkki eurooppalaisten arvojen puolustamisesta. </w:t>
      </w:r>
    </w:p>
    <w:p w:rsidRPr="002E49BF" w:rsidR="00A443CE" w:rsidP="00A443CE" w:rsidRDefault="00A443CE" w14:paraId="0DF75A85" w14:textId="77777777">
      <w:pPr>
        <w:ind w:left="567" w:hanging="567"/>
        <w:rPr>
          <w:bCs/>
          <w:iCs/>
        </w:rPr>
      </w:pPr>
    </w:p>
    <w:p w:rsidRPr="002E49BF" w:rsidR="00A443CE" w:rsidP="0091345F" w:rsidRDefault="00A443CE" w14:paraId="655851B1" w14:textId="77777777">
      <w:pPr>
        <w:numPr>
          <w:ilvl w:val="0"/>
          <w:numId w:val="3"/>
        </w:numPr>
        <w:overflowPunct w:val="0"/>
        <w:autoSpaceDE w:val="0"/>
        <w:autoSpaceDN w:val="0"/>
        <w:adjustRightInd w:val="0"/>
        <w:ind w:left="567" w:hanging="567"/>
        <w:textAlignment w:val="baseline"/>
        <w:rPr>
          <w:bCs/>
          <w:iCs/>
        </w:rPr>
      </w:pPr>
      <w:r>
        <w:t>Perustetaan Euroopan strategisten investointien rahasto ensisijaisten eurooppalaisten hankkeiden rahoittamista varten. Lisäksi monivuotisessa rahoituskehyksessä 2028–2034 olisi lisättävä merkittävästi ensisijaisten investointien määrärahoja unohtamatta myöskään vahvaa sosiaalista ehdollisuutta.</w:t>
      </w:r>
    </w:p>
    <w:p w:rsidRPr="00BF4C7E" w:rsidR="00A443CE" w:rsidP="00A443CE" w:rsidRDefault="00A443CE" w14:paraId="0842E80B" w14:textId="77777777">
      <w:pPr>
        <w:widowControl w:val="0"/>
        <w:ind w:left="644"/>
        <w:rPr>
          <w:bCs/>
          <w:iCs/>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A6689B" w:rsidR="00A443CE" w:rsidTr="00D33D43" w14:paraId="146FD619" w14:textId="77777777">
        <w:tc>
          <w:tcPr>
            <w:tcW w:w="1556" w:type="pct"/>
          </w:tcPr>
          <w:p w:rsidRPr="00A6689B" w:rsidR="00A443CE" w:rsidP="00D33D43" w:rsidRDefault="00A443CE" w14:paraId="09CCA153" w14:textId="77777777">
            <w:pPr>
              <w:rPr>
                <w:i/>
              </w:rPr>
            </w:pPr>
            <w:r>
              <w:rPr>
                <w:b/>
                <w:i/>
              </w:rPr>
              <w:t>Yhteydenotot 1</w:t>
            </w:r>
          </w:p>
        </w:tc>
        <w:tc>
          <w:tcPr>
            <w:tcW w:w="3444" w:type="pct"/>
          </w:tcPr>
          <w:p w:rsidRPr="00A6689B" w:rsidR="00A443CE" w:rsidP="00D33D43" w:rsidRDefault="00A443CE" w14:paraId="0A55B0E4" w14:textId="77777777">
            <w:pPr>
              <w:rPr>
                <w:i/>
              </w:rPr>
            </w:pPr>
            <w:r>
              <w:rPr>
                <w:i/>
              </w:rPr>
              <w:t>David SCUDERI</w:t>
            </w:r>
          </w:p>
        </w:tc>
      </w:tr>
      <w:tr w:rsidRPr="00A6689B" w:rsidR="00A443CE" w:rsidTr="00D33D43" w14:paraId="1ED3C837" w14:textId="77777777">
        <w:tc>
          <w:tcPr>
            <w:tcW w:w="1556" w:type="pct"/>
          </w:tcPr>
          <w:p w:rsidRPr="00A6689B" w:rsidR="00A443CE" w:rsidP="00D33D43" w:rsidRDefault="00A443CE" w14:paraId="21754A8F" w14:textId="77777777">
            <w:pPr>
              <w:rPr>
                <w:i/>
              </w:rPr>
            </w:pPr>
            <w:r>
              <w:rPr>
                <w:i/>
              </w:rPr>
              <w:t>P.</w:t>
            </w:r>
          </w:p>
        </w:tc>
        <w:tc>
          <w:tcPr>
            <w:tcW w:w="3444" w:type="pct"/>
          </w:tcPr>
          <w:p w:rsidRPr="00A6689B" w:rsidR="00A443CE" w:rsidP="00D33D43" w:rsidRDefault="00A443CE" w14:paraId="2BBA22BF" w14:textId="77777777">
            <w:pPr>
              <w:rPr>
                <w:i/>
              </w:rPr>
            </w:pPr>
            <w:r>
              <w:rPr>
                <w:i/>
              </w:rPr>
              <w:t>+3225468122</w:t>
            </w:r>
          </w:p>
        </w:tc>
      </w:tr>
      <w:tr w:rsidRPr="00A6689B" w:rsidR="00A443CE" w:rsidTr="00D33D43" w14:paraId="59519DED" w14:textId="77777777">
        <w:tc>
          <w:tcPr>
            <w:tcW w:w="1556" w:type="pct"/>
          </w:tcPr>
          <w:p w:rsidRPr="00A6689B" w:rsidR="00A443CE" w:rsidP="00D33D43" w:rsidRDefault="00A443CE" w14:paraId="3DB49CC1" w14:textId="77777777">
            <w:pPr>
              <w:rPr>
                <w:i/>
              </w:rPr>
            </w:pPr>
            <w:r>
              <w:rPr>
                <w:i/>
              </w:rPr>
              <w:t>Sähköposti</w:t>
            </w:r>
          </w:p>
        </w:tc>
        <w:tc>
          <w:tcPr>
            <w:tcW w:w="3444" w:type="pct"/>
          </w:tcPr>
          <w:p w:rsidRPr="00A6689B" w:rsidR="00A443CE" w:rsidP="00D33D43" w:rsidRDefault="00A443CE" w14:paraId="54EE697C" w14:textId="77777777">
            <w:pPr>
              <w:rPr>
                <w:i/>
              </w:rPr>
            </w:pPr>
            <w:r>
              <w:rPr>
                <w:i/>
              </w:rPr>
              <w:t xml:space="preserve">David.Scuderi@eesc.europa.eu </w:t>
            </w:r>
          </w:p>
        </w:tc>
      </w:tr>
      <w:tr w:rsidRPr="00A6689B" w:rsidR="00A443CE" w:rsidTr="00D33D43" w14:paraId="12597235" w14:textId="77777777">
        <w:tc>
          <w:tcPr>
            <w:tcW w:w="1556" w:type="pct"/>
          </w:tcPr>
          <w:p w:rsidR="00A443CE" w:rsidP="00D33D43" w:rsidRDefault="00A443CE" w14:paraId="2B246BCF" w14:textId="77777777">
            <w:pPr>
              <w:rPr>
                <w:i/>
              </w:rPr>
            </w:pPr>
            <w:r>
              <w:rPr>
                <w:b/>
                <w:i/>
              </w:rPr>
              <w:t>Yhteydenotot 2</w:t>
            </w:r>
          </w:p>
        </w:tc>
        <w:tc>
          <w:tcPr>
            <w:tcW w:w="3444" w:type="pct"/>
          </w:tcPr>
          <w:p w:rsidR="00A443CE" w:rsidP="00D33D43" w:rsidRDefault="00A443CE" w14:paraId="2F48AE74" w14:textId="77777777">
            <w:pPr>
              <w:rPr>
                <w:i/>
              </w:rPr>
            </w:pPr>
            <w:r>
              <w:rPr>
                <w:i/>
              </w:rPr>
              <w:t>Stefania LOPEDOTE</w:t>
            </w:r>
          </w:p>
        </w:tc>
      </w:tr>
      <w:tr w:rsidRPr="00A6689B" w:rsidR="00A443CE" w:rsidTr="00D33D43" w14:paraId="52BE7E1C" w14:textId="77777777">
        <w:tc>
          <w:tcPr>
            <w:tcW w:w="1556" w:type="pct"/>
          </w:tcPr>
          <w:p w:rsidR="00A443CE" w:rsidP="00D33D43" w:rsidRDefault="00A443CE" w14:paraId="0C7F1B79" w14:textId="77777777">
            <w:pPr>
              <w:rPr>
                <w:i/>
              </w:rPr>
            </w:pPr>
            <w:r>
              <w:rPr>
                <w:i/>
              </w:rPr>
              <w:t>P.</w:t>
            </w:r>
          </w:p>
        </w:tc>
        <w:tc>
          <w:tcPr>
            <w:tcW w:w="3444" w:type="pct"/>
          </w:tcPr>
          <w:p w:rsidR="00A443CE" w:rsidP="00D33D43" w:rsidRDefault="00A443CE" w14:paraId="034D97A0" w14:textId="77777777">
            <w:pPr>
              <w:rPr>
                <w:i/>
              </w:rPr>
            </w:pPr>
            <w:r>
              <w:rPr>
                <w:i/>
              </w:rPr>
              <w:t>+3225468829</w:t>
            </w:r>
          </w:p>
        </w:tc>
      </w:tr>
      <w:tr w:rsidRPr="00A6689B" w:rsidR="00A443CE" w:rsidTr="00D33D43" w14:paraId="5342D284" w14:textId="77777777">
        <w:tc>
          <w:tcPr>
            <w:tcW w:w="1556" w:type="pct"/>
          </w:tcPr>
          <w:p w:rsidR="00A443CE" w:rsidP="00D33D43" w:rsidRDefault="00A443CE" w14:paraId="70F8DFB9" w14:textId="77777777">
            <w:pPr>
              <w:rPr>
                <w:i/>
              </w:rPr>
            </w:pPr>
            <w:r>
              <w:rPr>
                <w:i/>
              </w:rPr>
              <w:t>Sähköposti</w:t>
            </w:r>
          </w:p>
        </w:tc>
        <w:tc>
          <w:tcPr>
            <w:tcW w:w="3444" w:type="pct"/>
          </w:tcPr>
          <w:p w:rsidR="00A443CE" w:rsidP="00D33D43" w:rsidRDefault="00A443CE" w14:paraId="16ABAE1A" w14:textId="77777777">
            <w:pPr>
              <w:rPr>
                <w:i/>
              </w:rPr>
            </w:pPr>
            <w:r>
              <w:rPr>
                <w:i/>
              </w:rPr>
              <w:t xml:space="preserve">Stefania.Lopedote@eesc.europa.eu </w:t>
            </w:r>
          </w:p>
        </w:tc>
      </w:tr>
    </w:tbl>
    <w:p w:rsidR="009F0605" w:rsidP="006537CB" w:rsidRDefault="009F0605" w14:paraId="6E940869" w14:textId="2F09DDCA">
      <w:pPr>
        <w:rPr>
          <w:lang w:val="en-GB"/>
        </w:rPr>
      </w:pPr>
    </w:p>
    <w:p w:rsidR="00E32C54" w:rsidRDefault="00E32C54" w14:paraId="68CEF362" w14:textId="77777777">
      <w:pPr>
        <w:spacing w:after="160" w:line="259" w:lineRule="auto"/>
        <w:jc w:val="left"/>
      </w:pPr>
      <w:r>
        <w:br w:type="page"/>
      </w:r>
    </w:p>
    <w:p w:rsidRPr="00B4456F" w:rsidR="00A443CE" w:rsidP="0091345F" w:rsidRDefault="00A443CE" w14:paraId="7606A918" w14:textId="3F7B9A9E">
      <w:pPr>
        <w:widowControl w:val="0"/>
        <w:numPr>
          <w:ilvl w:val="0"/>
          <w:numId w:val="15"/>
        </w:numPr>
        <w:overflowPunct w:val="0"/>
        <w:autoSpaceDE w:val="0"/>
        <w:autoSpaceDN w:val="0"/>
        <w:adjustRightInd w:val="0"/>
        <w:ind w:hanging="567"/>
        <w:textAlignment w:val="baseline"/>
        <w:rPr>
          <w:sz w:val="24"/>
          <w:szCs w:val="24"/>
        </w:rPr>
      </w:pPr>
      <w:r>
        <w:rPr>
          <w:b/>
          <w:i/>
          <w:sz w:val="28"/>
        </w:rPr>
        <w:lastRenderedPageBreak/>
        <w:t>Päätöslauselma</w:t>
      </w:r>
      <w:r>
        <w:rPr>
          <w:b/>
          <w:i/>
          <w:sz w:val="28"/>
        </w:rPr>
        <w:t xml:space="preserve"> –</w:t>
      </w:r>
      <w:r>
        <w:t xml:space="preserve"> </w:t>
      </w:r>
      <w:hyperlink w:history="1" r:id="rId22">
        <w:r>
          <w:rPr>
            <w:rStyle w:val="Hyperlink"/>
            <w:b/>
            <w:i/>
            <w:sz w:val="28"/>
          </w:rPr>
          <w:t>Tuki julistukselle tasa-arvoisen yhteiskunnan periaatteista</w:t>
        </w:r>
      </w:hyperlink>
      <w:r>
        <w:rPr>
          <w:b/>
          <w:i/>
          <w:sz w:val="28"/>
        </w:rPr>
        <w:t xml:space="preserve"> </w:t>
      </w:r>
    </w:p>
    <w:p w:rsidRPr="00B4456F" w:rsidR="00A443CE" w:rsidP="00A443CE" w:rsidRDefault="00A443CE" w14:paraId="789200FD" w14:textId="77777777">
      <w:pPr>
        <w:tabs>
          <w:tab w:val="center" w:pos="284"/>
        </w:tabs>
        <w:ind w:left="266" w:hanging="266"/>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B4456F" w:rsidR="00A443CE" w:rsidTr="00D33D43" w14:paraId="20274965" w14:textId="77777777">
        <w:tc>
          <w:tcPr>
            <w:tcW w:w="1701" w:type="dxa"/>
          </w:tcPr>
          <w:p w:rsidRPr="00B4456F" w:rsidR="00A443CE" w:rsidP="00D33D43" w:rsidRDefault="00A443CE" w14:paraId="143CF31B" w14:textId="77777777">
            <w:pPr>
              <w:tabs>
                <w:tab w:val="center" w:pos="284"/>
              </w:tabs>
              <w:ind w:left="266" w:hanging="266"/>
              <w:rPr>
                <w:b/>
              </w:rPr>
            </w:pPr>
            <w:r>
              <w:rPr>
                <w:b/>
              </w:rPr>
              <w:t>Esittelijä</w:t>
            </w:r>
          </w:p>
        </w:tc>
        <w:tc>
          <w:tcPr>
            <w:tcW w:w="5387" w:type="dxa"/>
          </w:tcPr>
          <w:p w:rsidRPr="00B4456F" w:rsidR="00A443CE" w:rsidP="00D33D43" w:rsidRDefault="00A443CE" w14:paraId="01471CC4" w14:textId="77777777">
            <w:pPr>
              <w:tabs>
                <w:tab w:val="center" w:pos="284"/>
              </w:tabs>
              <w:ind w:left="266" w:hanging="266"/>
            </w:pPr>
            <w:proofErr w:type="spellStart"/>
            <w:r>
              <w:t>Sif</w:t>
            </w:r>
            <w:proofErr w:type="spellEnd"/>
            <w:r>
              <w:t xml:space="preserve"> HOLST (kansalaisyhteiskunnan organisaatiot – DK)</w:t>
            </w:r>
          </w:p>
        </w:tc>
      </w:tr>
      <w:tr w:rsidRPr="00B4456F" w:rsidR="00A443CE" w:rsidTr="00D33D43" w14:paraId="51126B5B" w14:textId="77777777">
        <w:tc>
          <w:tcPr>
            <w:tcW w:w="7088" w:type="dxa"/>
            <w:gridSpan w:val="2"/>
          </w:tcPr>
          <w:p w:rsidRPr="00B4456F" w:rsidR="00A443CE" w:rsidP="00D33D43" w:rsidRDefault="00A443CE" w14:paraId="1E377865" w14:textId="77777777">
            <w:pPr>
              <w:tabs>
                <w:tab w:val="center" w:pos="284"/>
              </w:tabs>
              <w:spacing w:line="160" w:lineRule="exact"/>
              <w:ind w:left="266" w:hanging="266"/>
            </w:pPr>
          </w:p>
        </w:tc>
      </w:tr>
      <w:tr w:rsidRPr="00B4456F" w:rsidR="00A443CE" w:rsidTr="00D33D43" w14:paraId="675FAAC5" w14:textId="77777777">
        <w:tc>
          <w:tcPr>
            <w:tcW w:w="1701" w:type="dxa"/>
            <w:vMerge w:val="restart"/>
          </w:tcPr>
          <w:p w:rsidRPr="00B4456F" w:rsidR="00A443CE" w:rsidP="00D33D43" w:rsidRDefault="00A443CE" w14:paraId="4AAD6E24" w14:textId="77777777">
            <w:pPr>
              <w:tabs>
                <w:tab w:val="center" w:pos="284"/>
              </w:tabs>
              <w:ind w:left="266" w:hanging="266"/>
              <w:rPr>
                <w:b/>
              </w:rPr>
            </w:pPr>
            <w:r>
              <w:rPr>
                <w:b/>
              </w:rPr>
              <w:t xml:space="preserve">Viiteasiakirjat </w:t>
            </w:r>
          </w:p>
        </w:tc>
        <w:tc>
          <w:tcPr>
            <w:tcW w:w="5387" w:type="dxa"/>
          </w:tcPr>
          <w:p w:rsidRPr="00B4456F" w:rsidR="00A443CE" w:rsidP="00D33D43" w:rsidRDefault="00A443CE" w14:paraId="7A6748C5" w14:textId="77777777">
            <w:pPr>
              <w:tabs>
                <w:tab w:val="center" w:pos="284"/>
              </w:tabs>
              <w:ind w:left="266" w:hanging="266"/>
            </w:pPr>
            <w:proofErr w:type="gramStart"/>
            <w:r>
              <w:t>COM(</w:t>
            </w:r>
            <w:proofErr w:type="gramEnd"/>
            <w:r>
              <w:t xml:space="preserve">2025) 97 </w:t>
            </w:r>
            <w:proofErr w:type="spellStart"/>
            <w:r>
              <w:t>final</w:t>
            </w:r>
            <w:proofErr w:type="spellEnd"/>
          </w:p>
        </w:tc>
      </w:tr>
      <w:tr w:rsidRPr="00B4456F" w:rsidR="00A443CE" w:rsidTr="00D33D43" w14:paraId="7A866A39" w14:textId="77777777">
        <w:tc>
          <w:tcPr>
            <w:tcW w:w="1701" w:type="dxa"/>
            <w:vMerge/>
          </w:tcPr>
          <w:p w:rsidRPr="00B4456F" w:rsidR="00A443CE" w:rsidP="00D33D43" w:rsidRDefault="00A443CE" w14:paraId="5C27357C" w14:textId="77777777">
            <w:pPr>
              <w:tabs>
                <w:tab w:val="center" w:pos="284"/>
              </w:tabs>
              <w:ind w:left="266" w:hanging="266"/>
              <w:rPr>
                <w:b/>
              </w:rPr>
            </w:pPr>
          </w:p>
        </w:tc>
        <w:tc>
          <w:tcPr>
            <w:tcW w:w="5387" w:type="dxa"/>
          </w:tcPr>
          <w:p w:rsidRPr="00B4456F" w:rsidR="00A443CE" w:rsidP="00D33D43" w:rsidRDefault="00A443CE" w14:paraId="673BC1CB" w14:textId="77777777">
            <w:pPr>
              <w:tabs>
                <w:tab w:val="center" w:pos="284"/>
              </w:tabs>
              <w:ind w:left="266" w:hanging="266"/>
            </w:pPr>
            <w:r>
              <w:t>EESC-2025-01814-00-00-RES-TRA</w:t>
            </w:r>
          </w:p>
        </w:tc>
      </w:tr>
    </w:tbl>
    <w:p w:rsidRPr="00B4456F" w:rsidR="00A443CE" w:rsidP="00A443CE" w:rsidRDefault="00A443CE" w14:paraId="11A618FA" w14:textId="77777777">
      <w:pPr>
        <w:tabs>
          <w:tab w:val="center" w:pos="284"/>
        </w:tabs>
        <w:ind w:left="266" w:hanging="266"/>
      </w:pPr>
    </w:p>
    <w:p w:rsidRPr="00B4456F" w:rsidR="00A443CE" w:rsidP="00A443CE" w:rsidRDefault="00A443CE" w14:paraId="2C18E37F" w14:textId="77777777">
      <w:pPr>
        <w:keepNext/>
        <w:keepLines/>
        <w:tabs>
          <w:tab w:val="center" w:pos="284"/>
        </w:tabs>
        <w:ind w:left="266" w:hanging="266"/>
        <w:rPr>
          <w:b/>
        </w:rPr>
      </w:pPr>
      <w:r>
        <w:rPr>
          <w:b/>
        </w:rPr>
        <w:t>Keskeiset kohdat</w:t>
      </w:r>
    </w:p>
    <w:p w:rsidRPr="00B4456F" w:rsidR="00A443CE" w:rsidP="00A443CE" w:rsidRDefault="00A443CE" w14:paraId="51DC4D36" w14:textId="77777777">
      <w:pPr>
        <w:keepNext/>
        <w:keepLines/>
        <w:tabs>
          <w:tab w:val="center" w:pos="284"/>
        </w:tabs>
        <w:ind w:left="266" w:hanging="266"/>
        <w:rPr>
          <w:b/>
        </w:rPr>
      </w:pPr>
    </w:p>
    <w:p w:rsidRPr="00B4456F" w:rsidR="00A443CE" w:rsidP="00A443CE" w:rsidRDefault="00A443CE" w14:paraId="0B8AF4CD" w14:textId="77777777">
      <w:pPr>
        <w:rPr>
          <w:bCs/>
          <w:iCs/>
        </w:rPr>
      </w:pPr>
      <w:r>
        <w:t>ETSK</w:t>
      </w:r>
    </w:p>
    <w:p w:rsidRPr="001C56C0" w:rsidR="00A443CE" w:rsidP="0091345F" w:rsidRDefault="00A443CE" w14:paraId="6CDE0A54" w14:textId="77777777">
      <w:pPr>
        <w:widowControl w:val="0"/>
        <w:numPr>
          <w:ilvl w:val="0"/>
          <w:numId w:val="15"/>
        </w:numPr>
        <w:overflowPunct w:val="0"/>
        <w:autoSpaceDE w:val="0"/>
        <w:autoSpaceDN w:val="0"/>
        <w:adjustRightInd w:val="0"/>
        <w:ind w:left="709" w:hanging="425"/>
        <w:textAlignment w:val="baseline"/>
      </w:pPr>
      <w:r>
        <w:t xml:space="preserve">vahvistaa olevansa vankkumattomasti sitoutunut </w:t>
      </w:r>
      <w:r>
        <w:rPr>
          <w:b/>
        </w:rPr>
        <w:t>sukupuolten tasa-arvoon ja naisten oikeuksiin, jotka ovat demokratian, sosiaalisen oikeudenmukaisuuden ja osallistavan kasvun peruspilareita</w:t>
      </w:r>
      <w:r>
        <w:t xml:space="preserve">, ja seisovansa vakaasti kaikkien niiden rinnalla, jotka pyrkivät </w:t>
      </w:r>
      <w:r>
        <w:rPr>
          <w:b/>
        </w:rPr>
        <w:t>edistämään kaikkien ja kaikenlaisten naisten ja tyttöjen tasa-arvoista kohtelua</w:t>
      </w:r>
      <w:r>
        <w:t>.</w:t>
      </w:r>
    </w:p>
    <w:p w:rsidRPr="001C56C0" w:rsidR="00A443CE" w:rsidP="0091345F" w:rsidRDefault="00A443CE" w14:paraId="1D3F18A7" w14:textId="77777777">
      <w:pPr>
        <w:widowControl w:val="0"/>
        <w:numPr>
          <w:ilvl w:val="0"/>
          <w:numId w:val="15"/>
        </w:numPr>
        <w:overflowPunct w:val="0"/>
        <w:autoSpaceDE w:val="0"/>
        <w:autoSpaceDN w:val="0"/>
        <w:adjustRightInd w:val="0"/>
        <w:ind w:left="709" w:hanging="425"/>
        <w:textAlignment w:val="baseline"/>
      </w:pPr>
      <w:r>
        <w:t>kannattaa julistusta tasa-arvoisen yhteiskunnan periaatteista, sillä se vastaa läheisesti arvoja ja painopisteitä, joita ETSK on tuonut toistuvasti esiin lausunnoissaan.</w:t>
      </w:r>
    </w:p>
    <w:p w:rsidRPr="001C56C0" w:rsidR="00A443CE" w:rsidP="0091345F" w:rsidRDefault="00A443CE" w14:paraId="18A173F2" w14:textId="77777777">
      <w:pPr>
        <w:widowControl w:val="0"/>
        <w:numPr>
          <w:ilvl w:val="0"/>
          <w:numId w:val="15"/>
        </w:numPr>
        <w:overflowPunct w:val="0"/>
        <w:autoSpaceDE w:val="0"/>
        <w:autoSpaceDN w:val="0"/>
        <w:adjustRightInd w:val="0"/>
        <w:ind w:left="709" w:hanging="425"/>
        <w:textAlignment w:val="baseline"/>
      </w:pPr>
      <w:r>
        <w:t>toteaa, että periaatteiden toteutuminen edellyttää koordinoitua ja jatkuvaa toimintaa, ja on sitoutunut</w:t>
      </w:r>
    </w:p>
    <w:p w:rsidRPr="007C7D54" w:rsidR="00A443CE" w:rsidP="0091345F" w:rsidRDefault="00A443CE" w14:paraId="04E9C403" w14:textId="77777777">
      <w:pPr>
        <w:pStyle w:val="ListParagraph"/>
        <w:widowControl w:val="0"/>
        <w:numPr>
          <w:ilvl w:val="0"/>
          <w:numId w:val="15"/>
        </w:numPr>
        <w:spacing w:after="200" w:line="276" w:lineRule="auto"/>
        <w:ind w:left="1134" w:hanging="425"/>
        <w:rPr>
          <w:szCs w:val="20"/>
        </w:rPr>
      </w:pPr>
      <w:r>
        <w:t>edistämään sukupuolten tasa-arvoa jäsennellyn työmarkkina- ja kansalaisvuoropuhelun ja laajan osallistavuuden avulla kaikilla tasoilla.</w:t>
      </w:r>
    </w:p>
    <w:p w:rsidRPr="007C7D54" w:rsidR="00A443CE" w:rsidP="0091345F" w:rsidRDefault="00A443CE" w14:paraId="17116A4E" w14:textId="77777777">
      <w:pPr>
        <w:pStyle w:val="ListParagraph"/>
        <w:widowControl w:val="0"/>
        <w:numPr>
          <w:ilvl w:val="0"/>
          <w:numId w:val="15"/>
        </w:numPr>
        <w:spacing w:after="200" w:line="276" w:lineRule="auto"/>
        <w:ind w:left="1134" w:hanging="425"/>
        <w:rPr>
          <w:szCs w:val="20"/>
        </w:rPr>
      </w:pPr>
      <w:r>
        <w:t>vahvistamaan nuorten, kansalaisyhteiskunnan organisaatioiden ja työmarkkinaosapuolten asemaa tasa-arvopolitiikkojen muotoilussa, seurannassa ja täytäntöönpanossa.</w:t>
      </w:r>
    </w:p>
    <w:p w:rsidRPr="007C7D54" w:rsidR="00A443CE" w:rsidP="0091345F" w:rsidRDefault="00A443CE" w14:paraId="1227E331" w14:textId="77777777">
      <w:pPr>
        <w:pStyle w:val="ListParagraph"/>
        <w:widowControl w:val="0"/>
        <w:numPr>
          <w:ilvl w:val="0"/>
          <w:numId w:val="15"/>
        </w:numPr>
        <w:spacing w:after="200" w:line="276" w:lineRule="auto"/>
        <w:ind w:left="1134" w:hanging="425"/>
        <w:rPr>
          <w:szCs w:val="20"/>
        </w:rPr>
      </w:pPr>
      <w:r>
        <w:t>tukemaan intersektionaalisia toimintamalleja, joissa keskitytään moninkertaista ja päällekkäistä syrjintää kohtaavien naisten tilanteeseen.</w:t>
      </w:r>
    </w:p>
    <w:p w:rsidRPr="007C7D54" w:rsidR="00A443CE" w:rsidP="0091345F" w:rsidRDefault="00A443CE" w14:paraId="1F4392C3" w14:textId="77777777">
      <w:pPr>
        <w:pStyle w:val="ListParagraph"/>
        <w:widowControl w:val="0"/>
        <w:numPr>
          <w:ilvl w:val="0"/>
          <w:numId w:val="15"/>
        </w:numPr>
        <w:spacing w:after="200" w:line="276" w:lineRule="auto"/>
        <w:ind w:left="1134" w:hanging="425"/>
        <w:rPr>
          <w:szCs w:val="20"/>
        </w:rPr>
      </w:pPr>
      <w:r>
        <w:t xml:space="preserve">edistämään toimintapolitiikkoja, joilla turvataan seksuaali- ja lisääntymisterveys ja </w:t>
      </w:r>
      <w:r>
        <w:noBreakHyphen/>
        <w:t>oikeudet, tasapuoliset mahdollisuudet saada hoitoa sekä turvallinen, osallistava ja demokraattinen ympäristö.</w:t>
      </w:r>
    </w:p>
    <w:p w:rsidR="00A443CE" w:rsidP="0091345F" w:rsidRDefault="00A443CE" w14:paraId="7E621302" w14:textId="77777777">
      <w:pPr>
        <w:pStyle w:val="ListParagraph"/>
        <w:widowControl w:val="0"/>
        <w:numPr>
          <w:ilvl w:val="0"/>
          <w:numId w:val="15"/>
        </w:numPr>
        <w:spacing w:after="200" w:line="276" w:lineRule="auto"/>
        <w:ind w:left="1134" w:hanging="425"/>
      </w:pPr>
      <w:r>
        <w:t>edistämään sukupuolten tasa-arvon valtavirtaistamista, sukupuolitietoista budjetointia sekä sukupuolen mukaan eriteltyjen ja intersektionaalisten tietojen keräämistä ja käyttöä.</w:t>
      </w:r>
    </w:p>
    <w:p w:rsidRPr="001C56C0" w:rsidR="00A443CE" w:rsidP="0091345F" w:rsidRDefault="00A443CE" w14:paraId="13804192" w14:textId="77777777">
      <w:pPr>
        <w:pStyle w:val="ListParagraph"/>
        <w:widowControl w:val="0"/>
        <w:numPr>
          <w:ilvl w:val="0"/>
          <w:numId w:val="4"/>
        </w:numPr>
        <w:spacing w:after="200" w:line="276" w:lineRule="auto"/>
        <w:ind w:left="709" w:hanging="425"/>
      </w:pPr>
      <w:r>
        <w:t xml:space="preserve">on valmis </w:t>
      </w:r>
      <w:r>
        <w:rPr>
          <w:b/>
        </w:rPr>
        <w:t>osallistumaan aktiivisesti etenemissuunnitelman toteuttamiseen</w:t>
      </w:r>
      <w:r>
        <w:t xml:space="preserve"> ja tekemään yhteistyötä EU:n toimielinten ja jäsenvaltioiden kanssa, jotta periaatteet toteutuisivat käytännössä.</w:t>
      </w:r>
    </w:p>
    <w:p w:rsidRPr="00B4456F" w:rsidR="00A443CE" w:rsidP="00A443CE" w:rsidRDefault="00A443CE" w14:paraId="3A602BAC" w14:textId="77777777">
      <w:pPr>
        <w:widowControl w:val="0"/>
        <w:ind w:left="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B4456F" w:rsidR="00A443CE" w:rsidTr="00D33D43" w14:paraId="1F48E35D" w14:textId="77777777">
        <w:tc>
          <w:tcPr>
            <w:tcW w:w="1418" w:type="dxa"/>
          </w:tcPr>
          <w:p w:rsidRPr="00B4456F" w:rsidR="00A443CE" w:rsidP="00D33D43" w:rsidRDefault="00A443CE" w14:paraId="167830B7" w14:textId="77777777">
            <w:pPr>
              <w:spacing w:line="240" w:lineRule="auto"/>
              <w:rPr>
                <w:i/>
              </w:rPr>
            </w:pPr>
            <w:r>
              <w:rPr>
                <w:b/>
                <w:i/>
              </w:rPr>
              <w:t>Yhteydenotot</w:t>
            </w:r>
          </w:p>
        </w:tc>
        <w:tc>
          <w:tcPr>
            <w:tcW w:w="5670" w:type="dxa"/>
          </w:tcPr>
          <w:p w:rsidRPr="00B4456F" w:rsidR="00A443CE" w:rsidP="00D33D43" w:rsidRDefault="00A443CE" w14:paraId="1BF19E0C" w14:textId="77777777">
            <w:pPr>
              <w:spacing w:line="240" w:lineRule="auto"/>
              <w:rPr>
                <w:i/>
              </w:rPr>
            </w:pPr>
            <w:proofErr w:type="spellStart"/>
            <w:r>
              <w:rPr>
                <w:i/>
              </w:rPr>
              <w:t>Gabriela</w:t>
            </w:r>
            <w:proofErr w:type="spellEnd"/>
            <w:r>
              <w:rPr>
                <w:i/>
              </w:rPr>
              <w:t xml:space="preserve"> GRASU</w:t>
            </w:r>
          </w:p>
        </w:tc>
      </w:tr>
      <w:tr w:rsidRPr="00B4456F" w:rsidR="00A443CE" w:rsidTr="00D33D43" w14:paraId="70B49216" w14:textId="77777777">
        <w:tc>
          <w:tcPr>
            <w:tcW w:w="1418" w:type="dxa"/>
          </w:tcPr>
          <w:p w:rsidRPr="00B4456F" w:rsidR="00A443CE" w:rsidP="00D33D43" w:rsidRDefault="00A443CE" w14:paraId="4A4738AE" w14:textId="77777777">
            <w:pPr>
              <w:spacing w:line="240" w:lineRule="auto"/>
              <w:rPr>
                <w:i/>
              </w:rPr>
            </w:pPr>
            <w:r>
              <w:rPr>
                <w:i/>
              </w:rPr>
              <w:t>P.</w:t>
            </w:r>
          </w:p>
        </w:tc>
        <w:tc>
          <w:tcPr>
            <w:tcW w:w="5670" w:type="dxa"/>
          </w:tcPr>
          <w:p w:rsidRPr="00B4456F" w:rsidR="00A443CE" w:rsidP="00D33D43" w:rsidRDefault="00A443CE" w14:paraId="29565982" w14:textId="77777777">
            <w:pPr>
              <w:spacing w:line="240" w:lineRule="auto"/>
              <w:rPr>
                <w:i/>
              </w:rPr>
            </w:pPr>
            <w:r>
              <w:rPr>
                <w:i/>
              </w:rPr>
              <w:t>+32 25469162</w:t>
            </w:r>
          </w:p>
        </w:tc>
      </w:tr>
      <w:tr w:rsidRPr="00B4456F" w:rsidR="00A443CE" w:rsidTr="00D33D43" w14:paraId="073654CB" w14:textId="77777777">
        <w:tc>
          <w:tcPr>
            <w:tcW w:w="1418" w:type="dxa"/>
          </w:tcPr>
          <w:p w:rsidRPr="00B4456F" w:rsidR="00A443CE" w:rsidP="00D33D43" w:rsidRDefault="00A443CE" w14:paraId="5A55493B" w14:textId="77777777">
            <w:pPr>
              <w:spacing w:line="240" w:lineRule="auto"/>
              <w:rPr>
                <w:i/>
              </w:rPr>
            </w:pPr>
            <w:r>
              <w:rPr>
                <w:i/>
              </w:rPr>
              <w:t>Sähköposti</w:t>
            </w:r>
          </w:p>
        </w:tc>
        <w:tc>
          <w:tcPr>
            <w:tcW w:w="5670" w:type="dxa"/>
          </w:tcPr>
          <w:p w:rsidRPr="00B4456F" w:rsidR="00A443CE" w:rsidP="00D33D43" w:rsidRDefault="00A443CE" w14:paraId="14E7445D" w14:textId="77777777">
            <w:pPr>
              <w:spacing w:line="240" w:lineRule="auto"/>
              <w:rPr>
                <w:i/>
                <w:iCs/>
              </w:rPr>
            </w:pPr>
            <w:hyperlink w:history="1" r:id="rId23">
              <w:r>
                <w:rPr>
                  <w:rStyle w:val="Hyperlink"/>
                  <w:i/>
                </w:rPr>
                <w:t>Gabriela.Grasu@eesc.europa.eu</w:t>
              </w:r>
            </w:hyperlink>
          </w:p>
        </w:tc>
      </w:tr>
    </w:tbl>
    <w:p w:rsidR="00E32C54" w:rsidP="00E32C54" w:rsidRDefault="00E32C54" w14:paraId="06E2FD62" w14:textId="77777777">
      <w:pPr>
        <w:spacing w:after="160" w:line="259" w:lineRule="auto"/>
        <w:jc w:val="left"/>
        <w:rPr>
          <w:lang w:val="en-GB"/>
        </w:rPr>
      </w:pPr>
    </w:p>
    <w:p w:rsidR="009F0605" w:rsidRDefault="009F0605" w14:paraId="288E6860" w14:textId="1F285198">
      <w:pPr>
        <w:spacing w:after="160" w:line="259" w:lineRule="auto"/>
        <w:jc w:val="left"/>
      </w:pPr>
      <w:r>
        <w:br w:type="page"/>
      </w:r>
    </w:p>
    <w:p w:rsidR="004D7AC0" w:rsidP="004D7AC0" w:rsidRDefault="004D7AC0" w14:paraId="4982DD6D" w14:textId="27928A02">
      <w:pPr>
        <w:pStyle w:val="Heading1"/>
        <w:rPr>
          <w:b/>
        </w:rPr>
      </w:pPr>
      <w:bookmarkStart w:name="_Toc202362992" w:id="1"/>
      <w:r>
        <w:rPr>
          <w:b/>
        </w:rPr>
        <w:lastRenderedPageBreak/>
        <w:t>TALOUS- JA RAHALIITTO, TALOUDELLINEN JA SOSIAALINEN YHTEENKUULUVUUS</w:t>
      </w:r>
      <w:bookmarkEnd w:id="1"/>
    </w:p>
    <w:p w:rsidR="004D7AC0" w:rsidP="004D7AC0" w:rsidRDefault="004D7AC0" w14:paraId="4982DD6E" w14:textId="77777777"/>
    <w:p w:rsidRPr="0003586F" w:rsidR="00A443CE" w:rsidP="0091345F" w:rsidRDefault="00A443CE" w14:paraId="7B8126F3" w14:textId="51967CFF">
      <w:pPr>
        <w:widowControl w:val="0"/>
        <w:numPr>
          <w:ilvl w:val="0"/>
          <w:numId w:val="15"/>
        </w:numPr>
        <w:overflowPunct w:val="0"/>
        <w:autoSpaceDE w:val="0"/>
        <w:autoSpaceDN w:val="0"/>
        <w:adjustRightInd w:val="0"/>
        <w:ind w:hanging="567"/>
        <w:textAlignment w:val="baseline"/>
        <w:rPr>
          <w:sz w:val="20"/>
        </w:rPr>
      </w:pPr>
      <w:r>
        <w:rPr>
          <w:b/>
          <w:i/>
          <w:sz w:val="28"/>
        </w:rPr>
        <w:t xml:space="preserve"> </w:t>
      </w:r>
      <w:hyperlink w:history="1" r:id="rId24">
        <w:r>
          <w:rPr>
            <w:rStyle w:val="Hyperlink"/>
            <w:b/>
            <w:i/>
            <w:sz w:val="28"/>
          </w:rPr>
          <w:t>EU:ssa sovellettavien veroraportointivelvoitteiden arvioiminen</w:t>
        </w:r>
      </w:hyperlink>
    </w:p>
    <w:p w:rsidRPr="00A6689B" w:rsidR="00A443CE" w:rsidP="00A443CE" w:rsidRDefault="00A443CE" w14:paraId="24C02586" w14:textId="77777777">
      <w:pPr>
        <w:tabs>
          <w:tab w:val="center" w:pos="284"/>
        </w:tabs>
        <w:ind w:left="266" w:hanging="266"/>
        <w:rPr>
          <w:b/>
        </w:rPr>
      </w:pPr>
    </w:p>
    <w:tbl>
      <w:tblPr>
        <w:tblStyle w:val="TableGrid"/>
        <w:tblW w:w="375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934"/>
      </w:tblGrid>
      <w:tr w:rsidRPr="00A6689B" w:rsidR="00A443CE" w:rsidTr="00D33D43" w14:paraId="2590FEA3" w14:textId="77777777">
        <w:tc>
          <w:tcPr>
            <w:tcW w:w="1459" w:type="pct"/>
          </w:tcPr>
          <w:p w:rsidRPr="00A6689B" w:rsidR="00A443CE" w:rsidP="00D33D43" w:rsidRDefault="00A443CE" w14:paraId="7A6C5939" w14:textId="77777777">
            <w:pPr>
              <w:tabs>
                <w:tab w:val="center" w:pos="284"/>
              </w:tabs>
              <w:ind w:left="266" w:hanging="266"/>
              <w:rPr>
                <w:b/>
              </w:rPr>
            </w:pPr>
            <w:r>
              <w:rPr>
                <w:b/>
              </w:rPr>
              <w:t>Esittelijä</w:t>
            </w:r>
          </w:p>
        </w:tc>
        <w:tc>
          <w:tcPr>
            <w:tcW w:w="3541" w:type="pct"/>
          </w:tcPr>
          <w:p w:rsidRPr="00BF311F" w:rsidR="00A443CE" w:rsidP="00D33D43" w:rsidRDefault="00A443CE" w14:paraId="29A7CDDA" w14:textId="77777777">
            <w:pPr>
              <w:tabs>
                <w:tab w:val="center" w:pos="284"/>
              </w:tabs>
              <w:ind w:left="266" w:hanging="266"/>
              <w:rPr>
                <w:bCs/>
              </w:rPr>
            </w:pPr>
            <w:r>
              <w:t>Krister ANDERSSON (työnantajat – SE)</w:t>
            </w:r>
          </w:p>
        </w:tc>
      </w:tr>
      <w:tr w:rsidRPr="00A6689B" w:rsidR="00A443CE" w:rsidTr="00D33D43" w14:paraId="0822F612" w14:textId="77777777">
        <w:tc>
          <w:tcPr>
            <w:tcW w:w="5000" w:type="pct"/>
            <w:gridSpan w:val="2"/>
          </w:tcPr>
          <w:p w:rsidRPr="00A6689B" w:rsidR="00A443CE" w:rsidP="00D33D43" w:rsidRDefault="00A443CE" w14:paraId="46856FE8" w14:textId="77777777">
            <w:pPr>
              <w:tabs>
                <w:tab w:val="center" w:pos="284"/>
              </w:tabs>
              <w:spacing w:line="160" w:lineRule="exact"/>
              <w:ind w:left="266" w:hanging="266"/>
              <w:rPr>
                <w:lang w:val="en-US"/>
              </w:rPr>
            </w:pPr>
          </w:p>
        </w:tc>
      </w:tr>
      <w:tr w:rsidRPr="00A6689B" w:rsidR="00A443CE" w:rsidTr="00D33D43" w14:paraId="24B62883" w14:textId="77777777">
        <w:tc>
          <w:tcPr>
            <w:tcW w:w="1459" w:type="pct"/>
          </w:tcPr>
          <w:p w:rsidRPr="00A6689B" w:rsidR="00A443CE" w:rsidP="00D33D43" w:rsidRDefault="00A443CE" w14:paraId="4046BB66" w14:textId="77777777">
            <w:pPr>
              <w:tabs>
                <w:tab w:val="center" w:pos="284"/>
              </w:tabs>
              <w:ind w:left="266" w:hanging="266"/>
              <w:rPr>
                <w:b/>
              </w:rPr>
            </w:pPr>
            <w:r>
              <w:rPr>
                <w:b/>
              </w:rPr>
              <w:t>Viiteasiakirja</w:t>
            </w:r>
          </w:p>
        </w:tc>
        <w:tc>
          <w:tcPr>
            <w:tcW w:w="3541" w:type="pct"/>
          </w:tcPr>
          <w:p w:rsidR="00A443CE" w:rsidP="00D33D43" w:rsidRDefault="00A443CE" w14:paraId="74900DFF" w14:textId="77777777">
            <w:pPr>
              <w:tabs>
                <w:tab w:val="center" w:pos="284"/>
              </w:tabs>
              <w:ind w:left="266" w:hanging="266"/>
            </w:pPr>
            <w:r>
              <w:t>Oma-aloitteinen lausunto</w:t>
            </w:r>
          </w:p>
          <w:p w:rsidRPr="00A6689B" w:rsidR="00A443CE" w:rsidP="00D33D43" w:rsidRDefault="00A443CE" w14:paraId="5575D696" w14:textId="77777777">
            <w:pPr>
              <w:tabs>
                <w:tab w:val="center" w:pos="284"/>
              </w:tabs>
              <w:ind w:left="266" w:hanging="266"/>
            </w:pPr>
            <w:r>
              <w:t>EESC-2025-00462-00-00-AC</w:t>
            </w:r>
          </w:p>
        </w:tc>
      </w:tr>
    </w:tbl>
    <w:p w:rsidRPr="00AB1FC4" w:rsidR="00A443CE" w:rsidP="00A443CE" w:rsidRDefault="00A443CE" w14:paraId="7B3CF244" w14:textId="77777777">
      <w:pPr>
        <w:tabs>
          <w:tab w:val="center" w:pos="284"/>
        </w:tabs>
        <w:ind w:left="266" w:hanging="266"/>
        <w:rPr>
          <w:bCs/>
        </w:rPr>
      </w:pPr>
    </w:p>
    <w:p w:rsidRPr="00A6689B" w:rsidR="00A443CE" w:rsidP="00A443CE" w:rsidRDefault="00A443CE" w14:paraId="6C27223F" w14:textId="77777777">
      <w:pPr>
        <w:keepNext/>
        <w:keepLines/>
        <w:tabs>
          <w:tab w:val="center" w:pos="284"/>
        </w:tabs>
        <w:ind w:left="266" w:hanging="266"/>
        <w:rPr>
          <w:b/>
        </w:rPr>
      </w:pPr>
      <w:r>
        <w:rPr>
          <w:b/>
        </w:rPr>
        <w:t>Keskeiset kohdat</w:t>
      </w:r>
    </w:p>
    <w:p w:rsidRPr="00AB1FC4" w:rsidR="00A443CE" w:rsidP="00A443CE" w:rsidRDefault="00A443CE" w14:paraId="3459BB5B" w14:textId="77777777">
      <w:pPr>
        <w:keepNext/>
        <w:keepLines/>
        <w:tabs>
          <w:tab w:val="center" w:pos="284"/>
        </w:tabs>
        <w:ind w:left="266" w:hanging="266"/>
        <w:rPr>
          <w:bCs/>
        </w:rPr>
      </w:pPr>
    </w:p>
    <w:p w:rsidRPr="00A6689B" w:rsidR="00A443CE" w:rsidP="00A443CE" w:rsidRDefault="00A443CE" w14:paraId="71755E42" w14:textId="77777777">
      <w:pPr>
        <w:rPr>
          <w:bCs/>
          <w:iCs/>
        </w:rPr>
      </w:pPr>
      <w:r>
        <w:t>ETSK</w:t>
      </w:r>
    </w:p>
    <w:p w:rsidRPr="00A90556" w:rsidR="00A443CE" w:rsidP="0091345F" w:rsidRDefault="00A443CE" w14:paraId="3EADFFC4" w14:textId="77777777">
      <w:pPr>
        <w:pStyle w:val="ListParagraph"/>
        <w:numPr>
          <w:ilvl w:val="0"/>
          <w:numId w:val="5"/>
        </w:numPr>
        <w:spacing w:line="276" w:lineRule="auto"/>
        <w:ind w:left="567" w:hanging="567"/>
        <w:contextualSpacing w:val="0"/>
        <w:rPr>
          <w:bCs/>
          <w:iCs/>
        </w:rPr>
      </w:pPr>
      <w:r>
        <w:t>kannattaa komission suunnitelmia, joilla se tavoittelee yksinkertaistamista, hallinnollisen rasitteen keventämistä ja Euroopan talouden kilpailukyvyn parantamista.</w:t>
      </w:r>
    </w:p>
    <w:p w:rsidRPr="00A90556" w:rsidR="00A443CE" w:rsidP="00A443CE" w:rsidRDefault="00A443CE" w14:paraId="3439CA5C" w14:textId="77777777">
      <w:pPr>
        <w:rPr>
          <w:bCs/>
          <w:iCs/>
        </w:rPr>
      </w:pPr>
    </w:p>
    <w:p w:rsidRPr="00A90556" w:rsidR="00A443CE" w:rsidP="0091345F" w:rsidRDefault="00A443CE" w14:paraId="28150231" w14:textId="77777777">
      <w:pPr>
        <w:pStyle w:val="ListParagraph"/>
        <w:numPr>
          <w:ilvl w:val="0"/>
          <w:numId w:val="5"/>
        </w:numPr>
        <w:spacing w:line="276" w:lineRule="auto"/>
        <w:ind w:left="567" w:hanging="567"/>
        <w:contextualSpacing w:val="0"/>
        <w:rPr>
          <w:bCs/>
          <w:iCs/>
        </w:rPr>
      </w:pPr>
      <w:r>
        <w:t>katsoo, että verotuksen yksinkertaistamisen olisi edistettävä kustannustehokkaiden tietojen toimittamista ja tehostettava tietojen hyödyntämistä sekä tiedonvaihtoa veroviranomaisten välillä. Se ei saisi johtaa epäoikeudenmukaisiin tai tahattomiin verovelvollisuuksien muutoksiin eikä avata mahdollisuuksia verovilppiin tai haitalliseen verokilpailuun.</w:t>
      </w:r>
    </w:p>
    <w:p w:rsidRPr="00AB1FC4" w:rsidR="00A443CE" w:rsidP="00A443CE" w:rsidRDefault="00A443CE" w14:paraId="4901D250" w14:textId="77777777">
      <w:pPr>
        <w:pStyle w:val="ListParagraph"/>
        <w:ind w:left="567"/>
        <w:contextualSpacing w:val="0"/>
        <w:rPr>
          <w:bCs/>
          <w:iCs/>
        </w:rPr>
      </w:pPr>
    </w:p>
    <w:p w:rsidRPr="00A90556" w:rsidR="00A443CE" w:rsidP="0091345F" w:rsidRDefault="00A443CE" w14:paraId="65EE2FF6" w14:textId="77777777">
      <w:pPr>
        <w:pStyle w:val="ListParagraph"/>
        <w:numPr>
          <w:ilvl w:val="0"/>
          <w:numId w:val="5"/>
        </w:numPr>
        <w:spacing w:line="276" w:lineRule="auto"/>
        <w:ind w:left="567" w:hanging="567"/>
        <w:contextualSpacing w:val="0"/>
        <w:rPr>
          <w:bCs/>
          <w:iCs/>
        </w:rPr>
      </w:pPr>
      <w:r>
        <w:t>korostaa, että huomattavaa yksinkertaistamista voitaisiin saada aikaan myös yhdenmukaistamalla sellaisia samankaltaisia mutta ei kuitenkaan täysin toisiaan vastaavia välillisen verotuksen oikeudellisia käsitteitä ja termejä, jotka on vahvistettu EU:n eri direktiiveissä.</w:t>
      </w:r>
    </w:p>
    <w:p w:rsidRPr="00AB1FC4" w:rsidR="00A443CE" w:rsidP="00A443CE" w:rsidRDefault="00A443CE" w14:paraId="7DB2D598" w14:textId="77777777">
      <w:pPr>
        <w:pStyle w:val="ListParagraph"/>
        <w:ind w:left="567"/>
        <w:contextualSpacing w:val="0"/>
        <w:rPr>
          <w:bCs/>
          <w:iCs/>
        </w:rPr>
      </w:pPr>
    </w:p>
    <w:p w:rsidRPr="00A90556" w:rsidR="00A443CE" w:rsidP="0091345F" w:rsidRDefault="00A443CE" w14:paraId="50B91144" w14:textId="77777777">
      <w:pPr>
        <w:pStyle w:val="ListParagraph"/>
        <w:numPr>
          <w:ilvl w:val="0"/>
          <w:numId w:val="5"/>
        </w:numPr>
        <w:spacing w:line="276" w:lineRule="auto"/>
        <w:ind w:left="567" w:hanging="567"/>
        <w:contextualSpacing w:val="0"/>
        <w:rPr>
          <w:bCs/>
          <w:iCs/>
        </w:rPr>
      </w:pPr>
      <w:r>
        <w:t>katsoo, että jokaisesta ehdotuksesta olisi tehtävä vaikutustenarviointi, jotta voidaan arvioida asianmukaisesti uusien lainsäädäntöaloitteiden konkreettisia vaikutuksia veronmaksajiin ja yrityksiin.</w:t>
      </w:r>
    </w:p>
    <w:p w:rsidRPr="00AB1FC4" w:rsidR="00A443CE" w:rsidP="00A443CE" w:rsidRDefault="00A443CE" w14:paraId="66D85104" w14:textId="77777777">
      <w:pPr>
        <w:pStyle w:val="ListParagraph"/>
        <w:ind w:left="567"/>
        <w:contextualSpacing w:val="0"/>
        <w:rPr>
          <w:bCs/>
          <w:iCs/>
        </w:rPr>
      </w:pPr>
    </w:p>
    <w:p w:rsidRPr="00A90556" w:rsidR="00A443CE" w:rsidP="0091345F" w:rsidRDefault="00A443CE" w14:paraId="13A8F533" w14:textId="77777777">
      <w:pPr>
        <w:pStyle w:val="ListParagraph"/>
        <w:numPr>
          <w:ilvl w:val="0"/>
          <w:numId w:val="5"/>
        </w:numPr>
        <w:spacing w:line="276" w:lineRule="auto"/>
        <w:ind w:left="567" w:hanging="567"/>
        <w:contextualSpacing w:val="0"/>
        <w:rPr>
          <w:bCs/>
          <w:iCs/>
        </w:rPr>
      </w:pPr>
      <w:r>
        <w:t>suosittelee, että uusille verotusta koskeville lainsäädäntöaloitteille, myös pk-yrityksiä koskeville aloitteille, tehdään kilpailukykytarkastus, jotta varmistetaan, että uudet säännöt todella tukevat komission asettamia sääntelyn yksinkertaistamista ja karsimista ja hallinnollisen rasitteen keventämistä koskevia tavoitteita.</w:t>
      </w:r>
    </w:p>
    <w:p w:rsidRPr="00AB1FC4" w:rsidR="00A443CE" w:rsidP="00A443CE" w:rsidRDefault="00A443CE" w14:paraId="53D36AD6" w14:textId="77777777">
      <w:pPr>
        <w:pStyle w:val="ListParagraph"/>
        <w:ind w:left="567"/>
        <w:contextualSpacing w:val="0"/>
        <w:rPr>
          <w:bCs/>
          <w:iCs/>
        </w:rPr>
      </w:pPr>
    </w:p>
    <w:p w:rsidRPr="00A90556" w:rsidR="00A443CE" w:rsidP="0091345F" w:rsidRDefault="00A443CE" w14:paraId="70B66E41" w14:textId="77777777">
      <w:pPr>
        <w:pStyle w:val="ListParagraph"/>
        <w:numPr>
          <w:ilvl w:val="0"/>
          <w:numId w:val="5"/>
        </w:numPr>
        <w:spacing w:line="276" w:lineRule="auto"/>
        <w:ind w:left="567" w:hanging="567"/>
        <w:contextualSpacing w:val="0"/>
        <w:rPr>
          <w:bCs/>
          <w:iCs/>
        </w:rPr>
      </w:pPr>
      <w:r>
        <w:t>ehdottaa, että EU:n tasolla otetaan käyttöön ennakkoratkaisujärjestelmä. Lainkäyttöelimen perustaminen selkeyttäisi jäsenvaltioissa täytäntöön pantavien direktiivien ja asetusten tulkintaa.</w:t>
      </w:r>
    </w:p>
    <w:p w:rsidRPr="00AB1FC4" w:rsidR="00A443CE" w:rsidP="00A443CE" w:rsidRDefault="00A443CE" w14:paraId="21B09DA4" w14:textId="77777777">
      <w:pPr>
        <w:pStyle w:val="ListParagraph"/>
        <w:ind w:left="567"/>
        <w:contextualSpacing w:val="0"/>
        <w:rPr>
          <w:bCs/>
          <w:iCs/>
        </w:rPr>
      </w:pPr>
    </w:p>
    <w:p w:rsidRPr="00AB1FC4" w:rsidR="00A443CE" w:rsidP="0091345F" w:rsidRDefault="00A443CE" w14:paraId="0F9C50F5" w14:textId="77777777">
      <w:pPr>
        <w:pStyle w:val="ListParagraph"/>
        <w:numPr>
          <w:ilvl w:val="0"/>
          <w:numId w:val="5"/>
        </w:numPr>
        <w:spacing w:line="276" w:lineRule="auto"/>
        <w:ind w:left="567" w:hanging="567"/>
        <w:contextualSpacing w:val="0"/>
        <w:rPr>
          <w:bCs/>
          <w:iCs/>
        </w:rPr>
      </w:pPr>
      <w:r>
        <w:t>suosittelee uuden yhteisen siirtohinnoittelufoorumin perustamista.</w:t>
      </w:r>
    </w:p>
    <w:p w:rsidRPr="000624A9" w:rsidR="00A443CE" w:rsidP="00A443CE" w:rsidRDefault="00A443CE" w14:paraId="0DE37E63" w14:textId="77777777">
      <w:pPr>
        <w:widowControl w:val="0"/>
        <w:ind w:left="709"/>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13"/>
        <w:gridCol w:w="3790"/>
        <w:gridCol w:w="3786"/>
      </w:tblGrid>
      <w:tr w:rsidRPr="00A6689B" w:rsidR="00A443CE" w:rsidTr="00A443CE" w14:paraId="3AAD8BBF" w14:textId="77777777">
        <w:tc>
          <w:tcPr>
            <w:tcW w:w="922" w:type="pct"/>
          </w:tcPr>
          <w:p w:rsidRPr="00A6689B" w:rsidR="00A443CE" w:rsidP="00D33D43" w:rsidRDefault="00A443CE" w14:paraId="6B74446C" w14:textId="77777777">
            <w:pPr>
              <w:spacing w:line="240" w:lineRule="auto"/>
              <w:rPr>
                <w:i/>
              </w:rPr>
            </w:pPr>
            <w:r>
              <w:rPr>
                <w:b/>
                <w:i/>
              </w:rPr>
              <w:t>Yhteydenotot</w:t>
            </w:r>
          </w:p>
        </w:tc>
        <w:tc>
          <w:tcPr>
            <w:tcW w:w="2040" w:type="pct"/>
          </w:tcPr>
          <w:p w:rsidR="00A443CE" w:rsidP="00D33D43" w:rsidRDefault="00A443CE" w14:paraId="1756EFF4" w14:textId="77777777">
            <w:pPr>
              <w:spacing w:line="240" w:lineRule="auto"/>
              <w:rPr>
                <w:i/>
              </w:rPr>
            </w:pPr>
          </w:p>
        </w:tc>
        <w:tc>
          <w:tcPr>
            <w:tcW w:w="2039" w:type="pct"/>
          </w:tcPr>
          <w:p w:rsidRPr="00A6689B" w:rsidR="00A443CE" w:rsidP="00D33D43" w:rsidRDefault="00A443CE" w14:paraId="6671E6BB" w14:textId="132F442B">
            <w:pPr>
              <w:spacing w:line="240" w:lineRule="auto"/>
              <w:rPr>
                <w:i/>
              </w:rPr>
            </w:pPr>
            <w:proofErr w:type="spellStart"/>
            <w:r>
              <w:rPr>
                <w:i/>
              </w:rPr>
              <w:t>Jüri</w:t>
            </w:r>
            <w:proofErr w:type="spellEnd"/>
            <w:r>
              <w:rPr>
                <w:i/>
              </w:rPr>
              <w:t xml:space="preserve"> </w:t>
            </w:r>
            <w:proofErr w:type="spellStart"/>
            <w:r>
              <w:rPr>
                <w:i/>
              </w:rPr>
              <w:t>Soosaar</w:t>
            </w:r>
            <w:proofErr w:type="spellEnd"/>
          </w:p>
        </w:tc>
      </w:tr>
      <w:tr w:rsidRPr="00A6689B" w:rsidR="00A443CE" w:rsidTr="00A443CE" w14:paraId="62C26192" w14:textId="77777777">
        <w:tc>
          <w:tcPr>
            <w:tcW w:w="922" w:type="pct"/>
          </w:tcPr>
          <w:p w:rsidRPr="00A6689B" w:rsidR="00A443CE" w:rsidP="00D33D43" w:rsidRDefault="00A443CE" w14:paraId="2ED6E2DF" w14:textId="77777777">
            <w:pPr>
              <w:spacing w:line="240" w:lineRule="auto"/>
              <w:rPr>
                <w:i/>
              </w:rPr>
            </w:pPr>
            <w:r>
              <w:rPr>
                <w:i/>
              </w:rPr>
              <w:t>P.</w:t>
            </w:r>
          </w:p>
        </w:tc>
        <w:tc>
          <w:tcPr>
            <w:tcW w:w="2040" w:type="pct"/>
          </w:tcPr>
          <w:p w:rsidR="00A443CE" w:rsidP="00D33D43" w:rsidRDefault="00A443CE" w14:paraId="1FD79F28" w14:textId="77777777">
            <w:pPr>
              <w:spacing w:line="240" w:lineRule="auto"/>
              <w:rPr>
                <w:i/>
              </w:rPr>
            </w:pPr>
          </w:p>
        </w:tc>
        <w:tc>
          <w:tcPr>
            <w:tcW w:w="2039" w:type="pct"/>
          </w:tcPr>
          <w:p w:rsidRPr="00A6689B" w:rsidR="00A443CE" w:rsidP="00D33D43" w:rsidRDefault="00A443CE" w14:paraId="04CA5F9B" w14:textId="7D401E4E">
            <w:pPr>
              <w:spacing w:line="240" w:lineRule="auto"/>
              <w:rPr>
                <w:i/>
              </w:rPr>
            </w:pPr>
            <w:r>
              <w:rPr>
                <w:i/>
              </w:rPr>
              <w:t>+32 25469628</w:t>
            </w:r>
          </w:p>
        </w:tc>
      </w:tr>
      <w:tr w:rsidRPr="00A6689B" w:rsidR="00A443CE" w:rsidTr="00A443CE" w14:paraId="703DDE5D" w14:textId="77777777">
        <w:tc>
          <w:tcPr>
            <w:tcW w:w="922" w:type="pct"/>
          </w:tcPr>
          <w:p w:rsidR="00A443CE" w:rsidP="00D33D43" w:rsidRDefault="00A443CE" w14:paraId="56261AF2" w14:textId="77777777">
            <w:pPr>
              <w:spacing w:line="240" w:lineRule="auto"/>
              <w:rPr>
                <w:i/>
              </w:rPr>
            </w:pPr>
            <w:r>
              <w:rPr>
                <w:i/>
              </w:rPr>
              <w:t>Sähköposti</w:t>
            </w:r>
          </w:p>
        </w:tc>
        <w:tc>
          <w:tcPr>
            <w:tcW w:w="2040" w:type="pct"/>
          </w:tcPr>
          <w:p w:rsidR="00A443CE" w:rsidP="00D33D43" w:rsidRDefault="00A443CE" w14:paraId="0CDAF265" w14:textId="77777777">
            <w:pPr>
              <w:spacing w:line="240" w:lineRule="auto"/>
            </w:pPr>
          </w:p>
        </w:tc>
        <w:tc>
          <w:tcPr>
            <w:tcW w:w="2039" w:type="pct"/>
          </w:tcPr>
          <w:p w:rsidRPr="00671276" w:rsidR="00A443CE" w:rsidP="00D33D43" w:rsidRDefault="00A443CE" w14:paraId="0EE487E4" w14:textId="2E018F15">
            <w:pPr>
              <w:spacing w:line="240" w:lineRule="auto"/>
              <w:rPr>
                <w:i/>
              </w:rPr>
            </w:pPr>
            <w:hyperlink w:history="1" r:id="rId25">
              <w:r>
                <w:rPr>
                  <w:rStyle w:val="Hyperlink"/>
                  <w:i/>
                </w:rPr>
                <w:t>Juri.Soosaar@eesc.europa.eu</w:t>
              </w:r>
            </w:hyperlink>
          </w:p>
        </w:tc>
      </w:tr>
    </w:tbl>
    <w:p w:rsidRPr="00A174E9" w:rsidR="004D7AC0" w:rsidP="009F0605" w:rsidRDefault="004D7AC0" w14:paraId="4982DD6F" w14:textId="77777777">
      <w:pPr>
        <w:ind w:left="710"/>
        <w:rPr>
          <w:b/>
          <w:i/>
          <w:sz w:val="28"/>
          <w:szCs w:val="28"/>
          <w:lang w:val="en-GB"/>
        </w:rPr>
      </w:pPr>
    </w:p>
    <w:p w:rsidR="00A174E9" w:rsidRDefault="00A174E9" w14:paraId="4982DD70" w14:textId="1D96BDFD">
      <w:pPr>
        <w:spacing w:after="160" w:line="259" w:lineRule="auto"/>
        <w:jc w:val="left"/>
      </w:pPr>
      <w:r>
        <w:br w:type="page"/>
      </w:r>
    </w:p>
    <w:p w:rsidRPr="004B41C7" w:rsidR="00A443CE" w:rsidP="0091345F" w:rsidRDefault="00A443CE" w14:paraId="6136F020" w14:textId="2A7C35C6">
      <w:pPr>
        <w:widowControl w:val="0"/>
        <w:numPr>
          <w:ilvl w:val="0"/>
          <w:numId w:val="15"/>
        </w:numPr>
        <w:overflowPunct w:val="0"/>
        <w:autoSpaceDE w:val="0"/>
        <w:autoSpaceDN w:val="0"/>
        <w:adjustRightInd w:val="0"/>
        <w:ind w:hanging="567"/>
        <w:textAlignment w:val="baseline"/>
        <w:rPr>
          <w:rStyle w:val="Hyperlink"/>
          <w:sz w:val="24"/>
          <w:szCs w:val="24"/>
        </w:rPr>
      </w:pPr>
      <w:hyperlink w:history="1" r:id="rId26">
        <w:r>
          <w:rPr>
            <w:rStyle w:val="Hyperlink"/>
            <w:b/>
            <w:bCs/>
            <w:i/>
            <w:sz w:val="28"/>
          </w:rPr>
          <w:t xml:space="preserve"> Lisäapu syrjäisimmille alueille</w:t>
        </w:r>
      </w:hyperlink>
    </w:p>
    <w:p w:rsidRPr="0004192F" w:rsidR="00A443CE" w:rsidP="00A443CE" w:rsidRDefault="00A443CE" w14:paraId="13A6DFF5" w14:textId="77777777">
      <w:pPr>
        <w:widowControl w:val="0"/>
        <w:ind w:left="567"/>
        <w:rPr>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0"/>
        <w:gridCol w:w="4025"/>
        <w:gridCol w:w="3456"/>
      </w:tblGrid>
      <w:tr w:rsidRPr="00B4456F" w:rsidR="00A443CE" w:rsidTr="00D33D43" w14:paraId="62053B4F" w14:textId="77777777">
        <w:tc>
          <w:tcPr>
            <w:tcW w:w="1590" w:type="dxa"/>
          </w:tcPr>
          <w:p w:rsidRPr="00B4456F" w:rsidR="00A443CE" w:rsidP="00D33D43" w:rsidRDefault="00A443CE" w14:paraId="03EA75CD" w14:textId="77777777">
            <w:pPr>
              <w:tabs>
                <w:tab w:val="center" w:pos="284"/>
              </w:tabs>
              <w:ind w:left="266" w:hanging="266"/>
              <w:rPr>
                <w:b/>
              </w:rPr>
            </w:pPr>
            <w:r>
              <w:rPr>
                <w:b/>
              </w:rPr>
              <w:t>Esittelijä</w:t>
            </w:r>
          </w:p>
        </w:tc>
        <w:tc>
          <w:tcPr>
            <w:tcW w:w="7481" w:type="dxa"/>
            <w:gridSpan w:val="2"/>
          </w:tcPr>
          <w:p w:rsidRPr="00254B41" w:rsidR="00A443CE" w:rsidP="00D33D43" w:rsidRDefault="00A443CE" w14:paraId="54B5EB00" w14:textId="77777777">
            <w:pPr>
              <w:tabs>
                <w:tab w:val="center" w:pos="284"/>
              </w:tabs>
              <w:ind w:left="266" w:hanging="266"/>
            </w:pPr>
            <w:proofErr w:type="spellStart"/>
            <w:r>
              <w:t>Joël</w:t>
            </w:r>
            <w:proofErr w:type="spellEnd"/>
            <w:r>
              <w:t xml:space="preserve"> DESTOM (kansalaisyhteiskunnan organisaatiot – FR)</w:t>
            </w:r>
          </w:p>
        </w:tc>
      </w:tr>
      <w:tr w:rsidRPr="00B4456F" w:rsidR="00A443CE" w:rsidTr="00D33D43" w14:paraId="2EBAA6A4" w14:textId="77777777">
        <w:tc>
          <w:tcPr>
            <w:tcW w:w="5615" w:type="dxa"/>
            <w:gridSpan w:val="2"/>
          </w:tcPr>
          <w:p w:rsidRPr="00B4456F" w:rsidR="00A443CE" w:rsidP="00D33D43" w:rsidRDefault="00A443CE" w14:paraId="7DC13D82" w14:textId="77777777">
            <w:pPr>
              <w:tabs>
                <w:tab w:val="center" w:pos="284"/>
              </w:tabs>
              <w:spacing w:line="160" w:lineRule="exact"/>
              <w:ind w:left="266" w:hanging="266"/>
            </w:pPr>
          </w:p>
        </w:tc>
        <w:tc>
          <w:tcPr>
            <w:tcW w:w="3456" w:type="dxa"/>
          </w:tcPr>
          <w:p w:rsidRPr="00B4456F" w:rsidR="00A443CE" w:rsidP="00D33D43" w:rsidRDefault="00A443CE" w14:paraId="79618F12" w14:textId="77777777">
            <w:pPr>
              <w:tabs>
                <w:tab w:val="center" w:pos="284"/>
              </w:tabs>
              <w:spacing w:line="160" w:lineRule="exact"/>
              <w:ind w:left="266" w:hanging="266"/>
            </w:pPr>
          </w:p>
        </w:tc>
      </w:tr>
      <w:tr w:rsidRPr="00B4456F" w:rsidR="00A443CE" w:rsidTr="00D33D43" w14:paraId="18FB7973" w14:textId="77777777">
        <w:tc>
          <w:tcPr>
            <w:tcW w:w="1590" w:type="dxa"/>
            <w:vMerge w:val="restart"/>
          </w:tcPr>
          <w:p w:rsidRPr="00B4456F" w:rsidR="00A443CE" w:rsidP="00D33D43" w:rsidRDefault="00A443CE" w14:paraId="4997BA38" w14:textId="77777777">
            <w:pPr>
              <w:tabs>
                <w:tab w:val="center" w:pos="284"/>
              </w:tabs>
              <w:ind w:left="266" w:hanging="266"/>
              <w:rPr>
                <w:b/>
              </w:rPr>
            </w:pPr>
            <w:r>
              <w:rPr>
                <w:b/>
              </w:rPr>
              <w:t xml:space="preserve">Viiteasiakirjat </w:t>
            </w:r>
          </w:p>
        </w:tc>
        <w:tc>
          <w:tcPr>
            <w:tcW w:w="4025" w:type="dxa"/>
          </w:tcPr>
          <w:p w:rsidRPr="00B4456F" w:rsidR="00A443CE" w:rsidP="00D33D43" w:rsidRDefault="00A443CE" w14:paraId="5CCFCB9C" w14:textId="77777777">
            <w:pPr>
              <w:tabs>
                <w:tab w:val="center" w:pos="284"/>
              </w:tabs>
              <w:ind w:left="266" w:hanging="266"/>
            </w:pPr>
            <w:proofErr w:type="gramStart"/>
            <w:r>
              <w:t>COM(</w:t>
            </w:r>
            <w:proofErr w:type="gramEnd"/>
            <w:r>
              <w:t xml:space="preserve">2025) 190 </w:t>
            </w:r>
            <w:proofErr w:type="spellStart"/>
            <w:r>
              <w:t>final</w:t>
            </w:r>
            <w:proofErr w:type="spellEnd"/>
            <w:r>
              <w:t xml:space="preserve"> – 2025/0104 (COD)</w:t>
            </w:r>
          </w:p>
        </w:tc>
        <w:tc>
          <w:tcPr>
            <w:tcW w:w="3456" w:type="dxa"/>
          </w:tcPr>
          <w:p w:rsidRPr="001024C0" w:rsidR="00A443CE" w:rsidP="00D33D43" w:rsidRDefault="00A443CE" w14:paraId="2AC314A3" w14:textId="77777777">
            <w:pPr>
              <w:tabs>
                <w:tab w:val="center" w:pos="284"/>
              </w:tabs>
              <w:ind w:left="266" w:hanging="266"/>
            </w:pPr>
          </w:p>
        </w:tc>
      </w:tr>
      <w:tr w:rsidRPr="00B4456F" w:rsidR="00A443CE" w:rsidTr="00D33D43" w14:paraId="5DBDDA6A" w14:textId="77777777">
        <w:tc>
          <w:tcPr>
            <w:tcW w:w="1590" w:type="dxa"/>
            <w:vMerge/>
          </w:tcPr>
          <w:p w:rsidRPr="00B4456F" w:rsidR="00A443CE" w:rsidP="00D33D43" w:rsidRDefault="00A443CE" w14:paraId="026EE827" w14:textId="77777777">
            <w:pPr>
              <w:tabs>
                <w:tab w:val="center" w:pos="284"/>
              </w:tabs>
              <w:ind w:left="266" w:hanging="266"/>
              <w:rPr>
                <w:b/>
              </w:rPr>
            </w:pPr>
          </w:p>
        </w:tc>
        <w:tc>
          <w:tcPr>
            <w:tcW w:w="4025" w:type="dxa"/>
          </w:tcPr>
          <w:p w:rsidRPr="00B4456F" w:rsidR="00A443CE" w:rsidP="00D33D43" w:rsidRDefault="00A443CE" w14:paraId="73CCDC8F" w14:textId="77777777">
            <w:pPr>
              <w:tabs>
                <w:tab w:val="center" w:pos="284"/>
              </w:tabs>
              <w:ind w:left="266" w:hanging="266"/>
            </w:pPr>
            <w:r>
              <w:t>EESC-2025-01633-00-00-AC-TRA</w:t>
            </w:r>
          </w:p>
        </w:tc>
        <w:tc>
          <w:tcPr>
            <w:tcW w:w="3456" w:type="dxa"/>
          </w:tcPr>
          <w:p w:rsidRPr="00B4456F" w:rsidR="00A443CE" w:rsidP="00D33D43" w:rsidRDefault="00A443CE" w14:paraId="1536433B" w14:textId="77777777">
            <w:pPr>
              <w:tabs>
                <w:tab w:val="center" w:pos="284"/>
              </w:tabs>
              <w:ind w:left="266" w:hanging="266"/>
            </w:pPr>
          </w:p>
        </w:tc>
      </w:tr>
    </w:tbl>
    <w:p w:rsidRPr="00B4456F" w:rsidR="00A443CE" w:rsidP="00A443CE" w:rsidRDefault="00A443CE" w14:paraId="5771063F" w14:textId="77777777">
      <w:pPr>
        <w:keepNext/>
        <w:keepLines/>
        <w:tabs>
          <w:tab w:val="center" w:pos="284"/>
        </w:tabs>
        <w:ind w:left="266" w:hanging="266"/>
        <w:rPr>
          <w:b/>
        </w:rPr>
      </w:pPr>
      <w:r>
        <w:rPr>
          <w:b/>
        </w:rPr>
        <w:t>Keskeiset kohdat</w:t>
      </w:r>
    </w:p>
    <w:p w:rsidR="00A443CE" w:rsidP="00A443CE" w:rsidRDefault="00A443CE" w14:paraId="260994C0" w14:textId="77777777">
      <w:pPr>
        <w:rPr>
          <w:bCs/>
          <w:iCs/>
        </w:rPr>
      </w:pPr>
    </w:p>
    <w:p w:rsidRPr="00B4456F" w:rsidR="00A443CE" w:rsidP="00A443CE" w:rsidRDefault="00A443CE" w14:paraId="589C58E0" w14:textId="77777777">
      <w:pPr>
        <w:rPr>
          <w:bCs/>
          <w:iCs/>
        </w:rPr>
      </w:pPr>
      <w:r>
        <w:t>ETSK</w:t>
      </w:r>
    </w:p>
    <w:p w:rsidR="00A443CE" w:rsidP="0091345F" w:rsidRDefault="00A443CE" w14:paraId="010A5C06" w14:textId="77777777">
      <w:pPr>
        <w:widowControl w:val="0"/>
        <w:numPr>
          <w:ilvl w:val="0"/>
          <w:numId w:val="15"/>
        </w:numPr>
        <w:overflowPunct w:val="0"/>
        <w:autoSpaceDE w:val="0"/>
        <w:autoSpaceDN w:val="0"/>
        <w:adjustRightInd w:val="0"/>
        <w:ind w:left="566"/>
        <w:textAlignment w:val="baseline"/>
      </w:pPr>
      <w:r>
        <w:t>kannattaa Euroopan komission ehdotusta, jossa syrjäisimpien alueiden rakenteellinen haavoittuvuus luonnonkatastrofien sattuessa ja ilmastomuutoksessa tunnustetaan koko laajuudessaan ja jossa esitetään siksi joustomahdollisuuksia ilmastosta johtuviin ja humanitaarisiin hätätilanteisiin vastaamiseksi näillä alueilla, joista yksi on Mayotte.</w:t>
      </w:r>
    </w:p>
    <w:p w:rsidRPr="004B41C7" w:rsidR="00A443CE" w:rsidP="0091345F" w:rsidRDefault="00A443CE" w14:paraId="05791312" w14:textId="77777777">
      <w:pPr>
        <w:widowControl w:val="0"/>
        <w:numPr>
          <w:ilvl w:val="0"/>
          <w:numId w:val="15"/>
        </w:numPr>
        <w:overflowPunct w:val="0"/>
        <w:autoSpaceDE w:val="0"/>
        <w:autoSpaceDN w:val="0"/>
        <w:adjustRightInd w:val="0"/>
        <w:ind w:left="566"/>
        <w:textAlignment w:val="baseline"/>
      </w:pPr>
      <w:r>
        <w:t xml:space="preserve"> kannattaa asetukseen (EU) N:o 228/2013 tehtäviä kohdennettuja muutoksia, joiden tarkoituksena on</w:t>
      </w:r>
    </w:p>
    <w:p w:rsidRPr="004B41C7" w:rsidR="00A443CE" w:rsidP="0091345F" w:rsidRDefault="00A443CE" w14:paraId="10DD588F" w14:textId="77777777">
      <w:pPr>
        <w:pStyle w:val="ListParagraph"/>
        <w:widowControl w:val="0"/>
        <w:numPr>
          <w:ilvl w:val="0"/>
          <w:numId w:val="7"/>
        </w:numPr>
        <w:ind w:left="924" w:hanging="357"/>
        <w:contextualSpacing w:val="0"/>
      </w:pPr>
      <w:r>
        <w:t>varmistaa syrjäisestä sijainnista ja saaristoasemasta johtuvia erityisiä valinnaisia toimenpiteitä koskevan ohjelman (</w:t>
      </w:r>
      <w:proofErr w:type="spellStart"/>
      <w:r>
        <w:t>Posei</w:t>
      </w:r>
      <w:proofErr w:type="spellEnd"/>
      <w:r>
        <w:t>) tuen jatkuminen tuotannon palauttamisvaiheessa, vaikka tuotannollista toimintaa ei olisi</w:t>
      </w:r>
    </w:p>
    <w:p w:rsidRPr="004B41C7" w:rsidR="00A443CE" w:rsidP="0091345F" w:rsidRDefault="00A443CE" w14:paraId="169B1BB5" w14:textId="77777777">
      <w:pPr>
        <w:pStyle w:val="ListParagraph"/>
        <w:widowControl w:val="0"/>
        <w:numPr>
          <w:ilvl w:val="0"/>
          <w:numId w:val="7"/>
        </w:numPr>
        <w:ind w:left="924" w:hanging="357"/>
        <w:contextualSpacing w:val="0"/>
      </w:pPr>
      <w:r>
        <w:t>poistaa Euroopan maaseudun kehittämisen maatalousrahaston (maaseuturahasto) varojen uudelleenkohdentamiseen sovellettava 10 prosentin enimmäismäärä Mayotten osalta ja mahdollistaa tuensaajien valinta 30. päivään kesäkuuta 2025 asetetun määräajan jälkeen.</w:t>
      </w:r>
    </w:p>
    <w:p w:rsidR="00A443CE" w:rsidP="0091345F" w:rsidRDefault="00A443CE" w14:paraId="5782BA56" w14:textId="77777777">
      <w:pPr>
        <w:widowControl w:val="0"/>
        <w:numPr>
          <w:ilvl w:val="0"/>
          <w:numId w:val="15"/>
        </w:numPr>
        <w:overflowPunct w:val="0"/>
        <w:autoSpaceDE w:val="0"/>
        <w:autoSpaceDN w:val="0"/>
        <w:adjustRightInd w:val="0"/>
        <w:ind w:left="566"/>
        <w:textAlignment w:val="baseline"/>
      </w:pPr>
      <w:r>
        <w:t>kehottaa komissiota ja jäsenvaltioita varmistamaan, ettei varojen uudelleenkohdentaminen tapahdu rakenteellisten maaseudun kehittämishankkeiden kustannuksella. Lisäksi komitea kehottaa sisällyttämään asetukseen säännöksen, jolla kannustetaan suosimaan luontoon perustuvia ratkaisuja katastrofin jälkeisessä jälleenrakennusvaiheessa, ja seuraamaan tuensaajien sitoumusten toteutumista tarkasti ja avoimesti vuosittain.</w:t>
      </w:r>
    </w:p>
    <w:p w:rsidR="00A443CE" w:rsidP="0091345F" w:rsidRDefault="00A443CE" w14:paraId="4D33617F" w14:textId="77777777">
      <w:pPr>
        <w:widowControl w:val="0"/>
        <w:numPr>
          <w:ilvl w:val="0"/>
          <w:numId w:val="15"/>
        </w:numPr>
        <w:overflowPunct w:val="0"/>
        <w:autoSpaceDE w:val="0"/>
        <w:autoSpaceDN w:val="0"/>
        <w:adjustRightInd w:val="0"/>
        <w:ind w:left="566"/>
        <w:textAlignment w:val="baseline"/>
      </w:pPr>
      <w:r>
        <w:t>kehottaa komissiota tekemään tiivistä yhteistyötä jäsenvaltioiden, paikallisviranomaisten ja kansalaisyhteiskunnan organisaatioiden kanssa, jotta mahdollisuuksia tukea katastrofeista kärsiviä alueita voidaan hyödyntää niin tehokkaasti ja nopeasti kuin suinkin. Luonnonkatastrofit ovat koetelleet ankarasti kansalaisyhteiskunnan organisaatioita, työntekijöitä, pk-yrityksiä ja kansalaisjärjestöjä, ja huomattava osa varoista on suunnattava näille tahoille.</w:t>
      </w:r>
    </w:p>
    <w:p w:rsidR="00A443CE" w:rsidP="0091345F" w:rsidRDefault="00A443CE" w14:paraId="4730128A" w14:textId="77777777">
      <w:pPr>
        <w:widowControl w:val="0"/>
        <w:numPr>
          <w:ilvl w:val="0"/>
          <w:numId w:val="15"/>
        </w:numPr>
        <w:overflowPunct w:val="0"/>
        <w:autoSpaceDE w:val="0"/>
        <w:autoSpaceDN w:val="0"/>
        <w:adjustRightInd w:val="0"/>
        <w:ind w:left="566"/>
        <w:textAlignment w:val="baseline"/>
      </w:pPr>
      <w:r>
        <w:t>Lisäksi komitea suosittaa</w:t>
      </w:r>
    </w:p>
    <w:p w:rsidR="00A443CE" w:rsidP="0091345F" w:rsidRDefault="00A443CE" w14:paraId="1A4403F6" w14:textId="77777777">
      <w:pPr>
        <w:widowControl w:val="0"/>
        <w:numPr>
          <w:ilvl w:val="0"/>
          <w:numId w:val="6"/>
        </w:numPr>
        <w:overflowPunct w:val="0"/>
        <w:autoSpaceDE w:val="0"/>
        <w:autoSpaceDN w:val="0"/>
        <w:adjustRightInd w:val="0"/>
        <w:ind w:left="926"/>
        <w:textAlignment w:val="baseline"/>
      </w:pPr>
      <w:r>
        <w:t>ottamaan käyttöön nopean virallisen mekanismin luonnonkatastrofitilanteiden tunnustamista varten.</w:t>
      </w:r>
    </w:p>
    <w:p w:rsidR="00A443CE" w:rsidP="0091345F" w:rsidRDefault="00A443CE" w14:paraId="3E58C750" w14:textId="77777777">
      <w:pPr>
        <w:widowControl w:val="0"/>
        <w:numPr>
          <w:ilvl w:val="0"/>
          <w:numId w:val="6"/>
        </w:numPr>
        <w:overflowPunct w:val="0"/>
        <w:autoSpaceDE w:val="0"/>
        <w:autoSpaceDN w:val="0"/>
        <w:adjustRightInd w:val="0"/>
        <w:ind w:left="926"/>
        <w:textAlignment w:val="baseline"/>
      </w:pPr>
      <w:r>
        <w:t>harkitsemaan erillisen eurooppalaisen ilmastokatastrofirahaston perustamista, jotta vakaviin kriiseihin pystyttäisiin reagoimaan vaarantamatta maaseuturahastosta tai yhteisestä maatalouspolitiikasta (YMP) rahoitettavaa rakenteellista politiikkaa. Rahasto täydentäisi Euroopan unionin solidaarisuusrahastoa, ja sen avulla huolehdittaisiin tukien kestävyydestä tulevaisuudessa, kun riskit ovat yhä laajempia.</w:t>
      </w:r>
    </w:p>
    <w:p w:rsidR="00A443CE" w:rsidP="0091345F" w:rsidRDefault="00A443CE" w14:paraId="6EE324D2" w14:textId="77777777">
      <w:pPr>
        <w:widowControl w:val="0"/>
        <w:numPr>
          <w:ilvl w:val="0"/>
          <w:numId w:val="6"/>
        </w:numPr>
        <w:overflowPunct w:val="0"/>
        <w:autoSpaceDE w:val="0"/>
        <w:autoSpaceDN w:val="0"/>
        <w:adjustRightInd w:val="0"/>
        <w:ind w:left="926"/>
        <w:textAlignment w:val="baseline"/>
      </w:pPr>
      <w:r>
        <w:t>sovittamaan asetukseen tehtävät mukautukset laajempaan strategiseen EU:n pitkän aikavälin maaseutuvision kehykseen, jotta saataisiin varmistettua hätäavun, alueellisen selviytymiskyvyn ja maaseudun kestävän kehityksen johdonmukaisuus.</w:t>
      </w:r>
    </w:p>
    <w:p w:rsidR="00A443CE" w:rsidP="0091345F" w:rsidRDefault="00A443CE" w14:paraId="1B08878C" w14:textId="77777777">
      <w:pPr>
        <w:widowControl w:val="0"/>
        <w:numPr>
          <w:ilvl w:val="0"/>
          <w:numId w:val="15"/>
        </w:numPr>
        <w:overflowPunct w:val="0"/>
        <w:autoSpaceDE w:val="0"/>
        <w:autoSpaceDN w:val="0"/>
        <w:adjustRightInd w:val="0"/>
        <w:ind w:left="850"/>
        <w:textAlignment w:val="baseline"/>
      </w:pPr>
      <w:r>
        <w:t xml:space="preserve">on sitä mieltä, että EU tarvitsee vakaan ja vankan uuden rahoitusmekanismin, jonka avulla on voitava reagoida mukautuvasti ja joustavasti uusiin ja kehittymässä oleviin kriiseihin tulevina vuosina. </w:t>
      </w:r>
    </w:p>
    <w:p w:rsidR="00A443CE" w:rsidP="0091345F" w:rsidRDefault="00A443CE" w14:paraId="3144D80F" w14:textId="77777777">
      <w:pPr>
        <w:widowControl w:val="0"/>
        <w:numPr>
          <w:ilvl w:val="0"/>
          <w:numId w:val="15"/>
        </w:numPr>
        <w:overflowPunct w:val="0"/>
        <w:autoSpaceDE w:val="0"/>
        <w:autoSpaceDN w:val="0"/>
        <w:adjustRightInd w:val="0"/>
        <w:ind w:left="850"/>
        <w:textAlignment w:val="baseline"/>
      </w:pPr>
      <w:r>
        <w:lastRenderedPageBreak/>
        <w:t>kehottaa tehostamaan EU:n eri katastrofiapuvälineiden välistä koordinointia ja luomaan jäsennellyn ennaltaehkäisyyn painottuvan toimintakehyksen, johon sisältyy keskitetty yhteyspiste syrjäisiä alueita varten, syrjäisille alueille suunnattu ilmastouhkien varhaisvaroitusmekanismi sekä yksinkertaistettuja hallinnollisia menettelyjä tukien myöntämistä varten.</w:t>
      </w:r>
    </w:p>
    <w:p w:rsidRPr="00B4456F" w:rsidR="00A443CE" w:rsidP="00A443CE" w:rsidRDefault="00A443CE" w14:paraId="392174E4" w14:textId="77777777">
      <w:pPr>
        <w:widowControl w:val="0"/>
        <w:ind w:left="567"/>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B4456F" w:rsidR="00A443CE" w:rsidTr="00D33D43" w14:paraId="035A2533" w14:textId="77777777">
        <w:tc>
          <w:tcPr>
            <w:tcW w:w="1418" w:type="dxa"/>
          </w:tcPr>
          <w:p w:rsidRPr="00B4456F" w:rsidR="00A443CE" w:rsidP="00D33D43" w:rsidRDefault="00A443CE" w14:paraId="538E2691" w14:textId="77777777">
            <w:pPr>
              <w:spacing w:line="240" w:lineRule="auto"/>
              <w:rPr>
                <w:i/>
              </w:rPr>
            </w:pPr>
            <w:r>
              <w:rPr>
                <w:b/>
                <w:i/>
              </w:rPr>
              <w:t>Yhteydenotot</w:t>
            </w:r>
          </w:p>
        </w:tc>
        <w:tc>
          <w:tcPr>
            <w:tcW w:w="5670" w:type="dxa"/>
          </w:tcPr>
          <w:p w:rsidRPr="00B4456F" w:rsidR="00A443CE" w:rsidP="00D33D43" w:rsidRDefault="00A443CE" w14:paraId="0F6A7D6B" w14:textId="77777777">
            <w:pPr>
              <w:spacing w:line="240" w:lineRule="auto"/>
              <w:rPr>
                <w:i/>
              </w:rPr>
            </w:pPr>
            <w:proofErr w:type="spellStart"/>
            <w:r>
              <w:rPr>
                <w:i/>
              </w:rPr>
              <w:t>Georgios</w:t>
            </w:r>
            <w:proofErr w:type="spellEnd"/>
            <w:r>
              <w:rPr>
                <w:i/>
              </w:rPr>
              <w:t xml:space="preserve"> </w:t>
            </w:r>
            <w:proofErr w:type="spellStart"/>
            <w:r>
              <w:rPr>
                <w:i/>
              </w:rPr>
              <w:t>Meleas</w:t>
            </w:r>
            <w:proofErr w:type="spellEnd"/>
          </w:p>
        </w:tc>
      </w:tr>
      <w:tr w:rsidRPr="00B4456F" w:rsidR="00A443CE" w:rsidTr="00D33D43" w14:paraId="41DFDDEF" w14:textId="77777777">
        <w:tc>
          <w:tcPr>
            <w:tcW w:w="1418" w:type="dxa"/>
          </w:tcPr>
          <w:p w:rsidRPr="00B4456F" w:rsidR="00A443CE" w:rsidP="00D33D43" w:rsidRDefault="00A443CE" w14:paraId="3451D943" w14:textId="77777777">
            <w:pPr>
              <w:spacing w:line="240" w:lineRule="auto"/>
              <w:rPr>
                <w:i/>
              </w:rPr>
            </w:pPr>
            <w:r>
              <w:rPr>
                <w:i/>
              </w:rPr>
              <w:t>P.</w:t>
            </w:r>
          </w:p>
        </w:tc>
        <w:tc>
          <w:tcPr>
            <w:tcW w:w="5670" w:type="dxa"/>
          </w:tcPr>
          <w:p w:rsidRPr="00B4456F" w:rsidR="00A443CE" w:rsidP="00D33D43" w:rsidRDefault="00A443CE" w14:paraId="4308C0F9" w14:textId="77777777">
            <w:pPr>
              <w:spacing w:line="240" w:lineRule="auto"/>
              <w:rPr>
                <w:i/>
              </w:rPr>
            </w:pPr>
            <w:r>
              <w:rPr>
                <w:i/>
              </w:rPr>
              <w:t>+32 25469426</w:t>
            </w:r>
          </w:p>
        </w:tc>
      </w:tr>
      <w:tr w:rsidRPr="00B4456F" w:rsidR="00A443CE" w:rsidTr="00D33D43" w14:paraId="1B0C7DA1" w14:textId="77777777">
        <w:tc>
          <w:tcPr>
            <w:tcW w:w="1418" w:type="dxa"/>
          </w:tcPr>
          <w:p w:rsidRPr="00B4456F" w:rsidR="00A443CE" w:rsidP="00D33D43" w:rsidRDefault="00A443CE" w14:paraId="4451EC9F" w14:textId="77777777">
            <w:pPr>
              <w:spacing w:line="240" w:lineRule="auto"/>
              <w:rPr>
                <w:i/>
              </w:rPr>
            </w:pPr>
            <w:r>
              <w:rPr>
                <w:i/>
              </w:rPr>
              <w:t>Sähköposti</w:t>
            </w:r>
          </w:p>
        </w:tc>
        <w:tc>
          <w:tcPr>
            <w:tcW w:w="5670" w:type="dxa"/>
          </w:tcPr>
          <w:p w:rsidRPr="00B4456F" w:rsidR="00A443CE" w:rsidP="00D33D43" w:rsidRDefault="00A443CE" w14:paraId="15EF5E97" w14:textId="77777777">
            <w:pPr>
              <w:spacing w:line="240" w:lineRule="auto"/>
              <w:rPr>
                <w:i/>
                <w:iCs/>
              </w:rPr>
            </w:pPr>
            <w:hyperlink w:history="1" r:id="rId27">
              <w:r>
                <w:rPr>
                  <w:rStyle w:val="Hyperlink"/>
                  <w:i/>
                </w:rPr>
                <w:t>GeorgiosMeleas@eesc.europa.eu</w:t>
              </w:r>
            </w:hyperlink>
            <w:r>
              <w:rPr>
                <w:i/>
              </w:rPr>
              <w:t xml:space="preserve">  </w:t>
            </w:r>
          </w:p>
        </w:tc>
      </w:tr>
    </w:tbl>
    <w:p w:rsidR="0089162C" w:rsidRDefault="0089162C" w14:paraId="76598F99" w14:textId="77777777">
      <w:pPr>
        <w:spacing w:after="160" w:line="259" w:lineRule="auto"/>
        <w:jc w:val="left"/>
      </w:pPr>
      <w:r>
        <w:br w:type="page"/>
      </w:r>
    </w:p>
    <w:p w:rsidR="004D7AC0" w:rsidP="004D7AC0" w:rsidRDefault="004D7AC0" w14:paraId="4982DD99" w14:textId="77777777">
      <w:pPr>
        <w:pStyle w:val="Heading1"/>
        <w:rPr>
          <w:b/>
        </w:rPr>
      </w:pPr>
      <w:bookmarkStart w:name="_Toc75527081" w:id="2"/>
      <w:bookmarkStart w:name="_Toc202362993" w:id="3"/>
      <w:r>
        <w:rPr>
          <w:b/>
        </w:rPr>
        <w:lastRenderedPageBreak/>
        <w:t>TYÖLLISYYS, SOSIAALIASIAT JA KANSALAISUUS</w:t>
      </w:r>
      <w:bookmarkEnd w:id="2"/>
      <w:bookmarkEnd w:id="3"/>
    </w:p>
    <w:p w:rsidR="004D7AC0" w:rsidP="004D7AC0" w:rsidRDefault="004D7AC0" w14:paraId="4982DD9A" w14:textId="77777777"/>
    <w:p w:rsidRPr="00813637" w:rsidR="00A443CE" w:rsidP="0091345F" w:rsidRDefault="00A443CE" w14:paraId="06F43FDD" w14:textId="2F808880">
      <w:pPr>
        <w:widowControl w:val="0"/>
        <w:numPr>
          <w:ilvl w:val="0"/>
          <w:numId w:val="8"/>
        </w:numPr>
        <w:overflowPunct w:val="0"/>
        <w:autoSpaceDE w:val="0"/>
        <w:autoSpaceDN w:val="0"/>
        <w:adjustRightInd w:val="0"/>
        <w:ind w:left="567" w:hanging="567"/>
        <w:textAlignment w:val="baseline"/>
        <w:rPr>
          <w:rStyle w:val="Hyperlink"/>
          <w:b/>
        </w:rPr>
      </w:pPr>
      <w:hyperlink w:history="1" r:id="rId28">
        <w:r>
          <w:rPr>
            <w:rStyle w:val="Hyperlink"/>
            <w:b/>
            <w:i/>
            <w:sz w:val="28"/>
          </w:rPr>
          <w:t>EU:hun suuntautuvan laillisen ja organisoidun työmuuton edistäminen</w:t>
        </w:r>
      </w:hyperlink>
    </w:p>
    <w:p w:rsidRPr="00813637" w:rsidR="00A443CE" w:rsidP="00A443CE" w:rsidRDefault="00A443CE" w14:paraId="6342C518" w14:textId="77777777">
      <w:pPr>
        <w:tabs>
          <w:tab w:val="center" w:pos="284"/>
        </w:tabs>
        <w:ind w:left="567" w:hanging="567"/>
        <w:rPr>
          <w:sz w:val="16"/>
          <w:szCs w:val="1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37"/>
      </w:tblGrid>
      <w:tr w:rsidRPr="00813637" w:rsidR="00A443CE" w:rsidTr="00D33D43" w14:paraId="675BBD56" w14:textId="77777777">
        <w:tc>
          <w:tcPr>
            <w:tcW w:w="1701" w:type="dxa"/>
          </w:tcPr>
          <w:p w:rsidRPr="00813637" w:rsidR="00A443CE" w:rsidP="00D33D43" w:rsidRDefault="00A443CE" w14:paraId="13901252" w14:textId="77777777">
            <w:pPr>
              <w:tabs>
                <w:tab w:val="center" w:pos="284"/>
              </w:tabs>
              <w:ind w:left="567" w:hanging="567"/>
              <w:rPr>
                <w:b/>
              </w:rPr>
            </w:pPr>
            <w:r>
              <w:rPr>
                <w:b/>
              </w:rPr>
              <w:t>Esittelijä</w:t>
            </w:r>
          </w:p>
          <w:p w:rsidRPr="00813637" w:rsidR="00A443CE" w:rsidP="00D33D43" w:rsidRDefault="00A443CE" w14:paraId="191B9D26" w14:textId="77777777">
            <w:pPr>
              <w:tabs>
                <w:tab w:val="center" w:pos="284"/>
              </w:tabs>
              <w:ind w:left="567" w:hanging="567"/>
              <w:rPr>
                <w:b/>
              </w:rPr>
            </w:pPr>
          </w:p>
        </w:tc>
        <w:tc>
          <w:tcPr>
            <w:tcW w:w="6237" w:type="dxa"/>
          </w:tcPr>
          <w:p w:rsidRPr="00813637" w:rsidR="00A443CE" w:rsidP="00D33D43" w:rsidRDefault="00A443CE" w14:paraId="5368679C" w14:textId="77777777">
            <w:pPr>
              <w:ind w:left="567" w:hanging="567"/>
            </w:pPr>
            <w:r>
              <w:t>Thomas WAGNSONNER (työntekijät – AT)</w:t>
            </w:r>
          </w:p>
        </w:tc>
      </w:tr>
      <w:tr w:rsidRPr="00813637" w:rsidR="00A443CE" w:rsidTr="00D33D43" w14:paraId="1C0A6FA4" w14:textId="77777777">
        <w:tc>
          <w:tcPr>
            <w:tcW w:w="1701" w:type="dxa"/>
            <w:vMerge w:val="restart"/>
          </w:tcPr>
          <w:p w:rsidRPr="00813637" w:rsidR="00A443CE" w:rsidP="00D33D43" w:rsidRDefault="00A443CE" w14:paraId="457B7B23" w14:textId="77777777">
            <w:pPr>
              <w:tabs>
                <w:tab w:val="center" w:pos="284"/>
              </w:tabs>
              <w:ind w:left="567" w:hanging="567"/>
              <w:rPr>
                <w:b/>
              </w:rPr>
            </w:pPr>
            <w:r>
              <w:rPr>
                <w:b/>
              </w:rPr>
              <w:t>Viiteasiakirjat</w:t>
            </w:r>
          </w:p>
        </w:tc>
        <w:tc>
          <w:tcPr>
            <w:tcW w:w="6237" w:type="dxa"/>
          </w:tcPr>
          <w:p w:rsidRPr="00813637" w:rsidR="00A443CE" w:rsidP="00D33D43" w:rsidRDefault="00A443CE" w14:paraId="2D2FC0F6" w14:textId="77777777">
            <w:pPr>
              <w:tabs>
                <w:tab w:val="center" w:pos="284"/>
              </w:tabs>
              <w:ind w:left="567" w:hanging="567"/>
            </w:pPr>
            <w:r>
              <w:t>EESC-2025-00142-00-00-AC-TRA</w:t>
            </w:r>
          </w:p>
        </w:tc>
      </w:tr>
      <w:tr w:rsidRPr="00813637" w:rsidR="00A443CE" w:rsidTr="00D33D43" w14:paraId="7F165327" w14:textId="77777777">
        <w:tc>
          <w:tcPr>
            <w:tcW w:w="1701" w:type="dxa"/>
            <w:vMerge/>
          </w:tcPr>
          <w:p w:rsidRPr="00813637" w:rsidR="00A443CE" w:rsidP="00D33D43" w:rsidRDefault="00A443CE" w14:paraId="5769AAFD" w14:textId="77777777">
            <w:pPr>
              <w:tabs>
                <w:tab w:val="center" w:pos="284"/>
              </w:tabs>
              <w:ind w:left="266" w:hanging="266"/>
              <w:rPr>
                <w:b/>
              </w:rPr>
            </w:pPr>
          </w:p>
        </w:tc>
        <w:tc>
          <w:tcPr>
            <w:tcW w:w="6237" w:type="dxa"/>
          </w:tcPr>
          <w:p w:rsidRPr="00813637" w:rsidR="00A443CE" w:rsidP="00D33D43" w:rsidRDefault="00A443CE" w14:paraId="0BD17F89" w14:textId="77777777">
            <w:pPr>
              <w:tabs>
                <w:tab w:val="center" w:pos="284"/>
              </w:tabs>
              <w:ind w:left="266" w:hanging="266"/>
              <w:rPr>
                <w:sz w:val="16"/>
                <w:szCs w:val="16"/>
              </w:rPr>
            </w:pPr>
          </w:p>
        </w:tc>
      </w:tr>
    </w:tbl>
    <w:p w:rsidRPr="00813637" w:rsidR="00A443CE" w:rsidP="00A443CE" w:rsidRDefault="00A443CE" w14:paraId="1680FBB4" w14:textId="77777777">
      <w:pPr>
        <w:keepNext/>
        <w:keepLines/>
        <w:tabs>
          <w:tab w:val="center" w:pos="284"/>
        </w:tabs>
        <w:ind w:left="266" w:hanging="266"/>
        <w:rPr>
          <w:b/>
        </w:rPr>
      </w:pPr>
      <w:r>
        <w:rPr>
          <w:b/>
        </w:rPr>
        <w:t>Keskeiset kohdat</w:t>
      </w:r>
    </w:p>
    <w:p w:rsidRPr="005940AF" w:rsidR="00A443CE" w:rsidP="00A443CE" w:rsidRDefault="00A443CE" w14:paraId="6D44D7AB" w14:textId="77777777">
      <w:pPr>
        <w:pStyle w:val="NormalWeb"/>
        <w:spacing w:line="288" w:lineRule="auto"/>
        <w:rPr>
          <w:sz w:val="22"/>
          <w:szCs w:val="22"/>
        </w:rPr>
      </w:pPr>
      <w:r>
        <w:rPr>
          <w:sz w:val="22"/>
        </w:rPr>
        <w:t>ETSK</w:t>
      </w:r>
    </w:p>
    <w:p w:rsidRPr="0022187E" w:rsidR="00A443CE" w:rsidP="0091345F" w:rsidRDefault="00A443CE" w14:paraId="0512AC91" w14:textId="77777777">
      <w:pPr>
        <w:pStyle w:val="NormalWeb"/>
        <w:numPr>
          <w:ilvl w:val="0"/>
          <w:numId w:val="9"/>
        </w:numPr>
        <w:spacing w:line="288" w:lineRule="auto"/>
        <w:ind w:left="567" w:hanging="567"/>
        <w:rPr>
          <w:sz w:val="22"/>
          <w:szCs w:val="22"/>
        </w:rPr>
      </w:pPr>
      <w:r>
        <w:rPr>
          <w:sz w:val="22"/>
        </w:rPr>
        <w:t xml:space="preserve">korostaa, että </w:t>
      </w:r>
      <w:r>
        <w:rPr>
          <w:b/>
          <w:sz w:val="22"/>
        </w:rPr>
        <w:t>EU:hun suuntautuvan laillisen ja organisoidun työmuuton edistämisen</w:t>
      </w:r>
      <w:r>
        <w:rPr>
          <w:sz w:val="22"/>
        </w:rPr>
        <w:t xml:space="preserve"> ja </w:t>
      </w:r>
      <w:r>
        <w:rPr>
          <w:b/>
          <w:sz w:val="22"/>
        </w:rPr>
        <w:t>tällaiseen muuttoliikkeeseen liittyvien EU:n politiikkojen ja välineiden</w:t>
      </w:r>
      <w:r>
        <w:rPr>
          <w:sz w:val="22"/>
        </w:rPr>
        <w:t xml:space="preserve"> on perustuttava </w:t>
      </w:r>
      <w:r>
        <w:rPr>
          <w:b/>
          <w:sz w:val="22"/>
        </w:rPr>
        <w:t>ihmisoikeuksiin, oikeusvaltioperiaatteeseen</w:t>
      </w:r>
      <w:r>
        <w:rPr>
          <w:sz w:val="22"/>
        </w:rPr>
        <w:t xml:space="preserve">, kolmansien maiden kansalaisten </w:t>
      </w:r>
      <w:r>
        <w:rPr>
          <w:b/>
          <w:sz w:val="22"/>
        </w:rPr>
        <w:t>integroitumiseen</w:t>
      </w:r>
      <w:r>
        <w:rPr>
          <w:sz w:val="22"/>
        </w:rPr>
        <w:t xml:space="preserve"> työmarkkinoille, </w:t>
      </w:r>
      <w:r>
        <w:rPr>
          <w:b/>
          <w:sz w:val="22"/>
        </w:rPr>
        <w:t>EU:n yhteisten arvojen</w:t>
      </w:r>
      <w:r>
        <w:rPr>
          <w:sz w:val="22"/>
        </w:rPr>
        <w:t xml:space="preserve"> kunnioittamiseen ja siirtolaisuutta sekä ihmis- ja työelämäoikeuksia koskevien </w:t>
      </w:r>
      <w:r>
        <w:rPr>
          <w:b/>
          <w:sz w:val="22"/>
        </w:rPr>
        <w:t>sitovien kansainvälisten oikeudellisten asiakirjojen noudattamiseen</w:t>
      </w:r>
      <w:r>
        <w:rPr>
          <w:sz w:val="22"/>
        </w:rPr>
        <w:t>.</w:t>
      </w:r>
    </w:p>
    <w:p w:rsidRPr="0022187E" w:rsidR="00A443CE" w:rsidP="0091345F" w:rsidRDefault="00A443CE" w14:paraId="3872EA74" w14:textId="77777777">
      <w:pPr>
        <w:pStyle w:val="NormalWeb"/>
        <w:numPr>
          <w:ilvl w:val="0"/>
          <w:numId w:val="9"/>
        </w:numPr>
        <w:spacing w:line="288" w:lineRule="auto"/>
        <w:ind w:left="567" w:hanging="567"/>
        <w:rPr>
          <w:sz w:val="22"/>
          <w:szCs w:val="22"/>
        </w:rPr>
      </w:pPr>
      <w:r>
        <w:rPr>
          <w:sz w:val="22"/>
        </w:rPr>
        <w:t xml:space="preserve">kehottaa omaksumaan kaikissa nykyisissä ja tulevissa muuttoliikettä koskevissa kehyksissä </w:t>
      </w:r>
      <w:r>
        <w:rPr>
          <w:b/>
          <w:sz w:val="22"/>
        </w:rPr>
        <w:t>EU:n ja lähtömaiden kannalta</w:t>
      </w:r>
      <w:r>
        <w:rPr>
          <w:sz w:val="22"/>
        </w:rPr>
        <w:t xml:space="preserve"> </w:t>
      </w:r>
      <w:r>
        <w:rPr>
          <w:b/>
          <w:sz w:val="22"/>
        </w:rPr>
        <w:t>tasapainoisen lähestymistavan</w:t>
      </w:r>
      <w:r>
        <w:rPr>
          <w:sz w:val="22"/>
        </w:rPr>
        <w:t xml:space="preserve"> ja korostaa, että </w:t>
      </w:r>
      <w:r>
        <w:rPr>
          <w:b/>
          <w:sz w:val="22"/>
        </w:rPr>
        <w:t>aivoviennin riskiä on tärkeää hillitä</w:t>
      </w:r>
      <w:r>
        <w:rPr>
          <w:sz w:val="22"/>
        </w:rPr>
        <w:t xml:space="preserve"> edistämällä lähtömaissa EU:n koheesiopolitiikan avulla </w:t>
      </w:r>
      <w:r>
        <w:rPr>
          <w:b/>
          <w:sz w:val="22"/>
        </w:rPr>
        <w:t>talouskasvua ja kunnollisten työpaikkojen luomista</w:t>
      </w:r>
      <w:r>
        <w:rPr>
          <w:sz w:val="22"/>
        </w:rPr>
        <w:t xml:space="preserve">. </w:t>
      </w:r>
      <w:r>
        <w:rPr>
          <w:b/>
          <w:sz w:val="22"/>
        </w:rPr>
        <w:t>Työmarkkinaosapuolet</w:t>
      </w:r>
      <w:r>
        <w:rPr>
          <w:sz w:val="22"/>
        </w:rPr>
        <w:t xml:space="preserve"> tulee </w:t>
      </w:r>
      <w:proofErr w:type="spellStart"/>
      <w:r>
        <w:rPr>
          <w:b/>
          <w:sz w:val="22"/>
        </w:rPr>
        <w:t>osallistaa</w:t>
      </w:r>
      <w:proofErr w:type="spellEnd"/>
      <w:r>
        <w:rPr>
          <w:b/>
          <w:sz w:val="22"/>
        </w:rPr>
        <w:t xml:space="preserve"> virallisesti</w:t>
      </w:r>
      <w:r>
        <w:rPr>
          <w:sz w:val="22"/>
        </w:rPr>
        <w:t xml:space="preserve"> molemmin puolin kansallisten olosuhteiden ja käytäntöjen mukaisesti, jotta </w:t>
      </w:r>
      <w:r>
        <w:rPr>
          <w:b/>
          <w:sz w:val="22"/>
        </w:rPr>
        <w:t>voidaan saada käsitys</w:t>
      </w:r>
      <w:r>
        <w:rPr>
          <w:sz w:val="22"/>
        </w:rPr>
        <w:t xml:space="preserve"> kotimaisille työmarkkinoille tarjoutuvista </w:t>
      </w:r>
      <w:r>
        <w:rPr>
          <w:b/>
          <w:sz w:val="22"/>
        </w:rPr>
        <w:t>mahdollisuuksista</w:t>
      </w:r>
      <w:r>
        <w:rPr>
          <w:sz w:val="22"/>
        </w:rPr>
        <w:t xml:space="preserve"> ja niihin kohdistuvista </w:t>
      </w:r>
      <w:r>
        <w:rPr>
          <w:b/>
          <w:sz w:val="22"/>
        </w:rPr>
        <w:t>riskeistä ja haasteista</w:t>
      </w:r>
      <w:r>
        <w:rPr>
          <w:sz w:val="22"/>
        </w:rPr>
        <w:t xml:space="preserve">. Työmarkkinaosapuolet tulee myös ottaa mukaan kaikkien kahdenvälisten työmuuttoa koskevien sopimusten </w:t>
      </w:r>
      <w:r>
        <w:rPr>
          <w:b/>
          <w:sz w:val="22"/>
        </w:rPr>
        <w:t>vankkaan seurantakehykseen</w:t>
      </w:r>
      <w:r>
        <w:rPr>
          <w:sz w:val="22"/>
        </w:rPr>
        <w:t>.</w:t>
      </w:r>
    </w:p>
    <w:p w:rsidRPr="0022187E" w:rsidR="00A443CE" w:rsidP="0091345F" w:rsidRDefault="00A443CE" w14:paraId="2B992B53" w14:textId="77777777">
      <w:pPr>
        <w:pStyle w:val="NormalWeb"/>
        <w:numPr>
          <w:ilvl w:val="0"/>
          <w:numId w:val="9"/>
        </w:numPr>
        <w:spacing w:line="288" w:lineRule="auto"/>
        <w:ind w:left="567" w:hanging="567"/>
        <w:rPr>
          <w:sz w:val="22"/>
          <w:szCs w:val="22"/>
        </w:rPr>
      </w:pPr>
      <w:r>
        <w:rPr>
          <w:sz w:val="22"/>
        </w:rPr>
        <w:t xml:space="preserve">muistuttaa, että </w:t>
      </w:r>
      <w:r>
        <w:rPr>
          <w:b/>
          <w:sz w:val="22"/>
        </w:rPr>
        <w:t>aivoviennin riskiä voidaan vähentää tehokkaasti</w:t>
      </w:r>
      <w:r>
        <w:rPr>
          <w:sz w:val="22"/>
        </w:rPr>
        <w:t xml:space="preserve"> tarjoamalla </w:t>
      </w:r>
      <w:r>
        <w:rPr>
          <w:b/>
          <w:sz w:val="22"/>
        </w:rPr>
        <w:t>koulutusta ennen lähtöä ja sen jälkeen</w:t>
      </w:r>
      <w:r>
        <w:rPr>
          <w:sz w:val="22"/>
        </w:rPr>
        <w:t xml:space="preserve"> sekä toteuttamalla lähtömaissa sosiaalista ja ammatillista integraatiota tukevia ohjelmia ja osaamisen kehittämisohjelmia, joilla edistetään sitä, että tietty prosenttiosuus työntekijöistä jää kotimaahansa vauhdittamaan sen sosiaalista ja talouskehitystä.</w:t>
      </w:r>
    </w:p>
    <w:p w:rsidRPr="0022187E" w:rsidR="00A443CE" w:rsidP="0091345F" w:rsidRDefault="00A443CE" w14:paraId="2E1FD80F" w14:textId="77777777">
      <w:pPr>
        <w:pStyle w:val="NormalWeb"/>
        <w:numPr>
          <w:ilvl w:val="0"/>
          <w:numId w:val="9"/>
        </w:numPr>
        <w:spacing w:line="288" w:lineRule="auto"/>
        <w:ind w:left="567" w:hanging="567"/>
        <w:rPr>
          <w:sz w:val="22"/>
          <w:szCs w:val="22"/>
        </w:rPr>
      </w:pPr>
      <w:r>
        <w:rPr>
          <w:sz w:val="22"/>
        </w:rPr>
        <w:t xml:space="preserve">huomauttaa, että on olennaisen tärkeää </w:t>
      </w:r>
      <w:r>
        <w:rPr>
          <w:b/>
          <w:sz w:val="22"/>
        </w:rPr>
        <w:t>edistää kolmansista maista tulevien siirtotyöläisten yhtäläisiä oikeuksia kaikilla osaamistasoilla</w:t>
      </w:r>
      <w:r>
        <w:rPr>
          <w:sz w:val="22"/>
        </w:rPr>
        <w:t>. Tulee toteuttaa toimenpiteitä, joilla parannetaan siirtotyöläisten</w:t>
      </w:r>
      <w:r>
        <w:rPr>
          <w:b/>
          <w:sz w:val="22"/>
        </w:rPr>
        <w:t xml:space="preserve"> suojelua muuttosyklin kaikissa vaiheissa</w:t>
      </w:r>
      <w:r>
        <w:rPr>
          <w:sz w:val="22"/>
        </w:rPr>
        <w:t>. Tähän olisi kuuluttava helppotajuisen tiedon tarjoaminen ennen lähtöä ja sen jälkeen, perehdytys ja koulutus sekä mahdollisuus tehdä valituksia ja saada oikeussuojaa.</w:t>
      </w:r>
    </w:p>
    <w:p w:rsidRPr="005940AF" w:rsidR="00A443CE" w:rsidP="0091345F" w:rsidRDefault="00A443CE" w14:paraId="16B0872D" w14:textId="77777777">
      <w:pPr>
        <w:pStyle w:val="NormalWeb"/>
        <w:numPr>
          <w:ilvl w:val="0"/>
          <w:numId w:val="9"/>
        </w:numPr>
        <w:spacing w:line="288" w:lineRule="auto"/>
        <w:ind w:left="567" w:hanging="567"/>
        <w:rPr>
          <w:sz w:val="22"/>
          <w:szCs w:val="22"/>
        </w:rPr>
      </w:pPr>
      <w:r>
        <w:rPr>
          <w:sz w:val="22"/>
        </w:rPr>
        <w:t xml:space="preserve">toteaa, että </w:t>
      </w:r>
      <w:r>
        <w:rPr>
          <w:b/>
          <w:sz w:val="22"/>
        </w:rPr>
        <w:t>kansainväliset osaamis- ja liikkuvuuskumppanuudet voivat vahvistaa kotimaisia työmarkkinoita</w:t>
      </w:r>
      <w:r>
        <w:rPr>
          <w:sz w:val="22"/>
        </w:rPr>
        <w:t xml:space="preserve"> sekä edistää työvoiman tarjonnan ja kysynnän yhteensovittamista, osaamisen siirtoa kaikilla tasoilla ja aivotuonnin maksimointia. Samalla ne auttavat hillitsemään aivovientiä ja lisäämään lähtö- ja kohdemaiden kilpailukykyä ja kasvua.</w:t>
      </w:r>
    </w:p>
    <w:p w:rsidRPr="005940AF" w:rsidR="00A443CE" w:rsidP="0091345F" w:rsidRDefault="00A443CE" w14:paraId="0D3E8704" w14:textId="77777777">
      <w:pPr>
        <w:pStyle w:val="NormalWeb"/>
        <w:numPr>
          <w:ilvl w:val="0"/>
          <w:numId w:val="9"/>
        </w:numPr>
        <w:spacing w:line="288" w:lineRule="auto"/>
        <w:ind w:left="567" w:hanging="567"/>
        <w:rPr>
          <w:sz w:val="22"/>
          <w:szCs w:val="22"/>
        </w:rPr>
      </w:pPr>
      <w:r>
        <w:rPr>
          <w:sz w:val="22"/>
        </w:rPr>
        <w:t xml:space="preserve">huomauttaa, että </w:t>
      </w:r>
      <w:r>
        <w:rPr>
          <w:b/>
          <w:sz w:val="22"/>
        </w:rPr>
        <w:t>osaamiskumppanuuksista käytäviltä neuvotteluilta puuttuu toistaiseksi yhteinen kehys</w:t>
      </w:r>
      <w:r>
        <w:rPr>
          <w:sz w:val="22"/>
        </w:rPr>
        <w:t xml:space="preserve"> ja että myös neuvottelujen </w:t>
      </w:r>
      <w:r>
        <w:rPr>
          <w:b/>
          <w:sz w:val="22"/>
        </w:rPr>
        <w:t>avoimuudessa</w:t>
      </w:r>
      <w:r>
        <w:rPr>
          <w:sz w:val="22"/>
        </w:rPr>
        <w:t xml:space="preserve"> on parantamisen varaa. Komitea kehottaakin </w:t>
      </w:r>
      <w:r>
        <w:rPr>
          <w:b/>
          <w:sz w:val="22"/>
        </w:rPr>
        <w:t xml:space="preserve">komissiota esittämään toimintasuunnitelman, jossa hahmotellaan </w:t>
      </w:r>
      <w:r>
        <w:rPr>
          <w:sz w:val="22"/>
        </w:rPr>
        <w:t xml:space="preserve">osaamiskumppanuuksien </w:t>
      </w:r>
      <w:r>
        <w:rPr>
          <w:b/>
          <w:sz w:val="22"/>
        </w:rPr>
        <w:t>seuraavat vaiheet</w:t>
      </w:r>
      <w:r>
        <w:rPr>
          <w:sz w:val="22"/>
        </w:rPr>
        <w:t>, eritellään, mitä jo meneillään olevista ja aiemmista hankkeista on opittu, ja esitetään politiikkatoimia, joiden avulla voidaan lisätä johdonmukaisuutta ja helpottaa sujuvaa liikkumista.</w:t>
      </w:r>
    </w:p>
    <w:p w:rsidRPr="005940AF" w:rsidR="00A443CE" w:rsidP="0091345F" w:rsidRDefault="00A443CE" w14:paraId="32CE6ABD" w14:textId="77777777">
      <w:pPr>
        <w:pStyle w:val="NormalWeb"/>
        <w:numPr>
          <w:ilvl w:val="0"/>
          <w:numId w:val="9"/>
        </w:numPr>
        <w:spacing w:line="288" w:lineRule="auto"/>
        <w:ind w:left="567" w:hanging="567"/>
        <w:rPr>
          <w:sz w:val="22"/>
          <w:szCs w:val="22"/>
        </w:rPr>
      </w:pPr>
      <w:r>
        <w:rPr>
          <w:sz w:val="22"/>
        </w:rPr>
        <w:lastRenderedPageBreak/>
        <w:t xml:space="preserve">painottaa, että </w:t>
      </w:r>
      <w:r>
        <w:rPr>
          <w:b/>
          <w:sz w:val="22"/>
        </w:rPr>
        <w:t>EU:n on saatava liikkeelle kaikki käytettävissä oleva työvoima</w:t>
      </w:r>
      <w:r>
        <w:rPr>
          <w:sz w:val="22"/>
        </w:rPr>
        <w:t xml:space="preserve"> ja </w:t>
      </w:r>
      <w:r>
        <w:rPr>
          <w:b/>
          <w:sz w:val="22"/>
        </w:rPr>
        <w:t>tehostettava</w:t>
      </w:r>
      <w:r>
        <w:rPr>
          <w:sz w:val="22"/>
        </w:rPr>
        <w:t xml:space="preserve"> samanaikaisesti myös </w:t>
      </w:r>
      <w:r>
        <w:rPr>
          <w:b/>
          <w:sz w:val="22"/>
        </w:rPr>
        <w:t>muuttoliikepolitiikkaa</w:t>
      </w:r>
      <w:r>
        <w:rPr>
          <w:sz w:val="22"/>
        </w:rPr>
        <w:t xml:space="preserve">, jotta unioniin saataisiin työvoiman täydennykseksi pysyvästi lisää ammattitaitoisia työntekijöitä. Pitkän aikavälin työmarkkinatarpeisiin vastaamisessa ja työmarkkinoilla vallitsevien vajeiden korjaamisessa olisi tukeuduttava </w:t>
      </w:r>
      <w:r>
        <w:rPr>
          <w:b/>
          <w:sz w:val="22"/>
        </w:rPr>
        <w:t>ensisijaisesti EU:n oman työvoiman aktivointiin</w:t>
      </w:r>
      <w:r>
        <w:rPr>
          <w:sz w:val="22"/>
        </w:rPr>
        <w:t xml:space="preserve"> ja kiinnitettävä erityistä huomiota alityöllistyneisiin ryhmiin. On kuitenkin </w:t>
      </w:r>
      <w:r>
        <w:rPr>
          <w:b/>
          <w:sz w:val="22"/>
        </w:rPr>
        <w:t>kunnioitettava sitä, että erityistapauksissa on yritysten etujen mukaista palkata siirtotyöläisiä avoimiin työpaikkoihin, jotka on saatava täytettyä nopeasti</w:t>
      </w:r>
      <w:r>
        <w:rPr>
          <w:sz w:val="22"/>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02"/>
        <w:gridCol w:w="4493"/>
      </w:tblGrid>
      <w:tr w:rsidRPr="00813637" w:rsidR="00A443CE" w:rsidTr="00D33D43" w14:paraId="65E38624" w14:textId="77777777">
        <w:tc>
          <w:tcPr>
            <w:tcW w:w="1210" w:type="dxa"/>
          </w:tcPr>
          <w:p w:rsidRPr="00813637" w:rsidR="00A443CE" w:rsidP="00D33D43" w:rsidRDefault="00A443CE" w14:paraId="33E196AC" w14:textId="77777777">
            <w:pPr>
              <w:rPr>
                <w:i/>
              </w:rPr>
            </w:pPr>
            <w:r>
              <w:rPr>
                <w:b/>
                <w:i/>
              </w:rPr>
              <w:t>Yhteydenotot</w:t>
            </w:r>
          </w:p>
        </w:tc>
        <w:tc>
          <w:tcPr>
            <w:tcW w:w="4493" w:type="dxa"/>
          </w:tcPr>
          <w:p w:rsidRPr="00813637" w:rsidR="00A443CE" w:rsidP="00D33D43" w:rsidRDefault="00A443CE" w14:paraId="705E1F4B" w14:textId="77777777">
            <w:pPr>
              <w:ind w:hanging="12"/>
              <w:rPr>
                <w:i/>
              </w:rPr>
            </w:pPr>
            <w:proofErr w:type="spellStart"/>
            <w:r>
              <w:rPr>
                <w:i/>
              </w:rPr>
              <w:t>Triin</w:t>
            </w:r>
            <w:proofErr w:type="spellEnd"/>
            <w:r>
              <w:rPr>
                <w:i/>
              </w:rPr>
              <w:t xml:space="preserve"> </w:t>
            </w:r>
            <w:proofErr w:type="spellStart"/>
            <w:r>
              <w:rPr>
                <w:i/>
              </w:rPr>
              <w:t>Aasmaa</w:t>
            </w:r>
            <w:proofErr w:type="spellEnd"/>
            <w:r>
              <w:rPr>
                <w:i/>
              </w:rPr>
              <w:t xml:space="preserve"> </w:t>
            </w:r>
            <w:proofErr w:type="spellStart"/>
            <w:r>
              <w:rPr>
                <w:i/>
              </w:rPr>
              <w:t>Gomes</w:t>
            </w:r>
            <w:proofErr w:type="spellEnd"/>
          </w:p>
        </w:tc>
      </w:tr>
      <w:tr w:rsidRPr="00813637" w:rsidR="00A443CE" w:rsidTr="00D33D43" w14:paraId="3BAFCF26" w14:textId="77777777">
        <w:tc>
          <w:tcPr>
            <w:tcW w:w="1210" w:type="dxa"/>
          </w:tcPr>
          <w:p w:rsidRPr="00813637" w:rsidR="00A443CE" w:rsidP="00D33D43" w:rsidRDefault="00A443CE" w14:paraId="649E03B2" w14:textId="77777777">
            <w:pPr>
              <w:rPr>
                <w:i/>
              </w:rPr>
            </w:pPr>
            <w:r>
              <w:rPr>
                <w:i/>
              </w:rPr>
              <w:t>P.</w:t>
            </w:r>
          </w:p>
        </w:tc>
        <w:tc>
          <w:tcPr>
            <w:tcW w:w="4493" w:type="dxa"/>
          </w:tcPr>
          <w:p w:rsidRPr="00731502" w:rsidR="00A443CE" w:rsidP="00D33D43" w:rsidRDefault="00A443CE" w14:paraId="1D009DBB" w14:textId="77777777">
            <w:pPr>
              <w:rPr>
                <w:i/>
              </w:rPr>
            </w:pPr>
            <w:r>
              <w:rPr>
                <w:i/>
              </w:rPr>
              <w:t>+32 25469524</w:t>
            </w:r>
          </w:p>
        </w:tc>
      </w:tr>
      <w:tr w:rsidRPr="00813637" w:rsidR="00A443CE" w:rsidTr="00D33D43" w14:paraId="29B6521F" w14:textId="77777777">
        <w:tc>
          <w:tcPr>
            <w:tcW w:w="1210" w:type="dxa"/>
          </w:tcPr>
          <w:p w:rsidRPr="00813637" w:rsidR="00A443CE" w:rsidP="00D33D43" w:rsidRDefault="00A443CE" w14:paraId="62AAB1D4" w14:textId="77777777">
            <w:pPr>
              <w:rPr>
                <w:i/>
              </w:rPr>
            </w:pPr>
            <w:r>
              <w:rPr>
                <w:i/>
              </w:rPr>
              <w:t>Sähköposti</w:t>
            </w:r>
          </w:p>
        </w:tc>
        <w:tc>
          <w:tcPr>
            <w:tcW w:w="4493" w:type="dxa"/>
          </w:tcPr>
          <w:p w:rsidRPr="00813637" w:rsidR="00A443CE" w:rsidP="00D33D43" w:rsidRDefault="00A443CE" w14:paraId="497507BA" w14:textId="77777777">
            <w:pPr>
              <w:rPr>
                <w:i/>
              </w:rPr>
            </w:pPr>
            <w:hyperlink w:history="1" r:id="rId29">
              <w:r>
                <w:rPr>
                  <w:rStyle w:val="Hyperlink"/>
                  <w:i/>
                </w:rPr>
                <w:t>Triin.AasmaaGomes@eesc.europa.eu</w:t>
              </w:r>
            </w:hyperlink>
          </w:p>
        </w:tc>
      </w:tr>
    </w:tbl>
    <w:p w:rsidR="001C720D" w:rsidRDefault="001C720D" w14:paraId="4556B587" w14:textId="1FF01C3D">
      <w:pPr>
        <w:spacing w:after="160" w:line="259" w:lineRule="auto"/>
        <w:jc w:val="left"/>
        <w:rPr>
          <w:lang w:val="en-GB"/>
        </w:rPr>
      </w:pPr>
    </w:p>
    <w:p w:rsidR="001C720D" w:rsidRDefault="001C720D" w14:paraId="59780EB9" w14:textId="77777777">
      <w:pPr>
        <w:spacing w:after="160" w:line="259" w:lineRule="auto"/>
        <w:jc w:val="left"/>
      </w:pPr>
      <w:r>
        <w:br w:type="page"/>
      </w:r>
    </w:p>
    <w:p w:rsidRPr="002518B2" w:rsidR="00A443CE" w:rsidP="0091345F" w:rsidRDefault="00A443CE" w14:paraId="2CB6E498" w14:textId="77777777">
      <w:pPr>
        <w:widowControl w:val="0"/>
        <w:numPr>
          <w:ilvl w:val="0"/>
          <w:numId w:val="15"/>
        </w:numPr>
        <w:overflowPunct w:val="0"/>
        <w:autoSpaceDE w:val="0"/>
        <w:autoSpaceDN w:val="0"/>
        <w:adjustRightInd w:val="0"/>
        <w:ind w:hanging="567"/>
        <w:textAlignment w:val="baseline"/>
        <w:rPr>
          <w:rStyle w:val="Hyperlink"/>
          <w:b/>
          <w:bCs/>
          <w:i/>
          <w:iCs/>
          <w:sz w:val="28"/>
          <w:szCs w:val="28"/>
        </w:rPr>
      </w:pPr>
      <w:hyperlink w:history="1" r:id="rId30">
        <w:r>
          <w:rPr>
            <w:rStyle w:val="Hyperlink"/>
            <w:b/>
            <w:i/>
            <w:sz w:val="28"/>
          </w:rPr>
          <w:t>Euroopan sosiaalisten oikeuksien pilarin täytäntöönpanoa koskeva uusi toimintasuunnitelma</w:t>
        </w:r>
      </w:hyperlink>
      <w:r>
        <w:rPr>
          <w:b/>
          <w:i/>
          <w:sz w:val="28"/>
        </w:rPr>
        <w:fldChar w:fldCharType="begin"/>
      </w:r>
      <w:r>
        <w:rPr>
          <w:b/>
          <w:i/>
          <w:sz w:val="28"/>
        </w:rPr>
        <w:instrText>HYPERLINK "https://www.eesc.europa.eu/fi/our-work/opinions-information-reports/opinions/new-action-plan-implementation-european-pillar-social-rights"</w:instrText>
      </w:r>
      <w:r>
        <w:rPr>
          <w:b/>
          <w:i/>
          <w:sz w:val="28"/>
        </w:rPr>
        <w:fldChar w:fldCharType="separate"/>
      </w:r>
    </w:p>
    <w:p w:rsidRPr="002518B2" w:rsidR="00A443CE" w:rsidP="00A443CE" w:rsidRDefault="00A443CE" w14:paraId="7F6C6060" w14:textId="77777777">
      <w:pPr>
        <w:widowControl w:val="0"/>
        <w:ind w:left="567"/>
        <w:rPr>
          <w:b/>
          <w:i/>
          <w:sz w:val="28"/>
        </w:rPr>
      </w:pPr>
      <w:r>
        <w:rPr>
          <w:b/>
          <w:i/>
          <w:sz w:val="28"/>
        </w:rPr>
        <w:fldChar w:fldCharType="end"/>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1"/>
        <w:gridCol w:w="7318"/>
      </w:tblGrid>
      <w:tr w:rsidRPr="00A6689B" w:rsidR="00A443CE" w:rsidTr="00D33D43" w14:paraId="2FDB84BF" w14:textId="77777777">
        <w:tc>
          <w:tcPr>
            <w:tcW w:w="1061" w:type="pct"/>
          </w:tcPr>
          <w:p w:rsidRPr="00A6689B" w:rsidR="00A443CE" w:rsidP="00D33D43" w:rsidRDefault="00A443CE" w14:paraId="7BBA35D0" w14:textId="77777777">
            <w:pPr>
              <w:ind w:left="-113"/>
              <w:rPr>
                <w:b/>
              </w:rPr>
            </w:pPr>
            <w:r>
              <w:rPr>
                <w:b/>
              </w:rPr>
              <w:t>Esittelijä</w:t>
            </w:r>
          </w:p>
        </w:tc>
        <w:tc>
          <w:tcPr>
            <w:tcW w:w="3939" w:type="pct"/>
          </w:tcPr>
          <w:p w:rsidRPr="00E51944" w:rsidR="00A443CE" w:rsidP="00D33D43" w:rsidRDefault="00A443CE" w14:paraId="31AF5EFB" w14:textId="77777777">
            <w:pPr>
              <w:tabs>
                <w:tab w:val="left" w:pos="4572"/>
              </w:tabs>
              <w:ind w:left="-113" w:right="-823"/>
            </w:pPr>
            <w:r>
              <w:t>Sophia REISECKER (työntekijät – AT)</w:t>
            </w:r>
          </w:p>
        </w:tc>
      </w:tr>
      <w:tr w:rsidRPr="00A6689B" w:rsidR="00A443CE" w:rsidTr="00D33D43" w14:paraId="5F807B05" w14:textId="77777777">
        <w:tc>
          <w:tcPr>
            <w:tcW w:w="1061" w:type="pct"/>
            <w:vMerge w:val="restart"/>
          </w:tcPr>
          <w:p w:rsidRPr="00557B11" w:rsidR="00A443CE" w:rsidP="00D33D43" w:rsidRDefault="00A443CE" w14:paraId="13806AC2" w14:textId="77777777">
            <w:pPr>
              <w:ind w:left="-113"/>
              <w:rPr>
                <w:b/>
              </w:rPr>
            </w:pPr>
            <w:r>
              <w:rPr>
                <w:b/>
              </w:rPr>
              <w:t>Viiteasiakirja</w:t>
            </w:r>
          </w:p>
        </w:tc>
        <w:tc>
          <w:tcPr>
            <w:tcW w:w="3939" w:type="pct"/>
          </w:tcPr>
          <w:p w:rsidRPr="00557B11" w:rsidR="00A443CE" w:rsidP="00D33D43" w:rsidRDefault="00A443CE" w14:paraId="408C4003" w14:textId="77777777">
            <w:pPr>
              <w:tabs>
                <w:tab w:val="left" w:pos="4430"/>
              </w:tabs>
              <w:ind w:left="-113" w:right="-823"/>
            </w:pPr>
            <w:r>
              <w:t>EESC-2025-00103-00-00-AC</w:t>
            </w:r>
          </w:p>
        </w:tc>
      </w:tr>
      <w:tr w:rsidRPr="00A6689B" w:rsidR="00A443CE" w:rsidTr="00D33D43" w14:paraId="5DB50BC9" w14:textId="77777777">
        <w:tc>
          <w:tcPr>
            <w:tcW w:w="1061" w:type="pct"/>
            <w:vMerge/>
          </w:tcPr>
          <w:p w:rsidRPr="00A6689B" w:rsidR="00A443CE" w:rsidP="00D33D43" w:rsidRDefault="00A443CE" w14:paraId="5EFC570A" w14:textId="77777777">
            <w:pPr>
              <w:tabs>
                <w:tab w:val="center" w:pos="284"/>
              </w:tabs>
              <w:ind w:left="266" w:hanging="266"/>
              <w:rPr>
                <w:b/>
                <w:lang w:val="en-US"/>
              </w:rPr>
            </w:pPr>
          </w:p>
        </w:tc>
        <w:tc>
          <w:tcPr>
            <w:tcW w:w="3939" w:type="pct"/>
          </w:tcPr>
          <w:p w:rsidRPr="00A6689B" w:rsidR="00A443CE" w:rsidP="00D33D43" w:rsidRDefault="00A443CE" w14:paraId="11A40DE0" w14:textId="77777777">
            <w:pPr>
              <w:tabs>
                <w:tab w:val="center" w:pos="284"/>
                <w:tab w:val="left" w:pos="4430"/>
              </w:tabs>
              <w:ind w:left="266" w:right="-823" w:hanging="266"/>
              <w:rPr>
                <w:lang w:val="en-US"/>
              </w:rPr>
            </w:pPr>
          </w:p>
        </w:tc>
      </w:tr>
    </w:tbl>
    <w:p w:rsidR="00A443CE" w:rsidP="00A443CE" w:rsidRDefault="00A443CE" w14:paraId="05920DD1" w14:textId="77777777">
      <w:pPr>
        <w:keepNext/>
        <w:keepLines/>
        <w:tabs>
          <w:tab w:val="center" w:pos="284"/>
        </w:tabs>
        <w:ind w:left="266" w:hanging="266"/>
        <w:rPr>
          <w:b/>
        </w:rPr>
      </w:pPr>
      <w:r>
        <w:rPr>
          <w:b/>
        </w:rPr>
        <w:t>Keskeiset kohdat</w:t>
      </w:r>
    </w:p>
    <w:p w:rsidR="00A443CE" w:rsidP="00A443CE" w:rsidRDefault="00A443CE" w14:paraId="4F28BEB3" w14:textId="77777777">
      <w:pPr>
        <w:keepNext/>
        <w:keepLines/>
        <w:tabs>
          <w:tab w:val="center" w:pos="284"/>
        </w:tabs>
        <w:ind w:left="266" w:hanging="266"/>
        <w:rPr>
          <w:b/>
        </w:rPr>
      </w:pPr>
    </w:p>
    <w:p w:rsidR="00A443CE" w:rsidP="00A443CE" w:rsidRDefault="00A443CE" w14:paraId="6928C692" w14:textId="77777777">
      <w:pPr>
        <w:keepNext/>
        <w:keepLines/>
        <w:tabs>
          <w:tab w:val="center" w:pos="284"/>
        </w:tabs>
        <w:ind w:left="266" w:hanging="266"/>
      </w:pPr>
      <w:r>
        <w:t>ETSK</w:t>
      </w:r>
    </w:p>
    <w:p w:rsidRPr="00422874" w:rsidR="00A443CE" w:rsidP="0091345F" w:rsidRDefault="00A443CE" w14:paraId="5C56BE4E" w14:textId="77777777">
      <w:pPr>
        <w:pStyle w:val="Heading2"/>
        <w:numPr>
          <w:ilvl w:val="0"/>
          <w:numId w:val="10"/>
        </w:numPr>
        <w:ind w:left="851" w:hanging="283"/>
      </w:pPr>
      <w:bookmarkStart w:name="_Toc202362994" w:id="4"/>
      <w:r>
        <w:t>kehottaa arvioimaan perusteellisesti vuonna 2021 laadittua Euroopan sosiaalisten oikeuksien pilaria koskevaa toimintasuunnitelmaa, jotta sen pohjalta voidaan laatia uusi, vankka ja kaukonäköinen toimintasuunnitelma, jossa sosiaali-indikaattoreiden tulostaulu ja sosiaalisen lähentymisen kehys integroidaan paremmin eurooppalaiseen ohjausjaksoon.</w:t>
      </w:r>
      <w:bookmarkEnd w:id="4"/>
    </w:p>
    <w:p w:rsidRPr="00422874" w:rsidR="00A443CE" w:rsidP="0091345F" w:rsidRDefault="00A443CE" w14:paraId="06CFAC6D" w14:textId="77777777">
      <w:pPr>
        <w:pStyle w:val="Heading2"/>
        <w:numPr>
          <w:ilvl w:val="0"/>
          <w:numId w:val="10"/>
        </w:numPr>
        <w:ind w:left="851" w:hanging="283"/>
      </w:pPr>
      <w:bookmarkStart w:name="_Toc202362995" w:id="5"/>
      <w:r>
        <w:t>kannattaa laadukkaita työpaikkoja koskevaa EU:n tason tavoitetta, työssäkäyvien köyhyyden sekä työsuhteiden epävarmuuden torjumista koskevia vähimmäisvaatimuksia, hoiva-alan työolojen ja -ehtojen parantamista sekä nuorten vahvempaa suojelua mm. varmistamalla oikeudenmukaiset harjoitteluehdot ja tukemalla harjoittelun jälkeistä työllistymistä.</w:t>
      </w:r>
      <w:bookmarkEnd w:id="5"/>
    </w:p>
    <w:p w:rsidRPr="00422874" w:rsidR="00A443CE" w:rsidP="0091345F" w:rsidRDefault="00A443CE" w14:paraId="68168F43" w14:textId="77777777">
      <w:pPr>
        <w:pStyle w:val="Heading2"/>
        <w:numPr>
          <w:ilvl w:val="0"/>
          <w:numId w:val="10"/>
        </w:numPr>
        <w:ind w:left="851" w:hanging="283"/>
      </w:pPr>
      <w:bookmarkStart w:name="_Toc202362996" w:id="6"/>
      <w:r>
        <w:t>kehottaa asettamaan työttömyysvakuutusjärjestelmiä varten kunnianhimoiset EU:n tason vaatimukset, laatimaan psykososiaalisia riskejä koskevan direktiivin, turvaamaan oikeuden olla tavoittamattomissa ja ottamaan käyttöön julkisen talouden sosiaalisia investointeja koskevan nk. kultaisen säännön, joka mahdollistaa EU:n ja kansallisen korvamerkityn rahoituksen.</w:t>
      </w:r>
      <w:bookmarkEnd w:id="6"/>
    </w:p>
    <w:p w:rsidRPr="00422874" w:rsidR="00A443CE" w:rsidP="0091345F" w:rsidRDefault="00A443CE" w14:paraId="4482E9FC" w14:textId="77777777">
      <w:pPr>
        <w:pStyle w:val="Heading2"/>
        <w:numPr>
          <w:ilvl w:val="0"/>
          <w:numId w:val="10"/>
        </w:numPr>
        <w:ind w:left="851" w:hanging="283"/>
      </w:pPr>
      <w:bookmarkStart w:name="_Toc202362997" w:id="7"/>
      <w:r>
        <w:t>katsoo, että elinikäinen oppiminen olisi tunnustettava oikeudeksi, julkisia ja yksityisiä koulutusinvestointeja olisi lisättävä ja sosiaaliset tavoitteet ja sukupuolten tasa-arvo olisi otettava järjestelmällisesti huomioon ja asetettava etusijalle Euroopan sosiaalisten oikeuksien pilarissa. Komitea katsoo niin ikään, että olisi otettava käyttöön nuorisotestit ja että yhteisötalouden toimintasuunnitelma olisi pantava kaikilta osin täytäntöön ja olisi luotava kattava oikeudenmukaisen siirtymän kehys.</w:t>
      </w:r>
      <w:bookmarkEnd w:id="7"/>
    </w:p>
    <w:p w:rsidRPr="00422874" w:rsidR="00A443CE" w:rsidP="0091345F" w:rsidRDefault="00A443CE" w14:paraId="6D5750EB" w14:textId="77777777">
      <w:pPr>
        <w:pStyle w:val="Heading2"/>
        <w:numPr>
          <w:ilvl w:val="0"/>
          <w:numId w:val="10"/>
        </w:numPr>
        <w:ind w:left="851" w:hanging="283"/>
      </w:pPr>
      <w:bookmarkStart w:name="_Toc202362998" w:id="8"/>
      <w:r>
        <w:t>kehottaa edistämään vahvempaa työmarkkinaosapuolten vuoropuhelua, kansalaisyhteiskunnan aktiivista osallistumista ja julkisten hankintamenettelyjen pakollisia sosiaalisia kriteerejä sekä kehittämään BKT:tä pidemmälle meneviä indikaattoreita, jotka kuvaisivat paremmin kansalaisten hyvinvointia ja osallistavaa kasvua.</w:t>
      </w:r>
      <w:bookmarkEnd w:id="8"/>
    </w:p>
    <w:p w:rsidRPr="00497792" w:rsidR="00A443CE" w:rsidP="00A443CE" w:rsidRDefault="00A443CE" w14:paraId="49C8488C" w14:textId="77777777"/>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A6689B" w:rsidR="00A443CE" w:rsidTr="00D33D43" w14:paraId="4C0A8C1B" w14:textId="77777777">
        <w:tc>
          <w:tcPr>
            <w:tcW w:w="1556" w:type="pct"/>
          </w:tcPr>
          <w:p w:rsidRPr="00A6689B" w:rsidR="00A443CE" w:rsidP="00D33D43" w:rsidRDefault="00A443CE" w14:paraId="23940265" w14:textId="77777777">
            <w:pPr>
              <w:spacing w:line="240" w:lineRule="auto"/>
              <w:rPr>
                <w:i/>
              </w:rPr>
            </w:pPr>
            <w:r>
              <w:rPr>
                <w:b/>
                <w:i/>
              </w:rPr>
              <w:t>Yhteydenotot</w:t>
            </w:r>
          </w:p>
        </w:tc>
        <w:tc>
          <w:tcPr>
            <w:tcW w:w="3444" w:type="pct"/>
          </w:tcPr>
          <w:p w:rsidRPr="00A6689B" w:rsidR="00A443CE" w:rsidP="00D33D43" w:rsidRDefault="00A443CE" w14:paraId="002CA6E0" w14:textId="77777777">
            <w:pPr>
              <w:spacing w:line="240" w:lineRule="auto"/>
              <w:rPr>
                <w:i/>
              </w:rPr>
            </w:pPr>
            <w:proofErr w:type="spellStart"/>
            <w:r>
              <w:rPr>
                <w:i/>
              </w:rPr>
              <w:t>Bartek</w:t>
            </w:r>
            <w:proofErr w:type="spellEnd"/>
            <w:r>
              <w:rPr>
                <w:i/>
              </w:rPr>
              <w:t xml:space="preserve"> BEDNAROWICZ</w:t>
            </w:r>
          </w:p>
        </w:tc>
      </w:tr>
      <w:tr w:rsidRPr="00A6689B" w:rsidR="00A443CE" w:rsidTr="00D33D43" w14:paraId="301E1EC8" w14:textId="77777777">
        <w:tc>
          <w:tcPr>
            <w:tcW w:w="1556" w:type="pct"/>
          </w:tcPr>
          <w:p w:rsidRPr="00A6689B" w:rsidR="00A443CE" w:rsidP="00D33D43" w:rsidRDefault="00A443CE" w14:paraId="4BADD282" w14:textId="77777777">
            <w:pPr>
              <w:spacing w:line="240" w:lineRule="auto"/>
              <w:rPr>
                <w:i/>
              </w:rPr>
            </w:pPr>
            <w:r>
              <w:rPr>
                <w:i/>
              </w:rPr>
              <w:t>P.</w:t>
            </w:r>
          </w:p>
        </w:tc>
        <w:tc>
          <w:tcPr>
            <w:tcW w:w="3444" w:type="pct"/>
          </w:tcPr>
          <w:p w:rsidRPr="00A6689B" w:rsidR="00A443CE" w:rsidP="00D33D43" w:rsidRDefault="00A443CE" w14:paraId="6671A043" w14:textId="77777777">
            <w:pPr>
              <w:spacing w:line="240" w:lineRule="auto"/>
              <w:rPr>
                <w:i/>
              </w:rPr>
            </w:pPr>
            <w:r>
              <w:rPr>
                <w:i/>
              </w:rPr>
              <w:t>+32 25469229</w:t>
            </w:r>
          </w:p>
        </w:tc>
      </w:tr>
      <w:tr w:rsidRPr="00A6689B" w:rsidR="00A443CE" w:rsidTr="00D33D43" w14:paraId="1A4EE240" w14:textId="77777777">
        <w:tc>
          <w:tcPr>
            <w:tcW w:w="1556" w:type="pct"/>
          </w:tcPr>
          <w:p w:rsidRPr="00A6689B" w:rsidR="00A443CE" w:rsidP="00D33D43" w:rsidRDefault="00A443CE" w14:paraId="0E8F9C7A" w14:textId="77777777">
            <w:pPr>
              <w:spacing w:line="240" w:lineRule="auto"/>
              <w:rPr>
                <w:i/>
              </w:rPr>
            </w:pPr>
            <w:r>
              <w:rPr>
                <w:i/>
              </w:rPr>
              <w:t>Sähköposti</w:t>
            </w:r>
          </w:p>
        </w:tc>
        <w:tc>
          <w:tcPr>
            <w:tcW w:w="3444" w:type="pct"/>
          </w:tcPr>
          <w:p w:rsidRPr="00E755E4" w:rsidR="00A443CE" w:rsidP="00D33D43" w:rsidRDefault="00A443CE" w14:paraId="3672A22D" w14:textId="77777777">
            <w:pPr>
              <w:spacing w:line="240" w:lineRule="auto"/>
              <w:rPr>
                <w:rStyle w:val="Hyperlink"/>
                <w:i/>
                <w:iCs/>
              </w:rPr>
            </w:pPr>
            <w:hyperlink w:history="1" r:id="rId31">
              <w:r>
                <w:rPr>
                  <w:rStyle w:val="Hyperlink"/>
                  <w:i/>
                </w:rPr>
                <w:t>Bartek.Bednarowicz@eesc.europa.eu</w:t>
              </w:r>
            </w:hyperlink>
          </w:p>
          <w:p w:rsidRPr="009A2735" w:rsidR="00A443CE" w:rsidP="00D33D43" w:rsidRDefault="00A443CE" w14:paraId="66C4787B" w14:textId="77777777">
            <w:pPr>
              <w:spacing w:line="240" w:lineRule="auto"/>
              <w:rPr>
                <w:rStyle w:val="Hyperlink"/>
              </w:rPr>
            </w:pPr>
          </w:p>
        </w:tc>
      </w:tr>
    </w:tbl>
    <w:p w:rsidR="00AC3821" w:rsidP="004D7AC0" w:rsidRDefault="00AC3821" w14:paraId="21974840" w14:textId="77777777">
      <w:pPr>
        <w:spacing w:after="160" w:line="259" w:lineRule="auto"/>
        <w:jc w:val="left"/>
      </w:pPr>
    </w:p>
    <w:p w:rsidR="00AC3821" w:rsidRDefault="00AC3821" w14:paraId="0C045A87" w14:textId="77777777">
      <w:pPr>
        <w:spacing w:after="160" w:line="259" w:lineRule="auto"/>
        <w:jc w:val="left"/>
      </w:pPr>
      <w:r>
        <w:br w:type="page"/>
      </w:r>
    </w:p>
    <w:p w:rsidRPr="00B4456F" w:rsidR="00460F68" w:rsidP="0091345F" w:rsidRDefault="00460F68" w14:paraId="354F0C41" w14:textId="3E306D6D">
      <w:pPr>
        <w:widowControl w:val="0"/>
        <w:numPr>
          <w:ilvl w:val="0"/>
          <w:numId w:val="15"/>
        </w:numPr>
        <w:overflowPunct w:val="0"/>
        <w:autoSpaceDE w:val="0"/>
        <w:autoSpaceDN w:val="0"/>
        <w:adjustRightInd w:val="0"/>
        <w:ind w:hanging="567"/>
        <w:textAlignment w:val="baseline"/>
        <w:rPr>
          <w:sz w:val="24"/>
          <w:szCs w:val="24"/>
        </w:rPr>
      </w:pPr>
      <w:r>
        <w:lastRenderedPageBreak/>
        <w:t xml:space="preserve"> </w:t>
      </w:r>
      <w:hyperlink w:history="1" r:id="rId32">
        <w:r>
          <w:rPr>
            <w:rStyle w:val="Hyperlink"/>
            <w:b/>
            <w:i/>
            <w:sz w:val="28"/>
          </w:rPr>
          <w:t>Vammaisten henkilöiden oikeuksia koskeva EU:n strategia</w:t>
        </w:r>
      </w:hyperlink>
      <w:r>
        <w:rPr>
          <w:b/>
          <w:i/>
          <w:sz w:val="28"/>
        </w:rPr>
        <w:t xml:space="preserve"> </w:t>
      </w:r>
    </w:p>
    <w:p w:rsidRPr="001020D4" w:rsidR="00460F68" w:rsidP="00460F68" w:rsidRDefault="00460F68" w14:paraId="3495DD80" w14:textId="77777777">
      <w:pPr>
        <w:tabs>
          <w:tab w:val="center" w:pos="284"/>
        </w:tabs>
        <w:spacing w:line="240" w:lineRule="auto"/>
        <w:ind w:left="266" w:hanging="266"/>
        <w:rPr>
          <w:b/>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63"/>
      </w:tblGrid>
      <w:tr w:rsidRPr="00B4456F" w:rsidR="00460F68" w:rsidTr="00D33D43" w14:paraId="5591D174" w14:textId="77777777">
        <w:tc>
          <w:tcPr>
            <w:tcW w:w="1701" w:type="dxa"/>
          </w:tcPr>
          <w:p w:rsidRPr="00B4456F" w:rsidR="00460F68" w:rsidP="00D33D43" w:rsidRDefault="00460F68" w14:paraId="745F40B4" w14:textId="77777777">
            <w:pPr>
              <w:tabs>
                <w:tab w:val="center" w:pos="284"/>
              </w:tabs>
              <w:ind w:left="266" w:hanging="266"/>
              <w:rPr>
                <w:b/>
              </w:rPr>
            </w:pPr>
            <w:r>
              <w:rPr>
                <w:b/>
              </w:rPr>
              <w:t>Esittelijä</w:t>
            </w:r>
          </w:p>
        </w:tc>
        <w:tc>
          <w:tcPr>
            <w:tcW w:w="6663" w:type="dxa"/>
          </w:tcPr>
          <w:p w:rsidRPr="00B4456F" w:rsidR="00460F68" w:rsidP="00D33D43" w:rsidRDefault="00460F68" w14:paraId="054224FE" w14:textId="77777777">
            <w:pPr>
              <w:tabs>
                <w:tab w:val="center" w:pos="284"/>
              </w:tabs>
              <w:ind w:left="266" w:right="-529" w:hanging="266"/>
            </w:pPr>
            <w:proofErr w:type="spellStart"/>
            <w:r>
              <w:t>Ioannis</w:t>
            </w:r>
            <w:proofErr w:type="spellEnd"/>
            <w:r>
              <w:t xml:space="preserve"> </w:t>
            </w:r>
            <w:proofErr w:type="spellStart"/>
            <w:r>
              <w:t>Vardakastanis</w:t>
            </w:r>
            <w:proofErr w:type="spellEnd"/>
            <w:r>
              <w:t xml:space="preserve"> (kansalaisyhteiskunnan organisaatiot – EL)</w:t>
            </w:r>
          </w:p>
        </w:tc>
      </w:tr>
      <w:tr w:rsidRPr="00B4456F" w:rsidR="00460F68" w:rsidTr="00D33D43" w14:paraId="30CA2152" w14:textId="77777777">
        <w:tc>
          <w:tcPr>
            <w:tcW w:w="1701" w:type="dxa"/>
          </w:tcPr>
          <w:p w:rsidRPr="00B4456F" w:rsidR="00460F68" w:rsidP="00D33D43" w:rsidRDefault="00460F68" w14:paraId="561D3D49" w14:textId="77777777">
            <w:pPr>
              <w:tabs>
                <w:tab w:val="center" w:pos="284"/>
              </w:tabs>
              <w:ind w:left="266" w:hanging="266"/>
              <w:rPr>
                <w:b/>
              </w:rPr>
            </w:pPr>
          </w:p>
        </w:tc>
        <w:tc>
          <w:tcPr>
            <w:tcW w:w="6663" w:type="dxa"/>
          </w:tcPr>
          <w:p w:rsidRPr="00B4456F" w:rsidR="00460F68" w:rsidP="00D33D43" w:rsidRDefault="00460F68" w14:paraId="3AC4F3CF" w14:textId="77777777">
            <w:pPr>
              <w:tabs>
                <w:tab w:val="center" w:pos="284"/>
              </w:tabs>
              <w:ind w:left="266" w:hanging="266"/>
            </w:pPr>
          </w:p>
        </w:tc>
      </w:tr>
      <w:tr w:rsidRPr="00B4456F" w:rsidR="00460F68" w:rsidTr="00D33D43" w14:paraId="3A4E0D06" w14:textId="77777777">
        <w:tc>
          <w:tcPr>
            <w:tcW w:w="1701" w:type="dxa"/>
            <w:vMerge w:val="restart"/>
          </w:tcPr>
          <w:p w:rsidRPr="00B4456F" w:rsidR="00460F68" w:rsidP="00D33D43" w:rsidRDefault="00460F68" w14:paraId="556D0774" w14:textId="77777777">
            <w:pPr>
              <w:tabs>
                <w:tab w:val="center" w:pos="284"/>
              </w:tabs>
              <w:ind w:left="266" w:hanging="266"/>
              <w:rPr>
                <w:b/>
              </w:rPr>
            </w:pPr>
            <w:r>
              <w:rPr>
                <w:b/>
              </w:rPr>
              <w:t xml:space="preserve">Viiteasiakirja </w:t>
            </w:r>
          </w:p>
        </w:tc>
        <w:tc>
          <w:tcPr>
            <w:tcW w:w="6663" w:type="dxa"/>
          </w:tcPr>
          <w:p w:rsidRPr="00B4456F" w:rsidR="00460F68" w:rsidP="00D33D43" w:rsidRDefault="00460F68" w14:paraId="52C3BD9D" w14:textId="77777777">
            <w:pPr>
              <w:tabs>
                <w:tab w:val="center" w:pos="284"/>
              </w:tabs>
              <w:ind w:left="266" w:hanging="266"/>
            </w:pPr>
            <w:r>
              <w:t>oma-aloitteinen lausunto</w:t>
            </w:r>
          </w:p>
        </w:tc>
      </w:tr>
      <w:tr w:rsidRPr="00B4456F" w:rsidR="00460F68" w:rsidTr="00D33D43" w14:paraId="1F8F957E" w14:textId="77777777">
        <w:tc>
          <w:tcPr>
            <w:tcW w:w="1701" w:type="dxa"/>
            <w:vMerge/>
          </w:tcPr>
          <w:p w:rsidRPr="00B4456F" w:rsidR="00460F68" w:rsidP="00D33D43" w:rsidRDefault="00460F68" w14:paraId="5F56629D" w14:textId="77777777">
            <w:pPr>
              <w:tabs>
                <w:tab w:val="center" w:pos="284"/>
              </w:tabs>
              <w:ind w:left="266" w:hanging="266"/>
              <w:rPr>
                <w:b/>
              </w:rPr>
            </w:pPr>
          </w:p>
        </w:tc>
        <w:tc>
          <w:tcPr>
            <w:tcW w:w="6663" w:type="dxa"/>
          </w:tcPr>
          <w:p w:rsidRPr="00B4456F" w:rsidR="00460F68" w:rsidP="00D33D43" w:rsidRDefault="00460F68" w14:paraId="10120D29" w14:textId="77777777">
            <w:pPr>
              <w:tabs>
                <w:tab w:val="center" w:pos="284"/>
              </w:tabs>
              <w:ind w:left="266" w:hanging="266"/>
            </w:pPr>
            <w:r>
              <w:t>EESC-2025-00909-00-00-AC-TRA</w:t>
            </w:r>
          </w:p>
        </w:tc>
      </w:tr>
    </w:tbl>
    <w:p w:rsidRPr="001020D4" w:rsidR="00460F68" w:rsidP="00460F68" w:rsidRDefault="00460F68" w14:paraId="6266D412" w14:textId="77777777">
      <w:pPr>
        <w:tabs>
          <w:tab w:val="center" w:pos="284"/>
        </w:tabs>
        <w:ind w:left="266" w:hanging="266"/>
        <w:rPr>
          <w:sz w:val="16"/>
          <w:szCs w:val="16"/>
        </w:rPr>
      </w:pPr>
    </w:p>
    <w:p w:rsidR="00460F68" w:rsidP="00460F68" w:rsidRDefault="00460F68" w14:paraId="1DE29374" w14:textId="77777777">
      <w:pPr>
        <w:keepNext/>
        <w:keepLines/>
        <w:tabs>
          <w:tab w:val="center" w:pos="284"/>
        </w:tabs>
        <w:ind w:left="266" w:hanging="266"/>
        <w:rPr>
          <w:b/>
        </w:rPr>
      </w:pPr>
      <w:r>
        <w:rPr>
          <w:b/>
        </w:rPr>
        <w:t>Keskeiset kohdat</w:t>
      </w:r>
    </w:p>
    <w:p w:rsidRPr="00B4456F" w:rsidR="00460F68" w:rsidP="00460F68" w:rsidRDefault="00460F68" w14:paraId="183F859C" w14:textId="77777777">
      <w:pPr>
        <w:keepNext/>
        <w:keepLines/>
        <w:tabs>
          <w:tab w:val="center" w:pos="284"/>
        </w:tabs>
        <w:ind w:left="266" w:hanging="266"/>
        <w:rPr>
          <w:b/>
        </w:rPr>
      </w:pPr>
    </w:p>
    <w:p w:rsidR="00460F68" w:rsidP="00460F68" w:rsidRDefault="00460F68" w14:paraId="57F57B8D" w14:textId="77777777">
      <w:pPr>
        <w:pStyle w:val="NormalWeb"/>
        <w:spacing w:before="0" w:beforeAutospacing="0" w:after="0" w:afterAutospacing="0" w:line="276" w:lineRule="auto"/>
        <w:rPr>
          <w:rStyle w:val="Strong"/>
          <w:sz w:val="22"/>
          <w:szCs w:val="22"/>
        </w:rPr>
      </w:pPr>
      <w:r>
        <w:rPr>
          <w:rStyle w:val="Strong"/>
          <w:sz w:val="22"/>
        </w:rPr>
        <w:t>ETSK</w:t>
      </w:r>
    </w:p>
    <w:p w:rsidRPr="00850105" w:rsidR="00460F68" w:rsidP="00460F68" w:rsidRDefault="00460F68" w14:paraId="7F91ADCE" w14:textId="77777777">
      <w:pPr>
        <w:pStyle w:val="NormalWeb"/>
        <w:spacing w:before="0" w:beforeAutospacing="0" w:after="0" w:afterAutospacing="0" w:line="276" w:lineRule="auto"/>
        <w:rPr>
          <w:sz w:val="22"/>
          <w:szCs w:val="22"/>
        </w:rPr>
      </w:pPr>
    </w:p>
    <w:p w:rsidRPr="00850105" w:rsidR="00460F68" w:rsidP="0091345F" w:rsidRDefault="00460F68" w14:paraId="12C5B305" w14:textId="77777777">
      <w:pPr>
        <w:pStyle w:val="NormalWeb"/>
        <w:numPr>
          <w:ilvl w:val="0"/>
          <w:numId w:val="11"/>
        </w:numPr>
        <w:spacing w:before="0" w:beforeAutospacing="0" w:after="0" w:afterAutospacing="0" w:line="276" w:lineRule="auto"/>
        <w:jc w:val="both"/>
        <w:rPr>
          <w:sz w:val="22"/>
          <w:szCs w:val="22"/>
        </w:rPr>
      </w:pPr>
      <w:r>
        <w:rPr>
          <w:sz w:val="22"/>
        </w:rPr>
        <w:t>on tyytyväinen siihen, että Euroopan komissio on sitoutunut kehittämään uusia toimia vammaisten henkilöiden oikeuksia koskevan EU:n strategian 2021–2030 toiselle puoliskolle, ja pitää tärkeänä YK:n vammaisten henkilöiden oikeuksien komitean äskettäin EU:sta tekemää arviointia, jossa unionia kehotetaan jatkamaan toimia strategian puolivälin jälkeen.</w:t>
      </w:r>
    </w:p>
    <w:p w:rsidRPr="00850105" w:rsidR="00460F68" w:rsidP="0091345F" w:rsidRDefault="00460F68" w14:paraId="457191F8" w14:textId="77777777">
      <w:pPr>
        <w:pStyle w:val="NormalWeb"/>
        <w:numPr>
          <w:ilvl w:val="0"/>
          <w:numId w:val="11"/>
        </w:numPr>
        <w:spacing w:before="0" w:beforeAutospacing="0" w:after="0" w:afterAutospacing="0" w:line="276" w:lineRule="auto"/>
        <w:jc w:val="both"/>
        <w:rPr>
          <w:sz w:val="22"/>
          <w:szCs w:val="22"/>
        </w:rPr>
      </w:pPr>
      <w:r>
        <w:rPr>
          <w:sz w:val="22"/>
        </w:rPr>
        <w:t>katsoo, että kaudella 2021–2025 oli merkittäviä onnistumisia, mutta toteutetut toimet jättivät myös jälkeensä aukkoja. Komitea esittää lausunnossaan, mihin toimiin ja lippulaivahankkeisiin Euroopan komission olisi keskityttävä ensisijaisesti kaudella 2025–2030.</w:t>
      </w:r>
    </w:p>
    <w:p w:rsidRPr="00850105" w:rsidR="00460F68" w:rsidP="0091345F" w:rsidRDefault="00460F68" w14:paraId="30F9B80D" w14:textId="77777777">
      <w:pPr>
        <w:pStyle w:val="NormalWeb"/>
        <w:numPr>
          <w:ilvl w:val="0"/>
          <w:numId w:val="11"/>
        </w:numPr>
        <w:spacing w:before="0" w:beforeAutospacing="0" w:after="0" w:afterAutospacing="0" w:line="276" w:lineRule="auto"/>
        <w:jc w:val="both"/>
        <w:rPr>
          <w:sz w:val="22"/>
          <w:szCs w:val="22"/>
        </w:rPr>
      </w:pPr>
      <w:r>
        <w:rPr>
          <w:sz w:val="22"/>
        </w:rPr>
        <w:t>kehottaa Euroopan komissiota ryhtymään pikaisesti hahmottelemaan seuraavaa toimintasuunnitelmaa ja kuulemaan vammaisia henkilöitä ja heitä edustavia järjestöjä mielekkäällä tavalla.</w:t>
      </w:r>
    </w:p>
    <w:p w:rsidR="00460F68" w:rsidP="0091345F" w:rsidRDefault="00460F68" w14:paraId="7716A635" w14:textId="77777777">
      <w:pPr>
        <w:pStyle w:val="NormalWeb"/>
        <w:numPr>
          <w:ilvl w:val="0"/>
          <w:numId w:val="11"/>
        </w:numPr>
        <w:spacing w:before="0" w:beforeAutospacing="0" w:after="0" w:afterAutospacing="0" w:line="276" w:lineRule="auto"/>
        <w:jc w:val="both"/>
        <w:rPr>
          <w:sz w:val="22"/>
          <w:szCs w:val="22"/>
        </w:rPr>
      </w:pPr>
      <w:r>
        <w:rPr>
          <w:sz w:val="22"/>
        </w:rPr>
        <w:t>peräänkuuluttaa toimia, jotka ovat vahvempia ja sitovampia kuin ne, joita ehdotettiin vuosina 2021–2025, joilla on suoria vaikutuksia ja joille olisi varattava seuraavassa monivuotisessa rahoituskehyksessä erikseen määrärahat tehokkaan täytäntöönpanon ja tuen varmistamiseksi.</w:t>
      </w:r>
    </w:p>
    <w:p w:rsidRPr="00850105" w:rsidR="00460F68" w:rsidP="00460F68" w:rsidRDefault="00460F68" w14:paraId="3AF33724" w14:textId="77777777">
      <w:pPr>
        <w:pStyle w:val="NormalWeb"/>
        <w:spacing w:before="0" w:beforeAutospacing="0" w:after="0" w:afterAutospacing="0" w:line="276" w:lineRule="auto"/>
        <w:ind w:left="720"/>
        <w:jc w:val="both"/>
        <w:rPr>
          <w:sz w:val="22"/>
          <w:szCs w:val="22"/>
          <w:lang w:val="en-US"/>
        </w:rPr>
      </w:pPr>
    </w:p>
    <w:p w:rsidR="00460F68" w:rsidP="00460F68" w:rsidRDefault="00460F68" w14:paraId="1F972B89" w14:textId="77777777">
      <w:pPr>
        <w:pStyle w:val="NormalWeb"/>
        <w:spacing w:before="0" w:beforeAutospacing="0" w:after="0" w:afterAutospacing="0" w:line="276" w:lineRule="auto"/>
        <w:rPr>
          <w:rStyle w:val="Strong"/>
          <w:sz w:val="22"/>
          <w:szCs w:val="22"/>
        </w:rPr>
      </w:pPr>
      <w:r>
        <w:rPr>
          <w:rStyle w:val="Strong"/>
          <w:sz w:val="22"/>
        </w:rPr>
        <w:t>Tärkeimmät ehdotetut toimet</w:t>
      </w:r>
    </w:p>
    <w:p w:rsidRPr="00850105" w:rsidR="00460F68" w:rsidP="00460F68" w:rsidRDefault="00460F68" w14:paraId="056DD6E1" w14:textId="77777777">
      <w:pPr>
        <w:pStyle w:val="NormalWeb"/>
        <w:spacing w:before="0" w:beforeAutospacing="0" w:after="0" w:afterAutospacing="0" w:line="276" w:lineRule="auto"/>
        <w:rPr>
          <w:sz w:val="22"/>
          <w:szCs w:val="22"/>
        </w:rPr>
      </w:pPr>
    </w:p>
    <w:p w:rsidRPr="00850105" w:rsidR="00460F68" w:rsidP="0091345F" w:rsidRDefault="00460F68" w14:paraId="61D91A60" w14:textId="77777777">
      <w:pPr>
        <w:pStyle w:val="NormalWeb"/>
        <w:numPr>
          <w:ilvl w:val="0"/>
          <w:numId w:val="12"/>
        </w:numPr>
        <w:spacing w:before="0" w:beforeAutospacing="0" w:after="0" w:afterAutospacing="0" w:line="276" w:lineRule="auto"/>
        <w:rPr>
          <w:sz w:val="22"/>
          <w:szCs w:val="22"/>
        </w:rPr>
      </w:pPr>
      <w:r>
        <w:rPr>
          <w:sz w:val="22"/>
        </w:rPr>
        <w:t>Laaditaan vaihtoehto yhdenvertaista kohtelua koskevalle horisontaaliselle direktiiville.</w:t>
      </w:r>
    </w:p>
    <w:p w:rsidRPr="00850105" w:rsidR="00460F68" w:rsidP="0091345F" w:rsidRDefault="00460F68" w14:paraId="60D5CE42" w14:textId="77777777">
      <w:pPr>
        <w:pStyle w:val="NormalWeb"/>
        <w:numPr>
          <w:ilvl w:val="0"/>
          <w:numId w:val="12"/>
        </w:numPr>
        <w:spacing w:before="0" w:beforeAutospacing="0" w:after="0" w:afterAutospacing="0" w:line="276" w:lineRule="auto"/>
        <w:rPr>
          <w:sz w:val="22"/>
          <w:szCs w:val="22"/>
        </w:rPr>
      </w:pPr>
      <w:r>
        <w:rPr>
          <w:sz w:val="22"/>
        </w:rPr>
        <w:t>Hyödynnetään vammaisten henkilöiden työllisyyspaketista saatuja kokemuksia.</w:t>
      </w:r>
    </w:p>
    <w:p w:rsidRPr="00850105" w:rsidR="00460F68" w:rsidP="0091345F" w:rsidRDefault="00460F68" w14:paraId="05569DB6" w14:textId="77777777">
      <w:pPr>
        <w:pStyle w:val="NormalWeb"/>
        <w:numPr>
          <w:ilvl w:val="0"/>
          <w:numId w:val="12"/>
        </w:numPr>
        <w:spacing w:before="0" w:beforeAutospacing="0" w:after="0" w:afterAutospacing="0" w:line="276" w:lineRule="auto"/>
        <w:rPr>
          <w:sz w:val="22"/>
          <w:szCs w:val="22"/>
        </w:rPr>
      </w:pPr>
      <w:r>
        <w:rPr>
          <w:sz w:val="22"/>
        </w:rPr>
        <w:t>Korjataan puutteet, jotka EU:n vammaiskortti jätti vapaaseen liikkumiseen.</w:t>
      </w:r>
    </w:p>
    <w:p w:rsidRPr="00850105" w:rsidR="00460F68" w:rsidP="0091345F" w:rsidRDefault="00460F68" w14:paraId="66ECF986" w14:textId="77777777">
      <w:pPr>
        <w:pStyle w:val="NormalWeb"/>
        <w:numPr>
          <w:ilvl w:val="0"/>
          <w:numId w:val="12"/>
        </w:numPr>
        <w:spacing w:before="0" w:beforeAutospacing="0" w:after="0" w:afterAutospacing="0" w:line="276" w:lineRule="auto"/>
        <w:rPr>
          <w:sz w:val="22"/>
          <w:szCs w:val="22"/>
        </w:rPr>
      </w:pPr>
      <w:r>
        <w:rPr>
          <w:sz w:val="22"/>
        </w:rPr>
        <w:t xml:space="preserve">Laajennetaan esteettömyystoimia eikä jättäydytä pelkästään </w:t>
      </w:r>
      <w:proofErr w:type="spellStart"/>
      <w:r>
        <w:rPr>
          <w:sz w:val="22"/>
        </w:rPr>
        <w:t>AccesibleEU</w:t>
      </w:r>
      <w:proofErr w:type="spellEnd"/>
      <w:r>
        <w:rPr>
          <w:sz w:val="22"/>
        </w:rPr>
        <w:t>-keskuksen varaan.</w:t>
      </w:r>
    </w:p>
    <w:p w:rsidRPr="00850105" w:rsidR="00460F68" w:rsidP="0091345F" w:rsidRDefault="00460F68" w14:paraId="2C2D828A" w14:textId="77777777">
      <w:pPr>
        <w:pStyle w:val="NormalWeb"/>
        <w:numPr>
          <w:ilvl w:val="0"/>
          <w:numId w:val="12"/>
        </w:numPr>
        <w:spacing w:before="0" w:beforeAutospacing="0" w:after="0" w:afterAutospacing="0" w:line="276" w:lineRule="auto"/>
        <w:rPr>
          <w:sz w:val="22"/>
          <w:szCs w:val="22"/>
        </w:rPr>
      </w:pPr>
      <w:r>
        <w:rPr>
          <w:sz w:val="22"/>
        </w:rPr>
        <w:t>Suojellaan vammaisia naisia ja tyttöjä.</w:t>
      </w:r>
    </w:p>
    <w:p w:rsidRPr="00850105" w:rsidR="00460F68" w:rsidP="0091345F" w:rsidRDefault="00460F68" w14:paraId="68F5C172" w14:textId="77777777">
      <w:pPr>
        <w:pStyle w:val="NormalWeb"/>
        <w:numPr>
          <w:ilvl w:val="0"/>
          <w:numId w:val="12"/>
        </w:numPr>
        <w:spacing w:before="0" w:beforeAutospacing="0" w:after="0" w:afterAutospacing="0" w:line="276" w:lineRule="auto"/>
        <w:rPr>
          <w:sz w:val="22"/>
          <w:szCs w:val="22"/>
        </w:rPr>
      </w:pPr>
      <w:r>
        <w:rPr>
          <w:sz w:val="22"/>
        </w:rPr>
        <w:t>Pyritään ratkaisemaan vammaisten henkilöiden asuntokriisi.</w:t>
      </w:r>
    </w:p>
    <w:p w:rsidRPr="00850105" w:rsidR="00460F68" w:rsidP="0091345F" w:rsidRDefault="00460F68" w14:paraId="370B2009" w14:textId="77777777">
      <w:pPr>
        <w:pStyle w:val="NormalWeb"/>
        <w:numPr>
          <w:ilvl w:val="0"/>
          <w:numId w:val="12"/>
        </w:numPr>
        <w:spacing w:before="0" w:beforeAutospacing="0" w:after="0" w:afterAutospacing="0" w:line="276" w:lineRule="auto"/>
        <w:rPr>
          <w:sz w:val="22"/>
          <w:szCs w:val="22"/>
        </w:rPr>
      </w:pPr>
      <w:r>
        <w:rPr>
          <w:sz w:val="22"/>
        </w:rPr>
        <w:t>Perustetaan yhteinen mekanismi apuvälineteknologioiden sertifiointia varten.</w:t>
      </w:r>
    </w:p>
    <w:p w:rsidRPr="00850105" w:rsidR="00460F68" w:rsidP="0091345F" w:rsidRDefault="00460F68" w14:paraId="40D8C925" w14:textId="77777777">
      <w:pPr>
        <w:pStyle w:val="NormalWeb"/>
        <w:numPr>
          <w:ilvl w:val="0"/>
          <w:numId w:val="12"/>
        </w:numPr>
        <w:spacing w:before="0" w:beforeAutospacing="0" w:after="0" w:afterAutospacing="0" w:line="276" w:lineRule="auto"/>
        <w:rPr>
          <w:sz w:val="22"/>
          <w:szCs w:val="22"/>
        </w:rPr>
      </w:pPr>
      <w:r>
        <w:rPr>
          <w:sz w:val="22"/>
        </w:rPr>
        <w:t>Poistetaan esteet, joita vammaiset henkilöt kohtaavat matkustaessaan.</w:t>
      </w:r>
    </w:p>
    <w:p w:rsidRPr="00850105" w:rsidR="00460F68" w:rsidP="0091345F" w:rsidRDefault="00460F68" w14:paraId="57A95C0B" w14:textId="77777777">
      <w:pPr>
        <w:pStyle w:val="NormalWeb"/>
        <w:numPr>
          <w:ilvl w:val="0"/>
          <w:numId w:val="12"/>
        </w:numPr>
        <w:spacing w:before="0" w:beforeAutospacing="0" w:after="0" w:afterAutospacing="0" w:line="276" w:lineRule="auto"/>
        <w:rPr>
          <w:sz w:val="22"/>
          <w:szCs w:val="22"/>
        </w:rPr>
      </w:pPr>
      <w:r>
        <w:rPr>
          <w:sz w:val="22"/>
        </w:rPr>
        <w:t>Edistetään laitoshoidosta luopumista.</w:t>
      </w:r>
    </w:p>
    <w:p w:rsidRPr="00850105" w:rsidR="00460F68" w:rsidP="0091345F" w:rsidRDefault="00460F68" w14:paraId="173CF667" w14:textId="77777777">
      <w:pPr>
        <w:pStyle w:val="NormalWeb"/>
        <w:numPr>
          <w:ilvl w:val="0"/>
          <w:numId w:val="12"/>
        </w:numPr>
        <w:spacing w:before="0" w:beforeAutospacing="0" w:after="0" w:afterAutospacing="0" w:line="276" w:lineRule="auto"/>
        <w:rPr>
          <w:sz w:val="22"/>
          <w:szCs w:val="22"/>
        </w:rPr>
      </w:pPr>
      <w:r>
        <w:rPr>
          <w:sz w:val="22"/>
        </w:rPr>
        <w:t>Ehkäistään vammaisten henkilöiden syrjintää tekoäly-yhteyksissä.</w:t>
      </w:r>
    </w:p>
    <w:p w:rsidR="00460F68" w:rsidP="0091345F" w:rsidRDefault="00460F68" w14:paraId="18C5902F" w14:textId="77777777">
      <w:pPr>
        <w:pStyle w:val="NormalWeb"/>
        <w:numPr>
          <w:ilvl w:val="0"/>
          <w:numId w:val="12"/>
        </w:numPr>
        <w:spacing w:before="0" w:beforeAutospacing="0" w:after="0" w:afterAutospacing="0" w:line="276" w:lineRule="auto"/>
        <w:rPr>
          <w:sz w:val="22"/>
          <w:szCs w:val="22"/>
        </w:rPr>
      </w:pPr>
      <w:r>
        <w:rPr>
          <w:sz w:val="22"/>
        </w:rPr>
        <w:t>Huolehditaan EU:n ulkoisen toiminnan johdonmukaisuudesta.</w:t>
      </w:r>
    </w:p>
    <w:p w:rsidR="00460F68" w:rsidP="00460F68" w:rsidRDefault="00460F68" w14:paraId="6E39087A" w14:textId="77777777">
      <w:pPr>
        <w:pStyle w:val="NormalWeb"/>
        <w:spacing w:before="0" w:beforeAutospacing="0" w:after="0" w:afterAutospacing="0" w:line="276" w:lineRule="auto"/>
        <w:ind w:left="720"/>
        <w:rPr>
          <w:sz w:val="22"/>
          <w:szCs w:val="22"/>
        </w:rPr>
      </w:pPr>
    </w:p>
    <w:p w:rsidRPr="00850105" w:rsidR="00460F68" w:rsidP="00460F68" w:rsidRDefault="00460F68" w14:paraId="1D07335F" w14:textId="77777777">
      <w:pPr>
        <w:pStyle w:val="NormalWeb"/>
        <w:spacing w:before="0" w:beforeAutospacing="0" w:after="0" w:afterAutospacing="0" w:line="276" w:lineRule="auto"/>
        <w:ind w:left="720"/>
        <w:rPr>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02"/>
        <w:gridCol w:w="238"/>
        <w:gridCol w:w="4507"/>
      </w:tblGrid>
      <w:tr w:rsidRPr="00B4456F" w:rsidR="00460F68" w:rsidTr="00D33D43" w14:paraId="1AA51E53" w14:textId="77777777">
        <w:tc>
          <w:tcPr>
            <w:tcW w:w="1238" w:type="dxa"/>
          </w:tcPr>
          <w:p w:rsidRPr="00B4456F" w:rsidR="00460F68" w:rsidP="00D33D43" w:rsidRDefault="00460F68" w14:paraId="384A9183" w14:textId="77777777">
            <w:pPr>
              <w:spacing w:line="240" w:lineRule="auto"/>
              <w:rPr>
                <w:i/>
              </w:rPr>
            </w:pPr>
            <w:r>
              <w:rPr>
                <w:b/>
                <w:i/>
              </w:rPr>
              <w:t>Yhteydenotot</w:t>
            </w:r>
          </w:p>
        </w:tc>
        <w:tc>
          <w:tcPr>
            <w:tcW w:w="238" w:type="dxa"/>
          </w:tcPr>
          <w:p w:rsidR="00460F68" w:rsidP="00D33D43" w:rsidRDefault="00460F68" w14:paraId="1FBD2BCE" w14:textId="77777777">
            <w:pPr>
              <w:spacing w:line="240" w:lineRule="auto"/>
              <w:rPr>
                <w:i/>
              </w:rPr>
            </w:pPr>
          </w:p>
        </w:tc>
        <w:tc>
          <w:tcPr>
            <w:tcW w:w="4507" w:type="dxa"/>
          </w:tcPr>
          <w:p w:rsidRPr="00B4456F" w:rsidR="00460F68" w:rsidP="00D33D43" w:rsidRDefault="00460F68" w14:paraId="37462FD0" w14:textId="77777777">
            <w:pPr>
              <w:spacing w:line="240" w:lineRule="auto"/>
              <w:rPr>
                <w:i/>
              </w:rPr>
            </w:pPr>
            <w:r>
              <w:rPr>
                <w:i/>
              </w:rPr>
              <w:t xml:space="preserve">Valeria </w:t>
            </w:r>
            <w:proofErr w:type="spellStart"/>
            <w:r>
              <w:rPr>
                <w:i/>
              </w:rPr>
              <w:t>Atzori</w:t>
            </w:r>
            <w:proofErr w:type="spellEnd"/>
          </w:p>
        </w:tc>
      </w:tr>
      <w:tr w:rsidRPr="00B4456F" w:rsidR="00460F68" w:rsidTr="00D33D43" w14:paraId="41F121F0" w14:textId="77777777">
        <w:tc>
          <w:tcPr>
            <w:tcW w:w="1238" w:type="dxa"/>
          </w:tcPr>
          <w:p w:rsidRPr="00B4456F" w:rsidR="00460F68" w:rsidP="00D33D43" w:rsidRDefault="00460F68" w14:paraId="4B890EDF" w14:textId="77777777">
            <w:pPr>
              <w:spacing w:line="240" w:lineRule="auto"/>
              <w:rPr>
                <w:i/>
              </w:rPr>
            </w:pPr>
            <w:r>
              <w:rPr>
                <w:i/>
              </w:rPr>
              <w:t>P.</w:t>
            </w:r>
          </w:p>
        </w:tc>
        <w:tc>
          <w:tcPr>
            <w:tcW w:w="238" w:type="dxa"/>
          </w:tcPr>
          <w:p w:rsidRPr="00B4456F" w:rsidR="00460F68" w:rsidP="00D33D43" w:rsidRDefault="00460F68" w14:paraId="640C6E1B" w14:textId="77777777">
            <w:pPr>
              <w:spacing w:line="240" w:lineRule="auto"/>
              <w:rPr>
                <w:i/>
              </w:rPr>
            </w:pPr>
          </w:p>
        </w:tc>
        <w:tc>
          <w:tcPr>
            <w:tcW w:w="4507" w:type="dxa"/>
          </w:tcPr>
          <w:p w:rsidRPr="00C614F4" w:rsidR="00460F68" w:rsidP="00D33D43" w:rsidRDefault="00460F68" w14:paraId="4BE8EDA1" w14:textId="77777777">
            <w:pPr>
              <w:spacing w:line="240" w:lineRule="auto"/>
              <w:rPr>
                <w:i/>
              </w:rPr>
            </w:pPr>
            <w:r>
              <w:rPr>
                <w:i/>
              </w:rPr>
              <w:t>+ 32 25468774</w:t>
            </w:r>
          </w:p>
        </w:tc>
      </w:tr>
      <w:tr w:rsidRPr="00B4456F" w:rsidR="00460F68" w:rsidTr="00D33D43" w14:paraId="75EFEF3A" w14:textId="77777777">
        <w:tc>
          <w:tcPr>
            <w:tcW w:w="1238" w:type="dxa"/>
          </w:tcPr>
          <w:p w:rsidRPr="00B4456F" w:rsidR="00460F68" w:rsidP="00D33D43" w:rsidRDefault="00460F68" w14:paraId="5AAFD5F8" w14:textId="77777777">
            <w:pPr>
              <w:spacing w:line="240" w:lineRule="auto"/>
              <w:rPr>
                <w:i/>
              </w:rPr>
            </w:pPr>
            <w:r>
              <w:rPr>
                <w:i/>
              </w:rPr>
              <w:t>Sähköposti</w:t>
            </w:r>
          </w:p>
        </w:tc>
        <w:tc>
          <w:tcPr>
            <w:tcW w:w="238" w:type="dxa"/>
          </w:tcPr>
          <w:p w:rsidR="00460F68" w:rsidP="00D33D43" w:rsidRDefault="00460F68" w14:paraId="26B06682" w14:textId="77777777">
            <w:pPr>
              <w:spacing w:line="240" w:lineRule="auto"/>
            </w:pPr>
          </w:p>
        </w:tc>
        <w:tc>
          <w:tcPr>
            <w:tcW w:w="4507" w:type="dxa"/>
          </w:tcPr>
          <w:p w:rsidRPr="00B4456F" w:rsidR="00460F68" w:rsidP="00D33D43" w:rsidRDefault="00460F68" w14:paraId="585953C7" w14:textId="77777777">
            <w:pPr>
              <w:spacing w:line="240" w:lineRule="auto"/>
              <w:rPr>
                <w:i/>
                <w:iCs/>
              </w:rPr>
            </w:pPr>
            <w:hyperlink w:history="1" r:id="rId33">
              <w:r>
                <w:rPr>
                  <w:rStyle w:val="Hyperlink"/>
                  <w:i/>
                </w:rPr>
                <w:t>Valeria.Atzori@eesc.europa.eu</w:t>
              </w:r>
            </w:hyperlink>
          </w:p>
        </w:tc>
      </w:tr>
    </w:tbl>
    <w:p w:rsidR="00E11CA7" w:rsidP="004D7AC0" w:rsidRDefault="00E11CA7" w14:paraId="6C64EDA5" w14:textId="77777777">
      <w:pPr>
        <w:spacing w:after="160" w:line="259" w:lineRule="auto"/>
        <w:jc w:val="left"/>
        <w:rPr>
          <w:lang w:val="en-GB"/>
        </w:rPr>
      </w:pPr>
    </w:p>
    <w:p w:rsidR="00E11CA7" w:rsidRDefault="00E11CA7" w14:paraId="7E0538F3" w14:textId="77777777">
      <w:pPr>
        <w:spacing w:after="160" w:line="259" w:lineRule="auto"/>
        <w:jc w:val="left"/>
      </w:pPr>
      <w:r>
        <w:br w:type="page"/>
      </w:r>
    </w:p>
    <w:p w:rsidRPr="00A04AFA" w:rsidR="00460F68" w:rsidP="0091345F" w:rsidRDefault="00460F68" w14:paraId="78991646" w14:textId="77777777">
      <w:pPr>
        <w:widowControl w:val="0"/>
        <w:numPr>
          <w:ilvl w:val="0"/>
          <w:numId w:val="8"/>
        </w:numPr>
        <w:overflowPunct w:val="0"/>
        <w:autoSpaceDE w:val="0"/>
        <w:autoSpaceDN w:val="0"/>
        <w:adjustRightInd w:val="0"/>
        <w:ind w:left="567" w:hanging="567"/>
        <w:textAlignment w:val="baseline"/>
        <w:rPr>
          <w:rStyle w:val="Hyperlink"/>
          <w:b/>
        </w:rPr>
      </w:pPr>
      <w:r>
        <w:rPr>
          <w:b/>
          <w:i/>
          <w:sz w:val="28"/>
        </w:rPr>
        <w:lastRenderedPageBreak/>
        <w:t xml:space="preserve">– </w:t>
      </w:r>
      <w:hyperlink w:history="1" r:id="rId34">
        <w:r>
          <w:rPr>
            <w:rStyle w:val="Hyperlink"/>
            <w:b/>
            <w:i/>
            <w:sz w:val="28"/>
          </w:rPr>
          <w:t>Ostovoiman heikkeneminen sekä eriarvoisuus, syrjäytyminen ja marginalisoituminen</w:t>
        </w:r>
      </w:hyperlink>
    </w:p>
    <w:p w:rsidRPr="00175210" w:rsidR="00460F68" w:rsidP="00460F68" w:rsidRDefault="00460F68" w14:paraId="23F86ED3" w14:textId="77777777">
      <w:pPr>
        <w:tabs>
          <w:tab w:val="center" w:pos="284"/>
        </w:tabs>
        <w:ind w:left="567" w:hanging="567"/>
        <w:rPr>
          <w:sz w:val="16"/>
          <w:szCs w:val="16"/>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37"/>
      </w:tblGrid>
      <w:tr w:rsidRPr="00CA1E86" w:rsidR="00460F68" w:rsidTr="00D33D43" w14:paraId="7BA7CF15" w14:textId="77777777">
        <w:tc>
          <w:tcPr>
            <w:tcW w:w="1701" w:type="dxa"/>
          </w:tcPr>
          <w:p w:rsidR="00460F68" w:rsidP="00D33D43" w:rsidRDefault="00460F68" w14:paraId="0CC0492E" w14:textId="77777777">
            <w:pPr>
              <w:tabs>
                <w:tab w:val="center" w:pos="284"/>
              </w:tabs>
              <w:ind w:left="567" w:hanging="567"/>
              <w:rPr>
                <w:b/>
              </w:rPr>
            </w:pPr>
            <w:r>
              <w:rPr>
                <w:b/>
              </w:rPr>
              <w:t>Esittelijä</w:t>
            </w:r>
          </w:p>
          <w:p w:rsidRPr="00A6689B" w:rsidR="00460F68" w:rsidP="00D33D43" w:rsidRDefault="00460F68" w14:paraId="47C429D9" w14:textId="77777777">
            <w:pPr>
              <w:tabs>
                <w:tab w:val="center" w:pos="284"/>
              </w:tabs>
              <w:ind w:left="567" w:hanging="567"/>
              <w:rPr>
                <w:b/>
                <w:lang w:val="en-US"/>
              </w:rPr>
            </w:pPr>
          </w:p>
        </w:tc>
        <w:tc>
          <w:tcPr>
            <w:tcW w:w="6237" w:type="dxa"/>
          </w:tcPr>
          <w:p w:rsidRPr="00175210" w:rsidR="00460F68" w:rsidP="00D33D43" w:rsidRDefault="00460F68" w14:paraId="4B865641" w14:textId="77777777">
            <w:pPr>
              <w:ind w:left="567" w:hanging="567"/>
            </w:pPr>
            <w:proofErr w:type="spellStart"/>
            <w:r>
              <w:t>María</w:t>
            </w:r>
            <w:proofErr w:type="spellEnd"/>
            <w:r>
              <w:t xml:space="preserve"> del Carmen BARRERA CHAMORRO (työntekijät – ES)</w:t>
            </w:r>
          </w:p>
        </w:tc>
      </w:tr>
      <w:tr w:rsidRPr="00CA1E86" w:rsidR="00460F68" w:rsidTr="00D33D43" w14:paraId="257F4594" w14:textId="77777777">
        <w:tc>
          <w:tcPr>
            <w:tcW w:w="1701" w:type="dxa"/>
            <w:vMerge w:val="restart"/>
          </w:tcPr>
          <w:p w:rsidRPr="00A6689B" w:rsidR="00460F68" w:rsidP="00D33D43" w:rsidRDefault="00460F68" w14:paraId="6FC03FCD" w14:textId="77777777">
            <w:pPr>
              <w:tabs>
                <w:tab w:val="center" w:pos="284"/>
              </w:tabs>
              <w:ind w:left="567" w:hanging="567"/>
              <w:rPr>
                <w:b/>
              </w:rPr>
            </w:pPr>
            <w:r>
              <w:rPr>
                <w:b/>
              </w:rPr>
              <w:t>Viiteasiakirjat</w:t>
            </w:r>
          </w:p>
        </w:tc>
        <w:tc>
          <w:tcPr>
            <w:tcW w:w="6237" w:type="dxa"/>
          </w:tcPr>
          <w:p w:rsidRPr="00A04AFA" w:rsidR="00460F68" w:rsidP="00D33D43" w:rsidRDefault="00460F68" w14:paraId="3D5CA052" w14:textId="77777777">
            <w:pPr>
              <w:tabs>
                <w:tab w:val="center" w:pos="284"/>
              </w:tabs>
              <w:ind w:left="567" w:hanging="567"/>
            </w:pPr>
            <w:r>
              <w:t>EESC-2025-00015-00-00-AC</w:t>
            </w:r>
          </w:p>
        </w:tc>
      </w:tr>
      <w:tr w:rsidRPr="00CA1E86" w:rsidR="00460F68" w:rsidTr="00D33D43" w14:paraId="1DF27B05" w14:textId="77777777">
        <w:tc>
          <w:tcPr>
            <w:tcW w:w="1701" w:type="dxa"/>
            <w:vMerge/>
          </w:tcPr>
          <w:p w:rsidRPr="00A04AFA" w:rsidR="00460F68" w:rsidP="00D33D43" w:rsidRDefault="00460F68" w14:paraId="1E9D05CD" w14:textId="77777777">
            <w:pPr>
              <w:tabs>
                <w:tab w:val="center" w:pos="284"/>
              </w:tabs>
              <w:ind w:left="266" w:hanging="266"/>
              <w:rPr>
                <w:b/>
                <w:lang w:val="pt-PT"/>
              </w:rPr>
            </w:pPr>
          </w:p>
        </w:tc>
        <w:tc>
          <w:tcPr>
            <w:tcW w:w="6237" w:type="dxa"/>
          </w:tcPr>
          <w:p w:rsidRPr="00724561" w:rsidR="00460F68" w:rsidP="00D33D43" w:rsidRDefault="00460F68" w14:paraId="08F44472" w14:textId="77777777">
            <w:pPr>
              <w:tabs>
                <w:tab w:val="center" w:pos="284"/>
              </w:tabs>
              <w:ind w:left="266" w:hanging="266"/>
              <w:rPr>
                <w:sz w:val="16"/>
                <w:szCs w:val="16"/>
                <w:lang w:val="pt-PT"/>
              </w:rPr>
            </w:pPr>
          </w:p>
        </w:tc>
      </w:tr>
    </w:tbl>
    <w:p w:rsidR="00460F68" w:rsidP="00460F68" w:rsidRDefault="00460F68" w14:paraId="7A662BBB" w14:textId="77777777">
      <w:pPr>
        <w:keepNext/>
        <w:keepLines/>
        <w:tabs>
          <w:tab w:val="center" w:pos="284"/>
        </w:tabs>
        <w:ind w:left="266" w:hanging="266"/>
        <w:rPr>
          <w:b/>
        </w:rPr>
      </w:pPr>
      <w:r>
        <w:rPr>
          <w:b/>
        </w:rPr>
        <w:t>Keskeiset kohdat</w:t>
      </w:r>
    </w:p>
    <w:p w:rsidRPr="009F1392" w:rsidR="00460F68" w:rsidP="00460F68" w:rsidRDefault="00460F68" w14:paraId="3CA898A0" w14:textId="77777777"/>
    <w:p w:rsidRPr="009F1392" w:rsidR="00460F68" w:rsidP="00460F68" w:rsidRDefault="00460F68" w14:paraId="2AF3F6FC" w14:textId="77777777">
      <w:pPr>
        <w:pStyle w:val="NormalWeb"/>
        <w:spacing w:before="0" w:beforeAutospacing="0" w:after="0" w:afterAutospacing="0"/>
        <w:rPr>
          <w:sz w:val="22"/>
          <w:szCs w:val="22"/>
        </w:rPr>
      </w:pPr>
      <w:r w:rsidRPr="009F1392">
        <w:rPr>
          <w:rStyle w:val="Strong"/>
          <w:sz w:val="22"/>
          <w:szCs w:val="22"/>
        </w:rPr>
        <w:t>ETSK</w:t>
      </w:r>
    </w:p>
    <w:p w:rsidRPr="009F1392" w:rsidR="00460F68" w:rsidP="0091345F" w:rsidRDefault="00460F68" w14:paraId="6C56F89C" w14:textId="77777777">
      <w:pPr>
        <w:pStyle w:val="NormalWeb"/>
        <w:numPr>
          <w:ilvl w:val="0"/>
          <w:numId w:val="13"/>
        </w:numPr>
        <w:jc w:val="both"/>
        <w:rPr>
          <w:sz w:val="22"/>
          <w:szCs w:val="22"/>
        </w:rPr>
      </w:pPr>
      <w:r w:rsidRPr="009F1392">
        <w:rPr>
          <w:sz w:val="22"/>
          <w:szCs w:val="22"/>
        </w:rPr>
        <w:t>katsoo, että olennaisia keinoja elinkustannuskriisin lieventämiseksi ja tulevilta häiriöiltä suojautumiseksi ovat lyhyen ja pitkän aikavälin teollisuuspolitiikan ja kilpailukyvyn parantamispyrkimysten ohella investoiminen ihmisiin ja talouteen, oikeudenmukainen verotus, laadukkaat ja kohtuuhintaiset julkiset palvelut ja kohdennettu tuki heikoimmassa asemassa oleville ihmisille.</w:t>
      </w:r>
    </w:p>
    <w:p w:rsidRPr="009F1392" w:rsidR="00460F68" w:rsidP="0091345F" w:rsidRDefault="00460F68" w14:paraId="5F8C7B6C" w14:textId="77777777">
      <w:pPr>
        <w:pStyle w:val="NormalWeb"/>
        <w:numPr>
          <w:ilvl w:val="0"/>
          <w:numId w:val="13"/>
        </w:numPr>
        <w:jc w:val="both"/>
        <w:rPr>
          <w:sz w:val="22"/>
          <w:szCs w:val="22"/>
        </w:rPr>
      </w:pPr>
      <w:r w:rsidRPr="009F1392">
        <w:rPr>
          <w:sz w:val="22"/>
          <w:szCs w:val="22"/>
        </w:rPr>
        <w:t>suosittelee työmarkkinaosapuolten vuoropuhelun, työehtosopimusneuvottelujen ja kansalaisvuoropuhelun tehokkaampaa käyttöä, jotta voidaan tuottavuuden kehityksen ohella vastata työmarkkinoiden haasteisiin ja parantaa työntekijöiden palkkoja ja sosiaalista suojelua.</w:t>
      </w:r>
    </w:p>
    <w:p w:rsidRPr="009F1392" w:rsidR="00460F68" w:rsidP="0091345F" w:rsidRDefault="00460F68" w14:paraId="2B67B6BA" w14:textId="77777777">
      <w:pPr>
        <w:pStyle w:val="NormalWeb"/>
        <w:numPr>
          <w:ilvl w:val="0"/>
          <w:numId w:val="13"/>
        </w:numPr>
        <w:jc w:val="both"/>
        <w:rPr>
          <w:sz w:val="22"/>
          <w:szCs w:val="22"/>
        </w:rPr>
      </w:pPr>
      <w:r w:rsidRPr="009F1392">
        <w:rPr>
          <w:sz w:val="22"/>
          <w:szCs w:val="22"/>
        </w:rPr>
        <w:t>tunnustaa palkkojen ja vähimmäispalkkojen korottamisen merkityksen ja korostaa riittävistä vähimmäispalkoista annetun direktiivin myönteistä vaikutusta palkankorotuksiin.</w:t>
      </w:r>
    </w:p>
    <w:p w:rsidRPr="009F1392" w:rsidR="00460F68" w:rsidP="0091345F" w:rsidRDefault="00460F68" w14:paraId="44D9C4E7" w14:textId="77777777">
      <w:pPr>
        <w:pStyle w:val="NormalWeb"/>
        <w:numPr>
          <w:ilvl w:val="0"/>
          <w:numId w:val="13"/>
        </w:numPr>
        <w:jc w:val="both"/>
        <w:rPr>
          <w:sz w:val="22"/>
          <w:szCs w:val="22"/>
        </w:rPr>
      </w:pPr>
      <w:r w:rsidRPr="009F1392">
        <w:rPr>
          <w:sz w:val="22"/>
          <w:szCs w:val="22"/>
        </w:rPr>
        <w:t>on sitä mieltä, että EU:n kykyä ennakoida tulevia kriisejä ja vastata niihin on vahvistettava muun muassa ottamalla käyttöön pysyvä rahoitusväline, jonka tavoitteena olisi jäsenvaltioiden menojen vakauttaminen mahdollisten ulkoisten talouden häiriöiden tapauksessa. Komitea kehottaa lisäksi soveltamaan tarkoituksenmukaista hinnoittelupolitiikkaa ja asettamaan esimerkiksi ylärajoja energian hinnoille. Jäsenvaltioiden olisi ryhdyttävä toteuttamaan kohtuuhintaista asumista edistäviä toimintalinjauksia, ja olisi otettava käyttöön eurooppalainen strategia, jolla torjutaan asunnottomuutta.</w:t>
      </w:r>
    </w:p>
    <w:p w:rsidRPr="009F1392" w:rsidR="00460F68" w:rsidP="0091345F" w:rsidRDefault="00460F68" w14:paraId="7163A8C2" w14:textId="77777777">
      <w:pPr>
        <w:pStyle w:val="NormalWeb"/>
        <w:numPr>
          <w:ilvl w:val="0"/>
          <w:numId w:val="13"/>
        </w:numPr>
        <w:jc w:val="both"/>
        <w:rPr>
          <w:sz w:val="22"/>
          <w:szCs w:val="22"/>
        </w:rPr>
      </w:pPr>
      <w:r w:rsidRPr="009F1392">
        <w:rPr>
          <w:sz w:val="22"/>
          <w:szCs w:val="22"/>
        </w:rPr>
        <w:t>pitää koulutuksen merkitystä erittäin suurena syrjäytymisen, marginalisoitumisen ja eriarvoisuuden torjunnassa ja kehottaakin EU:ta ja jäsenvaltioita investoimaan koulutukseen enemmän.</w:t>
      </w:r>
    </w:p>
    <w:p w:rsidRPr="009F1392" w:rsidR="00460F68" w:rsidP="0091345F" w:rsidRDefault="00460F68" w14:paraId="174E0853" w14:textId="77777777">
      <w:pPr>
        <w:pStyle w:val="NormalWeb"/>
        <w:numPr>
          <w:ilvl w:val="0"/>
          <w:numId w:val="13"/>
        </w:numPr>
        <w:jc w:val="both"/>
        <w:rPr>
          <w:sz w:val="22"/>
          <w:szCs w:val="22"/>
        </w:rPr>
      </w:pPr>
      <w:r w:rsidRPr="009F1392">
        <w:rPr>
          <w:sz w:val="22"/>
          <w:szCs w:val="22"/>
        </w:rPr>
        <w:t>katsoo, että peruspalveluja ja sosiaalipalveluja, myös yhteisötalouden toimijoiden tarjoamia palveluja, olisi kehitettävä niin, että ne olisivat paremmin saavutettavissa.</w:t>
      </w:r>
    </w:p>
    <w:p w:rsidRPr="009F1392" w:rsidR="00460F68" w:rsidP="0091345F" w:rsidRDefault="00460F68" w14:paraId="27A216B8" w14:textId="77777777">
      <w:pPr>
        <w:pStyle w:val="NormalWeb"/>
        <w:numPr>
          <w:ilvl w:val="0"/>
          <w:numId w:val="13"/>
        </w:numPr>
        <w:jc w:val="both"/>
        <w:rPr>
          <w:sz w:val="22"/>
          <w:szCs w:val="22"/>
        </w:rPr>
      </w:pPr>
      <w:r w:rsidRPr="009F1392">
        <w:rPr>
          <w:sz w:val="22"/>
          <w:szCs w:val="22"/>
        </w:rPr>
        <w:t>pitää tärkeänä, että EU-ohjausjaksossa ja siihen liittyvässä sosiaalisen lähentymisen kehyksessä tehdään enemmän jakaumavaikutusten arviointeja, jotta minkään alan politiikkatoimilla ei pahennettaisi köyhyyttä tai eriarvoisuutta.</w:t>
      </w:r>
    </w:p>
    <w:p w:rsidRPr="009F1392" w:rsidR="00460F68" w:rsidP="0091345F" w:rsidRDefault="00460F68" w14:paraId="104E5E06" w14:textId="77777777">
      <w:pPr>
        <w:pStyle w:val="NormalWeb"/>
        <w:numPr>
          <w:ilvl w:val="0"/>
          <w:numId w:val="13"/>
        </w:numPr>
        <w:jc w:val="both"/>
        <w:rPr>
          <w:sz w:val="22"/>
          <w:szCs w:val="22"/>
        </w:rPr>
      </w:pPr>
      <w:r w:rsidRPr="009F1392">
        <w:rPr>
          <w:sz w:val="22"/>
          <w:szCs w:val="22"/>
        </w:rPr>
        <w:t>kehottaa EU:ta kannustamaan jäsenvaltioita osoittamaan sosiaalisen suojelun järjestelmiin, koulutukseen, terveydenhuoltoon ja yhteisöperustaiseen hoitoon riittävästi julkisia varoja.</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02"/>
        <w:gridCol w:w="4493"/>
      </w:tblGrid>
      <w:tr w:rsidRPr="009F1392" w:rsidR="00460F68" w:rsidTr="00D33D43" w14:paraId="5FEA16C0" w14:textId="77777777">
        <w:tc>
          <w:tcPr>
            <w:tcW w:w="1210" w:type="dxa"/>
          </w:tcPr>
          <w:p w:rsidRPr="009F1392" w:rsidR="00460F68" w:rsidP="00D33D43" w:rsidRDefault="00460F68" w14:paraId="2979C31B" w14:textId="77777777">
            <w:pPr>
              <w:spacing w:line="240" w:lineRule="auto"/>
              <w:rPr>
                <w:i/>
              </w:rPr>
            </w:pPr>
            <w:r w:rsidRPr="009F1392">
              <w:rPr>
                <w:b/>
                <w:i/>
              </w:rPr>
              <w:t>Yhteydenotot</w:t>
            </w:r>
          </w:p>
        </w:tc>
        <w:tc>
          <w:tcPr>
            <w:tcW w:w="4493" w:type="dxa"/>
          </w:tcPr>
          <w:p w:rsidRPr="009F1392" w:rsidR="00460F68" w:rsidP="00D33D43" w:rsidRDefault="00460F68" w14:paraId="3F3E9BC1" w14:textId="77777777">
            <w:pPr>
              <w:spacing w:line="240" w:lineRule="auto"/>
              <w:ind w:hanging="12"/>
              <w:rPr>
                <w:i/>
              </w:rPr>
            </w:pPr>
            <w:r w:rsidRPr="009F1392">
              <w:rPr>
                <w:i/>
              </w:rPr>
              <w:t xml:space="preserve">Valeria </w:t>
            </w:r>
            <w:proofErr w:type="spellStart"/>
            <w:r w:rsidRPr="009F1392">
              <w:rPr>
                <w:i/>
              </w:rPr>
              <w:t>Atzori</w:t>
            </w:r>
            <w:proofErr w:type="spellEnd"/>
          </w:p>
        </w:tc>
      </w:tr>
      <w:tr w:rsidRPr="009F1392" w:rsidR="00460F68" w:rsidTr="00D33D43" w14:paraId="1A61C93C" w14:textId="77777777">
        <w:tc>
          <w:tcPr>
            <w:tcW w:w="1210" w:type="dxa"/>
          </w:tcPr>
          <w:p w:rsidRPr="009F1392" w:rsidR="00460F68" w:rsidP="00D33D43" w:rsidRDefault="00460F68" w14:paraId="3277A336" w14:textId="77777777">
            <w:pPr>
              <w:spacing w:line="240" w:lineRule="auto"/>
              <w:rPr>
                <w:i/>
              </w:rPr>
            </w:pPr>
            <w:r w:rsidRPr="009F1392">
              <w:rPr>
                <w:i/>
              </w:rPr>
              <w:t>P.</w:t>
            </w:r>
          </w:p>
        </w:tc>
        <w:tc>
          <w:tcPr>
            <w:tcW w:w="4493" w:type="dxa"/>
          </w:tcPr>
          <w:p w:rsidRPr="009F1392" w:rsidR="00460F68" w:rsidP="00D33D43" w:rsidRDefault="00460F68" w14:paraId="32BD11D4" w14:textId="77777777">
            <w:pPr>
              <w:spacing w:line="240" w:lineRule="auto"/>
              <w:rPr>
                <w:i/>
              </w:rPr>
            </w:pPr>
            <w:r w:rsidRPr="009F1392">
              <w:rPr>
                <w:i/>
              </w:rPr>
              <w:t>+32 25468774</w:t>
            </w:r>
          </w:p>
        </w:tc>
      </w:tr>
      <w:tr w:rsidRPr="009F1392" w:rsidR="00460F68" w:rsidTr="00D33D43" w14:paraId="176B57C9" w14:textId="77777777">
        <w:tc>
          <w:tcPr>
            <w:tcW w:w="1210" w:type="dxa"/>
          </w:tcPr>
          <w:p w:rsidRPr="009F1392" w:rsidR="00460F68" w:rsidP="00D33D43" w:rsidRDefault="00460F68" w14:paraId="3471C6C2" w14:textId="77777777">
            <w:pPr>
              <w:spacing w:line="240" w:lineRule="auto"/>
              <w:rPr>
                <w:i/>
              </w:rPr>
            </w:pPr>
            <w:r w:rsidRPr="009F1392">
              <w:rPr>
                <w:i/>
              </w:rPr>
              <w:t>Sähköposti</w:t>
            </w:r>
          </w:p>
        </w:tc>
        <w:tc>
          <w:tcPr>
            <w:tcW w:w="4493" w:type="dxa"/>
          </w:tcPr>
          <w:p w:rsidRPr="009F1392" w:rsidR="00460F68" w:rsidP="00D33D43" w:rsidRDefault="00460F68" w14:paraId="0BE2D0A7" w14:textId="77777777">
            <w:pPr>
              <w:spacing w:line="240" w:lineRule="auto"/>
              <w:rPr>
                <w:i/>
              </w:rPr>
            </w:pPr>
            <w:hyperlink w:history="1" r:id="rId35">
              <w:r w:rsidRPr="009F1392">
                <w:rPr>
                  <w:rStyle w:val="Hyperlink"/>
                  <w:i/>
                </w:rPr>
                <w:t>Valeria.Atzori@eesc.europa.eu</w:t>
              </w:r>
            </w:hyperlink>
          </w:p>
        </w:tc>
      </w:tr>
    </w:tbl>
    <w:p w:rsidR="00E11CA7" w:rsidRDefault="00E11CA7" w14:paraId="0E2F1265" w14:textId="2EA40197">
      <w:pPr>
        <w:spacing w:after="160" w:line="259" w:lineRule="auto"/>
        <w:jc w:val="left"/>
      </w:pPr>
      <w:r>
        <w:br w:type="page"/>
      </w:r>
    </w:p>
    <w:p w:rsidRPr="00B11891" w:rsidR="00460F68" w:rsidP="0091345F" w:rsidRDefault="00460F68" w14:paraId="45A45B28" w14:textId="77777777">
      <w:pPr>
        <w:widowControl w:val="0"/>
        <w:numPr>
          <w:ilvl w:val="0"/>
          <w:numId w:val="15"/>
        </w:numPr>
        <w:overflowPunct w:val="0"/>
        <w:autoSpaceDE w:val="0"/>
        <w:autoSpaceDN w:val="0"/>
        <w:adjustRightInd w:val="0"/>
        <w:ind w:hanging="567"/>
        <w:textAlignment w:val="baseline"/>
        <w:rPr>
          <w:b/>
        </w:rPr>
      </w:pPr>
      <w:hyperlink w:history="1" r:id="rId36">
        <w:r>
          <w:rPr>
            <w:rStyle w:val="Hyperlink"/>
            <w:b/>
            <w:i/>
            <w:sz w:val="28"/>
          </w:rPr>
          <w:t>Tuen mahdollistaminen työntekijöille, joita uhkaa välitön työpaikan menettäminen</w:t>
        </w:r>
      </w:hyperlink>
    </w:p>
    <w:p w:rsidRPr="00B4456F" w:rsidR="00460F68" w:rsidP="00460F68" w:rsidRDefault="00460F68" w14:paraId="4D49E7BF" w14:textId="77777777">
      <w:pPr>
        <w:tabs>
          <w:tab w:val="center" w:pos="284"/>
        </w:tabs>
        <w:ind w:left="266" w:hanging="266"/>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6663"/>
      </w:tblGrid>
      <w:tr w:rsidRPr="00B4456F" w:rsidR="00460F68" w:rsidTr="00D33D43" w14:paraId="4D2B8978" w14:textId="77777777">
        <w:tc>
          <w:tcPr>
            <w:tcW w:w="2268" w:type="dxa"/>
          </w:tcPr>
          <w:p w:rsidRPr="00B4456F" w:rsidR="00460F68" w:rsidP="00D33D43" w:rsidRDefault="00460F68" w14:paraId="274C588A" w14:textId="77777777">
            <w:pPr>
              <w:rPr>
                <w:b/>
              </w:rPr>
            </w:pPr>
            <w:r>
              <w:rPr>
                <w:b/>
              </w:rPr>
              <w:t>Yleisesittelijä</w:t>
            </w:r>
          </w:p>
        </w:tc>
        <w:tc>
          <w:tcPr>
            <w:tcW w:w="6663" w:type="dxa"/>
          </w:tcPr>
          <w:p w:rsidRPr="00B4456F" w:rsidR="00460F68" w:rsidP="00D33D43" w:rsidRDefault="00460F68" w14:paraId="36ED6AEB" w14:textId="77777777">
            <w:pPr>
              <w:tabs>
                <w:tab w:val="center" w:pos="284"/>
              </w:tabs>
              <w:ind w:left="266" w:right="-529" w:hanging="266"/>
            </w:pPr>
            <w:r>
              <w:t xml:space="preserve">Tatjana </w:t>
            </w:r>
            <w:proofErr w:type="spellStart"/>
            <w:r>
              <w:t>Babrauskienė</w:t>
            </w:r>
            <w:proofErr w:type="spellEnd"/>
            <w:r>
              <w:t xml:space="preserve"> (työntekijät – LT)</w:t>
            </w:r>
          </w:p>
        </w:tc>
      </w:tr>
      <w:tr w:rsidRPr="00B4456F" w:rsidR="00460F68" w:rsidTr="00D33D43" w14:paraId="13CA914C" w14:textId="77777777">
        <w:tc>
          <w:tcPr>
            <w:tcW w:w="2268" w:type="dxa"/>
          </w:tcPr>
          <w:p w:rsidRPr="00B4456F" w:rsidR="00460F68" w:rsidP="00D33D43" w:rsidRDefault="00460F68" w14:paraId="1A45A11B" w14:textId="77777777">
            <w:pPr>
              <w:tabs>
                <w:tab w:val="center" w:pos="284"/>
              </w:tabs>
              <w:ind w:left="266" w:hanging="266"/>
              <w:rPr>
                <w:b/>
              </w:rPr>
            </w:pPr>
          </w:p>
        </w:tc>
        <w:tc>
          <w:tcPr>
            <w:tcW w:w="6663" w:type="dxa"/>
          </w:tcPr>
          <w:p w:rsidRPr="00B4456F" w:rsidR="00460F68" w:rsidP="00D33D43" w:rsidRDefault="00460F68" w14:paraId="7C423A7C" w14:textId="77777777">
            <w:pPr>
              <w:tabs>
                <w:tab w:val="center" w:pos="284"/>
              </w:tabs>
              <w:ind w:left="266" w:hanging="266"/>
            </w:pPr>
          </w:p>
        </w:tc>
      </w:tr>
      <w:tr w:rsidRPr="00B4456F" w:rsidR="00460F68" w:rsidTr="00D33D43" w14:paraId="7BC18838" w14:textId="77777777">
        <w:tc>
          <w:tcPr>
            <w:tcW w:w="2268" w:type="dxa"/>
          </w:tcPr>
          <w:p w:rsidRPr="00B4456F" w:rsidR="00460F68" w:rsidP="00D33D43" w:rsidRDefault="00460F68" w14:paraId="5D34D9F6" w14:textId="77777777">
            <w:pPr>
              <w:tabs>
                <w:tab w:val="center" w:pos="284"/>
              </w:tabs>
              <w:ind w:left="266" w:hanging="266"/>
              <w:rPr>
                <w:b/>
              </w:rPr>
            </w:pPr>
            <w:r>
              <w:rPr>
                <w:b/>
              </w:rPr>
              <w:t xml:space="preserve">Viite </w:t>
            </w:r>
          </w:p>
        </w:tc>
        <w:tc>
          <w:tcPr>
            <w:tcW w:w="6663" w:type="dxa"/>
          </w:tcPr>
          <w:p w:rsidRPr="00B4456F" w:rsidR="00460F68" w:rsidP="00D33D43" w:rsidRDefault="00460F68" w14:paraId="4F9AABE6" w14:textId="77777777">
            <w:pPr>
              <w:tabs>
                <w:tab w:val="center" w:pos="284"/>
              </w:tabs>
              <w:ind w:left="266" w:hanging="266"/>
            </w:pPr>
            <w:r>
              <w:t>EESC-2025-01654-00-00-AC</w:t>
            </w:r>
          </w:p>
        </w:tc>
      </w:tr>
    </w:tbl>
    <w:p w:rsidRPr="00B4456F" w:rsidR="00460F68" w:rsidP="00460F68" w:rsidRDefault="00460F68" w14:paraId="4A93BB3D" w14:textId="77777777">
      <w:pPr>
        <w:tabs>
          <w:tab w:val="center" w:pos="284"/>
        </w:tabs>
        <w:ind w:left="266" w:hanging="266"/>
      </w:pPr>
    </w:p>
    <w:p w:rsidRPr="00B4456F" w:rsidR="00460F68" w:rsidP="00460F68" w:rsidRDefault="00460F68" w14:paraId="2082E668" w14:textId="77777777">
      <w:pPr>
        <w:keepNext/>
        <w:keepLines/>
        <w:tabs>
          <w:tab w:val="center" w:pos="284"/>
        </w:tabs>
        <w:ind w:left="266" w:hanging="266"/>
        <w:rPr>
          <w:b/>
        </w:rPr>
      </w:pPr>
      <w:r>
        <w:rPr>
          <w:b/>
        </w:rPr>
        <w:t>Keskeiset kohdat</w:t>
      </w:r>
    </w:p>
    <w:p w:rsidRPr="00AB0753" w:rsidR="00460F68" w:rsidP="00460F68" w:rsidRDefault="00460F68" w14:paraId="58CDF60D" w14:textId="77777777">
      <w:pPr>
        <w:pStyle w:val="NormalWeb"/>
        <w:spacing w:line="288" w:lineRule="auto"/>
        <w:rPr>
          <w:sz w:val="22"/>
          <w:szCs w:val="22"/>
        </w:rPr>
      </w:pPr>
      <w:r>
        <w:rPr>
          <w:rStyle w:val="Strong"/>
          <w:sz w:val="22"/>
        </w:rPr>
        <w:t>ETSK</w:t>
      </w:r>
      <w:r>
        <w:rPr>
          <w:sz w:val="22"/>
        </w:rPr>
        <w:t xml:space="preserve"> </w:t>
      </w:r>
    </w:p>
    <w:p w:rsidR="00460F68" w:rsidP="0091345F" w:rsidRDefault="00460F68" w14:paraId="70653B7E" w14:textId="77777777">
      <w:pPr>
        <w:pStyle w:val="NormalWeb"/>
        <w:numPr>
          <w:ilvl w:val="0"/>
          <w:numId w:val="12"/>
        </w:numPr>
        <w:spacing w:line="288" w:lineRule="auto"/>
        <w:jc w:val="both"/>
        <w:rPr>
          <w:sz w:val="22"/>
          <w:szCs w:val="22"/>
        </w:rPr>
      </w:pPr>
      <w:r>
        <w:rPr>
          <w:sz w:val="22"/>
        </w:rPr>
        <w:t>suhtautuu myönteisesti asetukseen (EU) 2021/691 ehdotettuun muutokseen, jonka tarkoituksena on parantaa tukea työntekijöille, joita uhkaa välitön työpaikan menettäminen rakenneuudistusten vuoksi, ja parantaa Euroopan globalisaatiorahaston (EGR) tehokkuutta.</w:t>
      </w:r>
    </w:p>
    <w:p w:rsidRPr="00AB0753" w:rsidR="00460F68" w:rsidP="0091345F" w:rsidRDefault="00460F68" w14:paraId="76A84AC1" w14:textId="77777777">
      <w:pPr>
        <w:pStyle w:val="NormalWeb"/>
        <w:numPr>
          <w:ilvl w:val="0"/>
          <w:numId w:val="12"/>
        </w:numPr>
        <w:spacing w:line="288" w:lineRule="auto"/>
        <w:jc w:val="both"/>
        <w:rPr>
          <w:sz w:val="22"/>
          <w:szCs w:val="22"/>
        </w:rPr>
      </w:pPr>
      <w:r>
        <w:rPr>
          <w:sz w:val="22"/>
        </w:rPr>
        <w:t>korostaa tarvetta tarjota oikea-aikaista ja räätälöityä tukea, mukaan lukien täydennyskoulutus, uudelleentyöllistäminen, tulotuki ja mielenterveyspalvelut. Erityistä huomiota olisi kiinnitettävä digitaalisiin ja vihreisiin taitoihin.</w:t>
      </w:r>
    </w:p>
    <w:p w:rsidR="00460F68" w:rsidP="0091345F" w:rsidRDefault="00460F68" w14:paraId="3148C33A" w14:textId="77777777">
      <w:pPr>
        <w:pStyle w:val="NormalWeb"/>
        <w:numPr>
          <w:ilvl w:val="0"/>
          <w:numId w:val="12"/>
        </w:numPr>
        <w:spacing w:line="288" w:lineRule="auto"/>
        <w:jc w:val="both"/>
        <w:rPr>
          <w:sz w:val="22"/>
          <w:szCs w:val="22"/>
        </w:rPr>
      </w:pPr>
      <w:r>
        <w:rPr>
          <w:sz w:val="22"/>
        </w:rPr>
        <w:t>kehottaa jatkamaan työntekijöiden tukikelpoisuutta työsuhteen päättymisen jälkeen, kannattaa jatkohakemusten mahdollisuutta sekä haavoittuvassa asemassa olevien tai muuten soveltamisalan ulkopuolelle jätettyjen ryhmien, kuten pk-yritysten ja aliurakoitsijoiden työntekijöiden sekä ikääntyneiden, vammaisten ja matalan osaamistason työntekijöiden, mukaan ottamista ja yhteisötalouden toimijoiden osallistamista.</w:t>
      </w:r>
    </w:p>
    <w:p w:rsidRPr="00A52E07" w:rsidR="00460F68" w:rsidP="0091345F" w:rsidRDefault="00460F68" w14:paraId="4F765E50" w14:textId="77777777">
      <w:pPr>
        <w:pStyle w:val="NormalWeb"/>
        <w:numPr>
          <w:ilvl w:val="0"/>
          <w:numId w:val="12"/>
        </w:numPr>
        <w:spacing w:line="288" w:lineRule="auto"/>
        <w:jc w:val="both"/>
        <w:rPr>
          <w:sz w:val="22"/>
          <w:szCs w:val="22"/>
        </w:rPr>
      </w:pPr>
      <w:r>
        <w:rPr>
          <w:sz w:val="22"/>
        </w:rPr>
        <w:t>suosittaa räätälöityä tukea alueille, joihin rakennemuutos vaikuttaa eniten, sekä paikallisviranomaisten ja työmarkkinaosapuolten osallistumisen lisäämistä.</w:t>
      </w:r>
    </w:p>
    <w:p w:rsidRPr="00AB0753" w:rsidR="00460F68" w:rsidP="0091345F" w:rsidRDefault="00460F68" w14:paraId="0B0CFF87" w14:textId="77777777">
      <w:pPr>
        <w:pStyle w:val="NormalWeb"/>
        <w:numPr>
          <w:ilvl w:val="0"/>
          <w:numId w:val="12"/>
        </w:numPr>
        <w:spacing w:line="288" w:lineRule="auto"/>
        <w:jc w:val="both"/>
        <w:rPr>
          <w:sz w:val="22"/>
          <w:szCs w:val="22"/>
        </w:rPr>
      </w:pPr>
      <w:r>
        <w:rPr>
          <w:sz w:val="22"/>
        </w:rPr>
        <w:t xml:space="preserve">peräänkuuluttaa riittävää rahoitusta tekniseen apuun, parempaa koordinointia EU:n välineiden (EGR, ESR+, JTF) välillä, vankkoja seuranta- ja arviointikehyksiä, joissa käytetään laadullisia ja määrällisiä tietoja sekä valistuskampanjoita, joilla varmistetaan </w:t>
      </w:r>
      <w:proofErr w:type="spellStart"/>
      <w:r>
        <w:rPr>
          <w:sz w:val="22"/>
        </w:rPr>
        <w:t>EGR:n</w:t>
      </w:r>
      <w:proofErr w:type="spellEnd"/>
      <w:r>
        <w:rPr>
          <w:sz w:val="22"/>
        </w:rPr>
        <w:t xml:space="preserve"> tasapuolinen ja tehokas käyttö.</w:t>
      </w:r>
    </w:p>
    <w:p w:rsidRPr="00A52E07" w:rsidR="00460F68" w:rsidP="0091345F" w:rsidRDefault="00460F68" w14:paraId="0CB39711" w14:textId="77777777">
      <w:pPr>
        <w:pStyle w:val="NormalWeb"/>
        <w:numPr>
          <w:ilvl w:val="0"/>
          <w:numId w:val="12"/>
        </w:numPr>
        <w:spacing w:line="288" w:lineRule="auto"/>
        <w:jc w:val="both"/>
        <w:rPr>
          <w:sz w:val="22"/>
          <w:szCs w:val="22"/>
        </w:rPr>
      </w:pPr>
      <w:r>
        <w:rPr>
          <w:sz w:val="22"/>
        </w:rPr>
        <w:t>korostaa varhaisen ja merkityksellisen työmarkkinaosapuolten vuoropuhelun, edunsaajayritysten pakollisten siirtymäsuunnitelmien sekä tiedottamista, kuulemista ja joukkoirtisanomisia koskevien EU:n direktiivien täysimääräisen noudattamisen merkitystä.</w:t>
      </w:r>
    </w:p>
    <w:p w:rsidRPr="002C0D5B" w:rsidR="00460F68" w:rsidP="00460F68" w:rsidRDefault="00460F68" w14:paraId="60B7236B" w14:textId="77777777">
      <w:pPr>
        <w:spacing w:after="12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38"/>
        <w:gridCol w:w="238"/>
        <w:gridCol w:w="4507"/>
      </w:tblGrid>
      <w:tr w:rsidRPr="00B4456F" w:rsidR="00460F68" w:rsidTr="00D33D43" w14:paraId="19726FF5" w14:textId="77777777">
        <w:tc>
          <w:tcPr>
            <w:tcW w:w="1238" w:type="dxa"/>
          </w:tcPr>
          <w:p w:rsidRPr="00B4456F" w:rsidR="00460F68" w:rsidP="00D33D43" w:rsidRDefault="00460F68" w14:paraId="6CD69B35" w14:textId="77777777">
            <w:pPr>
              <w:rPr>
                <w:i/>
              </w:rPr>
            </w:pPr>
            <w:r>
              <w:rPr>
                <w:b/>
                <w:i/>
              </w:rPr>
              <w:t>Yhteystaho</w:t>
            </w:r>
          </w:p>
        </w:tc>
        <w:tc>
          <w:tcPr>
            <w:tcW w:w="238" w:type="dxa"/>
          </w:tcPr>
          <w:p w:rsidR="00460F68" w:rsidP="00D33D43" w:rsidRDefault="00460F68" w14:paraId="000D2A35" w14:textId="77777777">
            <w:pPr>
              <w:rPr>
                <w:i/>
              </w:rPr>
            </w:pPr>
          </w:p>
        </w:tc>
        <w:tc>
          <w:tcPr>
            <w:tcW w:w="4507" w:type="dxa"/>
          </w:tcPr>
          <w:p w:rsidRPr="00B4456F" w:rsidR="00460F68" w:rsidP="00D33D43" w:rsidRDefault="00460F68" w14:paraId="1418E0BD" w14:textId="77777777">
            <w:pPr>
              <w:rPr>
                <w:i/>
              </w:rPr>
            </w:pPr>
            <w:proofErr w:type="spellStart"/>
            <w:r>
              <w:rPr>
                <w:i/>
              </w:rPr>
              <w:t>Bartek</w:t>
            </w:r>
            <w:proofErr w:type="spellEnd"/>
            <w:r>
              <w:rPr>
                <w:i/>
              </w:rPr>
              <w:t xml:space="preserve"> BEDNAROWICZ</w:t>
            </w:r>
          </w:p>
        </w:tc>
      </w:tr>
      <w:tr w:rsidRPr="00B4456F" w:rsidR="00460F68" w:rsidTr="00D33D43" w14:paraId="69135C98" w14:textId="77777777">
        <w:tc>
          <w:tcPr>
            <w:tcW w:w="1238" w:type="dxa"/>
          </w:tcPr>
          <w:p w:rsidRPr="00B4456F" w:rsidR="00460F68" w:rsidP="00D33D43" w:rsidRDefault="00460F68" w14:paraId="563DBB1A" w14:textId="77777777">
            <w:pPr>
              <w:rPr>
                <w:i/>
              </w:rPr>
            </w:pPr>
            <w:r>
              <w:rPr>
                <w:i/>
              </w:rPr>
              <w:t>Puh.</w:t>
            </w:r>
          </w:p>
        </w:tc>
        <w:tc>
          <w:tcPr>
            <w:tcW w:w="238" w:type="dxa"/>
          </w:tcPr>
          <w:p w:rsidRPr="00B4456F" w:rsidR="00460F68" w:rsidP="00D33D43" w:rsidRDefault="00460F68" w14:paraId="193FA577" w14:textId="77777777">
            <w:pPr>
              <w:rPr>
                <w:i/>
              </w:rPr>
            </w:pPr>
          </w:p>
        </w:tc>
        <w:tc>
          <w:tcPr>
            <w:tcW w:w="4507" w:type="dxa"/>
          </w:tcPr>
          <w:p w:rsidRPr="00B4456F" w:rsidR="00460F68" w:rsidP="00D33D43" w:rsidRDefault="00460F68" w14:paraId="39BB7F67" w14:textId="77777777">
            <w:pPr>
              <w:rPr>
                <w:i/>
              </w:rPr>
            </w:pPr>
            <w:r>
              <w:rPr>
                <w:i/>
              </w:rPr>
              <w:t>+32 25469229</w:t>
            </w:r>
          </w:p>
        </w:tc>
      </w:tr>
      <w:tr w:rsidRPr="00527C32" w:rsidR="00460F68" w:rsidTr="00D33D43" w14:paraId="29AE6A76" w14:textId="77777777">
        <w:tc>
          <w:tcPr>
            <w:tcW w:w="1238" w:type="dxa"/>
          </w:tcPr>
          <w:p w:rsidRPr="00B4456F" w:rsidR="00460F68" w:rsidP="00D33D43" w:rsidRDefault="00460F68" w14:paraId="26D42CAE" w14:textId="77777777">
            <w:pPr>
              <w:rPr>
                <w:i/>
              </w:rPr>
            </w:pPr>
            <w:r>
              <w:rPr>
                <w:i/>
              </w:rPr>
              <w:t>Sähköposti</w:t>
            </w:r>
          </w:p>
        </w:tc>
        <w:tc>
          <w:tcPr>
            <w:tcW w:w="238" w:type="dxa"/>
          </w:tcPr>
          <w:p w:rsidR="00460F68" w:rsidP="00D33D43" w:rsidRDefault="00460F68" w14:paraId="34C2D38C" w14:textId="77777777"/>
        </w:tc>
        <w:tc>
          <w:tcPr>
            <w:tcW w:w="4507" w:type="dxa"/>
          </w:tcPr>
          <w:p w:rsidRPr="00527C32" w:rsidR="00460F68" w:rsidP="00D33D43" w:rsidRDefault="00460F68" w14:paraId="313A6E83" w14:textId="77777777">
            <w:pPr>
              <w:rPr>
                <w:i/>
                <w:iCs/>
              </w:rPr>
            </w:pPr>
            <w:hyperlink w:history="1" r:id="rId37">
              <w:r>
                <w:rPr>
                  <w:rStyle w:val="Hyperlink"/>
                  <w:i/>
                </w:rPr>
                <w:t>Bartek.Bednarowicz@eesc.europa.eu</w:t>
              </w:r>
            </w:hyperlink>
          </w:p>
        </w:tc>
      </w:tr>
    </w:tbl>
    <w:p w:rsidR="004D7AC0" w:rsidP="004D7AC0" w:rsidRDefault="004D7AC0" w14:paraId="4982DDC5" w14:textId="03813085">
      <w:pPr>
        <w:spacing w:after="160" w:line="259" w:lineRule="auto"/>
        <w:jc w:val="left"/>
      </w:pPr>
      <w:r>
        <w:br w:type="page"/>
      </w:r>
    </w:p>
    <w:p w:rsidR="004D7AC0" w:rsidP="004D7AC0" w:rsidRDefault="004D7AC0" w14:paraId="4982DDC6" w14:textId="77777777">
      <w:pPr>
        <w:pStyle w:val="Heading1"/>
        <w:rPr>
          <w:b/>
        </w:rPr>
      </w:pPr>
      <w:bookmarkStart w:name="_Toc24617160" w:id="9"/>
      <w:bookmarkStart w:name="_Toc75527082" w:id="10"/>
      <w:bookmarkStart w:name="_Toc202362999" w:id="11"/>
      <w:r>
        <w:rPr>
          <w:b/>
        </w:rPr>
        <w:lastRenderedPageBreak/>
        <w:t>LIIKENNE, ENERGIA, PERUSRAKENTEET, TIETOYHTEISKUNTA</w:t>
      </w:r>
      <w:bookmarkEnd w:id="9"/>
      <w:bookmarkEnd w:id="10"/>
      <w:bookmarkEnd w:id="11"/>
    </w:p>
    <w:p w:rsidR="004D7AC0" w:rsidP="004D7AC0" w:rsidRDefault="004D7AC0" w14:paraId="4982DDC7" w14:textId="77777777"/>
    <w:p w:rsidRPr="0003586F" w:rsidR="00460F68" w:rsidP="0091345F" w:rsidRDefault="00460F68" w14:paraId="1CF529CF" w14:textId="77777777">
      <w:pPr>
        <w:widowControl w:val="0"/>
        <w:numPr>
          <w:ilvl w:val="0"/>
          <w:numId w:val="15"/>
        </w:numPr>
        <w:overflowPunct w:val="0"/>
        <w:autoSpaceDE w:val="0"/>
        <w:autoSpaceDN w:val="0"/>
        <w:adjustRightInd w:val="0"/>
        <w:ind w:left="426" w:hanging="426"/>
        <w:textAlignment w:val="baseline"/>
        <w:rPr>
          <w:sz w:val="20"/>
        </w:rPr>
      </w:pPr>
      <w:hyperlink w:history="1" r:id="rId38">
        <w:r>
          <w:rPr>
            <w:rStyle w:val="Hyperlink"/>
            <w:b/>
            <w:i/>
            <w:sz w:val="28"/>
          </w:rPr>
          <w:t>Kohti tasapainoista eurooppalaista energiajärjestelmää</w:t>
        </w:r>
      </w:hyperlink>
    </w:p>
    <w:p w:rsidRPr="00A6689B" w:rsidR="00460F68" w:rsidP="00460F68" w:rsidRDefault="00460F68" w14:paraId="0451AA1E" w14:textId="77777777">
      <w:pPr>
        <w:tabs>
          <w:tab w:val="center" w:pos="284"/>
        </w:tabs>
        <w:ind w:left="266" w:hanging="266"/>
        <w:rPr>
          <w:b/>
        </w:rPr>
      </w:pPr>
    </w:p>
    <w:tbl>
      <w:tblPr>
        <w:tblStyle w:val="TableGrid"/>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5661"/>
      </w:tblGrid>
      <w:tr w:rsidRPr="002629BD" w:rsidR="00460F68" w:rsidTr="00D33D43" w14:paraId="640779A3" w14:textId="77777777">
        <w:tc>
          <w:tcPr>
            <w:tcW w:w="1321" w:type="pct"/>
          </w:tcPr>
          <w:p w:rsidRPr="00A6689B" w:rsidR="00460F68" w:rsidP="00D33D43" w:rsidRDefault="00460F68" w14:paraId="4BF7F20D" w14:textId="77777777">
            <w:pPr>
              <w:tabs>
                <w:tab w:val="center" w:pos="284"/>
              </w:tabs>
              <w:ind w:left="266" w:hanging="266"/>
              <w:rPr>
                <w:b/>
              </w:rPr>
            </w:pPr>
            <w:r>
              <w:rPr>
                <w:b/>
              </w:rPr>
              <w:t xml:space="preserve">Esittelijä </w:t>
            </w:r>
          </w:p>
        </w:tc>
        <w:tc>
          <w:tcPr>
            <w:tcW w:w="3679" w:type="pct"/>
          </w:tcPr>
          <w:p w:rsidRPr="00A6689B" w:rsidR="00460F68" w:rsidP="00D33D43" w:rsidRDefault="00460F68" w14:paraId="020DBC8F" w14:textId="77777777">
            <w:pPr>
              <w:tabs>
                <w:tab w:val="center" w:pos="284"/>
              </w:tabs>
              <w:ind w:left="266" w:hanging="266"/>
            </w:pPr>
            <w:proofErr w:type="spellStart"/>
            <w:r>
              <w:t>Zsolt</w:t>
            </w:r>
            <w:proofErr w:type="spellEnd"/>
            <w:r>
              <w:t xml:space="preserve"> KÜKEDI (kansalaisyhteiskunnan organisaatiot – HU)</w:t>
            </w:r>
          </w:p>
        </w:tc>
      </w:tr>
      <w:tr w:rsidRPr="00A6689B" w:rsidR="00460F68" w:rsidTr="00D33D43" w14:paraId="01B01015" w14:textId="77777777">
        <w:tc>
          <w:tcPr>
            <w:tcW w:w="1321" w:type="pct"/>
          </w:tcPr>
          <w:p w:rsidRPr="00A6689B" w:rsidR="00460F68" w:rsidP="00D33D43" w:rsidRDefault="00460F68" w14:paraId="0DD24B32" w14:textId="77777777">
            <w:pPr>
              <w:tabs>
                <w:tab w:val="center" w:pos="284"/>
              </w:tabs>
              <w:ind w:left="266" w:hanging="266"/>
              <w:rPr>
                <w:b/>
              </w:rPr>
            </w:pPr>
            <w:r>
              <w:rPr>
                <w:b/>
              </w:rPr>
              <w:t>Yhteisesittelijä</w:t>
            </w:r>
          </w:p>
        </w:tc>
        <w:tc>
          <w:tcPr>
            <w:tcW w:w="3679" w:type="pct"/>
          </w:tcPr>
          <w:p w:rsidRPr="00A6689B" w:rsidR="00460F68" w:rsidP="00D33D43" w:rsidRDefault="00460F68" w14:paraId="579B73A3" w14:textId="77777777">
            <w:pPr>
              <w:tabs>
                <w:tab w:val="center" w:pos="284"/>
              </w:tabs>
              <w:ind w:left="266" w:hanging="266"/>
            </w:pPr>
            <w:r>
              <w:t>Philippe CHARRY (työntekijät – FR)</w:t>
            </w:r>
          </w:p>
        </w:tc>
      </w:tr>
      <w:tr w:rsidRPr="00A6689B" w:rsidR="00460F68" w:rsidTr="00D33D43" w14:paraId="074F16EC" w14:textId="77777777">
        <w:tc>
          <w:tcPr>
            <w:tcW w:w="5000" w:type="pct"/>
            <w:gridSpan w:val="2"/>
          </w:tcPr>
          <w:p w:rsidRPr="00A6689B" w:rsidR="00460F68" w:rsidP="00D33D43" w:rsidRDefault="00460F68" w14:paraId="5A659D44" w14:textId="77777777">
            <w:pPr>
              <w:tabs>
                <w:tab w:val="center" w:pos="284"/>
              </w:tabs>
              <w:spacing w:line="160" w:lineRule="exact"/>
              <w:ind w:left="266" w:hanging="266"/>
              <w:rPr>
                <w:lang w:val="en-US"/>
              </w:rPr>
            </w:pPr>
          </w:p>
        </w:tc>
      </w:tr>
      <w:tr w:rsidRPr="00A6689B" w:rsidR="00460F68" w:rsidTr="00D33D43" w14:paraId="466A486B" w14:textId="77777777">
        <w:tc>
          <w:tcPr>
            <w:tcW w:w="1321" w:type="pct"/>
            <w:vMerge w:val="restart"/>
          </w:tcPr>
          <w:p w:rsidRPr="00A6689B" w:rsidR="00460F68" w:rsidP="00D33D43" w:rsidRDefault="00460F68" w14:paraId="002EFE5B" w14:textId="77777777">
            <w:pPr>
              <w:tabs>
                <w:tab w:val="center" w:pos="284"/>
              </w:tabs>
              <w:ind w:left="266" w:hanging="266"/>
              <w:rPr>
                <w:b/>
              </w:rPr>
            </w:pPr>
            <w:r>
              <w:rPr>
                <w:b/>
              </w:rPr>
              <w:t>Viiteasiakirja</w:t>
            </w:r>
          </w:p>
        </w:tc>
        <w:tc>
          <w:tcPr>
            <w:tcW w:w="3679" w:type="pct"/>
          </w:tcPr>
          <w:p w:rsidRPr="00E305AA" w:rsidR="00460F68" w:rsidP="00D33D43" w:rsidRDefault="00460F68" w14:paraId="25E09964" w14:textId="77777777">
            <w:pPr>
              <w:tabs>
                <w:tab w:val="center" w:pos="284"/>
              </w:tabs>
              <w:ind w:left="266" w:hanging="266"/>
            </w:pPr>
            <w:r>
              <w:t>oma-aloitteinen lausunto</w:t>
            </w:r>
          </w:p>
          <w:p w:rsidRPr="00A6689B" w:rsidR="00460F68" w:rsidP="00D33D43" w:rsidRDefault="00460F68" w14:paraId="34694AE0" w14:textId="77777777">
            <w:pPr>
              <w:tabs>
                <w:tab w:val="center" w:pos="284"/>
              </w:tabs>
              <w:ind w:left="266" w:hanging="266"/>
            </w:pPr>
            <w:r>
              <w:t>EESC-2025-00328-00-00-AC</w:t>
            </w:r>
          </w:p>
        </w:tc>
      </w:tr>
      <w:tr w:rsidRPr="00A6689B" w:rsidR="00460F68" w:rsidTr="00D33D43" w14:paraId="27D4A8C6" w14:textId="77777777">
        <w:tc>
          <w:tcPr>
            <w:tcW w:w="1321" w:type="pct"/>
            <w:vMerge/>
          </w:tcPr>
          <w:p w:rsidRPr="00A6689B" w:rsidR="00460F68" w:rsidP="00D33D43" w:rsidRDefault="00460F68" w14:paraId="766910ED" w14:textId="77777777">
            <w:pPr>
              <w:tabs>
                <w:tab w:val="center" w:pos="284"/>
              </w:tabs>
              <w:ind w:left="266" w:hanging="266"/>
              <w:rPr>
                <w:b/>
                <w:lang w:val="en-US"/>
              </w:rPr>
            </w:pPr>
          </w:p>
        </w:tc>
        <w:tc>
          <w:tcPr>
            <w:tcW w:w="3679" w:type="pct"/>
          </w:tcPr>
          <w:p w:rsidRPr="00A6689B" w:rsidR="00460F68" w:rsidP="00D33D43" w:rsidRDefault="00460F68" w14:paraId="37BB4F0E" w14:textId="77777777">
            <w:pPr>
              <w:tabs>
                <w:tab w:val="center" w:pos="284"/>
              </w:tabs>
              <w:ind w:left="266" w:hanging="266"/>
              <w:rPr>
                <w:lang w:val="en-US"/>
              </w:rPr>
            </w:pPr>
          </w:p>
        </w:tc>
      </w:tr>
    </w:tbl>
    <w:p w:rsidRPr="00A6689B" w:rsidR="00460F68" w:rsidP="00460F68" w:rsidRDefault="00460F68" w14:paraId="245B81DB" w14:textId="77777777">
      <w:pPr>
        <w:tabs>
          <w:tab w:val="center" w:pos="284"/>
        </w:tabs>
        <w:ind w:left="266" w:hanging="266"/>
      </w:pPr>
    </w:p>
    <w:p w:rsidRPr="00A6689B" w:rsidR="00460F68" w:rsidP="00460F68" w:rsidRDefault="00460F68" w14:paraId="659184CD" w14:textId="77777777">
      <w:pPr>
        <w:keepNext/>
        <w:keepLines/>
        <w:tabs>
          <w:tab w:val="center" w:pos="284"/>
        </w:tabs>
        <w:ind w:left="266" w:hanging="266"/>
        <w:rPr>
          <w:b/>
        </w:rPr>
      </w:pPr>
      <w:r>
        <w:rPr>
          <w:b/>
        </w:rPr>
        <w:t>Keskeiset kohdat</w:t>
      </w:r>
    </w:p>
    <w:p w:rsidRPr="00A6689B" w:rsidR="00460F68" w:rsidP="00460F68" w:rsidRDefault="00460F68" w14:paraId="1AA088F0" w14:textId="77777777">
      <w:pPr>
        <w:keepNext/>
        <w:keepLines/>
        <w:tabs>
          <w:tab w:val="center" w:pos="284"/>
        </w:tabs>
        <w:ind w:left="266" w:hanging="266"/>
        <w:rPr>
          <w:b/>
        </w:rPr>
      </w:pPr>
    </w:p>
    <w:p w:rsidRPr="00A6689B" w:rsidR="00460F68" w:rsidP="00460F68" w:rsidRDefault="00460F68" w14:paraId="1BB21836" w14:textId="77777777">
      <w:pPr>
        <w:rPr>
          <w:bCs/>
          <w:iCs/>
        </w:rPr>
      </w:pPr>
      <w:r>
        <w:t>ETSK</w:t>
      </w:r>
    </w:p>
    <w:p w:rsidRPr="00A6689B" w:rsidR="00460F68" w:rsidP="00460F68" w:rsidRDefault="00460F68" w14:paraId="1A578BDD" w14:textId="77777777">
      <w:pPr>
        <w:widowControl w:val="0"/>
        <w:ind w:left="709"/>
        <w:rPr>
          <w:bCs/>
          <w:iCs/>
        </w:rPr>
      </w:pPr>
    </w:p>
    <w:p w:rsidRPr="00A6689B" w:rsidR="00460F68" w:rsidP="0091345F" w:rsidRDefault="00460F68" w14:paraId="2B9D5243" w14:textId="77777777">
      <w:pPr>
        <w:widowControl w:val="0"/>
        <w:numPr>
          <w:ilvl w:val="0"/>
          <w:numId w:val="15"/>
        </w:numPr>
        <w:overflowPunct w:val="0"/>
        <w:autoSpaceDE w:val="0"/>
        <w:autoSpaceDN w:val="0"/>
        <w:adjustRightInd w:val="0"/>
        <w:ind w:left="709" w:hanging="425"/>
        <w:textAlignment w:val="baseline"/>
        <w:rPr>
          <w:bCs/>
          <w:iCs/>
        </w:rPr>
      </w:pPr>
      <w:r>
        <w:t>katsoo, että energian kohtuuhintaisuus, hiilineutraalius ja energiaturvallisuus ovat tasapainoisen energiajärjestelmän keskeisiä tavoitteita.</w:t>
      </w:r>
    </w:p>
    <w:p w:rsidR="00460F68" w:rsidP="0091345F" w:rsidRDefault="00460F68" w14:paraId="4D6997ED" w14:textId="77777777">
      <w:pPr>
        <w:widowControl w:val="0"/>
        <w:numPr>
          <w:ilvl w:val="0"/>
          <w:numId w:val="15"/>
        </w:numPr>
        <w:overflowPunct w:val="0"/>
        <w:autoSpaceDE w:val="0"/>
        <w:autoSpaceDN w:val="0"/>
        <w:adjustRightInd w:val="0"/>
        <w:ind w:left="709" w:hanging="425"/>
        <w:textAlignment w:val="baseline"/>
        <w:rPr>
          <w:bCs/>
          <w:iCs/>
        </w:rPr>
      </w:pPr>
      <w:r>
        <w:t>korostaa tarvetta säilyttää peruskuormatuotanto ja monipuolinen puhtaiden energiamuotojen yhdistelmä tarjonnan ja kysynnän sekä jaksoittaisen ja jatkuvan tuotannon, hallittavien ja hallitsemattomien energialähteiden sekä alueellisten energiahuoltoon liittyvien erojen tasapainottamiseksi.</w:t>
      </w:r>
    </w:p>
    <w:p w:rsidR="00460F68" w:rsidP="0091345F" w:rsidRDefault="00460F68" w14:paraId="66F632CA" w14:textId="77777777">
      <w:pPr>
        <w:widowControl w:val="0"/>
        <w:numPr>
          <w:ilvl w:val="0"/>
          <w:numId w:val="15"/>
        </w:numPr>
        <w:overflowPunct w:val="0"/>
        <w:autoSpaceDE w:val="0"/>
        <w:autoSpaceDN w:val="0"/>
        <w:adjustRightInd w:val="0"/>
        <w:ind w:left="709" w:hanging="425"/>
        <w:textAlignment w:val="baseline"/>
        <w:rPr>
          <w:bCs/>
          <w:iCs/>
        </w:rPr>
      </w:pPr>
      <w:r>
        <w:t>kannattaa komission kehotusta suosittaa, että jäsenvaltiot alentavat väliaikaisesti veroja ja maksuja korkeiden kustannusten hillitsemiseksi, kuten kohtuuhintaista energiaa koskevassa toimintasuunnitelmassa todetaan.</w:t>
      </w:r>
    </w:p>
    <w:p w:rsidR="00460F68" w:rsidP="0091345F" w:rsidRDefault="00460F68" w14:paraId="0E076B78" w14:textId="77777777">
      <w:pPr>
        <w:widowControl w:val="0"/>
        <w:numPr>
          <w:ilvl w:val="0"/>
          <w:numId w:val="15"/>
        </w:numPr>
        <w:overflowPunct w:val="0"/>
        <w:autoSpaceDE w:val="0"/>
        <w:autoSpaceDN w:val="0"/>
        <w:adjustRightInd w:val="0"/>
        <w:ind w:left="709" w:hanging="425"/>
        <w:textAlignment w:val="baseline"/>
        <w:rPr>
          <w:bCs/>
          <w:iCs/>
        </w:rPr>
      </w:pPr>
      <w:r>
        <w:t>ehdottaa joustavaa mutta tiukkaa etenemissuunnitelmaa fossiilisista polttoaineista riippuvaisille jäsenvaltioille EU:n ja kansallisen yhteistyön puitteissa.</w:t>
      </w:r>
    </w:p>
    <w:p w:rsidR="00460F68" w:rsidP="0091345F" w:rsidRDefault="00460F68" w14:paraId="4DB28647" w14:textId="77777777">
      <w:pPr>
        <w:widowControl w:val="0"/>
        <w:numPr>
          <w:ilvl w:val="0"/>
          <w:numId w:val="15"/>
        </w:numPr>
        <w:overflowPunct w:val="0"/>
        <w:autoSpaceDE w:val="0"/>
        <w:autoSpaceDN w:val="0"/>
        <w:adjustRightInd w:val="0"/>
        <w:ind w:left="709" w:hanging="425"/>
        <w:textAlignment w:val="baseline"/>
        <w:rPr>
          <w:bCs/>
          <w:iCs/>
        </w:rPr>
      </w:pPr>
      <w:r>
        <w:t>huomauttaa tarpeesta lisätä joustavuutta ja tehokkuutta, korostaa aktiivisen kysynnän hallinnan ja älykkään kulutuksen roolia ja peräänkuuluttaa valistuskampanjoita, tehokkuutta parantavia ratkaisuja ja liiketoimintamalleja, joilla edistetään resurssien yhdistämistä pienempien kuluttajien ja tuottajien välillä.</w:t>
      </w:r>
    </w:p>
    <w:p w:rsidRPr="00A6689B" w:rsidR="00460F68" w:rsidP="0091345F" w:rsidRDefault="00460F68" w14:paraId="54D627A9" w14:textId="77777777">
      <w:pPr>
        <w:widowControl w:val="0"/>
        <w:numPr>
          <w:ilvl w:val="0"/>
          <w:numId w:val="15"/>
        </w:numPr>
        <w:overflowPunct w:val="0"/>
        <w:autoSpaceDE w:val="0"/>
        <w:autoSpaceDN w:val="0"/>
        <w:adjustRightInd w:val="0"/>
        <w:ind w:left="709" w:hanging="425"/>
        <w:textAlignment w:val="baseline"/>
        <w:rPr>
          <w:bCs/>
          <w:iCs/>
        </w:rPr>
      </w:pPr>
      <w:r>
        <w:t xml:space="preserve">kehottaa vauhdittamaan </w:t>
      </w:r>
      <w:proofErr w:type="spellStart"/>
      <w:r>
        <w:t>rajatylittäviä</w:t>
      </w:r>
      <w:proofErr w:type="spellEnd"/>
      <w:r>
        <w:t xml:space="preserve"> </w:t>
      </w:r>
      <w:proofErr w:type="spellStart"/>
      <w:r>
        <w:t>yhteenliitäntöjä</w:t>
      </w:r>
      <w:proofErr w:type="spellEnd"/>
      <w:r>
        <w:t xml:space="preserve"> ja nykyaikaistamaan infrastruktuuria energiaunionin saattamiseksi valmiiksi ja sisäisten energiavirtojen vahvistamiseksi erityisesti Espanjassa ja Portugalissa äskettäin koetun sähkökatkoksen seurauksena.</w:t>
      </w:r>
    </w:p>
    <w:p w:rsidRPr="00A6689B" w:rsidR="00460F68" w:rsidP="0091345F" w:rsidRDefault="00460F68" w14:paraId="36BC5E61" w14:textId="77777777">
      <w:pPr>
        <w:widowControl w:val="0"/>
        <w:numPr>
          <w:ilvl w:val="0"/>
          <w:numId w:val="15"/>
        </w:numPr>
        <w:overflowPunct w:val="0"/>
        <w:autoSpaceDE w:val="0"/>
        <w:autoSpaceDN w:val="0"/>
        <w:adjustRightInd w:val="0"/>
        <w:ind w:left="709" w:hanging="425"/>
        <w:textAlignment w:val="baseline"/>
      </w:pPr>
      <w:r>
        <w:t>kehottaa tutkimaan, miten voitaisiin hyödyntää nykyistä paremmin alihyödynnettyjä lähteitä (esim. geoterminen energia sähköntuotannossa, biokaasun paikallinen tuotanto) ja nopeuttaa innovointia (tehokkuus, digitalisaatio, verkkojen joustavuus, alakohtainen integrointi).</w:t>
      </w:r>
    </w:p>
    <w:p w:rsidR="00460F68" w:rsidP="0091345F" w:rsidRDefault="00460F68" w14:paraId="737D7CDC" w14:textId="77777777">
      <w:pPr>
        <w:widowControl w:val="0"/>
        <w:numPr>
          <w:ilvl w:val="0"/>
          <w:numId w:val="15"/>
        </w:numPr>
        <w:overflowPunct w:val="0"/>
        <w:autoSpaceDE w:val="0"/>
        <w:autoSpaceDN w:val="0"/>
        <w:adjustRightInd w:val="0"/>
        <w:ind w:left="709" w:hanging="425"/>
        <w:textAlignment w:val="baseline"/>
      </w:pPr>
      <w:r>
        <w:t>suosittaa, että uusiutuvan energian hajautetun tuotannon (tuottajakuluttajat ja energiayhteisöt) saavutettavuutta parannetaan poistamalla sääntelyn puutteita ja puuttumalla eturistiriitoihin.</w:t>
      </w:r>
    </w:p>
    <w:p w:rsidR="00460F68" w:rsidP="0091345F" w:rsidRDefault="00460F68" w14:paraId="302C0B05" w14:textId="77777777">
      <w:pPr>
        <w:widowControl w:val="0"/>
        <w:numPr>
          <w:ilvl w:val="0"/>
          <w:numId w:val="15"/>
        </w:numPr>
        <w:overflowPunct w:val="0"/>
        <w:autoSpaceDE w:val="0"/>
        <w:autoSpaceDN w:val="0"/>
        <w:adjustRightInd w:val="0"/>
        <w:ind w:left="709" w:hanging="425"/>
        <w:textAlignment w:val="baseline"/>
      </w:pPr>
      <w:r>
        <w:t>ehdottaa sellaisen eurooppalaisen transienttistabiilisuutta koskevan toimintasuunnitelman laatimista, johon sisältyvät synteettistä inertiaa koskevat pakolliset standardit, uusien tuotantolaitosten transienttivastetestaus sekä vuosittaiset arvioinnit siitä, miten sähköjärjestelmä kestää äkillisiä häiriötiloja, jotta estetään laajalle leviävät verkkohäiriöt.</w:t>
      </w:r>
    </w:p>
    <w:p w:rsidRPr="000624A9" w:rsidR="00460F68" w:rsidP="00460F68" w:rsidRDefault="00460F68" w14:paraId="24AF857A" w14:textId="77777777">
      <w:pPr>
        <w:widowControl w:val="0"/>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A6689B" w:rsidR="00460F68" w:rsidTr="00D33D43" w14:paraId="2306430D" w14:textId="77777777">
        <w:tc>
          <w:tcPr>
            <w:tcW w:w="1556" w:type="pct"/>
          </w:tcPr>
          <w:p w:rsidRPr="00A6689B" w:rsidR="00460F68" w:rsidP="00D33D43" w:rsidRDefault="00460F68" w14:paraId="7CA057CF" w14:textId="77777777">
            <w:pPr>
              <w:spacing w:line="240" w:lineRule="auto"/>
              <w:rPr>
                <w:i/>
              </w:rPr>
            </w:pPr>
            <w:r>
              <w:rPr>
                <w:b/>
                <w:i/>
              </w:rPr>
              <w:t>Yhteydenotot</w:t>
            </w:r>
          </w:p>
        </w:tc>
        <w:tc>
          <w:tcPr>
            <w:tcW w:w="3444" w:type="pct"/>
          </w:tcPr>
          <w:p w:rsidRPr="00A6689B" w:rsidR="00460F68" w:rsidP="00D33D43" w:rsidRDefault="00460F68" w14:paraId="2E558CC6" w14:textId="77777777">
            <w:pPr>
              <w:spacing w:line="240" w:lineRule="auto"/>
              <w:rPr>
                <w:i/>
              </w:rPr>
            </w:pPr>
            <w:proofErr w:type="spellStart"/>
            <w:r>
              <w:rPr>
                <w:i/>
              </w:rPr>
              <w:t>Giorgia</w:t>
            </w:r>
            <w:proofErr w:type="spellEnd"/>
            <w:r>
              <w:rPr>
                <w:i/>
              </w:rPr>
              <w:t xml:space="preserve"> BORDIGNON</w:t>
            </w:r>
          </w:p>
        </w:tc>
      </w:tr>
      <w:tr w:rsidRPr="00A6689B" w:rsidR="00460F68" w:rsidTr="00D33D43" w14:paraId="0AD59951" w14:textId="77777777">
        <w:tc>
          <w:tcPr>
            <w:tcW w:w="1556" w:type="pct"/>
          </w:tcPr>
          <w:p w:rsidRPr="00A6689B" w:rsidR="00460F68" w:rsidP="00D33D43" w:rsidRDefault="00460F68" w14:paraId="42470943" w14:textId="77777777">
            <w:pPr>
              <w:spacing w:line="240" w:lineRule="auto"/>
              <w:rPr>
                <w:i/>
              </w:rPr>
            </w:pPr>
            <w:r>
              <w:rPr>
                <w:i/>
              </w:rPr>
              <w:t>P.</w:t>
            </w:r>
          </w:p>
        </w:tc>
        <w:tc>
          <w:tcPr>
            <w:tcW w:w="3444" w:type="pct"/>
          </w:tcPr>
          <w:p w:rsidRPr="00A6689B" w:rsidR="00460F68" w:rsidP="00D33D43" w:rsidRDefault="00460F68" w14:paraId="3A3B2A61" w14:textId="77777777">
            <w:pPr>
              <w:spacing w:line="240" w:lineRule="auto"/>
              <w:rPr>
                <w:i/>
              </w:rPr>
            </w:pPr>
            <w:r>
              <w:rPr>
                <w:i/>
              </w:rPr>
              <w:t>+32 25468535</w:t>
            </w:r>
          </w:p>
        </w:tc>
      </w:tr>
      <w:tr w:rsidRPr="00A6689B" w:rsidR="00460F68" w:rsidTr="00D33D43" w14:paraId="6EFFE527" w14:textId="77777777">
        <w:tc>
          <w:tcPr>
            <w:tcW w:w="1556" w:type="pct"/>
          </w:tcPr>
          <w:p w:rsidRPr="00A6689B" w:rsidR="00460F68" w:rsidP="00D33D43" w:rsidRDefault="00460F68" w14:paraId="3F67763E" w14:textId="77777777">
            <w:pPr>
              <w:spacing w:line="240" w:lineRule="auto"/>
              <w:rPr>
                <w:i/>
              </w:rPr>
            </w:pPr>
            <w:r>
              <w:rPr>
                <w:i/>
              </w:rPr>
              <w:t>Sähköposti</w:t>
            </w:r>
          </w:p>
        </w:tc>
        <w:tc>
          <w:tcPr>
            <w:tcW w:w="3444" w:type="pct"/>
          </w:tcPr>
          <w:p w:rsidRPr="00A6689B" w:rsidR="00460F68" w:rsidP="00D33D43" w:rsidRDefault="00460F68" w14:paraId="7F2FFCBD" w14:textId="77777777">
            <w:pPr>
              <w:spacing w:line="240" w:lineRule="auto"/>
              <w:rPr>
                <w:i/>
              </w:rPr>
            </w:pPr>
            <w:hyperlink w:history="1" r:id="rId39">
              <w:r>
                <w:rPr>
                  <w:rStyle w:val="Hyperlink"/>
                  <w:i/>
                </w:rPr>
                <w:t>GiorgiaAndrea.Bordignon@eesc.europa.eu</w:t>
              </w:r>
            </w:hyperlink>
            <w:r>
              <w:rPr>
                <w:i/>
              </w:rPr>
              <w:t xml:space="preserve"> </w:t>
            </w:r>
          </w:p>
        </w:tc>
      </w:tr>
    </w:tbl>
    <w:p w:rsidR="00055407" w:rsidRDefault="00055407" w14:paraId="6037CC93" w14:textId="4CD819A3">
      <w:pPr>
        <w:spacing w:after="160" w:line="259" w:lineRule="auto"/>
        <w:jc w:val="left"/>
      </w:pPr>
      <w:r>
        <w:lastRenderedPageBreak/>
        <w:br w:type="page"/>
      </w:r>
    </w:p>
    <w:p w:rsidRPr="0003586F" w:rsidR="00460F68" w:rsidP="0091345F" w:rsidRDefault="00460F68" w14:paraId="29A18B88" w14:textId="77777777">
      <w:pPr>
        <w:widowControl w:val="0"/>
        <w:numPr>
          <w:ilvl w:val="0"/>
          <w:numId w:val="15"/>
        </w:numPr>
        <w:overflowPunct w:val="0"/>
        <w:autoSpaceDE w:val="0"/>
        <w:autoSpaceDN w:val="0"/>
        <w:adjustRightInd w:val="0"/>
        <w:ind w:hanging="567"/>
        <w:textAlignment w:val="baseline"/>
        <w:rPr>
          <w:sz w:val="20"/>
        </w:rPr>
      </w:pPr>
      <w:hyperlink w:history="1" r:id="rId40">
        <w:r>
          <w:rPr>
            <w:rStyle w:val="Hyperlink"/>
            <w:b/>
            <w:i/>
            <w:sz w:val="28"/>
          </w:rPr>
          <w:t>Kestävän kaupunkiliikenteen suunnittelu EU:ssa</w:t>
        </w:r>
      </w:hyperlink>
    </w:p>
    <w:p w:rsidRPr="00A6689B" w:rsidR="00460F68" w:rsidP="00460F68" w:rsidRDefault="00460F68" w14:paraId="357298D4" w14:textId="77777777">
      <w:pPr>
        <w:tabs>
          <w:tab w:val="center" w:pos="284"/>
        </w:tabs>
        <w:ind w:left="266" w:hanging="266"/>
        <w:rPr>
          <w:b/>
        </w:rPr>
      </w:pPr>
    </w:p>
    <w:tbl>
      <w:tblPr>
        <w:tblStyle w:val="TableGrid"/>
        <w:tblW w:w="461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1"/>
        <w:gridCol w:w="6533"/>
      </w:tblGrid>
      <w:tr w:rsidRPr="00F54A1B" w:rsidR="00460F68" w:rsidTr="00D33D43" w14:paraId="39E55C66" w14:textId="77777777">
        <w:tc>
          <w:tcPr>
            <w:tcW w:w="1186" w:type="pct"/>
          </w:tcPr>
          <w:p w:rsidRPr="00A6689B" w:rsidR="00460F68" w:rsidP="00D33D43" w:rsidRDefault="00460F68" w14:paraId="085DCE3E" w14:textId="77777777">
            <w:pPr>
              <w:tabs>
                <w:tab w:val="center" w:pos="284"/>
              </w:tabs>
              <w:ind w:left="266" w:hanging="266"/>
              <w:rPr>
                <w:b/>
              </w:rPr>
            </w:pPr>
            <w:r>
              <w:rPr>
                <w:b/>
              </w:rPr>
              <w:t xml:space="preserve">Esittelijä </w:t>
            </w:r>
          </w:p>
        </w:tc>
        <w:tc>
          <w:tcPr>
            <w:tcW w:w="3814" w:type="pct"/>
          </w:tcPr>
          <w:p w:rsidRPr="00F54A1B" w:rsidR="00460F68" w:rsidP="00D33D43" w:rsidRDefault="00460F68" w14:paraId="11BDD01B" w14:textId="77777777">
            <w:pPr>
              <w:tabs>
                <w:tab w:val="center" w:pos="284"/>
              </w:tabs>
              <w:ind w:left="266" w:right="-103" w:hanging="266"/>
            </w:pPr>
            <w:proofErr w:type="spellStart"/>
            <w:r>
              <w:t>Lidija</w:t>
            </w:r>
            <w:proofErr w:type="spellEnd"/>
            <w:r>
              <w:t xml:space="preserve"> </w:t>
            </w:r>
            <w:proofErr w:type="spellStart"/>
            <w:r>
              <w:t>Pavić-Rogošić</w:t>
            </w:r>
            <w:proofErr w:type="spellEnd"/>
            <w:r>
              <w:t xml:space="preserve"> (kansalaisyhteiskunnan organisaatiot – HR)</w:t>
            </w:r>
          </w:p>
        </w:tc>
      </w:tr>
      <w:tr w:rsidRPr="00A6689B" w:rsidR="00460F68" w:rsidTr="00D33D43" w14:paraId="23EEA383" w14:textId="77777777">
        <w:tc>
          <w:tcPr>
            <w:tcW w:w="1186" w:type="pct"/>
          </w:tcPr>
          <w:p w:rsidRPr="00A6689B" w:rsidR="00460F68" w:rsidP="00D33D43" w:rsidRDefault="00460F68" w14:paraId="2F167E90" w14:textId="77777777">
            <w:pPr>
              <w:tabs>
                <w:tab w:val="center" w:pos="284"/>
              </w:tabs>
              <w:ind w:left="266" w:hanging="266"/>
              <w:rPr>
                <w:b/>
              </w:rPr>
            </w:pPr>
            <w:r>
              <w:rPr>
                <w:b/>
              </w:rPr>
              <w:t>Yhteisesittelijä</w:t>
            </w:r>
          </w:p>
        </w:tc>
        <w:tc>
          <w:tcPr>
            <w:tcW w:w="3814" w:type="pct"/>
          </w:tcPr>
          <w:p w:rsidRPr="00F54A1B" w:rsidR="00460F68" w:rsidP="00D33D43" w:rsidRDefault="00460F68" w14:paraId="0D02150F" w14:textId="77777777">
            <w:pPr>
              <w:tabs>
                <w:tab w:val="center" w:pos="284"/>
              </w:tabs>
              <w:ind w:left="266" w:hanging="266"/>
            </w:pPr>
            <w:proofErr w:type="spellStart"/>
            <w:r>
              <w:t>Mateusz</w:t>
            </w:r>
            <w:proofErr w:type="spellEnd"/>
            <w:r>
              <w:t xml:space="preserve"> </w:t>
            </w:r>
            <w:proofErr w:type="spellStart"/>
            <w:r>
              <w:t>Szymański</w:t>
            </w:r>
            <w:proofErr w:type="spellEnd"/>
            <w:r>
              <w:t xml:space="preserve"> (työntekijät – PL)</w:t>
            </w:r>
          </w:p>
        </w:tc>
      </w:tr>
      <w:tr w:rsidRPr="00A6689B" w:rsidR="00460F68" w:rsidTr="00D33D43" w14:paraId="4765B437" w14:textId="77777777">
        <w:tc>
          <w:tcPr>
            <w:tcW w:w="5000" w:type="pct"/>
            <w:gridSpan w:val="2"/>
          </w:tcPr>
          <w:p w:rsidRPr="00F54A1B" w:rsidR="00460F68" w:rsidP="00D33D43" w:rsidRDefault="00460F68" w14:paraId="1503A1DF" w14:textId="77777777">
            <w:pPr>
              <w:tabs>
                <w:tab w:val="center" w:pos="284"/>
              </w:tabs>
              <w:spacing w:line="160" w:lineRule="exact"/>
              <w:ind w:left="266" w:hanging="266"/>
              <w:rPr>
                <w:lang w:val="en-US"/>
              </w:rPr>
            </w:pPr>
          </w:p>
        </w:tc>
      </w:tr>
      <w:tr w:rsidRPr="00A6689B" w:rsidR="00460F68" w:rsidTr="00D33D43" w14:paraId="3D4D2A85" w14:textId="77777777">
        <w:tc>
          <w:tcPr>
            <w:tcW w:w="1186" w:type="pct"/>
            <w:vMerge w:val="restart"/>
          </w:tcPr>
          <w:p w:rsidRPr="00A6689B" w:rsidR="00460F68" w:rsidP="00D33D43" w:rsidRDefault="00460F68" w14:paraId="23BF7168" w14:textId="77777777">
            <w:pPr>
              <w:tabs>
                <w:tab w:val="center" w:pos="284"/>
              </w:tabs>
              <w:ind w:left="266" w:hanging="266"/>
              <w:rPr>
                <w:b/>
              </w:rPr>
            </w:pPr>
            <w:r>
              <w:rPr>
                <w:b/>
              </w:rPr>
              <w:t>Viiteasiakirja</w:t>
            </w:r>
          </w:p>
        </w:tc>
        <w:tc>
          <w:tcPr>
            <w:tcW w:w="3814" w:type="pct"/>
          </w:tcPr>
          <w:p w:rsidRPr="00E305AA" w:rsidR="00460F68" w:rsidP="00D33D43" w:rsidRDefault="00460F68" w14:paraId="026E6AF1" w14:textId="77777777">
            <w:pPr>
              <w:tabs>
                <w:tab w:val="center" w:pos="284"/>
              </w:tabs>
              <w:ind w:left="266" w:hanging="266"/>
            </w:pPr>
            <w:r>
              <w:t>oma-aloitteinen lausunto</w:t>
            </w:r>
          </w:p>
          <w:p w:rsidRPr="00A6689B" w:rsidR="00460F68" w:rsidP="00D33D43" w:rsidRDefault="00460F68" w14:paraId="61094FF4" w14:textId="77777777">
            <w:pPr>
              <w:tabs>
                <w:tab w:val="center" w:pos="284"/>
              </w:tabs>
              <w:ind w:left="266" w:hanging="266"/>
            </w:pPr>
            <w:r>
              <w:t>EESC-2025-00372-00-00-AC</w:t>
            </w:r>
          </w:p>
        </w:tc>
      </w:tr>
      <w:tr w:rsidRPr="00A6689B" w:rsidR="00460F68" w:rsidTr="00D33D43" w14:paraId="546766B7" w14:textId="77777777">
        <w:tc>
          <w:tcPr>
            <w:tcW w:w="1186" w:type="pct"/>
            <w:vMerge/>
          </w:tcPr>
          <w:p w:rsidRPr="00A6689B" w:rsidR="00460F68" w:rsidP="00D33D43" w:rsidRDefault="00460F68" w14:paraId="546509DB" w14:textId="77777777">
            <w:pPr>
              <w:tabs>
                <w:tab w:val="center" w:pos="284"/>
              </w:tabs>
              <w:ind w:left="266" w:hanging="266"/>
              <w:rPr>
                <w:b/>
                <w:lang w:val="en-US"/>
              </w:rPr>
            </w:pPr>
          </w:p>
        </w:tc>
        <w:tc>
          <w:tcPr>
            <w:tcW w:w="3814" w:type="pct"/>
          </w:tcPr>
          <w:p w:rsidRPr="00A6689B" w:rsidR="00460F68" w:rsidP="00D33D43" w:rsidRDefault="00460F68" w14:paraId="4337F2B8" w14:textId="77777777">
            <w:pPr>
              <w:tabs>
                <w:tab w:val="center" w:pos="284"/>
              </w:tabs>
              <w:ind w:left="266" w:hanging="266"/>
              <w:rPr>
                <w:lang w:val="en-US"/>
              </w:rPr>
            </w:pPr>
          </w:p>
        </w:tc>
      </w:tr>
    </w:tbl>
    <w:p w:rsidRPr="00A6689B" w:rsidR="00460F68" w:rsidP="00460F68" w:rsidRDefault="00460F68" w14:paraId="1DDC6D93" w14:textId="77777777">
      <w:pPr>
        <w:tabs>
          <w:tab w:val="center" w:pos="284"/>
        </w:tabs>
        <w:ind w:left="266" w:hanging="266"/>
      </w:pPr>
    </w:p>
    <w:p w:rsidRPr="00A6689B" w:rsidR="00460F68" w:rsidP="00460F68" w:rsidRDefault="00460F68" w14:paraId="2C6453E1" w14:textId="77777777">
      <w:pPr>
        <w:keepNext/>
        <w:keepLines/>
        <w:tabs>
          <w:tab w:val="center" w:pos="284"/>
        </w:tabs>
        <w:ind w:left="266" w:hanging="266"/>
        <w:rPr>
          <w:b/>
        </w:rPr>
      </w:pPr>
      <w:r>
        <w:rPr>
          <w:b/>
        </w:rPr>
        <w:t xml:space="preserve"> Keskeiset kohdat</w:t>
      </w:r>
    </w:p>
    <w:p w:rsidRPr="00A6689B" w:rsidR="00460F68" w:rsidP="00460F68" w:rsidRDefault="00460F68" w14:paraId="1FF2B06A" w14:textId="77777777">
      <w:pPr>
        <w:keepNext/>
        <w:keepLines/>
        <w:tabs>
          <w:tab w:val="center" w:pos="284"/>
        </w:tabs>
        <w:ind w:left="266" w:hanging="266"/>
        <w:rPr>
          <w:b/>
        </w:rPr>
      </w:pPr>
    </w:p>
    <w:p w:rsidRPr="003C0F84" w:rsidR="00460F68" w:rsidP="00460F68" w:rsidRDefault="00460F68" w14:paraId="3C668589" w14:textId="77777777">
      <w:pPr>
        <w:rPr>
          <w:bCs/>
          <w:iCs/>
        </w:rPr>
      </w:pPr>
      <w:r>
        <w:t>ETSK</w:t>
      </w:r>
    </w:p>
    <w:p w:rsidRPr="003C0F84" w:rsidR="00460F68" w:rsidP="00460F68" w:rsidRDefault="00460F68" w14:paraId="441DA6FF" w14:textId="77777777">
      <w:pPr>
        <w:rPr>
          <w:bCs/>
          <w:iCs/>
        </w:rPr>
      </w:pPr>
    </w:p>
    <w:p w:rsidRPr="003C0F84" w:rsidR="00460F68" w:rsidP="0091345F" w:rsidRDefault="00460F68" w14:paraId="409C5064" w14:textId="77777777">
      <w:pPr>
        <w:widowControl w:val="0"/>
        <w:numPr>
          <w:ilvl w:val="0"/>
          <w:numId w:val="15"/>
        </w:numPr>
        <w:overflowPunct w:val="0"/>
        <w:autoSpaceDE w:val="0"/>
        <w:autoSpaceDN w:val="0"/>
        <w:adjustRightInd w:val="0"/>
        <w:ind w:left="709" w:hanging="425"/>
        <w:textAlignment w:val="baseline"/>
        <w:rPr>
          <w:bCs/>
          <w:iCs/>
        </w:rPr>
      </w:pPr>
      <w:r>
        <w:t>suosittaa, että kaupunkiliikenteen parantamiseksi ja ympäristövaikutusten vähentämiseksi laaditaan kestävän kaupunkiliikenteen suunnitelmia. ETSK kehottaa jäsenvaltioita laatimaan kansalliset ohjelmat, joiden tarkoituksena on auttaa paikallis- ja alueviranomaisia kestävän kaupunkiliikenteen suunnitelmien kehittämisessä ja täytäntöönpanossa ohjauksen, valmiuksien kehittämisen ja rahoituksen avulla, ja komissiota tukemaan CIVINET-verkostojen toiminnan jatkamista ja laajentamista.</w:t>
      </w:r>
    </w:p>
    <w:p w:rsidRPr="003C0F84" w:rsidR="00460F68" w:rsidP="0091345F" w:rsidRDefault="00460F68" w14:paraId="47C4D84E" w14:textId="77777777">
      <w:pPr>
        <w:widowControl w:val="0"/>
        <w:numPr>
          <w:ilvl w:val="0"/>
          <w:numId w:val="15"/>
        </w:numPr>
        <w:overflowPunct w:val="0"/>
        <w:autoSpaceDE w:val="0"/>
        <w:autoSpaceDN w:val="0"/>
        <w:adjustRightInd w:val="0"/>
        <w:ind w:left="709" w:hanging="425"/>
        <w:textAlignment w:val="baseline"/>
        <w:rPr>
          <w:bCs/>
          <w:iCs/>
        </w:rPr>
      </w:pPr>
      <w:r>
        <w:t xml:space="preserve">toteaa, että kestävän kaupunkiliikenteen suunnitelmilla on avainasema tasapainoisessa aluekehityksessä. Tärkeänä askeleena on valjastaa alueen luovuus ja sosiaalinen pääoma; työnantaja- ja työntekijäjärjestöillä ja kansalaisyhteiskunnan organisaatioilla on keskeinen rooli, ja niitä on kannustettava osallistumaan tähän vuoropuheluun. Suunnitteluun on tärkeää ottaa mukaan kaikki asiaankuuluvat paikallisen, kansallisen ja EU:n tason sidosryhmät, myös silloin, kun on kyse </w:t>
      </w:r>
      <w:proofErr w:type="spellStart"/>
      <w:r>
        <w:t>rajatylittävistä</w:t>
      </w:r>
      <w:proofErr w:type="spellEnd"/>
      <w:r>
        <w:t xml:space="preserve"> asioista.</w:t>
      </w:r>
    </w:p>
    <w:p w:rsidRPr="003C0F84" w:rsidR="00460F68" w:rsidP="0091345F" w:rsidRDefault="00460F68" w14:paraId="65AB0937" w14:textId="77777777">
      <w:pPr>
        <w:widowControl w:val="0"/>
        <w:numPr>
          <w:ilvl w:val="0"/>
          <w:numId w:val="15"/>
        </w:numPr>
        <w:overflowPunct w:val="0"/>
        <w:autoSpaceDE w:val="0"/>
        <w:autoSpaceDN w:val="0"/>
        <w:adjustRightInd w:val="0"/>
        <w:ind w:left="709" w:hanging="425"/>
        <w:textAlignment w:val="baseline"/>
      </w:pPr>
      <w:r>
        <w:t>katsoo, että kaupunkiliikennettä suunniteltaessa on huomioitava, että kaupunkialueiden sosiaalinen ja taloudellinen elämä ulottuu aina esikaupunkialueille, kaupunkien lähiympäristöön ja maaseutualueille ja että näiden näkemykset ja tarpeet on otettava huomioon. Liikennejärjestelmä, joka ei ole tehokas, luo ja ylläpitää kaupunkien ja maaseudun välistä kuilua ja siitä aiheutuvia kielteisiä taloudellisia, sosiaalisia ja poliittisia vaikutuksia. Liikennejärjestelmän oikeudenmukaisuus tarkoittaa, että liikkuminen on kohtuuhintaista eikä luo etuoikeuksia niille, jotka ovat jo paremmassa asemassa.</w:t>
      </w:r>
    </w:p>
    <w:p w:rsidR="00460F68" w:rsidP="00460F68" w:rsidRDefault="00460F68" w14:paraId="6D8D7DDC" w14:textId="77777777">
      <w:pPr>
        <w:widowControl w:val="0"/>
      </w:pPr>
    </w:p>
    <w:p w:rsidRPr="000624A9" w:rsidR="00460F68" w:rsidP="00460F68" w:rsidRDefault="00460F68" w14:paraId="68225CED" w14:textId="77777777">
      <w:pPr>
        <w:widowControl w:val="0"/>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A6689B" w:rsidR="00460F68" w:rsidTr="00D33D43" w14:paraId="7DAEFFC2" w14:textId="77777777">
        <w:tc>
          <w:tcPr>
            <w:tcW w:w="1556" w:type="pct"/>
          </w:tcPr>
          <w:p w:rsidRPr="00A6689B" w:rsidR="00460F68" w:rsidP="00D33D43" w:rsidRDefault="00460F68" w14:paraId="0953E19E" w14:textId="77777777">
            <w:pPr>
              <w:spacing w:line="240" w:lineRule="auto"/>
              <w:rPr>
                <w:i/>
              </w:rPr>
            </w:pPr>
            <w:r>
              <w:rPr>
                <w:b/>
                <w:i/>
              </w:rPr>
              <w:t>Yhteydenotot</w:t>
            </w:r>
          </w:p>
        </w:tc>
        <w:tc>
          <w:tcPr>
            <w:tcW w:w="3444" w:type="pct"/>
          </w:tcPr>
          <w:p w:rsidRPr="00A6689B" w:rsidR="00460F68" w:rsidP="00D33D43" w:rsidRDefault="00460F68" w14:paraId="720324FD" w14:textId="77777777">
            <w:pPr>
              <w:spacing w:line="240" w:lineRule="auto"/>
              <w:rPr>
                <w:i/>
              </w:rPr>
            </w:pPr>
            <w:r>
              <w:rPr>
                <w:i/>
              </w:rPr>
              <w:t xml:space="preserve">Maja </w:t>
            </w:r>
            <w:proofErr w:type="spellStart"/>
            <w:r>
              <w:rPr>
                <w:i/>
              </w:rPr>
              <w:t>Radman</w:t>
            </w:r>
            <w:proofErr w:type="spellEnd"/>
          </w:p>
        </w:tc>
      </w:tr>
      <w:tr w:rsidRPr="00A6689B" w:rsidR="00460F68" w:rsidTr="00D33D43" w14:paraId="05DE0865" w14:textId="77777777">
        <w:tc>
          <w:tcPr>
            <w:tcW w:w="1556" w:type="pct"/>
          </w:tcPr>
          <w:p w:rsidRPr="00A6689B" w:rsidR="00460F68" w:rsidP="00D33D43" w:rsidRDefault="00460F68" w14:paraId="3D96AD70" w14:textId="77777777">
            <w:pPr>
              <w:spacing w:line="240" w:lineRule="auto"/>
              <w:rPr>
                <w:i/>
              </w:rPr>
            </w:pPr>
            <w:r>
              <w:rPr>
                <w:i/>
              </w:rPr>
              <w:t>P.</w:t>
            </w:r>
          </w:p>
        </w:tc>
        <w:tc>
          <w:tcPr>
            <w:tcW w:w="3444" w:type="pct"/>
          </w:tcPr>
          <w:p w:rsidRPr="00A6689B" w:rsidR="00460F68" w:rsidP="00D33D43" w:rsidRDefault="00460F68" w14:paraId="5888742F" w14:textId="77777777">
            <w:pPr>
              <w:spacing w:line="240" w:lineRule="auto"/>
              <w:rPr>
                <w:i/>
              </w:rPr>
            </w:pPr>
            <w:r>
              <w:rPr>
                <w:i/>
              </w:rPr>
              <w:t>+32 25469051</w:t>
            </w:r>
          </w:p>
        </w:tc>
      </w:tr>
      <w:tr w:rsidRPr="00A6689B" w:rsidR="00460F68" w:rsidTr="00D33D43" w14:paraId="244206C1" w14:textId="77777777">
        <w:tc>
          <w:tcPr>
            <w:tcW w:w="1556" w:type="pct"/>
          </w:tcPr>
          <w:p w:rsidRPr="00A6689B" w:rsidR="00460F68" w:rsidP="00D33D43" w:rsidRDefault="00460F68" w14:paraId="31F4AB96" w14:textId="77777777">
            <w:pPr>
              <w:spacing w:line="240" w:lineRule="auto"/>
              <w:rPr>
                <w:i/>
              </w:rPr>
            </w:pPr>
            <w:r>
              <w:rPr>
                <w:i/>
              </w:rPr>
              <w:t>Sähköposti</w:t>
            </w:r>
          </w:p>
        </w:tc>
        <w:tc>
          <w:tcPr>
            <w:tcW w:w="3444" w:type="pct"/>
          </w:tcPr>
          <w:p w:rsidRPr="00AD6361" w:rsidR="00460F68" w:rsidP="00D33D43" w:rsidRDefault="00460F68" w14:paraId="1267695E" w14:textId="77777777">
            <w:pPr>
              <w:spacing w:line="240" w:lineRule="auto"/>
              <w:rPr>
                <w:i/>
                <w:iCs/>
              </w:rPr>
            </w:pPr>
            <w:hyperlink w:history="1" r:id="rId41">
              <w:r>
                <w:rPr>
                  <w:rStyle w:val="Hyperlink"/>
                  <w:i/>
                </w:rPr>
                <w:t>Maja.Radman@eesc.europa.eu</w:t>
              </w:r>
            </w:hyperlink>
            <w:r>
              <w:rPr>
                <w:i/>
              </w:rPr>
              <w:t xml:space="preserve"> </w:t>
            </w:r>
          </w:p>
        </w:tc>
      </w:tr>
    </w:tbl>
    <w:p w:rsidRPr="00240FD7" w:rsidR="00240FD7" w:rsidP="00240FD7" w:rsidRDefault="00240FD7" w14:paraId="25DFC435" w14:textId="77777777">
      <w:pPr>
        <w:overflowPunct w:val="0"/>
        <w:autoSpaceDE w:val="0"/>
        <w:autoSpaceDN w:val="0"/>
        <w:adjustRightInd w:val="0"/>
        <w:jc w:val="center"/>
        <w:textAlignment w:val="baseline"/>
        <w:rPr>
          <w:szCs w:val="20"/>
        </w:rPr>
      </w:pPr>
    </w:p>
    <w:p w:rsidR="004D7AC0" w:rsidP="004D7AC0" w:rsidRDefault="004D7AC0" w14:paraId="4982DDF2" w14:textId="50B1413F">
      <w:pPr>
        <w:spacing w:after="160" w:line="259" w:lineRule="auto"/>
        <w:jc w:val="left"/>
      </w:pPr>
      <w:r>
        <w:br w:type="page"/>
      </w:r>
    </w:p>
    <w:p w:rsidR="004D7AC0" w:rsidP="004D7AC0" w:rsidRDefault="004D7AC0" w14:paraId="4982DDF3" w14:textId="77777777">
      <w:pPr>
        <w:pStyle w:val="Heading1"/>
        <w:rPr>
          <w:b/>
        </w:rPr>
      </w:pPr>
      <w:bookmarkStart w:name="_Toc75527083" w:id="12"/>
      <w:bookmarkStart w:name="_Toc202363000" w:id="13"/>
      <w:r>
        <w:rPr>
          <w:b/>
        </w:rPr>
        <w:lastRenderedPageBreak/>
        <w:t>SISÄMARKKINAT, TUOTANTO JA KULUTUS</w:t>
      </w:r>
      <w:bookmarkEnd w:id="12"/>
      <w:bookmarkEnd w:id="13"/>
    </w:p>
    <w:p w:rsidR="004D7AC0" w:rsidP="004D7AC0" w:rsidRDefault="004D7AC0" w14:paraId="4982DDF4" w14:textId="77777777"/>
    <w:p w:rsidRPr="0003586F" w:rsidR="00460F68" w:rsidP="0091345F" w:rsidRDefault="00460F68" w14:paraId="4FB6DE50" w14:textId="77777777">
      <w:pPr>
        <w:widowControl w:val="0"/>
        <w:numPr>
          <w:ilvl w:val="0"/>
          <w:numId w:val="15"/>
        </w:numPr>
        <w:overflowPunct w:val="0"/>
        <w:autoSpaceDE w:val="0"/>
        <w:autoSpaceDN w:val="0"/>
        <w:adjustRightInd w:val="0"/>
        <w:ind w:hanging="567"/>
        <w:textAlignment w:val="baseline"/>
        <w:rPr>
          <w:sz w:val="20"/>
        </w:rPr>
      </w:pPr>
      <w:hyperlink w:tgtFrame="_blank" w:history="1" r:id="rId42">
        <w:r>
          <w:rPr>
            <w:rStyle w:val="Hyperlink"/>
            <w:b/>
            <w:i/>
            <w:sz w:val="28"/>
          </w:rPr>
          <w:t>Akkuja ja paristoja koskevat asianmukaisen huolellisuuden toimintapolitiikat</w:t>
        </w:r>
      </w:hyperlink>
    </w:p>
    <w:p w:rsidRPr="00A6689B" w:rsidR="00460F68" w:rsidP="00460F68" w:rsidRDefault="00460F68" w14:paraId="357B843F" w14:textId="77777777">
      <w:pPr>
        <w:tabs>
          <w:tab w:val="center" w:pos="284"/>
        </w:tabs>
        <w:ind w:left="266" w:hanging="266"/>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142"/>
        <w:gridCol w:w="7053"/>
      </w:tblGrid>
      <w:tr w:rsidRPr="00A6689B" w:rsidR="00460F68" w:rsidTr="00D33D43" w14:paraId="64C6D7FB" w14:textId="77777777">
        <w:tc>
          <w:tcPr>
            <w:tcW w:w="2127" w:type="dxa"/>
            <w:gridSpan w:val="2"/>
          </w:tcPr>
          <w:p w:rsidRPr="00A6689B" w:rsidR="00460F68" w:rsidP="00D33D43" w:rsidRDefault="00460F68" w14:paraId="5E8D2EEA" w14:textId="77777777">
            <w:pPr>
              <w:tabs>
                <w:tab w:val="center" w:pos="284"/>
              </w:tabs>
              <w:ind w:left="266" w:hanging="266"/>
              <w:jc w:val="left"/>
              <w:rPr>
                <w:b/>
              </w:rPr>
            </w:pPr>
            <w:r>
              <w:rPr>
                <w:b/>
              </w:rPr>
              <w:t>Ryhmään C kuuluva lausunto</w:t>
            </w:r>
          </w:p>
        </w:tc>
        <w:tc>
          <w:tcPr>
            <w:tcW w:w="7053" w:type="dxa"/>
          </w:tcPr>
          <w:p w:rsidRPr="00A6689B" w:rsidR="00460F68" w:rsidP="00D33D43" w:rsidRDefault="00460F68" w14:paraId="694DB287" w14:textId="77777777">
            <w:pPr>
              <w:tabs>
                <w:tab w:val="center" w:pos="284"/>
              </w:tabs>
              <w:ind w:left="266" w:hanging="266"/>
              <w:jc w:val="left"/>
              <w:rPr>
                <w:lang w:val="en-US"/>
              </w:rPr>
            </w:pPr>
          </w:p>
        </w:tc>
      </w:tr>
      <w:tr w:rsidRPr="00A6689B" w:rsidR="00460F68" w:rsidTr="00D33D43" w14:paraId="538FD7B1" w14:textId="77777777">
        <w:tc>
          <w:tcPr>
            <w:tcW w:w="9180" w:type="dxa"/>
            <w:gridSpan w:val="3"/>
          </w:tcPr>
          <w:p w:rsidRPr="00A6689B" w:rsidR="00460F68" w:rsidP="00D33D43" w:rsidRDefault="00460F68" w14:paraId="3B58AA73" w14:textId="77777777">
            <w:pPr>
              <w:tabs>
                <w:tab w:val="center" w:pos="284"/>
              </w:tabs>
              <w:spacing w:line="160" w:lineRule="exact"/>
              <w:ind w:left="266" w:hanging="266"/>
              <w:rPr>
                <w:lang w:val="en-US"/>
              </w:rPr>
            </w:pPr>
          </w:p>
        </w:tc>
      </w:tr>
      <w:tr w:rsidRPr="00A6689B" w:rsidR="00460F68" w:rsidTr="00D33D43" w14:paraId="7AF631E3" w14:textId="77777777">
        <w:tc>
          <w:tcPr>
            <w:tcW w:w="1985" w:type="dxa"/>
            <w:vMerge w:val="restart"/>
          </w:tcPr>
          <w:p w:rsidRPr="00A6689B" w:rsidR="00460F68" w:rsidP="00D33D43" w:rsidRDefault="00460F68" w14:paraId="505279F1" w14:textId="77777777">
            <w:pPr>
              <w:tabs>
                <w:tab w:val="center" w:pos="284"/>
              </w:tabs>
              <w:ind w:left="266" w:hanging="266"/>
              <w:rPr>
                <w:b/>
              </w:rPr>
            </w:pPr>
            <w:r>
              <w:rPr>
                <w:b/>
              </w:rPr>
              <w:t>Viiteasiakirjat</w:t>
            </w:r>
          </w:p>
        </w:tc>
        <w:tc>
          <w:tcPr>
            <w:tcW w:w="7195" w:type="dxa"/>
            <w:gridSpan w:val="2"/>
          </w:tcPr>
          <w:p w:rsidRPr="00A6689B" w:rsidR="00460F68" w:rsidP="00D33D43" w:rsidRDefault="00460F68" w14:paraId="071CE7D3" w14:textId="77777777">
            <w:pPr>
              <w:tabs>
                <w:tab w:val="center" w:pos="284"/>
              </w:tabs>
              <w:ind w:left="266" w:hanging="266"/>
            </w:pPr>
            <w:proofErr w:type="gramStart"/>
            <w:r>
              <w:t>COM(</w:t>
            </w:r>
            <w:proofErr w:type="gramEnd"/>
            <w:r>
              <w:t xml:space="preserve">2025) 258 </w:t>
            </w:r>
            <w:proofErr w:type="spellStart"/>
            <w:r>
              <w:t>final</w:t>
            </w:r>
            <w:proofErr w:type="spellEnd"/>
          </w:p>
        </w:tc>
      </w:tr>
      <w:tr w:rsidRPr="00A6689B" w:rsidR="00460F68" w:rsidTr="00D33D43" w14:paraId="1C3A36D5" w14:textId="77777777">
        <w:tc>
          <w:tcPr>
            <w:tcW w:w="1985" w:type="dxa"/>
            <w:vMerge/>
          </w:tcPr>
          <w:p w:rsidRPr="00A6689B" w:rsidR="00460F68" w:rsidP="00D33D43" w:rsidRDefault="00460F68" w14:paraId="51E4C00F" w14:textId="77777777">
            <w:pPr>
              <w:tabs>
                <w:tab w:val="center" w:pos="284"/>
              </w:tabs>
              <w:ind w:left="266" w:hanging="266"/>
              <w:rPr>
                <w:b/>
                <w:lang w:val="en-US"/>
              </w:rPr>
            </w:pPr>
          </w:p>
        </w:tc>
        <w:tc>
          <w:tcPr>
            <w:tcW w:w="7195" w:type="dxa"/>
            <w:gridSpan w:val="2"/>
          </w:tcPr>
          <w:p w:rsidRPr="00A6689B" w:rsidR="00460F68" w:rsidP="00D33D43" w:rsidRDefault="00460F68" w14:paraId="4FA8DD2F" w14:textId="77777777">
            <w:pPr>
              <w:tabs>
                <w:tab w:val="center" w:pos="284"/>
              </w:tabs>
              <w:ind w:left="266" w:hanging="266"/>
            </w:pPr>
            <w:r>
              <w:t>EESC-2025-02082-00-00-AC</w:t>
            </w:r>
          </w:p>
        </w:tc>
      </w:tr>
    </w:tbl>
    <w:p w:rsidRPr="00A6689B" w:rsidR="00460F68" w:rsidP="00460F68" w:rsidRDefault="00460F68" w14:paraId="00564C4B" w14:textId="77777777">
      <w:pPr>
        <w:tabs>
          <w:tab w:val="center" w:pos="284"/>
        </w:tabs>
        <w:ind w:left="266" w:hanging="266"/>
      </w:pPr>
    </w:p>
    <w:p w:rsidRPr="00A6689B" w:rsidR="00460F68" w:rsidP="00460F68" w:rsidRDefault="00460F68" w14:paraId="09B99498" w14:textId="77777777">
      <w:pPr>
        <w:keepNext/>
        <w:keepLines/>
        <w:tabs>
          <w:tab w:val="center" w:pos="284"/>
        </w:tabs>
        <w:ind w:left="266" w:hanging="266"/>
        <w:rPr>
          <w:b/>
        </w:rPr>
      </w:pPr>
      <w:r>
        <w:rPr>
          <w:b/>
        </w:rPr>
        <w:t>Keskeiset kohdat</w:t>
      </w:r>
    </w:p>
    <w:p w:rsidRPr="00A6689B" w:rsidR="00460F68" w:rsidP="00460F68" w:rsidRDefault="00460F68" w14:paraId="2F86394D" w14:textId="77777777">
      <w:pPr>
        <w:keepNext/>
        <w:keepLines/>
        <w:tabs>
          <w:tab w:val="center" w:pos="284"/>
        </w:tabs>
        <w:ind w:left="266" w:hanging="266"/>
        <w:rPr>
          <w:b/>
        </w:rPr>
      </w:pPr>
    </w:p>
    <w:p w:rsidRPr="00A6689B" w:rsidR="00460F68" w:rsidP="00460F68" w:rsidRDefault="00460F68" w14:paraId="4B511C06" w14:textId="77777777">
      <w:pPr>
        <w:rPr>
          <w:bCs/>
          <w:iCs/>
        </w:rPr>
      </w:pPr>
      <w:r>
        <w:t>ETSK katsoo, että asiakirjan sisältö on hyväksyttävä, eikä komitealla ole siihen kommentoitavaa.</w:t>
      </w:r>
    </w:p>
    <w:p w:rsidRPr="00A6689B" w:rsidR="00460F68" w:rsidP="00460F68" w:rsidRDefault="00460F68" w14:paraId="01ACF3B4" w14:textId="77777777">
      <w:pPr>
        <w:rPr>
          <w:bCs/>
          <w:i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762"/>
      </w:tblGrid>
      <w:tr w:rsidRPr="00611B53" w:rsidR="00460F68" w:rsidTr="00D33D43" w14:paraId="15FBBE8B" w14:textId="77777777">
        <w:tc>
          <w:tcPr>
            <w:tcW w:w="1418" w:type="dxa"/>
          </w:tcPr>
          <w:p w:rsidRPr="00611B53" w:rsidR="00460F68" w:rsidP="00D33D43" w:rsidRDefault="00460F68" w14:paraId="630DF031" w14:textId="77777777">
            <w:pPr>
              <w:spacing w:line="240" w:lineRule="auto"/>
              <w:rPr>
                <w:i/>
              </w:rPr>
            </w:pPr>
            <w:r>
              <w:rPr>
                <w:b/>
                <w:i/>
              </w:rPr>
              <w:t>Yhteydenotot</w:t>
            </w:r>
          </w:p>
        </w:tc>
        <w:tc>
          <w:tcPr>
            <w:tcW w:w="7762" w:type="dxa"/>
          </w:tcPr>
          <w:p w:rsidRPr="00611B53" w:rsidR="00460F68" w:rsidP="00D33D43" w:rsidRDefault="00460F68" w14:paraId="28C483A9" w14:textId="77777777">
            <w:pPr>
              <w:spacing w:line="240" w:lineRule="auto"/>
              <w:rPr>
                <w:i/>
              </w:rPr>
            </w:pPr>
            <w:r>
              <w:rPr>
                <w:i/>
              </w:rPr>
              <w:t>Alice </w:t>
            </w:r>
            <w:proofErr w:type="spellStart"/>
            <w:r>
              <w:rPr>
                <w:i/>
              </w:rPr>
              <w:t>Tétu</w:t>
            </w:r>
            <w:proofErr w:type="spellEnd"/>
          </w:p>
        </w:tc>
      </w:tr>
      <w:tr w:rsidRPr="00611B53" w:rsidR="00460F68" w:rsidTr="00D33D43" w14:paraId="08332171" w14:textId="77777777">
        <w:tc>
          <w:tcPr>
            <w:tcW w:w="1418" w:type="dxa"/>
          </w:tcPr>
          <w:p w:rsidRPr="00611B53" w:rsidR="00460F68" w:rsidP="00D33D43" w:rsidRDefault="00460F68" w14:paraId="75C98D4B" w14:textId="77777777">
            <w:pPr>
              <w:spacing w:line="240" w:lineRule="auto"/>
              <w:rPr>
                <w:i/>
              </w:rPr>
            </w:pPr>
            <w:r>
              <w:rPr>
                <w:i/>
              </w:rPr>
              <w:t>P.</w:t>
            </w:r>
          </w:p>
        </w:tc>
        <w:tc>
          <w:tcPr>
            <w:tcW w:w="7762" w:type="dxa"/>
          </w:tcPr>
          <w:p w:rsidRPr="00611B53" w:rsidR="00460F68" w:rsidP="00D33D43" w:rsidRDefault="00460F68" w14:paraId="503E7C4B" w14:textId="77777777">
            <w:pPr>
              <w:spacing w:line="240" w:lineRule="auto"/>
              <w:rPr>
                <w:i/>
              </w:rPr>
            </w:pPr>
            <w:r>
              <w:rPr>
                <w:i/>
              </w:rPr>
              <w:t>+ 32 25468286</w:t>
            </w:r>
          </w:p>
        </w:tc>
      </w:tr>
      <w:tr w:rsidRPr="00611B53" w:rsidR="00460F68" w:rsidTr="00D33D43" w14:paraId="1D293692" w14:textId="77777777">
        <w:tc>
          <w:tcPr>
            <w:tcW w:w="1418" w:type="dxa"/>
          </w:tcPr>
          <w:p w:rsidRPr="00611B53" w:rsidR="00460F68" w:rsidP="00D33D43" w:rsidRDefault="00460F68" w14:paraId="2C969783" w14:textId="77777777">
            <w:pPr>
              <w:spacing w:line="240" w:lineRule="auto"/>
              <w:rPr>
                <w:i/>
              </w:rPr>
            </w:pPr>
            <w:r>
              <w:rPr>
                <w:i/>
              </w:rPr>
              <w:t>Sähköposti</w:t>
            </w:r>
          </w:p>
        </w:tc>
        <w:tc>
          <w:tcPr>
            <w:tcW w:w="7762" w:type="dxa"/>
          </w:tcPr>
          <w:p w:rsidRPr="00611B53" w:rsidR="00460F68" w:rsidP="00D33D43" w:rsidRDefault="00460F68" w14:paraId="283F3D8E" w14:textId="77777777">
            <w:pPr>
              <w:spacing w:line="240" w:lineRule="auto"/>
              <w:rPr>
                <w:i/>
              </w:rPr>
            </w:pPr>
            <w:hyperlink w:history="1" r:id="rId43">
              <w:r>
                <w:rPr>
                  <w:rStyle w:val="Hyperlink"/>
                  <w:i/>
                </w:rPr>
                <w:t>Alice.Tetu@eesc.europa.eu</w:t>
              </w:r>
            </w:hyperlink>
          </w:p>
        </w:tc>
      </w:tr>
    </w:tbl>
    <w:p w:rsidR="00254761" w:rsidRDefault="00254761" w14:paraId="13016555" w14:textId="77777777">
      <w:pPr>
        <w:spacing w:after="160" w:line="259" w:lineRule="auto"/>
        <w:jc w:val="left"/>
        <w:rPr>
          <w:b/>
          <w:i/>
          <w:sz w:val="28"/>
          <w:szCs w:val="28"/>
        </w:rPr>
      </w:pPr>
      <w:r>
        <w:br w:type="page"/>
      </w:r>
    </w:p>
    <w:p w:rsidRPr="003D0547" w:rsidR="00460F68" w:rsidP="0091345F" w:rsidRDefault="00460F68" w14:paraId="03AC961A" w14:textId="77777777">
      <w:pPr>
        <w:widowControl w:val="0"/>
        <w:numPr>
          <w:ilvl w:val="0"/>
          <w:numId w:val="15"/>
        </w:numPr>
        <w:overflowPunct w:val="0"/>
        <w:autoSpaceDE w:val="0"/>
        <w:autoSpaceDN w:val="0"/>
        <w:adjustRightInd w:val="0"/>
        <w:ind w:hanging="567"/>
        <w:textAlignment w:val="baseline"/>
        <w:rPr>
          <w:b/>
        </w:rPr>
      </w:pPr>
      <w:hyperlink w:tgtFrame="_blank" w:history="1" r:id="rId44">
        <w:r>
          <w:rPr>
            <w:rStyle w:val="Hyperlink"/>
            <w:b/>
            <w:i/>
            <w:sz w:val="28"/>
          </w:rPr>
          <w:t>Ensimmäinen koontipaketti, aiheena kestävyys</w:t>
        </w:r>
      </w:hyperlink>
      <w:r>
        <w:rPr>
          <w:b/>
          <w:i/>
          <w:sz w:val="28"/>
        </w:rPr>
        <w:t xml:space="preserve"> </w:t>
      </w:r>
    </w:p>
    <w:p w:rsidRPr="003D0547" w:rsidR="00460F68" w:rsidP="00460F68" w:rsidRDefault="00460F68" w14:paraId="0F0723F6" w14:textId="77777777">
      <w:pPr>
        <w:widowControl w:val="0"/>
        <w:ind w:left="567"/>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A6689B" w:rsidR="00460F68" w:rsidTr="00D33D43" w14:paraId="5D9B917D" w14:textId="77777777">
        <w:tc>
          <w:tcPr>
            <w:tcW w:w="1701" w:type="dxa"/>
          </w:tcPr>
          <w:p w:rsidRPr="00A6689B" w:rsidR="00460F68" w:rsidP="00D33D43" w:rsidRDefault="00460F68" w14:paraId="1FFB56E8" w14:textId="77777777">
            <w:pPr>
              <w:tabs>
                <w:tab w:val="center" w:pos="284"/>
              </w:tabs>
              <w:ind w:left="266" w:hanging="266"/>
              <w:rPr>
                <w:b/>
              </w:rPr>
            </w:pPr>
            <w:r>
              <w:rPr>
                <w:b/>
              </w:rPr>
              <w:t>Esittelijä</w:t>
            </w:r>
          </w:p>
        </w:tc>
        <w:tc>
          <w:tcPr>
            <w:tcW w:w="5387" w:type="dxa"/>
          </w:tcPr>
          <w:p w:rsidRPr="00A6689B" w:rsidR="00460F68" w:rsidP="00D33D43" w:rsidRDefault="00460F68" w14:paraId="0841C126" w14:textId="77777777">
            <w:pPr>
              <w:tabs>
                <w:tab w:val="center" w:pos="284"/>
              </w:tabs>
              <w:ind w:left="266" w:hanging="266"/>
            </w:pPr>
            <w:proofErr w:type="spellStart"/>
            <w:r>
              <w:t>Matteo</w:t>
            </w:r>
            <w:proofErr w:type="spellEnd"/>
            <w:r>
              <w:t xml:space="preserve"> Carlo BORSANI (työnantajat – IT)</w:t>
            </w:r>
          </w:p>
        </w:tc>
      </w:tr>
      <w:tr w:rsidRPr="00A6689B" w:rsidR="00460F68" w:rsidTr="00D33D43" w14:paraId="31AAF736" w14:textId="77777777">
        <w:tc>
          <w:tcPr>
            <w:tcW w:w="7088" w:type="dxa"/>
            <w:gridSpan w:val="2"/>
          </w:tcPr>
          <w:p w:rsidRPr="003D0547" w:rsidR="00460F68" w:rsidP="00D33D43" w:rsidRDefault="00460F68" w14:paraId="34295B93" w14:textId="77777777">
            <w:pPr>
              <w:tabs>
                <w:tab w:val="center" w:pos="284"/>
              </w:tabs>
              <w:spacing w:line="160" w:lineRule="exact"/>
              <w:ind w:left="266" w:hanging="266"/>
            </w:pPr>
          </w:p>
        </w:tc>
      </w:tr>
      <w:tr w:rsidRPr="00A6689B" w:rsidR="00460F68" w:rsidTr="00D33D43" w14:paraId="78077FAA" w14:textId="77777777">
        <w:tc>
          <w:tcPr>
            <w:tcW w:w="1701" w:type="dxa"/>
            <w:vMerge w:val="restart"/>
          </w:tcPr>
          <w:p w:rsidRPr="00A6689B" w:rsidR="00460F68" w:rsidP="00D33D43" w:rsidRDefault="00460F68" w14:paraId="06DAA02C" w14:textId="77777777">
            <w:pPr>
              <w:tabs>
                <w:tab w:val="center" w:pos="284"/>
              </w:tabs>
              <w:ind w:left="266" w:hanging="266"/>
              <w:rPr>
                <w:b/>
              </w:rPr>
            </w:pPr>
            <w:r>
              <w:rPr>
                <w:b/>
              </w:rPr>
              <w:t>Viiteasiakirjat</w:t>
            </w:r>
          </w:p>
        </w:tc>
        <w:tc>
          <w:tcPr>
            <w:tcW w:w="5387" w:type="dxa"/>
          </w:tcPr>
          <w:p w:rsidRPr="00A6689B" w:rsidR="00460F68" w:rsidP="00D33D43" w:rsidRDefault="00460F68" w14:paraId="0C3F6B64" w14:textId="77777777">
            <w:pPr>
              <w:tabs>
                <w:tab w:val="center" w:pos="284"/>
              </w:tabs>
              <w:ind w:left="266" w:hanging="266"/>
            </w:pPr>
            <w:proofErr w:type="gramStart"/>
            <w:r>
              <w:t>COM(</w:t>
            </w:r>
            <w:proofErr w:type="gramEnd"/>
            <w:r>
              <w:t xml:space="preserve">2025) 81 </w:t>
            </w:r>
            <w:proofErr w:type="spellStart"/>
            <w:r>
              <w:t>final</w:t>
            </w:r>
            <w:proofErr w:type="spellEnd"/>
            <w:r>
              <w:t xml:space="preserve"> – 2025/0045 (COD)</w:t>
            </w:r>
          </w:p>
        </w:tc>
      </w:tr>
      <w:tr w:rsidRPr="00A6689B" w:rsidR="00460F68" w:rsidTr="00D33D43" w14:paraId="5776ACAA" w14:textId="77777777">
        <w:tc>
          <w:tcPr>
            <w:tcW w:w="1701" w:type="dxa"/>
            <w:vMerge/>
          </w:tcPr>
          <w:p w:rsidRPr="00A6689B" w:rsidR="00460F68" w:rsidP="00D33D43" w:rsidRDefault="00460F68" w14:paraId="52B9A0A1" w14:textId="77777777">
            <w:pPr>
              <w:tabs>
                <w:tab w:val="center" w:pos="284"/>
              </w:tabs>
              <w:ind w:left="266" w:hanging="266"/>
              <w:rPr>
                <w:b/>
                <w:lang w:val="en-US"/>
              </w:rPr>
            </w:pPr>
          </w:p>
        </w:tc>
        <w:tc>
          <w:tcPr>
            <w:tcW w:w="5387" w:type="dxa"/>
          </w:tcPr>
          <w:p w:rsidRPr="00A6689B" w:rsidR="00460F68" w:rsidP="00D33D43" w:rsidRDefault="00460F68" w14:paraId="365434B4" w14:textId="77777777">
            <w:pPr>
              <w:tabs>
                <w:tab w:val="center" w:pos="284"/>
              </w:tabs>
              <w:ind w:left="266" w:hanging="266"/>
            </w:pPr>
            <w:r>
              <w:t>EESC-2025-00896-00-00-AC-TRA</w:t>
            </w:r>
          </w:p>
        </w:tc>
      </w:tr>
    </w:tbl>
    <w:p w:rsidRPr="00A6689B" w:rsidR="00460F68" w:rsidP="00460F68" w:rsidRDefault="00460F68" w14:paraId="7ECAD656" w14:textId="77777777">
      <w:pPr>
        <w:tabs>
          <w:tab w:val="center" w:pos="284"/>
        </w:tabs>
        <w:ind w:left="266" w:hanging="266"/>
      </w:pPr>
    </w:p>
    <w:p w:rsidRPr="00A6689B" w:rsidR="00460F68" w:rsidP="00460F68" w:rsidRDefault="00460F68" w14:paraId="468DA69D" w14:textId="77777777">
      <w:pPr>
        <w:keepNext/>
        <w:keepLines/>
        <w:tabs>
          <w:tab w:val="center" w:pos="284"/>
        </w:tabs>
        <w:ind w:left="266" w:hanging="266"/>
        <w:rPr>
          <w:b/>
        </w:rPr>
      </w:pPr>
      <w:r>
        <w:rPr>
          <w:b/>
        </w:rPr>
        <w:t>Keskeiset kohdat</w:t>
      </w:r>
    </w:p>
    <w:p w:rsidRPr="00A6689B" w:rsidR="00460F68" w:rsidP="00460F68" w:rsidRDefault="00460F68" w14:paraId="433DBB2A" w14:textId="77777777">
      <w:pPr>
        <w:keepNext/>
        <w:keepLines/>
        <w:tabs>
          <w:tab w:val="center" w:pos="284"/>
        </w:tabs>
        <w:ind w:left="266" w:hanging="266"/>
        <w:rPr>
          <w:b/>
        </w:rPr>
      </w:pPr>
    </w:p>
    <w:p w:rsidRPr="0027244C" w:rsidR="00460F68" w:rsidP="00460F68" w:rsidRDefault="00460F68" w14:paraId="324203D7" w14:textId="77777777">
      <w:pPr>
        <w:rPr>
          <w:bCs/>
          <w:iCs/>
        </w:rPr>
      </w:pPr>
      <w:r>
        <w:t>ETSK</w:t>
      </w:r>
    </w:p>
    <w:p w:rsidRPr="0027244C" w:rsidR="00460F68" w:rsidP="00460F68" w:rsidRDefault="00460F68" w14:paraId="299A10D2" w14:textId="77777777">
      <w:pPr>
        <w:rPr>
          <w:bCs/>
          <w:iCs/>
        </w:rPr>
      </w:pPr>
    </w:p>
    <w:p w:rsidR="00460F68" w:rsidP="0091345F" w:rsidRDefault="00460F68" w14:paraId="1684073B" w14:textId="77777777">
      <w:pPr>
        <w:pStyle w:val="ListParagraph"/>
        <w:numPr>
          <w:ilvl w:val="0"/>
          <w:numId w:val="14"/>
        </w:numPr>
        <w:spacing w:after="200" w:line="276" w:lineRule="auto"/>
        <w:rPr>
          <w:bCs/>
          <w:iCs/>
        </w:rPr>
      </w:pPr>
      <w:r>
        <w:t xml:space="preserve">kehottaa lainsäätäjiä </w:t>
      </w:r>
      <w:r>
        <w:rPr>
          <w:b/>
        </w:rPr>
        <w:t>varaamaan riittävästi aikaa sidosryhmien ja työmarkkinaosapuolten osallistavaan kuulemiseen</w:t>
      </w:r>
      <w:r>
        <w:t>.</w:t>
      </w:r>
    </w:p>
    <w:p w:rsidR="00460F68" w:rsidP="0091345F" w:rsidRDefault="00460F68" w14:paraId="62162C16" w14:textId="77777777">
      <w:pPr>
        <w:pStyle w:val="ListParagraph"/>
        <w:numPr>
          <w:ilvl w:val="0"/>
          <w:numId w:val="14"/>
        </w:numPr>
        <w:spacing w:after="200" w:line="276" w:lineRule="auto"/>
        <w:rPr>
          <w:bCs/>
          <w:iCs/>
        </w:rPr>
      </w:pPr>
      <w:r>
        <w:t xml:space="preserve">tiedostaa, että </w:t>
      </w:r>
      <w:r>
        <w:rPr>
          <w:b/>
        </w:rPr>
        <w:t>kestävyys- ja avoimuusprosessien toteuttaminen on haastavaa erityisesti pk-yrityksille</w:t>
      </w:r>
      <w:r>
        <w:t>. pk-yritykset ja tilintarkastajat tarvitsevat enemmän apua sääntöjen noudattamiseen. Avun antaminen on välttämätöntä, koska eurooppalaisten arvojen ja sosiaalisten mallien suojelemisesta ei voida tinkiä.</w:t>
      </w:r>
    </w:p>
    <w:p w:rsidR="00460F68" w:rsidP="0091345F" w:rsidRDefault="00460F68" w14:paraId="07A6370A" w14:textId="77777777">
      <w:pPr>
        <w:pStyle w:val="ListParagraph"/>
        <w:numPr>
          <w:ilvl w:val="0"/>
          <w:numId w:val="14"/>
        </w:numPr>
        <w:spacing w:after="200" w:line="276" w:lineRule="auto"/>
        <w:rPr>
          <w:bCs/>
          <w:iCs/>
        </w:rPr>
      </w:pPr>
      <w:r>
        <w:t xml:space="preserve">korostaa, että huolellisuusvelvoitteiden noudattaminen on olennaisen tärkeää </w:t>
      </w:r>
      <w:r>
        <w:rPr>
          <w:b/>
        </w:rPr>
        <w:t>liiketoiminnan vastuullisuuden varmistamiseksi ja kestävien arvoketjujen edistämiseksi</w:t>
      </w:r>
      <w:r>
        <w:t xml:space="preserve"> ja peräänkuuluttaa </w:t>
      </w:r>
      <w:r>
        <w:rPr>
          <w:b/>
        </w:rPr>
        <w:t>selkeitä, oikeasuhtaisia sääntöjä ja seuraamuksia</w:t>
      </w:r>
      <w:r>
        <w:t xml:space="preserve">, sillä niitä tarvitaan, jotta yritykset pystyisivät huolehtimaan velvollisuuksistaan asianmukaisesti. </w:t>
      </w:r>
    </w:p>
    <w:p w:rsidR="00460F68" w:rsidP="0091345F" w:rsidRDefault="00460F68" w14:paraId="0E9A3574" w14:textId="77777777">
      <w:pPr>
        <w:pStyle w:val="ListParagraph"/>
        <w:numPr>
          <w:ilvl w:val="0"/>
          <w:numId w:val="14"/>
        </w:numPr>
        <w:spacing w:after="200" w:line="276" w:lineRule="auto"/>
        <w:rPr>
          <w:bCs/>
          <w:iCs/>
        </w:rPr>
      </w:pPr>
      <w:r>
        <w:t xml:space="preserve">pitää tervetulleena komission aikomusta rajata tietyt huolellisuusvelvoitteet koskemaan yrityksen omaa, sen tytäryritysten ja sen suorien liikekumppaneiden toimintaa, mutta pyytää </w:t>
      </w:r>
      <w:r>
        <w:rPr>
          <w:b/>
        </w:rPr>
        <w:t>harkitsemaan poikkeuksen soveltamista yrityksiin, joissa on alle 500 työntekijää ja jotka toimivat korkean riskin toimialoilla. Kaikilla yrityksillä on kuitenkin velvollisuus kunnioittaa ihmisoikeuksia</w:t>
      </w:r>
      <w:r>
        <w:t xml:space="preserve">. </w:t>
      </w:r>
    </w:p>
    <w:p w:rsidR="00460F68" w:rsidP="0091345F" w:rsidRDefault="00460F68" w14:paraId="4D016D2B" w14:textId="77777777">
      <w:pPr>
        <w:pStyle w:val="ListParagraph"/>
        <w:numPr>
          <w:ilvl w:val="0"/>
          <w:numId w:val="14"/>
        </w:numPr>
        <w:spacing w:after="200" w:line="276" w:lineRule="auto"/>
        <w:rPr>
          <w:bCs/>
          <w:iCs/>
        </w:rPr>
      </w:pPr>
      <w:r>
        <w:t xml:space="preserve">vaatii lainsäätäjiä täsmentämään, että </w:t>
      </w:r>
      <w:r>
        <w:rPr>
          <w:b/>
        </w:rPr>
        <w:t>kun yritykset toteuttavat toimenpiteitä perusteellisten arvioiden tekemiseksi, tämän on tapahduttava riskien perusteella</w:t>
      </w:r>
      <w:r>
        <w:t xml:space="preserve"> ja niiden omien kartoitustoimien pohjalta. ETSK kehottaa oikeusvarmuuden parantamiseksi lainsäätäjiä harkitsemaan uudelleen </w:t>
      </w:r>
      <w:r>
        <w:rPr>
          <w:b/>
        </w:rPr>
        <w:t>’uskottavien tietojen’</w:t>
      </w:r>
      <w:r>
        <w:t xml:space="preserve"> käsitteen valintaa.</w:t>
      </w:r>
    </w:p>
    <w:p w:rsidRPr="00D043A5" w:rsidR="00460F68" w:rsidP="0091345F" w:rsidRDefault="00460F68" w14:paraId="4AC5F625" w14:textId="77777777">
      <w:pPr>
        <w:pStyle w:val="ListParagraph"/>
        <w:numPr>
          <w:ilvl w:val="0"/>
          <w:numId w:val="14"/>
        </w:numPr>
        <w:spacing w:after="200" w:line="276" w:lineRule="auto"/>
        <w:rPr>
          <w:bCs/>
          <w:iCs/>
        </w:rPr>
      </w:pPr>
      <w:r>
        <w:t xml:space="preserve">on pahoillaan siitä, että </w:t>
      </w:r>
      <w:r>
        <w:rPr>
          <w:b/>
        </w:rPr>
        <w:t>uhreja eivät voi oikeudenkäynneissä enää edustaa kansalaisjärjestöt</w:t>
      </w:r>
      <w:r>
        <w:t xml:space="preserve"> tai ammattiliitot, ja on huolissaan siitä, että tämä voi rajoittaa asianomaisten henkilöiden oikeussuojan saantia. ETSK kannustaa pohtimaan tarkemmin, miten voidaan varmistaa tehokas oikeudellinen tuki uhreille, erityisesti niille, jotka kohtaavat rakenteellisia esteitä oikeussuojakeinojen saannissa.</w:t>
      </w:r>
    </w:p>
    <w:p w:rsidRPr="000624A9" w:rsidR="00460F68" w:rsidP="00460F68" w:rsidRDefault="00460F68" w14:paraId="2780B605" w14:textId="77777777">
      <w:pPr>
        <w:widowControl w:val="0"/>
        <w:ind w:left="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460F68" w:rsidTr="00D33D43" w14:paraId="40D5D81E" w14:textId="77777777">
        <w:tc>
          <w:tcPr>
            <w:tcW w:w="1418" w:type="dxa"/>
          </w:tcPr>
          <w:p w:rsidRPr="00A6689B" w:rsidR="00460F68" w:rsidP="00D33D43" w:rsidRDefault="00460F68" w14:paraId="0FD3A9B9" w14:textId="77777777">
            <w:pPr>
              <w:spacing w:line="240" w:lineRule="auto"/>
              <w:rPr>
                <w:i/>
              </w:rPr>
            </w:pPr>
            <w:r>
              <w:rPr>
                <w:b/>
                <w:i/>
              </w:rPr>
              <w:t>Yhteydenotot</w:t>
            </w:r>
          </w:p>
        </w:tc>
        <w:tc>
          <w:tcPr>
            <w:tcW w:w="5670" w:type="dxa"/>
          </w:tcPr>
          <w:p w:rsidRPr="00A6689B" w:rsidR="00460F68" w:rsidP="00D33D43" w:rsidRDefault="00460F68" w14:paraId="4622D1C2" w14:textId="77777777">
            <w:pPr>
              <w:spacing w:line="240" w:lineRule="auto"/>
              <w:rPr>
                <w:i/>
              </w:rPr>
            </w:pPr>
            <w:r>
              <w:rPr>
                <w:i/>
              </w:rPr>
              <w:t>Silvia STAFFA</w:t>
            </w:r>
          </w:p>
        </w:tc>
      </w:tr>
      <w:tr w:rsidRPr="00A6689B" w:rsidR="00460F68" w:rsidTr="00D33D43" w14:paraId="611FBEF0" w14:textId="77777777">
        <w:tc>
          <w:tcPr>
            <w:tcW w:w="1418" w:type="dxa"/>
          </w:tcPr>
          <w:p w:rsidRPr="00A6689B" w:rsidR="00460F68" w:rsidP="00D33D43" w:rsidRDefault="00460F68" w14:paraId="66D0CC2A" w14:textId="77777777">
            <w:pPr>
              <w:spacing w:line="240" w:lineRule="auto"/>
              <w:rPr>
                <w:i/>
              </w:rPr>
            </w:pPr>
            <w:r>
              <w:rPr>
                <w:i/>
              </w:rPr>
              <w:t>P.</w:t>
            </w:r>
          </w:p>
        </w:tc>
        <w:tc>
          <w:tcPr>
            <w:tcW w:w="5670" w:type="dxa"/>
          </w:tcPr>
          <w:p w:rsidRPr="00A6689B" w:rsidR="00460F68" w:rsidP="00D33D43" w:rsidRDefault="00460F68" w14:paraId="73355C38" w14:textId="77777777">
            <w:pPr>
              <w:spacing w:line="240" w:lineRule="auto"/>
              <w:rPr>
                <w:i/>
              </w:rPr>
            </w:pPr>
            <w:r>
              <w:rPr>
                <w:i/>
              </w:rPr>
              <w:t>+ 32 25468378</w:t>
            </w:r>
          </w:p>
        </w:tc>
      </w:tr>
      <w:tr w:rsidRPr="00A6689B" w:rsidR="00460F68" w:rsidTr="00D33D43" w14:paraId="1A103149" w14:textId="77777777">
        <w:tc>
          <w:tcPr>
            <w:tcW w:w="1418" w:type="dxa"/>
          </w:tcPr>
          <w:p w:rsidRPr="00A6689B" w:rsidR="00460F68" w:rsidP="00D33D43" w:rsidRDefault="00460F68" w14:paraId="19ECDAED" w14:textId="77777777">
            <w:pPr>
              <w:spacing w:line="240" w:lineRule="auto"/>
              <w:rPr>
                <w:i/>
              </w:rPr>
            </w:pPr>
            <w:r>
              <w:rPr>
                <w:i/>
              </w:rPr>
              <w:t>Sähköposti</w:t>
            </w:r>
          </w:p>
        </w:tc>
        <w:tc>
          <w:tcPr>
            <w:tcW w:w="5670" w:type="dxa"/>
          </w:tcPr>
          <w:p w:rsidRPr="00560CE3" w:rsidR="00460F68" w:rsidP="00D33D43" w:rsidRDefault="00460F68" w14:paraId="2E97727E" w14:textId="77777777">
            <w:pPr>
              <w:spacing w:line="240" w:lineRule="auto"/>
              <w:rPr>
                <w:i/>
                <w:iCs/>
              </w:rPr>
            </w:pPr>
            <w:hyperlink w:history="1" r:id="rId45">
              <w:r>
                <w:rPr>
                  <w:rStyle w:val="Hyperlink"/>
                  <w:i/>
                </w:rPr>
                <w:t>Silvia.Staffa@eesc.europa.eu</w:t>
              </w:r>
            </w:hyperlink>
          </w:p>
          <w:p w:rsidRPr="00A6689B" w:rsidR="00460F68" w:rsidP="00D33D43" w:rsidRDefault="00460F68" w14:paraId="03100EB0" w14:textId="77777777">
            <w:pPr>
              <w:spacing w:line="240" w:lineRule="auto"/>
              <w:rPr>
                <w:i/>
                <w:lang w:val="en-US"/>
              </w:rPr>
            </w:pPr>
          </w:p>
        </w:tc>
      </w:tr>
    </w:tbl>
    <w:p w:rsidRPr="0026311A" w:rsidR="0026311A" w:rsidP="0026311A" w:rsidRDefault="0026311A" w14:paraId="708CC5EC" w14:textId="77777777">
      <w:pPr>
        <w:overflowPunct w:val="0"/>
        <w:autoSpaceDE w:val="0"/>
        <w:autoSpaceDN w:val="0"/>
        <w:adjustRightInd w:val="0"/>
        <w:jc w:val="center"/>
        <w:textAlignment w:val="baseline"/>
        <w:rPr>
          <w:szCs w:val="20"/>
          <w:lang w:val="en-GB"/>
        </w:rPr>
      </w:pPr>
    </w:p>
    <w:p w:rsidR="004D7AC0" w:rsidP="004D7AC0" w:rsidRDefault="004D7AC0" w14:paraId="4982DE1E" w14:textId="77777777">
      <w:pPr>
        <w:spacing w:after="160" w:line="259" w:lineRule="auto"/>
        <w:jc w:val="left"/>
      </w:pPr>
      <w:r>
        <w:br w:type="page"/>
      </w:r>
    </w:p>
    <w:p w:rsidR="004D7AC0" w:rsidP="004D7AC0" w:rsidRDefault="004D7AC0" w14:paraId="4982DE1F" w14:textId="77777777">
      <w:pPr>
        <w:pStyle w:val="Heading1"/>
        <w:rPr>
          <w:b/>
        </w:rPr>
      </w:pPr>
      <w:bookmarkStart w:name="_Toc70322234" w:id="14"/>
      <w:bookmarkStart w:name="_Toc75527084" w:id="15"/>
      <w:bookmarkStart w:name="_Toc202363001" w:id="16"/>
      <w:r>
        <w:rPr>
          <w:b/>
        </w:rPr>
        <w:lastRenderedPageBreak/>
        <w:t>MAATALOUS, MAASEUDUN KEHITTÄMINEN JA YMPÄRISTÖ</w:t>
      </w:r>
      <w:bookmarkEnd w:id="14"/>
      <w:bookmarkEnd w:id="15"/>
      <w:bookmarkEnd w:id="16"/>
    </w:p>
    <w:p w:rsidR="004D7AC0" w:rsidP="004D7AC0" w:rsidRDefault="004D7AC0" w14:paraId="4982DE20" w14:textId="77777777"/>
    <w:p w:rsidRPr="00C95C2C" w:rsidR="00460F68" w:rsidP="0091345F" w:rsidRDefault="00460F68" w14:paraId="3610A078" w14:textId="77777777">
      <w:pPr>
        <w:widowControl w:val="0"/>
        <w:numPr>
          <w:ilvl w:val="0"/>
          <w:numId w:val="15"/>
        </w:numPr>
        <w:overflowPunct w:val="0"/>
        <w:autoSpaceDE w:val="0"/>
        <w:autoSpaceDN w:val="0"/>
        <w:adjustRightInd w:val="0"/>
        <w:ind w:hanging="567"/>
        <w:textAlignment w:val="baseline"/>
        <w:rPr>
          <w:sz w:val="26"/>
          <w:szCs w:val="26"/>
        </w:rPr>
      </w:pPr>
      <w:hyperlink w:history="1" r:id="rId46">
        <w:r>
          <w:rPr>
            <w:rStyle w:val="Hyperlink"/>
            <w:b/>
            <w:i/>
            <w:sz w:val="26"/>
          </w:rPr>
          <w:t>Uudistava viljely kestävää elintarviketuotantoa edistävänä sekä ilmasto- ja biodiversiteettitavoitteita tukevana päämääränä</w:t>
        </w:r>
      </w:hyperlink>
    </w:p>
    <w:p w:rsidRPr="00C95C2C" w:rsidR="00460F68" w:rsidP="00460F68" w:rsidRDefault="00460F68" w14:paraId="36E8F2BC" w14:textId="77777777">
      <w:pPr>
        <w:tabs>
          <w:tab w:val="center" w:pos="284"/>
        </w:tabs>
        <w:ind w:left="266" w:hanging="266"/>
        <w:rPr>
          <w:b/>
          <w:sz w:val="12"/>
          <w:szCs w:val="12"/>
        </w:rPr>
      </w:pPr>
    </w:p>
    <w:tbl>
      <w:tblPr>
        <w:tblStyle w:val="TableGrid"/>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6821"/>
      </w:tblGrid>
      <w:tr w:rsidRPr="00A6689B" w:rsidR="00460F68" w:rsidTr="00D33D43" w14:paraId="703A7777" w14:textId="77777777">
        <w:tc>
          <w:tcPr>
            <w:tcW w:w="1148" w:type="pct"/>
          </w:tcPr>
          <w:p w:rsidRPr="00A6689B" w:rsidR="00460F68" w:rsidP="00D33D43" w:rsidRDefault="00460F68" w14:paraId="21B4F9A7" w14:textId="77777777">
            <w:pPr>
              <w:tabs>
                <w:tab w:val="center" w:pos="284"/>
              </w:tabs>
              <w:ind w:left="266" w:hanging="266"/>
              <w:rPr>
                <w:b/>
              </w:rPr>
            </w:pPr>
            <w:r>
              <w:rPr>
                <w:b/>
              </w:rPr>
              <w:t>Esittelijä</w:t>
            </w:r>
          </w:p>
        </w:tc>
        <w:tc>
          <w:tcPr>
            <w:tcW w:w="3852" w:type="pct"/>
          </w:tcPr>
          <w:p w:rsidRPr="0002648C" w:rsidR="00460F68" w:rsidP="00D33D43" w:rsidRDefault="00460F68" w14:paraId="36DA4FF7" w14:textId="77777777">
            <w:pPr>
              <w:tabs>
                <w:tab w:val="center" w:pos="284"/>
              </w:tabs>
              <w:ind w:left="266" w:hanging="266"/>
              <w:rPr>
                <w:bCs/>
              </w:rPr>
            </w:pPr>
            <w:proofErr w:type="spellStart"/>
            <w:r>
              <w:t>Stoyan</w:t>
            </w:r>
            <w:proofErr w:type="spellEnd"/>
            <w:r>
              <w:t xml:space="preserve"> TCHOUKANOV (kansalaisyhteiskunnan organisaatiot – BG)</w:t>
            </w:r>
          </w:p>
        </w:tc>
      </w:tr>
      <w:tr w:rsidRPr="00A6689B" w:rsidR="00460F68" w:rsidTr="00D33D43" w14:paraId="19554836" w14:textId="77777777">
        <w:tc>
          <w:tcPr>
            <w:tcW w:w="5000" w:type="pct"/>
            <w:gridSpan w:val="2"/>
          </w:tcPr>
          <w:p w:rsidRPr="00A6689B" w:rsidR="00460F68" w:rsidP="00D33D43" w:rsidRDefault="00460F68" w14:paraId="0E060E0A" w14:textId="77777777">
            <w:pPr>
              <w:tabs>
                <w:tab w:val="center" w:pos="284"/>
              </w:tabs>
              <w:spacing w:line="160" w:lineRule="exact"/>
              <w:ind w:left="266" w:hanging="266"/>
              <w:rPr>
                <w:lang w:val="en-US"/>
              </w:rPr>
            </w:pPr>
          </w:p>
        </w:tc>
      </w:tr>
      <w:tr w:rsidRPr="00A6689B" w:rsidR="00460F68" w:rsidTr="00D33D43" w14:paraId="6075C6C9" w14:textId="77777777">
        <w:tc>
          <w:tcPr>
            <w:tcW w:w="1148" w:type="pct"/>
            <w:vMerge w:val="restart"/>
          </w:tcPr>
          <w:p w:rsidRPr="00A6689B" w:rsidR="00460F68" w:rsidP="00D33D43" w:rsidRDefault="00460F68" w14:paraId="77C00A64" w14:textId="77777777">
            <w:pPr>
              <w:tabs>
                <w:tab w:val="center" w:pos="284"/>
              </w:tabs>
              <w:ind w:left="266" w:hanging="266"/>
              <w:rPr>
                <w:b/>
              </w:rPr>
            </w:pPr>
            <w:r>
              <w:rPr>
                <w:b/>
              </w:rPr>
              <w:t>Viiteasiakirjat</w:t>
            </w:r>
          </w:p>
        </w:tc>
        <w:tc>
          <w:tcPr>
            <w:tcW w:w="3852" w:type="pct"/>
          </w:tcPr>
          <w:p w:rsidRPr="00A6689B" w:rsidR="00460F68" w:rsidP="00D33D43" w:rsidRDefault="00460F68" w14:paraId="1D5BA92C" w14:textId="77777777">
            <w:pPr>
              <w:tabs>
                <w:tab w:val="center" w:pos="284"/>
              </w:tabs>
              <w:ind w:left="266" w:hanging="266"/>
            </w:pPr>
            <w:r>
              <w:t>EESC-2025-00954-00-00-AC-TRA</w:t>
            </w:r>
          </w:p>
        </w:tc>
      </w:tr>
      <w:tr w:rsidRPr="00A6689B" w:rsidR="00460F68" w:rsidTr="00D33D43" w14:paraId="7A6D3A53" w14:textId="77777777">
        <w:tc>
          <w:tcPr>
            <w:tcW w:w="1148" w:type="pct"/>
            <w:vMerge/>
          </w:tcPr>
          <w:p w:rsidRPr="00A6689B" w:rsidR="00460F68" w:rsidP="00D33D43" w:rsidRDefault="00460F68" w14:paraId="21580A01" w14:textId="77777777">
            <w:pPr>
              <w:tabs>
                <w:tab w:val="center" w:pos="284"/>
              </w:tabs>
              <w:ind w:left="266" w:hanging="266"/>
              <w:rPr>
                <w:b/>
                <w:lang w:val="en-US"/>
              </w:rPr>
            </w:pPr>
          </w:p>
        </w:tc>
        <w:tc>
          <w:tcPr>
            <w:tcW w:w="3852" w:type="pct"/>
          </w:tcPr>
          <w:p w:rsidRPr="008D4326" w:rsidR="00460F68" w:rsidP="00D33D43" w:rsidRDefault="00460F68" w14:paraId="49847AF1" w14:textId="77777777">
            <w:pPr>
              <w:tabs>
                <w:tab w:val="center" w:pos="284"/>
              </w:tabs>
              <w:ind w:left="266" w:hanging="266"/>
              <w:rPr>
                <w:sz w:val="16"/>
                <w:szCs w:val="16"/>
                <w:lang w:val="en-US"/>
              </w:rPr>
            </w:pPr>
          </w:p>
        </w:tc>
      </w:tr>
    </w:tbl>
    <w:p w:rsidRPr="00A6689B" w:rsidR="00460F68" w:rsidP="00460F68" w:rsidRDefault="00460F68" w14:paraId="4B638CFE" w14:textId="77777777">
      <w:pPr>
        <w:keepNext/>
        <w:keepLines/>
        <w:tabs>
          <w:tab w:val="center" w:pos="284"/>
        </w:tabs>
        <w:ind w:left="266" w:hanging="266"/>
        <w:rPr>
          <w:b/>
        </w:rPr>
      </w:pPr>
      <w:r>
        <w:rPr>
          <w:b/>
        </w:rPr>
        <w:t>Keskeiset kohdat</w:t>
      </w:r>
    </w:p>
    <w:p w:rsidRPr="004A16D1" w:rsidR="00460F68" w:rsidP="00460F68" w:rsidRDefault="00460F68" w14:paraId="4524DC71" w14:textId="77777777">
      <w:pPr>
        <w:keepNext/>
        <w:keepLines/>
        <w:tabs>
          <w:tab w:val="center" w:pos="284"/>
        </w:tabs>
        <w:ind w:left="266" w:hanging="266"/>
        <w:rPr>
          <w:b/>
        </w:rPr>
      </w:pPr>
    </w:p>
    <w:p w:rsidRPr="004A16D1" w:rsidR="00460F68" w:rsidP="00460F68" w:rsidRDefault="00460F68" w14:paraId="3229B1AB" w14:textId="77777777">
      <w:pPr>
        <w:rPr>
          <w:bCs/>
          <w:iCs/>
        </w:rPr>
      </w:pPr>
      <w:r>
        <w:t>ETSK</w:t>
      </w:r>
    </w:p>
    <w:p w:rsidRPr="004A16D1" w:rsidR="00460F68" w:rsidP="0091345F" w:rsidRDefault="00460F68" w14:paraId="0491C611" w14:textId="77777777">
      <w:pPr>
        <w:pStyle w:val="ListParagraph"/>
        <w:numPr>
          <w:ilvl w:val="0"/>
          <w:numId w:val="16"/>
        </w:numPr>
        <w:spacing w:after="200" w:line="276" w:lineRule="auto"/>
        <w:ind w:left="284" w:hanging="284"/>
      </w:pPr>
      <w:r>
        <w:t>katsoo, että uudistavat viljelymenetelmät voivat edistää kestävää elintarviketuotantoa, tukea ilmastoa, maaperän terveyttä ja biodiversiteettiä koskevia tavoitteita sekä parantaa viljelijöiden tuloja ja maatalouden tuottavuutta sekä kykyä selviytyä äärimmäisistä sääilmiöistä.</w:t>
      </w:r>
    </w:p>
    <w:p w:rsidRPr="004A16D1" w:rsidR="00460F68" w:rsidP="0091345F" w:rsidRDefault="00460F68" w14:paraId="67681E97" w14:textId="77777777">
      <w:pPr>
        <w:pStyle w:val="ListParagraph"/>
        <w:numPr>
          <w:ilvl w:val="0"/>
          <w:numId w:val="16"/>
        </w:numPr>
        <w:spacing w:after="200" w:line="276" w:lineRule="auto"/>
        <w:ind w:left="284" w:hanging="284"/>
      </w:pPr>
      <w:r>
        <w:t>katsoo, että nykyisillä EU:n puitteilla ei tueta riittävästi uudistavaa viljelyä eikä etenkään maaperän terveyttä, jota olisi pidettävä julkishyödykkeenä.</w:t>
      </w:r>
    </w:p>
    <w:p w:rsidRPr="004A16D1" w:rsidR="00460F68" w:rsidP="0091345F" w:rsidRDefault="00460F68" w14:paraId="206A6B56" w14:textId="77777777">
      <w:pPr>
        <w:pStyle w:val="ListParagraph"/>
        <w:numPr>
          <w:ilvl w:val="0"/>
          <w:numId w:val="16"/>
        </w:numPr>
        <w:spacing w:after="200" w:line="276" w:lineRule="auto"/>
        <w:ind w:left="284" w:hanging="284"/>
      </w:pPr>
      <w:r>
        <w:t>toteaa, että uudistava viljely tuo maatalouteen uuden narratiivin, joka voi ajaa alan uudistumista, houkutella nuoria ja muita uusia tulokkaita ja tukea kestäviä liiketoiminta- ja rahoitusmalleja.</w:t>
      </w:r>
    </w:p>
    <w:p w:rsidRPr="004A16D1" w:rsidR="00460F68" w:rsidP="0091345F" w:rsidRDefault="00460F68" w14:paraId="2DA48BF9" w14:textId="77777777">
      <w:pPr>
        <w:pStyle w:val="ListParagraph"/>
        <w:numPr>
          <w:ilvl w:val="0"/>
          <w:numId w:val="16"/>
        </w:numPr>
        <w:spacing w:after="200" w:line="276" w:lineRule="auto"/>
        <w:ind w:left="284" w:hanging="284"/>
      </w:pPr>
      <w:r>
        <w:t>kehottaa pyrkimään yhteisymmärrykseen siitä, mitä ’uudistavalla viljelyllä’ tarkoitetaan ja mitä etuja se tuo koko yhteiskunnalle. EU:n sääntelykehyksessä olisi niin ikään johdonmukaisesti tunnustettava uudistavat viljelymenetelmät ja tuettava niitä.</w:t>
      </w:r>
    </w:p>
    <w:p w:rsidRPr="004A16D1" w:rsidR="00460F68" w:rsidP="0091345F" w:rsidRDefault="00460F68" w14:paraId="1C9A9F1C" w14:textId="77777777">
      <w:pPr>
        <w:pStyle w:val="ListParagraph"/>
        <w:numPr>
          <w:ilvl w:val="0"/>
          <w:numId w:val="16"/>
        </w:numPr>
        <w:spacing w:after="200" w:line="276" w:lineRule="auto"/>
        <w:ind w:left="284" w:hanging="284"/>
      </w:pPr>
      <w:r>
        <w:t>ehdottaa määritelmää, jossa korostuvat uudistavan viljelyn myönteiset vaikutukset kaikkiin kolmeen kestävän kehityksen pilariin: ”Uudistava viljely on mukautuva, tulosperusteinen maatalousmalli, jossa sovelletaan tilannekohtaisia, käytännössä toimiviksi osoittautuneita ja tieteeseen perustuvia menetelmiä, joilla on myönteisiä vaikutuksia ympäristöön, maatalousyhteisöjen toimeentuloon ja kansanterveyteen ja joilla varmistetaan kestävät sadot, kilpailukyky ja tehokkuus ja saadaan aikaan sosiaalisia tuloksia.”</w:t>
      </w:r>
    </w:p>
    <w:p w:rsidRPr="004A16D1" w:rsidR="00460F68" w:rsidP="0091345F" w:rsidRDefault="00460F68" w14:paraId="72D6ABDE" w14:textId="77777777">
      <w:pPr>
        <w:pStyle w:val="ListParagraph"/>
        <w:numPr>
          <w:ilvl w:val="0"/>
          <w:numId w:val="16"/>
        </w:numPr>
        <w:spacing w:line="276" w:lineRule="auto"/>
        <w:ind w:left="284" w:hanging="284"/>
      </w:pPr>
      <w:r>
        <w:t>ehdottaa myös otettavaksi käyttöön valvonta- tai mittausjärjestelmissä nykyisinkin käytettyjä lyhyen ja pitkän aikavälin tulos- ja suorituskykyindikaattoreita, joita voidaan käyttää politiikkavälineiden, rahoitusmekanismien, sääntelykehysten ja toimitusketjuvaatimusten mukauttamiseen.</w:t>
      </w:r>
    </w:p>
    <w:p w:rsidRPr="00460F68" w:rsidR="00460F68" w:rsidP="0091345F" w:rsidRDefault="00460F68" w14:paraId="42795EFB" w14:textId="4503AC39">
      <w:pPr>
        <w:pStyle w:val="ListParagraph"/>
        <w:numPr>
          <w:ilvl w:val="0"/>
          <w:numId w:val="16"/>
        </w:numPr>
        <w:spacing w:line="276" w:lineRule="auto"/>
        <w:ind w:left="284" w:hanging="284"/>
      </w:pPr>
      <w:r>
        <w:t>kehottaa Euroopan komissiota ja EU:n jäsenvaltioita edistämään uudistavan viljelyn laajempaa käyttöönottoa mukauttamalla rahoitusta (YMP ja muut alat), laajentamalla merkittävästi maaperän terveyttä ja maanpeittoa koskevia toimenpiteitä YMP:n strategiasuunnitelmissa, kehittämällä tai aktivoimalla riippumattomia neuvontapalveluja ja vertaistukiverkostoja, tukemalla ajattelutavan muutosta, toteuttamalla aihetta käsitteleviä tutkimus- ja innovointihankkeita, lisäämällä investointitukea, lisäämällä julkisen ja yksityisen sektorin yhteistyötä, yksinkertaistamalla ja yhdenmukaistamalla voimassa olevia sääntelykehyksiä ja ehdottamalla suotuisaa kannustinympäristöä (erityisesti ensimmäisinä muutoksen jälkeisinä vuosina), antamalla tukea tilannekohtaiseen siirtymävakuutukseen, varmistamalla laadukkaiden tuotteiden oikeudenmukaiset hinnat huolehtimalla arvon tasaisemmasta jakautumisesta maatalouselintarvikeketjussa ja turvaamalla paremmat maanhallinnan siirtoehdot.</w:t>
      </w:r>
    </w:p>
    <w:tbl>
      <w:tblPr>
        <w:tblStyle w:val="TableGrid"/>
        <w:tblpPr w:leftFromText="180" w:rightFromText="180" w:vertAnchor="text" w:horzAnchor="page" w:tblpX="2448" w:tblpY="207"/>
        <w:tblW w:w="296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13"/>
        <w:gridCol w:w="3788"/>
      </w:tblGrid>
      <w:tr w:rsidRPr="004A16D1" w:rsidR="00460F68" w:rsidTr="00D33D43" w14:paraId="509F8B9F" w14:textId="77777777">
        <w:tc>
          <w:tcPr>
            <w:tcW w:w="1557" w:type="pct"/>
          </w:tcPr>
          <w:p w:rsidRPr="004A16D1" w:rsidR="00460F68" w:rsidP="00D33D43" w:rsidRDefault="00460F68" w14:paraId="453D8BDD" w14:textId="77777777">
            <w:pPr>
              <w:spacing w:line="240" w:lineRule="auto"/>
              <w:ind w:left="284" w:hanging="284"/>
              <w:rPr>
                <w:i/>
              </w:rPr>
            </w:pPr>
            <w:r>
              <w:rPr>
                <w:b/>
                <w:i/>
              </w:rPr>
              <w:t xml:space="preserve">Yhteydenotot </w:t>
            </w:r>
          </w:p>
        </w:tc>
        <w:tc>
          <w:tcPr>
            <w:tcW w:w="3443" w:type="pct"/>
          </w:tcPr>
          <w:p w:rsidRPr="004A16D1" w:rsidR="00460F68" w:rsidP="00D33D43" w:rsidRDefault="00460F68" w14:paraId="652B7E77" w14:textId="77777777">
            <w:pPr>
              <w:spacing w:line="240" w:lineRule="auto"/>
              <w:ind w:left="284" w:hanging="284"/>
              <w:rPr>
                <w:i/>
              </w:rPr>
            </w:pPr>
            <w:proofErr w:type="spellStart"/>
            <w:r>
              <w:rPr>
                <w:i/>
              </w:rPr>
              <w:t>Martine</w:t>
            </w:r>
            <w:proofErr w:type="spellEnd"/>
            <w:r>
              <w:rPr>
                <w:i/>
              </w:rPr>
              <w:t xml:space="preserve"> DELANOY</w:t>
            </w:r>
          </w:p>
        </w:tc>
      </w:tr>
      <w:tr w:rsidRPr="004A16D1" w:rsidR="00460F68" w:rsidTr="00D33D43" w14:paraId="3350E1FC" w14:textId="77777777">
        <w:tc>
          <w:tcPr>
            <w:tcW w:w="1557" w:type="pct"/>
          </w:tcPr>
          <w:p w:rsidRPr="004A16D1" w:rsidR="00460F68" w:rsidP="00D33D43" w:rsidRDefault="00460F68" w14:paraId="13BC3E49" w14:textId="77777777">
            <w:pPr>
              <w:spacing w:line="240" w:lineRule="auto"/>
              <w:ind w:left="284" w:hanging="284"/>
              <w:rPr>
                <w:i/>
              </w:rPr>
            </w:pPr>
            <w:r>
              <w:rPr>
                <w:i/>
              </w:rPr>
              <w:t>P.</w:t>
            </w:r>
          </w:p>
        </w:tc>
        <w:tc>
          <w:tcPr>
            <w:tcW w:w="3443" w:type="pct"/>
          </w:tcPr>
          <w:p w:rsidRPr="004A16D1" w:rsidR="00460F68" w:rsidP="00D33D43" w:rsidRDefault="00460F68" w14:paraId="37AE4319" w14:textId="77777777">
            <w:pPr>
              <w:spacing w:line="240" w:lineRule="auto"/>
              <w:ind w:left="284" w:hanging="284"/>
              <w:rPr>
                <w:i/>
              </w:rPr>
            </w:pPr>
            <w:r>
              <w:rPr>
                <w:i/>
              </w:rPr>
              <w:t>+32 2 5469802</w:t>
            </w:r>
          </w:p>
        </w:tc>
      </w:tr>
      <w:tr w:rsidRPr="004A16D1" w:rsidR="00460F68" w:rsidTr="00D33D43" w14:paraId="7C44057E" w14:textId="77777777">
        <w:tc>
          <w:tcPr>
            <w:tcW w:w="1557" w:type="pct"/>
          </w:tcPr>
          <w:p w:rsidRPr="004A16D1" w:rsidR="00460F68" w:rsidP="00D33D43" w:rsidRDefault="00460F68" w14:paraId="40FA5A76" w14:textId="77777777">
            <w:pPr>
              <w:spacing w:line="240" w:lineRule="auto"/>
              <w:ind w:left="284" w:hanging="284"/>
              <w:rPr>
                <w:i/>
              </w:rPr>
            </w:pPr>
            <w:r>
              <w:rPr>
                <w:i/>
              </w:rPr>
              <w:t>Sähköposti</w:t>
            </w:r>
          </w:p>
        </w:tc>
        <w:tc>
          <w:tcPr>
            <w:tcW w:w="3443" w:type="pct"/>
          </w:tcPr>
          <w:p w:rsidRPr="004A16D1" w:rsidR="00460F68" w:rsidP="00D33D43" w:rsidRDefault="00460F68" w14:paraId="5F6D3981" w14:textId="77777777">
            <w:pPr>
              <w:spacing w:line="240" w:lineRule="auto"/>
              <w:ind w:left="284" w:hanging="284"/>
              <w:rPr>
                <w:i/>
              </w:rPr>
            </w:pPr>
            <w:hyperlink w:history="1" r:id="rId47">
              <w:r>
                <w:rPr>
                  <w:rStyle w:val="Hyperlink"/>
                  <w:i/>
                </w:rPr>
                <w:t>Martine.Delanoy@eesc.europa.eu</w:t>
              </w:r>
            </w:hyperlink>
            <w:r>
              <w:rPr>
                <w:i/>
              </w:rPr>
              <w:t xml:space="preserve"> </w:t>
            </w:r>
          </w:p>
        </w:tc>
      </w:tr>
    </w:tbl>
    <w:p w:rsidR="00460F68" w:rsidP="00460F68" w:rsidRDefault="00460F68" w14:paraId="5893A7BC" w14:textId="77777777">
      <w:pPr>
        <w:rPr>
          <w:lang w:val="en-US"/>
        </w:rPr>
      </w:pPr>
    </w:p>
    <w:p w:rsidR="00460F68" w:rsidP="00460F68" w:rsidRDefault="00460F68" w14:paraId="3396C5F8" w14:textId="77777777">
      <w:pPr>
        <w:rPr>
          <w:lang w:val="en-US"/>
        </w:rPr>
      </w:pPr>
    </w:p>
    <w:p w:rsidRPr="009E139B" w:rsidR="006D5AE4" w:rsidP="009E139B" w:rsidRDefault="006D5AE4" w14:paraId="47D75CF9" w14:textId="77777777">
      <w:pPr>
        <w:overflowPunct w:val="0"/>
        <w:autoSpaceDE w:val="0"/>
        <w:autoSpaceDN w:val="0"/>
        <w:adjustRightInd w:val="0"/>
        <w:spacing w:line="276" w:lineRule="auto"/>
        <w:ind w:left="284"/>
        <w:contextualSpacing/>
        <w:textAlignment w:val="baseline"/>
        <w:rPr>
          <w:rFonts w:ascii="Calibri" w:hAnsi="Calibri"/>
        </w:rPr>
      </w:pPr>
    </w:p>
    <w:p w:rsidR="00055407" w:rsidRDefault="00055407" w14:paraId="20B8A69F" w14:textId="7F6D1EF8">
      <w:pPr>
        <w:spacing w:after="160" w:line="259" w:lineRule="auto"/>
        <w:jc w:val="left"/>
        <w:rPr>
          <w:rFonts w:ascii="Calibri" w:hAnsi="Calibri"/>
        </w:rPr>
      </w:pPr>
      <w:r>
        <w:br w:type="page"/>
      </w:r>
    </w:p>
    <w:p w:rsidR="006179EF" w:rsidRDefault="006179EF" w14:paraId="4982DE45" w14:textId="57D67DB9">
      <w:pPr>
        <w:spacing w:after="160" w:line="259" w:lineRule="auto"/>
        <w:jc w:val="left"/>
      </w:pPr>
    </w:p>
    <w:p w:rsidR="007F5784" w:rsidP="007F5784" w:rsidRDefault="007F5784" w14:paraId="14026A78" w14:textId="4FAE1588">
      <w:pPr>
        <w:pStyle w:val="Heading1"/>
        <w:rPr>
          <w:b/>
        </w:rPr>
      </w:pPr>
      <w:bookmarkStart w:name="_Toc202363002" w:id="17"/>
      <w:r>
        <w:rPr>
          <w:b/>
        </w:rPr>
        <w:t>ULKOSUHTEET</w:t>
      </w:r>
      <w:bookmarkEnd w:id="17"/>
    </w:p>
    <w:p w:rsidR="007F5784" w:rsidP="007F5784" w:rsidRDefault="007F5784" w14:paraId="3BBB3E68" w14:textId="77777777"/>
    <w:p w:rsidRPr="00C042DE" w:rsidR="009E139B" w:rsidP="0091345F" w:rsidRDefault="009E139B" w14:paraId="3465C93E" w14:textId="77777777">
      <w:pPr>
        <w:widowControl w:val="0"/>
        <w:numPr>
          <w:ilvl w:val="0"/>
          <w:numId w:val="17"/>
        </w:numPr>
        <w:overflowPunct w:val="0"/>
        <w:autoSpaceDE w:val="0"/>
        <w:autoSpaceDN w:val="0"/>
        <w:adjustRightInd w:val="0"/>
        <w:ind w:left="567" w:hanging="567"/>
        <w:textAlignment w:val="baseline"/>
        <w:rPr>
          <w:rStyle w:val="Hyperlink"/>
          <w:sz w:val="20"/>
        </w:rPr>
      </w:pPr>
      <w:r>
        <w:rPr>
          <w:b/>
          <w:i/>
          <w:sz w:val="28"/>
        </w:rPr>
        <w:fldChar w:fldCharType="begin"/>
      </w:r>
      <w:r w:rsidRPr="41811C92">
        <w:rPr>
          <w:b/>
          <w:i/>
          <w:sz w:val="28"/>
        </w:rPr>
        <w:instrText>HYPERLINK "https://www.eesc.europa.eu/fi/our-work/opinions-information-reports/opinions/fragmentation-supply-chains-and-impact-cost-living"</w:instrText>
      </w:r>
      <w:r>
        <w:rPr>
          <w:b/>
          <w:i/>
          <w:sz w:val="28"/>
        </w:rPr>
        <w:fldChar w:fldCharType="separate"/>
      </w:r>
      <w:r>
        <w:rPr>
          <w:rStyle w:val="Hyperlink"/>
          <w:b/>
          <w:i/>
          <w:sz w:val="28"/>
        </w:rPr>
        <w:t>Toimitusketjujen hajanaisuus ja vaikutus elinkustannuksiin</w:t>
      </w:r>
    </w:p>
    <w:p w:rsidRPr="00363E7D" w:rsidR="009E139B" w:rsidP="009E139B" w:rsidRDefault="009E139B" w14:paraId="3FE60D90" w14:textId="77777777">
      <w:pPr>
        <w:tabs>
          <w:tab w:val="center" w:pos="284"/>
        </w:tabs>
        <w:ind w:left="266" w:hanging="266"/>
        <w:rPr>
          <w:b/>
        </w:rPr>
      </w:pPr>
      <w:r>
        <w:rPr>
          <w:b/>
          <w:i/>
          <w:sz w:val="28"/>
        </w:rPr>
        <w:fldChar w:fldCharType="end"/>
      </w:r>
    </w:p>
    <w:tbl>
      <w:tblPr>
        <w:tblStyle w:val="TableGrid"/>
        <w:tblW w:w="492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7112"/>
      </w:tblGrid>
      <w:tr w:rsidRPr="00A6689B" w:rsidR="009E139B" w:rsidTr="00D33D43" w14:paraId="36606998" w14:textId="77777777">
        <w:tc>
          <w:tcPr>
            <w:tcW w:w="1111" w:type="pct"/>
          </w:tcPr>
          <w:p w:rsidR="009E139B" w:rsidP="00D33D43" w:rsidRDefault="009E139B" w14:paraId="77A3366F" w14:textId="77777777">
            <w:pPr>
              <w:tabs>
                <w:tab w:val="center" w:pos="284"/>
              </w:tabs>
              <w:ind w:left="266" w:hanging="266"/>
              <w:rPr>
                <w:b/>
              </w:rPr>
            </w:pPr>
            <w:r>
              <w:rPr>
                <w:b/>
              </w:rPr>
              <w:t>Esittelijä</w:t>
            </w:r>
          </w:p>
          <w:p w:rsidRPr="00A6689B" w:rsidR="009E139B" w:rsidP="00D33D43" w:rsidRDefault="009E139B" w14:paraId="4B6C3A75" w14:textId="77777777">
            <w:pPr>
              <w:tabs>
                <w:tab w:val="center" w:pos="284"/>
              </w:tabs>
              <w:ind w:left="266" w:hanging="266"/>
              <w:rPr>
                <w:b/>
              </w:rPr>
            </w:pPr>
            <w:r>
              <w:rPr>
                <w:b/>
              </w:rPr>
              <w:t>Yhteisesittelijä</w:t>
            </w:r>
          </w:p>
        </w:tc>
        <w:tc>
          <w:tcPr>
            <w:tcW w:w="3889" w:type="pct"/>
          </w:tcPr>
          <w:p w:rsidRPr="00A17716" w:rsidR="009E139B" w:rsidP="00D33D43" w:rsidRDefault="009E139B" w14:paraId="120B7758" w14:textId="77777777">
            <w:pPr>
              <w:tabs>
                <w:tab w:val="center" w:pos="284"/>
              </w:tabs>
              <w:ind w:left="266" w:hanging="266"/>
            </w:pPr>
            <w:proofErr w:type="spellStart"/>
            <w:r>
              <w:t>Dimitris</w:t>
            </w:r>
            <w:proofErr w:type="spellEnd"/>
            <w:r>
              <w:t xml:space="preserve"> </w:t>
            </w:r>
            <w:proofErr w:type="spellStart"/>
            <w:r>
              <w:t>Dimitriadis</w:t>
            </w:r>
            <w:proofErr w:type="spellEnd"/>
            <w:r>
              <w:t xml:space="preserve"> (työnantajat – EL)</w:t>
            </w:r>
          </w:p>
          <w:p w:rsidRPr="00A6689B" w:rsidR="009E139B" w:rsidP="00D33D43" w:rsidRDefault="009E139B" w14:paraId="5CEE2077" w14:textId="77777777">
            <w:pPr>
              <w:tabs>
                <w:tab w:val="center" w:pos="284"/>
              </w:tabs>
              <w:ind w:left="266" w:hanging="266"/>
            </w:pPr>
            <w:proofErr w:type="spellStart"/>
            <w:r>
              <w:t>Anastasis</w:t>
            </w:r>
            <w:proofErr w:type="spellEnd"/>
            <w:r>
              <w:t xml:space="preserve"> </w:t>
            </w:r>
            <w:proofErr w:type="spellStart"/>
            <w:r>
              <w:t>Yiapanis</w:t>
            </w:r>
            <w:proofErr w:type="spellEnd"/>
            <w:r>
              <w:t xml:space="preserve"> (kansalaisyhteiskunnan organisaatiot – CY)</w:t>
            </w:r>
          </w:p>
        </w:tc>
      </w:tr>
      <w:tr w:rsidRPr="00A6689B" w:rsidR="009E139B" w:rsidTr="00D33D43" w14:paraId="779F594C" w14:textId="77777777">
        <w:tc>
          <w:tcPr>
            <w:tcW w:w="5000" w:type="pct"/>
            <w:gridSpan w:val="2"/>
          </w:tcPr>
          <w:p w:rsidRPr="00A6689B" w:rsidR="009E139B" w:rsidP="00D33D43" w:rsidRDefault="009E139B" w14:paraId="2BBFC96E" w14:textId="77777777">
            <w:pPr>
              <w:tabs>
                <w:tab w:val="center" w:pos="284"/>
              </w:tabs>
              <w:spacing w:line="160" w:lineRule="exact"/>
              <w:ind w:left="266" w:hanging="266"/>
              <w:rPr>
                <w:lang w:val="en-US"/>
              </w:rPr>
            </w:pPr>
          </w:p>
        </w:tc>
      </w:tr>
      <w:tr w:rsidRPr="00A6689B" w:rsidR="009E139B" w:rsidTr="00D33D43" w14:paraId="5C40A54A" w14:textId="77777777">
        <w:tc>
          <w:tcPr>
            <w:tcW w:w="1111" w:type="pct"/>
          </w:tcPr>
          <w:p w:rsidRPr="00A6689B" w:rsidR="009E139B" w:rsidP="00D33D43" w:rsidRDefault="009E139B" w14:paraId="3731BEBB" w14:textId="77777777">
            <w:pPr>
              <w:tabs>
                <w:tab w:val="center" w:pos="284"/>
              </w:tabs>
              <w:ind w:left="266" w:hanging="266"/>
              <w:rPr>
                <w:b/>
              </w:rPr>
            </w:pPr>
            <w:r>
              <w:rPr>
                <w:b/>
              </w:rPr>
              <w:t>Viiteasiakirja</w:t>
            </w:r>
          </w:p>
        </w:tc>
        <w:tc>
          <w:tcPr>
            <w:tcW w:w="3889" w:type="pct"/>
          </w:tcPr>
          <w:p w:rsidRPr="00A6689B" w:rsidR="009E139B" w:rsidP="00D33D43" w:rsidRDefault="009E139B" w14:paraId="0A6EEB2C" w14:textId="77777777">
            <w:pPr>
              <w:tabs>
                <w:tab w:val="center" w:pos="284"/>
              </w:tabs>
              <w:ind w:left="266" w:hanging="266"/>
            </w:pPr>
            <w:r>
              <w:t>EESC-2025-00037-00-00-AC</w:t>
            </w:r>
          </w:p>
        </w:tc>
      </w:tr>
    </w:tbl>
    <w:p w:rsidRPr="00A6689B" w:rsidR="009E139B" w:rsidP="009E139B" w:rsidRDefault="009E139B" w14:paraId="3711EB77" w14:textId="77777777">
      <w:pPr>
        <w:tabs>
          <w:tab w:val="center" w:pos="284"/>
        </w:tabs>
        <w:ind w:left="266" w:hanging="266"/>
      </w:pPr>
    </w:p>
    <w:p w:rsidRPr="00A6689B" w:rsidR="009E139B" w:rsidP="009E139B" w:rsidRDefault="009E139B" w14:paraId="4582F711" w14:textId="77777777">
      <w:pPr>
        <w:keepNext/>
        <w:keepLines/>
        <w:tabs>
          <w:tab w:val="center" w:pos="284"/>
        </w:tabs>
        <w:ind w:left="266" w:hanging="266"/>
        <w:rPr>
          <w:b/>
        </w:rPr>
      </w:pPr>
      <w:r>
        <w:rPr>
          <w:b/>
        </w:rPr>
        <w:t>Keskeiset kohdat</w:t>
      </w:r>
    </w:p>
    <w:p w:rsidRPr="00A6689B" w:rsidR="009E139B" w:rsidP="009E139B" w:rsidRDefault="009E139B" w14:paraId="4C4D21EA" w14:textId="77777777">
      <w:pPr>
        <w:keepNext/>
        <w:keepLines/>
        <w:tabs>
          <w:tab w:val="center" w:pos="284"/>
        </w:tabs>
        <w:ind w:left="266" w:hanging="266"/>
        <w:rPr>
          <w:b/>
        </w:rPr>
      </w:pPr>
    </w:p>
    <w:p w:rsidRPr="00A6689B" w:rsidR="009E139B" w:rsidP="009E139B" w:rsidRDefault="009E139B" w14:paraId="461AE693" w14:textId="77777777">
      <w:pPr>
        <w:rPr>
          <w:bCs/>
          <w:iCs/>
        </w:rPr>
      </w:pPr>
      <w:r>
        <w:t>ETSK</w:t>
      </w:r>
    </w:p>
    <w:p w:rsidR="009E139B" w:rsidP="0091345F" w:rsidRDefault="009E139B" w14:paraId="110C63B5" w14:textId="77777777">
      <w:pPr>
        <w:widowControl w:val="0"/>
        <w:numPr>
          <w:ilvl w:val="0"/>
          <w:numId w:val="17"/>
        </w:numPr>
      </w:pPr>
      <w:r>
        <w:t xml:space="preserve">korostaa, että </w:t>
      </w:r>
      <w:r>
        <w:rPr>
          <w:b/>
        </w:rPr>
        <w:t>EU:n pitää vähentää riippuvuutta</w:t>
      </w:r>
      <w:r>
        <w:t xml:space="preserve"> erityisesti kriittisten tuotteiden, kuten lääkkeiden ja puolijohteiden </w:t>
      </w:r>
      <w:r>
        <w:rPr>
          <w:b/>
        </w:rPr>
        <w:t>tuonnista</w:t>
      </w:r>
      <w:r>
        <w:t xml:space="preserve"> ja </w:t>
      </w:r>
      <w:r>
        <w:rPr>
          <w:b/>
        </w:rPr>
        <w:t>monipuolistaa toimitusketjuja</w:t>
      </w:r>
      <w:r>
        <w:t xml:space="preserve"> edistämällä </w:t>
      </w:r>
      <w:r>
        <w:rPr>
          <w:b/>
        </w:rPr>
        <w:t>kansainvälisiä kumppanuuksia</w:t>
      </w:r>
      <w:r>
        <w:t>.</w:t>
      </w:r>
    </w:p>
    <w:p w:rsidR="009E139B" w:rsidP="0091345F" w:rsidRDefault="009E139B" w14:paraId="2359C31D" w14:textId="77777777">
      <w:pPr>
        <w:widowControl w:val="0"/>
        <w:numPr>
          <w:ilvl w:val="0"/>
          <w:numId w:val="17"/>
        </w:numPr>
      </w:pPr>
      <w:r>
        <w:t xml:space="preserve">katsoo, että on tehtävä pikaisesti </w:t>
      </w:r>
      <w:r>
        <w:rPr>
          <w:b/>
        </w:rPr>
        <w:t>kohdennettuja investointeja strategisiin teollisuudenaloihin ja infrastruktuuriin</w:t>
      </w:r>
      <w:r>
        <w:t xml:space="preserve"> talouden häiriönsietokyvyn vahvistamiseksi ja eurooppalaisten tuottajien </w:t>
      </w:r>
      <w:r>
        <w:rPr>
          <w:b/>
        </w:rPr>
        <w:t>tuottavuuserojen umpeen kuromiseksi</w:t>
      </w:r>
      <w:r>
        <w:t>. Tällaisten investointien tulisi olla osa hyvin koordinoitua, kattavaa ja rahoitukseltaan riittävää teollisuuspolitiikkaa.</w:t>
      </w:r>
    </w:p>
    <w:p w:rsidR="009E139B" w:rsidP="0091345F" w:rsidRDefault="009E139B" w14:paraId="459EF764" w14:textId="77777777">
      <w:pPr>
        <w:widowControl w:val="0"/>
        <w:numPr>
          <w:ilvl w:val="0"/>
          <w:numId w:val="17"/>
        </w:numPr>
      </w:pPr>
      <w:r>
        <w:t xml:space="preserve">suosittaa, että </w:t>
      </w:r>
      <w:r>
        <w:rPr>
          <w:b/>
        </w:rPr>
        <w:t>laajennetaan kauppasopimusten tekemistä</w:t>
      </w:r>
      <w:r>
        <w:t xml:space="preserve"> erityisesti globaalin etelän luotettavien kumppanien kanssa ja </w:t>
      </w:r>
      <w:r>
        <w:rPr>
          <w:b/>
        </w:rPr>
        <w:t>tehostetaan sääntelyä</w:t>
      </w:r>
      <w:r>
        <w:t xml:space="preserve"> EU:n mutkikkaiden kehysten yksinkertaistamiseksi samalla kun huolehditaan siitä, että </w:t>
      </w:r>
      <w:r>
        <w:rPr>
          <w:b/>
        </w:rPr>
        <w:t>normit pysyvät korkealla tasolla</w:t>
      </w:r>
      <w:r>
        <w:t>.</w:t>
      </w:r>
    </w:p>
    <w:p w:rsidR="009E139B" w:rsidP="0091345F" w:rsidRDefault="009E139B" w14:paraId="7E859895" w14:textId="77777777">
      <w:pPr>
        <w:widowControl w:val="0"/>
        <w:numPr>
          <w:ilvl w:val="0"/>
          <w:numId w:val="17"/>
        </w:numPr>
      </w:pPr>
      <w:r>
        <w:t xml:space="preserve">kehottaa edistämään edelleen </w:t>
      </w:r>
      <w:r>
        <w:rPr>
          <w:b/>
        </w:rPr>
        <w:t>kauppaa ja kestävää kehitystä koskevien sitovien ja täytäntöönpanokelpoisten lukujen</w:t>
      </w:r>
      <w:r>
        <w:t xml:space="preserve"> sisällyttämistä sopimuksiin, jotta EU:n markkinoita voidaan suojella epäoikeudenmukaisilta kilpailukäytännöiltä, jotka johtuvat maailmanlaajuisista alhaisemmista tuotantostandardeista.</w:t>
      </w:r>
    </w:p>
    <w:p w:rsidR="009E139B" w:rsidP="0091345F" w:rsidRDefault="009E139B" w14:paraId="663B837D" w14:textId="77777777">
      <w:pPr>
        <w:widowControl w:val="0"/>
        <w:numPr>
          <w:ilvl w:val="0"/>
          <w:numId w:val="17"/>
        </w:numPr>
      </w:pPr>
      <w:r>
        <w:t xml:space="preserve">kehottaa </w:t>
      </w:r>
      <w:r>
        <w:rPr>
          <w:b/>
        </w:rPr>
        <w:t>lisäämään taloudellista ja teknistä apua mikro- ja pk-yrityksille</w:t>
      </w:r>
      <w:r>
        <w:t>, jotta ne voivat monipuolistaa toimittajakantaansa, soveltaa kestäviä liiketoimintamalleja ja selviytyä kunnialla monimutkaisesta sääntelystä.</w:t>
      </w:r>
    </w:p>
    <w:p w:rsidR="009E139B" w:rsidP="0091345F" w:rsidRDefault="009E139B" w14:paraId="143039E4" w14:textId="77777777">
      <w:pPr>
        <w:widowControl w:val="0"/>
        <w:numPr>
          <w:ilvl w:val="0"/>
          <w:numId w:val="17"/>
        </w:numPr>
      </w:pPr>
      <w:r>
        <w:t xml:space="preserve">pitää tärkeänä </w:t>
      </w:r>
      <w:r>
        <w:rPr>
          <w:b/>
        </w:rPr>
        <w:t>lisätä investointeja tutkimukseen ja kehittämiseen</w:t>
      </w:r>
      <w:r>
        <w:t xml:space="preserve"> korkean teknologian teollisuuden ja kestävän valmistusteollisuuden aloilla ja myös </w:t>
      </w:r>
      <w:r>
        <w:rPr>
          <w:b/>
        </w:rPr>
        <w:t>lisätä tekoälyn</w:t>
      </w:r>
      <w:r>
        <w:t xml:space="preserve"> ja lohkoketjun </w:t>
      </w:r>
      <w:r>
        <w:rPr>
          <w:b/>
        </w:rPr>
        <w:t>käyttöä</w:t>
      </w:r>
      <w:r>
        <w:t xml:space="preserve"> toimitusketjun hallinnan optimoimiseksi.</w:t>
      </w:r>
    </w:p>
    <w:p w:rsidR="009E139B" w:rsidP="0091345F" w:rsidRDefault="009E139B" w14:paraId="19298D63" w14:textId="77777777">
      <w:pPr>
        <w:widowControl w:val="0"/>
        <w:numPr>
          <w:ilvl w:val="0"/>
          <w:numId w:val="17"/>
        </w:numPr>
      </w:pPr>
      <w:r>
        <w:t xml:space="preserve">katsoo, että tarvitaan </w:t>
      </w:r>
      <w:r>
        <w:rPr>
          <w:b/>
        </w:rPr>
        <w:t>kohdennettuja koulutusaloitteita</w:t>
      </w:r>
      <w:r>
        <w:t xml:space="preserve">, jotta voitaisiin parantaa työvoiman osaamista, </w:t>
      </w:r>
      <w:r>
        <w:rPr>
          <w:b/>
        </w:rPr>
        <w:t>edistää työvoiman liikkumista</w:t>
      </w:r>
      <w:r>
        <w:t xml:space="preserve"> sisämarkkinoilla, houkutella osaajia ja pitää kiinni heistä. Tämä </w:t>
      </w:r>
      <w:r>
        <w:rPr>
          <w:b/>
        </w:rPr>
        <w:t>vahvistaisi innovointivalmiuksia</w:t>
      </w:r>
      <w:r>
        <w:t>.</w:t>
      </w:r>
    </w:p>
    <w:p w:rsidRPr="00363E7D" w:rsidR="009E139B" w:rsidP="009E139B" w:rsidRDefault="009E139B" w14:paraId="6A21D339" w14:textId="77777777">
      <w:pPr>
        <w:widowControl w:val="0"/>
        <w:ind w:left="709"/>
        <w:rPr>
          <w:sz w:val="16"/>
          <w:szCs w:val="16"/>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A6689B" w:rsidR="009E139B" w:rsidTr="00D33D43" w14:paraId="3AA77D3A" w14:textId="77777777">
        <w:tc>
          <w:tcPr>
            <w:tcW w:w="1556" w:type="pct"/>
          </w:tcPr>
          <w:p w:rsidRPr="00A6689B" w:rsidR="009E139B" w:rsidP="00D33D43" w:rsidRDefault="009E139B" w14:paraId="2EB11DC1" w14:textId="77777777">
            <w:pPr>
              <w:spacing w:line="240" w:lineRule="auto"/>
              <w:rPr>
                <w:i/>
              </w:rPr>
            </w:pPr>
            <w:r>
              <w:rPr>
                <w:b/>
                <w:i/>
              </w:rPr>
              <w:t>Yhteydenotot</w:t>
            </w:r>
          </w:p>
        </w:tc>
        <w:tc>
          <w:tcPr>
            <w:tcW w:w="3444" w:type="pct"/>
          </w:tcPr>
          <w:p w:rsidRPr="004B6260" w:rsidR="009E139B" w:rsidP="00D33D43" w:rsidRDefault="009E139B" w14:paraId="5BCF4C1B" w14:textId="77777777">
            <w:pPr>
              <w:spacing w:line="240" w:lineRule="auto"/>
              <w:rPr>
                <w:i/>
                <w:iCs/>
              </w:rPr>
            </w:pPr>
            <w:r>
              <w:rPr>
                <w:i/>
              </w:rPr>
              <w:t xml:space="preserve">Marco </w:t>
            </w:r>
            <w:proofErr w:type="spellStart"/>
            <w:r>
              <w:rPr>
                <w:i/>
              </w:rPr>
              <w:t>Ristori</w:t>
            </w:r>
            <w:proofErr w:type="spellEnd"/>
          </w:p>
        </w:tc>
      </w:tr>
      <w:tr w:rsidRPr="00A6689B" w:rsidR="009E139B" w:rsidTr="00D33D43" w14:paraId="39F7F7E1" w14:textId="77777777">
        <w:tc>
          <w:tcPr>
            <w:tcW w:w="1556" w:type="pct"/>
          </w:tcPr>
          <w:p w:rsidRPr="00A6689B" w:rsidR="009E139B" w:rsidP="00D33D43" w:rsidRDefault="009E139B" w14:paraId="467BF69B" w14:textId="77777777">
            <w:pPr>
              <w:spacing w:line="240" w:lineRule="auto"/>
              <w:rPr>
                <w:i/>
              </w:rPr>
            </w:pPr>
            <w:r>
              <w:rPr>
                <w:i/>
              </w:rPr>
              <w:t>P.</w:t>
            </w:r>
          </w:p>
        </w:tc>
        <w:tc>
          <w:tcPr>
            <w:tcW w:w="3444" w:type="pct"/>
          </w:tcPr>
          <w:p w:rsidRPr="00A6689B" w:rsidR="009E139B" w:rsidP="00D33D43" w:rsidRDefault="009E139B" w14:paraId="1CB07EAA" w14:textId="77777777">
            <w:pPr>
              <w:spacing w:line="240" w:lineRule="auto"/>
              <w:rPr>
                <w:i/>
              </w:rPr>
            </w:pPr>
            <w:r>
              <w:rPr>
                <w:i/>
              </w:rPr>
              <w:t>+32 254 69969</w:t>
            </w:r>
          </w:p>
        </w:tc>
      </w:tr>
      <w:tr w:rsidRPr="00A6689B" w:rsidR="009E139B" w:rsidTr="00D33D43" w14:paraId="44FB486B" w14:textId="77777777">
        <w:tc>
          <w:tcPr>
            <w:tcW w:w="1556" w:type="pct"/>
          </w:tcPr>
          <w:p w:rsidRPr="00A6689B" w:rsidR="009E139B" w:rsidP="00D33D43" w:rsidRDefault="009E139B" w14:paraId="78ED4E73" w14:textId="77777777">
            <w:pPr>
              <w:spacing w:line="240" w:lineRule="auto"/>
              <w:rPr>
                <w:i/>
              </w:rPr>
            </w:pPr>
            <w:r>
              <w:rPr>
                <w:i/>
              </w:rPr>
              <w:t>Sähköposti</w:t>
            </w:r>
          </w:p>
        </w:tc>
        <w:tc>
          <w:tcPr>
            <w:tcW w:w="3444" w:type="pct"/>
          </w:tcPr>
          <w:p w:rsidRPr="00A6689B" w:rsidR="009E139B" w:rsidP="00D33D43" w:rsidRDefault="009E139B" w14:paraId="42E77834" w14:textId="77777777">
            <w:pPr>
              <w:spacing w:line="240" w:lineRule="auto"/>
              <w:rPr>
                <w:i/>
              </w:rPr>
            </w:pPr>
            <w:hyperlink w:history="1" r:id="rId48">
              <w:r>
                <w:rPr>
                  <w:rStyle w:val="Hyperlink"/>
                  <w:i/>
                </w:rPr>
                <w:t>Marco.Ristori@eesc.europa.eu</w:t>
              </w:r>
            </w:hyperlink>
          </w:p>
        </w:tc>
      </w:tr>
    </w:tbl>
    <w:p w:rsidR="00055407" w:rsidRDefault="00055407" w14:paraId="48C49104" w14:textId="77777777">
      <w:pPr>
        <w:spacing w:after="160" w:line="259" w:lineRule="auto"/>
        <w:jc w:val="left"/>
        <w:rPr>
          <w:b/>
          <w:i/>
          <w:sz w:val="28"/>
          <w:szCs w:val="28"/>
        </w:rPr>
      </w:pPr>
      <w:r>
        <w:br w:type="page"/>
      </w:r>
    </w:p>
    <w:p w:rsidR="00AE7912" w:rsidRDefault="00AE7912" w14:paraId="3ADE613E" w14:textId="682BD48C">
      <w:pPr>
        <w:spacing w:after="160" w:line="259" w:lineRule="auto"/>
        <w:jc w:val="left"/>
      </w:pPr>
    </w:p>
    <w:p w:rsidRPr="006D52F7" w:rsidR="009E139B" w:rsidP="0091345F" w:rsidRDefault="009E139B" w14:paraId="11AEAA14" w14:textId="77777777">
      <w:pPr>
        <w:widowControl w:val="0"/>
        <w:numPr>
          <w:ilvl w:val="0"/>
          <w:numId w:val="18"/>
        </w:numPr>
        <w:overflowPunct w:val="0"/>
        <w:autoSpaceDE w:val="0"/>
        <w:autoSpaceDN w:val="0"/>
        <w:adjustRightInd w:val="0"/>
        <w:ind w:hanging="567"/>
        <w:jc w:val="left"/>
        <w:textAlignment w:val="baseline"/>
        <w:rPr>
          <w:rStyle w:val="Hyperlink"/>
          <w:b/>
          <w:bCs/>
          <w:i/>
          <w:iCs/>
          <w:sz w:val="28"/>
          <w:szCs w:val="28"/>
        </w:rPr>
      </w:pPr>
      <w:hyperlink w:history="1" r:id="rId49">
        <w:r>
          <w:rPr>
            <w:rStyle w:val="Hyperlink"/>
            <w:b/>
            <w:i/>
            <w:sz w:val="28"/>
          </w:rPr>
          <w:t>Kansalaisyhteiskunnan organisaatioiden tilanne ASEAN-maissa</w:t>
        </w:r>
      </w:hyperlink>
    </w:p>
    <w:p w:rsidRPr="006D52F7" w:rsidR="009E139B" w:rsidP="009E139B" w:rsidRDefault="009E139B" w14:paraId="74BF7A95" w14:textId="77777777">
      <w:pPr>
        <w:widowControl w:val="0"/>
        <w:ind w:left="567"/>
        <w:jc w:val="left"/>
        <w:rPr>
          <w:sz w:val="20"/>
        </w:rPr>
      </w:pPr>
    </w:p>
    <w:p w:rsidRPr="006D52F7" w:rsidR="009E139B" w:rsidP="009E139B" w:rsidRDefault="009E139B" w14:paraId="70CEA49B" w14:textId="77777777">
      <w:pPr>
        <w:widowControl w:val="0"/>
        <w:jc w:val="left"/>
        <w:rPr>
          <w:sz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6D52F7" w:rsidR="009E139B" w:rsidTr="00D33D43" w14:paraId="445F8E78" w14:textId="77777777">
        <w:trPr>
          <w:trHeight w:val="330"/>
        </w:trPr>
        <w:tc>
          <w:tcPr>
            <w:tcW w:w="1701" w:type="dxa"/>
          </w:tcPr>
          <w:p w:rsidRPr="006D52F7" w:rsidR="009E139B" w:rsidP="00D33D43" w:rsidRDefault="009E139B" w14:paraId="428DBF87" w14:textId="77777777">
            <w:pPr>
              <w:tabs>
                <w:tab w:val="center" w:pos="284"/>
              </w:tabs>
              <w:ind w:left="266" w:hanging="266"/>
              <w:rPr>
                <w:b/>
                <w:szCs w:val="24"/>
              </w:rPr>
            </w:pPr>
            <w:r>
              <w:rPr>
                <w:b/>
              </w:rPr>
              <w:t>Esittelijä</w:t>
            </w:r>
          </w:p>
        </w:tc>
        <w:tc>
          <w:tcPr>
            <w:tcW w:w="5387" w:type="dxa"/>
          </w:tcPr>
          <w:p w:rsidRPr="006D52F7" w:rsidR="009E139B" w:rsidP="00D33D43" w:rsidRDefault="009E139B" w14:paraId="52F96333" w14:textId="77777777">
            <w:pPr>
              <w:tabs>
                <w:tab w:val="center" w:pos="2585"/>
              </w:tabs>
              <w:jc w:val="left"/>
              <w:rPr>
                <w:szCs w:val="24"/>
              </w:rPr>
            </w:pPr>
            <w:r>
              <w:t>Erika KOLLER (työntekijät – HU)</w:t>
            </w:r>
          </w:p>
        </w:tc>
      </w:tr>
      <w:tr w:rsidRPr="006D52F7" w:rsidR="009E139B" w:rsidTr="00D33D43" w14:paraId="3512EA5D" w14:textId="77777777">
        <w:tc>
          <w:tcPr>
            <w:tcW w:w="1701" w:type="dxa"/>
          </w:tcPr>
          <w:p w:rsidRPr="006D52F7" w:rsidR="009E139B" w:rsidP="00D33D43" w:rsidRDefault="009E139B" w14:paraId="20E95D80" w14:textId="77777777">
            <w:pPr>
              <w:tabs>
                <w:tab w:val="center" w:pos="284"/>
              </w:tabs>
              <w:ind w:left="266" w:hanging="266"/>
              <w:rPr>
                <w:b/>
                <w:szCs w:val="24"/>
              </w:rPr>
            </w:pPr>
            <w:r>
              <w:rPr>
                <w:b/>
              </w:rPr>
              <w:t>Viiteasiakirja</w:t>
            </w:r>
          </w:p>
        </w:tc>
        <w:tc>
          <w:tcPr>
            <w:tcW w:w="5387" w:type="dxa"/>
          </w:tcPr>
          <w:p w:rsidRPr="006D52F7" w:rsidR="009E139B" w:rsidP="00D33D43" w:rsidRDefault="009E139B" w14:paraId="33B4AB0D" w14:textId="77777777">
            <w:pPr>
              <w:tabs>
                <w:tab w:val="center" w:pos="284"/>
              </w:tabs>
              <w:ind w:left="266" w:hanging="266"/>
              <w:rPr>
                <w:szCs w:val="24"/>
              </w:rPr>
            </w:pPr>
            <w:r>
              <w:t>EESC-2025-00840-00-00-RI</w:t>
            </w:r>
          </w:p>
        </w:tc>
      </w:tr>
    </w:tbl>
    <w:p w:rsidRPr="006D52F7" w:rsidR="009E139B" w:rsidP="009E139B" w:rsidRDefault="009E139B" w14:paraId="31B5C70E" w14:textId="77777777">
      <w:pPr>
        <w:keepNext/>
        <w:keepLines/>
        <w:tabs>
          <w:tab w:val="center" w:pos="284"/>
        </w:tabs>
        <w:ind w:left="266" w:hanging="266"/>
        <w:rPr>
          <w:b/>
        </w:rPr>
      </w:pPr>
    </w:p>
    <w:p w:rsidRPr="006D52F7" w:rsidR="009E139B" w:rsidP="009E139B" w:rsidRDefault="009E139B" w14:paraId="25A232B0" w14:textId="77777777">
      <w:pPr>
        <w:keepNext/>
        <w:keepLines/>
        <w:tabs>
          <w:tab w:val="center" w:pos="284"/>
        </w:tabs>
        <w:ind w:left="266" w:hanging="266"/>
        <w:rPr>
          <w:b/>
        </w:rPr>
      </w:pPr>
      <w:r>
        <w:rPr>
          <w:b/>
        </w:rPr>
        <w:t>Keskeiset kohdat</w:t>
      </w:r>
    </w:p>
    <w:p w:rsidRPr="006D52F7" w:rsidR="009E139B" w:rsidP="009E139B" w:rsidRDefault="009E139B" w14:paraId="5A7F522B" w14:textId="77777777">
      <w:pPr>
        <w:keepNext/>
        <w:keepLines/>
        <w:tabs>
          <w:tab w:val="center" w:pos="284"/>
        </w:tabs>
        <w:ind w:left="266" w:hanging="266"/>
        <w:rPr>
          <w:b/>
        </w:rPr>
      </w:pPr>
    </w:p>
    <w:p w:rsidRPr="006D52F7" w:rsidR="009E139B" w:rsidP="0091345F" w:rsidRDefault="009E139B" w14:paraId="6180195B" w14:textId="77777777">
      <w:pPr>
        <w:numPr>
          <w:ilvl w:val="0"/>
          <w:numId w:val="18"/>
        </w:numPr>
      </w:pPr>
      <w:r>
        <w:t xml:space="preserve">Tiedonannossa pyritään valottamaan Kaakkois-Aasian maiden liiton (ASEAN) ja Euroopan unionin (EU) välisiä kehittyviä suhteita erityisesti kansalaisyhteiskunnan roolin ja kestävän kehityksen osalta kaupan ja poliittisen yhteistyön yhteydessä. </w:t>
      </w:r>
    </w:p>
    <w:p w:rsidRPr="006D52F7" w:rsidR="009E139B" w:rsidP="0091345F" w:rsidRDefault="009E139B" w14:paraId="0A599AD1" w14:textId="77777777">
      <w:pPr>
        <w:numPr>
          <w:ilvl w:val="0"/>
          <w:numId w:val="18"/>
        </w:numPr>
      </w:pPr>
      <w:r>
        <w:t xml:space="preserve">Näillä kahdella alueella on enemmän yhteistä kuin usein tunnustetaan. Merkityksellinen EU:n ja </w:t>
      </w:r>
      <w:proofErr w:type="spellStart"/>
      <w:r>
        <w:t>ASEANin</w:t>
      </w:r>
      <w:proofErr w:type="spellEnd"/>
      <w:r>
        <w:t xml:space="preserve"> kumppanuus, joka perustuu periaatteelliseen yhteistyöhön ja toistensa poliittisten lähestymistapojen kunnioittamiseen, on vakauttava voima yhä epävakaammassa globaalissa ympäristössä. Alueita yhdistää tuki sääntöihin perustuvalle monenväliselle järjestykselle, samoin kuin sitoutuminen rauhaan ja kehitykseen. </w:t>
      </w:r>
    </w:p>
    <w:p w:rsidRPr="006D52F7" w:rsidR="009E139B" w:rsidP="0091345F" w:rsidRDefault="009E139B" w14:paraId="2A9506D7" w14:textId="77777777">
      <w:pPr>
        <w:numPr>
          <w:ilvl w:val="0"/>
          <w:numId w:val="18"/>
        </w:numPr>
      </w:pPr>
      <w:r>
        <w:t xml:space="preserve">EU:n ja </w:t>
      </w:r>
      <w:proofErr w:type="spellStart"/>
      <w:r>
        <w:t>ASEANin</w:t>
      </w:r>
      <w:proofErr w:type="spellEnd"/>
      <w:r>
        <w:t xml:space="preserve"> suhteet noudattavat vakiintunutta rytmiä, johon kuuluvat vuosittaiset kokoukset ja työryhmät, mukaan lukien sekakomitea, joka antaa panoksensa korkeamman tason ministerivuoropuheluihin ja teolliseen yhteistyöhön erikoistuneiden foorumien kautta. </w:t>
      </w:r>
    </w:p>
    <w:p w:rsidRPr="006D52F7" w:rsidR="009E139B" w:rsidP="0091345F" w:rsidRDefault="009E139B" w14:paraId="32342173" w14:textId="77777777">
      <w:pPr>
        <w:numPr>
          <w:ilvl w:val="0"/>
          <w:numId w:val="18"/>
        </w:numPr>
      </w:pPr>
      <w:r>
        <w:t>Kansalaisyhteiskunnalla on keskeinen rooli alueiden välisen yhteistyön edistämisessä, erityisesti osallistavien poliittisten prosessien edistämisessä ja alueiden välisten vakauttamistoimien tukemisessa. Samanmielisten maiden kannalta on olennaisen tärkeää tunnustaa Kaakkois-Aasian monimutkaiset poliittiset, sosiaaliset ja kulttuuriset realiteetit, jotka saattavat poiketa merkittävästi Euroopan unionin odotuksista. Näiden erojen ylitse pääseminen on keskeistä, jotta voidaan edistää institutionaalista, avointa ja osallistavaa vuoropuhelua, johon kansalaisyhteiskunta osallistuu tarkoituksenmukaisesti. Tällaisessa vuoropuhelussa tarkastellaan uudelleen osallistamisstrategioita ja paikallisia realiteetteja ja varmistetaan marginalisoituneiden äänien, erityisesti ruohonjuuritason järjestöjen, naisten, etnisten ja alkuperäisväestöihin kuuluvien vähemmistöjä sekä nuorien, osallisuus. Vuoropuhelu edellyttää kuitenkin myös huolellista arviointia, kun kumppanina on kansalaisyhteiskunnan organisaatio.</w:t>
      </w:r>
    </w:p>
    <w:p w:rsidRPr="006D52F7" w:rsidR="009E139B" w:rsidP="009E139B" w:rsidRDefault="009E139B" w14:paraId="14F40D39" w14:textId="77777777">
      <w:pPr>
        <w:rPr>
          <w:rFonts w:eastAsiaTheme="minorHAns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6D52F7" w:rsidR="009E139B" w:rsidTr="00D33D43" w14:paraId="40407A2A" w14:textId="77777777">
        <w:tc>
          <w:tcPr>
            <w:tcW w:w="1418" w:type="dxa"/>
          </w:tcPr>
          <w:p w:rsidRPr="006D52F7" w:rsidR="009E139B" w:rsidP="00D33D43" w:rsidRDefault="009E139B" w14:paraId="71AC1261" w14:textId="77777777">
            <w:pPr>
              <w:rPr>
                <w:i/>
                <w:szCs w:val="24"/>
              </w:rPr>
            </w:pPr>
            <w:r>
              <w:rPr>
                <w:b/>
                <w:i/>
              </w:rPr>
              <w:t>Yhteydenotot</w:t>
            </w:r>
          </w:p>
        </w:tc>
        <w:tc>
          <w:tcPr>
            <w:tcW w:w="5670" w:type="dxa"/>
          </w:tcPr>
          <w:p w:rsidRPr="006D52F7" w:rsidR="009E139B" w:rsidP="00D33D43" w:rsidRDefault="009E139B" w14:paraId="714A08CC" w14:textId="77777777">
            <w:pPr>
              <w:rPr>
                <w:b/>
                <w:bCs/>
                <w:i/>
                <w:szCs w:val="24"/>
              </w:rPr>
            </w:pPr>
            <w:r>
              <w:rPr>
                <w:b/>
                <w:i/>
              </w:rPr>
              <w:t xml:space="preserve">Gunilla </w:t>
            </w:r>
            <w:proofErr w:type="spellStart"/>
            <w:r>
              <w:rPr>
                <w:b/>
                <w:i/>
              </w:rPr>
              <w:t>Fèvre-Burdy</w:t>
            </w:r>
            <w:proofErr w:type="spellEnd"/>
          </w:p>
        </w:tc>
      </w:tr>
      <w:tr w:rsidRPr="006D52F7" w:rsidR="009E139B" w:rsidTr="00D33D43" w14:paraId="6E9BE8A5" w14:textId="77777777">
        <w:tc>
          <w:tcPr>
            <w:tcW w:w="1418" w:type="dxa"/>
          </w:tcPr>
          <w:p w:rsidRPr="006D52F7" w:rsidR="009E139B" w:rsidP="00D33D43" w:rsidRDefault="009E139B" w14:paraId="049B6112" w14:textId="77777777">
            <w:pPr>
              <w:rPr>
                <w:i/>
                <w:szCs w:val="24"/>
              </w:rPr>
            </w:pPr>
            <w:r>
              <w:rPr>
                <w:i/>
              </w:rPr>
              <w:t>P.</w:t>
            </w:r>
          </w:p>
        </w:tc>
        <w:tc>
          <w:tcPr>
            <w:tcW w:w="5670" w:type="dxa"/>
          </w:tcPr>
          <w:p w:rsidRPr="006D52F7" w:rsidR="009E139B" w:rsidP="00D33D43" w:rsidRDefault="009E139B" w14:paraId="57E7B1C6" w14:textId="77777777">
            <w:pPr>
              <w:rPr>
                <w:i/>
                <w:szCs w:val="24"/>
              </w:rPr>
            </w:pPr>
            <w:r>
              <w:rPr>
                <w:i/>
              </w:rPr>
              <w:t>+32 25469108</w:t>
            </w:r>
          </w:p>
        </w:tc>
      </w:tr>
      <w:tr w:rsidRPr="006D52F7" w:rsidR="009E139B" w:rsidTr="00D33D43" w14:paraId="73527C78" w14:textId="77777777">
        <w:tc>
          <w:tcPr>
            <w:tcW w:w="1418" w:type="dxa"/>
          </w:tcPr>
          <w:p w:rsidRPr="006D52F7" w:rsidR="009E139B" w:rsidP="00D33D43" w:rsidRDefault="009E139B" w14:paraId="6E38FB79" w14:textId="77777777">
            <w:pPr>
              <w:rPr>
                <w:i/>
                <w:szCs w:val="24"/>
              </w:rPr>
            </w:pPr>
            <w:r>
              <w:rPr>
                <w:i/>
              </w:rPr>
              <w:t>Sähköposti</w:t>
            </w:r>
          </w:p>
        </w:tc>
        <w:tc>
          <w:tcPr>
            <w:tcW w:w="5670" w:type="dxa"/>
          </w:tcPr>
          <w:p w:rsidRPr="006D52F7" w:rsidR="009E139B" w:rsidP="00D33D43" w:rsidRDefault="009E139B" w14:paraId="1B1442C7" w14:textId="77777777">
            <w:pPr>
              <w:rPr>
                <w:i/>
                <w:color w:val="0000FF"/>
                <w:szCs w:val="24"/>
                <w:u w:val="single"/>
              </w:rPr>
            </w:pPr>
            <w:hyperlink w:history="1" r:id="rId50">
              <w:r>
                <w:rPr>
                  <w:rStyle w:val="Hyperlink"/>
                  <w:i/>
                </w:rPr>
                <w:t>Gunilla.Sandberg@eesc.europa.eu</w:t>
              </w:r>
            </w:hyperlink>
          </w:p>
        </w:tc>
      </w:tr>
    </w:tbl>
    <w:p w:rsidR="009E139B" w:rsidP="009E139B" w:rsidRDefault="009E139B" w14:paraId="3E7DFFEE" w14:textId="77777777">
      <w:pPr>
        <w:jc w:val="center"/>
      </w:pPr>
    </w:p>
    <w:p w:rsidR="006179EF" w:rsidRDefault="006179EF" w14:paraId="126BFE8C" w14:textId="2DA8AC15">
      <w:pPr>
        <w:spacing w:after="160" w:line="259" w:lineRule="auto"/>
        <w:jc w:val="left"/>
      </w:pPr>
      <w:r>
        <w:br w:type="page"/>
      </w:r>
    </w:p>
    <w:p w:rsidRPr="006D2C8A" w:rsidR="006D2C8A" w:rsidP="006D2C8A" w:rsidRDefault="006D2C8A" w14:paraId="528C73AA" w14:textId="46DE726B">
      <w:pPr>
        <w:pStyle w:val="Heading1"/>
        <w:rPr>
          <w:b/>
        </w:rPr>
      </w:pPr>
      <w:bookmarkStart w:name="_Toc202363003" w:id="18"/>
      <w:r>
        <w:rPr>
          <w:b/>
          <w:color w:val="222A35" w:themeColor="text2" w:themeShade="80"/>
        </w:rPr>
        <w:lastRenderedPageBreak/>
        <w:t>NEUVOA-ANTAVA VALIOKUNTA ”TEOLLISUUDEN MUUTOKSET”</w:t>
      </w:r>
      <w:bookmarkEnd w:id="18"/>
    </w:p>
    <w:p w:rsidRPr="00B60D9A" w:rsidR="006D2C8A" w:rsidP="006D2C8A" w:rsidRDefault="006D2C8A" w14:paraId="713E272F" w14:textId="77777777">
      <w:pPr>
        <w:rPr>
          <w:sz w:val="18"/>
          <w:szCs w:val="18"/>
        </w:rPr>
      </w:pPr>
    </w:p>
    <w:p w:rsidRPr="002828BE" w:rsidR="009E139B" w:rsidP="0091345F" w:rsidRDefault="009E139B" w14:paraId="75B4BB45" w14:textId="77777777">
      <w:pPr>
        <w:pStyle w:val="ListParagraph"/>
        <w:numPr>
          <w:ilvl w:val="0"/>
          <w:numId w:val="19"/>
        </w:numPr>
        <w:spacing w:after="200" w:line="276" w:lineRule="auto"/>
        <w:ind w:left="567" w:hanging="567"/>
        <w:jc w:val="left"/>
        <w:rPr>
          <w:rStyle w:val="Hyperlink"/>
          <w:b/>
          <w:bCs/>
          <w:i/>
          <w:iCs/>
          <w:sz w:val="28"/>
          <w:szCs w:val="28"/>
        </w:rPr>
      </w:pPr>
      <w:hyperlink w:history="1" r:id="rId51">
        <w:r>
          <w:rPr>
            <w:rStyle w:val="Hyperlink"/>
            <w:b/>
            <w:i/>
            <w:sz w:val="28"/>
          </w:rPr>
          <w:t>Euroopan uudelleenteollistaminen ja elinkustannuskriisi</w:t>
        </w:r>
      </w:hyperlink>
    </w:p>
    <w:p w:rsidRPr="002828BE" w:rsidR="009E139B" w:rsidP="009E139B" w:rsidRDefault="009E139B" w14:paraId="31813D21" w14:textId="77777777">
      <w:pPr>
        <w:keepNext/>
        <w:keepLines/>
        <w:tabs>
          <w:tab w:val="center" w:pos="284"/>
        </w:tabs>
        <w:ind w:left="266" w:hanging="266"/>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026918" w:rsidR="009E139B" w:rsidTr="00D33D43" w14:paraId="4F60B41A" w14:textId="77777777">
        <w:tc>
          <w:tcPr>
            <w:tcW w:w="1701" w:type="dxa"/>
          </w:tcPr>
          <w:p w:rsidRPr="00A6689B" w:rsidR="009E139B" w:rsidP="00D33D43" w:rsidRDefault="009E139B" w14:paraId="4612E697" w14:textId="77777777">
            <w:pPr>
              <w:tabs>
                <w:tab w:val="center" w:pos="284"/>
              </w:tabs>
              <w:ind w:left="266" w:hanging="266"/>
              <w:rPr>
                <w:b/>
              </w:rPr>
            </w:pPr>
            <w:r>
              <w:rPr>
                <w:b/>
              </w:rPr>
              <w:t>Esittelijä</w:t>
            </w:r>
          </w:p>
        </w:tc>
        <w:tc>
          <w:tcPr>
            <w:tcW w:w="5670" w:type="dxa"/>
          </w:tcPr>
          <w:p w:rsidRPr="00026918" w:rsidR="009E139B" w:rsidP="00D33D43" w:rsidRDefault="009E139B" w14:paraId="5E251342" w14:textId="77777777">
            <w:pPr>
              <w:tabs>
                <w:tab w:val="center" w:pos="284"/>
              </w:tabs>
              <w:ind w:left="266" w:hanging="266"/>
              <w:rPr>
                <w:lang w:val="es-ES"/>
              </w:rPr>
            </w:pPr>
            <w:r w:rsidRPr="00026918">
              <w:rPr>
                <w:lang w:val="es-ES"/>
              </w:rPr>
              <w:t>Andrés BARCELÓ DELGADO (</w:t>
            </w:r>
            <w:proofErr w:type="spellStart"/>
            <w:r w:rsidRPr="00026918">
              <w:rPr>
                <w:lang w:val="es-ES"/>
              </w:rPr>
              <w:t>työnantajat</w:t>
            </w:r>
            <w:proofErr w:type="spellEnd"/>
            <w:r w:rsidRPr="00026918">
              <w:rPr>
                <w:lang w:val="es-ES"/>
              </w:rPr>
              <w:t xml:space="preserve"> – ES)</w:t>
            </w:r>
          </w:p>
        </w:tc>
      </w:tr>
      <w:tr w:rsidRPr="00A6689B" w:rsidR="009E139B" w:rsidTr="00D33D43" w14:paraId="28E6A50C" w14:textId="77777777">
        <w:tc>
          <w:tcPr>
            <w:tcW w:w="1701" w:type="dxa"/>
          </w:tcPr>
          <w:p w:rsidRPr="00A6689B" w:rsidR="009E139B" w:rsidP="00D33D43" w:rsidRDefault="009E139B" w14:paraId="4BEA1D37" w14:textId="77777777">
            <w:pPr>
              <w:tabs>
                <w:tab w:val="center" w:pos="284"/>
              </w:tabs>
              <w:ind w:left="266" w:hanging="266"/>
              <w:rPr>
                <w:b/>
              </w:rPr>
            </w:pPr>
            <w:r>
              <w:rPr>
                <w:b/>
              </w:rPr>
              <w:t>Yhteisesittelijä</w:t>
            </w:r>
          </w:p>
        </w:tc>
        <w:tc>
          <w:tcPr>
            <w:tcW w:w="5670" w:type="dxa"/>
          </w:tcPr>
          <w:p w:rsidRPr="00A6689B" w:rsidR="009E139B" w:rsidP="00D33D43" w:rsidRDefault="009E139B" w14:paraId="6F6FA3AA" w14:textId="77777777">
            <w:pPr>
              <w:tabs>
                <w:tab w:val="center" w:pos="284"/>
              </w:tabs>
              <w:ind w:left="266" w:hanging="266"/>
            </w:pPr>
            <w:r>
              <w:t>Monika SITÁROVÁ (SK – kat. 2)</w:t>
            </w:r>
          </w:p>
        </w:tc>
      </w:tr>
      <w:tr w:rsidRPr="00A6689B" w:rsidR="009E139B" w:rsidTr="00D33D43" w14:paraId="1B695769" w14:textId="77777777">
        <w:tc>
          <w:tcPr>
            <w:tcW w:w="7371" w:type="dxa"/>
            <w:gridSpan w:val="2"/>
          </w:tcPr>
          <w:p w:rsidRPr="00A6689B" w:rsidR="009E139B" w:rsidP="00D33D43" w:rsidRDefault="009E139B" w14:paraId="3356939A" w14:textId="77777777">
            <w:pPr>
              <w:tabs>
                <w:tab w:val="center" w:pos="284"/>
              </w:tabs>
              <w:spacing w:line="160" w:lineRule="exact"/>
              <w:ind w:left="266" w:hanging="266"/>
              <w:rPr>
                <w:lang w:val="en-US"/>
              </w:rPr>
            </w:pPr>
          </w:p>
        </w:tc>
      </w:tr>
      <w:tr w:rsidRPr="00A6689B" w:rsidR="009E139B" w:rsidTr="00D33D43" w14:paraId="6A92E29F" w14:textId="77777777">
        <w:tc>
          <w:tcPr>
            <w:tcW w:w="1701" w:type="dxa"/>
            <w:vMerge w:val="restart"/>
          </w:tcPr>
          <w:p w:rsidRPr="00A6689B" w:rsidR="009E139B" w:rsidP="00D33D43" w:rsidRDefault="009E139B" w14:paraId="334B102B" w14:textId="77777777">
            <w:pPr>
              <w:tabs>
                <w:tab w:val="center" w:pos="284"/>
              </w:tabs>
              <w:ind w:left="266" w:hanging="266"/>
              <w:rPr>
                <w:b/>
              </w:rPr>
            </w:pPr>
            <w:r>
              <w:rPr>
                <w:b/>
              </w:rPr>
              <w:t>Viiteasiakirjat</w:t>
            </w:r>
          </w:p>
        </w:tc>
        <w:tc>
          <w:tcPr>
            <w:tcW w:w="5670" w:type="dxa"/>
          </w:tcPr>
          <w:p w:rsidRPr="00A6689B" w:rsidR="009E139B" w:rsidP="00D33D43" w:rsidRDefault="009E139B" w14:paraId="61B7FDDD" w14:textId="77777777">
            <w:pPr>
              <w:tabs>
                <w:tab w:val="center" w:pos="284"/>
              </w:tabs>
              <w:ind w:left="266" w:hanging="266"/>
            </w:pPr>
            <w:r>
              <w:t>EESC-2025-00169-00-00-AC</w:t>
            </w:r>
          </w:p>
        </w:tc>
      </w:tr>
      <w:tr w:rsidRPr="00A6689B" w:rsidR="009E139B" w:rsidTr="00D33D43" w14:paraId="7A42E547" w14:textId="77777777">
        <w:tc>
          <w:tcPr>
            <w:tcW w:w="1701" w:type="dxa"/>
            <w:vMerge/>
          </w:tcPr>
          <w:p w:rsidRPr="00A6689B" w:rsidR="009E139B" w:rsidP="00D33D43" w:rsidRDefault="009E139B" w14:paraId="200CD7B6" w14:textId="77777777">
            <w:pPr>
              <w:tabs>
                <w:tab w:val="center" w:pos="284"/>
              </w:tabs>
              <w:ind w:left="266" w:hanging="266"/>
              <w:rPr>
                <w:b/>
                <w:lang w:val="en-US"/>
              </w:rPr>
            </w:pPr>
          </w:p>
        </w:tc>
        <w:tc>
          <w:tcPr>
            <w:tcW w:w="5670" w:type="dxa"/>
          </w:tcPr>
          <w:p w:rsidRPr="00A6689B" w:rsidR="009E139B" w:rsidP="00D33D43" w:rsidRDefault="009E139B" w14:paraId="27BC34D0" w14:textId="77777777">
            <w:pPr>
              <w:tabs>
                <w:tab w:val="center" w:pos="284"/>
              </w:tabs>
              <w:ind w:left="266" w:hanging="266"/>
              <w:rPr>
                <w:lang w:val="en-US"/>
              </w:rPr>
            </w:pPr>
          </w:p>
        </w:tc>
      </w:tr>
    </w:tbl>
    <w:p w:rsidR="009E139B" w:rsidP="009E139B" w:rsidRDefault="009E139B" w14:paraId="7362CD33" w14:textId="77777777">
      <w:pPr>
        <w:keepNext/>
        <w:keepLines/>
        <w:tabs>
          <w:tab w:val="center" w:pos="284"/>
        </w:tabs>
        <w:ind w:left="266" w:hanging="266"/>
        <w:rPr>
          <w:b/>
        </w:rPr>
      </w:pPr>
      <w:r>
        <w:rPr>
          <w:b/>
        </w:rPr>
        <w:t>Keskeiset kohdat</w:t>
      </w:r>
    </w:p>
    <w:p w:rsidR="009E139B" w:rsidP="009E139B" w:rsidRDefault="009E139B" w14:paraId="306719D6" w14:textId="77777777">
      <w:pPr>
        <w:keepNext/>
        <w:keepLines/>
        <w:tabs>
          <w:tab w:val="center" w:pos="284"/>
        </w:tabs>
        <w:ind w:left="266" w:hanging="266"/>
        <w:rPr>
          <w:b/>
        </w:rPr>
      </w:pPr>
    </w:p>
    <w:p w:rsidRPr="00635CE4" w:rsidR="009E139B" w:rsidP="009E139B" w:rsidRDefault="009E139B" w14:paraId="7E56E767" w14:textId="77777777">
      <w:pPr>
        <w:keepNext/>
        <w:keepLines/>
        <w:tabs>
          <w:tab w:val="center" w:pos="0"/>
        </w:tabs>
        <w:rPr>
          <w:b/>
        </w:rPr>
      </w:pPr>
      <w:r>
        <w:t xml:space="preserve">Tähän lausuntoon sovellettiin </w:t>
      </w:r>
      <w:hyperlink w:history="1" r:id="rId52">
        <w:proofErr w:type="spellStart"/>
        <w:r>
          <w:rPr>
            <w:rStyle w:val="Hyperlink"/>
          </w:rPr>
          <w:t>ETSK:n</w:t>
        </w:r>
        <w:proofErr w:type="spellEnd"/>
        <w:r>
          <w:rPr>
            <w:rStyle w:val="Hyperlink"/>
          </w:rPr>
          <w:t xml:space="preserve"> käyttämää EU-tason nuorisotestiä</w:t>
        </w:r>
      </w:hyperlink>
      <w:r>
        <w:t xml:space="preserve">. Asiasta kiinnostuneiden nuorisojärjestöjen ryhmä valitsi Baltic </w:t>
      </w:r>
      <w:proofErr w:type="spellStart"/>
      <w:r>
        <w:t>Sea</w:t>
      </w:r>
      <w:proofErr w:type="spellEnd"/>
      <w:r>
        <w:t xml:space="preserve"> </w:t>
      </w:r>
      <w:proofErr w:type="spellStart"/>
      <w:r>
        <w:t>Region</w:t>
      </w:r>
      <w:proofErr w:type="spellEnd"/>
      <w:r>
        <w:t xml:space="preserve"> </w:t>
      </w:r>
      <w:proofErr w:type="spellStart"/>
      <w:r>
        <w:t>Youth</w:t>
      </w:r>
      <w:proofErr w:type="spellEnd"/>
      <w:r>
        <w:t xml:space="preserve"> Forum -verkoston edustamaan niitä lausunnon alkuvalmistelussa.</w:t>
      </w:r>
    </w:p>
    <w:p w:rsidR="009E139B" w:rsidP="009E139B" w:rsidRDefault="009E139B" w14:paraId="66F85141" w14:textId="77777777">
      <w:pPr>
        <w:keepNext/>
        <w:keepLines/>
        <w:tabs>
          <w:tab w:val="center" w:pos="284"/>
        </w:tabs>
        <w:ind w:left="266" w:hanging="266"/>
        <w:rPr>
          <w:b/>
        </w:rPr>
      </w:pPr>
    </w:p>
    <w:p w:rsidRPr="00EF5CA7" w:rsidR="009E139B" w:rsidP="009E139B" w:rsidRDefault="009E139B" w14:paraId="5F5207BF" w14:textId="77777777">
      <w:pPr>
        <w:keepNext/>
        <w:keepLines/>
        <w:tabs>
          <w:tab w:val="center" w:pos="284"/>
        </w:tabs>
        <w:ind w:left="266" w:hanging="266"/>
        <w:rPr>
          <w:bCs/>
        </w:rPr>
      </w:pPr>
      <w:r>
        <w:t>ETSK</w:t>
      </w:r>
    </w:p>
    <w:p w:rsidRPr="00EF5CA7" w:rsidR="009E139B" w:rsidP="009E139B" w:rsidRDefault="009E139B" w14:paraId="6900221F" w14:textId="77777777">
      <w:pPr>
        <w:keepNext/>
        <w:keepLines/>
        <w:tabs>
          <w:tab w:val="center" w:pos="284"/>
        </w:tabs>
        <w:ind w:left="266" w:hanging="266"/>
        <w:rPr>
          <w:bCs/>
        </w:rPr>
      </w:pPr>
    </w:p>
    <w:p w:rsidRPr="00A6689B" w:rsidR="009E139B" w:rsidP="0091345F" w:rsidRDefault="009E139B" w14:paraId="4529E324" w14:textId="77777777">
      <w:pPr>
        <w:widowControl w:val="0"/>
        <w:numPr>
          <w:ilvl w:val="0"/>
          <w:numId w:val="15"/>
        </w:numPr>
        <w:overflowPunct w:val="0"/>
        <w:autoSpaceDE w:val="0"/>
        <w:autoSpaceDN w:val="0"/>
        <w:adjustRightInd w:val="0"/>
        <w:ind w:left="709" w:hanging="425"/>
        <w:textAlignment w:val="baseline"/>
        <w:rPr>
          <w:bCs/>
          <w:iCs/>
        </w:rPr>
      </w:pPr>
      <w:r>
        <w:t xml:space="preserve">suhtautuu myönteisesti </w:t>
      </w:r>
      <w:r>
        <w:rPr>
          <w:b/>
        </w:rPr>
        <w:t xml:space="preserve">komission </w:t>
      </w:r>
      <w:proofErr w:type="gramStart"/>
      <w:r>
        <w:rPr>
          <w:b/>
        </w:rPr>
        <w:t>kilpailukykykompassi-aloitteeseen</w:t>
      </w:r>
      <w:proofErr w:type="gramEnd"/>
      <w:r>
        <w:t xml:space="preserve">, jolla pyritään </w:t>
      </w:r>
      <w:r>
        <w:rPr>
          <w:b/>
        </w:rPr>
        <w:t>parantamaan EU:n talouden kilpailukykyä, jotta takamatka Yhdysvaltoihin ja Aasiaan saataisiin kurottua umpeen</w:t>
      </w:r>
      <w:r>
        <w:t>. Kilpailukykykompassiin tulee liittää selkeät tulosmittarit, joiden avulla EU:n toimielimet ja sidosryhmät voivat seurata siihen sisältyvien toimenpiteiden toteuttamista.</w:t>
      </w:r>
    </w:p>
    <w:p w:rsidRPr="00A64ED7" w:rsidR="009E139B" w:rsidP="0091345F" w:rsidRDefault="009E139B" w14:paraId="72FBBAC9" w14:textId="77777777">
      <w:pPr>
        <w:widowControl w:val="0"/>
        <w:numPr>
          <w:ilvl w:val="0"/>
          <w:numId w:val="15"/>
        </w:numPr>
        <w:overflowPunct w:val="0"/>
        <w:autoSpaceDE w:val="0"/>
        <w:autoSpaceDN w:val="0"/>
        <w:adjustRightInd w:val="0"/>
        <w:ind w:left="709" w:hanging="425"/>
        <w:textAlignment w:val="baseline"/>
        <w:rPr>
          <w:b/>
          <w:iCs/>
        </w:rPr>
      </w:pPr>
      <w:r>
        <w:t xml:space="preserve">toivoo </w:t>
      </w:r>
      <w:r>
        <w:rPr>
          <w:b/>
        </w:rPr>
        <w:t>komission huolehtivan siitä, että kohtuuhintaista energiaa koskevalla toimintasuunnitelmalla turvataan sähkön toimitusvarmuus ja varmistetaan sen hinnan vakaus, kilpailukykyisyys ja ennakoitavuus</w:t>
      </w:r>
      <w:r>
        <w:t>.</w:t>
      </w:r>
    </w:p>
    <w:p w:rsidRPr="00C0759B" w:rsidR="009E139B" w:rsidP="0091345F" w:rsidRDefault="009E139B" w14:paraId="3E39A1A3" w14:textId="77777777">
      <w:pPr>
        <w:widowControl w:val="0"/>
        <w:numPr>
          <w:ilvl w:val="0"/>
          <w:numId w:val="15"/>
        </w:numPr>
        <w:overflowPunct w:val="0"/>
        <w:autoSpaceDE w:val="0"/>
        <w:autoSpaceDN w:val="0"/>
        <w:adjustRightInd w:val="0"/>
        <w:ind w:left="709" w:hanging="425"/>
        <w:textAlignment w:val="baseline"/>
        <w:rPr>
          <w:b/>
          <w:iCs/>
        </w:rPr>
      </w:pPr>
      <w:r>
        <w:t xml:space="preserve">painottaa, että </w:t>
      </w:r>
      <w:r>
        <w:rPr>
          <w:b/>
        </w:rPr>
        <w:t>uudelleenteollistamisprosessin ytimessä on oltava avoin strateginen riippumattomuus</w:t>
      </w:r>
      <w:r>
        <w:t>, jonka pohjalta varmistetaan</w:t>
      </w:r>
      <w:r>
        <w:rPr>
          <w:b/>
        </w:rPr>
        <w:t xml:space="preserve"> raaka-aineiden saatavuus</w:t>
      </w:r>
      <w:r>
        <w:t xml:space="preserve">, </w:t>
      </w:r>
      <w:r>
        <w:rPr>
          <w:b/>
        </w:rPr>
        <w:t>monipuolistetaan hankintalähteitä ja parannetaan EU:n talouden häiriönsietokykyä</w:t>
      </w:r>
      <w:r>
        <w:t xml:space="preserve">. ETSK suosittaa, että </w:t>
      </w:r>
      <w:r>
        <w:rPr>
          <w:b/>
        </w:rPr>
        <w:t>käyttöön otetaan arvoketjuun perustuva teollisuuspolitiikka</w:t>
      </w:r>
      <w:r>
        <w:t xml:space="preserve">, jolla kannustetaan </w:t>
      </w:r>
      <w:r>
        <w:rPr>
          <w:b/>
        </w:rPr>
        <w:t>yrityksiä siirtämään tuotantoaan EU:n alueelle</w:t>
      </w:r>
      <w:r>
        <w:t>.</w:t>
      </w:r>
    </w:p>
    <w:p w:rsidRPr="00533296" w:rsidR="009E139B" w:rsidP="0091345F" w:rsidRDefault="009E139B" w14:paraId="43FAC45B" w14:textId="77777777">
      <w:pPr>
        <w:widowControl w:val="0"/>
        <w:numPr>
          <w:ilvl w:val="0"/>
          <w:numId w:val="15"/>
        </w:numPr>
        <w:overflowPunct w:val="0"/>
        <w:autoSpaceDE w:val="0"/>
        <w:autoSpaceDN w:val="0"/>
        <w:adjustRightInd w:val="0"/>
        <w:ind w:left="709" w:hanging="425"/>
        <w:textAlignment w:val="baseline"/>
        <w:rPr>
          <w:b/>
          <w:bCs/>
        </w:rPr>
      </w:pPr>
      <w:r>
        <w:t xml:space="preserve">muistuttaa, että EU:n lainsäätäjien tulee luoda </w:t>
      </w:r>
      <w:r>
        <w:rPr>
          <w:b/>
        </w:rPr>
        <w:t xml:space="preserve">teollisuuden </w:t>
      </w:r>
      <w:proofErr w:type="spellStart"/>
      <w:r>
        <w:rPr>
          <w:b/>
        </w:rPr>
        <w:t>vähähiilistämisen</w:t>
      </w:r>
      <w:proofErr w:type="spellEnd"/>
      <w:r>
        <w:rPr>
          <w:b/>
        </w:rPr>
        <w:t xml:space="preserve"> vauhdittamiseksi laadittavan säädöksen yhteydessä kestävä pohja vaihtoehtoisille ja kiertotalouteen pohjautuville liiketoimintamalleille</w:t>
      </w:r>
      <w:r>
        <w:t xml:space="preserve"> tarjoamalla </w:t>
      </w:r>
      <w:r>
        <w:rPr>
          <w:b/>
        </w:rPr>
        <w:t>nopeutettuja lupamenettelyjä, taloudellista tukea ja poliittista tukea</w:t>
      </w:r>
      <w:r>
        <w:t xml:space="preserve"> siirtymän parissa toimiville yrityksille. </w:t>
      </w:r>
      <w:proofErr w:type="spellStart"/>
      <w:r>
        <w:rPr>
          <w:b/>
        </w:rPr>
        <w:t>Kiertotaloussäädös</w:t>
      </w:r>
      <w:r>
        <w:t>ehdotuksella</w:t>
      </w:r>
      <w:proofErr w:type="spellEnd"/>
      <w:r>
        <w:t xml:space="preserve"> olisi annettava selkeää</w:t>
      </w:r>
      <w:r>
        <w:rPr>
          <w:b/>
        </w:rPr>
        <w:t xml:space="preserve"> tukea kiertotalousyrityksille ja vakuutettava investoijat siitä, että EU on ihanteellinen ympäristö kehittää puhtaita ratkaisuja</w:t>
      </w:r>
      <w:r>
        <w:t>.</w:t>
      </w:r>
    </w:p>
    <w:p w:rsidRPr="00A6689B" w:rsidR="009E139B" w:rsidP="0091345F" w:rsidRDefault="009E139B" w14:paraId="064B9E3F" w14:textId="77777777">
      <w:pPr>
        <w:widowControl w:val="0"/>
        <w:numPr>
          <w:ilvl w:val="0"/>
          <w:numId w:val="15"/>
        </w:numPr>
        <w:overflowPunct w:val="0"/>
        <w:autoSpaceDE w:val="0"/>
        <w:autoSpaceDN w:val="0"/>
        <w:adjustRightInd w:val="0"/>
        <w:ind w:left="709" w:hanging="425"/>
        <w:textAlignment w:val="baseline"/>
      </w:pPr>
      <w:r>
        <w:rPr>
          <w:b/>
        </w:rPr>
        <w:t>toteaa, että uudelleenteollistamista varten tarvitaan erityinen innovointiohjelma</w:t>
      </w:r>
      <w:r>
        <w:t xml:space="preserve">, johon sisällytetään työmarkkinavuoropuhelun pohjalta sekä nykyisiä teollisuudenaloja että uutta kehitystä koskevia erityistavoitteita. </w:t>
      </w:r>
    </w:p>
    <w:p w:rsidR="009E139B" w:rsidP="0091345F" w:rsidRDefault="009E139B" w14:paraId="1E02796E" w14:textId="77777777">
      <w:pPr>
        <w:widowControl w:val="0"/>
        <w:numPr>
          <w:ilvl w:val="0"/>
          <w:numId w:val="15"/>
        </w:numPr>
        <w:overflowPunct w:val="0"/>
        <w:autoSpaceDE w:val="0"/>
        <w:autoSpaceDN w:val="0"/>
        <w:adjustRightInd w:val="0"/>
        <w:ind w:left="709" w:hanging="425"/>
        <w:textAlignment w:val="baseline"/>
        <w:rPr>
          <w:b/>
          <w:bCs/>
        </w:rPr>
      </w:pPr>
      <w:r>
        <w:t xml:space="preserve">ehdottaa, että </w:t>
      </w:r>
      <w:r>
        <w:rPr>
          <w:b/>
        </w:rPr>
        <w:t>EU edistää julkisen ja yksityisen sektorin kumppanuusohjelmia teollisuusinvestointien lisäämiseksi ja että niihin sisällytetään oma osio, jonka puitteissa tuetaan nuorten yrittäjyyttä valmistusteollisuuden alalla</w:t>
      </w:r>
      <w:r>
        <w:t>.</w:t>
      </w:r>
      <w:r>
        <w:rPr>
          <w:b/>
        </w:rPr>
        <w:t xml:space="preserve"> </w:t>
      </w:r>
    </w:p>
    <w:p w:rsidRPr="008D4856" w:rsidR="009E139B" w:rsidP="0091345F" w:rsidRDefault="009E139B" w14:paraId="5FF940AF" w14:textId="77777777">
      <w:pPr>
        <w:widowControl w:val="0"/>
        <w:numPr>
          <w:ilvl w:val="0"/>
          <w:numId w:val="15"/>
        </w:numPr>
        <w:overflowPunct w:val="0"/>
        <w:autoSpaceDE w:val="0"/>
        <w:autoSpaceDN w:val="0"/>
        <w:adjustRightInd w:val="0"/>
        <w:ind w:left="709" w:hanging="425"/>
        <w:textAlignment w:val="baseline"/>
        <w:rPr>
          <w:rFonts w:asciiTheme="minorHAnsi" w:hAnsiTheme="minorHAnsi"/>
          <w:b/>
          <w:bCs/>
        </w:rPr>
      </w:pPr>
      <w:r>
        <w:t xml:space="preserve">kehottaa </w:t>
      </w:r>
      <w:r>
        <w:rPr>
          <w:b/>
        </w:rPr>
        <w:t>huolehtimaan tulossa olevan osaamisunionia koskevan komission ehdotuksen yhteydessä siitä, että työntekijöiden taidot voidaan tunnustaa ja validoida suoraan</w:t>
      </w:r>
      <w:r>
        <w:t xml:space="preserve"> EU:n </w:t>
      </w:r>
      <w:r>
        <w:lastRenderedPageBreak/>
        <w:t xml:space="preserve">laajuisesti sen jälkeen, kun yhden jäsenvaltion viranomaiset ovat ne tunnustaneet, sillä näin vähennettäisiin byrokratiaa. Komission tulee käynnistää </w:t>
      </w:r>
      <w:r>
        <w:rPr>
          <w:b/>
        </w:rPr>
        <w:t>EU:n laajuinen ohjelma, jolla edistetään nuorempien sukupolvien keskuudessa teollisuusalojen oppisopimuskoulutusta, josta maksetaan oikeudenmukainen palkka, ja tuetaan työvoiman sopeutumiskykyä</w:t>
      </w:r>
      <w:r>
        <w:t>.</w:t>
      </w:r>
      <w:r>
        <w:rPr>
          <w:b/>
        </w:rPr>
        <w:t xml:space="preserve"> </w:t>
      </w:r>
    </w:p>
    <w:p w:rsidR="009E139B" w:rsidP="009E139B" w:rsidRDefault="009E139B" w14:paraId="78335D9A"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9E139B" w:rsidTr="00D33D43" w14:paraId="414707FD" w14:textId="77777777">
        <w:tc>
          <w:tcPr>
            <w:tcW w:w="1418" w:type="dxa"/>
          </w:tcPr>
          <w:p w:rsidRPr="00A6689B" w:rsidR="009E139B" w:rsidP="00D33D43" w:rsidRDefault="009E139B" w14:paraId="659AC997" w14:textId="77777777">
            <w:pPr>
              <w:spacing w:line="240" w:lineRule="auto"/>
              <w:rPr>
                <w:i/>
              </w:rPr>
            </w:pPr>
            <w:r>
              <w:rPr>
                <w:b/>
                <w:i/>
              </w:rPr>
              <w:t>Yhteydenotot</w:t>
            </w:r>
          </w:p>
        </w:tc>
        <w:tc>
          <w:tcPr>
            <w:tcW w:w="5670" w:type="dxa"/>
          </w:tcPr>
          <w:p w:rsidRPr="00A6689B" w:rsidR="009E139B" w:rsidP="00D33D43" w:rsidRDefault="009E139B" w14:paraId="7E348E61" w14:textId="77777777">
            <w:pPr>
              <w:spacing w:line="240" w:lineRule="auto"/>
              <w:rPr>
                <w:i/>
              </w:rPr>
            </w:pPr>
            <w:r>
              <w:rPr>
                <w:i/>
              </w:rPr>
              <w:t>Adam DORYWALSKI</w:t>
            </w:r>
          </w:p>
        </w:tc>
      </w:tr>
      <w:tr w:rsidRPr="00A6689B" w:rsidR="009E139B" w:rsidTr="00D33D43" w14:paraId="3782E520" w14:textId="77777777">
        <w:tc>
          <w:tcPr>
            <w:tcW w:w="1418" w:type="dxa"/>
          </w:tcPr>
          <w:p w:rsidRPr="00A6689B" w:rsidR="009E139B" w:rsidP="00D33D43" w:rsidRDefault="009E139B" w14:paraId="5D0A4C5A" w14:textId="77777777">
            <w:pPr>
              <w:spacing w:line="240" w:lineRule="auto"/>
              <w:rPr>
                <w:i/>
              </w:rPr>
            </w:pPr>
            <w:r>
              <w:rPr>
                <w:i/>
              </w:rPr>
              <w:t>P.</w:t>
            </w:r>
          </w:p>
        </w:tc>
        <w:tc>
          <w:tcPr>
            <w:tcW w:w="5670" w:type="dxa"/>
          </w:tcPr>
          <w:p w:rsidRPr="00A6689B" w:rsidR="009E139B" w:rsidP="00D33D43" w:rsidRDefault="009E139B" w14:paraId="6F1FF18F" w14:textId="77777777">
            <w:pPr>
              <w:spacing w:line="240" w:lineRule="auto"/>
              <w:rPr>
                <w:i/>
              </w:rPr>
            </w:pPr>
            <w:r>
              <w:rPr>
                <w:i/>
              </w:rPr>
              <w:t>+32 25469397</w:t>
            </w:r>
          </w:p>
        </w:tc>
      </w:tr>
      <w:tr w:rsidRPr="00A6689B" w:rsidR="009E139B" w:rsidTr="00D33D43" w14:paraId="39B9E9A4" w14:textId="77777777">
        <w:trPr>
          <w:trHeight w:val="80"/>
        </w:trPr>
        <w:tc>
          <w:tcPr>
            <w:tcW w:w="1418" w:type="dxa"/>
          </w:tcPr>
          <w:p w:rsidRPr="00A6689B" w:rsidR="009E139B" w:rsidP="00D33D43" w:rsidRDefault="009E139B" w14:paraId="339CBEF0" w14:textId="77777777">
            <w:pPr>
              <w:spacing w:line="240" w:lineRule="auto"/>
              <w:rPr>
                <w:i/>
              </w:rPr>
            </w:pPr>
            <w:r>
              <w:rPr>
                <w:i/>
              </w:rPr>
              <w:t>Sähköposti</w:t>
            </w:r>
          </w:p>
        </w:tc>
        <w:tc>
          <w:tcPr>
            <w:tcW w:w="5670" w:type="dxa"/>
          </w:tcPr>
          <w:p w:rsidRPr="00A6689B" w:rsidR="009E139B" w:rsidP="00D33D43" w:rsidRDefault="009E139B" w14:paraId="1F55CD83" w14:textId="77777777">
            <w:pPr>
              <w:spacing w:line="240" w:lineRule="auto"/>
              <w:rPr>
                <w:i/>
              </w:rPr>
            </w:pPr>
            <w:hyperlink w:history="1" r:id="rId53">
              <w:r>
                <w:rPr>
                  <w:rStyle w:val="Hyperlink"/>
                  <w:i/>
                </w:rPr>
                <w:t>Adam.Dorywalski@eesc.europa.eu</w:t>
              </w:r>
            </w:hyperlink>
          </w:p>
        </w:tc>
      </w:tr>
    </w:tbl>
    <w:p w:rsidR="009E139B" w:rsidP="009E139B" w:rsidRDefault="009E139B" w14:paraId="2C450442" w14:textId="77777777">
      <w:pPr>
        <w:jc w:val="center"/>
      </w:pPr>
    </w:p>
    <w:p w:rsidR="00055407" w:rsidRDefault="00055407" w14:paraId="2FEBBE37" w14:textId="77777777">
      <w:pPr>
        <w:spacing w:after="160" w:line="259" w:lineRule="auto"/>
        <w:jc w:val="left"/>
      </w:pPr>
      <w:r>
        <w:br w:type="page"/>
      </w:r>
    </w:p>
    <w:p w:rsidR="001E19E2" w:rsidRDefault="001E19E2" w14:paraId="4956BBE0" w14:textId="12811758">
      <w:pPr>
        <w:spacing w:after="160" w:line="259" w:lineRule="auto"/>
        <w:jc w:val="left"/>
        <w:rPr>
          <w:lang w:val="en-GB"/>
        </w:rPr>
      </w:pPr>
    </w:p>
    <w:p w:rsidRPr="00EB576B" w:rsidR="0091345F" w:rsidP="0091345F" w:rsidRDefault="0091345F" w14:paraId="575A5A46" w14:textId="20EE9D81">
      <w:pPr>
        <w:pStyle w:val="ListParagraph"/>
        <w:widowControl w:val="0"/>
        <w:numPr>
          <w:ilvl w:val="0"/>
          <w:numId w:val="20"/>
        </w:numPr>
        <w:spacing w:after="200" w:line="276" w:lineRule="auto"/>
        <w:ind w:left="567" w:hanging="567"/>
        <w:jc w:val="left"/>
        <w:rPr>
          <w:sz w:val="28"/>
          <w:szCs w:val="28"/>
        </w:rPr>
      </w:pPr>
      <w:r>
        <w:rPr>
          <w:b/>
          <w:i/>
          <w:sz w:val="28"/>
        </w:rPr>
        <w:t xml:space="preserve"> – </w:t>
      </w:r>
      <w:hyperlink w:history="1" r:id="rId54">
        <w:r>
          <w:rPr>
            <w:rStyle w:val="Hyperlink"/>
            <w:b/>
            <w:i/>
            <w:sz w:val="28"/>
          </w:rPr>
          <w:t>Kriittisiä lääkkeitä koskeva säädös</w:t>
        </w:r>
      </w:hyperlink>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2754E8" w:rsidR="0091345F" w:rsidTr="00D33D43" w14:paraId="44E68AD6" w14:textId="77777777">
        <w:tc>
          <w:tcPr>
            <w:tcW w:w="1701" w:type="dxa"/>
          </w:tcPr>
          <w:p w:rsidRPr="00A6689B" w:rsidR="0091345F" w:rsidP="00D33D43" w:rsidRDefault="0091345F" w14:paraId="40461302" w14:textId="77777777">
            <w:pPr>
              <w:tabs>
                <w:tab w:val="center" w:pos="284"/>
              </w:tabs>
              <w:ind w:left="266" w:hanging="266"/>
              <w:rPr>
                <w:b/>
              </w:rPr>
            </w:pPr>
            <w:r>
              <w:rPr>
                <w:b/>
              </w:rPr>
              <w:t>Esittelijä</w:t>
            </w:r>
          </w:p>
        </w:tc>
        <w:tc>
          <w:tcPr>
            <w:tcW w:w="5670" w:type="dxa"/>
          </w:tcPr>
          <w:p w:rsidRPr="00057230" w:rsidR="0091345F" w:rsidP="00D33D43" w:rsidRDefault="0091345F" w14:paraId="5B541CED" w14:textId="77777777">
            <w:pPr>
              <w:tabs>
                <w:tab w:val="center" w:pos="284"/>
              </w:tabs>
              <w:ind w:left="266" w:hanging="266"/>
            </w:pPr>
            <w:proofErr w:type="spellStart"/>
            <w:r>
              <w:t>Veselin</w:t>
            </w:r>
            <w:proofErr w:type="spellEnd"/>
            <w:r>
              <w:t xml:space="preserve"> MITOV (työntekijät – BG)</w:t>
            </w:r>
          </w:p>
        </w:tc>
      </w:tr>
      <w:tr w:rsidRPr="00A6689B" w:rsidR="0091345F" w:rsidTr="00D33D43" w14:paraId="62D52FB8" w14:textId="77777777">
        <w:tc>
          <w:tcPr>
            <w:tcW w:w="1701" w:type="dxa"/>
          </w:tcPr>
          <w:p w:rsidRPr="00A6689B" w:rsidR="0091345F" w:rsidP="00D33D43" w:rsidRDefault="0091345F" w14:paraId="5B690C4E" w14:textId="77777777">
            <w:pPr>
              <w:tabs>
                <w:tab w:val="center" w:pos="284"/>
              </w:tabs>
              <w:ind w:left="266" w:hanging="266"/>
              <w:rPr>
                <w:b/>
              </w:rPr>
            </w:pPr>
            <w:r>
              <w:rPr>
                <w:b/>
              </w:rPr>
              <w:t>Yhteisesittelijä</w:t>
            </w:r>
          </w:p>
        </w:tc>
        <w:tc>
          <w:tcPr>
            <w:tcW w:w="5670" w:type="dxa"/>
          </w:tcPr>
          <w:p w:rsidRPr="00A6689B" w:rsidR="0091345F" w:rsidP="00D33D43" w:rsidRDefault="0091345F" w14:paraId="680A00FF" w14:textId="77777777">
            <w:pPr>
              <w:tabs>
                <w:tab w:val="center" w:pos="284"/>
              </w:tabs>
              <w:ind w:left="266" w:hanging="266"/>
            </w:pPr>
            <w:proofErr w:type="spellStart"/>
            <w:r>
              <w:t>Elżbieta</w:t>
            </w:r>
            <w:proofErr w:type="spellEnd"/>
            <w:r>
              <w:t xml:space="preserve"> SZADZIŃSKA (kat. 3 – PL)</w:t>
            </w:r>
          </w:p>
        </w:tc>
      </w:tr>
      <w:tr w:rsidRPr="00A6689B" w:rsidR="0091345F" w:rsidTr="00D33D43" w14:paraId="0A010B13" w14:textId="77777777">
        <w:tc>
          <w:tcPr>
            <w:tcW w:w="7371" w:type="dxa"/>
            <w:gridSpan w:val="2"/>
          </w:tcPr>
          <w:p w:rsidRPr="00A6689B" w:rsidR="0091345F" w:rsidP="00D33D43" w:rsidRDefault="0091345F" w14:paraId="27949411" w14:textId="77777777">
            <w:pPr>
              <w:tabs>
                <w:tab w:val="center" w:pos="284"/>
              </w:tabs>
              <w:spacing w:line="160" w:lineRule="exact"/>
              <w:ind w:left="266" w:hanging="266"/>
              <w:rPr>
                <w:lang w:val="en-US"/>
              </w:rPr>
            </w:pPr>
          </w:p>
        </w:tc>
      </w:tr>
      <w:tr w:rsidRPr="00A6689B" w:rsidR="0091345F" w:rsidTr="00D33D43" w14:paraId="7034C9EF" w14:textId="77777777">
        <w:tc>
          <w:tcPr>
            <w:tcW w:w="1701" w:type="dxa"/>
            <w:vMerge w:val="restart"/>
          </w:tcPr>
          <w:p w:rsidRPr="00A6689B" w:rsidR="0091345F" w:rsidP="00D33D43" w:rsidRDefault="0091345F" w14:paraId="65128289" w14:textId="77777777">
            <w:pPr>
              <w:tabs>
                <w:tab w:val="center" w:pos="284"/>
              </w:tabs>
              <w:ind w:left="266" w:hanging="266"/>
              <w:rPr>
                <w:b/>
              </w:rPr>
            </w:pPr>
            <w:r>
              <w:rPr>
                <w:b/>
              </w:rPr>
              <w:t>Viiteasiakirja</w:t>
            </w:r>
          </w:p>
        </w:tc>
        <w:tc>
          <w:tcPr>
            <w:tcW w:w="5670" w:type="dxa"/>
          </w:tcPr>
          <w:p w:rsidRPr="00A6689B" w:rsidR="0091345F" w:rsidP="00D33D43" w:rsidRDefault="0091345F" w14:paraId="1226A92C" w14:textId="77777777">
            <w:pPr>
              <w:tabs>
                <w:tab w:val="center" w:pos="284"/>
              </w:tabs>
              <w:ind w:left="266" w:hanging="266"/>
            </w:pPr>
            <w:r>
              <w:t>EESC-2025-01074-00-00-AC</w:t>
            </w:r>
          </w:p>
        </w:tc>
      </w:tr>
      <w:tr w:rsidRPr="00A6689B" w:rsidR="0091345F" w:rsidTr="00D33D43" w14:paraId="0BB32297" w14:textId="77777777">
        <w:tc>
          <w:tcPr>
            <w:tcW w:w="1701" w:type="dxa"/>
            <w:vMerge/>
          </w:tcPr>
          <w:p w:rsidRPr="00A6689B" w:rsidR="0091345F" w:rsidP="00D33D43" w:rsidRDefault="0091345F" w14:paraId="3433C492" w14:textId="77777777">
            <w:pPr>
              <w:tabs>
                <w:tab w:val="center" w:pos="284"/>
              </w:tabs>
              <w:ind w:left="266" w:hanging="266"/>
              <w:rPr>
                <w:b/>
                <w:lang w:val="en-US"/>
              </w:rPr>
            </w:pPr>
          </w:p>
        </w:tc>
        <w:tc>
          <w:tcPr>
            <w:tcW w:w="5670" w:type="dxa"/>
          </w:tcPr>
          <w:p w:rsidRPr="00A6689B" w:rsidR="0091345F" w:rsidP="00D33D43" w:rsidRDefault="0091345F" w14:paraId="4108DA7F" w14:textId="77777777">
            <w:pPr>
              <w:tabs>
                <w:tab w:val="center" w:pos="284"/>
              </w:tabs>
              <w:ind w:left="266" w:hanging="266"/>
              <w:rPr>
                <w:lang w:val="en-US"/>
              </w:rPr>
            </w:pPr>
          </w:p>
        </w:tc>
      </w:tr>
    </w:tbl>
    <w:p w:rsidR="0091345F" w:rsidP="0091345F" w:rsidRDefault="0091345F" w14:paraId="7242B645" w14:textId="77777777">
      <w:pPr>
        <w:keepNext/>
        <w:keepLines/>
        <w:tabs>
          <w:tab w:val="center" w:pos="284"/>
        </w:tabs>
        <w:ind w:left="266" w:hanging="266"/>
        <w:rPr>
          <w:b/>
        </w:rPr>
      </w:pPr>
      <w:r>
        <w:rPr>
          <w:b/>
        </w:rPr>
        <w:t>Keskeiset kohdat</w:t>
      </w:r>
    </w:p>
    <w:p w:rsidR="0091345F" w:rsidP="0091345F" w:rsidRDefault="0091345F" w14:paraId="045776D9" w14:textId="77777777">
      <w:pPr>
        <w:keepNext/>
        <w:keepLines/>
        <w:tabs>
          <w:tab w:val="center" w:pos="284"/>
        </w:tabs>
        <w:ind w:left="266" w:hanging="266"/>
        <w:rPr>
          <w:b/>
        </w:rPr>
      </w:pPr>
    </w:p>
    <w:p w:rsidRPr="00EF5CA7" w:rsidR="0091345F" w:rsidP="0091345F" w:rsidRDefault="0091345F" w14:paraId="2A770706" w14:textId="77777777">
      <w:pPr>
        <w:keepNext/>
        <w:keepLines/>
        <w:tabs>
          <w:tab w:val="center" w:pos="284"/>
        </w:tabs>
        <w:ind w:left="266" w:hanging="266"/>
        <w:rPr>
          <w:bCs/>
        </w:rPr>
      </w:pPr>
      <w:r>
        <w:t>ETSK</w:t>
      </w:r>
    </w:p>
    <w:p w:rsidRPr="00EF5CA7" w:rsidR="0091345F" w:rsidP="0091345F" w:rsidRDefault="0091345F" w14:paraId="335540C1" w14:textId="77777777">
      <w:pPr>
        <w:keepNext/>
        <w:keepLines/>
        <w:tabs>
          <w:tab w:val="center" w:pos="284"/>
        </w:tabs>
        <w:ind w:left="266" w:hanging="266"/>
        <w:rPr>
          <w:bCs/>
        </w:rPr>
      </w:pPr>
    </w:p>
    <w:p w:rsidRPr="00D8243C" w:rsidR="0091345F" w:rsidP="0091345F" w:rsidRDefault="0091345F" w14:paraId="68A20234" w14:textId="77777777">
      <w:pPr>
        <w:pStyle w:val="Heading2"/>
        <w:numPr>
          <w:ilvl w:val="0"/>
          <w:numId w:val="21"/>
        </w:numPr>
      </w:pPr>
      <w:bookmarkStart w:name="_Toc202363004" w:id="19"/>
      <w:r>
        <w:t xml:space="preserve">kehottaa </w:t>
      </w:r>
      <w:r>
        <w:rPr>
          <w:b/>
        </w:rPr>
        <w:t>lisäämään merkittävästi rahoitusta</w:t>
      </w:r>
      <w:r>
        <w:t xml:space="preserve"> kriittisiä lääkkeitä koskevan säädöksen tavoitteiden tukemiseksi. </w:t>
      </w:r>
      <w:r>
        <w:rPr>
          <w:b/>
        </w:rPr>
        <w:t>Lähtöaineita, vaikuttavia farmaseuttisia aineita ja kriittisiä lääkkeitä varten olisi perustettava erityinen eurooppalainen rahasto</w:t>
      </w:r>
      <w:r>
        <w:t>, jonka rahoittamiseen osallistuisivat jäsenvaltiot, Euroopan investointipankki ja yksityiset toimijat. Rahoituksella olisi tuettava EU:ssa tapahtuvaa tuotantoa ja kestävien tuotantoteknologioiden tutkimusta ja kehittämistä sekä kompensoitava kustannushaittoja EU:n ulkopuolisiin tuottajiin nähden.</w:t>
      </w:r>
      <w:bookmarkEnd w:id="19"/>
    </w:p>
    <w:p w:rsidRPr="00D8243C" w:rsidR="0091345F" w:rsidP="0091345F" w:rsidRDefault="0091345F" w14:paraId="2A3B79C8" w14:textId="77777777"/>
    <w:p w:rsidR="0091345F" w:rsidP="0091345F" w:rsidRDefault="0091345F" w14:paraId="46BBAEEB" w14:textId="77777777">
      <w:pPr>
        <w:pStyle w:val="Heading2"/>
        <w:numPr>
          <w:ilvl w:val="0"/>
          <w:numId w:val="21"/>
        </w:numPr>
      </w:pPr>
      <w:bookmarkStart w:name="_Toc202363005" w:id="20"/>
      <w:r>
        <w:t xml:space="preserve">kehottaa luomaan </w:t>
      </w:r>
      <w:r>
        <w:rPr>
          <w:b/>
        </w:rPr>
        <w:t xml:space="preserve">täysin </w:t>
      </w:r>
      <w:proofErr w:type="spellStart"/>
      <w:r>
        <w:rPr>
          <w:b/>
        </w:rPr>
        <w:t>yhteentoimivan</w:t>
      </w:r>
      <w:proofErr w:type="spellEnd"/>
      <w:r>
        <w:rPr>
          <w:b/>
        </w:rPr>
        <w:t xml:space="preserve"> EU:n laajuisen tietokannan</w:t>
      </w:r>
      <w:r>
        <w:t xml:space="preserve">, johon integroidaan kansalliset järjestelmät ja jonka olisi osoitettava reaaliaikaisesti toimitusketjun haavoittuvuudet ja varmistettava suoja kyberuhkia vastaan. Rahoitusta olisi kohdennettava </w:t>
      </w:r>
      <w:r>
        <w:rPr>
          <w:b/>
        </w:rPr>
        <w:t>reaaliaikaiseen seurantaan, varhaisvaroitusjärjestelmiin ja digitaaliseen teknologiaan</w:t>
      </w:r>
      <w:r>
        <w:t xml:space="preserve"> tuotepulan ennustamiseksi ja kriisitoiminnan parantamiseksi.</w:t>
      </w:r>
      <w:bookmarkEnd w:id="20"/>
    </w:p>
    <w:p w:rsidRPr="00D8243C" w:rsidR="0091345F" w:rsidP="0091345F" w:rsidRDefault="0091345F" w14:paraId="29324F3B" w14:textId="77777777"/>
    <w:p w:rsidR="0091345F" w:rsidP="0091345F" w:rsidRDefault="0091345F" w14:paraId="0A164674" w14:textId="77777777">
      <w:pPr>
        <w:pStyle w:val="Heading2"/>
        <w:numPr>
          <w:ilvl w:val="0"/>
          <w:numId w:val="21"/>
        </w:numPr>
      </w:pPr>
      <w:bookmarkStart w:name="_Toc202363006" w:id="21"/>
      <w:r>
        <w:t xml:space="preserve">korostaa, että kriittisiä lääkkeitä koskevasta säädöksestä on tehtävä </w:t>
      </w:r>
      <w:r>
        <w:rPr>
          <w:b/>
        </w:rPr>
        <w:t>kattava ja näyttöön perustuva vaikutustenarviointi</w:t>
      </w:r>
      <w:r>
        <w:t>, joka on toteutettava lainsäädäntötyön rinnalla niin, ettei se viivytä asetuksen hyväksymistä, jonka tulee kattaa koko toimitusketju ja jossa tarkastellaan ehdotettujen toimenpiteiden sosioekonomisia vaikutuksia.</w:t>
      </w:r>
      <w:bookmarkEnd w:id="21"/>
    </w:p>
    <w:p w:rsidR="0091345F" w:rsidP="0091345F" w:rsidRDefault="0091345F" w14:paraId="13999694" w14:textId="77777777"/>
    <w:p w:rsidRPr="00C36C65" w:rsidR="0091345F" w:rsidP="0091345F" w:rsidRDefault="0091345F" w14:paraId="0632555B" w14:textId="77777777">
      <w:pPr>
        <w:pStyle w:val="Heading2"/>
        <w:numPr>
          <w:ilvl w:val="0"/>
          <w:numId w:val="21"/>
        </w:numPr>
        <w:rPr>
          <w:b/>
          <w:bCs/>
        </w:rPr>
      </w:pPr>
      <w:bookmarkStart w:name="_Toc202363007" w:id="22"/>
      <w:r>
        <w:t xml:space="preserve">katsoo, että EU:n olisi investoitava </w:t>
      </w:r>
      <w:r>
        <w:rPr>
          <w:b/>
        </w:rPr>
        <w:t>laajamittaisiin täydennys- ja uudelleenkoulutusaloitteisiin</w:t>
      </w:r>
      <w:r>
        <w:t xml:space="preserve"> ja perustettava osaamiskeskuksia sekä laajennettava ammatilliseen koulutukseen, oppisopimuskoulutukseen, yliopisto-ohjelmiin ja teollisuuden tarpeisiin mukautettuun koulutukseen ohjattavaa rahoitustukea.</w:t>
      </w:r>
      <w:bookmarkEnd w:id="22"/>
    </w:p>
    <w:p w:rsidR="0091345F" w:rsidP="0091345F" w:rsidRDefault="0091345F" w14:paraId="54013044" w14:textId="77777777"/>
    <w:p w:rsidR="0091345F" w:rsidP="0091345F" w:rsidRDefault="0091345F" w14:paraId="4CA580FC" w14:textId="77777777">
      <w:pPr>
        <w:pStyle w:val="Heading2"/>
        <w:numPr>
          <w:ilvl w:val="0"/>
          <w:numId w:val="21"/>
        </w:numPr>
      </w:pPr>
      <w:bookmarkStart w:name="_Toc202363008" w:id="23"/>
      <w:r>
        <w:t xml:space="preserve">kehottaa analysoimaan ehdotusta </w:t>
      </w:r>
      <w:r>
        <w:rPr>
          <w:b/>
        </w:rPr>
        <w:t>sisällyttää kriittisiä lääkkeitä koskeva säädös EU:n laajempiin strategisiin riippumattomuus- ja turvallisuuspuitteisiin</w:t>
      </w:r>
      <w:r>
        <w:t>, jolloin lääkkeiden toimitusketjut tunnustettaisiin kansanterveyteen sekä Euroopan turvallisuuteen liittyväksi asiaksi.</w:t>
      </w:r>
      <w:bookmarkEnd w:id="23"/>
    </w:p>
    <w:p w:rsidR="0091345F" w:rsidP="0091345F" w:rsidRDefault="0091345F" w14:paraId="04522D0D" w14:textId="77777777"/>
    <w:p w:rsidRPr="00D8243C" w:rsidR="0091345F" w:rsidP="0091345F" w:rsidRDefault="0091345F" w14:paraId="5F96F59B" w14:textId="77777777">
      <w:pPr>
        <w:pStyle w:val="Heading2"/>
        <w:numPr>
          <w:ilvl w:val="0"/>
          <w:numId w:val="21"/>
        </w:numPr>
      </w:pPr>
      <w:bookmarkStart w:name="_Toc202363009" w:id="24"/>
      <w:r>
        <w:t xml:space="preserve">peräänkuuluttaa </w:t>
      </w:r>
      <w:r>
        <w:rPr>
          <w:b/>
        </w:rPr>
        <w:t>vahvoja toimenpiteitä, joilla taataan kriittisten lääkkeiden, myös harvinaisiin sairauksiin tarkoitettujen lääkkeiden, kohtuuhintaisuus</w:t>
      </w:r>
      <w:r>
        <w:t xml:space="preserve"> ottamalla käyttöön mekanismeja lääkkeiden hinnoittelun sääntelemiseksi, avoimuuden lisäämiseksi ja kuluttajiin vaikuttavien hinnankorotusten estämiseksi.</w:t>
      </w:r>
      <w:bookmarkEnd w:id="24"/>
    </w:p>
    <w:p w:rsidR="0091345F" w:rsidP="0091345F" w:rsidRDefault="0091345F" w14:paraId="3D5929C1"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91345F" w:rsidTr="00D33D43" w14:paraId="62BC7D1A" w14:textId="77777777">
        <w:tc>
          <w:tcPr>
            <w:tcW w:w="1418" w:type="dxa"/>
          </w:tcPr>
          <w:p w:rsidRPr="00A6689B" w:rsidR="0091345F" w:rsidP="00D33D43" w:rsidRDefault="0091345F" w14:paraId="20A3A0EA" w14:textId="77777777">
            <w:pPr>
              <w:spacing w:line="240" w:lineRule="auto"/>
              <w:rPr>
                <w:i/>
              </w:rPr>
            </w:pPr>
            <w:r>
              <w:rPr>
                <w:b/>
                <w:i/>
              </w:rPr>
              <w:t>Yhteydenotot</w:t>
            </w:r>
          </w:p>
        </w:tc>
        <w:tc>
          <w:tcPr>
            <w:tcW w:w="5670" w:type="dxa"/>
          </w:tcPr>
          <w:p w:rsidRPr="00A6689B" w:rsidR="0091345F" w:rsidP="00D33D43" w:rsidRDefault="0091345F" w14:paraId="4060F5A4" w14:textId="77777777">
            <w:pPr>
              <w:spacing w:line="240" w:lineRule="auto"/>
              <w:rPr>
                <w:i/>
              </w:rPr>
            </w:pPr>
            <w:proofErr w:type="spellStart"/>
            <w:r>
              <w:rPr>
                <w:i/>
              </w:rPr>
              <w:t>Jacopo</w:t>
            </w:r>
            <w:proofErr w:type="spellEnd"/>
            <w:r>
              <w:rPr>
                <w:i/>
              </w:rPr>
              <w:t xml:space="preserve"> </w:t>
            </w:r>
            <w:proofErr w:type="spellStart"/>
            <w:r>
              <w:rPr>
                <w:i/>
              </w:rPr>
              <w:t>Ernesto</w:t>
            </w:r>
            <w:proofErr w:type="spellEnd"/>
            <w:r>
              <w:rPr>
                <w:i/>
              </w:rPr>
              <w:t xml:space="preserve"> CAJA</w:t>
            </w:r>
          </w:p>
        </w:tc>
      </w:tr>
      <w:tr w:rsidRPr="00A6689B" w:rsidR="0091345F" w:rsidTr="00D33D43" w14:paraId="06BD6383" w14:textId="77777777">
        <w:tc>
          <w:tcPr>
            <w:tcW w:w="1418" w:type="dxa"/>
          </w:tcPr>
          <w:p w:rsidRPr="00A6689B" w:rsidR="0091345F" w:rsidP="00D33D43" w:rsidRDefault="0091345F" w14:paraId="74183731" w14:textId="77777777">
            <w:pPr>
              <w:spacing w:line="240" w:lineRule="auto"/>
              <w:rPr>
                <w:i/>
              </w:rPr>
            </w:pPr>
            <w:r>
              <w:rPr>
                <w:i/>
              </w:rPr>
              <w:lastRenderedPageBreak/>
              <w:t>P.</w:t>
            </w:r>
          </w:p>
        </w:tc>
        <w:tc>
          <w:tcPr>
            <w:tcW w:w="5670" w:type="dxa"/>
          </w:tcPr>
          <w:p w:rsidRPr="00A6689B" w:rsidR="0091345F" w:rsidP="00D33D43" w:rsidRDefault="0091345F" w14:paraId="600A5074" w14:textId="77777777">
            <w:pPr>
              <w:spacing w:line="240" w:lineRule="auto"/>
              <w:rPr>
                <w:i/>
              </w:rPr>
            </w:pPr>
            <w:r>
              <w:rPr>
                <w:i/>
              </w:rPr>
              <w:t>+32 25469580</w:t>
            </w:r>
          </w:p>
        </w:tc>
      </w:tr>
      <w:tr w:rsidRPr="00A6689B" w:rsidR="0091345F" w:rsidTr="00D33D43" w14:paraId="4AB72F2C" w14:textId="77777777">
        <w:trPr>
          <w:trHeight w:val="80"/>
        </w:trPr>
        <w:tc>
          <w:tcPr>
            <w:tcW w:w="1418" w:type="dxa"/>
          </w:tcPr>
          <w:p w:rsidRPr="00A6689B" w:rsidR="0091345F" w:rsidP="00D33D43" w:rsidRDefault="0091345F" w14:paraId="2A9F4540" w14:textId="77777777">
            <w:pPr>
              <w:spacing w:line="240" w:lineRule="auto"/>
              <w:rPr>
                <w:i/>
              </w:rPr>
            </w:pPr>
            <w:r>
              <w:rPr>
                <w:i/>
              </w:rPr>
              <w:t>Sähköposti</w:t>
            </w:r>
          </w:p>
        </w:tc>
        <w:tc>
          <w:tcPr>
            <w:tcW w:w="5670" w:type="dxa"/>
          </w:tcPr>
          <w:p w:rsidRPr="00237984" w:rsidR="0091345F" w:rsidP="00D33D43" w:rsidRDefault="0091345F" w14:paraId="3B30659E" w14:textId="77777777">
            <w:pPr>
              <w:spacing w:line="240" w:lineRule="auto"/>
              <w:rPr>
                <w:i/>
                <w:iCs/>
              </w:rPr>
            </w:pPr>
            <w:hyperlink w:history="1" r:id="rId55">
              <w:r>
                <w:rPr>
                  <w:rStyle w:val="Hyperlink"/>
                  <w:i/>
                </w:rPr>
                <w:t>JacopoErnesto.Caja@eesc.europa.eu</w:t>
              </w:r>
            </w:hyperlink>
            <w:r>
              <w:rPr>
                <w:i/>
              </w:rPr>
              <w:t xml:space="preserve"> </w:t>
            </w:r>
          </w:p>
        </w:tc>
      </w:tr>
    </w:tbl>
    <w:p w:rsidR="0091345F" w:rsidP="0091345F" w:rsidRDefault="0091345F" w14:paraId="70997D7A" w14:textId="63E651F5">
      <w:pPr>
        <w:jc w:val="center"/>
      </w:pPr>
      <w:r>
        <w:br w:type="page"/>
      </w:r>
    </w:p>
    <w:p w:rsidR="0091345F" w:rsidP="0091345F" w:rsidRDefault="0091345F" w14:paraId="15E31F6A" w14:textId="77777777">
      <w:pPr>
        <w:jc w:val="center"/>
      </w:pPr>
    </w:p>
    <w:p w:rsidR="00461225" w:rsidP="00461225" w:rsidRDefault="00461225" w14:paraId="420D0959" w14:textId="77777777">
      <w:pPr>
        <w:jc w:val="center"/>
      </w:pPr>
    </w:p>
    <w:p w:rsidRPr="00EF5CA7" w:rsidR="0091345F" w:rsidP="0091345F" w:rsidRDefault="0091345F" w14:paraId="50AD8E92" w14:textId="77777777">
      <w:pPr>
        <w:pStyle w:val="ListParagraph"/>
        <w:widowControl w:val="0"/>
        <w:numPr>
          <w:ilvl w:val="0"/>
          <w:numId w:val="20"/>
        </w:numPr>
        <w:spacing w:line="276" w:lineRule="auto"/>
        <w:ind w:left="567" w:hanging="567"/>
        <w:jc w:val="left"/>
        <w:rPr>
          <w:sz w:val="28"/>
          <w:szCs w:val="28"/>
        </w:rPr>
      </w:pPr>
      <w:hyperlink w:history="1" r:id="rId56">
        <w:r>
          <w:rPr>
            <w:rStyle w:val="Hyperlink"/>
            <w:b/>
            <w:i/>
            <w:sz w:val="28"/>
          </w:rPr>
          <w:t>Sairaaloiden kyberturvallisuutta koskeva toimintasuunnitelma</w:t>
        </w:r>
      </w:hyperlink>
    </w:p>
    <w:p w:rsidRPr="00A6689B" w:rsidR="0091345F" w:rsidP="0091345F" w:rsidRDefault="0091345F" w14:paraId="2D435813" w14:textId="77777777">
      <w:pPr>
        <w:tabs>
          <w:tab w:val="center" w:pos="284"/>
        </w:tabs>
        <w:ind w:left="266" w:hanging="266"/>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A6689B" w:rsidR="0091345F" w:rsidTr="00D33D43" w14:paraId="41BEAB76" w14:textId="77777777">
        <w:tc>
          <w:tcPr>
            <w:tcW w:w="1701" w:type="dxa"/>
          </w:tcPr>
          <w:p w:rsidRPr="00A6689B" w:rsidR="0091345F" w:rsidP="00D33D43" w:rsidRDefault="0091345F" w14:paraId="0B968D00" w14:textId="77777777">
            <w:pPr>
              <w:tabs>
                <w:tab w:val="center" w:pos="284"/>
              </w:tabs>
              <w:ind w:left="266" w:hanging="266"/>
              <w:rPr>
                <w:b/>
              </w:rPr>
            </w:pPr>
            <w:r>
              <w:rPr>
                <w:b/>
              </w:rPr>
              <w:t>Esittelijä</w:t>
            </w:r>
          </w:p>
        </w:tc>
        <w:tc>
          <w:tcPr>
            <w:tcW w:w="7479" w:type="dxa"/>
          </w:tcPr>
          <w:p w:rsidRPr="00A6689B" w:rsidR="0091345F" w:rsidP="00D33D43" w:rsidRDefault="0091345F" w14:paraId="29ABE00A" w14:textId="77777777">
            <w:pPr>
              <w:tabs>
                <w:tab w:val="center" w:pos="284"/>
              </w:tabs>
              <w:ind w:left="266" w:hanging="266"/>
            </w:pPr>
            <w:r>
              <w:t>Alain COHEUR (kansalaisyhteiskunnan organisaatiot – BE)</w:t>
            </w:r>
          </w:p>
        </w:tc>
      </w:tr>
      <w:tr w:rsidRPr="00A6689B" w:rsidR="0091345F" w:rsidTr="00D33D43" w14:paraId="41C9CD0C" w14:textId="77777777">
        <w:tc>
          <w:tcPr>
            <w:tcW w:w="1701" w:type="dxa"/>
          </w:tcPr>
          <w:p w:rsidRPr="00A6689B" w:rsidR="0091345F" w:rsidP="00D33D43" w:rsidRDefault="0091345F" w14:paraId="4AC4A0D0" w14:textId="77777777">
            <w:pPr>
              <w:tabs>
                <w:tab w:val="center" w:pos="284"/>
              </w:tabs>
              <w:ind w:left="266" w:hanging="266"/>
              <w:rPr>
                <w:b/>
              </w:rPr>
            </w:pPr>
            <w:r>
              <w:rPr>
                <w:b/>
              </w:rPr>
              <w:t>Yhteisesittelijä</w:t>
            </w:r>
          </w:p>
        </w:tc>
        <w:tc>
          <w:tcPr>
            <w:tcW w:w="7479" w:type="dxa"/>
          </w:tcPr>
          <w:p w:rsidRPr="00A6689B" w:rsidR="0091345F" w:rsidP="00D33D43" w:rsidRDefault="0091345F" w14:paraId="745A2852" w14:textId="77777777">
            <w:pPr>
              <w:tabs>
                <w:tab w:val="center" w:pos="284"/>
              </w:tabs>
              <w:ind w:left="266" w:hanging="266"/>
            </w:pPr>
            <w:proofErr w:type="spellStart"/>
            <w:r>
              <w:t>Hervé</w:t>
            </w:r>
            <w:proofErr w:type="spellEnd"/>
            <w:r>
              <w:t xml:space="preserve"> JEANNIN (kategoria 2 – FR)</w:t>
            </w:r>
          </w:p>
        </w:tc>
      </w:tr>
      <w:tr w:rsidRPr="00A6689B" w:rsidR="0091345F" w:rsidTr="00D33D43" w14:paraId="31B08664" w14:textId="77777777">
        <w:tc>
          <w:tcPr>
            <w:tcW w:w="9180" w:type="dxa"/>
            <w:gridSpan w:val="2"/>
          </w:tcPr>
          <w:p w:rsidRPr="00A6689B" w:rsidR="0091345F" w:rsidP="00D33D43" w:rsidRDefault="0091345F" w14:paraId="75CC178E" w14:textId="77777777">
            <w:pPr>
              <w:tabs>
                <w:tab w:val="center" w:pos="284"/>
              </w:tabs>
              <w:spacing w:line="160" w:lineRule="exact"/>
              <w:ind w:left="266" w:hanging="266"/>
              <w:rPr>
                <w:lang w:val="en-US"/>
              </w:rPr>
            </w:pPr>
          </w:p>
        </w:tc>
      </w:tr>
      <w:tr w:rsidRPr="00A6689B" w:rsidR="0091345F" w:rsidTr="00D33D43" w14:paraId="10517CB3" w14:textId="77777777">
        <w:tc>
          <w:tcPr>
            <w:tcW w:w="1701" w:type="dxa"/>
          </w:tcPr>
          <w:p w:rsidRPr="00A6689B" w:rsidR="0091345F" w:rsidP="00D33D43" w:rsidRDefault="0091345F" w14:paraId="5C208211" w14:textId="77777777">
            <w:pPr>
              <w:tabs>
                <w:tab w:val="center" w:pos="284"/>
              </w:tabs>
              <w:ind w:left="266" w:hanging="266"/>
              <w:rPr>
                <w:b/>
              </w:rPr>
            </w:pPr>
            <w:r>
              <w:rPr>
                <w:b/>
              </w:rPr>
              <w:t>Viiteasiakirja</w:t>
            </w:r>
          </w:p>
        </w:tc>
        <w:tc>
          <w:tcPr>
            <w:tcW w:w="7479" w:type="dxa"/>
          </w:tcPr>
          <w:p w:rsidRPr="00A6689B" w:rsidR="0091345F" w:rsidP="00D33D43" w:rsidRDefault="0091345F" w14:paraId="662ABAE9" w14:textId="77777777">
            <w:pPr>
              <w:tabs>
                <w:tab w:val="center" w:pos="284"/>
              </w:tabs>
              <w:ind w:left="266" w:hanging="266"/>
            </w:pPr>
            <w:r>
              <w:t>EESC-2025-00633-00-00-AC-TRA</w:t>
            </w:r>
          </w:p>
        </w:tc>
      </w:tr>
    </w:tbl>
    <w:p w:rsidR="0091345F" w:rsidP="0091345F" w:rsidRDefault="0091345F" w14:paraId="2129A2C4" w14:textId="77777777">
      <w:pPr>
        <w:keepNext/>
        <w:keepLines/>
        <w:tabs>
          <w:tab w:val="center" w:pos="284"/>
        </w:tabs>
        <w:ind w:left="266" w:hanging="266"/>
        <w:rPr>
          <w:b/>
        </w:rPr>
      </w:pPr>
    </w:p>
    <w:p w:rsidR="0091345F" w:rsidP="0091345F" w:rsidRDefault="0091345F" w14:paraId="5555F478" w14:textId="77777777">
      <w:pPr>
        <w:keepNext/>
        <w:keepLines/>
        <w:tabs>
          <w:tab w:val="center" w:pos="284"/>
        </w:tabs>
        <w:ind w:left="266" w:hanging="266"/>
        <w:rPr>
          <w:b/>
        </w:rPr>
      </w:pPr>
      <w:r>
        <w:rPr>
          <w:b/>
        </w:rPr>
        <w:t>Keskeiset kohdat</w:t>
      </w:r>
    </w:p>
    <w:p w:rsidR="0091345F" w:rsidP="0091345F" w:rsidRDefault="0091345F" w14:paraId="5D90936E" w14:textId="77777777">
      <w:pPr>
        <w:keepNext/>
        <w:keepLines/>
        <w:tabs>
          <w:tab w:val="center" w:pos="284"/>
        </w:tabs>
        <w:ind w:left="266" w:hanging="266"/>
        <w:rPr>
          <w:b/>
        </w:rPr>
      </w:pPr>
    </w:p>
    <w:p w:rsidRPr="00EF5CA7" w:rsidR="0091345F" w:rsidP="0091345F" w:rsidRDefault="0091345F" w14:paraId="0E74DC20" w14:textId="77777777">
      <w:pPr>
        <w:keepNext/>
        <w:keepLines/>
        <w:tabs>
          <w:tab w:val="center" w:pos="284"/>
        </w:tabs>
        <w:ind w:left="266" w:hanging="266"/>
        <w:rPr>
          <w:bCs/>
        </w:rPr>
      </w:pPr>
      <w:r>
        <w:t>ETSK</w:t>
      </w:r>
    </w:p>
    <w:p w:rsidR="0091345F" w:rsidP="0091345F" w:rsidRDefault="0091345F" w14:paraId="342D6016" w14:textId="77777777">
      <w:pPr>
        <w:pStyle w:val="Heading2"/>
        <w:numPr>
          <w:ilvl w:val="0"/>
          <w:numId w:val="22"/>
        </w:numPr>
      </w:pPr>
      <w:bookmarkStart w:name="_Toc202363010" w:id="25"/>
      <w:r>
        <w:t>suhtautuu myönteisesti sairaaloiden ja terveydenhuoltopalvelujen tarjoajien kyberturvallisuutta koskevan eurooppalaisen toimintasuunnitelman tavoitetasoon ja siihen, että aiheeseen kiinnitetään huomiota. Terveydenhuoltoalan kyberturvallisuuden parantaminen vahvistaa yleistä turvallisuutta ja häiriönsietokykyä sekä tukee osaltaan varautumisunionia.</w:t>
      </w:r>
      <w:bookmarkEnd w:id="25"/>
    </w:p>
    <w:p w:rsidR="0091345F" w:rsidP="0091345F" w:rsidRDefault="0091345F" w14:paraId="4BCC0921" w14:textId="77777777">
      <w:pPr>
        <w:pStyle w:val="Heading2"/>
        <w:numPr>
          <w:ilvl w:val="0"/>
          <w:numId w:val="22"/>
        </w:numPr>
      </w:pPr>
      <w:bookmarkStart w:name="_Toc202363011" w:id="26"/>
      <w:r>
        <w:t>pitää valitettavana, ettei toimintasuunnitelman täytäntöönpanoon myönnettävää rahoitustukea ole vielä käsitelty. ETSK kannustaa komissiota varmistamaan rahoitustuen temaattisen keskittämisen koheesiorahastojen kautta.</w:t>
      </w:r>
      <w:bookmarkEnd w:id="26"/>
    </w:p>
    <w:p w:rsidR="0091345F" w:rsidP="0091345F" w:rsidRDefault="0091345F" w14:paraId="6D87085C" w14:textId="77777777">
      <w:pPr>
        <w:pStyle w:val="Heading2"/>
        <w:numPr>
          <w:ilvl w:val="0"/>
          <w:numId w:val="22"/>
        </w:numPr>
      </w:pPr>
      <w:bookmarkStart w:name="_Toc202363012" w:id="27"/>
      <w:r>
        <w:t>panee merkille, että Euroopan unionin kyberturvallisuusvirastoa (ENISA) tuetaan 6 miljoonalla eurolla, mutta korostaa rahoituksen olevan riittämätöntä, kun otetaan huomioon asian merkitys.</w:t>
      </w:r>
      <w:bookmarkEnd w:id="27"/>
    </w:p>
    <w:p w:rsidR="0091345F" w:rsidP="0091345F" w:rsidRDefault="0091345F" w14:paraId="7058954C" w14:textId="77777777">
      <w:pPr>
        <w:pStyle w:val="Heading2"/>
        <w:numPr>
          <w:ilvl w:val="0"/>
          <w:numId w:val="22"/>
        </w:numPr>
      </w:pPr>
      <w:bookmarkStart w:name="_Toc202363013" w:id="28"/>
      <w:r>
        <w:t>suosittaa, että lisätään tietoisuutta kyberhygienian peruskäytännöistä, investoidaan sairaaloiden, terveydenhuoltojärjestelmien ja lääkinnällisten laitteiden digitaalisiin kaksosiin varmuuden parantamiseksi ja testauksen helpottamiseksi, tarjotaan teknistä apua pienille terveydenhuollon yksiköille, joilla ei ole tietotekniikkapalveluja, ja investoidaan strategisiin teknisiin valmiuksiin.</w:t>
      </w:r>
      <w:bookmarkEnd w:id="28"/>
    </w:p>
    <w:p w:rsidR="0091345F" w:rsidP="0091345F" w:rsidRDefault="0091345F" w14:paraId="116489C3" w14:textId="77777777">
      <w:pPr>
        <w:pStyle w:val="Heading2"/>
        <w:numPr>
          <w:ilvl w:val="0"/>
          <w:numId w:val="22"/>
        </w:numPr>
      </w:pPr>
      <w:bookmarkStart w:name="_Toc202363014" w:id="29"/>
      <w:r>
        <w:t>haluaa kiinnittää huomion seuraaviin varotoimenpiteisiin ja ennaltaehkäiseviin toimenpiteisiin, joiden tarkoituksena on parantaa suojelun tasoa terveydenhuoltoalalla ja vähentää kyberhyökkäysten riskiä: asianmukaisten testien suorittaminen, sellaisten toiminnan jatkuvuussuunnitelmien laatiminen, joita päivitetään ja joita riippumattomat tarkastajat arvioivat säännöllisesti sekä sisäisesti että ulkoisesti, ja parhaiden seuranta- ja korjauskäytäntöjen seuraaminen.</w:t>
      </w:r>
      <w:bookmarkEnd w:id="29"/>
    </w:p>
    <w:p w:rsidRPr="00692A7B" w:rsidR="0091345F" w:rsidP="0091345F" w:rsidRDefault="0091345F" w14:paraId="5905A8C6" w14:textId="77777777">
      <w:pPr>
        <w:pStyle w:val="Heading2"/>
        <w:numPr>
          <w:ilvl w:val="0"/>
          <w:numId w:val="22"/>
        </w:numPr>
      </w:pPr>
      <w:bookmarkStart w:name="_Toc202363015" w:id="30"/>
      <w:r>
        <w:t>suosittaa, että työmarkkinaosapuolten kanssa laaditaan jatkuvaa oppimista ja koulutusta koskevia suunnitelmia sekä kehitetään mekanismeja eri tahojen ja ammatillisten sidosryhmien välistä osaamisensiirtoa varten kyberturvallisuuteen, etiikkaan, yksityisyyden suojaan ja tekoälyyn liittyviin haasteisiin vastaamiseksi.</w:t>
      </w:r>
      <w:bookmarkEnd w:id="30"/>
    </w:p>
    <w:p w:rsidR="0091345F" w:rsidP="0091345F" w:rsidRDefault="0091345F" w14:paraId="492890D7" w14:textId="77777777"/>
    <w:tbl>
      <w:tblPr>
        <w:tblStyle w:val="TableGrid"/>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372"/>
      </w:tblGrid>
      <w:tr w:rsidRPr="00A6689B" w:rsidR="0091345F" w:rsidTr="00D33D43" w14:paraId="0F51C0C4" w14:textId="77777777">
        <w:tc>
          <w:tcPr>
            <w:tcW w:w="985" w:type="pct"/>
          </w:tcPr>
          <w:p w:rsidRPr="00A6689B" w:rsidR="0091345F" w:rsidP="00D33D43" w:rsidRDefault="0091345F" w14:paraId="34496AF0" w14:textId="77777777">
            <w:pPr>
              <w:spacing w:line="240" w:lineRule="auto"/>
              <w:rPr>
                <w:i/>
              </w:rPr>
            </w:pPr>
            <w:r>
              <w:rPr>
                <w:b/>
                <w:i/>
              </w:rPr>
              <w:t>Yhteydenotot</w:t>
            </w:r>
          </w:p>
        </w:tc>
        <w:tc>
          <w:tcPr>
            <w:tcW w:w="4015" w:type="pct"/>
          </w:tcPr>
          <w:p w:rsidRPr="004F5157" w:rsidR="0091345F" w:rsidP="00D33D43" w:rsidRDefault="0091345F" w14:paraId="7F984310" w14:textId="77777777">
            <w:pPr>
              <w:spacing w:line="240" w:lineRule="auto"/>
              <w:rPr>
                <w:b/>
                <w:bCs/>
                <w:i/>
              </w:rPr>
            </w:pPr>
            <w:proofErr w:type="spellStart"/>
            <w:r>
              <w:rPr>
                <w:b/>
                <w:i/>
              </w:rPr>
              <w:t>Ioannis</w:t>
            </w:r>
            <w:proofErr w:type="spellEnd"/>
            <w:r>
              <w:rPr>
                <w:b/>
                <w:i/>
              </w:rPr>
              <w:t xml:space="preserve"> DIAMANTOPOULOS</w:t>
            </w:r>
          </w:p>
        </w:tc>
      </w:tr>
      <w:tr w:rsidRPr="00A6689B" w:rsidR="0091345F" w:rsidTr="00D33D43" w14:paraId="0BEB20B6" w14:textId="77777777">
        <w:tc>
          <w:tcPr>
            <w:tcW w:w="985" w:type="pct"/>
          </w:tcPr>
          <w:p w:rsidRPr="00A6689B" w:rsidR="0091345F" w:rsidP="00D33D43" w:rsidRDefault="0091345F" w14:paraId="4E5CCDBC" w14:textId="77777777">
            <w:pPr>
              <w:spacing w:line="240" w:lineRule="auto"/>
              <w:rPr>
                <w:i/>
              </w:rPr>
            </w:pPr>
            <w:r>
              <w:rPr>
                <w:i/>
              </w:rPr>
              <w:t>P.</w:t>
            </w:r>
          </w:p>
        </w:tc>
        <w:tc>
          <w:tcPr>
            <w:tcW w:w="4015" w:type="pct"/>
          </w:tcPr>
          <w:p w:rsidRPr="00A6689B" w:rsidR="0091345F" w:rsidP="00D33D43" w:rsidRDefault="0091345F" w14:paraId="594D776B" w14:textId="77777777">
            <w:pPr>
              <w:spacing w:line="240" w:lineRule="auto"/>
              <w:rPr>
                <w:i/>
              </w:rPr>
            </w:pPr>
            <w:r>
              <w:rPr>
                <w:i/>
              </w:rPr>
              <w:t>+3225469170</w:t>
            </w:r>
          </w:p>
        </w:tc>
      </w:tr>
      <w:tr w:rsidRPr="00A6689B" w:rsidR="0091345F" w:rsidTr="00D33D43" w14:paraId="49E98844" w14:textId="77777777">
        <w:tc>
          <w:tcPr>
            <w:tcW w:w="985" w:type="pct"/>
          </w:tcPr>
          <w:p w:rsidRPr="00A6689B" w:rsidR="0091345F" w:rsidP="00D33D43" w:rsidRDefault="0091345F" w14:paraId="56529B9D" w14:textId="77777777">
            <w:pPr>
              <w:spacing w:line="240" w:lineRule="auto"/>
              <w:rPr>
                <w:i/>
              </w:rPr>
            </w:pPr>
            <w:r>
              <w:rPr>
                <w:i/>
              </w:rPr>
              <w:t>Sähköpostiosoite</w:t>
            </w:r>
          </w:p>
        </w:tc>
        <w:tc>
          <w:tcPr>
            <w:tcW w:w="4015" w:type="pct"/>
          </w:tcPr>
          <w:p w:rsidRPr="00A6689B" w:rsidR="0091345F" w:rsidP="00D33D43" w:rsidRDefault="0091345F" w14:paraId="3A28CA66" w14:textId="77777777">
            <w:pPr>
              <w:spacing w:line="240" w:lineRule="auto"/>
              <w:rPr>
                <w:i/>
              </w:rPr>
            </w:pPr>
            <w:hyperlink w:history="1" r:id="rId57">
              <w:r>
                <w:rPr>
                  <w:rStyle w:val="Hyperlink"/>
                  <w:i/>
                </w:rPr>
                <w:t>Ioannis.Diamantopoulos@eesc.europa.eu</w:t>
              </w:r>
            </w:hyperlink>
          </w:p>
        </w:tc>
      </w:tr>
    </w:tbl>
    <w:p w:rsidRPr="000F397E" w:rsidR="000F397E" w:rsidP="000F397E" w:rsidRDefault="000F397E" w14:paraId="17D99017" w14:textId="77777777">
      <w:pPr>
        <w:overflowPunct w:val="0"/>
        <w:autoSpaceDE w:val="0"/>
        <w:autoSpaceDN w:val="0"/>
        <w:adjustRightInd w:val="0"/>
        <w:jc w:val="center"/>
        <w:textAlignment w:val="baseline"/>
        <w:rPr>
          <w:szCs w:val="20"/>
        </w:rPr>
      </w:pPr>
      <w:r>
        <w:t>_____________</w:t>
      </w:r>
    </w:p>
    <w:p w:rsidRPr="001E19E2" w:rsidR="000D394D" w:rsidRDefault="000D394D" w14:paraId="0D2DBE11" w14:textId="77777777">
      <w:pPr>
        <w:spacing w:after="160" w:line="259" w:lineRule="auto"/>
        <w:jc w:val="left"/>
        <w:rPr>
          <w:lang w:val="en-GB"/>
        </w:rPr>
      </w:pPr>
    </w:p>
    <w:sectPr w:rsidRPr="001E19E2" w:rsidR="000D394D" w:rsidSect="00055407">
      <w:headerReference w:type="even" r:id="rId58"/>
      <w:headerReference w:type="default" r:id="rId59"/>
      <w:footerReference w:type="even" r:id="rId60"/>
      <w:footerReference w:type="default" r:id="rId61"/>
      <w:headerReference w:type="first" r:id="rId62"/>
      <w:footerReference w:type="first" r:id="rId63"/>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A52A" w14:textId="77777777" w:rsidR="00055407" w:rsidRPr="00055407" w:rsidRDefault="00055407" w:rsidP="00055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161DC846" w:rsidR="00B518C9" w:rsidRPr="00055407" w:rsidRDefault="00055407" w:rsidP="00055407">
    <w:pPr>
      <w:pStyle w:val="Footer"/>
    </w:pPr>
    <w:r>
      <w:t xml:space="preserve">EESC-2025-01645-00-00-TCD-TRA (EN) </w:t>
    </w:r>
    <w:r>
      <w:fldChar w:fldCharType="begin"/>
    </w:r>
    <w:r>
      <w:instrText xml:space="preserve"> PAGE  \* Arabic  \* MERGEFORMAT </w:instrText>
    </w:r>
    <w:r>
      <w:fldChar w:fldCharType="separate"/>
    </w:r>
    <w:r w:rsidR="00381CCE">
      <w:t>1</w:t>
    </w:r>
    <w:r>
      <w:fldChar w:fldCharType="end"/>
    </w:r>
    <w:r>
      <w:t>/</w:t>
    </w:r>
    <w:r w:rsidR="00AC3182">
      <w:fldChar w:fldCharType="begin"/>
    </w:r>
    <w:r w:rsidR="00AC3182">
      <w:instrText xml:space="preserve"> NUMPAGES </w:instrText>
    </w:r>
    <w:r w:rsidR="00AC3182">
      <w:fldChar w:fldCharType="separate"/>
    </w:r>
    <w:r w:rsidR="00381CCE">
      <w:t>2</w:t>
    </w:r>
    <w:r w:rsidR="00AC318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D2C3C" w14:textId="77777777" w:rsidR="00055407" w:rsidRPr="00055407" w:rsidRDefault="00055407" w:rsidP="000554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CD2C" w14:textId="77777777" w:rsidR="00055407" w:rsidRPr="00055407" w:rsidRDefault="00055407" w:rsidP="000554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3359" w14:textId="281A9974" w:rsidR="00055407" w:rsidRPr="00055407" w:rsidRDefault="00055407" w:rsidP="00055407">
    <w:pPr>
      <w:pStyle w:val="Footer"/>
    </w:pPr>
    <w:r>
      <w:t xml:space="preserve">EESC-2025-01645-00-00-TCD-TRA (EN) </w:t>
    </w:r>
    <w:r>
      <w:fldChar w:fldCharType="begin"/>
    </w:r>
    <w:r>
      <w:instrText xml:space="preserve"> PAGE  \* Arabic  \* MERGEFORMAT </w:instrText>
    </w:r>
    <w:r>
      <w:fldChar w:fldCharType="separate"/>
    </w:r>
    <w:r>
      <w:t>2</w:t>
    </w:r>
    <w:r>
      <w:fldChar w:fldCharType="end"/>
    </w:r>
    <w:r>
      <w:t>/</w:t>
    </w:r>
    <w:r w:rsidR="00AC3182">
      <w:fldChar w:fldCharType="begin"/>
    </w:r>
    <w:r w:rsidR="00AC3182">
      <w:instrText xml:space="preserve"> NUMPAGES </w:instrText>
    </w:r>
    <w:r w:rsidR="00AC3182">
      <w:fldChar w:fldCharType="separate"/>
    </w:r>
    <w:r>
      <w:t>28</w:t>
    </w:r>
    <w:r w:rsidR="00AC3182">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2D21" w14:textId="77777777" w:rsidR="00055407" w:rsidRPr="00055407" w:rsidRDefault="00055407" w:rsidP="00055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0DD3" w14:textId="77777777" w:rsidR="00055407" w:rsidRPr="00055407" w:rsidRDefault="00055407" w:rsidP="000554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F5006" w14:textId="067921A6" w:rsidR="00055407" w:rsidRPr="00055407" w:rsidRDefault="00055407" w:rsidP="000554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0B00C" w14:textId="77777777" w:rsidR="00055407" w:rsidRPr="00055407" w:rsidRDefault="00055407" w:rsidP="000554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A058" w14:textId="77777777" w:rsidR="00055407" w:rsidRPr="00055407" w:rsidRDefault="00055407" w:rsidP="000554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ADAA" w14:textId="2B776D36" w:rsidR="00055407" w:rsidRPr="00055407" w:rsidRDefault="00055407" w:rsidP="000554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8CFA" w14:textId="77777777" w:rsidR="00055407" w:rsidRPr="00055407" w:rsidRDefault="00055407" w:rsidP="00055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6BAC0384"/>
    <w:lvl w:ilvl="0">
      <w:numFmt w:val="decimal"/>
      <w:lvlText w:val="*"/>
      <w:lvlJc w:val="left"/>
    </w:lvl>
  </w:abstractNum>
  <w:abstractNum w:abstractNumId="2" w15:restartNumberingAfterBreak="0">
    <w:nsid w:val="0F055898"/>
    <w:multiLevelType w:val="hybridMultilevel"/>
    <w:tmpl w:val="22D82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CF268"/>
    <w:multiLevelType w:val="hybridMultilevel"/>
    <w:tmpl w:val="400EA9C6"/>
    <w:lvl w:ilvl="0" w:tplc="AF664816">
      <w:start w:val="1"/>
      <w:numFmt w:val="bullet"/>
      <w:lvlText w:val=""/>
      <w:lvlJc w:val="left"/>
      <w:pPr>
        <w:ind w:left="567" w:hanging="360"/>
      </w:pPr>
      <w:rPr>
        <w:rFonts w:ascii="Symbol" w:hAnsi="Symbol" w:hint="default"/>
        <w:color w:val="000000" w:themeColor="text1"/>
      </w:rPr>
    </w:lvl>
    <w:lvl w:ilvl="1" w:tplc="E71E2474">
      <w:start w:val="1"/>
      <w:numFmt w:val="lowerLetter"/>
      <w:lvlText w:val="%2."/>
      <w:lvlJc w:val="left"/>
      <w:pPr>
        <w:ind w:left="1287" w:hanging="360"/>
      </w:pPr>
    </w:lvl>
    <w:lvl w:ilvl="2" w:tplc="CF80E7CA">
      <w:start w:val="1"/>
      <w:numFmt w:val="lowerRoman"/>
      <w:lvlText w:val="%3."/>
      <w:lvlJc w:val="right"/>
      <w:pPr>
        <w:ind w:left="2007" w:hanging="180"/>
      </w:pPr>
    </w:lvl>
    <w:lvl w:ilvl="3" w:tplc="E474BBE2">
      <w:start w:val="1"/>
      <w:numFmt w:val="decimal"/>
      <w:lvlText w:val="%4."/>
      <w:lvlJc w:val="left"/>
      <w:pPr>
        <w:ind w:left="2727" w:hanging="360"/>
      </w:pPr>
    </w:lvl>
    <w:lvl w:ilvl="4" w:tplc="462EC6F6">
      <w:start w:val="1"/>
      <w:numFmt w:val="lowerLetter"/>
      <w:lvlText w:val="%5."/>
      <w:lvlJc w:val="left"/>
      <w:pPr>
        <w:ind w:left="3447" w:hanging="360"/>
      </w:pPr>
    </w:lvl>
    <w:lvl w:ilvl="5" w:tplc="61E4D974">
      <w:start w:val="1"/>
      <w:numFmt w:val="lowerRoman"/>
      <w:lvlText w:val="%6."/>
      <w:lvlJc w:val="right"/>
      <w:pPr>
        <w:ind w:left="4167" w:hanging="180"/>
      </w:pPr>
    </w:lvl>
    <w:lvl w:ilvl="6" w:tplc="F6861F06">
      <w:start w:val="1"/>
      <w:numFmt w:val="decimal"/>
      <w:lvlText w:val="%7."/>
      <w:lvlJc w:val="left"/>
      <w:pPr>
        <w:ind w:left="4887" w:hanging="360"/>
      </w:pPr>
    </w:lvl>
    <w:lvl w:ilvl="7" w:tplc="737E3C6A">
      <w:start w:val="1"/>
      <w:numFmt w:val="lowerLetter"/>
      <w:lvlText w:val="%8."/>
      <w:lvlJc w:val="left"/>
      <w:pPr>
        <w:ind w:left="5607" w:hanging="360"/>
      </w:pPr>
    </w:lvl>
    <w:lvl w:ilvl="8" w:tplc="267CDF42">
      <w:start w:val="1"/>
      <w:numFmt w:val="lowerRoman"/>
      <w:lvlText w:val="%9."/>
      <w:lvlJc w:val="right"/>
      <w:pPr>
        <w:ind w:left="6327" w:hanging="180"/>
      </w:pPr>
    </w:lvl>
  </w:abstractNum>
  <w:abstractNum w:abstractNumId="4"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8720B11"/>
    <w:multiLevelType w:val="hybridMultilevel"/>
    <w:tmpl w:val="905A438A"/>
    <w:lvl w:ilvl="0" w:tplc="3DC081D6">
      <w:start w:val="1"/>
      <w:numFmt w:val="bullet"/>
      <w:lvlText w:val=""/>
      <w:lvlJc w:val="left"/>
      <w:pPr>
        <w:ind w:left="643" w:hanging="360"/>
      </w:pPr>
      <w:rPr>
        <w:rFonts w:ascii="Symbol" w:hAnsi="Symbol" w:hint="default"/>
      </w:rPr>
    </w:lvl>
    <w:lvl w:ilvl="1" w:tplc="080C0003" w:tentative="1">
      <w:start w:val="1"/>
      <w:numFmt w:val="bullet"/>
      <w:lvlText w:val="o"/>
      <w:lvlJc w:val="left"/>
      <w:pPr>
        <w:ind w:left="1363" w:hanging="360"/>
      </w:pPr>
      <w:rPr>
        <w:rFonts w:ascii="Courier New" w:hAnsi="Courier New" w:cs="Courier New" w:hint="default"/>
      </w:rPr>
    </w:lvl>
    <w:lvl w:ilvl="2" w:tplc="080C0005" w:tentative="1">
      <w:start w:val="1"/>
      <w:numFmt w:val="bullet"/>
      <w:lvlText w:val=""/>
      <w:lvlJc w:val="left"/>
      <w:pPr>
        <w:ind w:left="2083" w:hanging="360"/>
      </w:pPr>
      <w:rPr>
        <w:rFonts w:ascii="Wingdings" w:hAnsi="Wingdings" w:hint="default"/>
      </w:rPr>
    </w:lvl>
    <w:lvl w:ilvl="3" w:tplc="080C0001" w:tentative="1">
      <w:start w:val="1"/>
      <w:numFmt w:val="bullet"/>
      <w:lvlText w:val=""/>
      <w:lvlJc w:val="left"/>
      <w:pPr>
        <w:ind w:left="2803" w:hanging="360"/>
      </w:pPr>
      <w:rPr>
        <w:rFonts w:ascii="Symbol" w:hAnsi="Symbol" w:hint="default"/>
      </w:rPr>
    </w:lvl>
    <w:lvl w:ilvl="4" w:tplc="080C0003" w:tentative="1">
      <w:start w:val="1"/>
      <w:numFmt w:val="bullet"/>
      <w:lvlText w:val="o"/>
      <w:lvlJc w:val="left"/>
      <w:pPr>
        <w:ind w:left="3523" w:hanging="360"/>
      </w:pPr>
      <w:rPr>
        <w:rFonts w:ascii="Courier New" w:hAnsi="Courier New" w:cs="Courier New" w:hint="default"/>
      </w:rPr>
    </w:lvl>
    <w:lvl w:ilvl="5" w:tplc="080C0005" w:tentative="1">
      <w:start w:val="1"/>
      <w:numFmt w:val="bullet"/>
      <w:lvlText w:val=""/>
      <w:lvlJc w:val="left"/>
      <w:pPr>
        <w:ind w:left="4243" w:hanging="360"/>
      </w:pPr>
      <w:rPr>
        <w:rFonts w:ascii="Wingdings" w:hAnsi="Wingdings" w:hint="default"/>
      </w:rPr>
    </w:lvl>
    <w:lvl w:ilvl="6" w:tplc="080C0001" w:tentative="1">
      <w:start w:val="1"/>
      <w:numFmt w:val="bullet"/>
      <w:lvlText w:val=""/>
      <w:lvlJc w:val="left"/>
      <w:pPr>
        <w:ind w:left="4963" w:hanging="360"/>
      </w:pPr>
      <w:rPr>
        <w:rFonts w:ascii="Symbol" w:hAnsi="Symbol" w:hint="default"/>
      </w:rPr>
    </w:lvl>
    <w:lvl w:ilvl="7" w:tplc="080C0003" w:tentative="1">
      <w:start w:val="1"/>
      <w:numFmt w:val="bullet"/>
      <w:lvlText w:val="o"/>
      <w:lvlJc w:val="left"/>
      <w:pPr>
        <w:ind w:left="5683" w:hanging="360"/>
      </w:pPr>
      <w:rPr>
        <w:rFonts w:ascii="Courier New" w:hAnsi="Courier New" w:cs="Courier New" w:hint="default"/>
      </w:rPr>
    </w:lvl>
    <w:lvl w:ilvl="8" w:tplc="080C0005" w:tentative="1">
      <w:start w:val="1"/>
      <w:numFmt w:val="bullet"/>
      <w:lvlText w:val=""/>
      <w:lvlJc w:val="left"/>
      <w:pPr>
        <w:ind w:left="6403" w:hanging="360"/>
      </w:pPr>
      <w:rPr>
        <w:rFonts w:ascii="Wingdings" w:hAnsi="Wingdings" w:hint="default"/>
      </w:rPr>
    </w:lvl>
  </w:abstractNum>
  <w:abstractNum w:abstractNumId="6" w15:restartNumberingAfterBreak="0">
    <w:nsid w:val="1D241F7C"/>
    <w:multiLevelType w:val="hybridMultilevel"/>
    <w:tmpl w:val="262AA0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CF75D4"/>
    <w:multiLevelType w:val="hybridMultilevel"/>
    <w:tmpl w:val="3534599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 w15:restartNumberingAfterBreak="0">
    <w:nsid w:val="27785EB1"/>
    <w:multiLevelType w:val="hybridMultilevel"/>
    <w:tmpl w:val="FF480688"/>
    <w:lvl w:ilvl="0" w:tplc="1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1C21CF4"/>
    <w:multiLevelType w:val="hybridMultilevel"/>
    <w:tmpl w:val="B0E23C88"/>
    <w:lvl w:ilvl="0" w:tplc="BE182C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5B7D00"/>
    <w:multiLevelType w:val="multilevel"/>
    <w:tmpl w:val="640C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70277D"/>
    <w:multiLevelType w:val="hybridMultilevel"/>
    <w:tmpl w:val="424EFA08"/>
    <w:lvl w:ilvl="0" w:tplc="3DC081D6">
      <w:start w:val="1"/>
      <w:numFmt w:val="bullet"/>
      <w:lvlText w:val=""/>
      <w:lvlJc w:val="left"/>
      <w:pPr>
        <w:ind w:left="643" w:hanging="360"/>
      </w:pPr>
      <w:rPr>
        <w:rFonts w:ascii="Symbol" w:hAnsi="Symbol" w:hint="default"/>
      </w:rPr>
    </w:lvl>
    <w:lvl w:ilvl="1" w:tplc="080C0003" w:tentative="1">
      <w:start w:val="1"/>
      <w:numFmt w:val="bullet"/>
      <w:lvlText w:val="o"/>
      <w:lvlJc w:val="left"/>
      <w:pPr>
        <w:ind w:left="1363" w:hanging="360"/>
      </w:pPr>
      <w:rPr>
        <w:rFonts w:ascii="Courier New" w:hAnsi="Courier New" w:cs="Courier New" w:hint="default"/>
      </w:rPr>
    </w:lvl>
    <w:lvl w:ilvl="2" w:tplc="080C0005" w:tentative="1">
      <w:start w:val="1"/>
      <w:numFmt w:val="bullet"/>
      <w:lvlText w:val=""/>
      <w:lvlJc w:val="left"/>
      <w:pPr>
        <w:ind w:left="2083" w:hanging="360"/>
      </w:pPr>
      <w:rPr>
        <w:rFonts w:ascii="Wingdings" w:hAnsi="Wingdings" w:hint="default"/>
      </w:rPr>
    </w:lvl>
    <w:lvl w:ilvl="3" w:tplc="080C0001" w:tentative="1">
      <w:start w:val="1"/>
      <w:numFmt w:val="bullet"/>
      <w:lvlText w:val=""/>
      <w:lvlJc w:val="left"/>
      <w:pPr>
        <w:ind w:left="2803" w:hanging="360"/>
      </w:pPr>
      <w:rPr>
        <w:rFonts w:ascii="Symbol" w:hAnsi="Symbol" w:hint="default"/>
      </w:rPr>
    </w:lvl>
    <w:lvl w:ilvl="4" w:tplc="080C0003" w:tentative="1">
      <w:start w:val="1"/>
      <w:numFmt w:val="bullet"/>
      <w:lvlText w:val="o"/>
      <w:lvlJc w:val="left"/>
      <w:pPr>
        <w:ind w:left="3523" w:hanging="360"/>
      </w:pPr>
      <w:rPr>
        <w:rFonts w:ascii="Courier New" w:hAnsi="Courier New" w:cs="Courier New" w:hint="default"/>
      </w:rPr>
    </w:lvl>
    <w:lvl w:ilvl="5" w:tplc="080C0005" w:tentative="1">
      <w:start w:val="1"/>
      <w:numFmt w:val="bullet"/>
      <w:lvlText w:val=""/>
      <w:lvlJc w:val="left"/>
      <w:pPr>
        <w:ind w:left="4243" w:hanging="360"/>
      </w:pPr>
      <w:rPr>
        <w:rFonts w:ascii="Wingdings" w:hAnsi="Wingdings" w:hint="default"/>
      </w:rPr>
    </w:lvl>
    <w:lvl w:ilvl="6" w:tplc="080C0001" w:tentative="1">
      <w:start w:val="1"/>
      <w:numFmt w:val="bullet"/>
      <w:lvlText w:val=""/>
      <w:lvlJc w:val="left"/>
      <w:pPr>
        <w:ind w:left="4963" w:hanging="360"/>
      </w:pPr>
      <w:rPr>
        <w:rFonts w:ascii="Symbol" w:hAnsi="Symbol" w:hint="default"/>
      </w:rPr>
    </w:lvl>
    <w:lvl w:ilvl="7" w:tplc="080C0003" w:tentative="1">
      <w:start w:val="1"/>
      <w:numFmt w:val="bullet"/>
      <w:lvlText w:val="o"/>
      <w:lvlJc w:val="left"/>
      <w:pPr>
        <w:ind w:left="5683" w:hanging="360"/>
      </w:pPr>
      <w:rPr>
        <w:rFonts w:ascii="Courier New" w:hAnsi="Courier New" w:cs="Courier New" w:hint="default"/>
      </w:rPr>
    </w:lvl>
    <w:lvl w:ilvl="8" w:tplc="080C0005" w:tentative="1">
      <w:start w:val="1"/>
      <w:numFmt w:val="bullet"/>
      <w:lvlText w:val=""/>
      <w:lvlJc w:val="left"/>
      <w:pPr>
        <w:ind w:left="6403" w:hanging="360"/>
      </w:pPr>
      <w:rPr>
        <w:rFonts w:ascii="Wingdings" w:hAnsi="Wingdings" w:hint="default"/>
      </w:rPr>
    </w:lvl>
  </w:abstractNum>
  <w:abstractNum w:abstractNumId="13" w15:restartNumberingAfterBreak="0">
    <w:nsid w:val="57452EA7"/>
    <w:multiLevelType w:val="hybridMultilevel"/>
    <w:tmpl w:val="D3F6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C917D9"/>
    <w:multiLevelType w:val="hybridMultilevel"/>
    <w:tmpl w:val="5112BA32"/>
    <w:lvl w:ilvl="0" w:tplc="080C0001">
      <w:start w:val="1"/>
      <w:numFmt w:val="bullet"/>
      <w:lvlText w:val=""/>
      <w:lvlJc w:val="left"/>
      <w:pPr>
        <w:ind w:left="644" w:hanging="360"/>
      </w:pPr>
      <w:rPr>
        <w:rFonts w:ascii="Symbol" w:hAnsi="Symbol" w:hint="default"/>
      </w:rPr>
    </w:lvl>
    <w:lvl w:ilvl="1" w:tplc="C62E6A14">
      <w:start w:val="1"/>
      <w:numFmt w:val="bullet"/>
      <w:lvlText w:val=""/>
      <w:lvlJc w:val="left"/>
      <w:pPr>
        <w:ind w:left="1364" w:hanging="360"/>
      </w:pPr>
      <w:rPr>
        <w:rFonts w:ascii="Symbol" w:hAnsi="Symbol"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 w15:restartNumberingAfterBreak="0">
    <w:nsid w:val="627C73E2"/>
    <w:multiLevelType w:val="hybridMultilevel"/>
    <w:tmpl w:val="D9784A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6243822"/>
    <w:multiLevelType w:val="hybridMultilevel"/>
    <w:tmpl w:val="470AC316"/>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8F70EDF"/>
    <w:multiLevelType w:val="hybridMultilevel"/>
    <w:tmpl w:val="49661DC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6EBEABE0"/>
    <w:multiLevelType w:val="hybridMultilevel"/>
    <w:tmpl w:val="071AAFC2"/>
    <w:lvl w:ilvl="0" w:tplc="3ECEE272">
      <w:start w:val="1"/>
      <w:numFmt w:val="bullet"/>
      <w:lvlText w:val=""/>
      <w:lvlJc w:val="left"/>
      <w:pPr>
        <w:ind w:left="720" w:hanging="360"/>
      </w:pPr>
      <w:rPr>
        <w:rFonts w:ascii="Symbol" w:hAnsi="Symbol" w:hint="default"/>
        <w:color w:val="auto"/>
        <w:sz w:val="28"/>
        <w:szCs w:val="28"/>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19" w15:restartNumberingAfterBreak="0">
    <w:nsid w:val="79DA7990"/>
    <w:multiLevelType w:val="multilevel"/>
    <w:tmpl w:val="A0B0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3">
    <w:abstractNumId w:val="8"/>
  </w:num>
  <w:num w:numId="4">
    <w:abstractNumId w:val="14"/>
  </w:num>
  <w:num w:numId="5">
    <w:abstractNumId w:val="17"/>
  </w:num>
  <w:num w:numId="6">
    <w:abstractNumId w:val="12"/>
  </w:num>
  <w:num w:numId="7">
    <w:abstractNumId w:val="5"/>
  </w:num>
  <w:num w:numId="8">
    <w:abstractNumId w:val="1"/>
    <w:lvlOverride w:ilvl="0">
      <w:lvl w:ilvl="0">
        <w:start w:val="1"/>
        <w:numFmt w:val="bullet"/>
        <w:lvlText w:val=""/>
        <w:lvlJc w:val="left"/>
        <w:pPr>
          <w:ind w:left="720" w:hanging="360"/>
        </w:pPr>
        <w:rPr>
          <w:rFonts w:ascii="Symbol" w:hAnsi="Symbol" w:hint="default"/>
          <w:color w:val="auto"/>
        </w:rPr>
      </w:lvl>
    </w:lvlOverride>
  </w:num>
  <w:num w:numId="9">
    <w:abstractNumId w:val="6"/>
  </w:num>
  <w:num w:numId="10">
    <w:abstractNumId w:val="15"/>
  </w:num>
  <w:num w:numId="11">
    <w:abstractNumId w:val="11"/>
  </w:num>
  <w:num w:numId="12">
    <w:abstractNumId w:val="19"/>
  </w:num>
  <w:num w:numId="13">
    <w:abstractNumId w:val="7"/>
  </w:num>
  <w:num w:numId="14">
    <w:abstractNumId w:val="16"/>
  </w:num>
  <w:num w:numId="15">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16">
    <w:abstractNumId w:val="9"/>
  </w:num>
  <w:num w:numId="17">
    <w:abstractNumId w:val="18"/>
  </w:num>
  <w:num w:numId="18">
    <w:abstractNumId w:val="3"/>
  </w:num>
  <w:num w:numId="19">
    <w:abstractNumId w:val="10"/>
  </w:num>
  <w:num w:numId="20">
    <w:abstractNumId w:val="4"/>
  </w:num>
  <w:num w:numId="21">
    <w:abstractNumId w:val="2"/>
  </w:num>
  <w:num w:numId="2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10A4D"/>
    <w:rsid w:val="000158B8"/>
    <w:rsid w:val="00043305"/>
    <w:rsid w:val="00055407"/>
    <w:rsid w:val="00063DFF"/>
    <w:rsid w:val="00075030"/>
    <w:rsid w:val="000959E6"/>
    <w:rsid w:val="000A075F"/>
    <w:rsid w:val="000C63A4"/>
    <w:rsid w:val="000D394D"/>
    <w:rsid w:val="000E6568"/>
    <w:rsid w:val="000F397E"/>
    <w:rsid w:val="00123381"/>
    <w:rsid w:val="00156D53"/>
    <w:rsid w:val="00171B2B"/>
    <w:rsid w:val="0019737D"/>
    <w:rsid w:val="001A0F35"/>
    <w:rsid w:val="001B63A4"/>
    <w:rsid w:val="001B7DAA"/>
    <w:rsid w:val="001C720D"/>
    <w:rsid w:val="001E19E2"/>
    <w:rsid w:val="001E391D"/>
    <w:rsid w:val="0020025C"/>
    <w:rsid w:val="00212375"/>
    <w:rsid w:val="00231020"/>
    <w:rsid w:val="00240934"/>
    <w:rsid w:val="00240FD7"/>
    <w:rsid w:val="00254761"/>
    <w:rsid w:val="0026311A"/>
    <w:rsid w:val="002666A0"/>
    <w:rsid w:val="002950A0"/>
    <w:rsid w:val="002A5636"/>
    <w:rsid w:val="002B7981"/>
    <w:rsid w:val="002E1FD0"/>
    <w:rsid w:val="00303A9D"/>
    <w:rsid w:val="0030619B"/>
    <w:rsid w:val="003066BE"/>
    <w:rsid w:val="003151D0"/>
    <w:rsid w:val="003161AA"/>
    <w:rsid w:val="00320FF5"/>
    <w:rsid w:val="003227CC"/>
    <w:rsid w:val="0034685F"/>
    <w:rsid w:val="00351E5A"/>
    <w:rsid w:val="003572EF"/>
    <w:rsid w:val="00381CCE"/>
    <w:rsid w:val="00382E57"/>
    <w:rsid w:val="003B35DF"/>
    <w:rsid w:val="003C2D04"/>
    <w:rsid w:val="003F1917"/>
    <w:rsid w:val="003F326D"/>
    <w:rsid w:val="003F79EF"/>
    <w:rsid w:val="0043191A"/>
    <w:rsid w:val="00432B76"/>
    <w:rsid w:val="00450837"/>
    <w:rsid w:val="00460F68"/>
    <w:rsid w:val="00461225"/>
    <w:rsid w:val="004721D7"/>
    <w:rsid w:val="004801BE"/>
    <w:rsid w:val="004A5CD7"/>
    <w:rsid w:val="004B7430"/>
    <w:rsid w:val="004B7C66"/>
    <w:rsid w:val="004C6383"/>
    <w:rsid w:val="004D7AC0"/>
    <w:rsid w:val="004F51B1"/>
    <w:rsid w:val="004F6E52"/>
    <w:rsid w:val="0051508E"/>
    <w:rsid w:val="005215A3"/>
    <w:rsid w:val="005275B5"/>
    <w:rsid w:val="00532089"/>
    <w:rsid w:val="00554171"/>
    <w:rsid w:val="00586B4B"/>
    <w:rsid w:val="005A0BDA"/>
    <w:rsid w:val="005C73A1"/>
    <w:rsid w:val="005D51A7"/>
    <w:rsid w:val="005D59E4"/>
    <w:rsid w:val="005E432E"/>
    <w:rsid w:val="005E7651"/>
    <w:rsid w:val="005F1C0E"/>
    <w:rsid w:val="005F797E"/>
    <w:rsid w:val="006179EF"/>
    <w:rsid w:val="00625CA3"/>
    <w:rsid w:val="00641262"/>
    <w:rsid w:val="00651562"/>
    <w:rsid w:val="006537CB"/>
    <w:rsid w:val="006D2C8A"/>
    <w:rsid w:val="006D2D64"/>
    <w:rsid w:val="006D5AE4"/>
    <w:rsid w:val="007435E6"/>
    <w:rsid w:val="00754027"/>
    <w:rsid w:val="0075742D"/>
    <w:rsid w:val="00766B1A"/>
    <w:rsid w:val="00770396"/>
    <w:rsid w:val="00783D73"/>
    <w:rsid w:val="00797AAF"/>
    <w:rsid w:val="007A5F20"/>
    <w:rsid w:val="007C4222"/>
    <w:rsid w:val="007F5784"/>
    <w:rsid w:val="0080201B"/>
    <w:rsid w:val="00805E64"/>
    <w:rsid w:val="00844CF3"/>
    <w:rsid w:val="00845F24"/>
    <w:rsid w:val="00863217"/>
    <w:rsid w:val="0088219D"/>
    <w:rsid w:val="0089162C"/>
    <w:rsid w:val="008943CC"/>
    <w:rsid w:val="008B600E"/>
    <w:rsid w:val="0091345F"/>
    <w:rsid w:val="00942860"/>
    <w:rsid w:val="009770F1"/>
    <w:rsid w:val="00980370"/>
    <w:rsid w:val="00993832"/>
    <w:rsid w:val="009964F4"/>
    <w:rsid w:val="009A3B12"/>
    <w:rsid w:val="009E139B"/>
    <w:rsid w:val="009F0605"/>
    <w:rsid w:val="009F43C9"/>
    <w:rsid w:val="00A1625F"/>
    <w:rsid w:val="00A174E9"/>
    <w:rsid w:val="00A20E9D"/>
    <w:rsid w:val="00A272B2"/>
    <w:rsid w:val="00A443CE"/>
    <w:rsid w:val="00A50553"/>
    <w:rsid w:val="00A6461A"/>
    <w:rsid w:val="00A9750A"/>
    <w:rsid w:val="00AC3182"/>
    <w:rsid w:val="00AC3348"/>
    <w:rsid w:val="00AC3821"/>
    <w:rsid w:val="00AE1A95"/>
    <w:rsid w:val="00AE7912"/>
    <w:rsid w:val="00AF27EF"/>
    <w:rsid w:val="00B203DA"/>
    <w:rsid w:val="00B518C9"/>
    <w:rsid w:val="00B52F62"/>
    <w:rsid w:val="00B56F4F"/>
    <w:rsid w:val="00B60D9A"/>
    <w:rsid w:val="00B71CD1"/>
    <w:rsid w:val="00B92D7E"/>
    <w:rsid w:val="00BC7002"/>
    <w:rsid w:val="00BD11E7"/>
    <w:rsid w:val="00BD4876"/>
    <w:rsid w:val="00BE355C"/>
    <w:rsid w:val="00BE54B3"/>
    <w:rsid w:val="00C008B4"/>
    <w:rsid w:val="00C17ABD"/>
    <w:rsid w:val="00C17B1E"/>
    <w:rsid w:val="00C2185C"/>
    <w:rsid w:val="00C26C67"/>
    <w:rsid w:val="00C504F7"/>
    <w:rsid w:val="00C62E96"/>
    <w:rsid w:val="00C737A5"/>
    <w:rsid w:val="00C821A5"/>
    <w:rsid w:val="00C86ABE"/>
    <w:rsid w:val="00D04355"/>
    <w:rsid w:val="00D228C8"/>
    <w:rsid w:val="00D264E4"/>
    <w:rsid w:val="00D43613"/>
    <w:rsid w:val="00D5108B"/>
    <w:rsid w:val="00D7076A"/>
    <w:rsid w:val="00D81F5E"/>
    <w:rsid w:val="00D92269"/>
    <w:rsid w:val="00DE176A"/>
    <w:rsid w:val="00DF2F81"/>
    <w:rsid w:val="00E00A6B"/>
    <w:rsid w:val="00E11CA7"/>
    <w:rsid w:val="00E1573A"/>
    <w:rsid w:val="00E32C54"/>
    <w:rsid w:val="00E34939"/>
    <w:rsid w:val="00E449A3"/>
    <w:rsid w:val="00E661EA"/>
    <w:rsid w:val="00E77899"/>
    <w:rsid w:val="00E7797E"/>
    <w:rsid w:val="00E8520F"/>
    <w:rsid w:val="00EA5508"/>
    <w:rsid w:val="00EE332D"/>
    <w:rsid w:val="00EE3630"/>
    <w:rsid w:val="00F225C2"/>
    <w:rsid w:val="00F267B0"/>
    <w:rsid w:val="00F837B3"/>
    <w:rsid w:val="00F83C17"/>
    <w:rsid w:val="00F96D7F"/>
    <w:rsid w:val="00FC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Fiche List Paragraph,Task Body,Viñetas (Inicio Parrafo),3 Txt tabla,Zerrenda-paragrafoa,Lista multicolor - Énfasis 11,Paragrafo elenco,Nad,Odstavec_muj"/>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6537CB"/>
    <w:pPr>
      <w:spacing w:after="0" w:line="240" w:lineRule="auto"/>
    </w:pPr>
    <w:rPr>
      <w:rFonts w:ascii="Times New Roman" w:eastAsia="Times New Roman" w:hAnsi="Times New Roman" w:cs="Times New Roman"/>
    </w:rPr>
  </w:style>
  <w:style w:type="table" w:customStyle="1" w:styleId="TableGrid1">
    <w:name w:val="Table Grid1"/>
    <w:basedOn w:val="TableNormal"/>
    <w:next w:val="TableGrid"/>
    <w:rsid w:val="009F06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F06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174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916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E35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C38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783D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11C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A3B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D043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40F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240F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2547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263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6179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179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AE79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1E19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E349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0F39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32C54"/>
    <w:pPr>
      <w:spacing w:after="100"/>
      <w:ind w:left="220"/>
    </w:pPr>
  </w:style>
  <w:style w:type="character" w:customStyle="1" w:styleId="UnresolvedMention1">
    <w:name w:val="Unresolved Mention1"/>
    <w:basedOn w:val="DefaultParagraphFont"/>
    <w:uiPriority w:val="99"/>
    <w:semiHidden/>
    <w:unhideWhenUsed/>
    <w:rsid w:val="005275B5"/>
    <w:rPr>
      <w:color w:val="605E5C"/>
      <w:shd w:val="clear" w:color="auto" w:fill="E1DFDD"/>
    </w:rPr>
  </w:style>
  <w:style w:type="character" w:customStyle="1" w:styleId="ListParagraphChar">
    <w:name w:val="List Paragraph Char"/>
    <w:aliases w:val="Fiche List Paragraph Char,Task Body Char,Viñetas (Inicio Parrafo) Char,3 Txt tabla Char,Zerrenda-paragrafoa Char,Lista multicolor - Énfasis 11 Char,Paragrafo elenco Char,Nad Char,Odstavec_muj Char"/>
    <w:link w:val="ListParagraph"/>
    <w:uiPriority w:val="34"/>
    <w:locked/>
    <w:rsid w:val="00A443CE"/>
    <w:rPr>
      <w:rFonts w:ascii="Times New Roman" w:eastAsia="Times New Roman" w:hAnsi="Times New Roman" w:cs="Times New Roman"/>
    </w:rPr>
  </w:style>
  <w:style w:type="paragraph" w:styleId="NormalWeb">
    <w:name w:val="Normal (Web)"/>
    <w:basedOn w:val="Normal"/>
    <w:uiPriority w:val="99"/>
    <w:unhideWhenUsed/>
    <w:rsid w:val="00A443CE"/>
    <w:pPr>
      <w:spacing w:before="100" w:beforeAutospacing="1" w:after="100" w:afterAutospacing="1" w:line="240" w:lineRule="auto"/>
      <w:jc w:val="left"/>
    </w:pPr>
    <w:rPr>
      <w:sz w:val="24"/>
      <w:szCs w:val="24"/>
      <w:lang w:eastAsia="fr-BE"/>
    </w:rPr>
  </w:style>
  <w:style w:type="character" w:styleId="Strong">
    <w:name w:val="Strong"/>
    <w:basedOn w:val="DefaultParagraphFont"/>
    <w:uiPriority w:val="22"/>
    <w:qFormat/>
    <w:rsid w:val="00460F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fi/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https://www.eesc.europa.eu/fi/our-work/opinions-information-reports/opinions/additional-assistance-outermost-regions" TargetMode="External"/><Relationship Id="rId39" Type="http://schemas.openxmlformats.org/officeDocument/2006/relationships/hyperlink" Target="mailto:GiorgiaAndrea.Bordignon@eesc.europa.eu" TargetMode="External"/><Relationship Id="rId21" Type="http://schemas.openxmlformats.org/officeDocument/2006/relationships/hyperlink" Target="https://www.eesc.europa.eu/fi/documents/resolution/eesc-contribution-2026-european-commission-work-programme" TargetMode="External"/><Relationship Id="rId34" Type="http://schemas.openxmlformats.org/officeDocument/2006/relationships/hyperlink" Target="https://www.eesc.europa.eu/fi/our-work/opinions-information-reports/opinions/how-address-loss-purchasing-power-and-risk-rising-inequalities-exclusion-and-marginalization" TargetMode="External"/><Relationship Id="rId42" Type="http://schemas.openxmlformats.org/officeDocument/2006/relationships/hyperlink" Target="https://www.eesc.europa.eu/fi/our-work/opinions-information-reports/opinions/battery-due-diligence-policies" TargetMode="External"/><Relationship Id="rId47" Type="http://schemas.openxmlformats.org/officeDocument/2006/relationships/hyperlink" Target="mailto:Martine.Delanoy@eesc.europa.eu" TargetMode="External"/><Relationship Id="rId50" Type="http://schemas.openxmlformats.org/officeDocument/2006/relationships/hyperlink" Target="mailto:Gunilla.Sandberg@eesc.europa.eu" TargetMode="External"/><Relationship Id="rId55" Type="http://schemas.openxmlformats.org/officeDocument/2006/relationships/hyperlink" Target="mailto:JacopoErnesto.Caja@eesc.europa.eu" TargetMode="External"/><Relationship Id="rId63" Type="http://schemas.openxmlformats.org/officeDocument/2006/relationships/footer" Target="footer6.xml"/><Relationship Id="rId68" Type="http://schemas.openxmlformats.org/officeDocument/2006/relationships/customXml" Target="../customXml/item3.xml"/><Relationship Id="rId7"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mailto:Triin.AasmaaGomes@eesc.europa.eu" TargetMode="External"/><Relationship Id="rId11" Type="http://schemas.openxmlformats.org/officeDocument/2006/relationships/endnotes" Target="endnotes.xml"/><Relationship Id="rId24" Type="http://schemas.openxmlformats.org/officeDocument/2006/relationships/hyperlink" Target="https://www.eesc.europa.eu/fi/our-work/opinions-information-reports/opinions/assessing-tax-reporting-obligations-eu" TargetMode="External"/><Relationship Id="rId32" Type="http://schemas.openxmlformats.org/officeDocument/2006/relationships/hyperlink" Target="https://www.eesc.europa.eu/fi/our-work/opinions-information-reports/opinions/future-eu-strategy-rights-persons-disabilities-post-2025" TargetMode="External"/><Relationship Id="rId37" Type="http://schemas.openxmlformats.org/officeDocument/2006/relationships/hyperlink" Target="mailto:Bartek.Bednarowicz@eesc.europa.eu" TargetMode="External"/><Relationship Id="rId40" Type="http://schemas.openxmlformats.org/officeDocument/2006/relationships/hyperlink" Target="https://www.eesc.europa.eu/fi/our-work/opinions-information-reports/opinions/planning-sustainable-urban-mobility-eu" TargetMode="External"/><Relationship Id="rId45" Type="http://schemas.openxmlformats.org/officeDocument/2006/relationships/hyperlink" Target="mailto:Silvia.Staffa@eesc.europa.eu" TargetMode="External"/><Relationship Id="rId53" Type="http://schemas.openxmlformats.org/officeDocument/2006/relationships/hyperlink" Target="mailto:Adam.Dorywalski@eesc.europa.eu" TargetMode="External"/><Relationship Id="rId58" Type="http://schemas.openxmlformats.org/officeDocument/2006/relationships/header" Target="header4.xml"/><Relationship Id="rId66" Type="http://schemas.openxmlformats.org/officeDocument/2006/relationships/customXml" Target="../customXml/item1.xml"/><Relationship Id="rId61" Type="http://schemas.openxmlformats.org/officeDocument/2006/relationships/footer" Target="footer5.xm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https://www.eesc.europa.eu/fi/our-work/opinions-information-reports/opinions/roadmap-womens-rights" TargetMode="External"/><Relationship Id="rId27" Type="http://schemas.openxmlformats.org/officeDocument/2006/relationships/hyperlink" Target="mailto:GeorgiosMeleas@eesc.europa.eu" TargetMode="External"/><Relationship Id="rId30" Type="http://schemas.openxmlformats.org/officeDocument/2006/relationships/hyperlink" Target="https://www.eesc.europa.eu/fi/our-work/opinions-information-reports/opinions/new-action-plan-implementation-european-pillar-social-rights" TargetMode="External"/><Relationship Id="rId35" Type="http://schemas.openxmlformats.org/officeDocument/2006/relationships/hyperlink" Target="mailto:Valeria.Atzori@eesc.europa.eu" TargetMode="External"/><Relationship Id="rId43" Type="http://schemas.openxmlformats.org/officeDocument/2006/relationships/hyperlink" Target="mailto:Alice.Tetu@eesc.europa.eu" TargetMode="External"/><Relationship Id="rId48" Type="http://schemas.openxmlformats.org/officeDocument/2006/relationships/hyperlink" Target="mailto:Marco.Ristori@eesc.europa.eu" TargetMode="External"/><Relationship Id="rId56" Type="http://schemas.openxmlformats.org/officeDocument/2006/relationships/hyperlink" Target="https://www.eesc.europa.eu/fi/our-work/opinions-information-reports/opinions/european-action-plan-cybersecurity-hospitals-and-healthcare-providers" TargetMode="External"/><Relationship Id="rId64" Type="http://schemas.openxmlformats.org/officeDocument/2006/relationships/fontTable" Target="fontTable.xml"/><Relationship Id="rId69" Type="http://schemas.openxmlformats.org/officeDocument/2006/relationships/customXml" Target="../customXml/item4.xml"/><Relationship Id="rId8" Type="http://schemas.openxmlformats.org/officeDocument/2006/relationships/settings" Target="settings.xml"/><Relationship Id="rId51" Type="http://schemas.openxmlformats.org/officeDocument/2006/relationships/hyperlink" Target="https://www.eesc.europa.eu/fi/our-work/opinions-information-reports/opinions/reindustrialisation-europe-opportunity-businesses-employees-and-citizens-context-cost-living-crisis" TargetMode="Externa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Juri.Soosaar@eesc.europa.eu" TargetMode="External"/><Relationship Id="rId33" Type="http://schemas.openxmlformats.org/officeDocument/2006/relationships/hyperlink" Target="mailto:Valeria.Atzori@eesc.europa.eu" TargetMode="External"/><Relationship Id="rId38" Type="http://schemas.openxmlformats.org/officeDocument/2006/relationships/hyperlink" Target="http://www.eesc.europa.eu/fi/our-work/opinions-information-reports/opinions/towards-balanced-european-energy-system" TargetMode="External"/><Relationship Id="rId46" Type="http://schemas.openxmlformats.org/officeDocument/2006/relationships/hyperlink" Target="https://www.eesc.europa.eu/fi/our-work/opinions-information-reports/opinions/regenerative-agriculture-target-towards-enhancing-sustainable-food-production-supporting-climate-and-biodiversity" TargetMode="External"/><Relationship Id="rId59" Type="http://schemas.openxmlformats.org/officeDocument/2006/relationships/header" Target="header5.xml"/><Relationship Id="rId67" Type="http://schemas.openxmlformats.org/officeDocument/2006/relationships/customXml" Target="../customXml/item2.xml"/><Relationship Id="rId20" Type="http://schemas.openxmlformats.org/officeDocument/2006/relationships/footer" Target="footer3.xml"/><Relationship Id="rId41" Type="http://schemas.openxmlformats.org/officeDocument/2006/relationships/hyperlink" Target="mailto:Maja.Radman@eesc.europa.eu" TargetMode="External"/><Relationship Id="rId54" Type="http://schemas.openxmlformats.org/officeDocument/2006/relationships/hyperlink" Target="https://www.eesc.europa.eu/fi/our-work/opinions-information-reports/opinions/critical-medicines-act/related-links-ccmi-240" TargetMode="External"/><Relationship Id="rId62" Type="http://schemas.openxmlformats.org/officeDocument/2006/relationships/header" Target="header6.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Gabriela.Grasu@eesc.europa.eu" TargetMode="External"/><Relationship Id="rId28" Type="http://schemas.openxmlformats.org/officeDocument/2006/relationships/hyperlink" Target="https://www.eesc.europa.eu/fi/our-work/opinions-information-reports/opinions/enhancing-legal-and-organised-labour-migration-eu" TargetMode="External"/><Relationship Id="rId36" Type="http://schemas.openxmlformats.org/officeDocument/2006/relationships/hyperlink" Target="https://www.eesc.europa.eu/fi/our-work/opinions-information-reports/opinions/support-workers-affected-imminent-job-displacement-enterprises-undergoing-restructuring" TargetMode="External"/><Relationship Id="rId49" Type="http://schemas.openxmlformats.org/officeDocument/2006/relationships/hyperlink" Target="https://www.eesc.europa.eu/fi/our-work/opinions-information-reports/information-reports/situation-civil-society-organisations-asean-countries" TargetMode="External"/><Relationship Id="rId57" Type="http://schemas.openxmlformats.org/officeDocument/2006/relationships/hyperlink" Target="mailto:Ioannis.Diamantopoulos@eesc.europa.eu" TargetMode="External"/><Relationship Id="rId10" Type="http://schemas.openxmlformats.org/officeDocument/2006/relationships/footnotes" Target="footnotes.xml"/><Relationship Id="rId31" Type="http://schemas.openxmlformats.org/officeDocument/2006/relationships/hyperlink" Target="mailto:Bartek.Bednarowicz@eesc.europa.eu" TargetMode="External"/><Relationship Id="rId44" Type="http://schemas.openxmlformats.org/officeDocument/2006/relationships/hyperlink" Target="https://www.eesc.europa.eu/fi/our-work/opinions-information-reports/opinions/first-omnibus-package-sustainability" TargetMode="External"/><Relationship Id="rId52" Type="http://schemas.openxmlformats.org/officeDocument/2006/relationships/hyperlink" Target="https://www.eesc.europa.eu/fi/initiatives/eu-youth-test-eesc" TargetMode="External"/><Relationship Id="rId60" Type="http://schemas.openxmlformats.org/officeDocument/2006/relationships/footer" Target="footer4.xml"/><Relationship Id="rId65" Type="http://schemas.openxmlformats.org/officeDocument/2006/relationships/theme" Target="theme/theme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FD26272E6D350E4BA98D090F484731A0" ma:contentTypeVersion="4" ma:contentTypeDescription="Defines the documents for Document Manager V2" ma:contentTypeScope="" ma:versionID="06c6d1ca1f0ecd2b8160ea2f3986497c">
  <xsd:schema xmlns:xsd="http://www.w3.org/2001/XMLSchema" xmlns:xs="http://www.w3.org/2001/XMLSchema" xmlns:p="http://schemas.microsoft.com/office/2006/metadata/properties" xmlns:ns2="1a33af13-4045-4f88-9d7b-618e30f79918" xmlns:ns3="http://schemas.microsoft.com/sharepoint/v3/fields" xmlns:ns4="aa382cf6-584e-4bd2-bd73-0bac1a20efcb" targetNamespace="http://schemas.microsoft.com/office/2006/metadata/properties" ma:root="true" ma:fieldsID="bef8e357c2859f419fb9a63c872f6d08" ns2:_="" ns3:_="" ns4:_="">
    <xsd:import namespace="1a33af13-4045-4f88-9d7b-618e30f79918"/>
    <xsd:import namespace="http://schemas.microsoft.com/sharepoint/v3/fields"/>
    <xsd:import namespace="aa382cf6-584e-4bd2-bd73-0bac1a20efc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382cf6-584e-4bd2-bd73-0bac1a20efc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A6WAAD5KZT2Q-293470456-8685</_dlc_DocId>
    <_dlc_DocIdUrl xmlns="1a33af13-4045-4f88-9d7b-618e30f79918">
      <Url>http://dm/eesc/2025/_layouts/15/DocIdRedir.aspx?ID=A6WAAD5KZT2Q-293470456-8685</Url>
      <Description>A6WAAD5KZT2Q-293470456-8685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2025-07-02T12:00:00+00:00</ProductionDate>
    <DocumentNumber xmlns="aa382cf6-584e-4bd2-bd73-0bac1a20efcb">1645</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2025-07-16T12:00:00+00:00</MeetingDate>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6540</FicheNumber>
    <OriginalSender xmlns="1a33af13-4045-4f88-9d7b-618e30f79918">
      <UserInfo>
        <DisplayName>Paakkulainen Anna</DisplayName>
        <AccountId>1534</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a382cf6-584e-4bd2-bd73-0bac1a20efcb">598</MeetingNumber>
    <DossierName_0 xmlns="http://schemas.microsoft.com/sharepoint/v3/fields">
      <Terms xmlns="http://schemas.microsoft.com/office/infopath/2007/PartnerControls"/>
    </DossierName_0>
    <DocumentVersion xmlns="1a33af13-4045-4f88-9d7b-618e30f79918">0</DocumentVersion>
  </documentManagement>
</p:properties>
</file>

<file path=customXml/itemProps1.xml><?xml version="1.0" encoding="utf-8"?>
<ds:datastoreItem xmlns:ds="http://schemas.openxmlformats.org/officeDocument/2006/customXml" ds:itemID="{E877E5E2-9CE5-4DA4-9C1F-47EE59D2D9B8}"/>
</file>

<file path=customXml/itemProps2.xml><?xml version="1.0" encoding="utf-8"?>
<ds:datastoreItem xmlns:ds="http://schemas.openxmlformats.org/officeDocument/2006/customXml" ds:itemID="{55C82126-E469-4C7F-8A00-E4BB530FFAFE}"/>
</file>

<file path=customXml/itemProps3.xml><?xml version="1.0" encoding="utf-8"?>
<ds:datastoreItem xmlns:ds="http://schemas.openxmlformats.org/officeDocument/2006/customXml" ds:itemID="{5E511990-3D2E-49FC-9F61-A9BF88EAE260}"/>
</file>

<file path=customXml/itemProps4.xml><?xml version="1.0" encoding="utf-8"?>
<ds:datastoreItem xmlns:ds="http://schemas.openxmlformats.org/officeDocument/2006/customXml" ds:itemID="{16298C10-2100-4C84-812A-BBE51EC935D8}"/>
</file>

<file path=docProps/app.xml><?xml version="1.0" encoding="utf-8"?>
<Properties xmlns="http://schemas.openxmlformats.org/officeDocument/2006/extended-properties" xmlns:vt="http://schemas.openxmlformats.org/officeDocument/2006/docPropsVTypes">
  <Template>Normal.dotm</Template>
  <TotalTime>0</TotalTime>
  <Pages>27</Pages>
  <Words>7908</Words>
  <Characters>45079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52882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Yhteenveto hyväksytyistä lausunnoista - 597. täysistunto -  kesäkuu 2025</dc:title>
  <dc:subject>TCD</dc:subject>
  <dc:creator>Nieddu Emma</dc:creator>
  <cp:keywords>EESC-2025-01645-00-00-TCD-TRA-EN</cp:keywords>
  <dc:description>Rapporteur:  - Original language: EN - Date of document: 02/07/2025 - Date of meeting: 30/16/2025 14:30 - External documents:  - Administrator: MME TAMASAUSKIENE Julija</dc:description>
  <cp:lastModifiedBy>Paakkulainen Anna</cp:lastModifiedBy>
  <cp:revision>9</cp:revision>
  <dcterms:created xsi:type="dcterms:W3CDTF">2025-07-02T13:36:00Z</dcterms:created>
  <dcterms:modified xsi:type="dcterms:W3CDTF">2025-07-02T13:41:00Z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24/06/2025, 02/05/2022, 02/05/2022, 28/06/2021</vt:lpwstr>
  </property>
  <property fmtid="{D5CDD505-2E9C-101B-9397-08002B2CF9AE}" pid="4" name="Pref_Time">
    <vt:lpwstr>16:06:11, 12:28:29, 12:25:37, 08:41:48</vt:lpwstr>
  </property>
  <property fmtid="{D5CDD505-2E9C-101B-9397-08002B2CF9AE}" pid="5" name="Pref_User">
    <vt:lpwstr>pacup, enied, enied, enied</vt:lpwstr>
  </property>
  <property fmtid="{D5CDD505-2E9C-101B-9397-08002B2CF9AE}" pid="6" name="Pref_FileName">
    <vt:lpwstr>EESC-2025-01645-00-00-TCD-ORI.docx, Summary of opinions.docx, COR-EESC-2022-02370-00-00-ADMIN-ORI.docx, Synthese des avis Template.docx</vt:lpwstr>
  </property>
  <property fmtid="{D5CDD505-2E9C-101B-9397-08002B2CF9AE}" pid="7" name="ContentTypeId">
    <vt:lpwstr>0x010100EA97B91038054C99906057A708A1480A00FD26272E6D350E4BA98D090F484731A0</vt:lpwstr>
  </property>
  <property fmtid="{D5CDD505-2E9C-101B-9397-08002B2CF9AE}" pid="8" name="_dlc_DocIdItemGuid">
    <vt:lpwstr>6ba34073-78cf-47c1-a0bf-3c8fa5f22878</vt:lpwstr>
  </property>
  <property fmtid="{D5CDD505-2E9C-101B-9397-08002B2CF9AE}" pid="9" name="AvailableTranslations">
    <vt:lpwstr>40;#DA|5d49c027-8956-412b-aa16-e85a0f96ad0e;#16;#ES|e7a6b05b-ae16-40c8-add9-68b64b03aeba;#41;#ET|ff6c3f4c-b02c-4c3c-ab07-2c37995a7a0a;#33;#PT|50ccc04a-eadd-42ae-a0cb-acaf45f812ba;#29;#CS|72f9705b-0217-4fd3-bea2-cbc7ed80e26e;#28;#SV|c2ed69e7-a339-43d7-8f22-d93680a92aa0;#42;#EL|6d4f4d51-af9b-4650-94b4-4276bee85c91;#5;#EN|f2175f21-25d7-44a3-96da-d6a61b075e1b;#35;#FI|87606a43-d45f-42d6-b8c9-e1a3457db5b7;#24;#PL|1e03da61-4678-4e07-b136-b5024ca9197b;#46;#SK|46d9fce0-ef79-4f71-b89b-cd6aa82426b8;#36;#RO|feb747a2-64cd-4299-af12-4833ddc30497;#23;#DE|f6b31e5a-26fa-4935-b661-318e46daf27e;#27;#NL|55c6556c-b4f4-441d-9acf-c498d4f838bd;#31;#SL|98a412ae-eb01-49e9-ae3d-585a81724cfc;#12;#FR|d2afafd3-4c81-4f60-8f52-ee33f2f54ff3;#47;#BG|1a1b3951-7821-4e6a-85f5-5673fc08bd2c;#37;#HU|6b229040-c589-4408-b4c1-4285663d20a8;#50;#HR|2f555653-ed1a-4fe6-8362-9082d95989e5;#34;#IT|0774613c-01ed-4e5d-a25d-11d2388de825;#39;#LV|46f7e311-5d9f-4663-b433-18aeccb7ace7;#30;#LT|a7ff5ce7-6123-4f68-865a-a57c31810414</vt:lpwstr>
  </property>
  <property fmtid="{D5CDD505-2E9C-101B-9397-08002B2CF9AE}" pid="10" name="DocumentType_0">
    <vt:lpwstr>TCD|cd9d6eb6-3f4f-424a-b2d1-57c9d450eaaf</vt:lpwstr>
  </property>
  <property fmtid="{D5CDD505-2E9C-101B-9397-08002B2CF9AE}" pid="11" name="MeetingNumber">
    <vt:i4>598</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1645</vt:i4>
  </property>
  <property fmtid="{D5CDD505-2E9C-101B-9397-08002B2CF9AE}" pid="15" name="DocumentVersion">
    <vt:i4>0</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19;#TCD|cd9d6eb6-3f4f-424a-b2d1-57c9d450eaaf</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MeetingDate">
    <vt:filetime>2025-07-16T12:00:00Z</vt:filetime>
  </property>
  <property fmtid="{D5CDD505-2E9C-101B-9397-08002B2CF9AE}" pid="29" name="AvailableTranslations_0">
    <vt:lpwstr>DA|5d49c027-8956-412b-aa16-e85a0f96ad0e;ES|e7a6b05b-ae16-40c8-add9-68b64b03aeba;ET|ff6c3f4c-b02c-4c3c-ab07-2c37995a7a0a;PT|50ccc04a-eadd-42ae-a0cb-acaf45f812ba;CS|72f9705b-0217-4fd3-bea2-cbc7ed80e26e;SV|c2ed69e7-a339-43d7-8f22-d93680a92aa0;EN|f2175f21-25d7-44a3-96da-d6a61b075e1b;PL|1e03da61-4678-4e07-b136-b5024ca9197b;SK|46d9fce0-ef79-4f71-b89b-cd6aa82426b8;RO|feb747a2-64cd-4299-af12-4833ddc30497;DE|f6b31e5a-26fa-4935-b661-318e46daf27e;NL|55c6556c-b4f4-441d-9acf-c498d4f838bd;SL|98a412ae-eb01-49e9-ae3d-585a81724cfc;BG|1a1b3951-7821-4e6a-85f5-5673fc08bd2c;HU|6b229040-c589-4408-b4c1-4285663d20a8;HR|2f555653-ed1a-4fe6-8362-9082d95989e5;IT|0774613c-01ed-4e5d-a25d-11d2388de825;LV|46f7e311-5d9f-4663-b433-18aeccb7ace7;LT|a7ff5ce7-6123-4f68-865a-a57c31810414</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RO|feb747a2-64cd-4299-af12-4833ddc30497;#50;#HR|2f555653-ed1a-4fe6-8362-9082d95989e5;#34;#IT|0774613c-01ed-4e5d-a25d-11d2388de825;#33;#PT|50ccc04a-eadd-42ae-a0cb-acaf45f812ba;#31;#SL|98a412ae-eb01-49e9-ae3d-585a81724cfc;#67;#SPL-CES|32d8cb1f-c9ec-4365-95c7-8385a18618ac;#29;#CS|72f9705b-0217-4fd3-bea2-cbc7ed80e26e;#28;#SV|c2ed69e7-a339-43d7-8f22-d93680a92aa0;#27;#NL|55c6556c-b4f4-441d-9acf-c498d4f838bd;#24;#PL|1e03da61-4678-4e07-b136-b5024ca9197b;#23;#DE|f6b31e5a-26fa-4935-b661-318e46daf27e;#19;#TCD|cd9d6eb6-3f4f-424a-b2d1-57c9d450eaaf;#16;#ES|e7a6b05b-ae16-40c8-add9-68b64b03aeba;#15;#Unrestricted|826e22d7-d029-4ec0-a450-0c28ff673572;#13;#TRA|150d2a88-1431-44e6-a8ca-0bb753ab8672;#47;#BG|1a1b3951-7821-4e6a-85f5-5673fc08bd2c;#46;#SK|46d9fce0-ef79-4f71-b89b-cd6aa82426b8;#8;#Final|ea5e6674-7b27-4bac-b091-73adbb394efe;#30;#LT|a7ff5ce7-6123-4f68-865a-a57c31810414;#5;#EN|f2175f21-25d7-44a3-96da-d6a61b075e1b;#41;#ET|ff6c3f4c-b02c-4c3c-ab07-2c37995a7a0a;#40;#DA|5d49c027-8956-412b-aa16-e85a0f96ad0e;#39;#LV|46f7e311-5d9f-4663-b433-18aeccb7ace7;#1;#EESC|422833ec-8d7e-4e65-8e4e-8bed07ffb729;#37;#HU|6b229040-c589-4408-b4c1-4285663d20a8</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6540</vt:i4>
  </property>
  <property fmtid="{D5CDD505-2E9C-101B-9397-08002B2CF9AE}" pid="37" name="DocumentLanguage">
    <vt:lpwstr>35;#FI|87606a43-d45f-42d6-b8c9-e1a3457db5b7</vt:lpwstr>
  </property>
</Properties>
</file>