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4D7AC0" w:rsidRDefault="00D74CFF" w14:paraId="4982DD4D" w14:textId="4F2EED63">
      <w:pPr>
        <w:jc w:val="center"/>
      </w:pPr>
      <w:r>
        <w:rPr>
          <w:noProof/>
        </w:rPr>
        <w:drawing>
          <wp:inline distT="0" distB="0" distL="0" distR="0" wp14:anchorId="6D69BE13" wp14:editId="536E7297">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Picture 1" title="EESCLogo_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5655C355"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004D7AC0" w:rsidP="004D7AC0" w:rsidRDefault="004D7AC0" w14:paraId="4982DD4E" w14:textId="77777777"/>
    <w:p w:rsidR="004D7AC0" w:rsidP="004D7AC0" w:rsidRDefault="004D7AC0" w14:paraId="4982DD4F" w14:textId="030EEE42">
      <w:pPr>
        <w:jc w:val="right"/>
      </w:pPr>
      <w:r>
        <w:t>Bruselas, 27 de junio de 2025</w:t>
      </w:r>
    </w:p>
    <w:p w:rsidR="004D7AC0" w:rsidP="004D7AC0" w:rsidRDefault="004D7AC0" w14:paraId="4982DD50" w14:textId="77777777"/>
    <w:p w:rsidR="004D7AC0" w:rsidP="004D7AC0" w:rsidRDefault="004D7AC0" w14:paraId="4982DD51" w14:textId="77777777"/>
    <w:p w:rsidR="004D7AC0" w:rsidP="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600C84" w:rsidRDefault="006537CB" w14:paraId="4982DD53" w14:textId="1FE991DD">
            <w:pPr>
              <w:snapToGrid w:val="0"/>
              <w:jc w:val="center"/>
              <w:rPr>
                <w:b/>
                <w:sz w:val="32"/>
                <w:szCs w:val="32"/>
              </w:rPr>
            </w:pPr>
            <w:r>
              <w:rPr>
                <w:b/>
                <w:sz w:val="32"/>
              </w:rPr>
              <w:t>597.º PLENO</w:t>
            </w:r>
          </w:p>
          <w:p w:rsidR="003066BE" w:rsidP="00600C84" w:rsidRDefault="003066BE" w14:paraId="4982DD54" w14:textId="77777777">
            <w:pPr>
              <w:snapToGrid w:val="0"/>
              <w:jc w:val="center"/>
              <w:rPr>
                <w:b/>
                <w:sz w:val="32"/>
                <w:szCs w:val="32"/>
              </w:rPr>
            </w:pPr>
          </w:p>
          <w:p w:rsidR="003066BE" w:rsidP="00600C84" w:rsidRDefault="00D228C8" w14:paraId="4982DD55" w14:textId="7766F7F0">
            <w:pPr>
              <w:snapToGrid w:val="0"/>
              <w:jc w:val="center"/>
              <w:rPr>
                <w:b/>
                <w:sz w:val="32"/>
                <w:szCs w:val="32"/>
              </w:rPr>
            </w:pPr>
            <w:r>
              <w:rPr>
                <w:b/>
                <w:sz w:val="32"/>
              </w:rPr>
              <w:t>18 y 19 de junio de 2025</w:t>
            </w:r>
          </w:p>
          <w:p w:rsidR="003066BE" w:rsidP="00600C84" w:rsidRDefault="003066BE" w14:paraId="4982DD56" w14:textId="77777777">
            <w:pPr>
              <w:snapToGrid w:val="0"/>
              <w:jc w:val="center"/>
              <w:rPr>
                <w:b/>
                <w:sz w:val="32"/>
                <w:szCs w:val="32"/>
              </w:rPr>
            </w:pPr>
          </w:p>
          <w:p w:rsidRPr="0081153B" w:rsidR="004D7AC0" w:rsidP="00600C84" w:rsidRDefault="00754027" w14:paraId="4982DD57" w14:textId="5A35E792">
            <w:pPr>
              <w:snapToGrid w:val="0"/>
              <w:jc w:val="center"/>
              <w:rPr>
                <w:rFonts w:eastAsia="MS Mincho"/>
                <w:b/>
                <w:sz w:val="32"/>
                <w:szCs w:val="32"/>
              </w:rPr>
            </w:pPr>
            <w:r>
              <w:rPr>
                <w:b/>
                <w:sz w:val="32"/>
              </w:rPr>
              <w:t>SÍNTESIS DE LOS DICTÁMENES Y RESOLUCIONES APROBADOS Y DE LOS INFORMES DE EVALUACIÓN</w:t>
            </w:r>
          </w:p>
          <w:p w:rsidR="004D7AC0" w:rsidP="00600C84"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600C84" w:rsidRDefault="004D7AC0" w14:paraId="4982DD5A" w14:textId="0C0FF99D">
            <w:pPr>
              <w:snapToGrid w:val="0"/>
              <w:jc w:val="center"/>
            </w:pPr>
            <w:r>
              <w:t xml:space="preserve">Este documento puede consultarse en todas las lenguas oficiales de la Unión Europea en el sitio internet del CESE en la siguiente dirección: </w:t>
            </w:r>
            <w:r>
              <w:br/>
            </w:r>
            <w:r>
              <w:br/>
            </w:r>
            <w:hyperlink w:history="1" r:id="rId13">
              <w:r>
                <w:rPr>
                  <w:rStyle w:val="Hyperlink"/>
                </w:rPr>
                <w:t>https://www.eesc.europa.eu/es/our-work/opinions-information-reports/plenary-session-summaries</w:t>
              </w:r>
            </w:hyperlink>
          </w:p>
          <w:p w:rsidRPr="0081153B" w:rsidR="004D7AC0" w:rsidP="00600C84" w:rsidRDefault="004D7AC0" w14:paraId="4982DD5B" w14:textId="77777777">
            <w:pPr>
              <w:snapToGrid w:val="0"/>
              <w:jc w:val="center"/>
            </w:pPr>
          </w:p>
          <w:p w:rsidRPr="0081153B" w:rsidR="004D7AC0" w:rsidP="00600C84" w:rsidRDefault="004D7AC0" w14:paraId="4982DD5C" w14:textId="77777777">
            <w:pPr>
              <w:snapToGrid w:val="0"/>
              <w:jc w:val="center"/>
              <w:rPr>
                <w:rFonts w:eastAsia="SimSun"/>
              </w:rPr>
            </w:pPr>
          </w:p>
          <w:p w:rsidRPr="00044561" w:rsidR="004D7AC0" w:rsidP="00600C84" w:rsidRDefault="004D7AC0" w14:paraId="4982DD5D" w14:textId="77777777">
            <w:pPr>
              <w:snapToGrid w:val="0"/>
              <w:jc w:val="center"/>
            </w:pPr>
            <w:r>
              <w:t xml:space="preserve">Los dictámenes mencionados pueden consultarse en línea </w:t>
            </w:r>
            <w:r>
              <w:br/>
              <w:t>utilizando el motor de búsqueda del CESE:</w:t>
            </w:r>
            <w:r>
              <w:br/>
            </w:r>
            <w:r>
              <w:br/>
            </w:r>
            <w:hyperlink w:history="1" r:id="rId14">
              <w:r>
                <w:rPr>
                  <w:rStyle w:val="Hyperlink"/>
                </w:rPr>
                <w:t>https://dmsearch.eesc.europa.eu/search/opinion</w:t>
              </w:r>
            </w:hyperlink>
          </w:p>
          <w:p w:rsidRPr="00044561" w:rsidR="004D7AC0" w:rsidP="00600C84" w:rsidRDefault="004D7AC0" w14:paraId="4982DD5E" w14:textId="77777777">
            <w:pPr>
              <w:snapToGrid w:val="0"/>
              <w:jc w:val="center"/>
            </w:pPr>
          </w:p>
        </w:tc>
      </w:tr>
    </w:tbl>
    <w:p w:rsidR="004D7AC0" w:rsidP="004D7AC0" w:rsidRDefault="004D7AC0" w14:paraId="4982DD60" w14:textId="77777777"/>
    <w:p w:rsidR="004D7AC0" w:rsidP="004D7AC0" w:rsidRDefault="004D7AC0" w14:paraId="4982DD61" w14:textId="77777777"/>
    <w:p w:rsidR="004D7AC0" w:rsidP="004D7AC0" w:rsidRDefault="004D7AC0" w14:paraId="4982DD62" w14:textId="77777777">
      <w:pPr>
        <w:sectPr w:rsidR="004D7AC0" w:rsidSect="00055407">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4D7AC0" w:rsidRDefault="004D7AC0" w14:paraId="4982DD63" w14:textId="77777777">
      <w:pPr>
        <w:rPr>
          <w:b/>
        </w:rPr>
      </w:pPr>
      <w:r>
        <w:rPr>
          <w:b/>
        </w:rPr>
        <w:lastRenderedPageBreak/>
        <w:t>Índice:</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4D7AC0" w:rsidRDefault="004D7AC0" w14:paraId="4982DD64" w14:textId="77777777">
          <w:pPr>
            <w:pStyle w:val="TOCHeading"/>
            <w:rPr>
              <w:rFonts w:ascii="Times New Roman" w:hAnsi="Times New Roman" w:cs="Times New Roman"/>
              <w:color w:val="auto"/>
              <w:sz w:val="22"/>
              <w:szCs w:val="22"/>
            </w:rPr>
          </w:pPr>
        </w:p>
        <w:p w:rsidR="00E32C54" w:rsidRDefault="004D7AC0" w14:paraId="26B02CD2" w14:textId="2102005C">
          <w:pPr>
            <w:pStyle w:val="TOC1"/>
            <w:tabs>
              <w:tab w:val="left" w:pos="480"/>
              <w:tab w:val="right" w:leader="dot" w:pos="9063"/>
            </w:tabs>
            <w:rPr>
              <w:rFonts w:asciiTheme="minorHAnsi" w:hAnsiTheme="minorHAnsi" w:eastAsiaTheme="minorEastAsia" w:cstheme="minorBidi"/>
              <w:noProof/>
              <w:kern w:val="2"/>
              <w:sz w:val="24"/>
              <w:szCs w:val="24"/>
              <w14:ligatures w14:val="standardContextual"/>
            </w:rPr>
          </w:pPr>
          <w:r>
            <w:fldChar w:fldCharType="begin"/>
          </w:r>
          <w:r>
            <w:instrText xml:space="preserve"> TOC \o "1-3" \h \z \u </w:instrText>
          </w:r>
          <w:r>
            <w:fldChar w:fldCharType="separate"/>
          </w:r>
          <w:hyperlink w:history="1" w:anchor="_Toc201570893">
            <w:r w:rsidRPr="00F06D31" w:rsidR="00E32C54">
              <w:rPr>
                <w:rStyle w:val="Hyperlink"/>
                <w:b/>
                <w:noProof/>
              </w:rPr>
              <w:t>1.</w:t>
            </w:r>
            <w:r w:rsidR="00E32C54">
              <w:rPr>
                <w:rFonts w:asciiTheme="minorHAnsi" w:hAnsiTheme="minorHAnsi" w:eastAsiaTheme="minorEastAsia" w:cstheme="minorBidi"/>
                <w:noProof/>
                <w:sz w:val="24"/>
              </w:rPr>
              <w:tab/>
            </w:r>
            <w:r w:rsidRPr="00F06D31" w:rsidR="00E32C54">
              <w:rPr>
                <w:rStyle w:val="Hyperlink"/>
                <w:b/>
                <w:noProof/>
              </w:rPr>
              <w:t>RESOLUTION</w:t>
            </w:r>
            <w:r w:rsidR="00E32C54">
              <w:rPr>
                <w:noProof/>
                <w:webHidden/>
              </w:rPr>
              <w:tab/>
            </w:r>
            <w:r w:rsidR="00E32C54">
              <w:rPr>
                <w:noProof/>
                <w:webHidden/>
              </w:rPr>
              <w:fldChar w:fldCharType="begin"/>
            </w:r>
            <w:r w:rsidR="00E32C54">
              <w:rPr>
                <w:noProof/>
                <w:webHidden/>
              </w:rPr>
              <w:instrText xml:space="preserve"> PAGEREF _Toc201570893 \h </w:instrText>
            </w:r>
            <w:r w:rsidR="00E32C54">
              <w:rPr>
                <w:noProof/>
                <w:webHidden/>
              </w:rPr>
            </w:r>
            <w:r w:rsidR="00E32C54">
              <w:rPr>
                <w:noProof/>
                <w:webHidden/>
              </w:rPr>
              <w:fldChar w:fldCharType="separate"/>
            </w:r>
            <w:r w:rsidR="002B1C51">
              <w:rPr>
                <w:noProof/>
                <w:webHidden/>
              </w:rPr>
              <w:t>3</w:t>
            </w:r>
            <w:r w:rsidR="00E32C54">
              <w:rPr>
                <w:noProof/>
                <w:webHidden/>
              </w:rPr>
              <w:fldChar w:fldCharType="end"/>
            </w:r>
          </w:hyperlink>
        </w:p>
        <w:p w:rsidR="00E32C54" w:rsidRDefault="000E38A8" w14:paraId="4FB43A0C" w14:textId="1A21FE0F">
          <w:pPr>
            <w:pStyle w:val="TOC1"/>
            <w:tabs>
              <w:tab w:val="left" w:pos="480"/>
              <w:tab w:val="right" w:leader="dot" w:pos="9063"/>
            </w:tabs>
            <w:rPr>
              <w:rFonts w:asciiTheme="minorHAnsi" w:hAnsiTheme="minorHAnsi" w:eastAsiaTheme="minorEastAsia" w:cstheme="minorBidi"/>
              <w:noProof/>
              <w:sz w:val="24"/>
            </w:rPr>
          </w:pPr>
          <w:hyperlink w:history="1" w:anchor="_Toc201570894">
            <w:r w:rsidRPr="00F06D31" w:rsidR="00E32C54">
              <w:rPr>
                <w:rStyle w:val="Hyperlink"/>
                <w:b/>
                <w:noProof/>
              </w:rPr>
              <w:t>2.</w:t>
            </w:r>
            <w:r w:rsidR="00E32C54">
              <w:rPr>
                <w:rFonts w:asciiTheme="minorHAnsi" w:hAnsiTheme="minorHAnsi" w:eastAsiaTheme="minorEastAsia" w:cstheme="minorBidi"/>
                <w:noProof/>
                <w:sz w:val="24"/>
              </w:rPr>
              <w:tab/>
            </w:r>
            <w:r w:rsidRPr="00F06D31" w:rsidR="00E32C54">
              <w:rPr>
                <w:rStyle w:val="Hyperlink"/>
                <w:b/>
                <w:noProof/>
              </w:rPr>
              <w:t>ECONOMIC AND MONETARY UNION, ECONOMIC AND SOCIAL COHESION</w:t>
            </w:r>
            <w:r w:rsidR="00E32C54">
              <w:rPr>
                <w:noProof/>
                <w:webHidden/>
              </w:rPr>
              <w:tab/>
            </w:r>
            <w:r w:rsidR="00E32C54">
              <w:rPr>
                <w:noProof/>
                <w:webHidden/>
              </w:rPr>
              <w:fldChar w:fldCharType="begin"/>
            </w:r>
            <w:r w:rsidR="00E32C54">
              <w:rPr>
                <w:noProof/>
                <w:webHidden/>
              </w:rPr>
              <w:instrText xml:space="preserve"> PAGEREF _Toc201570894 \h </w:instrText>
            </w:r>
            <w:r w:rsidR="00E32C54">
              <w:rPr>
                <w:noProof/>
                <w:webHidden/>
              </w:rPr>
            </w:r>
            <w:r w:rsidR="00E32C54">
              <w:rPr>
                <w:noProof/>
                <w:webHidden/>
              </w:rPr>
              <w:fldChar w:fldCharType="separate"/>
            </w:r>
            <w:r w:rsidR="002B1C51">
              <w:rPr>
                <w:noProof/>
                <w:webHidden/>
              </w:rPr>
              <w:t>6</w:t>
            </w:r>
            <w:r w:rsidR="00E32C54">
              <w:rPr>
                <w:noProof/>
                <w:webHidden/>
              </w:rPr>
              <w:fldChar w:fldCharType="end"/>
            </w:r>
          </w:hyperlink>
        </w:p>
        <w:p w:rsidR="00E32C54" w:rsidRDefault="000E38A8" w14:paraId="5023BC52" w14:textId="5E7AF7E3">
          <w:pPr>
            <w:pStyle w:val="TOC1"/>
            <w:tabs>
              <w:tab w:val="left" w:pos="480"/>
              <w:tab w:val="right" w:leader="dot" w:pos="9063"/>
            </w:tabs>
            <w:rPr>
              <w:rFonts w:asciiTheme="minorHAnsi" w:hAnsiTheme="minorHAnsi" w:eastAsiaTheme="minorEastAsia" w:cstheme="minorBidi"/>
              <w:noProof/>
              <w:sz w:val="24"/>
            </w:rPr>
          </w:pPr>
          <w:hyperlink w:history="1" w:anchor="_Toc201570895">
            <w:r w:rsidRPr="00F06D31" w:rsidR="00E32C54">
              <w:rPr>
                <w:rStyle w:val="Hyperlink"/>
                <w:b/>
                <w:noProof/>
              </w:rPr>
              <w:t>3.</w:t>
            </w:r>
            <w:r w:rsidR="00E32C54">
              <w:rPr>
                <w:rFonts w:asciiTheme="minorHAnsi" w:hAnsiTheme="minorHAnsi" w:eastAsiaTheme="minorEastAsia" w:cstheme="minorBidi"/>
                <w:noProof/>
                <w:sz w:val="24"/>
              </w:rPr>
              <w:tab/>
            </w:r>
            <w:r w:rsidRPr="00F06D31" w:rsidR="00E32C54">
              <w:rPr>
                <w:rStyle w:val="Hyperlink"/>
                <w:b/>
                <w:noProof/>
              </w:rPr>
              <w:t>EMPLOYMENT, SOCIAL AFFAIRS AND CITIZENSHIP</w:t>
            </w:r>
            <w:r w:rsidR="00E32C54">
              <w:rPr>
                <w:noProof/>
                <w:webHidden/>
              </w:rPr>
              <w:tab/>
            </w:r>
            <w:r w:rsidR="00E32C54">
              <w:rPr>
                <w:noProof/>
                <w:webHidden/>
              </w:rPr>
              <w:fldChar w:fldCharType="begin"/>
            </w:r>
            <w:r w:rsidR="00E32C54">
              <w:rPr>
                <w:noProof/>
                <w:webHidden/>
              </w:rPr>
              <w:instrText xml:space="preserve"> PAGEREF _Toc201570895 \h </w:instrText>
            </w:r>
            <w:r w:rsidR="00E32C54">
              <w:rPr>
                <w:noProof/>
                <w:webHidden/>
              </w:rPr>
            </w:r>
            <w:r w:rsidR="00E32C54">
              <w:rPr>
                <w:noProof/>
                <w:webHidden/>
              </w:rPr>
              <w:fldChar w:fldCharType="separate"/>
            </w:r>
            <w:r w:rsidR="002B1C51">
              <w:rPr>
                <w:noProof/>
                <w:webHidden/>
              </w:rPr>
              <w:t>9</w:t>
            </w:r>
            <w:r w:rsidR="00E32C54">
              <w:rPr>
                <w:noProof/>
                <w:webHidden/>
              </w:rPr>
              <w:fldChar w:fldCharType="end"/>
            </w:r>
          </w:hyperlink>
        </w:p>
        <w:p w:rsidR="00E32C54" w:rsidRDefault="000E38A8" w14:paraId="4CEDBDB9" w14:textId="163A93B0">
          <w:pPr>
            <w:pStyle w:val="TOC1"/>
            <w:tabs>
              <w:tab w:val="left" w:pos="480"/>
              <w:tab w:val="right" w:leader="dot" w:pos="9063"/>
            </w:tabs>
            <w:rPr>
              <w:rFonts w:asciiTheme="minorHAnsi" w:hAnsiTheme="minorHAnsi" w:eastAsiaTheme="minorEastAsia" w:cstheme="minorBidi"/>
              <w:noProof/>
              <w:sz w:val="24"/>
            </w:rPr>
          </w:pPr>
          <w:hyperlink w:history="1" w:anchor="_Toc201570901">
            <w:r w:rsidRPr="00F06D31" w:rsidR="00E32C54">
              <w:rPr>
                <w:rStyle w:val="Hyperlink"/>
                <w:b/>
                <w:noProof/>
              </w:rPr>
              <w:t>4.</w:t>
            </w:r>
            <w:r w:rsidR="00E32C54">
              <w:rPr>
                <w:rFonts w:asciiTheme="minorHAnsi" w:hAnsiTheme="minorHAnsi" w:eastAsiaTheme="minorEastAsia" w:cstheme="minorBidi"/>
                <w:noProof/>
                <w:sz w:val="24"/>
              </w:rPr>
              <w:tab/>
            </w:r>
            <w:r w:rsidRPr="00F06D31" w:rsidR="00E32C54">
              <w:rPr>
                <w:rStyle w:val="Hyperlink"/>
                <w:b/>
                <w:noProof/>
              </w:rPr>
              <w:t>TRANSPORT, ENERGY, INFRASTRUCTURE AND INFORMATION SOCIETY</w:t>
            </w:r>
            <w:r w:rsidR="00E32C54">
              <w:rPr>
                <w:noProof/>
                <w:webHidden/>
              </w:rPr>
              <w:tab/>
            </w:r>
            <w:r w:rsidR="00E32C54">
              <w:rPr>
                <w:noProof/>
                <w:webHidden/>
              </w:rPr>
              <w:fldChar w:fldCharType="begin"/>
            </w:r>
            <w:r w:rsidR="00E32C54">
              <w:rPr>
                <w:noProof/>
                <w:webHidden/>
              </w:rPr>
              <w:instrText xml:space="preserve"> PAGEREF _Toc201570901 \h </w:instrText>
            </w:r>
            <w:r w:rsidR="00E32C54">
              <w:rPr>
                <w:noProof/>
                <w:webHidden/>
              </w:rPr>
            </w:r>
            <w:r w:rsidR="00E32C54">
              <w:rPr>
                <w:noProof/>
                <w:webHidden/>
              </w:rPr>
              <w:fldChar w:fldCharType="separate"/>
            </w:r>
            <w:r w:rsidR="002B1C51">
              <w:rPr>
                <w:noProof/>
                <w:webHidden/>
              </w:rPr>
              <w:t>15</w:t>
            </w:r>
            <w:r w:rsidR="00E32C54">
              <w:rPr>
                <w:noProof/>
                <w:webHidden/>
              </w:rPr>
              <w:fldChar w:fldCharType="end"/>
            </w:r>
          </w:hyperlink>
        </w:p>
        <w:p w:rsidR="00E32C54" w:rsidRDefault="000E38A8" w14:paraId="57942D5C" w14:textId="3E0263E1">
          <w:pPr>
            <w:pStyle w:val="TOC1"/>
            <w:tabs>
              <w:tab w:val="left" w:pos="480"/>
              <w:tab w:val="right" w:leader="dot" w:pos="9063"/>
            </w:tabs>
            <w:rPr>
              <w:rFonts w:asciiTheme="minorHAnsi" w:hAnsiTheme="minorHAnsi" w:eastAsiaTheme="minorEastAsia" w:cstheme="minorBidi"/>
              <w:noProof/>
              <w:sz w:val="24"/>
            </w:rPr>
          </w:pPr>
          <w:hyperlink w:history="1" w:anchor="_Toc201570902">
            <w:r w:rsidRPr="00F06D31" w:rsidR="00E32C54">
              <w:rPr>
                <w:rStyle w:val="Hyperlink"/>
                <w:b/>
                <w:noProof/>
              </w:rPr>
              <w:t>5.</w:t>
            </w:r>
            <w:r w:rsidR="00E32C54">
              <w:rPr>
                <w:rFonts w:asciiTheme="minorHAnsi" w:hAnsiTheme="minorHAnsi" w:eastAsiaTheme="minorEastAsia" w:cstheme="minorBidi"/>
                <w:noProof/>
                <w:sz w:val="24"/>
              </w:rPr>
              <w:tab/>
            </w:r>
            <w:r w:rsidRPr="00F06D31" w:rsidR="00E32C54">
              <w:rPr>
                <w:rStyle w:val="Hyperlink"/>
                <w:b/>
                <w:noProof/>
              </w:rPr>
              <w:t>SINGLE MARKET, PRODUCTION AND CONSUMPTION</w:t>
            </w:r>
            <w:r w:rsidR="00E32C54">
              <w:rPr>
                <w:noProof/>
                <w:webHidden/>
              </w:rPr>
              <w:tab/>
            </w:r>
            <w:r w:rsidR="00E32C54">
              <w:rPr>
                <w:noProof/>
                <w:webHidden/>
              </w:rPr>
              <w:fldChar w:fldCharType="begin"/>
            </w:r>
            <w:r w:rsidR="00E32C54">
              <w:rPr>
                <w:noProof/>
                <w:webHidden/>
              </w:rPr>
              <w:instrText xml:space="preserve"> PAGEREF _Toc201570902 \h </w:instrText>
            </w:r>
            <w:r w:rsidR="00E32C54">
              <w:rPr>
                <w:noProof/>
                <w:webHidden/>
              </w:rPr>
            </w:r>
            <w:r w:rsidR="00E32C54">
              <w:rPr>
                <w:noProof/>
                <w:webHidden/>
              </w:rPr>
              <w:fldChar w:fldCharType="separate"/>
            </w:r>
            <w:r w:rsidR="002B1C51">
              <w:rPr>
                <w:noProof/>
                <w:webHidden/>
              </w:rPr>
              <w:t>17</w:t>
            </w:r>
            <w:r w:rsidR="00E32C54">
              <w:rPr>
                <w:noProof/>
                <w:webHidden/>
              </w:rPr>
              <w:fldChar w:fldCharType="end"/>
            </w:r>
          </w:hyperlink>
        </w:p>
        <w:p w:rsidR="00E32C54" w:rsidRDefault="000E38A8" w14:paraId="6A9D0360" w14:textId="7606EEDA">
          <w:pPr>
            <w:pStyle w:val="TOC1"/>
            <w:tabs>
              <w:tab w:val="left" w:pos="480"/>
              <w:tab w:val="right" w:leader="dot" w:pos="9063"/>
            </w:tabs>
            <w:rPr>
              <w:rFonts w:asciiTheme="minorHAnsi" w:hAnsiTheme="minorHAnsi" w:eastAsiaTheme="minorEastAsia" w:cstheme="minorBidi"/>
              <w:noProof/>
              <w:sz w:val="24"/>
            </w:rPr>
          </w:pPr>
          <w:hyperlink w:history="1" w:anchor="_Toc201570903">
            <w:r w:rsidRPr="00F06D31" w:rsidR="00E32C54">
              <w:rPr>
                <w:rStyle w:val="Hyperlink"/>
                <w:b/>
                <w:noProof/>
              </w:rPr>
              <w:t>6.</w:t>
            </w:r>
            <w:r w:rsidR="00E32C54">
              <w:rPr>
                <w:rFonts w:asciiTheme="minorHAnsi" w:hAnsiTheme="minorHAnsi" w:eastAsiaTheme="minorEastAsia" w:cstheme="minorBidi"/>
                <w:noProof/>
                <w:sz w:val="24"/>
              </w:rPr>
              <w:tab/>
            </w:r>
            <w:r w:rsidRPr="00F06D31" w:rsidR="00E32C54">
              <w:rPr>
                <w:rStyle w:val="Hyperlink"/>
                <w:b/>
                <w:noProof/>
              </w:rPr>
              <w:t>AGRICULTURE, RURAL DEVELOPMENT AND THE ENVIRONMENT</w:t>
            </w:r>
            <w:r w:rsidR="00E32C54">
              <w:rPr>
                <w:noProof/>
                <w:webHidden/>
              </w:rPr>
              <w:tab/>
            </w:r>
            <w:r w:rsidR="00E32C54">
              <w:rPr>
                <w:noProof/>
                <w:webHidden/>
              </w:rPr>
              <w:fldChar w:fldCharType="begin"/>
            </w:r>
            <w:r w:rsidR="00E32C54">
              <w:rPr>
                <w:noProof/>
                <w:webHidden/>
              </w:rPr>
              <w:instrText xml:space="preserve"> PAGEREF _Toc201570903 \h </w:instrText>
            </w:r>
            <w:r w:rsidR="00E32C54">
              <w:rPr>
                <w:noProof/>
                <w:webHidden/>
              </w:rPr>
            </w:r>
            <w:r w:rsidR="00E32C54">
              <w:rPr>
                <w:noProof/>
                <w:webHidden/>
              </w:rPr>
              <w:fldChar w:fldCharType="separate"/>
            </w:r>
            <w:r w:rsidR="002B1C51">
              <w:rPr>
                <w:noProof/>
                <w:webHidden/>
              </w:rPr>
              <w:t>19</w:t>
            </w:r>
            <w:r w:rsidR="00E32C54">
              <w:rPr>
                <w:noProof/>
                <w:webHidden/>
              </w:rPr>
              <w:fldChar w:fldCharType="end"/>
            </w:r>
          </w:hyperlink>
        </w:p>
        <w:p w:rsidR="00E32C54" w:rsidRDefault="000E38A8" w14:paraId="24977BBA" w14:textId="0C55E78E">
          <w:pPr>
            <w:pStyle w:val="TOC1"/>
            <w:tabs>
              <w:tab w:val="left" w:pos="480"/>
              <w:tab w:val="right" w:leader="dot" w:pos="9063"/>
            </w:tabs>
            <w:rPr>
              <w:rFonts w:asciiTheme="minorHAnsi" w:hAnsiTheme="minorHAnsi" w:eastAsiaTheme="minorEastAsia" w:cstheme="minorBidi"/>
              <w:noProof/>
              <w:sz w:val="24"/>
            </w:rPr>
          </w:pPr>
          <w:hyperlink w:history="1" w:anchor="_Toc201570904">
            <w:r w:rsidRPr="00F06D31" w:rsidR="00E32C54">
              <w:rPr>
                <w:rStyle w:val="Hyperlink"/>
                <w:b/>
                <w:noProof/>
              </w:rPr>
              <w:t>7.</w:t>
            </w:r>
            <w:r w:rsidR="00E32C54">
              <w:rPr>
                <w:rFonts w:asciiTheme="minorHAnsi" w:hAnsiTheme="minorHAnsi" w:eastAsiaTheme="minorEastAsia" w:cstheme="minorBidi"/>
                <w:noProof/>
                <w:sz w:val="24"/>
              </w:rPr>
              <w:tab/>
            </w:r>
            <w:r w:rsidRPr="00F06D31" w:rsidR="00E32C54">
              <w:rPr>
                <w:rStyle w:val="Hyperlink"/>
                <w:b/>
                <w:noProof/>
              </w:rPr>
              <w:t>EXTERNAL RELATIONS</w:t>
            </w:r>
            <w:r w:rsidR="00E32C54">
              <w:rPr>
                <w:noProof/>
                <w:webHidden/>
              </w:rPr>
              <w:tab/>
            </w:r>
            <w:r w:rsidR="00E32C54">
              <w:rPr>
                <w:noProof/>
                <w:webHidden/>
              </w:rPr>
              <w:fldChar w:fldCharType="begin"/>
            </w:r>
            <w:r w:rsidR="00E32C54">
              <w:rPr>
                <w:noProof/>
                <w:webHidden/>
              </w:rPr>
              <w:instrText xml:space="preserve"> PAGEREF _Toc201570904 \h </w:instrText>
            </w:r>
            <w:r w:rsidR="00E32C54">
              <w:rPr>
                <w:noProof/>
                <w:webHidden/>
              </w:rPr>
            </w:r>
            <w:r w:rsidR="00E32C54">
              <w:rPr>
                <w:noProof/>
                <w:webHidden/>
              </w:rPr>
              <w:fldChar w:fldCharType="separate"/>
            </w:r>
            <w:r w:rsidR="002B1C51">
              <w:rPr>
                <w:noProof/>
                <w:webHidden/>
              </w:rPr>
              <w:t>21</w:t>
            </w:r>
            <w:r w:rsidR="00E32C54">
              <w:rPr>
                <w:noProof/>
                <w:webHidden/>
              </w:rPr>
              <w:fldChar w:fldCharType="end"/>
            </w:r>
          </w:hyperlink>
        </w:p>
        <w:p w:rsidR="00E32C54" w:rsidRDefault="000E38A8" w14:paraId="62726017" w14:textId="5A891A25">
          <w:pPr>
            <w:pStyle w:val="TOC1"/>
            <w:tabs>
              <w:tab w:val="left" w:pos="480"/>
              <w:tab w:val="right" w:leader="dot" w:pos="9063"/>
            </w:tabs>
            <w:rPr>
              <w:rFonts w:asciiTheme="minorHAnsi" w:hAnsiTheme="minorHAnsi" w:eastAsiaTheme="minorEastAsia" w:cstheme="minorBidi"/>
              <w:noProof/>
              <w:sz w:val="24"/>
            </w:rPr>
          </w:pPr>
          <w:hyperlink w:history="1" w:anchor="_Toc201570905">
            <w:r w:rsidRPr="00F06D31" w:rsidR="00E32C54">
              <w:rPr>
                <w:rStyle w:val="Hyperlink"/>
                <w:b/>
                <w:noProof/>
              </w:rPr>
              <w:t>8.</w:t>
            </w:r>
            <w:r w:rsidR="00E32C54">
              <w:rPr>
                <w:rFonts w:asciiTheme="minorHAnsi" w:hAnsiTheme="minorHAnsi" w:eastAsiaTheme="minorEastAsia" w:cstheme="minorBidi"/>
                <w:noProof/>
                <w:sz w:val="24"/>
              </w:rPr>
              <w:tab/>
            </w:r>
            <w:r w:rsidRPr="00F06D31" w:rsidR="00E32C54">
              <w:rPr>
                <w:rStyle w:val="Hyperlink"/>
                <w:b/>
                <w:noProof/>
              </w:rPr>
              <w:t>CONSULTATIVE COMMISSION ON INDUSTRIAL CHANGE</w:t>
            </w:r>
            <w:r w:rsidR="00E32C54">
              <w:rPr>
                <w:noProof/>
                <w:webHidden/>
              </w:rPr>
              <w:tab/>
            </w:r>
            <w:r w:rsidR="00E32C54">
              <w:rPr>
                <w:noProof/>
                <w:webHidden/>
              </w:rPr>
              <w:fldChar w:fldCharType="begin"/>
            </w:r>
            <w:r w:rsidR="00E32C54">
              <w:rPr>
                <w:noProof/>
                <w:webHidden/>
              </w:rPr>
              <w:instrText xml:space="preserve"> PAGEREF _Toc201570905 \h </w:instrText>
            </w:r>
            <w:r w:rsidR="00E32C54">
              <w:rPr>
                <w:noProof/>
                <w:webHidden/>
              </w:rPr>
            </w:r>
            <w:r w:rsidR="00E32C54">
              <w:rPr>
                <w:noProof/>
                <w:webHidden/>
              </w:rPr>
              <w:fldChar w:fldCharType="separate"/>
            </w:r>
            <w:r w:rsidR="002B1C51">
              <w:rPr>
                <w:noProof/>
                <w:webHidden/>
              </w:rPr>
              <w:t>23</w:t>
            </w:r>
            <w:r w:rsidR="00E32C54">
              <w:rPr>
                <w:noProof/>
                <w:webHidden/>
              </w:rPr>
              <w:fldChar w:fldCharType="end"/>
            </w:r>
          </w:hyperlink>
        </w:p>
        <w:p w:rsidR="004D7AC0" w:rsidP="004D7AC0" w:rsidRDefault="004D7AC0" w14:paraId="4982DD6A" w14:textId="536C427C">
          <w:r>
            <w:rPr>
              <w:b/>
            </w:rPr>
            <w:fldChar w:fldCharType="end"/>
          </w:r>
        </w:p>
      </w:sdtContent>
    </w:sdt>
    <w:p w:rsidR="004D7AC0" w:rsidP="004D7AC0" w:rsidRDefault="004D7AC0" w14:paraId="4982DD6B" w14:textId="77777777"/>
    <w:p w:rsidR="004D7AC0" w:rsidP="004D7AC0" w:rsidRDefault="004D7AC0" w14:paraId="4982DD6C" w14:textId="77777777">
      <w:pPr>
        <w:spacing w:after="160" w:line="259" w:lineRule="auto"/>
        <w:jc w:val="left"/>
      </w:pPr>
      <w:r>
        <w:br w:type="page"/>
      </w:r>
    </w:p>
    <w:p w:rsidR="006537CB" w:rsidP="004D7AC0" w:rsidRDefault="006537CB" w14:paraId="3BC52F64" w14:textId="039D100C">
      <w:pPr>
        <w:pStyle w:val="Heading1"/>
        <w:rPr>
          <w:b/>
        </w:rPr>
      </w:pPr>
      <w:bookmarkStart w:name="_Toc201570893" w:id="0"/>
      <w:r>
        <w:rPr>
          <w:b/>
        </w:rPr>
        <w:lastRenderedPageBreak/>
        <w:t>RESOLUCIÓN</w:t>
      </w:r>
      <w:bookmarkEnd w:id="0"/>
    </w:p>
    <w:p w:rsidR="006537CB" w:rsidP="006537CB" w:rsidRDefault="006537CB" w14:paraId="7567FD8E" w14:textId="77777777"/>
    <w:p w:rsidRPr="009F0605" w:rsidR="009F0605" w:rsidP="009F0605" w:rsidRDefault="000E38A8" w14:paraId="377664B8" w14:textId="5ABC1587">
      <w:pPr>
        <w:widowControl w:val="0"/>
        <w:numPr>
          <w:ilvl w:val="0"/>
          <w:numId w:val="4"/>
        </w:numPr>
        <w:overflowPunct w:val="0"/>
        <w:autoSpaceDE w:val="0"/>
        <w:autoSpaceDN w:val="0"/>
        <w:adjustRightInd w:val="0"/>
        <w:ind w:left="567" w:hanging="567"/>
        <w:textAlignment w:val="baseline"/>
        <w:rPr>
          <w:b/>
          <w:bCs/>
          <w:i/>
          <w:iCs/>
          <w:sz w:val="28"/>
          <w:szCs w:val="28"/>
        </w:rPr>
      </w:pPr>
      <w:hyperlink w:history="1" r:id="rId21">
        <w:r w:rsidR="009F0605">
          <w:rPr>
            <w:b/>
            <w:i/>
            <w:color w:val="0000FF"/>
            <w:sz w:val="28"/>
            <w:u w:val="single"/>
          </w:rPr>
          <w:t>Resolución sobre la contribución del Comité Económico y Social Europeo al programa de trabajo de la Comisión Europea para 2026</w:t>
        </w:r>
      </w:hyperlink>
    </w:p>
    <w:p w:rsidRPr="009F0605" w:rsidR="009F0605" w:rsidP="009F0605" w:rsidRDefault="009F0605" w14:paraId="5402C002" w14:textId="77777777">
      <w:pPr>
        <w:widowControl w:val="0"/>
        <w:overflowPunct w:val="0"/>
        <w:autoSpaceDE w:val="0"/>
        <w:autoSpaceDN w:val="0"/>
        <w:adjustRightInd w:val="0"/>
        <w:ind w:left="266"/>
        <w:textAlignment w:val="baseline"/>
        <w:rPr>
          <w:bCs/>
          <w:lang w:val="en-GB"/>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258"/>
      </w:tblGrid>
      <w:tr w:rsidRPr="00055407" w:rsidR="009F0605" w:rsidTr="001757A2" w14:paraId="0751E532" w14:textId="77777777">
        <w:tc>
          <w:tcPr>
            <w:tcW w:w="1093" w:type="pct"/>
          </w:tcPr>
          <w:p w:rsidRPr="009F0605" w:rsidR="009F0605" w:rsidP="009F0605" w:rsidRDefault="009F0605" w14:paraId="088CEC6A" w14:textId="296377C8">
            <w:pPr>
              <w:tabs>
                <w:tab w:val="center" w:pos="284"/>
              </w:tabs>
              <w:overflowPunct w:val="0"/>
              <w:autoSpaceDE w:val="0"/>
              <w:autoSpaceDN w:val="0"/>
              <w:adjustRightInd w:val="0"/>
              <w:ind w:left="266" w:hanging="266"/>
              <w:textAlignment w:val="baseline"/>
              <w:rPr>
                <w:b/>
              </w:rPr>
            </w:pPr>
            <w:r>
              <w:rPr>
                <w:b/>
              </w:rPr>
              <w:t>Ponentes</w:t>
            </w:r>
          </w:p>
        </w:tc>
        <w:tc>
          <w:tcPr>
            <w:tcW w:w="3907" w:type="pct"/>
          </w:tcPr>
          <w:p w:rsidRPr="009F0605" w:rsidR="009F0605" w:rsidP="009F0605" w:rsidRDefault="009F0605" w14:paraId="21565043" w14:textId="77777777">
            <w:pPr>
              <w:tabs>
                <w:tab w:val="center" w:pos="284"/>
              </w:tabs>
              <w:overflowPunct w:val="0"/>
              <w:autoSpaceDE w:val="0"/>
              <w:autoSpaceDN w:val="0"/>
              <w:adjustRightInd w:val="0"/>
              <w:ind w:left="266" w:hanging="266"/>
              <w:textAlignment w:val="baseline"/>
            </w:pPr>
            <w:r>
              <w:t>María del Carmen BARRERA CHAMORRO (Grupo de Trabajadores – ES)</w:t>
            </w:r>
          </w:p>
        </w:tc>
      </w:tr>
      <w:tr w:rsidRPr="009F0605" w:rsidR="009F0605" w:rsidTr="001757A2" w14:paraId="57D64805" w14:textId="77777777">
        <w:tc>
          <w:tcPr>
            <w:tcW w:w="1093" w:type="pct"/>
          </w:tcPr>
          <w:p w:rsidRPr="009F0605" w:rsidR="009F0605" w:rsidP="009F0605" w:rsidRDefault="009F0605" w14:paraId="6BD2743F" w14:textId="77777777">
            <w:pPr>
              <w:tabs>
                <w:tab w:val="center" w:pos="284"/>
              </w:tabs>
              <w:overflowPunct w:val="0"/>
              <w:autoSpaceDE w:val="0"/>
              <w:autoSpaceDN w:val="0"/>
              <w:adjustRightInd w:val="0"/>
              <w:ind w:left="266" w:hanging="266"/>
              <w:textAlignment w:val="baseline"/>
              <w:rPr>
                <w:b/>
              </w:rPr>
            </w:pPr>
          </w:p>
        </w:tc>
        <w:tc>
          <w:tcPr>
            <w:tcW w:w="3907" w:type="pct"/>
          </w:tcPr>
          <w:p w:rsidRPr="009F0605" w:rsidR="009F0605" w:rsidP="009F0605" w:rsidRDefault="009F0605" w14:paraId="03C280DD" w14:textId="77777777">
            <w:pPr>
              <w:tabs>
                <w:tab w:val="center" w:pos="284"/>
              </w:tabs>
              <w:overflowPunct w:val="0"/>
              <w:autoSpaceDE w:val="0"/>
              <w:autoSpaceDN w:val="0"/>
              <w:adjustRightInd w:val="0"/>
              <w:ind w:left="266" w:hanging="266"/>
              <w:textAlignment w:val="baseline"/>
            </w:pPr>
            <w:r>
              <w:t>Christa SCHWENG (Grupo de Empresarios – AT)</w:t>
            </w:r>
          </w:p>
        </w:tc>
      </w:tr>
      <w:tr w:rsidRPr="009F0605" w:rsidR="009F0605" w:rsidTr="001757A2" w14:paraId="5835720C" w14:textId="77777777">
        <w:tc>
          <w:tcPr>
            <w:tcW w:w="1093" w:type="pct"/>
          </w:tcPr>
          <w:p w:rsidRPr="009F0605" w:rsidR="009F0605" w:rsidP="009F0605" w:rsidRDefault="009F0605" w14:paraId="5295C853" w14:textId="77777777">
            <w:pPr>
              <w:tabs>
                <w:tab w:val="center" w:pos="284"/>
              </w:tabs>
              <w:overflowPunct w:val="0"/>
              <w:autoSpaceDE w:val="0"/>
              <w:autoSpaceDN w:val="0"/>
              <w:adjustRightInd w:val="0"/>
              <w:ind w:left="266" w:hanging="266"/>
              <w:textAlignment w:val="baseline"/>
              <w:rPr>
                <w:b/>
              </w:rPr>
            </w:pPr>
          </w:p>
        </w:tc>
        <w:tc>
          <w:tcPr>
            <w:tcW w:w="3907" w:type="pct"/>
          </w:tcPr>
          <w:p w:rsidRPr="009F0605" w:rsidR="009F0605" w:rsidP="009F0605" w:rsidRDefault="009F0605" w14:paraId="5732F031" w14:textId="77777777">
            <w:pPr>
              <w:tabs>
                <w:tab w:val="center" w:pos="284"/>
              </w:tabs>
              <w:overflowPunct w:val="0"/>
              <w:autoSpaceDE w:val="0"/>
              <w:autoSpaceDN w:val="0"/>
              <w:adjustRightInd w:val="0"/>
              <w:ind w:left="266" w:hanging="266"/>
              <w:textAlignment w:val="baseline"/>
            </w:pPr>
            <w:r>
              <w:t>Krzysztof Stanisław BALON (Grupo de Organizaciones de la Sociedad Civil – PL)</w:t>
            </w:r>
          </w:p>
        </w:tc>
      </w:tr>
      <w:tr w:rsidRPr="009F0605" w:rsidR="009F0605" w:rsidTr="001757A2" w14:paraId="3FF4E036" w14:textId="77777777">
        <w:tc>
          <w:tcPr>
            <w:tcW w:w="1093" w:type="pct"/>
          </w:tcPr>
          <w:p w:rsidR="00D228C8" w:rsidP="009F0605" w:rsidRDefault="00D228C8" w14:paraId="18F5301F" w14:textId="77777777">
            <w:pPr>
              <w:tabs>
                <w:tab w:val="center" w:pos="284"/>
              </w:tabs>
              <w:overflowPunct w:val="0"/>
              <w:autoSpaceDE w:val="0"/>
              <w:autoSpaceDN w:val="0"/>
              <w:adjustRightInd w:val="0"/>
              <w:ind w:left="266" w:hanging="266"/>
              <w:textAlignment w:val="baseline"/>
              <w:rPr>
                <w:b/>
              </w:rPr>
            </w:pPr>
          </w:p>
          <w:p w:rsidRPr="009F0605" w:rsidR="009F0605" w:rsidP="009F0605" w:rsidRDefault="009F0605" w14:paraId="156525EE" w14:textId="43256176">
            <w:pPr>
              <w:tabs>
                <w:tab w:val="center" w:pos="284"/>
              </w:tabs>
              <w:overflowPunct w:val="0"/>
              <w:autoSpaceDE w:val="0"/>
              <w:autoSpaceDN w:val="0"/>
              <w:adjustRightInd w:val="0"/>
              <w:ind w:left="266" w:hanging="266"/>
              <w:textAlignment w:val="baseline"/>
              <w:rPr>
                <w:b/>
              </w:rPr>
            </w:pPr>
            <w:r>
              <w:rPr>
                <w:b/>
              </w:rPr>
              <w:t>Referencia</w:t>
            </w:r>
          </w:p>
        </w:tc>
        <w:tc>
          <w:tcPr>
            <w:tcW w:w="3907" w:type="pct"/>
          </w:tcPr>
          <w:p w:rsidR="00D228C8" w:rsidP="009F0605" w:rsidRDefault="00D228C8" w14:paraId="3E8C9C0A" w14:textId="77777777">
            <w:pPr>
              <w:tabs>
                <w:tab w:val="center" w:pos="284"/>
              </w:tabs>
              <w:overflowPunct w:val="0"/>
              <w:autoSpaceDE w:val="0"/>
              <w:autoSpaceDN w:val="0"/>
              <w:adjustRightInd w:val="0"/>
              <w:ind w:left="266" w:hanging="266"/>
              <w:textAlignment w:val="baseline"/>
            </w:pPr>
          </w:p>
          <w:p w:rsidRPr="009F0605" w:rsidR="009F0605" w:rsidP="009F0605" w:rsidRDefault="009F0605" w14:paraId="646CE0B1" w14:textId="5F89A505">
            <w:pPr>
              <w:tabs>
                <w:tab w:val="center" w:pos="284"/>
              </w:tabs>
              <w:overflowPunct w:val="0"/>
              <w:autoSpaceDE w:val="0"/>
              <w:autoSpaceDN w:val="0"/>
              <w:adjustRightInd w:val="0"/>
              <w:ind w:left="266" w:hanging="266"/>
              <w:textAlignment w:val="baseline"/>
            </w:pPr>
            <w:r>
              <w:t>EESC-2025-01179-00-00-RES</w:t>
            </w:r>
          </w:p>
        </w:tc>
      </w:tr>
    </w:tbl>
    <w:p w:rsidRPr="009F0605" w:rsidR="009F0605" w:rsidP="009F0605" w:rsidRDefault="009F0605" w14:paraId="304A3F66" w14:textId="77777777">
      <w:pPr>
        <w:keepNext/>
        <w:keepLines/>
        <w:tabs>
          <w:tab w:val="center" w:pos="284"/>
        </w:tabs>
        <w:overflowPunct w:val="0"/>
        <w:autoSpaceDE w:val="0"/>
        <w:autoSpaceDN w:val="0"/>
        <w:adjustRightInd w:val="0"/>
        <w:ind w:left="266" w:hanging="266"/>
        <w:textAlignment w:val="baseline"/>
        <w:rPr>
          <w:b/>
          <w:lang w:val="en-GB"/>
        </w:rPr>
      </w:pPr>
    </w:p>
    <w:p w:rsidRPr="009F0605" w:rsidR="009F0605" w:rsidP="009F0605" w:rsidRDefault="009F0605" w14:paraId="2B6F0658"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9F0605" w:rsidR="009F0605" w:rsidP="009F0605" w:rsidRDefault="009F0605" w14:paraId="5D533316" w14:textId="77777777">
      <w:pPr>
        <w:keepNext/>
        <w:keepLines/>
        <w:tabs>
          <w:tab w:val="center" w:pos="284"/>
        </w:tabs>
        <w:overflowPunct w:val="0"/>
        <w:autoSpaceDE w:val="0"/>
        <w:autoSpaceDN w:val="0"/>
        <w:adjustRightInd w:val="0"/>
        <w:ind w:left="266" w:hanging="266"/>
        <w:textAlignment w:val="baseline"/>
        <w:rPr>
          <w:b/>
          <w:lang w:val="en-GB"/>
        </w:rPr>
      </w:pPr>
    </w:p>
    <w:p w:rsidR="009F0605" w:rsidP="009F0605" w:rsidRDefault="009F0605" w14:paraId="5BDBBA04" w14:textId="4B0DDB96">
      <w:pPr>
        <w:overflowPunct w:val="0"/>
        <w:autoSpaceDE w:val="0"/>
        <w:autoSpaceDN w:val="0"/>
        <w:adjustRightInd w:val="0"/>
        <w:textAlignment w:val="baseline"/>
      </w:pPr>
      <w:r>
        <w:t>El CESE formula las siguientes recomendaciones y propuestas:</w:t>
      </w:r>
    </w:p>
    <w:p w:rsidR="002B1C51" w:rsidP="009F0605" w:rsidRDefault="002B1C51" w14:paraId="6DADF323" w14:textId="77777777">
      <w:pPr>
        <w:overflowPunct w:val="0"/>
        <w:autoSpaceDE w:val="0"/>
        <w:autoSpaceDN w:val="0"/>
        <w:adjustRightInd w:val="0"/>
        <w:textAlignment w:val="baseline"/>
        <w:rPr>
          <w:bCs/>
          <w:iCs/>
        </w:rPr>
      </w:pPr>
    </w:p>
    <w:p w:rsidRPr="009F0605" w:rsidR="009F0605" w:rsidP="00B60D9A" w:rsidRDefault="009F0605" w14:paraId="103C4DDF" w14:textId="77777777">
      <w:pPr>
        <w:numPr>
          <w:ilvl w:val="0"/>
          <w:numId w:val="24"/>
        </w:numPr>
        <w:overflowPunct w:val="0"/>
        <w:autoSpaceDE w:val="0"/>
        <w:autoSpaceDN w:val="0"/>
        <w:adjustRightInd w:val="0"/>
        <w:ind w:left="284" w:hanging="284"/>
        <w:textAlignment w:val="baseline"/>
        <w:rPr>
          <w:bCs/>
          <w:iCs/>
        </w:rPr>
      </w:pPr>
      <w:r>
        <w:t>Con esta Resolución, el CESE, la voz institucional de la sociedad civil organizada europea, contribuye a configurar el programa de trabajo de la Comisión Europea para 2026. La UE debe situar la democracia, los derechos humanos, la sostenibilidad, la igualdad y la justicia social en el núcleo de sus trabajos. Los interlocutores sociales, la sociedad civil y el sector del voluntariado constituyen infraestructuras críticas para la resiliencia de la sociedad, por lo que deben gozar de reconocimiento y protección, así como participar de manera significativa en las labores de prospectiva, preparación y recuperación en todas las situaciones de crisis.</w:t>
      </w:r>
    </w:p>
    <w:p w:rsidRPr="009F0605" w:rsidR="009F0605" w:rsidP="00B60D9A" w:rsidRDefault="009F0605" w14:paraId="0CEA2C8A" w14:textId="77777777">
      <w:pPr>
        <w:numPr>
          <w:ilvl w:val="0"/>
          <w:numId w:val="24"/>
        </w:numPr>
        <w:overflowPunct w:val="0"/>
        <w:autoSpaceDE w:val="0"/>
        <w:autoSpaceDN w:val="0"/>
        <w:adjustRightInd w:val="0"/>
        <w:ind w:left="284" w:hanging="284"/>
        <w:textAlignment w:val="baseline"/>
        <w:rPr>
          <w:bCs/>
          <w:iCs/>
        </w:rPr>
      </w:pPr>
      <w:r>
        <w:t>Para mantener su liderazgo internacional en un mundo en rápida transformación, la UE debe adoptar un nuevo enfoque de competitividad que incorpore la política industrial, la ambición climática y la estrategia geopolítica. Ello exige hacer hincapié en las inversiones, fomentar la innovación y promover la cohesión social, así como procurar al mismo tiempo un crecimiento económico sostenible, social, inclusivo y resiliente. No es posible desligar la competitividad y el crecimiento económico de la inclusión social.</w:t>
      </w:r>
    </w:p>
    <w:p w:rsidRPr="009F0605" w:rsidR="009F0605" w:rsidP="00B60D9A" w:rsidRDefault="009F0605" w14:paraId="45A3F41A" w14:textId="77777777">
      <w:pPr>
        <w:numPr>
          <w:ilvl w:val="0"/>
          <w:numId w:val="24"/>
        </w:numPr>
        <w:overflowPunct w:val="0"/>
        <w:autoSpaceDE w:val="0"/>
        <w:autoSpaceDN w:val="0"/>
        <w:adjustRightInd w:val="0"/>
        <w:ind w:left="284" w:hanging="284"/>
        <w:textAlignment w:val="baseline"/>
        <w:rPr>
          <w:bCs/>
          <w:iCs/>
        </w:rPr>
      </w:pPr>
      <w:r>
        <w:t>Una política industrial resiliente debe dar prioridad a la innovación, la doble transición ecológica y digital y la Unión de las Competencias, a la par que promueve el aprendizaje permanente y el empleo de calidad. Hay que apoyar la economía social y solidaria, que constituye el motor de la equidad y la cohesión. La preparación en materia de defensa ha adquirido una dimensión trascendental en el nuevo contexto de seguridad, por lo que debe convertirse en una prioridad común y seguir hundiendo sus raíces en la defensa de los derechos, la transparencia y el Estado de Derecho.</w:t>
      </w:r>
    </w:p>
    <w:p w:rsidRPr="009F0605" w:rsidR="009F0605" w:rsidP="00B60D9A" w:rsidRDefault="009F0605" w14:paraId="313D7B01" w14:textId="77777777">
      <w:pPr>
        <w:numPr>
          <w:ilvl w:val="0"/>
          <w:numId w:val="24"/>
        </w:numPr>
        <w:overflowPunct w:val="0"/>
        <w:autoSpaceDE w:val="0"/>
        <w:autoSpaceDN w:val="0"/>
        <w:adjustRightInd w:val="0"/>
        <w:ind w:left="284" w:hanging="284"/>
        <w:textAlignment w:val="baseline"/>
        <w:rPr>
          <w:bCs/>
          <w:iCs/>
        </w:rPr>
      </w:pPr>
      <w:r>
        <w:t>La inversión en investigación, desarrollo, competencias y sectores estratégicos debe ocupar un lugar central en la política industrial para garantizar la resiliencia de la industria, el crecimiento económico a largo plazo y empleos de calidad. Si centra sus esfuerzos en tecnologías como la inteligencia artificial (IA) centrada en el ser humano y las energías renovables, la UE podrá mantener una ventaja competitiva en industrias de alto valor.</w:t>
      </w:r>
    </w:p>
    <w:p w:rsidRPr="009F0605" w:rsidR="009F0605" w:rsidP="00B60D9A" w:rsidRDefault="009F0605" w14:paraId="2BF6D130" w14:textId="77777777">
      <w:pPr>
        <w:numPr>
          <w:ilvl w:val="0"/>
          <w:numId w:val="24"/>
        </w:numPr>
        <w:overflowPunct w:val="0"/>
        <w:autoSpaceDE w:val="0"/>
        <w:autoSpaceDN w:val="0"/>
        <w:adjustRightInd w:val="0"/>
        <w:ind w:left="284" w:hanging="284"/>
        <w:textAlignment w:val="baseline"/>
        <w:rPr>
          <w:bCs/>
          <w:iCs/>
        </w:rPr>
      </w:pPr>
      <w:r>
        <w:t xml:space="preserve">Cabe aplicar una estrategia de lucha contra la pobreza que tenga por objeto erradicar la pobreza extrema y resolver la pobreza en materia de vivienda, energía y movilidad. Tal estrategia debe reconocer explícitamente el vínculo entre la pobreza persistente y la exclusión democrática y velar por que se integre a personas con experiencia vital de la pobreza en la elaboración conjunta de </w:t>
      </w:r>
      <w:r>
        <w:lastRenderedPageBreak/>
        <w:t xml:space="preserve">políticas y en procesos de participación ciudadana, y por que nadie se vea privado del acceso a recursos energéticos esenciales. </w:t>
      </w:r>
    </w:p>
    <w:p w:rsidRPr="009F0605" w:rsidR="009F0605" w:rsidP="00B60D9A" w:rsidRDefault="009F0605" w14:paraId="169FD2E6" w14:textId="77777777">
      <w:pPr>
        <w:numPr>
          <w:ilvl w:val="0"/>
          <w:numId w:val="24"/>
        </w:numPr>
        <w:overflowPunct w:val="0"/>
        <w:autoSpaceDE w:val="0"/>
        <w:autoSpaceDN w:val="0"/>
        <w:adjustRightInd w:val="0"/>
        <w:ind w:left="284" w:hanging="284"/>
        <w:textAlignment w:val="baseline"/>
        <w:rPr>
          <w:bCs/>
          <w:iCs/>
        </w:rPr>
      </w:pPr>
      <w:r>
        <w:t>Se debe desarrollar la Estrategia para la Igualdad de Género posterior a 2025 con el objetivo de erradicar la violencia de género, eliminar la desigualdad por razón de género en el mercado laboral, lograr una participación equitativa en diferentes sectores de la economía, abordar las diferencias salariales y de pensiones entre hombres y mujeres, colmar la brecha de género en las responsabilidades asistenciales, alcanzar un equilibrio entre hombres y mujeres en la toma de decisiones y en la política, y evaluar los avances realizados hasta la fecha.</w:t>
      </w:r>
    </w:p>
    <w:p w:rsidRPr="009F0605" w:rsidR="009F0605" w:rsidP="00B60D9A" w:rsidRDefault="009F0605" w14:paraId="6DF86478" w14:textId="77777777">
      <w:pPr>
        <w:numPr>
          <w:ilvl w:val="0"/>
          <w:numId w:val="24"/>
        </w:numPr>
        <w:overflowPunct w:val="0"/>
        <w:autoSpaceDE w:val="0"/>
        <w:autoSpaceDN w:val="0"/>
        <w:adjustRightInd w:val="0"/>
        <w:ind w:left="284" w:hanging="284"/>
        <w:textAlignment w:val="baseline"/>
        <w:rPr>
          <w:bCs/>
          <w:iCs/>
        </w:rPr>
      </w:pPr>
      <w:r>
        <w:t>Se ha de reforzar la democracia en el lugar de trabajo a través del diálogo social, la negociación colectiva y el pleno respeto de los derechos de información, consulta y representación de los trabajadores. Las instituciones de la UE deben prestar un apoyo importante al diálogo social y a la negociación colectiva en todos los niveles, con vistas a seguir desarrollando las capacidades de los interlocutores sociales y adoptar las medidas ejecutivas pertinentes, también en materia financiera, al objeto de aumentar la cobertura de la negociación colectiva, especialmente en los países y regiones en los que su potencial sigue sin aprovecharse.</w:t>
      </w:r>
    </w:p>
    <w:p w:rsidRPr="009F0605" w:rsidR="009F0605" w:rsidP="00B60D9A" w:rsidRDefault="009F0605" w14:paraId="6197F8BD" w14:textId="77777777">
      <w:pPr>
        <w:numPr>
          <w:ilvl w:val="0"/>
          <w:numId w:val="24"/>
        </w:numPr>
        <w:overflowPunct w:val="0"/>
        <w:autoSpaceDE w:val="0"/>
        <w:autoSpaceDN w:val="0"/>
        <w:adjustRightInd w:val="0"/>
        <w:ind w:left="284" w:hanging="284"/>
        <w:textAlignment w:val="baseline"/>
        <w:rPr>
          <w:bCs/>
          <w:iCs/>
        </w:rPr>
      </w:pPr>
      <w:r>
        <w:t xml:space="preserve">Debe continuar el proceso de ampliación hacia la paz, la prosperidad y la democracia, generando estabilidad a largo plazo en nuestro continente con la participación de los agentes sociales y civiles. En tal proceso se debe implicar de forma destacada a Ucrania, cuya resiliencia democrática en el marco de la agresión sufrida ejemplifica la defensa de los valores europeos; también a Moldavia y a los Balcanes Occidentales. </w:t>
      </w:r>
    </w:p>
    <w:p w:rsidRPr="009F0605" w:rsidR="009F0605" w:rsidP="00B60D9A" w:rsidRDefault="009F0605" w14:paraId="71D85F38" w14:textId="77777777">
      <w:pPr>
        <w:numPr>
          <w:ilvl w:val="0"/>
          <w:numId w:val="24"/>
        </w:numPr>
        <w:overflowPunct w:val="0"/>
        <w:autoSpaceDE w:val="0"/>
        <w:autoSpaceDN w:val="0"/>
        <w:adjustRightInd w:val="0"/>
        <w:ind w:left="284" w:hanging="284"/>
        <w:textAlignment w:val="baseline"/>
        <w:rPr>
          <w:bCs/>
          <w:iCs/>
        </w:rPr>
      </w:pPr>
      <w:r>
        <w:t>Se precisa crear un Fondo Europeo para Inversiones Estratégicas centrado en la financiación de proyectos europeos prioritarios. Además, el marco financiero plurianual (MFP) para el período 2028-2034 debería aumentar significativamente los recursos destinados a las prioridades de inversión, teniendo en cuenta una fuerte condicionalidad social.</w:t>
      </w:r>
    </w:p>
    <w:p w:rsidRPr="009F0605" w:rsidR="009F0605" w:rsidP="009F0605" w:rsidRDefault="009F0605" w14:paraId="14C9D7AA" w14:textId="77777777">
      <w:pPr>
        <w:widowControl w:val="0"/>
        <w:overflowPunct w:val="0"/>
        <w:autoSpaceDE w:val="0"/>
        <w:autoSpaceDN w:val="0"/>
        <w:adjustRightInd w:val="0"/>
        <w:ind w:left="644"/>
        <w:textAlignment w:val="baseline"/>
        <w:rPr>
          <w:bCs/>
          <w:iCs/>
          <w:lang w:val="en-GB"/>
        </w:rPr>
      </w:pPr>
    </w:p>
    <w:tbl>
      <w:tblPr>
        <w:tblStyle w:val="TableGrid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9F0605" w:rsidR="009F0605" w:rsidTr="001757A2" w14:paraId="167C203E" w14:textId="77777777">
        <w:tc>
          <w:tcPr>
            <w:tcW w:w="1556" w:type="pct"/>
          </w:tcPr>
          <w:p w:rsidRPr="009F0605" w:rsidR="009F0605" w:rsidP="009F0605" w:rsidRDefault="009F0605" w14:paraId="1E635307" w14:textId="25A5B643">
            <w:pPr>
              <w:overflowPunct w:val="0"/>
              <w:autoSpaceDE w:val="0"/>
              <w:autoSpaceDN w:val="0"/>
              <w:adjustRightInd w:val="0"/>
              <w:textAlignment w:val="baseline"/>
              <w:rPr>
                <w:i/>
              </w:rPr>
            </w:pPr>
            <w:r>
              <w:rPr>
                <w:b/>
                <w:i/>
              </w:rPr>
              <w:t xml:space="preserve">Contacto: </w:t>
            </w:r>
          </w:p>
        </w:tc>
        <w:tc>
          <w:tcPr>
            <w:tcW w:w="3444" w:type="pct"/>
          </w:tcPr>
          <w:p w:rsidRPr="009F0605" w:rsidR="009F0605" w:rsidP="009F0605" w:rsidRDefault="009F0605" w14:paraId="6374E4D8" w14:textId="7B0FEE7C">
            <w:pPr>
              <w:overflowPunct w:val="0"/>
              <w:autoSpaceDE w:val="0"/>
              <w:autoSpaceDN w:val="0"/>
              <w:adjustRightInd w:val="0"/>
              <w:textAlignment w:val="baseline"/>
              <w:rPr>
                <w:i/>
              </w:rPr>
            </w:pPr>
            <w:r>
              <w:rPr>
                <w:i/>
              </w:rPr>
              <w:t xml:space="preserve">David </w:t>
            </w:r>
            <w:proofErr w:type="spellStart"/>
            <w:r>
              <w:rPr>
                <w:i/>
              </w:rPr>
              <w:t>Scuderi</w:t>
            </w:r>
            <w:proofErr w:type="spellEnd"/>
          </w:p>
        </w:tc>
      </w:tr>
      <w:tr w:rsidRPr="009F0605" w:rsidR="009F0605" w:rsidTr="001757A2" w14:paraId="769F8713" w14:textId="77777777">
        <w:tc>
          <w:tcPr>
            <w:tcW w:w="1556" w:type="pct"/>
          </w:tcPr>
          <w:p w:rsidRPr="009F0605" w:rsidR="009F0605" w:rsidP="009F0605" w:rsidRDefault="009F0605" w14:paraId="32EDA1F9" w14:textId="77777777">
            <w:pPr>
              <w:overflowPunct w:val="0"/>
              <w:autoSpaceDE w:val="0"/>
              <w:autoSpaceDN w:val="0"/>
              <w:adjustRightInd w:val="0"/>
              <w:textAlignment w:val="baseline"/>
              <w:rPr>
                <w:i/>
              </w:rPr>
            </w:pPr>
            <w:r>
              <w:rPr>
                <w:i/>
              </w:rPr>
              <w:t>Teléfono:</w:t>
            </w:r>
          </w:p>
        </w:tc>
        <w:tc>
          <w:tcPr>
            <w:tcW w:w="3444" w:type="pct"/>
          </w:tcPr>
          <w:p w:rsidRPr="009F0605" w:rsidR="009F0605" w:rsidP="009F0605" w:rsidRDefault="009F0605" w14:paraId="616B90D1" w14:textId="68461B68">
            <w:pPr>
              <w:overflowPunct w:val="0"/>
              <w:autoSpaceDE w:val="0"/>
              <w:autoSpaceDN w:val="0"/>
              <w:adjustRightInd w:val="0"/>
              <w:textAlignment w:val="baseline"/>
              <w:rPr>
                <w:i/>
              </w:rPr>
            </w:pPr>
            <w:r>
              <w:rPr>
                <w:i/>
              </w:rPr>
              <w:t>+32 2 5468122</w:t>
            </w:r>
          </w:p>
        </w:tc>
      </w:tr>
      <w:tr w:rsidRPr="009F0605" w:rsidR="009F0605" w:rsidTr="001757A2" w14:paraId="648DF4EA" w14:textId="77777777">
        <w:tc>
          <w:tcPr>
            <w:tcW w:w="1556" w:type="pct"/>
          </w:tcPr>
          <w:p w:rsidRPr="009F0605" w:rsidR="009F0605" w:rsidP="009F0605" w:rsidRDefault="009F0605" w14:paraId="610DEC58" w14:textId="77777777">
            <w:pPr>
              <w:overflowPunct w:val="0"/>
              <w:autoSpaceDE w:val="0"/>
              <w:autoSpaceDN w:val="0"/>
              <w:adjustRightInd w:val="0"/>
              <w:textAlignment w:val="baseline"/>
              <w:rPr>
                <w:i/>
              </w:rPr>
            </w:pPr>
            <w:r>
              <w:rPr>
                <w:i/>
              </w:rPr>
              <w:t>Correo electrónico:</w:t>
            </w:r>
          </w:p>
        </w:tc>
        <w:tc>
          <w:tcPr>
            <w:tcW w:w="3444" w:type="pct"/>
          </w:tcPr>
          <w:p w:rsidR="009F0605" w:rsidP="001B7DAA" w:rsidRDefault="000E38A8" w14:paraId="32945AFA" w14:textId="614E00FA">
            <w:pPr>
              <w:overflowPunct w:val="0"/>
              <w:autoSpaceDE w:val="0"/>
              <w:autoSpaceDN w:val="0"/>
              <w:adjustRightInd w:val="0"/>
              <w:textAlignment w:val="baseline"/>
              <w:rPr>
                <w:i/>
              </w:rPr>
            </w:pPr>
            <w:hyperlink w:history="1" r:id="rId22">
              <w:r w:rsidR="005275B5">
                <w:rPr>
                  <w:rStyle w:val="Hyperlink"/>
                  <w:i/>
                </w:rPr>
                <w:t>David.Scuderi@eesc.europa.eu</w:t>
              </w:r>
            </w:hyperlink>
          </w:p>
          <w:p w:rsidRPr="009F0605" w:rsidR="001B7DAA" w:rsidP="001B7DAA" w:rsidRDefault="001B7DAA" w14:paraId="6E30E354" w14:textId="07964599">
            <w:pPr>
              <w:overflowPunct w:val="0"/>
              <w:autoSpaceDE w:val="0"/>
              <w:autoSpaceDN w:val="0"/>
              <w:adjustRightInd w:val="0"/>
              <w:textAlignment w:val="baseline"/>
              <w:rPr>
                <w:i/>
              </w:rPr>
            </w:pPr>
          </w:p>
        </w:tc>
      </w:tr>
      <w:tr w:rsidRPr="009F0605" w:rsidR="009F0605" w:rsidTr="001757A2" w14:paraId="72A78D13" w14:textId="77777777">
        <w:tc>
          <w:tcPr>
            <w:tcW w:w="1556" w:type="pct"/>
          </w:tcPr>
          <w:p w:rsidRPr="009F0605" w:rsidR="009F0605" w:rsidP="009F0605" w:rsidRDefault="009F0605" w14:paraId="34F9A853" w14:textId="08887275">
            <w:pPr>
              <w:overflowPunct w:val="0"/>
              <w:autoSpaceDE w:val="0"/>
              <w:autoSpaceDN w:val="0"/>
              <w:adjustRightInd w:val="0"/>
              <w:textAlignment w:val="baseline"/>
              <w:rPr>
                <w:i/>
              </w:rPr>
            </w:pPr>
            <w:r>
              <w:rPr>
                <w:b/>
                <w:i/>
              </w:rPr>
              <w:t xml:space="preserve">Contacto: </w:t>
            </w:r>
          </w:p>
        </w:tc>
        <w:tc>
          <w:tcPr>
            <w:tcW w:w="3444" w:type="pct"/>
          </w:tcPr>
          <w:p w:rsidRPr="009F0605" w:rsidR="009F0605" w:rsidP="009F0605" w:rsidRDefault="009F0605" w14:paraId="68BB4088" w14:textId="29D2370B">
            <w:pPr>
              <w:overflowPunct w:val="0"/>
              <w:autoSpaceDE w:val="0"/>
              <w:autoSpaceDN w:val="0"/>
              <w:adjustRightInd w:val="0"/>
              <w:textAlignment w:val="baseline"/>
              <w:rPr>
                <w:i/>
              </w:rPr>
            </w:pPr>
            <w:proofErr w:type="spellStart"/>
            <w:r>
              <w:rPr>
                <w:i/>
              </w:rPr>
              <w:t>Stefania</w:t>
            </w:r>
            <w:proofErr w:type="spellEnd"/>
            <w:r>
              <w:rPr>
                <w:i/>
              </w:rPr>
              <w:t xml:space="preserve"> </w:t>
            </w:r>
            <w:proofErr w:type="spellStart"/>
            <w:r>
              <w:rPr>
                <w:i/>
              </w:rPr>
              <w:t>Lopedote</w:t>
            </w:r>
            <w:proofErr w:type="spellEnd"/>
          </w:p>
        </w:tc>
      </w:tr>
      <w:tr w:rsidRPr="009F0605" w:rsidR="009F0605" w:rsidTr="001757A2" w14:paraId="059B6C18" w14:textId="77777777">
        <w:tc>
          <w:tcPr>
            <w:tcW w:w="1556" w:type="pct"/>
          </w:tcPr>
          <w:p w:rsidRPr="009F0605" w:rsidR="009F0605" w:rsidP="009F0605" w:rsidRDefault="009F0605" w14:paraId="20DC12C8" w14:textId="77777777">
            <w:pPr>
              <w:overflowPunct w:val="0"/>
              <w:autoSpaceDE w:val="0"/>
              <w:autoSpaceDN w:val="0"/>
              <w:adjustRightInd w:val="0"/>
              <w:textAlignment w:val="baseline"/>
              <w:rPr>
                <w:i/>
              </w:rPr>
            </w:pPr>
            <w:r>
              <w:rPr>
                <w:i/>
              </w:rPr>
              <w:t>Teléfono:</w:t>
            </w:r>
          </w:p>
        </w:tc>
        <w:tc>
          <w:tcPr>
            <w:tcW w:w="3444" w:type="pct"/>
          </w:tcPr>
          <w:p w:rsidRPr="009F0605" w:rsidR="009F0605" w:rsidP="009F0605" w:rsidRDefault="009F0605" w14:paraId="35C94651" w14:textId="32E0E2DA">
            <w:pPr>
              <w:overflowPunct w:val="0"/>
              <w:autoSpaceDE w:val="0"/>
              <w:autoSpaceDN w:val="0"/>
              <w:adjustRightInd w:val="0"/>
              <w:textAlignment w:val="baseline"/>
              <w:rPr>
                <w:i/>
              </w:rPr>
            </w:pPr>
            <w:r>
              <w:rPr>
                <w:i/>
              </w:rPr>
              <w:t>+32 2 5468829</w:t>
            </w:r>
          </w:p>
        </w:tc>
      </w:tr>
      <w:tr w:rsidRPr="009F0605" w:rsidR="009F0605" w:rsidTr="001757A2" w14:paraId="1B56E629" w14:textId="77777777">
        <w:tc>
          <w:tcPr>
            <w:tcW w:w="1556" w:type="pct"/>
          </w:tcPr>
          <w:p w:rsidRPr="009F0605" w:rsidR="009F0605" w:rsidP="009F0605" w:rsidRDefault="009F0605" w14:paraId="368E7FF4" w14:textId="77777777">
            <w:pPr>
              <w:overflowPunct w:val="0"/>
              <w:autoSpaceDE w:val="0"/>
              <w:autoSpaceDN w:val="0"/>
              <w:adjustRightInd w:val="0"/>
              <w:textAlignment w:val="baseline"/>
              <w:rPr>
                <w:i/>
              </w:rPr>
            </w:pPr>
            <w:r>
              <w:rPr>
                <w:i/>
              </w:rPr>
              <w:t>Correo electrónico:</w:t>
            </w:r>
          </w:p>
        </w:tc>
        <w:tc>
          <w:tcPr>
            <w:tcW w:w="3444" w:type="pct"/>
          </w:tcPr>
          <w:p w:rsidR="005275B5" w:rsidP="009F0605" w:rsidRDefault="000E38A8" w14:paraId="32836B7B" w14:textId="7D224909">
            <w:pPr>
              <w:overflowPunct w:val="0"/>
              <w:autoSpaceDE w:val="0"/>
              <w:autoSpaceDN w:val="0"/>
              <w:adjustRightInd w:val="0"/>
              <w:textAlignment w:val="baseline"/>
              <w:rPr>
                <w:i/>
              </w:rPr>
            </w:pPr>
            <w:hyperlink w:history="1" r:id="rId23">
              <w:r w:rsidR="005275B5">
                <w:rPr>
                  <w:rStyle w:val="Hyperlink"/>
                  <w:i/>
                </w:rPr>
                <w:t>Stefania.Lopedote@eesc.europa.eu</w:t>
              </w:r>
            </w:hyperlink>
          </w:p>
          <w:p w:rsidRPr="009F0605" w:rsidR="009F0605" w:rsidP="009F0605" w:rsidRDefault="009F0605" w14:paraId="13CF8611" w14:textId="62AD6EE0">
            <w:pPr>
              <w:overflowPunct w:val="0"/>
              <w:autoSpaceDE w:val="0"/>
              <w:autoSpaceDN w:val="0"/>
              <w:adjustRightInd w:val="0"/>
              <w:textAlignment w:val="baseline"/>
              <w:rPr>
                <w:i/>
              </w:rPr>
            </w:pPr>
            <w:r>
              <w:rPr>
                <w:i/>
              </w:rPr>
              <w:t xml:space="preserve"> </w:t>
            </w:r>
          </w:p>
        </w:tc>
      </w:tr>
    </w:tbl>
    <w:p w:rsidR="009F0605" w:rsidP="006537CB" w:rsidRDefault="009F0605" w14:paraId="6E940869" w14:textId="2F09DDCA">
      <w:pPr>
        <w:rPr>
          <w:lang w:val="en-GB"/>
        </w:rPr>
      </w:pPr>
    </w:p>
    <w:p w:rsidR="00E32C54" w:rsidRDefault="00E32C54" w14:paraId="68CEF362" w14:textId="77777777">
      <w:pPr>
        <w:spacing w:after="160" w:line="259" w:lineRule="auto"/>
        <w:jc w:val="left"/>
      </w:pPr>
      <w:r>
        <w:br w:type="page"/>
      </w:r>
    </w:p>
    <w:p w:rsidRPr="00E11CA7" w:rsidR="00E32C54" w:rsidP="00E32C54" w:rsidRDefault="000E38A8" w14:paraId="4CE812CD" w14:textId="36972259">
      <w:pPr>
        <w:widowControl w:val="0"/>
        <w:numPr>
          <w:ilvl w:val="0"/>
          <w:numId w:val="6"/>
        </w:numPr>
        <w:overflowPunct w:val="0"/>
        <w:autoSpaceDE w:val="0"/>
        <w:autoSpaceDN w:val="0"/>
        <w:adjustRightInd w:val="0"/>
        <w:ind w:hanging="567"/>
        <w:textAlignment w:val="baseline"/>
        <w:rPr>
          <w:sz w:val="24"/>
          <w:szCs w:val="24"/>
        </w:rPr>
      </w:pPr>
      <w:hyperlink w:history="1" r:id="rId24">
        <w:r w:rsidR="00E32C54">
          <w:rPr>
            <w:b/>
            <w:i/>
            <w:color w:val="0000FF"/>
            <w:sz w:val="28"/>
            <w:u w:val="single"/>
          </w:rPr>
          <w:t>Resolución sobre la hoja de ruta sobre los derechos de la mujer – Apoyo a la Declaración de principios para una sociedad igualitaria en materia de género</w:t>
        </w:r>
      </w:hyperlink>
      <w:r w:rsidR="00E32C54">
        <w:rPr>
          <w:b/>
          <w:i/>
          <w:sz w:val="28"/>
        </w:rPr>
        <w:t xml:space="preserve"> </w:t>
      </w:r>
    </w:p>
    <w:p w:rsidRPr="00E11CA7" w:rsidR="00E32C54" w:rsidP="00E32C54" w:rsidRDefault="00E32C54" w14:paraId="7E2617BD" w14:textId="77777777">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E11CA7" w:rsidR="00E32C54" w:rsidTr="002B1C51" w14:paraId="5FCE0CAA" w14:textId="77777777">
        <w:tc>
          <w:tcPr>
            <w:tcW w:w="1701" w:type="dxa"/>
          </w:tcPr>
          <w:p w:rsidRPr="00E11CA7" w:rsidR="00E32C54" w:rsidP="00A94024" w:rsidRDefault="00E32C54" w14:paraId="1669A2A0" w14:textId="5F0D9329">
            <w:pPr>
              <w:tabs>
                <w:tab w:val="center" w:pos="284"/>
              </w:tabs>
              <w:overflowPunct w:val="0"/>
              <w:autoSpaceDE w:val="0"/>
              <w:autoSpaceDN w:val="0"/>
              <w:adjustRightInd w:val="0"/>
              <w:ind w:left="266" w:hanging="266"/>
              <w:textAlignment w:val="baseline"/>
              <w:rPr>
                <w:b/>
              </w:rPr>
            </w:pPr>
            <w:r>
              <w:rPr>
                <w:b/>
              </w:rPr>
              <w:t>Ponente</w:t>
            </w:r>
          </w:p>
        </w:tc>
        <w:tc>
          <w:tcPr>
            <w:tcW w:w="7479" w:type="dxa"/>
          </w:tcPr>
          <w:p w:rsidRPr="00E11CA7" w:rsidR="00E32C54" w:rsidP="00A94024" w:rsidRDefault="00E32C54" w14:paraId="6D909C6E" w14:textId="26D37C24">
            <w:pPr>
              <w:tabs>
                <w:tab w:val="center" w:pos="284"/>
              </w:tabs>
              <w:overflowPunct w:val="0"/>
              <w:autoSpaceDE w:val="0"/>
              <w:autoSpaceDN w:val="0"/>
              <w:adjustRightInd w:val="0"/>
              <w:ind w:left="266" w:hanging="266"/>
              <w:textAlignment w:val="baseline"/>
            </w:pPr>
            <w:r>
              <w:t>Sif HOLST (Grupo de Organizaciones de la Sociedad Civil – DK)</w:t>
            </w:r>
          </w:p>
        </w:tc>
      </w:tr>
      <w:tr w:rsidRPr="00E11CA7" w:rsidR="00E32C54" w:rsidTr="002B1C51" w14:paraId="74BD49F9" w14:textId="77777777">
        <w:tc>
          <w:tcPr>
            <w:tcW w:w="9180" w:type="dxa"/>
            <w:gridSpan w:val="2"/>
          </w:tcPr>
          <w:p w:rsidRPr="00B60D9A" w:rsidR="00E32C54" w:rsidP="00A94024" w:rsidRDefault="00E32C54" w14:paraId="7EC8B464" w14:textId="77777777">
            <w:pPr>
              <w:tabs>
                <w:tab w:val="center" w:pos="284"/>
              </w:tabs>
              <w:overflowPunct w:val="0"/>
              <w:autoSpaceDE w:val="0"/>
              <w:autoSpaceDN w:val="0"/>
              <w:adjustRightInd w:val="0"/>
              <w:spacing w:line="160" w:lineRule="exact"/>
              <w:ind w:left="266" w:hanging="266"/>
              <w:textAlignment w:val="baseline"/>
            </w:pPr>
          </w:p>
        </w:tc>
      </w:tr>
      <w:tr w:rsidRPr="00E11CA7" w:rsidR="00E32C54" w:rsidTr="002B1C51" w14:paraId="7D37C4DF" w14:textId="77777777">
        <w:tc>
          <w:tcPr>
            <w:tcW w:w="1701" w:type="dxa"/>
            <w:vMerge w:val="restart"/>
          </w:tcPr>
          <w:p w:rsidRPr="00E11CA7" w:rsidR="00E32C54" w:rsidP="00A94024" w:rsidRDefault="00E32C54" w14:paraId="1CCBDA28" w14:textId="1A4E284E">
            <w:pPr>
              <w:tabs>
                <w:tab w:val="center" w:pos="284"/>
              </w:tabs>
              <w:overflowPunct w:val="0"/>
              <w:autoSpaceDE w:val="0"/>
              <w:autoSpaceDN w:val="0"/>
              <w:adjustRightInd w:val="0"/>
              <w:ind w:left="266" w:hanging="266"/>
              <w:textAlignment w:val="baseline"/>
              <w:rPr>
                <w:b/>
              </w:rPr>
            </w:pPr>
            <w:r>
              <w:rPr>
                <w:b/>
              </w:rPr>
              <w:t xml:space="preserve">Referencias </w:t>
            </w:r>
          </w:p>
        </w:tc>
        <w:tc>
          <w:tcPr>
            <w:tcW w:w="7479" w:type="dxa"/>
          </w:tcPr>
          <w:p w:rsidRPr="00E11CA7" w:rsidR="00E32C54" w:rsidP="00A94024" w:rsidRDefault="00E32C54" w14:paraId="537CFE62" w14:textId="77777777">
            <w:pPr>
              <w:tabs>
                <w:tab w:val="center" w:pos="284"/>
              </w:tabs>
              <w:overflowPunct w:val="0"/>
              <w:autoSpaceDE w:val="0"/>
              <w:autoSpaceDN w:val="0"/>
              <w:adjustRightInd w:val="0"/>
              <w:ind w:left="266" w:hanging="266"/>
              <w:textAlignment w:val="baseline"/>
            </w:pPr>
            <w:r>
              <w:t>COM (2025) 97 final</w:t>
            </w:r>
          </w:p>
        </w:tc>
      </w:tr>
      <w:tr w:rsidRPr="00E11CA7" w:rsidR="00E32C54" w:rsidTr="002B1C51" w14:paraId="57724416" w14:textId="77777777">
        <w:tc>
          <w:tcPr>
            <w:tcW w:w="1701" w:type="dxa"/>
            <w:vMerge/>
          </w:tcPr>
          <w:p w:rsidRPr="00E11CA7" w:rsidR="00E32C54" w:rsidP="00A94024" w:rsidRDefault="00E32C54" w14:paraId="5F88A5F5"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E11CA7" w:rsidR="00E32C54" w:rsidP="00A94024" w:rsidRDefault="00E32C54" w14:paraId="18538717" w14:textId="436CE6CB">
            <w:pPr>
              <w:tabs>
                <w:tab w:val="center" w:pos="284"/>
              </w:tabs>
              <w:overflowPunct w:val="0"/>
              <w:autoSpaceDE w:val="0"/>
              <w:autoSpaceDN w:val="0"/>
              <w:adjustRightInd w:val="0"/>
              <w:ind w:left="266" w:hanging="266"/>
              <w:textAlignment w:val="baseline"/>
            </w:pPr>
            <w:r>
              <w:t>EESC-2025-01814-00-00-RES</w:t>
            </w:r>
          </w:p>
        </w:tc>
      </w:tr>
    </w:tbl>
    <w:p w:rsidRPr="00E11CA7" w:rsidR="00E32C54" w:rsidP="00E32C54" w:rsidRDefault="00E32C54" w14:paraId="55AAEBD0" w14:textId="77777777">
      <w:pPr>
        <w:tabs>
          <w:tab w:val="center" w:pos="284"/>
        </w:tabs>
        <w:overflowPunct w:val="0"/>
        <w:autoSpaceDE w:val="0"/>
        <w:autoSpaceDN w:val="0"/>
        <w:adjustRightInd w:val="0"/>
        <w:ind w:left="266" w:hanging="266"/>
        <w:textAlignment w:val="baseline"/>
        <w:rPr>
          <w:lang w:val="en-GB"/>
        </w:rPr>
      </w:pPr>
    </w:p>
    <w:p w:rsidRPr="00E11CA7" w:rsidR="00E32C54" w:rsidP="00E32C54" w:rsidRDefault="00E32C54" w14:paraId="19257304" w14:textId="43DEC4E6">
      <w:pPr>
        <w:keepNext/>
        <w:keepLines/>
        <w:tabs>
          <w:tab w:val="center" w:pos="284"/>
        </w:tabs>
        <w:overflowPunct w:val="0"/>
        <w:autoSpaceDE w:val="0"/>
        <w:autoSpaceDN w:val="0"/>
        <w:adjustRightInd w:val="0"/>
        <w:ind w:left="266" w:hanging="266"/>
        <w:textAlignment w:val="baseline"/>
        <w:rPr>
          <w:b/>
        </w:rPr>
      </w:pPr>
      <w:r>
        <w:rPr>
          <w:b/>
        </w:rPr>
        <w:t>Puntos clave</w:t>
      </w:r>
    </w:p>
    <w:p w:rsidRPr="00E11CA7" w:rsidR="00E32C54" w:rsidP="00E32C54" w:rsidRDefault="00E32C54" w14:paraId="4CBA1BDF" w14:textId="77777777">
      <w:pPr>
        <w:keepNext/>
        <w:keepLines/>
        <w:tabs>
          <w:tab w:val="center" w:pos="284"/>
        </w:tabs>
        <w:overflowPunct w:val="0"/>
        <w:autoSpaceDE w:val="0"/>
        <w:autoSpaceDN w:val="0"/>
        <w:adjustRightInd w:val="0"/>
        <w:ind w:left="266" w:hanging="266"/>
        <w:textAlignment w:val="baseline"/>
        <w:rPr>
          <w:b/>
          <w:lang w:val="en-GB"/>
        </w:rPr>
      </w:pPr>
    </w:p>
    <w:p w:rsidR="00E32C54" w:rsidP="00E32C54" w:rsidRDefault="00E32C54" w14:paraId="1ACC156D" w14:textId="77777777">
      <w:pPr>
        <w:overflowPunct w:val="0"/>
        <w:autoSpaceDE w:val="0"/>
        <w:autoSpaceDN w:val="0"/>
        <w:adjustRightInd w:val="0"/>
        <w:textAlignment w:val="baseline"/>
        <w:rPr>
          <w:bCs/>
          <w:iCs/>
        </w:rPr>
      </w:pPr>
      <w:r>
        <w:t>El CESE:</w:t>
      </w:r>
    </w:p>
    <w:p w:rsidRPr="00E11CA7" w:rsidR="00BC7002" w:rsidP="00E32C54" w:rsidRDefault="00BC7002" w14:paraId="16595F4A" w14:textId="77777777">
      <w:pPr>
        <w:overflowPunct w:val="0"/>
        <w:autoSpaceDE w:val="0"/>
        <w:autoSpaceDN w:val="0"/>
        <w:adjustRightInd w:val="0"/>
        <w:textAlignment w:val="baseline"/>
        <w:rPr>
          <w:bCs/>
          <w:iCs/>
          <w:lang w:val="en-GB"/>
        </w:rPr>
      </w:pPr>
    </w:p>
    <w:p w:rsidRPr="00E11CA7" w:rsidR="00E32C54" w:rsidP="00B60D9A" w:rsidRDefault="00E32C54" w14:paraId="225EC127" w14:textId="77777777">
      <w:pPr>
        <w:widowControl w:val="0"/>
        <w:numPr>
          <w:ilvl w:val="0"/>
          <w:numId w:val="25"/>
        </w:numPr>
        <w:overflowPunct w:val="0"/>
        <w:autoSpaceDE w:val="0"/>
        <w:autoSpaceDN w:val="0"/>
        <w:adjustRightInd w:val="0"/>
        <w:ind w:left="284" w:hanging="284"/>
        <w:textAlignment w:val="baseline"/>
        <w:rPr>
          <w:szCs w:val="20"/>
        </w:rPr>
      </w:pPr>
      <w:r>
        <w:t xml:space="preserve">reafirma su compromiso inquebrantable con </w:t>
      </w:r>
      <w:r>
        <w:rPr>
          <w:b/>
        </w:rPr>
        <w:t>la igualdad de género y los derechos de la mujer como pilares fundamentales de la democracia, la justicia social y el crecimiento integrador</w:t>
      </w:r>
      <w:r>
        <w:t xml:space="preserve">, y respalda firmemente a todos los agentes que se esfuerzan por </w:t>
      </w:r>
      <w:r>
        <w:rPr>
          <w:b/>
        </w:rPr>
        <w:t>promover la igualdad para todas las mujeres y niñas, en toda su diversidad</w:t>
      </w:r>
      <w:r>
        <w:t>;</w:t>
      </w:r>
    </w:p>
    <w:p w:rsidRPr="00E11CA7" w:rsidR="00E32C54" w:rsidP="00B60D9A" w:rsidRDefault="00E32C54" w14:paraId="2824C4BE" w14:textId="77777777">
      <w:pPr>
        <w:widowControl w:val="0"/>
        <w:numPr>
          <w:ilvl w:val="0"/>
          <w:numId w:val="25"/>
        </w:numPr>
        <w:overflowPunct w:val="0"/>
        <w:autoSpaceDE w:val="0"/>
        <w:autoSpaceDN w:val="0"/>
        <w:adjustRightInd w:val="0"/>
        <w:ind w:left="284" w:hanging="284"/>
        <w:textAlignment w:val="baseline"/>
        <w:rPr>
          <w:szCs w:val="20"/>
        </w:rPr>
      </w:pPr>
      <w:r>
        <w:t>respalda la Declaración de principios para una sociedad en materia de género, que se encuentra en estrecha sintonía con los valores y prioridades expresados reiteradamente en los Dictámenes del CESE;</w:t>
      </w:r>
    </w:p>
    <w:p w:rsidRPr="00E11CA7" w:rsidR="00E32C54" w:rsidP="00B60D9A" w:rsidRDefault="00E32C54" w14:paraId="259C831E" w14:textId="77777777">
      <w:pPr>
        <w:widowControl w:val="0"/>
        <w:numPr>
          <w:ilvl w:val="0"/>
          <w:numId w:val="25"/>
        </w:numPr>
        <w:overflowPunct w:val="0"/>
        <w:autoSpaceDE w:val="0"/>
        <w:autoSpaceDN w:val="0"/>
        <w:adjustRightInd w:val="0"/>
        <w:ind w:left="284" w:hanging="284"/>
        <w:textAlignment w:val="baseline"/>
        <w:rPr>
          <w:szCs w:val="20"/>
        </w:rPr>
      </w:pPr>
      <w:r>
        <w:t>reconoce que la aplicación de estos principios requiere una acción coordinada y constante, y se compromete a:</w:t>
      </w:r>
    </w:p>
    <w:p w:rsidRPr="00E11CA7" w:rsidR="00E32C54" w:rsidP="00B60D9A" w:rsidRDefault="00E32C54" w14:paraId="005EE46D"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promover la igualdad de género a través del diálogo social y civil estructurado y la participación inclusiva en todos los niveles;</w:t>
      </w:r>
    </w:p>
    <w:p w:rsidRPr="00E11CA7" w:rsidR="00E32C54" w:rsidP="00B60D9A" w:rsidRDefault="00E32C54" w14:paraId="536DEAD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reforzar el papel de la juventud, las organizaciones de la sociedad civil y los interlocutores sociales en la elaboración, el seguimiento y la aplicación de las políticas de igualdad;</w:t>
      </w:r>
    </w:p>
    <w:p w:rsidRPr="00E11CA7" w:rsidR="00E32C54" w:rsidP="00B60D9A" w:rsidRDefault="00E32C54" w14:paraId="3AD7DBC8"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apoyar enfoques interseccionales que aborden las realidades a que se enfrentan las mujeres, con formas múltiples de discriminación que se solapan entre sí;</w:t>
      </w:r>
    </w:p>
    <w:p w:rsidRPr="00E11CA7" w:rsidR="00E32C54" w:rsidP="00B60D9A" w:rsidRDefault="00E32C54" w14:paraId="06175210"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szCs w:val="20"/>
        </w:rPr>
      </w:pPr>
      <w:r>
        <w:t>fomentar políticas que garanticen la salud sexual y reproductiva y los derechos conexos, el acceso equitativo a cuidados y unos espacios democráticos seguros e inclusivos;</w:t>
      </w:r>
    </w:p>
    <w:p w:rsidRPr="00E11CA7" w:rsidR="00E32C54" w:rsidP="00B60D9A" w:rsidRDefault="00E32C54" w14:paraId="47B3F173"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promover la integración de la perspectiva de género, una presupuestación que incorpore dicha perspectiva y la recopilación y el uso sistemáticos de datos desglosados por sexo e interseccionales;</w:t>
      </w:r>
    </w:p>
    <w:p w:rsidRPr="00E11CA7" w:rsidR="00E32C54" w:rsidP="00B60D9A" w:rsidRDefault="00E32C54" w14:paraId="5D42A71C" w14:textId="77777777">
      <w:pPr>
        <w:widowControl w:val="0"/>
        <w:numPr>
          <w:ilvl w:val="0"/>
          <w:numId w:val="26"/>
        </w:numPr>
        <w:overflowPunct w:val="0"/>
        <w:autoSpaceDE w:val="0"/>
        <w:autoSpaceDN w:val="0"/>
        <w:adjustRightInd w:val="0"/>
        <w:spacing w:after="200" w:line="276" w:lineRule="auto"/>
        <w:ind w:left="567" w:hanging="283"/>
        <w:contextualSpacing/>
        <w:textAlignment w:val="baseline"/>
        <w:rPr>
          <w:rFonts w:ascii="Calibri" w:hAnsi="Calibri"/>
        </w:rPr>
      </w:pPr>
      <w:r>
        <w:t xml:space="preserve">está dispuesto a </w:t>
      </w:r>
      <w:r>
        <w:rPr>
          <w:b/>
        </w:rPr>
        <w:t>contribuir activamente a la realización de esta hoja de ruta</w:t>
      </w:r>
      <w:r>
        <w:t xml:space="preserve"> y a colaborar con las instituciones europeas y los Estados miembros para convertir estos principios en buenas prácticas.</w:t>
      </w:r>
    </w:p>
    <w:p w:rsidRPr="00E11CA7" w:rsidR="00E32C54" w:rsidP="00E32C54" w:rsidRDefault="00E32C54" w14:paraId="6111D14F" w14:textId="77777777">
      <w:pPr>
        <w:widowControl w:val="0"/>
        <w:overflowPunct w:val="0"/>
        <w:autoSpaceDE w:val="0"/>
        <w:autoSpaceDN w:val="0"/>
        <w:adjustRightInd w:val="0"/>
        <w:ind w:left="709"/>
        <w:textAlignment w:val="baseline"/>
        <w:rPr>
          <w:szCs w:val="20"/>
          <w:lang w:val="en-GB"/>
        </w:rPr>
      </w:pPr>
    </w:p>
    <w:tbl>
      <w:tblPr>
        <w:tblStyle w:val="TableGrid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E11CA7" w:rsidR="00E32C54" w:rsidTr="002B1C51" w14:paraId="139B1DD5" w14:textId="77777777">
        <w:tc>
          <w:tcPr>
            <w:tcW w:w="2235" w:type="dxa"/>
          </w:tcPr>
          <w:p w:rsidRPr="00E11CA7" w:rsidR="00E32C54" w:rsidP="00A94024" w:rsidRDefault="00E32C54" w14:paraId="0397B25F" w14:textId="54348C83">
            <w:pPr>
              <w:overflowPunct w:val="0"/>
              <w:autoSpaceDE w:val="0"/>
              <w:autoSpaceDN w:val="0"/>
              <w:adjustRightInd w:val="0"/>
              <w:spacing w:line="240" w:lineRule="auto"/>
              <w:textAlignment w:val="baseline"/>
              <w:rPr>
                <w:i/>
              </w:rPr>
            </w:pPr>
            <w:r>
              <w:rPr>
                <w:b/>
                <w:i/>
              </w:rPr>
              <w:t>Contacto:</w:t>
            </w:r>
          </w:p>
        </w:tc>
        <w:tc>
          <w:tcPr>
            <w:tcW w:w="4853" w:type="dxa"/>
          </w:tcPr>
          <w:p w:rsidRPr="00E11CA7" w:rsidR="00E32C54" w:rsidP="00A94024" w:rsidRDefault="00E32C54" w14:paraId="6DA2A4D9" w14:textId="769AACE1">
            <w:pPr>
              <w:overflowPunct w:val="0"/>
              <w:autoSpaceDE w:val="0"/>
              <w:autoSpaceDN w:val="0"/>
              <w:adjustRightInd w:val="0"/>
              <w:spacing w:line="240" w:lineRule="auto"/>
              <w:textAlignment w:val="baseline"/>
              <w:rPr>
                <w:i/>
              </w:rPr>
            </w:pPr>
            <w:r>
              <w:rPr>
                <w:i/>
              </w:rPr>
              <w:t>Gabriela Grasu</w:t>
            </w:r>
          </w:p>
        </w:tc>
      </w:tr>
      <w:tr w:rsidRPr="00E11CA7" w:rsidR="00E32C54" w:rsidTr="002B1C51" w14:paraId="338937A5" w14:textId="77777777">
        <w:tc>
          <w:tcPr>
            <w:tcW w:w="2235" w:type="dxa"/>
          </w:tcPr>
          <w:p w:rsidRPr="00E11CA7" w:rsidR="00E32C54" w:rsidP="00A94024" w:rsidRDefault="00E32C54" w14:paraId="40D437BD" w14:textId="7EFF5913">
            <w:pPr>
              <w:overflowPunct w:val="0"/>
              <w:autoSpaceDE w:val="0"/>
              <w:autoSpaceDN w:val="0"/>
              <w:adjustRightInd w:val="0"/>
              <w:spacing w:line="240" w:lineRule="auto"/>
              <w:textAlignment w:val="baseline"/>
              <w:rPr>
                <w:i/>
              </w:rPr>
            </w:pPr>
            <w:r>
              <w:rPr>
                <w:i/>
              </w:rPr>
              <w:t>Teléfono:</w:t>
            </w:r>
          </w:p>
        </w:tc>
        <w:tc>
          <w:tcPr>
            <w:tcW w:w="4853" w:type="dxa"/>
          </w:tcPr>
          <w:p w:rsidRPr="00E11CA7" w:rsidR="00E32C54" w:rsidP="00A94024" w:rsidRDefault="00E32C54" w14:paraId="286B32D1" w14:textId="60483055">
            <w:pPr>
              <w:overflowPunct w:val="0"/>
              <w:autoSpaceDE w:val="0"/>
              <w:autoSpaceDN w:val="0"/>
              <w:adjustRightInd w:val="0"/>
              <w:spacing w:line="240" w:lineRule="auto"/>
              <w:textAlignment w:val="baseline"/>
              <w:rPr>
                <w:i/>
              </w:rPr>
            </w:pPr>
            <w:r>
              <w:rPr>
                <w:i/>
              </w:rPr>
              <w:t>+32 2 5469162</w:t>
            </w:r>
          </w:p>
        </w:tc>
      </w:tr>
      <w:tr w:rsidRPr="00E11CA7" w:rsidR="00E32C54" w:rsidTr="002B1C51" w14:paraId="559316EA" w14:textId="77777777">
        <w:tc>
          <w:tcPr>
            <w:tcW w:w="2235" w:type="dxa"/>
          </w:tcPr>
          <w:p w:rsidRPr="00E11CA7" w:rsidR="00E32C54" w:rsidP="00A94024" w:rsidRDefault="00BC7002" w14:paraId="322885DD" w14:textId="6AFB81D5">
            <w:pPr>
              <w:overflowPunct w:val="0"/>
              <w:autoSpaceDE w:val="0"/>
              <w:autoSpaceDN w:val="0"/>
              <w:adjustRightInd w:val="0"/>
              <w:spacing w:line="240" w:lineRule="auto"/>
              <w:textAlignment w:val="baseline"/>
              <w:rPr>
                <w:i/>
              </w:rPr>
            </w:pPr>
            <w:r>
              <w:rPr>
                <w:i/>
              </w:rPr>
              <w:t>Correo electrónico:</w:t>
            </w:r>
          </w:p>
        </w:tc>
        <w:tc>
          <w:tcPr>
            <w:tcW w:w="4853" w:type="dxa"/>
          </w:tcPr>
          <w:p w:rsidRPr="00E11CA7" w:rsidR="00E32C54" w:rsidP="00A94024" w:rsidRDefault="000E38A8" w14:paraId="57A44FB7" w14:textId="77777777">
            <w:pPr>
              <w:overflowPunct w:val="0"/>
              <w:autoSpaceDE w:val="0"/>
              <w:autoSpaceDN w:val="0"/>
              <w:adjustRightInd w:val="0"/>
              <w:spacing w:line="240" w:lineRule="auto"/>
              <w:textAlignment w:val="baseline"/>
              <w:rPr>
                <w:i/>
                <w:iCs/>
              </w:rPr>
            </w:pPr>
            <w:hyperlink w:history="1" r:id="rId25">
              <w:r w:rsidR="00381CCE">
                <w:rPr>
                  <w:i/>
                  <w:color w:val="0000FF"/>
                  <w:u w:val="single"/>
                </w:rPr>
                <w:t>Gabriela.Grasu@eesc.europa.eu</w:t>
              </w:r>
            </w:hyperlink>
          </w:p>
        </w:tc>
      </w:tr>
    </w:tbl>
    <w:p w:rsidR="00E32C54" w:rsidP="00E32C54" w:rsidRDefault="00E32C54" w14:paraId="06E2FD62" w14:textId="77777777">
      <w:pPr>
        <w:spacing w:after="160" w:line="259" w:lineRule="auto"/>
        <w:jc w:val="left"/>
        <w:rPr>
          <w:lang w:val="en-GB"/>
        </w:rPr>
      </w:pPr>
    </w:p>
    <w:p w:rsidR="009F0605" w:rsidRDefault="009F0605" w14:paraId="288E6860" w14:textId="1F285198">
      <w:pPr>
        <w:spacing w:after="160" w:line="259" w:lineRule="auto"/>
        <w:jc w:val="left"/>
      </w:pPr>
      <w:r>
        <w:br w:type="page"/>
      </w:r>
    </w:p>
    <w:p w:rsidR="004D7AC0" w:rsidP="004D7AC0" w:rsidRDefault="004D7AC0" w14:paraId="4982DD6D" w14:textId="27928A02">
      <w:pPr>
        <w:pStyle w:val="Heading1"/>
        <w:rPr>
          <w:b/>
        </w:rPr>
      </w:pPr>
      <w:bookmarkStart w:name="_Toc201570894" w:id="1"/>
      <w:r>
        <w:rPr>
          <w:b/>
        </w:rPr>
        <w:lastRenderedPageBreak/>
        <w:t>UNIÓN ECONÓMICA Y MONETARIA Y COHESIÓN ECONÓMICA Y SOCIAL</w:t>
      </w:r>
      <w:bookmarkEnd w:id="1"/>
    </w:p>
    <w:p w:rsidR="004D7AC0" w:rsidP="004D7AC0" w:rsidRDefault="004D7AC0" w14:paraId="4982DD6E" w14:textId="77777777"/>
    <w:p w:rsidRPr="00A174E9" w:rsidR="00A174E9" w:rsidP="00A174E9" w:rsidRDefault="000E38A8" w14:paraId="33A5C04E" w14:textId="1AE0FEE6">
      <w:pPr>
        <w:widowControl w:val="0"/>
        <w:numPr>
          <w:ilvl w:val="0"/>
          <w:numId w:val="6"/>
        </w:numPr>
        <w:overflowPunct w:val="0"/>
        <w:autoSpaceDE w:val="0"/>
        <w:autoSpaceDN w:val="0"/>
        <w:adjustRightInd w:val="0"/>
        <w:ind w:hanging="567"/>
        <w:textAlignment w:val="baseline"/>
        <w:rPr>
          <w:sz w:val="20"/>
          <w:szCs w:val="20"/>
        </w:rPr>
      </w:pPr>
      <w:hyperlink w:history="1" r:id="rId26">
        <w:r w:rsidR="00381CCE">
          <w:rPr>
            <w:b/>
            <w:i/>
            <w:color w:val="0000FF"/>
            <w:sz w:val="28"/>
            <w:u w:val="single"/>
          </w:rPr>
          <w:t>Evaluación de las obligaciones de información fiscal en la UE</w:t>
        </w:r>
      </w:hyperlink>
    </w:p>
    <w:p w:rsidRPr="00A174E9" w:rsidR="00A174E9" w:rsidP="00A174E9" w:rsidRDefault="00A174E9" w14:paraId="78CF4860" w14:textId="77777777">
      <w:pPr>
        <w:tabs>
          <w:tab w:val="center" w:pos="284"/>
        </w:tabs>
        <w:overflowPunct w:val="0"/>
        <w:autoSpaceDE w:val="0"/>
        <w:autoSpaceDN w:val="0"/>
        <w:adjustRightInd w:val="0"/>
        <w:ind w:left="266" w:hanging="266"/>
        <w:textAlignment w:val="baseline"/>
        <w:rPr>
          <w:b/>
          <w:lang w:val="en-GB"/>
        </w:rPr>
      </w:pPr>
    </w:p>
    <w:tbl>
      <w:tblPr>
        <w:tblStyle w:val="TableGrid3"/>
        <w:tblW w:w="375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934"/>
      </w:tblGrid>
      <w:tr w:rsidRPr="00A174E9" w:rsidR="00A174E9" w:rsidTr="001757A2" w14:paraId="1422115B" w14:textId="77777777">
        <w:tc>
          <w:tcPr>
            <w:tcW w:w="1459" w:type="pct"/>
          </w:tcPr>
          <w:p w:rsidRPr="00A174E9" w:rsidR="00A174E9" w:rsidP="00A174E9" w:rsidRDefault="00A174E9" w14:paraId="43187520" w14:textId="77777777">
            <w:pPr>
              <w:tabs>
                <w:tab w:val="center" w:pos="284"/>
              </w:tabs>
              <w:overflowPunct w:val="0"/>
              <w:autoSpaceDE w:val="0"/>
              <w:autoSpaceDN w:val="0"/>
              <w:adjustRightInd w:val="0"/>
              <w:ind w:left="266" w:hanging="266"/>
              <w:textAlignment w:val="baseline"/>
              <w:rPr>
                <w:b/>
              </w:rPr>
            </w:pPr>
            <w:r>
              <w:rPr>
                <w:b/>
              </w:rPr>
              <w:t>Ponente</w:t>
            </w:r>
          </w:p>
        </w:tc>
        <w:tc>
          <w:tcPr>
            <w:tcW w:w="3541" w:type="pct"/>
          </w:tcPr>
          <w:p w:rsidRPr="00A174E9" w:rsidR="00A174E9" w:rsidP="00A174E9" w:rsidRDefault="00A174E9" w14:paraId="1C5215FB" w14:textId="449F6DA9">
            <w:pPr>
              <w:tabs>
                <w:tab w:val="center" w:pos="284"/>
              </w:tabs>
              <w:overflowPunct w:val="0"/>
              <w:autoSpaceDE w:val="0"/>
              <w:autoSpaceDN w:val="0"/>
              <w:adjustRightInd w:val="0"/>
              <w:ind w:left="266" w:hanging="266"/>
              <w:textAlignment w:val="baseline"/>
              <w:rPr>
                <w:bCs/>
              </w:rPr>
            </w:pPr>
            <w:r>
              <w:t>Krister ANDERSSON (Grupo de Empresarios – SE)</w:t>
            </w:r>
          </w:p>
        </w:tc>
      </w:tr>
      <w:tr w:rsidRPr="00A174E9" w:rsidR="00A174E9" w:rsidTr="001757A2" w14:paraId="04550752" w14:textId="77777777">
        <w:tc>
          <w:tcPr>
            <w:tcW w:w="5000" w:type="pct"/>
            <w:gridSpan w:val="2"/>
          </w:tcPr>
          <w:p w:rsidRPr="00A174E9" w:rsidR="00A174E9" w:rsidP="00A174E9" w:rsidRDefault="00A174E9" w14:paraId="7A009B5C" w14:textId="77777777">
            <w:pPr>
              <w:tabs>
                <w:tab w:val="center" w:pos="284"/>
              </w:tabs>
              <w:overflowPunct w:val="0"/>
              <w:autoSpaceDE w:val="0"/>
              <w:autoSpaceDN w:val="0"/>
              <w:adjustRightInd w:val="0"/>
              <w:spacing w:line="160" w:lineRule="exact"/>
              <w:ind w:left="266" w:hanging="266"/>
              <w:textAlignment w:val="baseline"/>
            </w:pPr>
          </w:p>
        </w:tc>
      </w:tr>
      <w:tr w:rsidRPr="00A174E9" w:rsidR="00A174E9" w:rsidTr="001757A2" w14:paraId="4F937316" w14:textId="77777777">
        <w:tc>
          <w:tcPr>
            <w:tcW w:w="1459" w:type="pct"/>
          </w:tcPr>
          <w:p w:rsidRPr="00A174E9" w:rsidR="00A174E9" w:rsidP="00A174E9" w:rsidRDefault="00A174E9" w14:paraId="4D0681AC" w14:textId="0C18D37F">
            <w:pPr>
              <w:tabs>
                <w:tab w:val="center" w:pos="284"/>
              </w:tabs>
              <w:overflowPunct w:val="0"/>
              <w:autoSpaceDE w:val="0"/>
              <w:autoSpaceDN w:val="0"/>
              <w:adjustRightInd w:val="0"/>
              <w:ind w:left="266" w:hanging="266"/>
              <w:textAlignment w:val="baseline"/>
              <w:rPr>
                <w:b/>
              </w:rPr>
            </w:pPr>
            <w:r>
              <w:rPr>
                <w:b/>
              </w:rPr>
              <w:t>Referencia</w:t>
            </w:r>
          </w:p>
        </w:tc>
        <w:tc>
          <w:tcPr>
            <w:tcW w:w="3541" w:type="pct"/>
          </w:tcPr>
          <w:p w:rsidRPr="00A174E9" w:rsidR="00A174E9" w:rsidP="00A174E9" w:rsidRDefault="00A174E9" w14:paraId="0DA975C2" w14:textId="77777777">
            <w:pPr>
              <w:tabs>
                <w:tab w:val="center" w:pos="284"/>
              </w:tabs>
              <w:overflowPunct w:val="0"/>
              <w:autoSpaceDE w:val="0"/>
              <w:autoSpaceDN w:val="0"/>
              <w:adjustRightInd w:val="0"/>
              <w:ind w:left="266" w:hanging="266"/>
              <w:textAlignment w:val="baseline"/>
            </w:pPr>
            <w:r>
              <w:t>Dictamen de iniciativa</w:t>
            </w:r>
          </w:p>
          <w:p w:rsidRPr="00A174E9" w:rsidR="00A174E9" w:rsidP="00A174E9" w:rsidRDefault="00A174E9" w14:paraId="391757E3" w14:textId="77777777">
            <w:pPr>
              <w:tabs>
                <w:tab w:val="center" w:pos="284"/>
              </w:tabs>
              <w:overflowPunct w:val="0"/>
              <w:autoSpaceDE w:val="0"/>
              <w:autoSpaceDN w:val="0"/>
              <w:adjustRightInd w:val="0"/>
              <w:ind w:left="266" w:hanging="266"/>
              <w:textAlignment w:val="baseline"/>
            </w:pPr>
            <w:r>
              <w:t>EESC-2025-00462-00-00-AC</w:t>
            </w:r>
          </w:p>
        </w:tc>
      </w:tr>
    </w:tbl>
    <w:p w:rsidRPr="00A174E9" w:rsidR="00A174E9" w:rsidP="00A174E9" w:rsidRDefault="00A174E9" w14:paraId="66B2E1BD" w14:textId="77777777">
      <w:pPr>
        <w:tabs>
          <w:tab w:val="center" w:pos="284"/>
        </w:tabs>
        <w:overflowPunct w:val="0"/>
        <w:autoSpaceDE w:val="0"/>
        <w:autoSpaceDN w:val="0"/>
        <w:adjustRightInd w:val="0"/>
        <w:ind w:left="266" w:hanging="266"/>
        <w:textAlignment w:val="baseline"/>
        <w:rPr>
          <w:bCs/>
          <w:lang w:val="en-GB"/>
        </w:rPr>
      </w:pPr>
    </w:p>
    <w:p w:rsidRPr="00A174E9" w:rsidR="00A174E9" w:rsidP="00A174E9" w:rsidRDefault="00A174E9" w14:paraId="778B0C30"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A174E9" w:rsidR="00A174E9" w:rsidP="00A174E9" w:rsidRDefault="00A174E9" w14:paraId="2C5F894C" w14:textId="77777777">
      <w:pPr>
        <w:keepNext/>
        <w:keepLines/>
        <w:tabs>
          <w:tab w:val="center" w:pos="284"/>
        </w:tabs>
        <w:overflowPunct w:val="0"/>
        <w:autoSpaceDE w:val="0"/>
        <w:autoSpaceDN w:val="0"/>
        <w:adjustRightInd w:val="0"/>
        <w:ind w:left="266" w:hanging="266"/>
        <w:textAlignment w:val="baseline"/>
        <w:rPr>
          <w:bCs/>
          <w:lang w:val="en-GB"/>
        </w:rPr>
      </w:pPr>
    </w:p>
    <w:p w:rsidR="00A174E9" w:rsidP="00A174E9" w:rsidRDefault="00A174E9" w14:paraId="6822E5D3" w14:textId="77777777">
      <w:pPr>
        <w:overflowPunct w:val="0"/>
        <w:autoSpaceDE w:val="0"/>
        <w:autoSpaceDN w:val="0"/>
        <w:adjustRightInd w:val="0"/>
        <w:textAlignment w:val="baseline"/>
        <w:rPr>
          <w:bCs/>
          <w:iCs/>
        </w:rPr>
      </w:pPr>
      <w:r>
        <w:t>El CESE:</w:t>
      </w:r>
    </w:p>
    <w:p w:rsidRPr="00A174E9" w:rsidR="00E661EA" w:rsidP="00A174E9" w:rsidRDefault="00E661EA" w14:paraId="75F44294" w14:textId="77777777">
      <w:pPr>
        <w:overflowPunct w:val="0"/>
        <w:autoSpaceDE w:val="0"/>
        <w:autoSpaceDN w:val="0"/>
        <w:adjustRightInd w:val="0"/>
        <w:textAlignment w:val="baseline"/>
        <w:rPr>
          <w:bCs/>
          <w:iCs/>
          <w:lang w:val="en-GB"/>
        </w:rPr>
      </w:pPr>
    </w:p>
    <w:p w:rsidRPr="00A174E9" w:rsidR="00A174E9" w:rsidP="00B60D9A" w:rsidRDefault="00A174E9" w14:paraId="1DD7B8DB" w14:textId="77777777">
      <w:pPr>
        <w:numPr>
          <w:ilvl w:val="0"/>
          <w:numId w:val="27"/>
        </w:numPr>
        <w:overflowPunct w:val="0"/>
        <w:autoSpaceDE w:val="0"/>
        <w:autoSpaceDN w:val="0"/>
        <w:adjustRightInd w:val="0"/>
        <w:spacing w:line="276" w:lineRule="auto"/>
        <w:ind w:left="284" w:hanging="284"/>
        <w:textAlignment w:val="baseline"/>
        <w:rPr>
          <w:bCs/>
          <w:iCs/>
        </w:rPr>
      </w:pPr>
      <w:r>
        <w:t>apoya los planes de la Comisión para lograr la simplificación, reducir la carga administrativa y mejorar la competitividad de la economía europea;</w:t>
      </w:r>
    </w:p>
    <w:p w:rsidRPr="00A174E9" w:rsidR="00A174E9" w:rsidP="00B60D9A" w:rsidRDefault="00A174E9" w14:paraId="35AF7264" w14:textId="77777777">
      <w:pPr>
        <w:numPr>
          <w:ilvl w:val="0"/>
          <w:numId w:val="27"/>
        </w:numPr>
        <w:overflowPunct w:val="0"/>
        <w:autoSpaceDE w:val="0"/>
        <w:autoSpaceDN w:val="0"/>
        <w:adjustRightInd w:val="0"/>
        <w:spacing w:line="276" w:lineRule="auto"/>
        <w:ind w:left="284" w:hanging="284"/>
        <w:textAlignment w:val="baseline"/>
        <w:rPr>
          <w:bCs/>
          <w:iCs/>
        </w:rPr>
      </w:pPr>
      <w:r>
        <w:t>considera que la simplificación fiscal debe contribuir a que facilitar información resulte eficiente en términos de costes, de manera que se mejoren el uso y el intercambio de datos entre las autoridades tributarias. No debe dar lugar a cambios injustos o involuntarios en las obligaciones fiscales ni abrir posibilidades de evasión fiscal o competencia fiscal perniciosa;</w:t>
      </w:r>
    </w:p>
    <w:p w:rsidRPr="00A174E9" w:rsidR="00A174E9" w:rsidP="00B60D9A" w:rsidRDefault="00A174E9" w14:paraId="502996F3" w14:textId="77777777">
      <w:pPr>
        <w:numPr>
          <w:ilvl w:val="0"/>
          <w:numId w:val="27"/>
        </w:numPr>
        <w:overflowPunct w:val="0"/>
        <w:autoSpaceDE w:val="0"/>
        <w:autoSpaceDN w:val="0"/>
        <w:adjustRightInd w:val="0"/>
        <w:spacing w:line="276" w:lineRule="auto"/>
        <w:ind w:left="284" w:hanging="284"/>
        <w:textAlignment w:val="baseline"/>
        <w:rPr>
          <w:bCs/>
          <w:iCs/>
        </w:rPr>
      </w:pPr>
      <w:r>
        <w:t>destaca que también podría lograrse una simplificación sustancial mediante la armonización de conceptos y términos jurídicos similares, aunque no totalmente concordantes, que estén consagrados en diversas directivas de la UE sobre fiscalidad indirecta;</w:t>
      </w:r>
    </w:p>
    <w:p w:rsidRPr="00A174E9" w:rsidR="00A174E9" w:rsidP="00B60D9A" w:rsidRDefault="00A174E9" w14:paraId="5C45759E" w14:textId="77777777">
      <w:pPr>
        <w:numPr>
          <w:ilvl w:val="0"/>
          <w:numId w:val="27"/>
        </w:numPr>
        <w:overflowPunct w:val="0"/>
        <w:autoSpaceDE w:val="0"/>
        <w:autoSpaceDN w:val="0"/>
        <w:adjustRightInd w:val="0"/>
        <w:spacing w:line="276" w:lineRule="auto"/>
        <w:ind w:left="284" w:hanging="284"/>
        <w:textAlignment w:val="baseline"/>
        <w:rPr>
          <w:bCs/>
          <w:iCs/>
        </w:rPr>
      </w:pPr>
      <w:r>
        <w:t>considera que debe llevarse a cabo una evaluación de impacto para cada propuesta con el fin de evaluar adecuadamente las consecuencias concretas de las nuevas iniciativas legislativas para los contribuyentes y las empresas;</w:t>
      </w:r>
    </w:p>
    <w:p w:rsidRPr="00A174E9" w:rsidR="00A174E9" w:rsidP="00B60D9A" w:rsidRDefault="00A174E9" w14:paraId="6BAD3708" w14:textId="77777777">
      <w:pPr>
        <w:numPr>
          <w:ilvl w:val="0"/>
          <w:numId w:val="27"/>
        </w:numPr>
        <w:overflowPunct w:val="0"/>
        <w:autoSpaceDE w:val="0"/>
        <w:autoSpaceDN w:val="0"/>
        <w:adjustRightInd w:val="0"/>
        <w:spacing w:line="276" w:lineRule="auto"/>
        <w:ind w:left="284" w:hanging="284"/>
        <w:textAlignment w:val="baseline"/>
        <w:rPr>
          <w:bCs/>
          <w:iCs/>
        </w:rPr>
      </w:pPr>
      <w:r>
        <w:t>recomienda que se lleven a cabo controles de competitividad de las nuevas iniciativas legislativas en el ámbito de la fiscalidad, en particular para las pymes, a fin de garantizar que las nuevas normas apoyen realmente los objetivos previstos por la Comisión en términos de simplificación, reordenación y reducción de la carga administrativa;</w:t>
      </w:r>
    </w:p>
    <w:p w:rsidRPr="00A174E9" w:rsidR="00A174E9" w:rsidP="00B60D9A" w:rsidRDefault="00A174E9" w14:paraId="7F0DC96F" w14:textId="77777777">
      <w:pPr>
        <w:numPr>
          <w:ilvl w:val="0"/>
          <w:numId w:val="27"/>
        </w:numPr>
        <w:overflowPunct w:val="0"/>
        <w:autoSpaceDE w:val="0"/>
        <w:autoSpaceDN w:val="0"/>
        <w:adjustRightInd w:val="0"/>
        <w:spacing w:line="276" w:lineRule="auto"/>
        <w:ind w:left="284" w:hanging="284"/>
        <w:textAlignment w:val="baseline"/>
        <w:rPr>
          <w:bCs/>
          <w:iCs/>
        </w:rPr>
      </w:pPr>
      <w:r>
        <w:t>propone que se introduzca un sistema de acuerdos tributarios previos a escala de la UE. La creación de un órgano jurisdiccional aportaría claridad en la interpretación de las directivas y reglamentos aplicados en los Estados miembros;</w:t>
      </w:r>
    </w:p>
    <w:p w:rsidRPr="00A174E9" w:rsidR="00A174E9" w:rsidP="00B60D9A" w:rsidRDefault="00A174E9" w14:paraId="4184B3A7" w14:textId="77777777">
      <w:pPr>
        <w:numPr>
          <w:ilvl w:val="0"/>
          <w:numId w:val="27"/>
        </w:numPr>
        <w:overflowPunct w:val="0"/>
        <w:autoSpaceDE w:val="0"/>
        <w:autoSpaceDN w:val="0"/>
        <w:adjustRightInd w:val="0"/>
        <w:spacing w:line="276" w:lineRule="auto"/>
        <w:ind w:left="284" w:hanging="284"/>
        <w:textAlignment w:val="baseline"/>
        <w:rPr>
          <w:bCs/>
          <w:iCs/>
        </w:rPr>
      </w:pPr>
      <w:r>
        <w:t>recomienda que se cree un nuevo foro conjunto sobre precios de transferencia en el ámbito de la fiscalidad de las empresas.</w:t>
      </w:r>
    </w:p>
    <w:p w:rsidRPr="00A174E9" w:rsidR="00A174E9" w:rsidP="00A174E9" w:rsidRDefault="00A174E9" w14:paraId="1AECDD3F" w14:textId="77777777">
      <w:pPr>
        <w:widowControl w:val="0"/>
        <w:overflowPunct w:val="0"/>
        <w:autoSpaceDE w:val="0"/>
        <w:autoSpaceDN w:val="0"/>
        <w:adjustRightInd w:val="0"/>
        <w:ind w:left="709"/>
        <w:textAlignment w:val="baseline"/>
        <w:rPr>
          <w:szCs w:val="20"/>
          <w:lang w:val="en-GB"/>
        </w:rPr>
      </w:pPr>
    </w:p>
    <w:tbl>
      <w:tblPr>
        <w:tblStyle w:val="TableGrid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297"/>
      </w:tblGrid>
      <w:tr w:rsidRPr="00A174E9" w:rsidR="00A174E9" w:rsidTr="002B1C51" w14:paraId="15FA655D" w14:textId="77777777">
        <w:tc>
          <w:tcPr>
            <w:tcW w:w="1711" w:type="pct"/>
          </w:tcPr>
          <w:p w:rsidRPr="00A174E9" w:rsidR="00A174E9" w:rsidP="00A174E9" w:rsidRDefault="00A174E9" w14:paraId="0BF0699F" w14:textId="77777777">
            <w:pPr>
              <w:overflowPunct w:val="0"/>
              <w:autoSpaceDE w:val="0"/>
              <w:autoSpaceDN w:val="0"/>
              <w:adjustRightInd w:val="0"/>
              <w:spacing w:line="240" w:lineRule="auto"/>
              <w:textAlignment w:val="baseline"/>
              <w:rPr>
                <w:i/>
              </w:rPr>
            </w:pPr>
            <w:r>
              <w:rPr>
                <w:b/>
                <w:i/>
              </w:rPr>
              <w:t>Contacto:</w:t>
            </w:r>
          </w:p>
        </w:tc>
        <w:tc>
          <w:tcPr>
            <w:tcW w:w="3289" w:type="pct"/>
          </w:tcPr>
          <w:p w:rsidRPr="00A174E9" w:rsidR="00A174E9" w:rsidP="00A174E9" w:rsidRDefault="00A174E9" w14:paraId="2110A0ED" w14:textId="77777777">
            <w:pPr>
              <w:overflowPunct w:val="0"/>
              <w:autoSpaceDE w:val="0"/>
              <w:autoSpaceDN w:val="0"/>
              <w:adjustRightInd w:val="0"/>
              <w:spacing w:line="240" w:lineRule="auto"/>
              <w:textAlignment w:val="baseline"/>
              <w:rPr>
                <w:i/>
              </w:rPr>
            </w:pPr>
            <w:r>
              <w:rPr>
                <w:i/>
              </w:rPr>
              <w:t>Jüri Soosaar</w:t>
            </w:r>
          </w:p>
        </w:tc>
      </w:tr>
      <w:tr w:rsidRPr="00A174E9" w:rsidR="00A174E9" w:rsidTr="002B1C51" w14:paraId="497E6EC8" w14:textId="77777777">
        <w:tc>
          <w:tcPr>
            <w:tcW w:w="1711" w:type="pct"/>
          </w:tcPr>
          <w:p w:rsidRPr="00A174E9" w:rsidR="00A174E9" w:rsidP="00A174E9" w:rsidRDefault="00A174E9" w14:paraId="420F5C47" w14:textId="77777777">
            <w:pPr>
              <w:overflowPunct w:val="0"/>
              <w:autoSpaceDE w:val="0"/>
              <w:autoSpaceDN w:val="0"/>
              <w:adjustRightInd w:val="0"/>
              <w:spacing w:line="240" w:lineRule="auto"/>
              <w:textAlignment w:val="baseline"/>
              <w:rPr>
                <w:i/>
              </w:rPr>
            </w:pPr>
            <w:r>
              <w:rPr>
                <w:i/>
              </w:rPr>
              <w:t>Teléfono:</w:t>
            </w:r>
          </w:p>
        </w:tc>
        <w:tc>
          <w:tcPr>
            <w:tcW w:w="3289" w:type="pct"/>
          </w:tcPr>
          <w:p w:rsidRPr="00A174E9" w:rsidR="00A174E9" w:rsidP="00A174E9" w:rsidRDefault="00A174E9" w14:paraId="6253F22C" w14:textId="5ED08BDD">
            <w:pPr>
              <w:overflowPunct w:val="0"/>
              <w:autoSpaceDE w:val="0"/>
              <w:autoSpaceDN w:val="0"/>
              <w:adjustRightInd w:val="0"/>
              <w:spacing w:line="240" w:lineRule="auto"/>
              <w:textAlignment w:val="baseline"/>
              <w:rPr>
                <w:i/>
              </w:rPr>
            </w:pPr>
            <w:r>
              <w:rPr>
                <w:i/>
              </w:rPr>
              <w:t>+32 2 5469628</w:t>
            </w:r>
          </w:p>
        </w:tc>
      </w:tr>
      <w:tr w:rsidRPr="00A174E9" w:rsidR="00A174E9" w:rsidTr="002B1C51" w14:paraId="52B62205" w14:textId="77777777">
        <w:tc>
          <w:tcPr>
            <w:tcW w:w="1711" w:type="pct"/>
          </w:tcPr>
          <w:p w:rsidRPr="00A174E9" w:rsidR="00A174E9" w:rsidP="00A174E9" w:rsidRDefault="00A174E9" w14:paraId="126CBE9C" w14:textId="77777777">
            <w:pPr>
              <w:overflowPunct w:val="0"/>
              <w:autoSpaceDE w:val="0"/>
              <w:autoSpaceDN w:val="0"/>
              <w:adjustRightInd w:val="0"/>
              <w:spacing w:line="240" w:lineRule="auto"/>
              <w:textAlignment w:val="baseline"/>
              <w:rPr>
                <w:i/>
              </w:rPr>
            </w:pPr>
            <w:r>
              <w:rPr>
                <w:i/>
              </w:rPr>
              <w:t>Correo electrónico:</w:t>
            </w:r>
          </w:p>
        </w:tc>
        <w:tc>
          <w:tcPr>
            <w:tcW w:w="3289" w:type="pct"/>
          </w:tcPr>
          <w:p w:rsidRPr="00A174E9" w:rsidR="00A174E9" w:rsidP="00A174E9" w:rsidRDefault="000E38A8" w14:paraId="70D912E0" w14:textId="77777777">
            <w:pPr>
              <w:overflowPunct w:val="0"/>
              <w:autoSpaceDE w:val="0"/>
              <w:autoSpaceDN w:val="0"/>
              <w:adjustRightInd w:val="0"/>
              <w:spacing w:line="240" w:lineRule="auto"/>
              <w:textAlignment w:val="baseline"/>
              <w:rPr>
                <w:i/>
              </w:rPr>
            </w:pPr>
            <w:hyperlink w:history="1" r:id="rId27">
              <w:r w:rsidR="00381CCE">
                <w:rPr>
                  <w:i/>
                  <w:color w:val="0000FF"/>
                  <w:u w:val="single"/>
                </w:rPr>
                <w:t>Juri.Soosaar@eesc.europa.eu</w:t>
              </w:r>
            </w:hyperlink>
          </w:p>
        </w:tc>
      </w:tr>
    </w:tbl>
    <w:p w:rsidRPr="00A174E9" w:rsidR="004D7AC0" w:rsidP="009F0605" w:rsidRDefault="004D7AC0" w14:paraId="4982DD6F" w14:textId="77777777">
      <w:pPr>
        <w:ind w:left="710"/>
        <w:rPr>
          <w:b/>
          <w:i/>
          <w:sz w:val="28"/>
          <w:szCs w:val="28"/>
          <w:lang w:val="en-GB"/>
        </w:rPr>
      </w:pPr>
    </w:p>
    <w:p w:rsidR="00A174E9" w:rsidRDefault="00A174E9" w14:paraId="4982DD70" w14:textId="1D96BDFD">
      <w:pPr>
        <w:spacing w:after="160" w:line="259" w:lineRule="auto"/>
        <w:jc w:val="left"/>
      </w:pPr>
      <w:r>
        <w:br w:type="page"/>
      </w:r>
    </w:p>
    <w:p w:rsidRPr="0089162C" w:rsidR="0089162C" w:rsidP="00B60D9A" w:rsidRDefault="000E38A8" w14:paraId="5CD8227E" w14:textId="333EB766">
      <w:pPr>
        <w:widowControl w:val="0"/>
        <w:numPr>
          <w:ilvl w:val="0"/>
          <w:numId w:val="6"/>
        </w:numPr>
        <w:overflowPunct w:val="0"/>
        <w:autoSpaceDE w:val="0"/>
        <w:autoSpaceDN w:val="0"/>
        <w:adjustRightInd w:val="0"/>
        <w:spacing w:line="276" w:lineRule="auto"/>
        <w:ind w:hanging="567"/>
        <w:textAlignment w:val="baseline"/>
        <w:rPr>
          <w:sz w:val="24"/>
          <w:szCs w:val="24"/>
        </w:rPr>
      </w:pPr>
      <w:hyperlink w:history="1" r:id="rId28">
        <w:r w:rsidR="0089162C">
          <w:rPr>
            <w:b/>
            <w:i/>
            <w:color w:val="0000FF"/>
            <w:sz w:val="28"/>
            <w:u w:val="single"/>
          </w:rPr>
          <w:t>Ayuda suplementaria en favor de las regiones ultraperiféricas</w:t>
        </w:r>
      </w:hyperlink>
    </w:p>
    <w:p w:rsidRPr="0089162C" w:rsidR="0089162C" w:rsidP="00B60D9A" w:rsidRDefault="0089162C" w14:paraId="6AB01B4E" w14:textId="77777777">
      <w:pPr>
        <w:widowControl w:val="0"/>
        <w:overflowPunct w:val="0"/>
        <w:autoSpaceDE w:val="0"/>
        <w:autoSpaceDN w:val="0"/>
        <w:adjustRightInd w:val="0"/>
        <w:spacing w:line="276" w:lineRule="auto"/>
        <w:ind w:left="567"/>
        <w:textAlignment w:val="baseline"/>
        <w:rPr>
          <w:sz w:val="24"/>
          <w:szCs w:val="24"/>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0"/>
        <w:gridCol w:w="4025"/>
        <w:gridCol w:w="3456"/>
      </w:tblGrid>
      <w:tr w:rsidRPr="0089162C" w:rsidR="0089162C" w:rsidTr="001757A2" w14:paraId="238F1F14" w14:textId="77777777">
        <w:tc>
          <w:tcPr>
            <w:tcW w:w="1590" w:type="dxa"/>
          </w:tcPr>
          <w:p w:rsidRPr="0089162C" w:rsidR="0089162C" w:rsidP="00B60D9A" w:rsidRDefault="0089162C" w14:paraId="01146FE2" w14:textId="080E9714">
            <w:pPr>
              <w:tabs>
                <w:tab w:val="center" w:pos="284"/>
              </w:tabs>
              <w:overflowPunct w:val="0"/>
              <w:autoSpaceDE w:val="0"/>
              <w:autoSpaceDN w:val="0"/>
              <w:adjustRightInd w:val="0"/>
              <w:spacing w:line="276" w:lineRule="auto"/>
              <w:ind w:left="266" w:hanging="266"/>
              <w:textAlignment w:val="baseline"/>
              <w:rPr>
                <w:b/>
              </w:rPr>
            </w:pPr>
            <w:r>
              <w:rPr>
                <w:b/>
              </w:rPr>
              <w:t>Ponente</w:t>
            </w:r>
          </w:p>
        </w:tc>
        <w:tc>
          <w:tcPr>
            <w:tcW w:w="7481" w:type="dxa"/>
            <w:gridSpan w:val="2"/>
          </w:tcPr>
          <w:p w:rsidRPr="0089162C" w:rsidR="0089162C" w:rsidP="00B60D9A" w:rsidRDefault="0089162C" w14:paraId="0814DDD6" w14:textId="32C697A2">
            <w:pPr>
              <w:tabs>
                <w:tab w:val="center" w:pos="284"/>
              </w:tabs>
              <w:overflowPunct w:val="0"/>
              <w:autoSpaceDE w:val="0"/>
              <w:autoSpaceDN w:val="0"/>
              <w:adjustRightInd w:val="0"/>
              <w:spacing w:line="276" w:lineRule="auto"/>
              <w:ind w:left="266" w:hanging="266"/>
              <w:textAlignment w:val="baseline"/>
            </w:pPr>
            <w:r>
              <w:t>Joël DESTOM (Grupo de Organizaciones de la Sociedad Civil – FR)</w:t>
            </w:r>
          </w:p>
        </w:tc>
      </w:tr>
      <w:tr w:rsidRPr="0089162C" w:rsidR="0089162C" w:rsidTr="001757A2" w14:paraId="28873E7F" w14:textId="77777777">
        <w:tc>
          <w:tcPr>
            <w:tcW w:w="5615" w:type="dxa"/>
            <w:gridSpan w:val="2"/>
          </w:tcPr>
          <w:p w:rsidRPr="0089162C" w:rsidR="0089162C" w:rsidP="00B60D9A" w:rsidRDefault="0089162C" w14:paraId="44A81A6B" w14:textId="77777777">
            <w:pPr>
              <w:tabs>
                <w:tab w:val="center" w:pos="284"/>
              </w:tabs>
              <w:overflowPunct w:val="0"/>
              <w:autoSpaceDE w:val="0"/>
              <w:autoSpaceDN w:val="0"/>
              <w:adjustRightInd w:val="0"/>
              <w:spacing w:line="276" w:lineRule="auto"/>
              <w:ind w:left="266" w:hanging="266"/>
              <w:textAlignment w:val="baseline"/>
              <w:rPr>
                <w:lang w:val="en-GB"/>
              </w:rPr>
            </w:pPr>
          </w:p>
        </w:tc>
        <w:tc>
          <w:tcPr>
            <w:tcW w:w="3456" w:type="dxa"/>
          </w:tcPr>
          <w:p w:rsidRPr="0089162C" w:rsidR="0089162C" w:rsidP="00B60D9A" w:rsidRDefault="0089162C" w14:paraId="000A5C65"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2686AFD3" w14:textId="77777777">
        <w:tc>
          <w:tcPr>
            <w:tcW w:w="1590" w:type="dxa"/>
            <w:vMerge w:val="restart"/>
          </w:tcPr>
          <w:p w:rsidRPr="0089162C" w:rsidR="0089162C" w:rsidP="00B60D9A" w:rsidRDefault="0089162C" w14:paraId="677563A1" w14:textId="07B3F2A1">
            <w:pPr>
              <w:tabs>
                <w:tab w:val="center" w:pos="284"/>
              </w:tabs>
              <w:overflowPunct w:val="0"/>
              <w:autoSpaceDE w:val="0"/>
              <w:autoSpaceDN w:val="0"/>
              <w:adjustRightInd w:val="0"/>
              <w:spacing w:line="276" w:lineRule="auto"/>
              <w:ind w:left="266" w:hanging="266"/>
              <w:textAlignment w:val="baseline"/>
              <w:rPr>
                <w:b/>
              </w:rPr>
            </w:pPr>
            <w:r>
              <w:rPr>
                <w:b/>
              </w:rPr>
              <w:t xml:space="preserve">Referencias </w:t>
            </w:r>
          </w:p>
        </w:tc>
        <w:tc>
          <w:tcPr>
            <w:tcW w:w="4025" w:type="dxa"/>
          </w:tcPr>
          <w:p w:rsidRPr="0089162C" w:rsidR="0089162C" w:rsidP="00B60D9A" w:rsidRDefault="0089162C" w14:paraId="1D7C08A2" w14:textId="1D6FB6A0">
            <w:pPr>
              <w:tabs>
                <w:tab w:val="center" w:pos="284"/>
              </w:tabs>
              <w:overflowPunct w:val="0"/>
              <w:autoSpaceDE w:val="0"/>
              <w:autoSpaceDN w:val="0"/>
              <w:adjustRightInd w:val="0"/>
              <w:spacing w:line="276" w:lineRule="auto"/>
              <w:ind w:left="266" w:hanging="266"/>
              <w:textAlignment w:val="baseline"/>
            </w:pPr>
            <w:r>
              <w:t xml:space="preserve">COM(2025) 190 final </w:t>
            </w:r>
          </w:p>
        </w:tc>
        <w:tc>
          <w:tcPr>
            <w:tcW w:w="3456" w:type="dxa"/>
          </w:tcPr>
          <w:p w:rsidRPr="0089162C" w:rsidR="0089162C" w:rsidP="00B60D9A" w:rsidRDefault="0089162C" w14:paraId="3A63ECF8" w14:textId="77777777">
            <w:pPr>
              <w:tabs>
                <w:tab w:val="center" w:pos="284"/>
              </w:tabs>
              <w:overflowPunct w:val="0"/>
              <w:autoSpaceDE w:val="0"/>
              <w:autoSpaceDN w:val="0"/>
              <w:adjustRightInd w:val="0"/>
              <w:spacing w:line="276" w:lineRule="auto"/>
              <w:ind w:left="266" w:hanging="266"/>
              <w:textAlignment w:val="baseline"/>
              <w:rPr>
                <w:lang w:val="en-GB"/>
              </w:rPr>
            </w:pPr>
          </w:p>
        </w:tc>
      </w:tr>
      <w:tr w:rsidRPr="0089162C" w:rsidR="0089162C" w:rsidTr="001757A2" w14:paraId="17DB497D" w14:textId="77777777">
        <w:tc>
          <w:tcPr>
            <w:tcW w:w="1590" w:type="dxa"/>
            <w:vMerge/>
          </w:tcPr>
          <w:p w:rsidRPr="0089162C" w:rsidR="0089162C" w:rsidP="00B60D9A" w:rsidRDefault="0089162C" w14:paraId="1814014E" w14:textId="77777777">
            <w:pPr>
              <w:tabs>
                <w:tab w:val="center" w:pos="284"/>
              </w:tabs>
              <w:overflowPunct w:val="0"/>
              <w:autoSpaceDE w:val="0"/>
              <w:autoSpaceDN w:val="0"/>
              <w:adjustRightInd w:val="0"/>
              <w:spacing w:line="276" w:lineRule="auto"/>
              <w:ind w:left="266" w:hanging="266"/>
              <w:textAlignment w:val="baseline"/>
              <w:rPr>
                <w:b/>
                <w:lang w:val="en-GB"/>
              </w:rPr>
            </w:pPr>
          </w:p>
        </w:tc>
        <w:tc>
          <w:tcPr>
            <w:tcW w:w="4025" w:type="dxa"/>
          </w:tcPr>
          <w:p w:rsidRPr="002B1C51" w:rsidR="00E661EA" w:rsidP="00B60D9A" w:rsidRDefault="0089162C" w14:paraId="5282C408" w14:textId="6E0CEABB">
            <w:pPr>
              <w:tabs>
                <w:tab w:val="center" w:pos="284"/>
              </w:tabs>
              <w:overflowPunct w:val="0"/>
              <w:autoSpaceDE w:val="0"/>
              <w:autoSpaceDN w:val="0"/>
              <w:adjustRightInd w:val="0"/>
              <w:spacing w:line="276" w:lineRule="auto"/>
              <w:ind w:left="266" w:hanging="266"/>
              <w:textAlignment w:val="baseline"/>
            </w:pPr>
            <w:r>
              <w:t>EESC-2025-01633-00-00-AC</w:t>
            </w:r>
          </w:p>
        </w:tc>
        <w:tc>
          <w:tcPr>
            <w:tcW w:w="3456" w:type="dxa"/>
          </w:tcPr>
          <w:p w:rsidRPr="0089162C" w:rsidR="0089162C" w:rsidP="00B60D9A" w:rsidRDefault="0089162C" w14:paraId="7DA757AB" w14:textId="77777777">
            <w:pPr>
              <w:tabs>
                <w:tab w:val="center" w:pos="284"/>
              </w:tabs>
              <w:overflowPunct w:val="0"/>
              <w:autoSpaceDE w:val="0"/>
              <w:autoSpaceDN w:val="0"/>
              <w:adjustRightInd w:val="0"/>
              <w:spacing w:line="276" w:lineRule="auto"/>
              <w:ind w:left="266" w:hanging="266"/>
              <w:textAlignment w:val="baseline"/>
              <w:rPr>
                <w:lang w:val="en-GB"/>
              </w:rPr>
            </w:pPr>
          </w:p>
        </w:tc>
      </w:tr>
    </w:tbl>
    <w:p w:rsidR="005D51A7" w:rsidP="00B60D9A" w:rsidRDefault="005D51A7" w14:paraId="623C1502"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89162C" w:rsidR="0089162C" w:rsidP="00B60D9A" w:rsidRDefault="0089162C" w14:paraId="529EF861" w14:textId="49248586">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89162C" w:rsidR="0089162C" w:rsidP="00B60D9A" w:rsidRDefault="0089162C" w14:paraId="37AB9561" w14:textId="77777777">
      <w:pPr>
        <w:overflowPunct w:val="0"/>
        <w:autoSpaceDE w:val="0"/>
        <w:autoSpaceDN w:val="0"/>
        <w:adjustRightInd w:val="0"/>
        <w:spacing w:line="276" w:lineRule="auto"/>
        <w:textAlignment w:val="baseline"/>
        <w:rPr>
          <w:bCs/>
          <w:iCs/>
          <w:lang w:val="en-GB"/>
        </w:rPr>
      </w:pPr>
    </w:p>
    <w:p w:rsidR="0089162C" w:rsidP="00B60D9A" w:rsidRDefault="0089162C" w14:paraId="4C8E728B" w14:textId="77777777">
      <w:pPr>
        <w:overflowPunct w:val="0"/>
        <w:autoSpaceDE w:val="0"/>
        <w:autoSpaceDN w:val="0"/>
        <w:adjustRightInd w:val="0"/>
        <w:spacing w:line="276" w:lineRule="auto"/>
        <w:textAlignment w:val="baseline"/>
        <w:rPr>
          <w:bCs/>
          <w:iCs/>
        </w:rPr>
      </w:pPr>
      <w:r>
        <w:t>El CESE:</w:t>
      </w:r>
    </w:p>
    <w:p w:rsidR="005D51A7" w:rsidP="00B60D9A" w:rsidRDefault="005D51A7" w14:paraId="3D056374" w14:textId="77777777">
      <w:pPr>
        <w:overflowPunct w:val="0"/>
        <w:autoSpaceDE w:val="0"/>
        <w:autoSpaceDN w:val="0"/>
        <w:adjustRightInd w:val="0"/>
        <w:spacing w:line="240" w:lineRule="auto"/>
        <w:textAlignment w:val="baseline"/>
        <w:rPr>
          <w:bCs/>
          <w:iCs/>
          <w:lang w:val="en-GB"/>
        </w:rPr>
      </w:pPr>
    </w:p>
    <w:p w:rsidRPr="0089162C" w:rsidR="0089162C" w:rsidP="00B60D9A" w:rsidRDefault="0089162C" w14:paraId="0FCD2334" w14:textId="77777777">
      <w:pPr>
        <w:widowControl w:val="0"/>
        <w:numPr>
          <w:ilvl w:val="0"/>
          <w:numId w:val="28"/>
        </w:numPr>
        <w:overflowPunct w:val="0"/>
        <w:autoSpaceDE w:val="0"/>
        <w:autoSpaceDN w:val="0"/>
        <w:adjustRightInd w:val="0"/>
        <w:ind w:left="284" w:hanging="284"/>
        <w:textAlignment w:val="baseline"/>
        <w:rPr>
          <w:szCs w:val="20"/>
        </w:rPr>
      </w:pPr>
      <w:r>
        <w:t>acoge favorablemente la propuesta de la Comisión Europea (CE), que reconoce plenamente la vulnerabilidad estructural de las regiones ultraperiféricas frente a las catástrofes naturales y el cambio climático y contempla medidas de flexibilidad para atender las emergencias climáticas y humanitarias en estas regiones, en concreto en Mayotte;</w:t>
      </w:r>
    </w:p>
    <w:p w:rsidRPr="0089162C" w:rsidR="0089162C" w:rsidP="00B60D9A" w:rsidRDefault="0089162C" w14:paraId="4BCC3A29" w14:textId="1923358E">
      <w:pPr>
        <w:widowControl w:val="0"/>
        <w:numPr>
          <w:ilvl w:val="0"/>
          <w:numId w:val="28"/>
        </w:numPr>
        <w:overflowPunct w:val="0"/>
        <w:autoSpaceDE w:val="0"/>
        <w:autoSpaceDN w:val="0"/>
        <w:adjustRightInd w:val="0"/>
        <w:ind w:left="284" w:hanging="284"/>
        <w:textAlignment w:val="baseline"/>
        <w:rPr>
          <w:szCs w:val="20"/>
        </w:rPr>
      </w:pPr>
      <w:r>
        <w:t>apoya las modificaciones específicas del Reglamento (UE) n.º 228/2013 destinadas a:</w:t>
      </w:r>
    </w:p>
    <w:p w:rsidRPr="0089162C" w:rsidR="0089162C" w:rsidP="005215A3" w:rsidRDefault="0089162C" w14:paraId="74E0208A" w14:textId="77777777">
      <w:pPr>
        <w:widowControl w:val="0"/>
        <w:numPr>
          <w:ilvl w:val="0"/>
          <w:numId w:val="10"/>
        </w:numPr>
        <w:overflowPunct w:val="0"/>
        <w:autoSpaceDE w:val="0"/>
        <w:autoSpaceDN w:val="0"/>
        <w:adjustRightInd w:val="0"/>
        <w:ind w:left="567" w:hanging="283"/>
        <w:textAlignment w:val="baseline"/>
      </w:pPr>
      <w:r>
        <w:t>garantizar la continuidad del apoyo con cargo al Programa de opciones específicas por la lejanía y la insularidad (POSEI) durante las fases de reconstrucción, incluso en ausencia de actividad productiva;</w:t>
      </w:r>
    </w:p>
    <w:p w:rsidRPr="0089162C" w:rsidR="0089162C" w:rsidP="005215A3" w:rsidRDefault="0089162C" w14:paraId="554D52AE" w14:textId="76CA5430">
      <w:pPr>
        <w:widowControl w:val="0"/>
        <w:numPr>
          <w:ilvl w:val="0"/>
          <w:numId w:val="10"/>
        </w:numPr>
        <w:overflowPunct w:val="0"/>
        <w:autoSpaceDE w:val="0"/>
        <w:autoSpaceDN w:val="0"/>
        <w:adjustRightInd w:val="0"/>
        <w:ind w:left="567" w:hanging="283"/>
        <w:textAlignment w:val="baseline"/>
      </w:pPr>
      <w:r>
        <w:t>suprimir el límite máximo del 10 % para la reasignación de financiación con cargo al Fondo Europeo Agrícola de Desarrollo Rural (Feader) en el caso de Mayotte y prolongar el plazo de selección de los beneficiarios hasta después del 30 de junio de 2025;</w:t>
      </w:r>
    </w:p>
    <w:p w:rsidRPr="0089162C" w:rsidR="0089162C" w:rsidP="00B60D9A" w:rsidRDefault="0089162C" w14:paraId="1269C37E" w14:textId="77777777">
      <w:pPr>
        <w:widowControl w:val="0"/>
        <w:numPr>
          <w:ilvl w:val="0"/>
          <w:numId w:val="29"/>
        </w:numPr>
        <w:overflowPunct w:val="0"/>
        <w:autoSpaceDE w:val="0"/>
        <w:autoSpaceDN w:val="0"/>
        <w:adjustRightInd w:val="0"/>
        <w:ind w:left="284" w:hanging="284"/>
        <w:textAlignment w:val="baseline"/>
        <w:rPr>
          <w:szCs w:val="20"/>
        </w:rPr>
      </w:pPr>
      <w:r>
        <w:t>pide a la CE y a los Estados miembros (EM) que velen por que las reasignaciones de fondos no se realicen a expensas de los proyectos estructurales de desarrollo rural. Pide asimismo que se incluya en el Reglamento una disposición para fomentar el uso de soluciones basadas en la naturaleza en la fase de reconstrucción posterior a la catástrofe y que se realice un seguimiento anual riguroso y transparente de los compromisos asumidos por los beneficiarios;</w:t>
      </w:r>
    </w:p>
    <w:p w:rsidRPr="0089162C" w:rsidR="0089162C" w:rsidP="00B60D9A" w:rsidRDefault="0089162C" w14:paraId="7E7D69EC" w14:textId="77777777">
      <w:pPr>
        <w:widowControl w:val="0"/>
        <w:numPr>
          <w:ilvl w:val="0"/>
          <w:numId w:val="29"/>
        </w:numPr>
        <w:overflowPunct w:val="0"/>
        <w:autoSpaceDE w:val="0"/>
        <w:autoSpaceDN w:val="0"/>
        <w:adjustRightInd w:val="0"/>
        <w:ind w:left="284" w:hanging="284"/>
        <w:textAlignment w:val="baseline"/>
        <w:rPr>
          <w:szCs w:val="20"/>
        </w:rPr>
      </w:pPr>
      <w:r>
        <w:t>insta a la CE a colaborar estrechamente con los EM, los entes locales y las organizaciones de la sociedad civil para que aprovechen de la manera más eficaz y rápida posible las oportunidades de ayuda a las regiones afectadas. Las organizaciones de la sociedad civil, los trabajadores, las pymes y las ONG se han visto gravemente afectadas por las catástrofes naturales y una parte sustancial de los fondos debe destinarse a ellos;</w:t>
      </w:r>
    </w:p>
    <w:p w:rsidRPr="0089162C" w:rsidR="0089162C" w:rsidP="00B60D9A" w:rsidRDefault="0089162C" w14:paraId="2C5588EF" w14:textId="77777777">
      <w:pPr>
        <w:widowControl w:val="0"/>
        <w:numPr>
          <w:ilvl w:val="0"/>
          <w:numId w:val="30"/>
        </w:numPr>
        <w:overflowPunct w:val="0"/>
        <w:autoSpaceDE w:val="0"/>
        <w:autoSpaceDN w:val="0"/>
        <w:adjustRightInd w:val="0"/>
        <w:ind w:left="284" w:hanging="284"/>
        <w:textAlignment w:val="baseline"/>
        <w:rPr>
          <w:szCs w:val="20"/>
        </w:rPr>
      </w:pPr>
      <w:r>
        <w:t>además, recomienda que:</w:t>
      </w:r>
    </w:p>
    <w:p w:rsidRPr="0089162C" w:rsidR="0089162C" w:rsidP="003F1917" w:rsidRDefault="0089162C" w14:paraId="6872F896" w14:textId="77777777">
      <w:pPr>
        <w:widowControl w:val="0"/>
        <w:numPr>
          <w:ilvl w:val="0"/>
          <w:numId w:val="9"/>
        </w:numPr>
        <w:overflowPunct w:val="0"/>
        <w:autoSpaceDE w:val="0"/>
        <w:autoSpaceDN w:val="0"/>
        <w:adjustRightInd w:val="0"/>
        <w:ind w:left="567" w:hanging="283"/>
        <w:textAlignment w:val="baseline"/>
        <w:rPr>
          <w:szCs w:val="20"/>
        </w:rPr>
      </w:pPr>
      <w:r>
        <w:t>se formalice a nivel de la UE un procedimiento de reconocimiento rápido de las catástrofes naturales;</w:t>
      </w:r>
    </w:p>
    <w:p w:rsidRPr="0089162C" w:rsidR="0089162C" w:rsidP="003F1917" w:rsidRDefault="0089162C" w14:paraId="1DB78270" w14:textId="77777777">
      <w:pPr>
        <w:widowControl w:val="0"/>
        <w:numPr>
          <w:ilvl w:val="0"/>
          <w:numId w:val="9"/>
        </w:numPr>
        <w:overflowPunct w:val="0"/>
        <w:autoSpaceDE w:val="0"/>
        <w:autoSpaceDN w:val="0"/>
        <w:adjustRightInd w:val="0"/>
        <w:ind w:left="567" w:hanging="283"/>
        <w:textAlignment w:val="baseline"/>
        <w:rPr>
          <w:szCs w:val="20"/>
        </w:rPr>
      </w:pPr>
      <w:r>
        <w:t>se prevea la creación de un fondo específico de la UE para catástrofes climáticas con el fin de responder eficazmente a las crisis graves sin comprometer las políticas estructurales financiadas por el Feader o la política agrícola común (PAC). Dicho fondo, complementario al Fondo de Solidaridad de la Unión Europea, garantizaría la sostenibilidad de ayudas futuras en un contexto de incremento de riesgos graves;</w:t>
      </w:r>
    </w:p>
    <w:p w:rsidR="0089162C" w:rsidP="003F1917" w:rsidRDefault="0089162C" w14:paraId="2413C467" w14:textId="77777777">
      <w:pPr>
        <w:widowControl w:val="0"/>
        <w:numPr>
          <w:ilvl w:val="0"/>
          <w:numId w:val="9"/>
        </w:numPr>
        <w:overflowPunct w:val="0"/>
        <w:autoSpaceDE w:val="0"/>
        <w:autoSpaceDN w:val="0"/>
        <w:adjustRightInd w:val="0"/>
        <w:ind w:left="567" w:hanging="283"/>
        <w:textAlignment w:val="baseline"/>
        <w:rPr>
          <w:szCs w:val="20"/>
        </w:rPr>
      </w:pPr>
      <w:r>
        <w:t>las adaptaciones del Reglamento se encuadren en el marco estratégico más amplio de la visión a largo plazo para las zonas rurales, que garantiza la coherencia entre la ayuda de emergencia, la resiliencia territorial y el desarrollo rural sostenible;</w:t>
      </w:r>
    </w:p>
    <w:p w:rsidR="0089162C" w:rsidP="003F1917" w:rsidRDefault="0089162C" w14:paraId="2562625C" w14:textId="77777777">
      <w:pPr>
        <w:widowControl w:val="0"/>
        <w:numPr>
          <w:ilvl w:val="0"/>
          <w:numId w:val="31"/>
        </w:numPr>
        <w:overflowPunct w:val="0"/>
        <w:autoSpaceDE w:val="0"/>
        <w:autoSpaceDN w:val="0"/>
        <w:adjustRightInd w:val="0"/>
        <w:ind w:left="567" w:hanging="283"/>
        <w:textAlignment w:val="baseline"/>
        <w:rPr>
          <w:szCs w:val="20"/>
        </w:rPr>
      </w:pPr>
      <w:r>
        <w:t xml:space="preserve">considera que la UE necesita un nuevo mecanismo de financiación estable y sólido que sea adaptable, flexible y esté preparado para responder a crisis nuevas y emergentes en los próximos años; </w:t>
      </w:r>
    </w:p>
    <w:p w:rsidR="0089162C" w:rsidP="00B60D9A" w:rsidRDefault="0089162C" w14:paraId="4A642D13" w14:textId="77777777">
      <w:pPr>
        <w:widowControl w:val="0"/>
        <w:numPr>
          <w:ilvl w:val="0"/>
          <w:numId w:val="31"/>
        </w:numPr>
        <w:overflowPunct w:val="0"/>
        <w:autoSpaceDE w:val="0"/>
        <w:autoSpaceDN w:val="0"/>
        <w:adjustRightInd w:val="0"/>
        <w:ind w:left="567" w:hanging="283"/>
        <w:textAlignment w:val="baseline"/>
        <w:rPr>
          <w:szCs w:val="20"/>
        </w:rPr>
      </w:pPr>
      <w:r>
        <w:lastRenderedPageBreak/>
        <w:t>por último, pide una mayor coordinación entre los distintos instrumentos europeos de respuesta a las catástrofes y el establecimiento de un marco de prevención estructurado que incluya la creación de una ventanilla única destinada a las regiones ultraperiféricas, un mecanismo de alerta rápida sobre el clima para dichas regiones y procedimientos administrativos simplificados de concesión de ayudas.</w:t>
      </w:r>
    </w:p>
    <w:p w:rsidRPr="0089162C" w:rsidR="00C2185C" w:rsidP="00B60D9A" w:rsidRDefault="00C2185C" w14:paraId="7946C4EC" w14:textId="77777777">
      <w:pPr>
        <w:widowControl w:val="0"/>
        <w:overflowPunct w:val="0"/>
        <w:autoSpaceDE w:val="0"/>
        <w:autoSpaceDN w:val="0"/>
        <w:adjustRightInd w:val="0"/>
        <w:ind w:left="284"/>
        <w:textAlignment w:val="baseline"/>
        <w:rPr>
          <w:szCs w:val="20"/>
          <w:lang w:val="en-GB"/>
        </w:rPr>
      </w:pPr>
    </w:p>
    <w:tbl>
      <w:tblPr>
        <w:tblStyle w:val="TableGrid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89162C" w:rsidR="0089162C" w:rsidTr="002B1C51" w14:paraId="2AFA9E15" w14:textId="77777777">
        <w:tc>
          <w:tcPr>
            <w:tcW w:w="2235" w:type="dxa"/>
          </w:tcPr>
          <w:p w:rsidRPr="0089162C" w:rsidR="0089162C" w:rsidP="0089162C" w:rsidRDefault="0089162C" w14:paraId="3856C519" w14:textId="4B0C99D7">
            <w:pPr>
              <w:overflowPunct w:val="0"/>
              <w:autoSpaceDE w:val="0"/>
              <w:autoSpaceDN w:val="0"/>
              <w:adjustRightInd w:val="0"/>
              <w:spacing w:line="240" w:lineRule="auto"/>
              <w:textAlignment w:val="baseline"/>
              <w:rPr>
                <w:i/>
              </w:rPr>
            </w:pPr>
            <w:r>
              <w:rPr>
                <w:b/>
                <w:i/>
              </w:rPr>
              <w:t>Contacto:</w:t>
            </w:r>
          </w:p>
        </w:tc>
        <w:tc>
          <w:tcPr>
            <w:tcW w:w="4853" w:type="dxa"/>
          </w:tcPr>
          <w:p w:rsidRPr="0089162C" w:rsidR="0089162C" w:rsidP="0089162C" w:rsidRDefault="0089162C" w14:paraId="73D41A1C" w14:textId="77777777">
            <w:pPr>
              <w:overflowPunct w:val="0"/>
              <w:autoSpaceDE w:val="0"/>
              <w:autoSpaceDN w:val="0"/>
              <w:adjustRightInd w:val="0"/>
              <w:spacing w:line="240" w:lineRule="auto"/>
              <w:textAlignment w:val="baseline"/>
              <w:rPr>
                <w:i/>
              </w:rPr>
            </w:pPr>
            <w:r>
              <w:rPr>
                <w:i/>
              </w:rPr>
              <w:t>Georgios Meleas</w:t>
            </w:r>
          </w:p>
        </w:tc>
      </w:tr>
      <w:tr w:rsidRPr="0089162C" w:rsidR="0089162C" w:rsidTr="002B1C51" w14:paraId="51D98A7C" w14:textId="77777777">
        <w:tc>
          <w:tcPr>
            <w:tcW w:w="2235" w:type="dxa"/>
          </w:tcPr>
          <w:p w:rsidRPr="0089162C" w:rsidR="0089162C" w:rsidP="0089162C" w:rsidRDefault="0089162C" w14:paraId="6B8F537C" w14:textId="3D76B63B">
            <w:pPr>
              <w:overflowPunct w:val="0"/>
              <w:autoSpaceDE w:val="0"/>
              <w:autoSpaceDN w:val="0"/>
              <w:adjustRightInd w:val="0"/>
              <w:spacing w:line="240" w:lineRule="auto"/>
              <w:textAlignment w:val="baseline"/>
              <w:rPr>
                <w:i/>
              </w:rPr>
            </w:pPr>
            <w:r>
              <w:rPr>
                <w:i/>
              </w:rPr>
              <w:t>Teléfono:</w:t>
            </w:r>
          </w:p>
        </w:tc>
        <w:tc>
          <w:tcPr>
            <w:tcW w:w="4853" w:type="dxa"/>
          </w:tcPr>
          <w:p w:rsidRPr="0089162C" w:rsidR="0089162C" w:rsidP="0089162C" w:rsidRDefault="0089162C" w14:paraId="74829D4D" w14:textId="0E39C935">
            <w:pPr>
              <w:overflowPunct w:val="0"/>
              <w:autoSpaceDE w:val="0"/>
              <w:autoSpaceDN w:val="0"/>
              <w:adjustRightInd w:val="0"/>
              <w:spacing w:line="240" w:lineRule="auto"/>
              <w:textAlignment w:val="baseline"/>
              <w:rPr>
                <w:i/>
              </w:rPr>
            </w:pPr>
            <w:r>
              <w:rPr>
                <w:i/>
              </w:rPr>
              <w:t>+32 2 5469795</w:t>
            </w:r>
          </w:p>
        </w:tc>
      </w:tr>
      <w:tr w:rsidRPr="0089162C" w:rsidR="0089162C" w:rsidTr="002B1C51" w14:paraId="443155D9" w14:textId="77777777">
        <w:tc>
          <w:tcPr>
            <w:tcW w:w="2235" w:type="dxa"/>
          </w:tcPr>
          <w:p w:rsidRPr="0089162C" w:rsidR="0089162C" w:rsidP="0089162C" w:rsidRDefault="00C86ABE" w14:paraId="21A28619" w14:textId="4E3177B1">
            <w:pPr>
              <w:overflowPunct w:val="0"/>
              <w:autoSpaceDE w:val="0"/>
              <w:autoSpaceDN w:val="0"/>
              <w:adjustRightInd w:val="0"/>
              <w:spacing w:line="240" w:lineRule="auto"/>
              <w:textAlignment w:val="baseline"/>
              <w:rPr>
                <w:i/>
              </w:rPr>
            </w:pPr>
            <w:r>
              <w:rPr>
                <w:i/>
              </w:rPr>
              <w:t>Correo electrónico:</w:t>
            </w:r>
          </w:p>
        </w:tc>
        <w:tc>
          <w:tcPr>
            <w:tcW w:w="4853" w:type="dxa"/>
          </w:tcPr>
          <w:p w:rsidRPr="0089162C" w:rsidR="0089162C" w:rsidP="0089162C" w:rsidRDefault="000E38A8" w14:paraId="72FF38C2" w14:textId="5AC9978B">
            <w:pPr>
              <w:overflowPunct w:val="0"/>
              <w:autoSpaceDE w:val="0"/>
              <w:autoSpaceDN w:val="0"/>
              <w:adjustRightInd w:val="0"/>
              <w:spacing w:line="240" w:lineRule="auto"/>
              <w:textAlignment w:val="baseline"/>
              <w:rPr>
                <w:i/>
                <w:iCs/>
              </w:rPr>
            </w:pPr>
            <w:hyperlink w:history="1" r:id="rId29">
              <w:r w:rsidR="00381CCE">
                <w:rPr>
                  <w:i/>
                  <w:color w:val="0000FF"/>
                  <w:u w:val="single"/>
                </w:rPr>
                <w:t>GeorgiosMeleas@eesc.europa.eu</w:t>
              </w:r>
            </w:hyperlink>
          </w:p>
        </w:tc>
      </w:tr>
    </w:tbl>
    <w:p w:rsidR="0089162C" w:rsidP="004D7AC0" w:rsidRDefault="0089162C" w14:paraId="4982DD98" w14:textId="687F4A7D">
      <w:pPr>
        <w:spacing w:after="160" w:line="259" w:lineRule="auto"/>
        <w:jc w:val="left"/>
      </w:pPr>
    </w:p>
    <w:p w:rsidR="0089162C" w:rsidRDefault="0089162C" w14:paraId="76598F99" w14:textId="77777777">
      <w:pPr>
        <w:spacing w:after="160" w:line="259" w:lineRule="auto"/>
        <w:jc w:val="left"/>
      </w:pPr>
      <w:r>
        <w:br w:type="page"/>
      </w:r>
    </w:p>
    <w:p w:rsidR="004D7AC0" w:rsidP="004D7AC0" w:rsidRDefault="004D7AC0" w14:paraId="4982DD99" w14:textId="77777777">
      <w:pPr>
        <w:pStyle w:val="Heading1"/>
        <w:rPr>
          <w:b/>
        </w:rPr>
      </w:pPr>
      <w:bookmarkStart w:name="_Toc75527081" w:id="2"/>
      <w:bookmarkStart w:name="_Toc201570895" w:id="3"/>
      <w:r>
        <w:rPr>
          <w:b/>
        </w:rPr>
        <w:lastRenderedPageBreak/>
        <w:t>EMPLEO, ASUNTOS SOCIALES Y CIUDADANÍA</w:t>
      </w:r>
      <w:bookmarkEnd w:id="2"/>
      <w:bookmarkEnd w:id="3"/>
    </w:p>
    <w:p w:rsidR="004D7AC0" w:rsidP="004D7AC0" w:rsidRDefault="004D7AC0" w14:paraId="4982DD9A" w14:textId="77777777"/>
    <w:p w:rsidRPr="00BE355C" w:rsidR="00BE355C" w:rsidP="00B60D9A" w:rsidRDefault="000E38A8" w14:paraId="36F6D783" w14:textId="02C78BF6">
      <w:pPr>
        <w:widowControl w:val="0"/>
        <w:numPr>
          <w:ilvl w:val="0"/>
          <w:numId w:val="11"/>
        </w:numPr>
        <w:overflowPunct w:val="0"/>
        <w:autoSpaceDE w:val="0"/>
        <w:autoSpaceDN w:val="0"/>
        <w:adjustRightInd w:val="0"/>
        <w:spacing w:line="276" w:lineRule="auto"/>
        <w:ind w:left="567" w:hanging="567"/>
        <w:textAlignment w:val="baseline"/>
        <w:rPr>
          <w:b/>
        </w:rPr>
      </w:pPr>
      <w:hyperlink w:history="1" r:id="rId30">
        <w:r w:rsidR="00BE355C">
          <w:rPr>
            <w:b/>
            <w:i/>
            <w:color w:val="0000FF"/>
            <w:sz w:val="28"/>
            <w:u w:val="single"/>
          </w:rPr>
          <w:t>Mejorar la migración laboral legal y organizada hacia la UE</w:t>
        </w:r>
      </w:hyperlink>
    </w:p>
    <w:p w:rsidRPr="002B1C51" w:rsidR="001C720D" w:rsidP="00B60D9A" w:rsidRDefault="001C720D" w14:paraId="13148018" w14:textId="77777777">
      <w:pPr>
        <w:tabs>
          <w:tab w:val="center" w:pos="284"/>
        </w:tabs>
        <w:overflowPunct w:val="0"/>
        <w:autoSpaceDE w:val="0"/>
        <w:autoSpaceDN w:val="0"/>
        <w:adjustRightInd w:val="0"/>
        <w:spacing w:line="276" w:lineRule="auto"/>
        <w:ind w:left="567" w:hanging="567"/>
        <w:textAlignment w:val="baseline"/>
        <w:rPr>
          <w:lang w:val="en-GB"/>
        </w:rPr>
      </w:pP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BE355C" w:rsidR="00BE355C" w:rsidTr="001757A2" w14:paraId="33AF8D5F" w14:textId="77777777">
        <w:tc>
          <w:tcPr>
            <w:tcW w:w="1701" w:type="dxa"/>
          </w:tcPr>
          <w:p w:rsidRPr="00BE355C" w:rsidR="00BE355C" w:rsidP="00B60D9A" w:rsidRDefault="00BE355C" w14:paraId="16316613" w14:textId="77777777">
            <w:pPr>
              <w:tabs>
                <w:tab w:val="center" w:pos="284"/>
              </w:tabs>
              <w:overflowPunct w:val="0"/>
              <w:autoSpaceDE w:val="0"/>
              <w:autoSpaceDN w:val="0"/>
              <w:adjustRightInd w:val="0"/>
              <w:spacing w:line="276" w:lineRule="auto"/>
              <w:ind w:left="567" w:hanging="567"/>
              <w:textAlignment w:val="baseline"/>
              <w:rPr>
                <w:b/>
              </w:rPr>
            </w:pPr>
            <w:r>
              <w:rPr>
                <w:b/>
              </w:rPr>
              <w:t>Ponente</w:t>
            </w:r>
          </w:p>
          <w:p w:rsidRPr="00BE355C" w:rsidR="00BE355C" w:rsidP="00B60D9A" w:rsidRDefault="00BE355C" w14:paraId="0025A88B" w14:textId="77777777">
            <w:pPr>
              <w:tabs>
                <w:tab w:val="center" w:pos="284"/>
              </w:tabs>
              <w:overflowPunct w:val="0"/>
              <w:autoSpaceDE w:val="0"/>
              <w:autoSpaceDN w:val="0"/>
              <w:adjustRightInd w:val="0"/>
              <w:spacing w:line="276" w:lineRule="auto"/>
              <w:ind w:left="567" w:hanging="567"/>
              <w:textAlignment w:val="baseline"/>
              <w:rPr>
                <w:b/>
                <w:lang w:val="en-GB"/>
              </w:rPr>
            </w:pPr>
          </w:p>
        </w:tc>
        <w:tc>
          <w:tcPr>
            <w:tcW w:w="6237" w:type="dxa"/>
          </w:tcPr>
          <w:p w:rsidRPr="00BE355C" w:rsidR="00BE355C" w:rsidP="00B60D9A" w:rsidRDefault="00BE355C" w14:paraId="3FBF9478" w14:textId="77777777">
            <w:pPr>
              <w:overflowPunct w:val="0"/>
              <w:autoSpaceDE w:val="0"/>
              <w:autoSpaceDN w:val="0"/>
              <w:adjustRightInd w:val="0"/>
              <w:spacing w:line="276" w:lineRule="auto"/>
              <w:ind w:left="567" w:hanging="567"/>
              <w:textAlignment w:val="baseline"/>
            </w:pPr>
            <w:r>
              <w:t>Thomas WAGNSONNER (Grupo de Trabajadores – AT)</w:t>
            </w:r>
          </w:p>
        </w:tc>
      </w:tr>
      <w:tr w:rsidRPr="00BE355C" w:rsidR="00BE355C" w:rsidTr="001757A2" w14:paraId="54C7ED21" w14:textId="77777777">
        <w:tc>
          <w:tcPr>
            <w:tcW w:w="1701" w:type="dxa"/>
          </w:tcPr>
          <w:p w:rsidRPr="00BE355C" w:rsidR="00BE355C" w:rsidP="00B60D9A" w:rsidRDefault="00BE355C" w14:paraId="70CF4C33" w14:textId="2F766AA2">
            <w:pPr>
              <w:tabs>
                <w:tab w:val="center" w:pos="284"/>
              </w:tabs>
              <w:overflowPunct w:val="0"/>
              <w:autoSpaceDE w:val="0"/>
              <w:autoSpaceDN w:val="0"/>
              <w:adjustRightInd w:val="0"/>
              <w:spacing w:line="276" w:lineRule="auto"/>
              <w:ind w:left="567" w:hanging="567"/>
              <w:textAlignment w:val="baseline"/>
              <w:rPr>
                <w:b/>
              </w:rPr>
            </w:pPr>
            <w:r>
              <w:rPr>
                <w:b/>
              </w:rPr>
              <w:t>Referencia</w:t>
            </w:r>
          </w:p>
        </w:tc>
        <w:tc>
          <w:tcPr>
            <w:tcW w:w="6237" w:type="dxa"/>
          </w:tcPr>
          <w:p w:rsidR="001A0F35" w:rsidP="00B60D9A" w:rsidRDefault="001A0F35" w14:paraId="33355221" w14:textId="13608625">
            <w:pPr>
              <w:tabs>
                <w:tab w:val="center" w:pos="284"/>
              </w:tabs>
              <w:overflowPunct w:val="0"/>
              <w:autoSpaceDE w:val="0"/>
              <w:autoSpaceDN w:val="0"/>
              <w:adjustRightInd w:val="0"/>
              <w:spacing w:line="276" w:lineRule="auto"/>
              <w:ind w:left="567" w:hanging="567"/>
              <w:textAlignment w:val="baseline"/>
            </w:pPr>
            <w:r>
              <w:t>Dictamen de iniciativa</w:t>
            </w:r>
          </w:p>
          <w:p w:rsidRPr="00BE355C" w:rsidR="00BE355C" w:rsidP="00B60D9A" w:rsidRDefault="00BE355C" w14:paraId="5BAB46CC" w14:textId="0DAE5994">
            <w:pPr>
              <w:tabs>
                <w:tab w:val="center" w:pos="284"/>
              </w:tabs>
              <w:overflowPunct w:val="0"/>
              <w:autoSpaceDE w:val="0"/>
              <w:autoSpaceDN w:val="0"/>
              <w:adjustRightInd w:val="0"/>
              <w:spacing w:line="276" w:lineRule="auto"/>
              <w:ind w:left="567" w:hanging="567"/>
              <w:textAlignment w:val="baseline"/>
            </w:pPr>
            <w:r>
              <w:t>EESC-2025-00142-00-00-AC</w:t>
            </w:r>
          </w:p>
        </w:tc>
      </w:tr>
    </w:tbl>
    <w:p w:rsidR="002B1C51" w:rsidP="00B60D9A" w:rsidRDefault="002B1C51" w14:paraId="15FF8142" w14:textId="77777777">
      <w:pPr>
        <w:keepNext/>
        <w:keepLines/>
        <w:tabs>
          <w:tab w:val="center" w:pos="284"/>
        </w:tabs>
        <w:overflowPunct w:val="0"/>
        <w:autoSpaceDE w:val="0"/>
        <w:autoSpaceDN w:val="0"/>
        <w:adjustRightInd w:val="0"/>
        <w:spacing w:line="276" w:lineRule="auto"/>
        <w:ind w:left="266" w:hanging="266"/>
        <w:textAlignment w:val="baseline"/>
        <w:rPr>
          <w:b/>
        </w:rPr>
      </w:pPr>
    </w:p>
    <w:p w:rsidRPr="00BE355C" w:rsidR="00BE355C" w:rsidP="00B60D9A" w:rsidRDefault="00BE355C" w14:paraId="60E5618C" w14:textId="0096030C">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BE355C" w:rsidR="00942860" w:rsidP="00B60D9A" w:rsidRDefault="00BE355C" w14:paraId="0E2FB7E6" w14:textId="74AF2860">
      <w:pPr>
        <w:spacing w:before="100" w:beforeAutospacing="1" w:after="100" w:afterAutospacing="1" w:line="276" w:lineRule="auto"/>
        <w:jc w:val="left"/>
      </w:pPr>
      <w:r>
        <w:t>El CESE:</w:t>
      </w:r>
    </w:p>
    <w:p w:rsidR="00942860" w:rsidP="00942860" w:rsidRDefault="00BE355C" w14:paraId="1AD6268F" w14:textId="7EACF21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subraya que </w:t>
      </w:r>
      <w:r>
        <w:rPr>
          <w:b/>
        </w:rPr>
        <w:t>promover la migración laboral legal y organizada hacia la UE</w:t>
      </w:r>
      <w:r>
        <w:t xml:space="preserve"> y las </w:t>
      </w:r>
      <w:r>
        <w:rPr>
          <w:b/>
        </w:rPr>
        <w:t>políticas e instrumentos conexos de la Unión</w:t>
      </w:r>
      <w:r>
        <w:t xml:space="preserve"> debe basarse en </w:t>
      </w:r>
      <w:r>
        <w:rPr>
          <w:b/>
        </w:rPr>
        <w:t>los derechos humanos, el Estado de Derecho</w:t>
      </w:r>
      <w:r>
        <w:t xml:space="preserve">, la </w:t>
      </w:r>
      <w:r>
        <w:rPr>
          <w:b/>
        </w:rPr>
        <w:t>integración</w:t>
      </w:r>
      <w:r>
        <w:t xml:space="preserve"> de los nacionales de terceros países en el mercado laboral, el respeto de </w:t>
      </w:r>
      <w:r>
        <w:rPr>
          <w:b/>
        </w:rPr>
        <w:t>los valores comunes de la Unión</w:t>
      </w:r>
      <w:r>
        <w:t xml:space="preserve"> y </w:t>
      </w:r>
      <w:r>
        <w:rPr>
          <w:b/>
        </w:rPr>
        <w:t>el cumplimiento</w:t>
      </w:r>
      <w:r>
        <w:t xml:space="preserve"> de </w:t>
      </w:r>
      <w:r>
        <w:rPr>
          <w:b/>
        </w:rPr>
        <w:t>los instrumentos jurídicos internacionales vinculantes</w:t>
      </w:r>
      <w:r>
        <w:t xml:space="preserve"> que resultan pertinentes en materia de migración y derechos humanos y laborales;</w:t>
      </w:r>
    </w:p>
    <w:p w:rsidRPr="00942860" w:rsidR="00BE355C" w:rsidP="00B60D9A" w:rsidRDefault="00BE355C" w14:paraId="5D0A618B" w14:textId="7640464E">
      <w:pPr>
        <w:pStyle w:val="ListParagraph"/>
        <w:numPr>
          <w:ilvl w:val="0"/>
          <w:numId w:val="32"/>
        </w:numPr>
        <w:overflowPunct w:val="0"/>
        <w:autoSpaceDE w:val="0"/>
        <w:autoSpaceDN w:val="0"/>
        <w:adjustRightInd w:val="0"/>
        <w:spacing w:before="100" w:beforeAutospacing="1" w:after="100" w:afterAutospacing="1"/>
        <w:ind w:left="284" w:hanging="284"/>
        <w:textAlignment w:val="baseline"/>
      </w:pPr>
      <w:r>
        <w:t xml:space="preserve">pide que se adopte en todos los marcos actuales y futuros en materia de migración un </w:t>
      </w:r>
      <w:r>
        <w:rPr>
          <w:b/>
        </w:rPr>
        <w:t>enfoque equilibrado</w:t>
      </w:r>
      <w:r>
        <w:t xml:space="preserve"> entre </w:t>
      </w:r>
      <w:r>
        <w:rPr>
          <w:b/>
        </w:rPr>
        <w:t>la UE y los países de origen</w:t>
      </w:r>
      <w:r>
        <w:t xml:space="preserve">; subraya la importancia de </w:t>
      </w:r>
      <w:r>
        <w:rPr>
          <w:b/>
        </w:rPr>
        <w:t>mitigar el riesgo de fuga de cerebros</w:t>
      </w:r>
      <w:r>
        <w:t xml:space="preserve"> a través del </w:t>
      </w:r>
      <w:r>
        <w:rPr>
          <w:b/>
        </w:rPr>
        <w:t>crecimiento económico y el empleo digno</w:t>
      </w:r>
      <w:r>
        <w:t xml:space="preserve"> en los países de origen, con el apoyo de la política de cohesión de la UE. Los </w:t>
      </w:r>
      <w:r>
        <w:rPr>
          <w:b/>
        </w:rPr>
        <w:t>interlocutores sociales</w:t>
      </w:r>
      <w:r>
        <w:t xml:space="preserve"> de ambas partes, en consonancia con las circunstancias y prácticas nacionales, deben </w:t>
      </w:r>
      <w:r>
        <w:rPr>
          <w:b/>
        </w:rPr>
        <w:t>participar de manera institucionalizada</w:t>
      </w:r>
      <w:r>
        <w:t xml:space="preserve"> con el fin de </w:t>
      </w:r>
      <w:r>
        <w:rPr>
          <w:b/>
        </w:rPr>
        <w:t>determinar las oportunidades, los riesgos y los retos</w:t>
      </w:r>
      <w:r>
        <w:t xml:space="preserve"> para los mercados laborales nacionales, de modo que pasen a formar parte de un </w:t>
      </w:r>
      <w:r>
        <w:rPr>
          <w:b/>
        </w:rPr>
        <w:t>sólido marco de seguimiento</w:t>
      </w:r>
      <w:r>
        <w:t xml:space="preserve"> de todos los acuerdos bilaterales de migración laboral;</w:t>
      </w:r>
    </w:p>
    <w:p w:rsidRPr="00BE355C" w:rsidR="00BE355C" w:rsidP="00B60D9A" w:rsidRDefault="00BE355C" w14:paraId="724CFAB1"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señala que </w:t>
      </w:r>
      <w:r>
        <w:rPr>
          <w:b/>
        </w:rPr>
        <w:t>una forma eficaz de mitigar el riesgo de fuga de cerebros puede ser</w:t>
      </w:r>
      <w:r>
        <w:t xml:space="preserve"> impartir una </w:t>
      </w:r>
      <w:r>
        <w:rPr>
          <w:b/>
        </w:rPr>
        <w:t>formación previa y posterior a la salida</w:t>
      </w:r>
      <w:r>
        <w:t xml:space="preserve"> que consista en programas de integración social y profesional y de desarrollo de capacidades en los países de origen, en los que participe una determinada proporción de trabajadores que permanezcan en dichos países con el fin de promover el desarrollo social y económico;</w:t>
      </w:r>
    </w:p>
    <w:p w:rsidRPr="00BE355C" w:rsidR="00BE355C" w:rsidP="00B60D9A" w:rsidRDefault="00BE355C" w14:paraId="0E3A5968"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apunta que debe </w:t>
      </w:r>
      <w:r>
        <w:rPr>
          <w:b/>
        </w:rPr>
        <w:t>promoverse la igualdad de derechos</w:t>
      </w:r>
      <w:r>
        <w:t xml:space="preserve"> para los </w:t>
      </w:r>
      <w:r>
        <w:rPr>
          <w:b/>
        </w:rPr>
        <w:t>trabajadores migrantes de terceros países en todos los niveles de competencia</w:t>
      </w:r>
      <w:r>
        <w:t xml:space="preserve">. Las medidas que se adopten al respecto, como facilitar el acceso a información, orientación y formación previa a la salida y posterior a la llegada o a la justicia para interponer denuncias y obtener reparación, han de reforzar </w:t>
      </w:r>
      <w:r>
        <w:rPr>
          <w:b/>
        </w:rPr>
        <w:t>la protección</w:t>
      </w:r>
      <w:r>
        <w:t xml:space="preserve"> de esos trabajadores </w:t>
      </w:r>
      <w:r>
        <w:rPr>
          <w:b/>
        </w:rPr>
        <w:t>a lo largo de todo el ciclo migratorio</w:t>
      </w:r>
      <w:r>
        <w:t>;</w:t>
      </w:r>
    </w:p>
    <w:p w:rsidRPr="00BE355C" w:rsidR="00BE355C" w:rsidP="00B60D9A" w:rsidRDefault="00BE355C" w14:paraId="6F849D0E"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señala que </w:t>
      </w:r>
      <w:r>
        <w:rPr>
          <w:b/>
        </w:rPr>
        <w:t>las asociaciones internacionales en materia de competencias y movilidad</w:t>
      </w:r>
      <w:r>
        <w:t xml:space="preserve"> pueden </w:t>
      </w:r>
      <w:r>
        <w:rPr>
          <w:b/>
        </w:rPr>
        <w:t>reforzar los mercados laborales nacionales</w:t>
      </w:r>
      <w:r>
        <w:t xml:space="preserve"> al lograr una correspondencia entre la oferta y la demanda de mano de obra, transferir capacidades a todos los niveles y maximizar la «ganancia de cerebros», al mismo tiempo que abordan la fuga de cerebros e impulsan la competitividad y el crecimiento tanto en los países de origen como en los de destino;</w:t>
      </w:r>
    </w:p>
    <w:p w:rsidR="00055407" w:rsidP="002B1C51" w:rsidRDefault="00BE355C" w14:paraId="19560E5B" w14:textId="71C85358">
      <w:pPr>
        <w:numPr>
          <w:ilvl w:val="0"/>
          <w:numId w:val="32"/>
        </w:numPr>
        <w:overflowPunct w:val="0"/>
        <w:autoSpaceDE w:val="0"/>
        <w:autoSpaceDN w:val="0"/>
        <w:adjustRightInd w:val="0"/>
        <w:spacing w:before="100" w:beforeAutospacing="1" w:after="100" w:afterAutospacing="1"/>
        <w:ind w:left="284" w:hanging="284"/>
        <w:textAlignment w:val="baseline"/>
      </w:pPr>
      <w:r>
        <w:t xml:space="preserve">señala que, en la actualidad, las asociaciones en materia de talentos </w:t>
      </w:r>
      <w:r>
        <w:rPr>
          <w:b/>
        </w:rPr>
        <w:t>carecen de</w:t>
      </w:r>
      <w:r>
        <w:t xml:space="preserve"> un </w:t>
      </w:r>
      <w:r>
        <w:rPr>
          <w:b/>
        </w:rPr>
        <w:t>marco común</w:t>
      </w:r>
      <w:r>
        <w:t xml:space="preserve"> y de </w:t>
      </w:r>
      <w:r>
        <w:rPr>
          <w:b/>
        </w:rPr>
        <w:t>transparencia en las negociaciones</w:t>
      </w:r>
      <w:r>
        <w:t xml:space="preserve"> y pide a la </w:t>
      </w:r>
      <w:r>
        <w:rPr>
          <w:b/>
        </w:rPr>
        <w:t>Comisión Europea que presente un plan de acción</w:t>
      </w:r>
      <w:r>
        <w:t xml:space="preserve"> con las </w:t>
      </w:r>
      <w:r>
        <w:rPr>
          <w:b/>
        </w:rPr>
        <w:t>próximas etapas</w:t>
      </w:r>
      <w:r>
        <w:t xml:space="preserve"> de las asociaciones en materia de talentos, las enseñanzas </w:t>
      </w:r>
      <w:r>
        <w:lastRenderedPageBreak/>
        <w:t>extraídas de los proyectos en curso y anteriores y políticas orientadas a aumentar la coherencia y facilitar una movilidad fluida;</w:t>
      </w:r>
    </w:p>
    <w:p w:rsidRPr="00BE355C" w:rsidR="00BE355C" w:rsidP="00B60D9A" w:rsidRDefault="00BE355C" w14:paraId="46A2EA98" w14:textId="77777777">
      <w:pPr>
        <w:numPr>
          <w:ilvl w:val="0"/>
          <w:numId w:val="32"/>
        </w:numPr>
        <w:overflowPunct w:val="0"/>
        <w:autoSpaceDE w:val="0"/>
        <w:autoSpaceDN w:val="0"/>
        <w:adjustRightInd w:val="0"/>
        <w:spacing w:before="100" w:beforeAutospacing="1" w:after="100" w:afterAutospacing="1"/>
        <w:ind w:left="284" w:hanging="284"/>
        <w:textAlignment w:val="baseline"/>
      </w:pPr>
      <w:r>
        <w:t xml:space="preserve">señala que </w:t>
      </w:r>
      <w:r>
        <w:rPr>
          <w:b/>
        </w:rPr>
        <w:t>la UE debe movilizar toda la mano de obra disponible</w:t>
      </w:r>
      <w:r>
        <w:t xml:space="preserve"> y </w:t>
      </w:r>
      <w:r>
        <w:rPr>
          <w:b/>
        </w:rPr>
        <w:t>reforzar la política migratoria</w:t>
      </w:r>
      <w:r>
        <w:t xml:space="preserve"> para contar con un mecanismo complementario con el que atraer y retener a trabajadores cualificados. Debe </w:t>
      </w:r>
      <w:r>
        <w:rPr>
          <w:b/>
        </w:rPr>
        <w:t>darse prioridad</w:t>
      </w:r>
      <w:r>
        <w:t xml:space="preserve"> a la </w:t>
      </w:r>
      <w:r>
        <w:rPr>
          <w:b/>
        </w:rPr>
        <w:t>activación</w:t>
      </w:r>
      <w:r>
        <w:t xml:space="preserve"> de la </w:t>
      </w:r>
      <w:r>
        <w:rPr>
          <w:b/>
        </w:rPr>
        <w:t>mano de obra interna de la UE</w:t>
      </w:r>
      <w:r>
        <w:t xml:space="preserve"> para dar respuesta a las necesidades y carencias a largo plazo del mercado laboral, prestando especial atención a los grupos infrautilizados, si bien </w:t>
      </w:r>
      <w:r>
        <w:rPr>
          <w:b/>
        </w:rPr>
        <w:t>en casos concretos debe respetarse el interés de las empresas de cubrir vacantes urgentes con trabajadores migrantes</w:t>
      </w:r>
      <w:r>
        <w:t xml:space="preserve">. </w:t>
      </w:r>
    </w:p>
    <w:tbl>
      <w:tblPr>
        <w:tblStyle w:val="TableGrid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3468"/>
      </w:tblGrid>
      <w:tr w:rsidRPr="00BE355C" w:rsidR="00BE355C" w:rsidTr="002B1C51" w14:paraId="526B6215" w14:textId="77777777">
        <w:tc>
          <w:tcPr>
            <w:tcW w:w="2235" w:type="dxa"/>
          </w:tcPr>
          <w:p w:rsidRPr="00BE355C" w:rsidR="00BE355C" w:rsidP="00BE355C" w:rsidRDefault="00BE355C" w14:paraId="730E9F62" w14:textId="77777777">
            <w:pPr>
              <w:overflowPunct w:val="0"/>
              <w:autoSpaceDE w:val="0"/>
              <w:autoSpaceDN w:val="0"/>
              <w:adjustRightInd w:val="0"/>
              <w:textAlignment w:val="baseline"/>
              <w:rPr>
                <w:i/>
              </w:rPr>
            </w:pPr>
            <w:r>
              <w:rPr>
                <w:b/>
                <w:i/>
              </w:rPr>
              <w:t>Contacto:</w:t>
            </w:r>
          </w:p>
        </w:tc>
        <w:tc>
          <w:tcPr>
            <w:tcW w:w="3468" w:type="dxa"/>
          </w:tcPr>
          <w:p w:rsidRPr="00BE355C" w:rsidR="00BE355C" w:rsidP="00BE355C" w:rsidRDefault="00BE355C" w14:paraId="13056E76" w14:textId="77777777">
            <w:pPr>
              <w:overflowPunct w:val="0"/>
              <w:autoSpaceDE w:val="0"/>
              <w:autoSpaceDN w:val="0"/>
              <w:adjustRightInd w:val="0"/>
              <w:ind w:hanging="12"/>
              <w:textAlignment w:val="baseline"/>
              <w:rPr>
                <w:i/>
              </w:rPr>
            </w:pPr>
            <w:r>
              <w:rPr>
                <w:i/>
              </w:rPr>
              <w:t>Triin Aasmaa Gomes</w:t>
            </w:r>
          </w:p>
        </w:tc>
      </w:tr>
      <w:tr w:rsidRPr="00BE355C" w:rsidR="00BE355C" w:rsidTr="002B1C51" w14:paraId="6C936FC0" w14:textId="77777777">
        <w:tc>
          <w:tcPr>
            <w:tcW w:w="2235" w:type="dxa"/>
          </w:tcPr>
          <w:p w:rsidRPr="00BE355C" w:rsidR="00BE355C" w:rsidP="00BE355C" w:rsidRDefault="00BE355C" w14:paraId="7C9EA8D3" w14:textId="77777777">
            <w:pPr>
              <w:overflowPunct w:val="0"/>
              <w:autoSpaceDE w:val="0"/>
              <w:autoSpaceDN w:val="0"/>
              <w:adjustRightInd w:val="0"/>
              <w:textAlignment w:val="baseline"/>
              <w:rPr>
                <w:i/>
              </w:rPr>
            </w:pPr>
            <w:r>
              <w:rPr>
                <w:i/>
              </w:rPr>
              <w:t>Teléfono:</w:t>
            </w:r>
          </w:p>
        </w:tc>
        <w:tc>
          <w:tcPr>
            <w:tcW w:w="3468" w:type="dxa"/>
          </w:tcPr>
          <w:p w:rsidRPr="00BE355C" w:rsidR="00BE355C" w:rsidP="00BE355C" w:rsidRDefault="00BE355C" w14:paraId="6DBFA7C0" w14:textId="3205846F">
            <w:pPr>
              <w:overflowPunct w:val="0"/>
              <w:autoSpaceDE w:val="0"/>
              <w:autoSpaceDN w:val="0"/>
              <w:adjustRightInd w:val="0"/>
              <w:textAlignment w:val="baseline"/>
              <w:rPr>
                <w:i/>
              </w:rPr>
            </w:pPr>
            <w:r>
              <w:rPr>
                <w:i/>
              </w:rPr>
              <w:t>+32 2 5469524</w:t>
            </w:r>
          </w:p>
        </w:tc>
      </w:tr>
      <w:tr w:rsidRPr="00BE355C" w:rsidR="00BE355C" w:rsidTr="002B1C51" w14:paraId="67ED56F5" w14:textId="77777777">
        <w:tc>
          <w:tcPr>
            <w:tcW w:w="2235" w:type="dxa"/>
          </w:tcPr>
          <w:p w:rsidRPr="00BE355C" w:rsidR="00BE355C" w:rsidP="00BE355C" w:rsidRDefault="00BE355C" w14:paraId="6F331474" w14:textId="77777777">
            <w:pPr>
              <w:overflowPunct w:val="0"/>
              <w:autoSpaceDE w:val="0"/>
              <w:autoSpaceDN w:val="0"/>
              <w:adjustRightInd w:val="0"/>
              <w:textAlignment w:val="baseline"/>
              <w:rPr>
                <w:i/>
              </w:rPr>
            </w:pPr>
            <w:r>
              <w:rPr>
                <w:i/>
              </w:rPr>
              <w:t>Correo electrónico:</w:t>
            </w:r>
          </w:p>
        </w:tc>
        <w:tc>
          <w:tcPr>
            <w:tcW w:w="3468" w:type="dxa"/>
          </w:tcPr>
          <w:p w:rsidRPr="00BE355C" w:rsidR="00BE355C" w:rsidP="00BE355C" w:rsidRDefault="000E38A8" w14:paraId="15A4A226" w14:textId="77777777">
            <w:pPr>
              <w:overflowPunct w:val="0"/>
              <w:autoSpaceDE w:val="0"/>
              <w:autoSpaceDN w:val="0"/>
              <w:adjustRightInd w:val="0"/>
              <w:textAlignment w:val="baseline"/>
              <w:rPr>
                <w:i/>
              </w:rPr>
            </w:pPr>
            <w:hyperlink w:history="1" r:id="rId31">
              <w:r w:rsidR="00381CCE">
                <w:rPr>
                  <w:i/>
                  <w:color w:val="0000FF"/>
                  <w:u w:val="single"/>
                </w:rPr>
                <w:t>Triin.AasmaaGomes@eesc.europa.eu</w:t>
              </w:r>
            </w:hyperlink>
          </w:p>
        </w:tc>
      </w:tr>
    </w:tbl>
    <w:p w:rsidR="001C720D" w:rsidRDefault="001C720D" w14:paraId="4556B587" w14:textId="1FF01C3D">
      <w:pPr>
        <w:spacing w:after="160" w:line="259" w:lineRule="auto"/>
        <w:jc w:val="left"/>
        <w:rPr>
          <w:lang w:val="en-GB"/>
        </w:rPr>
      </w:pPr>
    </w:p>
    <w:p w:rsidR="001C720D" w:rsidRDefault="001C720D" w14:paraId="59780EB9" w14:textId="77777777">
      <w:pPr>
        <w:spacing w:after="160" w:line="259" w:lineRule="auto"/>
        <w:jc w:val="left"/>
      </w:pPr>
      <w:r>
        <w:br w:type="page"/>
      </w:r>
    </w:p>
    <w:p w:rsidRPr="004721D7" w:rsidR="00AC3821" w:rsidP="00B60D9A" w:rsidRDefault="000E38A8" w14:paraId="58CDD314" w14:textId="3D002FD0">
      <w:pPr>
        <w:pStyle w:val="ListParagraph"/>
        <w:numPr>
          <w:ilvl w:val="0"/>
          <w:numId w:val="35"/>
        </w:numPr>
        <w:spacing w:after="160" w:line="259" w:lineRule="auto"/>
        <w:ind w:hanging="720"/>
        <w:jc w:val="left"/>
        <w:rPr>
          <w:b/>
          <w:bCs/>
          <w:i/>
          <w:iCs/>
          <w:color w:val="0000FF"/>
          <w:sz w:val="28"/>
          <w:szCs w:val="28"/>
          <w:u w:val="single"/>
        </w:rPr>
      </w:pPr>
      <w:hyperlink w:history="1" r:id="rId32">
        <w:r w:rsidR="00AC3821">
          <w:rPr>
            <w:b/>
            <w:i/>
            <w:color w:val="0000FF"/>
            <w:sz w:val="28"/>
            <w:u w:val="single"/>
          </w:rPr>
          <w:t>Nuevo plan de acción para la aplicación del pilar europeo de derechos sociales</w:t>
        </w:r>
      </w:hyperlink>
      <w:r w:rsidRPr="00AC3821" w:rsidR="00AC3821">
        <w:rPr>
          <w:b/>
          <w:i/>
          <w:sz w:val="28"/>
        </w:rPr>
        <w:fldChar w:fldCharType="begin"/>
      </w:r>
      <w:r w:rsidRPr="004721D7" w:rsidR="00AC3821">
        <w:rPr>
          <w:b/>
          <w:i/>
          <w:sz w:val="28"/>
        </w:rPr>
        <w:instrText>HYPERLINK "https://www.eesc.europa.eu/es/our-work/opinions-information-reports/opinions/new-action-plan-implementation-european-pillar-social-rights"</w:instrText>
      </w:r>
      <w:r w:rsidRPr="00AC3821" w:rsidR="00AC3821">
        <w:rPr>
          <w:b/>
          <w:i/>
          <w:sz w:val="28"/>
        </w:rPr>
        <w:fldChar w:fldCharType="separate"/>
      </w:r>
    </w:p>
    <w:p w:rsidRPr="002B1C51" w:rsidR="00AC3821" w:rsidP="00AC3821" w:rsidRDefault="00AC3821" w14:paraId="6B277B02" w14:textId="77777777">
      <w:pPr>
        <w:widowControl w:val="0"/>
        <w:overflowPunct w:val="0"/>
        <w:autoSpaceDE w:val="0"/>
        <w:autoSpaceDN w:val="0"/>
        <w:adjustRightInd w:val="0"/>
        <w:ind w:left="567"/>
        <w:textAlignment w:val="baseline"/>
        <w:rPr>
          <w:b/>
          <w:i/>
        </w:rPr>
      </w:pPr>
      <w:r w:rsidRPr="00AC3821">
        <w:rPr>
          <w:b/>
          <w:i/>
          <w:sz w:val="28"/>
        </w:rPr>
        <w:fldChar w:fldCharType="end"/>
      </w:r>
    </w:p>
    <w:tbl>
      <w:tblPr>
        <w:tblStyle w:val="TableGrid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7318"/>
      </w:tblGrid>
      <w:tr w:rsidRPr="00AC3821" w:rsidR="00AC3821" w:rsidTr="001757A2" w14:paraId="44094615" w14:textId="77777777">
        <w:tc>
          <w:tcPr>
            <w:tcW w:w="1061" w:type="pct"/>
          </w:tcPr>
          <w:p w:rsidRPr="00AC3821" w:rsidR="00AC3821" w:rsidP="00AC3821" w:rsidRDefault="00AC3821" w14:paraId="64A6E646" w14:textId="77777777">
            <w:pPr>
              <w:overflowPunct w:val="0"/>
              <w:autoSpaceDE w:val="0"/>
              <w:autoSpaceDN w:val="0"/>
              <w:adjustRightInd w:val="0"/>
              <w:ind w:left="-113"/>
              <w:textAlignment w:val="baseline"/>
              <w:rPr>
                <w:b/>
              </w:rPr>
            </w:pPr>
            <w:r>
              <w:rPr>
                <w:b/>
              </w:rPr>
              <w:t>Ponente</w:t>
            </w:r>
          </w:p>
        </w:tc>
        <w:tc>
          <w:tcPr>
            <w:tcW w:w="3939" w:type="pct"/>
          </w:tcPr>
          <w:p w:rsidR="00AC3821" w:rsidP="00AC3821" w:rsidRDefault="00AC3821" w14:paraId="5D48DE03" w14:textId="77777777">
            <w:pPr>
              <w:tabs>
                <w:tab w:val="left" w:pos="4572"/>
              </w:tabs>
              <w:overflowPunct w:val="0"/>
              <w:autoSpaceDE w:val="0"/>
              <w:autoSpaceDN w:val="0"/>
              <w:adjustRightInd w:val="0"/>
              <w:ind w:left="-113" w:right="-823"/>
              <w:textAlignment w:val="baseline"/>
            </w:pPr>
            <w:r>
              <w:t>Sophia REISECKER (Grupo de Trabajadores – AT)</w:t>
            </w:r>
          </w:p>
          <w:p w:rsidRPr="00AC3821" w:rsidR="001C720D" w:rsidP="00AC3821" w:rsidRDefault="001C720D" w14:paraId="71DCF0A8" w14:textId="77777777">
            <w:pPr>
              <w:tabs>
                <w:tab w:val="left" w:pos="4572"/>
              </w:tabs>
              <w:overflowPunct w:val="0"/>
              <w:autoSpaceDE w:val="0"/>
              <w:autoSpaceDN w:val="0"/>
              <w:adjustRightInd w:val="0"/>
              <w:ind w:left="-113" w:right="-823"/>
              <w:textAlignment w:val="baseline"/>
              <w:rPr>
                <w:lang w:val="en-GB"/>
              </w:rPr>
            </w:pPr>
          </w:p>
        </w:tc>
      </w:tr>
      <w:tr w:rsidRPr="00AC3821" w:rsidR="00AC3821" w:rsidTr="001757A2" w14:paraId="0516F2E7" w14:textId="77777777">
        <w:tc>
          <w:tcPr>
            <w:tcW w:w="1061" w:type="pct"/>
            <w:vMerge w:val="restart"/>
          </w:tcPr>
          <w:p w:rsidR="00AC3821" w:rsidP="00AC3821" w:rsidRDefault="00AC3821" w14:paraId="1779F340" w14:textId="6CE584DE">
            <w:pPr>
              <w:overflowPunct w:val="0"/>
              <w:autoSpaceDE w:val="0"/>
              <w:autoSpaceDN w:val="0"/>
              <w:adjustRightInd w:val="0"/>
              <w:ind w:left="-113"/>
              <w:textAlignment w:val="baseline"/>
              <w:rPr>
                <w:b/>
              </w:rPr>
            </w:pPr>
            <w:r>
              <w:rPr>
                <w:b/>
              </w:rPr>
              <w:t>Referencia</w:t>
            </w:r>
          </w:p>
          <w:p w:rsidRPr="00AC3821" w:rsidR="001C720D" w:rsidP="00AC3821" w:rsidRDefault="001C720D" w14:paraId="32D26095" w14:textId="77777777">
            <w:pPr>
              <w:overflowPunct w:val="0"/>
              <w:autoSpaceDE w:val="0"/>
              <w:autoSpaceDN w:val="0"/>
              <w:adjustRightInd w:val="0"/>
              <w:ind w:left="-113"/>
              <w:textAlignment w:val="baseline"/>
              <w:rPr>
                <w:b/>
              </w:rPr>
            </w:pPr>
          </w:p>
        </w:tc>
        <w:tc>
          <w:tcPr>
            <w:tcW w:w="3939" w:type="pct"/>
          </w:tcPr>
          <w:p w:rsidR="001C720D" w:rsidP="00AC3821" w:rsidRDefault="001C720D" w14:paraId="60D25AC1" w14:textId="1BFFE555">
            <w:pPr>
              <w:tabs>
                <w:tab w:val="left" w:pos="4430"/>
              </w:tabs>
              <w:overflowPunct w:val="0"/>
              <w:autoSpaceDE w:val="0"/>
              <w:autoSpaceDN w:val="0"/>
              <w:adjustRightInd w:val="0"/>
              <w:ind w:left="-113" w:right="-823"/>
              <w:textAlignment w:val="baseline"/>
            </w:pPr>
            <w:r>
              <w:t>Dictamen de iniciativa</w:t>
            </w:r>
          </w:p>
          <w:p w:rsidRPr="00AC3821" w:rsidR="00AC3821" w:rsidP="00AC3821" w:rsidRDefault="00AC3821" w14:paraId="4BCFFC82" w14:textId="3D898C26">
            <w:pPr>
              <w:tabs>
                <w:tab w:val="left" w:pos="4430"/>
              </w:tabs>
              <w:overflowPunct w:val="0"/>
              <w:autoSpaceDE w:val="0"/>
              <w:autoSpaceDN w:val="0"/>
              <w:adjustRightInd w:val="0"/>
              <w:ind w:left="-113" w:right="-823"/>
              <w:textAlignment w:val="baseline"/>
            </w:pPr>
            <w:r>
              <w:t>EESC-2025-00103-00-00-AC</w:t>
            </w:r>
          </w:p>
        </w:tc>
      </w:tr>
      <w:tr w:rsidRPr="00AC3821" w:rsidR="00AC3821" w:rsidTr="001757A2" w14:paraId="2D6A7931" w14:textId="77777777">
        <w:tc>
          <w:tcPr>
            <w:tcW w:w="1061" w:type="pct"/>
            <w:vMerge/>
          </w:tcPr>
          <w:p w:rsidRPr="00AC3821" w:rsidR="00AC3821" w:rsidP="00AC3821" w:rsidRDefault="00AC3821" w14:paraId="5C713C11" w14:textId="77777777">
            <w:pPr>
              <w:tabs>
                <w:tab w:val="center" w:pos="284"/>
              </w:tabs>
              <w:overflowPunct w:val="0"/>
              <w:autoSpaceDE w:val="0"/>
              <w:autoSpaceDN w:val="0"/>
              <w:adjustRightInd w:val="0"/>
              <w:ind w:left="266" w:hanging="266"/>
              <w:textAlignment w:val="baseline"/>
              <w:rPr>
                <w:b/>
              </w:rPr>
            </w:pPr>
          </w:p>
        </w:tc>
        <w:tc>
          <w:tcPr>
            <w:tcW w:w="3939" w:type="pct"/>
          </w:tcPr>
          <w:p w:rsidRPr="00AC3821" w:rsidR="00AC3821" w:rsidP="00AC3821" w:rsidRDefault="00AC3821" w14:paraId="7F1A4232" w14:textId="77777777">
            <w:pPr>
              <w:tabs>
                <w:tab w:val="center" w:pos="284"/>
                <w:tab w:val="left" w:pos="4430"/>
              </w:tabs>
              <w:overflowPunct w:val="0"/>
              <w:autoSpaceDE w:val="0"/>
              <w:autoSpaceDN w:val="0"/>
              <w:adjustRightInd w:val="0"/>
              <w:ind w:left="266" w:right="-823" w:hanging="266"/>
              <w:textAlignment w:val="baseline"/>
            </w:pPr>
          </w:p>
        </w:tc>
      </w:tr>
    </w:tbl>
    <w:p w:rsidRPr="00AC3821" w:rsidR="00AC3821" w:rsidP="00AC3821" w:rsidRDefault="00AC3821" w14:paraId="68B81E8C"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AC3821" w:rsidR="00AC3821" w:rsidP="00AC3821" w:rsidRDefault="00AC3821" w14:paraId="7A78C137" w14:textId="77777777">
      <w:pPr>
        <w:keepNext/>
        <w:keepLines/>
        <w:tabs>
          <w:tab w:val="center" w:pos="284"/>
        </w:tabs>
        <w:overflowPunct w:val="0"/>
        <w:autoSpaceDE w:val="0"/>
        <w:autoSpaceDN w:val="0"/>
        <w:adjustRightInd w:val="0"/>
        <w:ind w:left="266" w:hanging="266"/>
        <w:textAlignment w:val="baseline"/>
        <w:rPr>
          <w:b/>
          <w:lang w:val="en-GB"/>
        </w:rPr>
      </w:pPr>
    </w:p>
    <w:p w:rsidR="00AC3821" w:rsidP="00AC3821" w:rsidRDefault="00AC3821" w14:paraId="05994B74" w14:textId="77777777">
      <w:pPr>
        <w:keepNext/>
        <w:keepLines/>
        <w:tabs>
          <w:tab w:val="center" w:pos="284"/>
        </w:tabs>
        <w:overflowPunct w:val="0"/>
        <w:autoSpaceDE w:val="0"/>
        <w:autoSpaceDN w:val="0"/>
        <w:adjustRightInd w:val="0"/>
        <w:ind w:left="266" w:hanging="266"/>
        <w:textAlignment w:val="baseline"/>
        <w:rPr>
          <w:szCs w:val="20"/>
        </w:rPr>
      </w:pPr>
      <w:r>
        <w:t>El CESE:</w:t>
      </w:r>
    </w:p>
    <w:p w:rsidRPr="00AC3821" w:rsidR="00C2185C" w:rsidP="00AC3821" w:rsidRDefault="00C2185C" w14:paraId="5FF7042E" w14:textId="77777777">
      <w:pPr>
        <w:keepNext/>
        <w:keepLines/>
        <w:tabs>
          <w:tab w:val="center" w:pos="284"/>
        </w:tabs>
        <w:overflowPunct w:val="0"/>
        <w:autoSpaceDE w:val="0"/>
        <w:autoSpaceDN w:val="0"/>
        <w:adjustRightInd w:val="0"/>
        <w:ind w:left="266" w:hanging="266"/>
        <w:textAlignment w:val="baseline"/>
        <w:rPr>
          <w:szCs w:val="20"/>
          <w:lang w:val="en-GB"/>
        </w:rPr>
      </w:pPr>
    </w:p>
    <w:p w:rsidRPr="00C2185C" w:rsidR="00AC3821" w:rsidP="00B60D9A" w:rsidRDefault="00AC3821" w14:paraId="64F046FA"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6" w:id="4"/>
      <w:r>
        <w:t>pide una evaluación exhaustiva del Plan de Acción del Pilar Europeo de Derechos Sociales de 2021 para poner las bases de un nuevo plan de acción sólido y orientado al futuro que integre mejor el cuadro de indicadores sociales y el marco de convergencia social en el Semestre Europeo;</w:t>
      </w:r>
      <w:bookmarkEnd w:id="4"/>
    </w:p>
    <w:p w:rsidRPr="00C2185C" w:rsidR="00AC3821" w:rsidP="00B60D9A" w:rsidRDefault="00AC3821" w14:paraId="70DFDA9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7" w:id="5"/>
      <w:r>
        <w:t>apoya un objetivo de creación de empleo de calidad a escala de la UE, unas normas mínimas para luchar contra la pobreza y la inseguridad de los ocupados, la mejora de las condiciones de trabajo en el sector de los cuidados y una mayor protección de los jóvenes, incluidos períodos de prácticas justos, y en definitiva el apoyo al empleo;</w:t>
      </w:r>
      <w:bookmarkEnd w:id="5"/>
    </w:p>
    <w:p w:rsidRPr="00C2185C" w:rsidR="00AC3821" w:rsidP="00B60D9A" w:rsidRDefault="00AC3821" w14:paraId="56D25AD4"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8" w:id="6"/>
      <w:r>
        <w:t>insta a que se establezcan normas ambiciosas a escala de la Unión en materia de seguro de desempleo, una Directiva sobre los riesgos psicosociales y el derecho a la desconexión y una «regla de oro» para la inversión social en política presupuestaria, con una financiación específica nacional y de la Unión;</w:t>
      </w:r>
      <w:bookmarkEnd w:id="6"/>
    </w:p>
    <w:p w:rsidRPr="00C2185C" w:rsidR="00AC3821" w:rsidP="00B60D9A" w:rsidRDefault="00AC3821" w14:paraId="5EF34DDB"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899" w:id="7"/>
      <w:r>
        <w:t>aboga por reconocer el aprendizaje permanente como un derecho, impulsar la inversión en formación pública y privada, integrar y dar prioridad a los objetivos sociales y la igualdad de género en todo el pilar europeo de derechos sociales, introducir controles desde el punto de vista de la juventud y aplicar plenamente el plan de acción para la economía social y un marco de transición justa;</w:t>
      </w:r>
      <w:bookmarkEnd w:id="7"/>
    </w:p>
    <w:p w:rsidRPr="00C2185C" w:rsidR="00AC3821" w:rsidP="00B60D9A" w:rsidRDefault="00AC3821" w14:paraId="36FEB868" w14:textId="77777777">
      <w:pPr>
        <w:pStyle w:val="ListParagraph"/>
        <w:numPr>
          <w:ilvl w:val="0"/>
          <w:numId w:val="34"/>
        </w:numPr>
        <w:overflowPunct w:val="0"/>
        <w:autoSpaceDE w:val="0"/>
        <w:autoSpaceDN w:val="0"/>
        <w:adjustRightInd w:val="0"/>
        <w:ind w:left="284" w:hanging="284"/>
        <w:textAlignment w:val="baseline"/>
        <w:outlineLvl w:val="1"/>
        <w:rPr>
          <w:szCs w:val="20"/>
        </w:rPr>
      </w:pPr>
      <w:bookmarkStart w:name="_Toc201570900" w:id="8"/>
      <w:r>
        <w:t>pide un mayor diálogo social, la participación activa de la sociedad civil, unos criterios sociales obligatorios en la contratación pública y el desarrollo de indicadores «más allá del PIB» que reflejen mejor el bienestar de los ciudadanos y el crecimiento inclusivo.</w:t>
      </w:r>
      <w:bookmarkEnd w:id="8"/>
    </w:p>
    <w:p w:rsidRPr="00AC3821" w:rsidR="00AC3821" w:rsidP="00AC3821" w:rsidRDefault="00AC3821" w14:paraId="64F52C32" w14:textId="77777777">
      <w:pPr>
        <w:overflowPunct w:val="0"/>
        <w:autoSpaceDE w:val="0"/>
        <w:autoSpaceDN w:val="0"/>
        <w:adjustRightInd w:val="0"/>
        <w:textAlignment w:val="baseline"/>
        <w:rPr>
          <w:szCs w:val="20"/>
          <w:lang w:val="en-GB"/>
        </w:rPr>
      </w:pPr>
    </w:p>
    <w:tbl>
      <w:tblPr>
        <w:tblStyle w:val="TableGrid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297"/>
      </w:tblGrid>
      <w:tr w:rsidRPr="00AC3821" w:rsidR="00AC3821" w:rsidTr="002B1C51" w14:paraId="33DE2F7F" w14:textId="77777777">
        <w:tc>
          <w:tcPr>
            <w:tcW w:w="1711" w:type="pct"/>
          </w:tcPr>
          <w:p w:rsidRPr="00AC3821" w:rsidR="00AC3821" w:rsidP="00AC3821" w:rsidRDefault="00AC3821" w14:paraId="2CAD5FC5" w14:textId="77777777">
            <w:pPr>
              <w:overflowPunct w:val="0"/>
              <w:autoSpaceDE w:val="0"/>
              <w:autoSpaceDN w:val="0"/>
              <w:adjustRightInd w:val="0"/>
              <w:spacing w:line="240" w:lineRule="auto"/>
              <w:textAlignment w:val="baseline"/>
              <w:rPr>
                <w:i/>
              </w:rPr>
            </w:pPr>
            <w:r>
              <w:rPr>
                <w:b/>
                <w:i/>
              </w:rPr>
              <w:t>Contacto:</w:t>
            </w:r>
          </w:p>
        </w:tc>
        <w:tc>
          <w:tcPr>
            <w:tcW w:w="3289" w:type="pct"/>
          </w:tcPr>
          <w:p w:rsidRPr="00AC3821" w:rsidR="00AC3821" w:rsidP="00AC3821" w:rsidRDefault="00AC3821" w14:paraId="123FC7BC" w14:textId="3D9C9FC5">
            <w:pPr>
              <w:overflowPunct w:val="0"/>
              <w:autoSpaceDE w:val="0"/>
              <w:autoSpaceDN w:val="0"/>
              <w:adjustRightInd w:val="0"/>
              <w:spacing w:line="240" w:lineRule="auto"/>
              <w:textAlignment w:val="baseline"/>
              <w:rPr>
                <w:i/>
              </w:rPr>
            </w:pPr>
            <w:r>
              <w:rPr>
                <w:i/>
              </w:rPr>
              <w:t>Bartek Bednarowicz</w:t>
            </w:r>
          </w:p>
        </w:tc>
      </w:tr>
      <w:tr w:rsidRPr="00AC3821" w:rsidR="00AC3821" w:rsidTr="002B1C51" w14:paraId="43E87E3E" w14:textId="77777777">
        <w:tc>
          <w:tcPr>
            <w:tcW w:w="1711" w:type="pct"/>
          </w:tcPr>
          <w:p w:rsidRPr="00AC3821" w:rsidR="00AC3821" w:rsidP="00AC3821" w:rsidRDefault="00AC3821" w14:paraId="6DD0D774" w14:textId="77777777">
            <w:pPr>
              <w:overflowPunct w:val="0"/>
              <w:autoSpaceDE w:val="0"/>
              <w:autoSpaceDN w:val="0"/>
              <w:adjustRightInd w:val="0"/>
              <w:spacing w:line="240" w:lineRule="auto"/>
              <w:textAlignment w:val="baseline"/>
              <w:rPr>
                <w:i/>
              </w:rPr>
            </w:pPr>
            <w:r>
              <w:rPr>
                <w:i/>
              </w:rPr>
              <w:t>Teléfono:</w:t>
            </w:r>
          </w:p>
        </w:tc>
        <w:tc>
          <w:tcPr>
            <w:tcW w:w="3289" w:type="pct"/>
          </w:tcPr>
          <w:p w:rsidRPr="00AC3821" w:rsidR="00AC3821" w:rsidP="00AC3821" w:rsidRDefault="00AC3821" w14:paraId="7FE65F71" w14:textId="75A01B3E">
            <w:pPr>
              <w:overflowPunct w:val="0"/>
              <w:autoSpaceDE w:val="0"/>
              <w:autoSpaceDN w:val="0"/>
              <w:adjustRightInd w:val="0"/>
              <w:spacing w:line="240" w:lineRule="auto"/>
              <w:textAlignment w:val="baseline"/>
              <w:rPr>
                <w:i/>
              </w:rPr>
            </w:pPr>
            <w:r>
              <w:rPr>
                <w:i/>
              </w:rPr>
              <w:t>+32 2 5469229</w:t>
            </w:r>
          </w:p>
        </w:tc>
      </w:tr>
      <w:tr w:rsidRPr="00AC3821" w:rsidR="00AC3821" w:rsidTr="002B1C51" w14:paraId="3F84A802" w14:textId="77777777">
        <w:tc>
          <w:tcPr>
            <w:tcW w:w="1711" w:type="pct"/>
          </w:tcPr>
          <w:p w:rsidRPr="00AC3821" w:rsidR="00AC3821" w:rsidP="00AC3821" w:rsidRDefault="00AC3821" w14:paraId="493FE4AB" w14:textId="77777777">
            <w:pPr>
              <w:overflowPunct w:val="0"/>
              <w:autoSpaceDE w:val="0"/>
              <w:autoSpaceDN w:val="0"/>
              <w:adjustRightInd w:val="0"/>
              <w:spacing w:line="240" w:lineRule="auto"/>
              <w:textAlignment w:val="baseline"/>
              <w:rPr>
                <w:i/>
              </w:rPr>
            </w:pPr>
            <w:r>
              <w:rPr>
                <w:i/>
              </w:rPr>
              <w:t>Correo electrónico:</w:t>
            </w:r>
          </w:p>
        </w:tc>
        <w:tc>
          <w:tcPr>
            <w:tcW w:w="3289" w:type="pct"/>
          </w:tcPr>
          <w:p w:rsidRPr="002B1C51" w:rsidR="00AC3821" w:rsidP="00AC3821" w:rsidRDefault="000E38A8" w14:paraId="7885C933" w14:textId="5FE6326C">
            <w:pPr>
              <w:overflowPunct w:val="0"/>
              <w:autoSpaceDE w:val="0"/>
              <w:autoSpaceDN w:val="0"/>
              <w:adjustRightInd w:val="0"/>
              <w:spacing w:line="240" w:lineRule="auto"/>
              <w:textAlignment w:val="baseline"/>
              <w:rPr>
                <w:i/>
                <w:iCs/>
                <w:color w:val="0000FF"/>
                <w:u w:val="single"/>
              </w:rPr>
            </w:pPr>
            <w:hyperlink w:history="1" r:id="rId33">
              <w:r w:rsidR="00381CCE">
                <w:rPr>
                  <w:i/>
                  <w:color w:val="0000FF"/>
                  <w:u w:val="single"/>
                </w:rPr>
                <w:t>Bartek.Bednarowicz@eesc.europa.eu</w:t>
              </w:r>
            </w:hyperlink>
          </w:p>
        </w:tc>
      </w:tr>
    </w:tbl>
    <w:p w:rsidR="00AC3821" w:rsidRDefault="00AC3821" w14:paraId="0C045A87" w14:textId="77777777">
      <w:pPr>
        <w:spacing w:after="160" w:line="259" w:lineRule="auto"/>
        <w:jc w:val="left"/>
      </w:pPr>
      <w:r>
        <w:br w:type="page"/>
      </w:r>
    </w:p>
    <w:p w:rsidRPr="00783D73" w:rsidR="00783D73" w:rsidP="00783D73" w:rsidRDefault="000E38A8" w14:paraId="0928B101" w14:textId="3FE36B9B">
      <w:pPr>
        <w:widowControl w:val="0"/>
        <w:numPr>
          <w:ilvl w:val="0"/>
          <w:numId w:val="6"/>
        </w:numPr>
        <w:overflowPunct w:val="0"/>
        <w:autoSpaceDE w:val="0"/>
        <w:autoSpaceDN w:val="0"/>
        <w:adjustRightInd w:val="0"/>
        <w:ind w:hanging="567"/>
        <w:textAlignment w:val="baseline"/>
        <w:rPr>
          <w:sz w:val="24"/>
          <w:szCs w:val="24"/>
        </w:rPr>
      </w:pPr>
      <w:hyperlink w:history="1" r:id="rId34">
        <w:r w:rsidR="00783D73">
          <w:rPr>
            <w:b/>
            <w:i/>
            <w:color w:val="0000FF"/>
            <w:sz w:val="28"/>
            <w:u w:val="single"/>
          </w:rPr>
          <w:t>El futuro de la Estrategia de la UE sobre los Derechos de las Personas con Discapacidad después de 2025</w:t>
        </w:r>
      </w:hyperlink>
      <w:r w:rsidR="00783D73">
        <w:rPr>
          <w:b/>
          <w:i/>
          <w:sz w:val="28"/>
        </w:rPr>
        <w:t xml:space="preserve"> </w:t>
      </w:r>
    </w:p>
    <w:p w:rsidRPr="002B1C51" w:rsidR="003F1917" w:rsidP="00783D73" w:rsidRDefault="003F1917" w14:paraId="7CBC2511" w14:textId="77777777">
      <w:pPr>
        <w:tabs>
          <w:tab w:val="center" w:pos="284"/>
        </w:tabs>
        <w:overflowPunct w:val="0"/>
        <w:autoSpaceDE w:val="0"/>
        <w:autoSpaceDN w:val="0"/>
        <w:adjustRightInd w:val="0"/>
        <w:spacing w:line="240" w:lineRule="auto"/>
        <w:ind w:left="266" w:hanging="266"/>
        <w:textAlignment w:val="baseline"/>
        <w:rPr>
          <w:b/>
          <w:lang w:val="en-GB"/>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783D73" w:rsidR="00783D73" w:rsidTr="00B60D9A" w14:paraId="353E6858" w14:textId="77777777">
        <w:tc>
          <w:tcPr>
            <w:tcW w:w="1701" w:type="dxa"/>
          </w:tcPr>
          <w:p w:rsidRPr="00783D73" w:rsidR="00783D73" w:rsidP="00783D73" w:rsidRDefault="00783D73" w14:paraId="239961AA" w14:textId="12A3FA58">
            <w:pPr>
              <w:tabs>
                <w:tab w:val="center" w:pos="284"/>
              </w:tabs>
              <w:overflowPunct w:val="0"/>
              <w:autoSpaceDE w:val="0"/>
              <w:autoSpaceDN w:val="0"/>
              <w:adjustRightInd w:val="0"/>
              <w:ind w:left="266" w:hanging="266"/>
              <w:textAlignment w:val="baseline"/>
              <w:rPr>
                <w:b/>
              </w:rPr>
            </w:pPr>
            <w:r>
              <w:rPr>
                <w:b/>
              </w:rPr>
              <w:t>Ponente</w:t>
            </w:r>
          </w:p>
        </w:tc>
        <w:tc>
          <w:tcPr>
            <w:tcW w:w="6663" w:type="dxa"/>
          </w:tcPr>
          <w:p w:rsidRPr="00783D73" w:rsidR="00783D73" w:rsidP="00783D73" w:rsidRDefault="00783D73" w14:paraId="4E44820F" w14:textId="04D33938">
            <w:pPr>
              <w:tabs>
                <w:tab w:val="center" w:pos="284"/>
              </w:tabs>
              <w:overflowPunct w:val="0"/>
              <w:autoSpaceDE w:val="0"/>
              <w:autoSpaceDN w:val="0"/>
              <w:adjustRightInd w:val="0"/>
              <w:ind w:left="266" w:right="-529" w:hanging="266"/>
              <w:textAlignment w:val="baseline"/>
            </w:pPr>
            <w:r>
              <w:t>Ioannis VARDAKASTANIS (Grupo de Organizaciones de la Sociedad Civil – EL)</w:t>
            </w:r>
          </w:p>
        </w:tc>
      </w:tr>
      <w:tr w:rsidRPr="00783D73" w:rsidR="00783D73" w:rsidTr="00B60D9A" w14:paraId="4E38B506" w14:textId="77777777">
        <w:tc>
          <w:tcPr>
            <w:tcW w:w="1701" w:type="dxa"/>
          </w:tcPr>
          <w:p w:rsidRPr="00783D73" w:rsidR="00783D73" w:rsidP="00783D73" w:rsidRDefault="00783D73" w14:paraId="3635CB37"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48C1CF40" w14:textId="77777777">
            <w:pPr>
              <w:tabs>
                <w:tab w:val="center" w:pos="284"/>
              </w:tabs>
              <w:overflowPunct w:val="0"/>
              <w:autoSpaceDE w:val="0"/>
              <w:autoSpaceDN w:val="0"/>
              <w:adjustRightInd w:val="0"/>
              <w:ind w:left="266" w:hanging="266"/>
              <w:textAlignment w:val="baseline"/>
              <w:rPr>
                <w:lang w:val="en-GB"/>
              </w:rPr>
            </w:pPr>
          </w:p>
        </w:tc>
      </w:tr>
      <w:tr w:rsidRPr="00783D73" w:rsidR="00783D73" w:rsidTr="00B60D9A" w14:paraId="59CE35F3" w14:textId="77777777">
        <w:tc>
          <w:tcPr>
            <w:tcW w:w="1701" w:type="dxa"/>
            <w:vMerge w:val="restart"/>
          </w:tcPr>
          <w:p w:rsidRPr="00783D73" w:rsidR="00783D73" w:rsidP="00C737A5" w:rsidRDefault="00783D73" w14:paraId="70857ACC" w14:textId="1D294D87">
            <w:pPr>
              <w:tabs>
                <w:tab w:val="center" w:pos="174"/>
              </w:tabs>
              <w:overflowPunct w:val="0"/>
              <w:autoSpaceDE w:val="0"/>
              <w:autoSpaceDN w:val="0"/>
              <w:adjustRightInd w:val="0"/>
              <w:ind w:left="266" w:hanging="266"/>
              <w:textAlignment w:val="baseline"/>
              <w:rPr>
                <w:b/>
              </w:rPr>
            </w:pPr>
            <w:r>
              <w:rPr>
                <w:b/>
              </w:rPr>
              <w:t>Referencia</w:t>
            </w:r>
          </w:p>
        </w:tc>
        <w:tc>
          <w:tcPr>
            <w:tcW w:w="6663" w:type="dxa"/>
          </w:tcPr>
          <w:p w:rsidRPr="00783D73" w:rsidR="00783D73" w:rsidP="00783D73" w:rsidRDefault="00783D73" w14:paraId="4BC4D939" w14:textId="77777777">
            <w:pPr>
              <w:tabs>
                <w:tab w:val="center" w:pos="284"/>
              </w:tabs>
              <w:overflowPunct w:val="0"/>
              <w:autoSpaceDE w:val="0"/>
              <w:autoSpaceDN w:val="0"/>
              <w:adjustRightInd w:val="0"/>
              <w:ind w:left="266" w:hanging="266"/>
              <w:textAlignment w:val="baseline"/>
            </w:pPr>
            <w:r>
              <w:t>Dictamen de iniciativa</w:t>
            </w:r>
          </w:p>
        </w:tc>
      </w:tr>
      <w:tr w:rsidRPr="00783D73" w:rsidR="00783D73" w:rsidTr="00B60D9A" w14:paraId="143EB19B" w14:textId="77777777">
        <w:tc>
          <w:tcPr>
            <w:tcW w:w="1701" w:type="dxa"/>
            <w:vMerge/>
          </w:tcPr>
          <w:p w:rsidRPr="00783D73" w:rsidR="00783D73" w:rsidP="00783D73" w:rsidRDefault="00783D73" w14:paraId="56F887BD"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783D73" w:rsidR="00783D73" w:rsidP="00783D73" w:rsidRDefault="00783D73" w14:paraId="177C3D0C" w14:textId="5312DE25">
            <w:pPr>
              <w:tabs>
                <w:tab w:val="center" w:pos="284"/>
              </w:tabs>
              <w:overflowPunct w:val="0"/>
              <w:autoSpaceDE w:val="0"/>
              <w:autoSpaceDN w:val="0"/>
              <w:adjustRightInd w:val="0"/>
              <w:ind w:left="266" w:hanging="266"/>
              <w:textAlignment w:val="baseline"/>
            </w:pPr>
            <w:r>
              <w:t>EESC-2025-00909-00-00-AC</w:t>
            </w:r>
          </w:p>
        </w:tc>
      </w:tr>
    </w:tbl>
    <w:p w:rsidRPr="002B1C51" w:rsidR="00783D73" w:rsidP="00783D73" w:rsidRDefault="00783D73" w14:paraId="44303C48" w14:textId="77777777">
      <w:pPr>
        <w:tabs>
          <w:tab w:val="center" w:pos="284"/>
        </w:tabs>
        <w:overflowPunct w:val="0"/>
        <w:autoSpaceDE w:val="0"/>
        <w:autoSpaceDN w:val="0"/>
        <w:adjustRightInd w:val="0"/>
        <w:ind w:left="266" w:hanging="266"/>
        <w:textAlignment w:val="baseline"/>
        <w:rPr>
          <w:lang w:val="en-GB"/>
        </w:rPr>
      </w:pPr>
    </w:p>
    <w:p w:rsidRPr="00783D73" w:rsidR="00783D73" w:rsidP="00783D73" w:rsidRDefault="00783D73" w14:paraId="0985801C" w14:textId="15E10E35">
      <w:pPr>
        <w:keepNext/>
        <w:keepLines/>
        <w:tabs>
          <w:tab w:val="center" w:pos="284"/>
        </w:tabs>
        <w:overflowPunct w:val="0"/>
        <w:autoSpaceDE w:val="0"/>
        <w:autoSpaceDN w:val="0"/>
        <w:adjustRightInd w:val="0"/>
        <w:ind w:left="266" w:hanging="266"/>
        <w:textAlignment w:val="baseline"/>
        <w:rPr>
          <w:b/>
        </w:rPr>
      </w:pPr>
      <w:r>
        <w:rPr>
          <w:b/>
        </w:rPr>
        <w:t>Puntos clave</w:t>
      </w:r>
    </w:p>
    <w:p w:rsidRPr="00783D73" w:rsidR="00783D73" w:rsidP="00783D73" w:rsidRDefault="00783D73" w14:paraId="61905F80" w14:textId="77777777">
      <w:pPr>
        <w:keepNext/>
        <w:keepLines/>
        <w:tabs>
          <w:tab w:val="center" w:pos="284"/>
        </w:tabs>
        <w:overflowPunct w:val="0"/>
        <w:autoSpaceDE w:val="0"/>
        <w:autoSpaceDN w:val="0"/>
        <w:adjustRightInd w:val="0"/>
        <w:ind w:left="266" w:hanging="266"/>
        <w:textAlignment w:val="baseline"/>
        <w:rPr>
          <w:b/>
          <w:lang w:val="en-GB"/>
        </w:rPr>
      </w:pPr>
    </w:p>
    <w:p w:rsidRPr="00783D73" w:rsidR="00783D73" w:rsidP="00783D73" w:rsidRDefault="00783D73" w14:paraId="7AACAD94" w14:textId="77777777">
      <w:pPr>
        <w:spacing w:line="276" w:lineRule="auto"/>
        <w:jc w:val="left"/>
        <w:rPr>
          <w:b/>
          <w:bCs/>
        </w:rPr>
      </w:pPr>
      <w:r>
        <w:rPr>
          <w:b/>
        </w:rPr>
        <w:t>El CESE:</w:t>
      </w:r>
    </w:p>
    <w:p w:rsidRPr="00783D73" w:rsidR="00783D73" w:rsidP="00783D73" w:rsidRDefault="00783D73" w14:paraId="4D8BFF2D" w14:textId="77777777">
      <w:pPr>
        <w:spacing w:line="276" w:lineRule="auto"/>
        <w:jc w:val="left"/>
        <w:rPr>
          <w:lang w:val="fr-BE" w:eastAsia="fr-BE"/>
        </w:rPr>
      </w:pPr>
    </w:p>
    <w:p w:rsidRPr="00783D73" w:rsidR="00783D73" w:rsidP="00B60D9A" w:rsidRDefault="00783D73" w14:paraId="0EC9374B" w14:textId="77777777">
      <w:pPr>
        <w:numPr>
          <w:ilvl w:val="0"/>
          <w:numId w:val="37"/>
        </w:numPr>
        <w:tabs>
          <w:tab w:val="clear" w:pos="720"/>
        </w:tabs>
        <w:overflowPunct w:val="0"/>
        <w:autoSpaceDE w:val="0"/>
        <w:autoSpaceDN w:val="0"/>
        <w:adjustRightInd w:val="0"/>
        <w:spacing w:line="276" w:lineRule="auto"/>
        <w:ind w:left="284" w:hanging="284"/>
        <w:textAlignment w:val="baseline"/>
      </w:pPr>
      <w:r>
        <w:t>acoge con satisfacción el compromiso de la Comisión Europea de presentar nuevas acciones de cara a la segunda mitad de la Estrategia de la UE sobre los Derechos de las Personas con Discapacidad para 2021-2030 y señala la importancia del reciente examen al que ha sido sometida la UE por parte del Comité de las Naciones Unidas sobre los Derechos de las Personas con Discapacidad, en el que se pide que continúe esta labor una vez pasado el ecuador de la Estrategia;</w:t>
      </w:r>
    </w:p>
    <w:p w:rsidRPr="00783D73" w:rsidR="00783D73" w:rsidP="00B60D9A" w:rsidRDefault="00783D73" w14:paraId="585AF8D5" w14:textId="77777777">
      <w:pPr>
        <w:numPr>
          <w:ilvl w:val="0"/>
          <w:numId w:val="37"/>
        </w:numPr>
        <w:tabs>
          <w:tab w:val="clear" w:pos="720"/>
        </w:tabs>
        <w:overflowPunct w:val="0"/>
        <w:autoSpaceDE w:val="0"/>
        <w:autoSpaceDN w:val="0"/>
        <w:adjustRightInd w:val="0"/>
        <w:spacing w:line="276" w:lineRule="auto"/>
        <w:ind w:left="284" w:hanging="284"/>
        <w:textAlignment w:val="baseline"/>
      </w:pPr>
      <w:r>
        <w:t>reconoce los principales éxitos del período 2021-2025, si bien observa también que hay lagunas pendientes. En el presente Dictamen, delinea acciones prioritarias e iniciativas emblemáticas para el período 2025-2030;</w:t>
      </w:r>
    </w:p>
    <w:p w:rsidRPr="00783D73" w:rsidR="00783D73" w:rsidP="00B60D9A" w:rsidRDefault="00783D73" w14:paraId="3508F33F" w14:textId="77777777">
      <w:pPr>
        <w:numPr>
          <w:ilvl w:val="0"/>
          <w:numId w:val="37"/>
        </w:numPr>
        <w:tabs>
          <w:tab w:val="clear" w:pos="720"/>
        </w:tabs>
        <w:overflowPunct w:val="0"/>
        <w:autoSpaceDE w:val="0"/>
        <w:autoSpaceDN w:val="0"/>
        <w:adjustRightInd w:val="0"/>
        <w:spacing w:line="276" w:lineRule="auto"/>
        <w:ind w:left="284" w:hanging="284"/>
        <w:textAlignment w:val="baseline"/>
      </w:pPr>
      <w:r>
        <w:t>insta a la Comisión a que elabore rápidamente su próximo plan de acción con consultas significativas a personas con discapacidad y sus organizaciones representativas;</w:t>
      </w:r>
    </w:p>
    <w:p w:rsidRPr="00783D73" w:rsidR="00783D73" w:rsidP="00B60D9A" w:rsidRDefault="00783D73" w14:paraId="336898FF" w14:textId="77777777">
      <w:pPr>
        <w:numPr>
          <w:ilvl w:val="0"/>
          <w:numId w:val="37"/>
        </w:numPr>
        <w:tabs>
          <w:tab w:val="clear" w:pos="720"/>
        </w:tabs>
        <w:overflowPunct w:val="0"/>
        <w:autoSpaceDE w:val="0"/>
        <w:autoSpaceDN w:val="0"/>
        <w:adjustRightInd w:val="0"/>
        <w:spacing w:line="276" w:lineRule="auto"/>
        <w:ind w:left="284" w:hanging="284"/>
        <w:textAlignment w:val="baseline"/>
      </w:pPr>
      <w:r>
        <w:t>pide medidas más firmes y vinculantes que las del período 2021-2025, que tengan impacto directo y cuenten con financiación específica en el próximo marco financiero plurianual para garantizar una aplicación y un apoyo efectivos.</w:t>
      </w:r>
    </w:p>
    <w:p w:rsidRPr="00783D73" w:rsidR="00783D73" w:rsidP="00783D73" w:rsidRDefault="00783D73" w14:paraId="4EC231B2" w14:textId="77777777">
      <w:pPr>
        <w:spacing w:line="276" w:lineRule="auto"/>
        <w:ind w:left="720"/>
        <w:rPr>
          <w:lang w:eastAsia="fr-BE"/>
        </w:rPr>
      </w:pPr>
    </w:p>
    <w:p w:rsidRPr="00783D73" w:rsidR="00783D73" w:rsidP="00783D73" w:rsidRDefault="00783D73" w14:paraId="0AF96950" w14:textId="77777777">
      <w:pPr>
        <w:spacing w:line="276" w:lineRule="auto"/>
        <w:jc w:val="left"/>
        <w:rPr>
          <w:b/>
          <w:bCs/>
        </w:rPr>
      </w:pPr>
      <w:r>
        <w:rPr>
          <w:b/>
        </w:rPr>
        <w:t>Actuaciones clave propuestas:</w:t>
      </w:r>
    </w:p>
    <w:p w:rsidRPr="00783D73" w:rsidR="00783D73" w:rsidP="00783D73" w:rsidRDefault="00783D73" w14:paraId="1D49C7E7" w14:textId="77777777">
      <w:pPr>
        <w:spacing w:line="276" w:lineRule="auto"/>
        <w:jc w:val="left"/>
        <w:rPr>
          <w:lang w:val="fr-BE" w:eastAsia="fr-BE"/>
        </w:rPr>
      </w:pPr>
    </w:p>
    <w:p w:rsidRPr="00783D73" w:rsidR="00783D73" w:rsidP="00B60D9A" w:rsidRDefault="00783D73" w14:paraId="3286B85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desarrollar una alternativa a la Directiva horizontal sobre la igualdad de trato;</w:t>
      </w:r>
    </w:p>
    <w:p w:rsidRPr="00783D73" w:rsidR="00783D73" w:rsidP="00B60D9A" w:rsidRDefault="00783D73" w14:paraId="755AD01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aprovechar el paquete sobre el empleo de las personas con discapacidad;</w:t>
      </w:r>
    </w:p>
    <w:p w:rsidRPr="00783D73" w:rsidR="00783D73" w:rsidP="00B60D9A" w:rsidRDefault="00783D73" w14:paraId="37EF3265"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colmar las lagunas de la Tarjeta Europea de Discapacidad en materia de libertad de circulación;</w:t>
      </w:r>
    </w:p>
    <w:p w:rsidRPr="00783D73" w:rsidR="00783D73" w:rsidP="00B60D9A" w:rsidRDefault="00783D73" w14:paraId="6E6D0D5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intensificar los esfuerzos en materia de accesibilidad más allá del Centro Accesibilidad UE;</w:t>
      </w:r>
    </w:p>
    <w:p w:rsidRPr="00783D73" w:rsidR="00783D73" w:rsidP="00B60D9A" w:rsidRDefault="00783D73" w14:paraId="68A62C88"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proteger a las mujeres y niñas con discapacidad;</w:t>
      </w:r>
    </w:p>
    <w:p w:rsidRPr="00783D73" w:rsidR="00783D73" w:rsidP="00B60D9A" w:rsidRDefault="00783D73" w14:paraId="4A073A8B"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hacer frente a la crisis de vivienda para personas con discapacidad;</w:t>
      </w:r>
    </w:p>
    <w:p w:rsidRPr="00783D73" w:rsidR="00783D73" w:rsidP="00B60D9A" w:rsidRDefault="00783D73" w14:paraId="125DB7D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crear un mecanismo conjunto para la certificación de las tecnologías asistenciales;</w:t>
      </w:r>
    </w:p>
    <w:p w:rsidRPr="00783D73" w:rsidR="00783D73" w:rsidP="00B60D9A" w:rsidRDefault="00783D73" w14:paraId="3063A387"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resolver los obstáculos a los que se enfrentan las personas con discapacidad a la hora de viajar;</w:t>
      </w:r>
    </w:p>
    <w:p w:rsidRPr="00783D73" w:rsidR="00783D73" w:rsidP="00B60D9A" w:rsidRDefault="00783D73" w14:paraId="798550C0"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promover la desinstitucionalización;</w:t>
      </w:r>
    </w:p>
    <w:p w:rsidRPr="00783D73" w:rsidR="00783D73" w:rsidP="00B60D9A" w:rsidRDefault="00783D73" w14:paraId="0A77C65F"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prevenir la discriminación basada en la IA;</w:t>
      </w:r>
    </w:p>
    <w:p w:rsidRPr="00783D73" w:rsidR="00783D73" w:rsidP="00B60D9A" w:rsidRDefault="00783D73" w14:paraId="3001DE4A" w14:textId="77777777">
      <w:pPr>
        <w:numPr>
          <w:ilvl w:val="0"/>
          <w:numId w:val="38"/>
        </w:numPr>
        <w:tabs>
          <w:tab w:val="clear" w:pos="720"/>
          <w:tab w:val="num" w:pos="284"/>
        </w:tabs>
        <w:overflowPunct w:val="0"/>
        <w:autoSpaceDE w:val="0"/>
        <w:autoSpaceDN w:val="0"/>
        <w:adjustRightInd w:val="0"/>
        <w:spacing w:line="276" w:lineRule="auto"/>
        <w:ind w:hanging="720"/>
        <w:jc w:val="left"/>
        <w:textAlignment w:val="baseline"/>
      </w:pPr>
      <w:r>
        <w:t>garantizar la coherencia en la acción exterior de la UE.</w:t>
      </w:r>
    </w:p>
    <w:p w:rsidRPr="00783D73" w:rsidR="00783D73" w:rsidP="00B60D9A" w:rsidRDefault="00783D73" w14:paraId="52B98410" w14:textId="77777777">
      <w:pPr>
        <w:overflowPunct w:val="0"/>
        <w:autoSpaceDE w:val="0"/>
        <w:autoSpaceDN w:val="0"/>
        <w:adjustRightInd w:val="0"/>
        <w:spacing w:line="276" w:lineRule="auto"/>
        <w:ind w:left="360"/>
        <w:jc w:val="left"/>
        <w:textAlignment w:val="baseline"/>
        <w:rPr>
          <w:lang w:val="fr-BE" w:eastAsia="fr-BE"/>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3035"/>
      </w:tblGrid>
      <w:tr w:rsidRPr="00783D73" w:rsidR="002B1C51" w:rsidTr="002B1C51" w14:paraId="6EAB4FDA" w14:textId="77777777">
        <w:tc>
          <w:tcPr>
            <w:tcW w:w="2235" w:type="dxa"/>
          </w:tcPr>
          <w:p w:rsidRPr="00783D73" w:rsidR="002B1C51" w:rsidP="00783D73" w:rsidRDefault="002B1C51" w14:paraId="320C4915" w14:textId="75EAB5C8">
            <w:pPr>
              <w:overflowPunct w:val="0"/>
              <w:autoSpaceDE w:val="0"/>
              <w:autoSpaceDN w:val="0"/>
              <w:adjustRightInd w:val="0"/>
              <w:spacing w:line="240" w:lineRule="auto"/>
              <w:textAlignment w:val="baseline"/>
              <w:rPr>
                <w:i/>
              </w:rPr>
            </w:pPr>
            <w:r>
              <w:rPr>
                <w:b/>
                <w:i/>
              </w:rPr>
              <w:t>Contacto:</w:t>
            </w:r>
          </w:p>
        </w:tc>
        <w:tc>
          <w:tcPr>
            <w:tcW w:w="3035" w:type="dxa"/>
          </w:tcPr>
          <w:p w:rsidRPr="00783D73" w:rsidR="002B1C51" w:rsidP="00783D73" w:rsidRDefault="002B1C51" w14:paraId="22CEB2BA" w14:textId="594A1D2C">
            <w:pPr>
              <w:overflowPunct w:val="0"/>
              <w:autoSpaceDE w:val="0"/>
              <w:autoSpaceDN w:val="0"/>
              <w:adjustRightInd w:val="0"/>
              <w:spacing w:line="240" w:lineRule="auto"/>
              <w:textAlignment w:val="baseline"/>
              <w:rPr>
                <w:i/>
              </w:rPr>
            </w:pPr>
            <w:r>
              <w:rPr>
                <w:i/>
              </w:rPr>
              <w:t>Valeria Atzori</w:t>
            </w:r>
          </w:p>
        </w:tc>
      </w:tr>
      <w:tr w:rsidRPr="00783D73" w:rsidR="002B1C51" w:rsidTr="002B1C51" w14:paraId="152A8D02" w14:textId="77777777">
        <w:tc>
          <w:tcPr>
            <w:tcW w:w="2235" w:type="dxa"/>
          </w:tcPr>
          <w:p w:rsidRPr="00783D73" w:rsidR="002B1C51" w:rsidP="00783D73" w:rsidRDefault="002B1C51" w14:paraId="3D234692" w14:textId="484CB224">
            <w:pPr>
              <w:overflowPunct w:val="0"/>
              <w:autoSpaceDE w:val="0"/>
              <w:autoSpaceDN w:val="0"/>
              <w:adjustRightInd w:val="0"/>
              <w:spacing w:line="240" w:lineRule="auto"/>
              <w:textAlignment w:val="baseline"/>
              <w:rPr>
                <w:i/>
              </w:rPr>
            </w:pPr>
            <w:r>
              <w:rPr>
                <w:i/>
              </w:rPr>
              <w:t>Teléfono:</w:t>
            </w:r>
          </w:p>
        </w:tc>
        <w:tc>
          <w:tcPr>
            <w:tcW w:w="3035" w:type="dxa"/>
          </w:tcPr>
          <w:p w:rsidRPr="00783D73" w:rsidR="002B1C51" w:rsidP="00783D73" w:rsidRDefault="002B1C51" w14:paraId="63F04F99" w14:textId="50DFEAE8">
            <w:pPr>
              <w:overflowPunct w:val="0"/>
              <w:autoSpaceDE w:val="0"/>
              <w:autoSpaceDN w:val="0"/>
              <w:adjustRightInd w:val="0"/>
              <w:spacing w:line="240" w:lineRule="auto"/>
              <w:textAlignment w:val="baseline"/>
              <w:rPr>
                <w:i/>
              </w:rPr>
            </w:pPr>
            <w:r>
              <w:rPr>
                <w:i/>
              </w:rPr>
              <w:t>+ 32 2 5468774</w:t>
            </w:r>
          </w:p>
        </w:tc>
      </w:tr>
      <w:tr w:rsidRPr="00783D73" w:rsidR="002B1C51" w:rsidTr="002B1C51" w14:paraId="0E945862" w14:textId="77777777">
        <w:tc>
          <w:tcPr>
            <w:tcW w:w="2235" w:type="dxa"/>
          </w:tcPr>
          <w:p w:rsidRPr="00783D73" w:rsidR="002B1C51" w:rsidP="00783D73" w:rsidRDefault="002B1C51" w14:paraId="1C7032D6" w14:textId="415AEBEA">
            <w:pPr>
              <w:overflowPunct w:val="0"/>
              <w:autoSpaceDE w:val="0"/>
              <w:autoSpaceDN w:val="0"/>
              <w:adjustRightInd w:val="0"/>
              <w:spacing w:line="240" w:lineRule="auto"/>
              <w:textAlignment w:val="baseline"/>
              <w:rPr>
                <w:i/>
              </w:rPr>
            </w:pPr>
            <w:r>
              <w:rPr>
                <w:i/>
              </w:rPr>
              <w:t>Correo electrónico:</w:t>
            </w:r>
          </w:p>
        </w:tc>
        <w:tc>
          <w:tcPr>
            <w:tcW w:w="3035" w:type="dxa"/>
          </w:tcPr>
          <w:p w:rsidRPr="00783D73" w:rsidR="002B1C51" w:rsidP="00783D73" w:rsidRDefault="002B1C51" w14:paraId="1897B200" w14:textId="77777777">
            <w:pPr>
              <w:overflowPunct w:val="0"/>
              <w:autoSpaceDE w:val="0"/>
              <w:autoSpaceDN w:val="0"/>
              <w:adjustRightInd w:val="0"/>
              <w:spacing w:line="240" w:lineRule="auto"/>
              <w:textAlignment w:val="baseline"/>
              <w:rPr>
                <w:i/>
                <w:iCs/>
              </w:rPr>
            </w:pPr>
            <w:hyperlink w:history="1" r:id="rId35">
              <w:r>
                <w:rPr>
                  <w:i/>
                  <w:color w:val="0000FF"/>
                  <w:u w:val="single"/>
                </w:rPr>
                <w:t>Valeria.Atzori@eesc.europa.eu</w:t>
              </w:r>
            </w:hyperlink>
          </w:p>
        </w:tc>
      </w:tr>
    </w:tbl>
    <w:p w:rsidR="00E11CA7" w:rsidP="004D7AC0" w:rsidRDefault="00E11CA7" w14:paraId="6C64EDA5" w14:textId="77777777">
      <w:pPr>
        <w:spacing w:after="160" w:line="259" w:lineRule="auto"/>
        <w:jc w:val="left"/>
        <w:rPr>
          <w:lang w:val="en-GB"/>
        </w:rPr>
      </w:pPr>
    </w:p>
    <w:p w:rsidR="00E11CA7" w:rsidRDefault="00E11CA7" w14:paraId="7E0538F3" w14:textId="77777777">
      <w:pPr>
        <w:spacing w:after="160" w:line="259" w:lineRule="auto"/>
        <w:jc w:val="left"/>
      </w:pPr>
      <w:r>
        <w:br w:type="page"/>
      </w:r>
    </w:p>
    <w:p w:rsidRPr="00D04355" w:rsidR="00D04355" w:rsidP="00D04355" w:rsidRDefault="000E38A8" w14:paraId="06040395" w14:textId="6C469ED2">
      <w:pPr>
        <w:widowControl w:val="0"/>
        <w:numPr>
          <w:ilvl w:val="0"/>
          <w:numId w:val="11"/>
        </w:numPr>
        <w:overflowPunct w:val="0"/>
        <w:autoSpaceDE w:val="0"/>
        <w:autoSpaceDN w:val="0"/>
        <w:adjustRightInd w:val="0"/>
        <w:ind w:left="567" w:hanging="567"/>
        <w:textAlignment w:val="baseline"/>
        <w:rPr>
          <w:b/>
          <w:color w:val="0000FF"/>
          <w:u w:val="single"/>
        </w:rPr>
      </w:pPr>
      <w:hyperlink w:history="1" r:id="rId36">
        <w:r w:rsidR="00D04355">
          <w:rPr>
            <w:b/>
            <w:i/>
            <w:color w:val="0000FF"/>
            <w:sz w:val="28"/>
            <w:u w:val="single"/>
          </w:rPr>
          <w:t>Maneras de abordar la pérdida de poder adquisitivo y el riesgo de que se exacerben las desigualdades, la exclusión y la marginación</w:t>
        </w:r>
      </w:hyperlink>
    </w:p>
    <w:p w:rsidRPr="002B1C51" w:rsidR="00D04355" w:rsidP="00D04355" w:rsidRDefault="00D04355" w14:paraId="630A1D08" w14:textId="77777777">
      <w:pPr>
        <w:tabs>
          <w:tab w:val="center" w:pos="284"/>
        </w:tabs>
        <w:overflowPunct w:val="0"/>
        <w:autoSpaceDE w:val="0"/>
        <w:autoSpaceDN w:val="0"/>
        <w:adjustRightInd w:val="0"/>
        <w:ind w:left="567" w:hanging="567"/>
        <w:textAlignment w:val="baseline"/>
      </w:pP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D04355" w:rsidR="00D04355" w:rsidTr="002B1C51" w14:paraId="2B95FD7E" w14:textId="77777777">
        <w:tc>
          <w:tcPr>
            <w:tcW w:w="1701" w:type="dxa"/>
          </w:tcPr>
          <w:p w:rsidRPr="00D04355" w:rsidR="00D04355" w:rsidP="00D04355" w:rsidRDefault="00D04355" w14:paraId="160894B3" w14:textId="77777777">
            <w:pPr>
              <w:tabs>
                <w:tab w:val="center" w:pos="284"/>
              </w:tabs>
              <w:overflowPunct w:val="0"/>
              <w:autoSpaceDE w:val="0"/>
              <w:autoSpaceDN w:val="0"/>
              <w:adjustRightInd w:val="0"/>
              <w:ind w:left="567" w:hanging="567"/>
              <w:textAlignment w:val="baseline"/>
              <w:rPr>
                <w:b/>
              </w:rPr>
            </w:pPr>
            <w:r>
              <w:rPr>
                <w:b/>
              </w:rPr>
              <w:t>Ponente</w:t>
            </w:r>
          </w:p>
          <w:p w:rsidRPr="00D04355" w:rsidR="00D04355" w:rsidP="00D04355" w:rsidRDefault="00D04355" w14:paraId="623D53DE" w14:textId="77777777">
            <w:pPr>
              <w:tabs>
                <w:tab w:val="center" w:pos="284"/>
              </w:tabs>
              <w:overflowPunct w:val="0"/>
              <w:autoSpaceDE w:val="0"/>
              <w:autoSpaceDN w:val="0"/>
              <w:adjustRightInd w:val="0"/>
              <w:ind w:left="567" w:hanging="567"/>
              <w:textAlignment w:val="baseline"/>
              <w:rPr>
                <w:b/>
              </w:rPr>
            </w:pPr>
          </w:p>
        </w:tc>
        <w:tc>
          <w:tcPr>
            <w:tcW w:w="7479" w:type="dxa"/>
          </w:tcPr>
          <w:p w:rsidRPr="00D04355" w:rsidR="00D04355" w:rsidP="00D04355" w:rsidRDefault="00D04355" w14:paraId="65C7585E" w14:textId="77777777">
            <w:pPr>
              <w:overflowPunct w:val="0"/>
              <w:autoSpaceDE w:val="0"/>
              <w:autoSpaceDN w:val="0"/>
              <w:adjustRightInd w:val="0"/>
              <w:ind w:left="567" w:hanging="567"/>
              <w:textAlignment w:val="baseline"/>
            </w:pPr>
            <w:r>
              <w:t>María del Carmen BARRERA CHAMORRO (Grupo de Trabajadores - ES)</w:t>
            </w:r>
          </w:p>
        </w:tc>
      </w:tr>
      <w:tr w:rsidRPr="00D04355" w:rsidR="00D04355" w:rsidTr="002B1C51" w14:paraId="116D55BD" w14:textId="77777777">
        <w:tc>
          <w:tcPr>
            <w:tcW w:w="1701" w:type="dxa"/>
            <w:vMerge w:val="restart"/>
          </w:tcPr>
          <w:p w:rsidRPr="00D04355" w:rsidR="00D04355" w:rsidP="00D04355" w:rsidRDefault="00D04355" w14:paraId="342AA177" w14:textId="072391F4">
            <w:pPr>
              <w:tabs>
                <w:tab w:val="center" w:pos="284"/>
              </w:tabs>
              <w:overflowPunct w:val="0"/>
              <w:autoSpaceDE w:val="0"/>
              <w:autoSpaceDN w:val="0"/>
              <w:adjustRightInd w:val="0"/>
              <w:ind w:left="567" w:hanging="567"/>
              <w:textAlignment w:val="baseline"/>
              <w:rPr>
                <w:b/>
              </w:rPr>
            </w:pPr>
            <w:r>
              <w:rPr>
                <w:b/>
              </w:rPr>
              <w:t>Referencia</w:t>
            </w:r>
          </w:p>
        </w:tc>
        <w:tc>
          <w:tcPr>
            <w:tcW w:w="7479" w:type="dxa"/>
          </w:tcPr>
          <w:p w:rsidRPr="00B60D9A" w:rsidR="005F797E" w:rsidP="00D04355" w:rsidRDefault="005F797E" w14:paraId="08E43C66" w14:textId="6C1BD933">
            <w:pPr>
              <w:tabs>
                <w:tab w:val="center" w:pos="284"/>
              </w:tabs>
              <w:overflowPunct w:val="0"/>
              <w:autoSpaceDE w:val="0"/>
              <w:autoSpaceDN w:val="0"/>
              <w:adjustRightInd w:val="0"/>
              <w:ind w:left="567" w:hanging="567"/>
              <w:textAlignment w:val="baseline"/>
            </w:pPr>
            <w:r>
              <w:t>Dictamen de iniciativa</w:t>
            </w:r>
          </w:p>
          <w:p w:rsidRPr="00B60D9A" w:rsidR="00D04355" w:rsidP="00D04355" w:rsidRDefault="00D04355" w14:paraId="62813223" w14:textId="1EB4606F">
            <w:pPr>
              <w:tabs>
                <w:tab w:val="center" w:pos="284"/>
              </w:tabs>
              <w:overflowPunct w:val="0"/>
              <w:autoSpaceDE w:val="0"/>
              <w:autoSpaceDN w:val="0"/>
              <w:adjustRightInd w:val="0"/>
              <w:ind w:left="567" w:hanging="567"/>
              <w:textAlignment w:val="baseline"/>
            </w:pPr>
            <w:r>
              <w:t>EESC-2025-00015-00-00-AC</w:t>
            </w:r>
          </w:p>
        </w:tc>
      </w:tr>
      <w:tr w:rsidRPr="00D04355" w:rsidR="00D04355" w:rsidTr="002B1C51" w14:paraId="58A8AC48" w14:textId="77777777">
        <w:tc>
          <w:tcPr>
            <w:tcW w:w="1701" w:type="dxa"/>
            <w:vMerge/>
          </w:tcPr>
          <w:p w:rsidRPr="00B60D9A" w:rsidR="00D04355" w:rsidP="00D04355" w:rsidRDefault="00D04355" w14:paraId="2A7EF227" w14:textId="77777777">
            <w:pPr>
              <w:tabs>
                <w:tab w:val="center" w:pos="284"/>
              </w:tabs>
              <w:overflowPunct w:val="0"/>
              <w:autoSpaceDE w:val="0"/>
              <w:autoSpaceDN w:val="0"/>
              <w:adjustRightInd w:val="0"/>
              <w:ind w:left="266" w:hanging="266"/>
              <w:textAlignment w:val="baseline"/>
              <w:rPr>
                <w:b/>
              </w:rPr>
            </w:pPr>
          </w:p>
        </w:tc>
        <w:tc>
          <w:tcPr>
            <w:tcW w:w="7479" w:type="dxa"/>
          </w:tcPr>
          <w:p w:rsidRPr="00B60D9A" w:rsidR="00D04355" w:rsidP="00D04355" w:rsidRDefault="00D04355" w14:paraId="631C8860" w14:textId="77777777">
            <w:pPr>
              <w:tabs>
                <w:tab w:val="center" w:pos="284"/>
              </w:tabs>
              <w:overflowPunct w:val="0"/>
              <w:autoSpaceDE w:val="0"/>
              <w:autoSpaceDN w:val="0"/>
              <w:adjustRightInd w:val="0"/>
              <w:ind w:left="266" w:hanging="266"/>
              <w:textAlignment w:val="baseline"/>
              <w:rPr>
                <w:sz w:val="16"/>
                <w:szCs w:val="16"/>
              </w:rPr>
            </w:pPr>
          </w:p>
        </w:tc>
      </w:tr>
    </w:tbl>
    <w:p w:rsidRPr="00D04355" w:rsidR="00D04355" w:rsidP="00D04355" w:rsidRDefault="00D04355" w14:paraId="59E62517"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D04355" w:rsidR="00D04355" w:rsidP="00D04355" w:rsidRDefault="00D04355" w14:paraId="6D29C283" w14:textId="77777777">
      <w:pPr>
        <w:overflowPunct w:val="0"/>
        <w:autoSpaceDE w:val="0"/>
        <w:autoSpaceDN w:val="0"/>
        <w:adjustRightInd w:val="0"/>
        <w:textAlignment w:val="baseline"/>
        <w:rPr>
          <w:szCs w:val="20"/>
          <w:lang w:val="en-GB"/>
        </w:rPr>
      </w:pPr>
    </w:p>
    <w:p w:rsidRPr="00B60D9A" w:rsidR="00D04355" w:rsidP="00D04355" w:rsidRDefault="00D04355" w14:paraId="76180FA7" w14:textId="77777777">
      <w:pPr>
        <w:spacing w:before="100" w:beforeAutospacing="1" w:after="100" w:afterAutospacing="1" w:line="240" w:lineRule="auto"/>
        <w:jc w:val="left"/>
      </w:pPr>
      <w:r>
        <w:rPr>
          <w:b/>
        </w:rPr>
        <w:t>El CESE:</w:t>
      </w:r>
    </w:p>
    <w:p w:rsidRPr="00B60D9A" w:rsidR="00D04355" w:rsidP="00B60D9A" w:rsidRDefault="00D04355" w14:paraId="141D617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considera que la inversión en las personas y la economía, una fiscalidad justa, unos servicios públicos asequibles y de calidad, y un apoyo específico a las personas más vulnerables, junto con una política industrial a corto y largo plazo y medidas para impulsar la competitividad, son esenciales para mitigar la crisis del coste de la vida y protegerse frente a futuras perturbaciones;</w:t>
      </w:r>
    </w:p>
    <w:p w:rsidRPr="00B60D9A" w:rsidR="00D04355" w:rsidP="00B60D9A" w:rsidRDefault="00D04355" w14:paraId="46301BE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recomienda un mayor recurso al diálogo social, la negociación colectiva y el diálogo ciudadano para abordar los retos del mercado laboral y mejorar los salarios y la protección social de los trabajadores, en consonancia con la evolución de la productividad;</w:t>
      </w:r>
    </w:p>
    <w:p w:rsidRPr="00B60D9A" w:rsidR="00D04355" w:rsidP="00B60D9A" w:rsidRDefault="00D04355" w14:paraId="3EABE77B"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reconoce la importancia de aumentar los salarios y el salario mínimo y destaca el efecto positivo que ha tenido la Directiva sobre unos salarios mínimos adecuados en los aumentos salariales;</w:t>
      </w:r>
    </w:p>
    <w:p w:rsidRPr="00B60D9A" w:rsidR="00D04355" w:rsidP="00B60D9A" w:rsidRDefault="00D04355" w14:paraId="63DC1CBE"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considera que la UE debe reforzar su capacidad para anticipar y prevenir futuras crisis, en particular mediante la adopción de un instrumento financiero permanente para estabilizar el gasto de los Estados miembros en caso de perturbaciones económicas externas. Asimismo, recomienda que se adopten políticas de precios adecuadas, incluidos límites máximos para los precios de la energía, junto con la aplicación de políticas de vivienda asequible por parte de los Estados miembros y una estrategia europea integral de lucha contra el sinhogarismo;</w:t>
      </w:r>
    </w:p>
    <w:p w:rsidRPr="00B60D9A" w:rsidR="00D04355" w:rsidP="00B60D9A" w:rsidRDefault="00D04355" w14:paraId="0E4794A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subraya el papel de la educación como un factor preventivo sólido en relación con la exclusión, la marginación y la desigualdad, e insta a la UE y a los Estados miembros a que aumenten la inversión en este ámbito;</w:t>
      </w:r>
    </w:p>
    <w:p w:rsidRPr="00B60D9A" w:rsidR="00D04355" w:rsidP="00B60D9A" w:rsidRDefault="00D04355" w14:paraId="6B1F3052"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considera que deben desarrollarse servicios esenciales y sociales, incluidos los prestados por entidades de la economía social, de modo que se eliminen las barreras de acceso;</w:t>
      </w:r>
    </w:p>
    <w:p w:rsidRPr="00B60D9A" w:rsidR="00D04355" w:rsidP="00B60D9A" w:rsidRDefault="00D04355" w14:paraId="268DAF94"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hace hincapié en la necesidad de recurrir en mayor medida a las evaluaciones del impacto distributivo dentro del Semestre Europeo con su marco de convergencia social para garantizar que las políticas en todos los ámbitos no agraven la pobreza o la desigualdad;</w:t>
      </w:r>
    </w:p>
    <w:p w:rsidRPr="00B60D9A" w:rsidR="00D04355" w:rsidP="00B60D9A" w:rsidRDefault="00D04355" w14:paraId="249588EC" w14:textId="77777777">
      <w:pPr>
        <w:numPr>
          <w:ilvl w:val="0"/>
          <w:numId w:val="39"/>
        </w:numPr>
        <w:tabs>
          <w:tab w:val="clear" w:pos="720"/>
          <w:tab w:val="num" w:pos="284"/>
        </w:tabs>
        <w:overflowPunct w:val="0"/>
        <w:autoSpaceDE w:val="0"/>
        <w:autoSpaceDN w:val="0"/>
        <w:adjustRightInd w:val="0"/>
        <w:spacing w:before="100" w:beforeAutospacing="1" w:after="100" w:afterAutospacing="1" w:line="276" w:lineRule="auto"/>
        <w:ind w:left="284" w:hanging="284"/>
        <w:textAlignment w:val="baseline"/>
      </w:pPr>
      <w:r>
        <w:t>insta a la UE a que anime a los Estados miembros a mantener un gasto público adecuado en los sistemas de seguridad social, la educación, la formación, la atención sanitaria y la asistencia comunitaria.</w:t>
      </w:r>
    </w:p>
    <w:tbl>
      <w:tblPr>
        <w:tblStyle w:val="TableGrid1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3468"/>
      </w:tblGrid>
      <w:tr w:rsidRPr="00D04355" w:rsidR="00D04355" w:rsidTr="002B1C51" w14:paraId="154968C7" w14:textId="77777777">
        <w:tc>
          <w:tcPr>
            <w:tcW w:w="2235" w:type="dxa"/>
          </w:tcPr>
          <w:p w:rsidRPr="00D04355" w:rsidR="00D04355" w:rsidP="00D04355" w:rsidRDefault="00D04355" w14:paraId="17B29C81" w14:textId="77777777">
            <w:pPr>
              <w:overflowPunct w:val="0"/>
              <w:autoSpaceDE w:val="0"/>
              <w:autoSpaceDN w:val="0"/>
              <w:adjustRightInd w:val="0"/>
              <w:spacing w:line="240" w:lineRule="auto"/>
              <w:textAlignment w:val="baseline"/>
              <w:rPr>
                <w:i/>
              </w:rPr>
            </w:pPr>
            <w:r>
              <w:rPr>
                <w:b/>
                <w:i/>
              </w:rPr>
              <w:t>Contacto:</w:t>
            </w:r>
          </w:p>
        </w:tc>
        <w:tc>
          <w:tcPr>
            <w:tcW w:w="3468" w:type="dxa"/>
          </w:tcPr>
          <w:p w:rsidRPr="00D04355" w:rsidR="00D04355" w:rsidP="00D04355" w:rsidRDefault="00D04355" w14:paraId="3A2AC161" w14:textId="77777777">
            <w:pPr>
              <w:overflowPunct w:val="0"/>
              <w:autoSpaceDE w:val="0"/>
              <w:autoSpaceDN w:val="0"/>
              <w:adjustRightInd w:val="0"/>
              <w:spacing w:line="240" w:lineRule="auto"/>
              <w:ind w:hanging="12"/>
              <w:textAlignment w:val="baseline"/>
              <w:rPr>
                <w:i/>
              </w:rPr>
            </w:pPr>
            <w:r>
              <w:rPr>
                <w:i/>
              </w:rPr>
              <w:t>Valeria Atzori</w:t>
            </w:r>
          </w:p>
        </w:tc>
      </w:tr>
      <w:tr w:rsidRPr="00D04355" w:rsidR="00D04355" w:rsidTr="002B1C51" w14:paraId="2B72ECEF" w14:textId="77777777">
        <w:tc>
          <w:tcPr>
            <w:tcW w:w="2235" w:type="dxa"/>
          </w:tcPr>
          <w:p w:rsidRPr="00D04355" w:rsidR="00D04355" w:rsidP="00D04355" w:rsidRDefault="00D04355" w14:paraId="3C455929" w14:textId="77777777">
            <w:pPr>
              <w:overflowPunct w:val="0"/>
              <w:autoSpaceDE w:val="0"/>
              <w:autoSpaceDN w:val="0"/>
              <w:adjustRightInd w:val="0"/>
              <w:spacing w:line="240" w:lineRule="auto"/>
              <w:textAlignment w:val="baseline"/>
              <w:rPr>
                <w:i/>
              </w:rPr>
            </w:pPr>
            <w:r>
              <w:rPr>
                <w:i/>
              </w:rPr>
              <w:t>Teléfono:</w:t>
            </w:r>
          </w:p>
        </w:tc>
        <w:tc>
          <w:tcPr>
            <w:tcW w:w="3468" w:type="dxa"/>
          </w:tcPr>
          <w:p w:rsidRPr="00D04355" w:rsidR="00D04355" w:rsidP="00D04355" w:rsidRDefault="00D04355" w14:paraId="4B7A3C95" w14:textId="655A8E79">
            <w:pPr>
              <w:overflowPunct w:val="0"/>
              <w:autoSpaceDE w:val="0"/>
              <w:autoSpaceDN w:val="0"/>
              <w:adjustRightInd w:val="0"/>
              <w:spacing w:line="240" w:lineRule="auto"/>
              <w:textAlignment w:val="baseline"/>
              <w:rPr>
                <w:i/>
              </w:rPr>
            </w:pPr>
            <w:r>
              <w:rPr>
                <w:i/>
              </w:rPr>
              <w:t>+32 2 5468</w:t>
            </w:r>
            <w:r>
              <w:t>77</w:t>
            </w:r>
            <w:r>
              <w:rPr>
                <w:i/>
              </w:rPr>
              <w:t>4</w:t>
            </w:r>
          </w:p>
        </w:tc>
      </w:tr>
      <w:tr w:rsidRPr="00D04355" w:rsidR="00D04355" w:rsidTr="002B1C51" w14:paraId="6C3F5A3C" w14:textId="77777777">
        <w:tc>
          <w:tcPr>
            <w:tcW w:w="2235" w:type="dxa"/>
          </w:tcPr>
          <w:p w:rsidRPr="00D04355" w:rsidR="00D04355" w:rsidP="00D04355" w:rsidRDefault="00D04355" w14:paraId="72F84744" w14:textId="77777777">
            <w:pPr>
              <w:overflowPunct w:val="0"/>
              <w:autoSpaceDE w:val="0"/>
              <w:autoSpaceDN w:val="0"/>
              <w:adjustRightInd w:val="0"/>
              <w:spacing w:line="240" w:lineRule="auto"/>
              <w:textAlignment w:val="baseline"/>
              <w:rPr>
                <w:i/>
              </w:rPr>
            </w:pPr>
            <w:r>
              <w:rPr>
                <w:i/>
              </w:rPr>
              <w:t>Correo electrónico:</w:t>
            </w:r>
          </w:p>
        </w:tc>
        <w:tc>
          <w:tcPr>
            <w:tcW w:w="3468" w:type="dxa"/>
          </w:tcPr>
          <w:p w:rsidRPr="00D04355" w:rsidR="00D04355" w:rsidP="00D04355" w:rsidRDefault="000E38A8" w14:paraId="39D2EF9E" w14:textId="77777777">
            <w:pPr>
              <w:overflowPunct w:val="0"/>
              <w:autoSpaceDE w:val="0"/>
              <w:autoSpaceDN w:val="0"/>
              <w:adjustRightInd w:val="0"/>
              <w:spacing w:line="240" w:lineRule="auto"/>
              <w:textAlignment w:val="baseline"/>
              <w:rPr>
                <w:i/>
              </w:rPr>
            </w:pPr>
            <w:hyperlink w:history="1" r:id="rId37">
              <w:r w:rsidR="00381CCE">
                <w:rPr>
                  <w:i/>
                  <w:color w:val="0000FF"/>
                  <w:u w:val="single"/>
                </w:rPr>
                <w:t>Valeria.Atzori@eesc.europa.eu</w:t>
              </w:r>
            </w:hyperlink>
          </w:p>
        </w:tc>
      </w:tr>
    </w:tbl>
    <w:p w:rsidR="00E11CA7" w:rsidRDefault="00E11CA7" w14:paraId="0E2F1265" w14:textId="2EA40197">
      <w:pPr>
        <w:spacing w:after="160" w:line="259" w:lineRule="auto"/>
        <w:jc w:val="left"/>
      </w:pPr>
      <w:r>
        <w:br w:type="page"/>
      </w:r>
    </w:p>
    <w:p w:rsidRPr="009A3B12" w:rsidR="009A3B12" w:rsidP="002B1C51" w:rsidRDefault="000E38A8" w14:paraId="140E663D" w14:textId="6A40866A">
      <w:pPr>
        <w:widowControl w:val="0"/>
        <w:numPr>
          <w:ilvl w:val="0"/>
          <w:numId w:val="11"/>
        </w:numPr>
        <w:overflowPunct w:val="0"/>
        <w:autoSpaceDE w:val="0"/>
        <w:autoSpaceDN w:val="0"/>
        <w:adjustRightInd w:val="0"/>
        <w:ind w:left="567" w:hanging="567"/>
        <w:textAlignment w:val="baseline"/>
        <w:rPr>
          <w:b/>
        </w:rPr>
      </w:pPr>
      <w:hyperlink w:history="1" r:id="rId38">
        <w:r w:rsidRPr="002B1C51" w:rsidR="009A3B12">
          <w:rPr>
            <w:b/>
            <w:i/>
            <w:color w:val="0000FF"/>
            <w:sz w:val="28"/>
            <w:u w:val="single"/>
          </w:rPr>
          <w:t>Apoyo a trabajadores afectados por un despido inminente en empresas en proceso de reestructuración</w:t>
        </w:r>
      </w:hyperlink>
    </w:p>
    <w:p w:rsidRPr="009A3B12" w:rsidR="009A3B12" w:rsidP="009A3B12" w:rsidRDefault="009A3B12" w14:paraId="0774FBD2" w14:textId="77777777">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6663"/>
      </w:tblGrid>
      <w:tr w:rsidRPr="009A3B12" w:rsidR="009A3B12" w:rsidTr="001757A2" w14:paraId="0872CBCE" w14:textId="77777777">
        <w:tc>
          <w:tcPr>
            <w:tcW w:w="2268" w:type="dxa"/>
          </w:tcPr>
          <w:p w:rsidRPr="009A3B12" w:rsidR="009A3B12" w:rsidP="009A3B12" w:rsidRDefault="009A3B12" w14:paraId="2DED499C" w14:textId="244B1A94">
            <w:pPr>
              <w:overflowPunct w:val="0"/>
              <w:autoSpaceDE w:val="0"/>
              <w:autoSpaceDN w:val="0"/>
              <w:adjustRightInd w:val="0"/>
              <w:textAlignment w:val="baseline"/>
              <w:rPr>
                <w:b/>
              </w:rPr>
            </w:pPr>
            <w:r>
              <w:rPr>
                <w:b/>
              </w:rPr>
              <w:t>Ponente general</w:t>
            </w:r>
          </w:p>
        </w:tc>
        <w:tc>
          <w:tcPr>
            <w:tcW w:w="6663" w:type="dxa"/>
          </w:tcPr>
          <w:p w:rsidRPr="009A3B12" w:rsidR="009A3B12" w:rsidP="009A3B12" w:rsidRDefault="009A3B12" w14:paraId="032DA07F" w14:textId="7047788E">
            <w:pPr>
              <w:tabs>
                <w:tab w:val="center" w:pos="284"/>
              </w:tabs>
              <w:overflowPunct w:val="0"/>
              <w:autoSpaceDE w:val="0"/>
              <w:autoSpaceDN w:val="0"/>
              <w:adjustRightInd w:val="0"/>
              <w:ind w:left="266" w:right="-529" w:hanging="266"/>
              <w:textAlignment w:val="baseline"/>
            </w:pPr>
            <w:r>
              <w:t>Tatjana BABRAUSKIENĖ (Grupo de Trabajadores – LT)</w:t>
            </w:r>
          </w:p>
        </w:tc>
      </w:tr>
      <w:tr w:rsidRPr="009A3B12" w:rsidR="009A3B12" w:rsidTr="001757A2" w14:paraId="65F12F2A" w14:textId="77777777">
        <w:tc>
          <w:tcPr>
            <w:tcW w:w="2268" w:type="dxa"/>
          </w:tcPr>
          <w:p w:rsidRPr="009A3B12" w:rsidR="009A3B12" w:rsidP="009A3B12" w:rsidRDefault="009A3B12" w14:paraId="370162FF" w14:textId="77777777">
            <w:pPr>
              <w:tabs>
                <w:tab w:val="center" w:pos="284"/>
              </w:tabs>
              <w:overflowPunct w:val="0"/>
              <w:autoSpaceDE w:val="0"/>
              <w:autoSpaceDN w:val="0"/>
              <w:adjustRightInd w:val="0"/>
              <w:ind w:left="266" w:hanging="266"/>
              <w:textAlignment w:val="baseline"/>
              <w:rPr>
                <w:b/>
                <w:lang w:val="en-GB"/>
              </w:rPr>
            </w:pPr>
          </w:p>
        </w:tc>
        <w:tc>
          <w:tcPr>
            <w:tcW w:w="6663" w:type="dxa"/>
          </w:tcPr>
          <w:p w:rsidRPr="009A3B12" w:rsidR="009A3B12" w:rsidP="009A3B12" w:rsidRDefault="009A3B12" w14:paraId="4B3FB435" w14:textId="77777777">
            <w:pPr>
              <w:tabs>
                <w:tab w:val="center" w:pos="284"/>
              </w:tabs>
              <w:overflowPunct w:val="0"/>
              <w:autoSpaceDE w:val="0"/>
              <w:autoSpaceDN w:val="0"/>
              <w:adjustRightInd w:val="0"/>
              <w:ind w:left="266" w:hanging="266"/>
              <w:textAlignment w:val="baseline"/>
              <w:rPr>
                <w:lang w:val="en-GB"/>
              </w:rPr>
            </w:pPr>
          </w:p>
        </w:tc>
      </w:tr>
      <w:tr w:rsidRPr="009A3B12" w:rsidR="009A3B12" w:rsidTr="001757A2" w14:paraId="34C2376C" w14:textId="77777777">
        <w:tc>
          <w:tcPr>
            <w:tcW w:w="2268" w:type="dxa"/>
          </w:tcPr>
          <w:p w:rsidRPr="009A3B12" w:rsidR="009A3B12" w:rsidP="009A3B12" w:rsidRDefault="009A3B12" w14:paraId="70AB5D42" w14:textId="3EFBF707">
            <w:pPr>
              <w:tabs>
                <w:tab w:val="center" w:pos="284"/>
              </w:tabs>
              <w:overflowPunct w:val="0"/>
              <w:autoSpaceDE w:val="0"/>
              <w:autoSpaceDN w:val="0"/>
              <w:adjustRightInd w:val="0"/>
              <w:ind w:left="266" w:hanging="266"/>
              <w:textAlignment w:val="baseline"/>
              <w:rPr>
                <w:b/>
              </w:rPr>
            </w:pPr>
            <w:r>
              <w:rPr>
                <w:b/>
              </w:rPr>
              <w:t>Referencia</w:t>
            </w:r>
          </w:p>
        </w:tc>
        <w:tc>
          <w:tcPr>
            <w:tcW w:w="6663" w:type="dxa"/>
          </w:tcPr>
          <w:p w:rsidR="002950A0" w:rsidP="009A3B12" w:rsidRDefault="002950A0" w14:paraId="62127887" w14:textId="560616F1">
            <w:pPr>
              <w:tabs>
                <w:tab w:val="center" w:pos="284"/>
              </w:tabs>
              <w:overflowPunct w:val="0"/>
              <w:autoSpaceDE w:val="0"/>
              <w:autoSpaceDN w:val="0"/>
              <w:adjustRightInd w:val="0"/>
              <w:ind w:left="266" w:hanging="266"/>
              <w:textAlignment w:val="baseline"/>
            </w:pPr>
            <w:r>
              <w:t>Dictamen de iniciativa</w:t>
            </w:r>
          </w:p>
          <w:p w:rsidRPr="009A3B12" w:rsidR="009A3B12" w:rsidP="009A3B12" w:rsidRDefault="009A3B12" w14:paraId="7925A89B" w14:textId="700745ED">
            <w:pPr>
              <w:tabs>
                <w:tab w:val="center" w:pos="284"/>
              </w:tabs>
              <w:overflowPunct w:val="0"/>
              <w:autoSpaceDE w:val="0"/>
              <w:autoSpaceDN w:val="0"/>
              <w:adjustRightInd w:val="0"/>
              <w:ind w:left="266" w:hanging="266"/>
              <w:textAlignment w:val="baseline"/>
            </w:pPr>
            <w:r>
              <w:t>EESC-2025-01654-00-00-AC</w:t>
            </w:r>
          </w:p>
        </w:tc>
      </w:tr>
    </w:tbl>
    <w:p w:rsidRPr="009A3B12" w:rsidR="009A3B12" w:rsidP="009A3B12" w:rsidRDefault="009A3B12" w14:paraId="19D5007B" w14:textId="77777777">
      <w:pPr>
        <w:tabs>
          <w:tab w:val="center" w:pos="284"/>
        </w:tabs>
        <w:overflowPunct w:val="0"/>
        <w:autoSpaceDE w:val="0"/>
        <w:autoSpaceDN w:val="0"/>
        <w:adjustRightInd w:val="0"/>
        <w:ind w:left="266" w:hanging="266"/>
        <w:textAlignment w:val="baseline"/>
        <w:rPr>
          <w:lang w:val="en-GB"/>
        </w:rPr>
      </w:pPr>
    </w:p>
    <w:p w:rsidRPr="009A3B12" w:rsidR="009A3B12" w:rsidP="009A3B12" w:rsidRDefault="009A3B12" w14:paraId="1B8024C9" w14:textId="7C85AC1A">
      <w:pPr>
        <w:keepNext/>
        <w:keepLines/>
        <w:tabs>
          <w:tab w:val="center" w:pos="284"/>
        </w:tabs>
        <w:overflowPunct w:val="0"/>
        <w:autoSpaceDE w:val="0"/>
        <w:autoSpaceDN w:val="0"/>
        <w:adjustRightInd w:val="0"/>
        <w:ind w:left="266" w:hanging="266"/>
        <w:textAlignment w:val="baseline"/>
        <w:rPr>
          <w:b/>
        </w:rPr>
      </w:pPr>
      <w:r>
        <w:rPr>
          <w:b/>
        </w:rPr>
        <w:t>Puntos clave</w:t>
      </w:r>
    </w:p>
    <w:p w:rsidRPr="009A3B12" w:rsidR="009A3B12" w:rsidP="009A3B12" w:rsidRDefault="009A3B12" w14:paraId="1E0FEC0B" w14:textId="77777777">
      <w:pPr>
        <w:spacing w:before="100" w:beforeAutospacing="1" w:after="100" w:afterAutospacing="1"/>
        <w:jc w:val="left"/>
      </w:pPr>
      <w:r>
        <w:rPr>
          <w:b/>
        </w:rPr>
        <w:t>El CESE:</w:t>
      </w:r>
      <w:r>
        <w:t xml:space="preserve"> </w:t>
      </w:r>
    </w:p>
    <w:p w:rsidRPr="009A3B12" w:rsidR="009A3B12" w:rsidP="00B60D9A" w:rsidRDefault="009A3B12" w14:paraId="63DF1E3D"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acoge con satisfacción la propuesta de modificar el Reglamento (UE) 2021/691, cuyo objetivo es reforzar el apoyo a los trabajadores afectados por un despido inminente en empresas en proceso de reestructuración y mejorar la eficacia del Fondo Europeo de Adaptación a la Globalización para Trabajadores Despedidos (FEAG);</w:t>
      </w:r>
    </w:p>
    <w:p w:rsidRPr="009A3B12" w:rsidR="009A3B12" w:rsidP="00B60D9A" w:rsidRDefault="009A3B12" w14:paraId="0197E580"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hace hincapié en la necesidad de prestar un apoyo oportuno y adaptado mediante, entre otras cosas, el perfeccionamiento profesional, el apoyo a la reincorporación al empleo, la ayuda a la renta y los servicios de salud mental. Deberá prestarse una especial atención a las capacidades digitales y ecológicas;</w:t>
      </w:r>
    </w:p>
    <w:p w:rsidRPr="009A3B12" w:rsidR="009A3B12" w:rsidP="00B60D9A" w:rsidRDefault="009A3B12" w14:paraId="3B4C2316"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pide que se mantenga la posibilidad de que los trabajadores sigan optando a las ayudas una vez extinguida su relación laboral, que puedan presentarse solicitudes de renovación y que se incluya a grupos vulnerables o excluidos, como los trabajadores de las pymes y las empresas subcontratistas, y los trabajadores de más edad, con discapacidad o poco cualificados, así como la integración de los agentes de la economía social;</w:t>
      </w:r>
    </w:p>
    <w:p w:rsidRPr="009A3B12" w:rsidR="009A3B12" w:rsidP="00B60D9A" w:rsidRDefault="009A3B12" w14:paraId="72EAD6AF" w14:textId="77777777">
      <w:pPr>
        <w:numPr>
          <w:ilvl w:val="0"/>
          <w:numId w:val="40"/>
        </w:numPr>
        <w:tabs>
          <w:tab w:val="clear" w:pos="720"/>
          <w:tab w:val="left" w:pos="1843"/>
        </w:tabs>
        <w:overflowPunct w:val="0"/>
        <w:autoSpaceDE w:val="0"/>
        <w:autoSpaceDN w:val="0"/>
        <w:adjustRightInd w:val="0"/>
        <w:spacing w:before="100" w:beforeAutospacing="1" w:after="100" w:afterAutospacing="1"/>
        <w:ind w:left="284" w:hanging="284"/>
        <w:textAlignment w:val="baseline"/>
      </w:pPr>
      <w:r>
        <w:t>recomienda un apoyo adaptado a las regiones más afectadas por las reestructuraciones y una mayor participación de los entes locales y los interlocutores sociales;</w:t>
      </w:r>
    </w:p>
    <w:p w:rsidRPr="009A3B12" w:rsidR="009A3B12" w:rsidP="00B60D9A" w:rsidRDefault="009A3B12" w14:paraId="363AFF1F"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reclama una financiación adecuada de la asistencia técnica, una mejor coordinación entre los instrumentos de la Unión (FEAG, FSE+, FTJ), unos marcos sólidos de seguimiento y evaluación que utilicen datos cualitativos y cuantitativos y campañas de sensibilización para garantizar un uso equitativo y eficaz del FEAG;</w:t>
      </w:r>
    </w:p>
    <w:p w:rsidRPr="009A3B12" w:rsidR="009A3B12" w:rsidP="00B60D9A" w:rsidRDefault="009A3B12" w14:paraId="105A125E" w14:textId="77777777">
      <w:pPr>
        <w:numPr>
          <w:ilvl w:val="0"/>
          <w:numId w:val="40"/>
        </w:numPr>
        <w:tabs>
          <w:tab w:val="clear" w:pos="720"/>
        </w:tabs>
        <w:overflowPunct w:val="0"/>
        <w:autoSpaceDE w:val="0"/>
        <w:autoSpaceDN w:val="0"/>
        <w:adjustRightInd w:val="0"/>
        <w:spacing w:before="100" w:beforeAutospacing="1" w:after="100" w:afterAutospacing="1"/>
        <w:ind w:left="284" w:hanging="284"/>
        <w:textAlignment w:val="baseline"/>
      </w:pPr>
      <w:r>
        <w:t>destaca la importancia de un diálogo social significativo en una fase temprana, de la elaboración obligatoria de planes de transición por parte de las empresas beneficiarias y del pleno cumplimiento de las Directivas de la UE en materia de información, consulta y despidos colectivos.</w:t>
      </w:r>
    </w:p>
    <w:p w:rsidRPr="009A3B12" w:rsidR="009A3B12" w:rsidP="009A3B12" w:rsidRDefault="009A3B12" w14:paraId="6A7F6C46" w14:textId="77777777">
      <w:pPr>
        <w:overflowPunct w:val="0"/>
        <w:autoSpaceDE w:val="0"/>
        <w:autoSpaceDN w:val="0"/>
        <w:adjustRightInd w:val="0"/>
        <w:spacing w:after="120"/>
        <w:textAlignment w:val="baseline"/>
        <w:rPr>
          <w:szCs w:val="20"/>
          <w:lang w:val="en-GB"/>
        </w:rPr>
      </w:pPr>
    </w:p>
    <w:tbl>
      <w:tblPr>
        <w:tblStyle w:val="TableGrid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3510"/>
      </w:tblGrid>
      <w:tr w:rsidRPr="009A3B12" w:rsidR="002B1C51" w:rsidTr="002B1C51" w14:paraId="15A1BCBA" w14:textId="77777777">
        <w:tc>
          <w:tcPr>
            <w:tcW w:w="2235" w:type="dxa"/>
          </w:tcPr>
          <w:p w:rsidRPr="009A3B12" w:rsidR="002B1C51" w:rsidP="009A3B12" w:rsidRDefault="002B1C51" w14:paraId="3569A840" w14:textId="2F2850CB">
            <w:pPr>
              <w:overflowPunct w:val="0"/>
              <w:autoSpaceDE w:val="0"/>
              <w:autoSpaceDN w:val="0"/>
              <w:adjustRightInd w:val="0"/>
              <w:textAlignment w:val="baseline"/>
              <w:rPr>
                <w:i/>
              </w:rPr>
            </w:pPr>
            <w:r>
              <w:rPr>
                <w:b/>
                <w:i/>
              </w:rPr>
              <w:t>Contacto:</w:t>
            </w:r>
          </w:p>
        </w:tc>
        <w:tc>
          <w:tcPr>
            <w:tcW w:w="3510" w:type="dxa"/>
          </w:tcPr>
          <w:p w:rsidRPr="009A3B12" w:rsidR="002B1C51" w:rsidP="009A3B12" w:rsidRDefault="002B1C51" w14:paraId="0DF1F070" w14:textId="4487F88B">
            <w:pPr>
              <w:overflowPunct w:val="0"/>
              <w:autoSpaceDE w:val="0"/>
              <w:autoSpaceDN w:val="0"/>
              <w:adjustRightInd w:val="0"/>
              <w:textAlignment w:val="baseline"/>
              <w:rPr>
                <w:i/>
              </w:rPr>
            </w:pPr>
            <w:r>
              <w:rPr>
                <w:i/>
              </w:rPr>
              <w:t>Bartek Bednarowicz</w:t>
            </w:r>
          </w:p>
        </w:tc>
      </w:tr>
      <w:tr w:rsidRPr="009A3B12" w:rsidR="002B1C51" w:rsidTr="002B1C51" w14:paraId="18B66F47" w14:textId="77777777">
        <w:tc>
          <w:tcPr>
            <w:tcW w:w="2235" w:type="dxa"/>
          </w:tcPr>
          <w:p w:rsidRPr="009A3B12" w:rsidR="002B1C51" w:rsidP="009A3B12" w:rsidRDefault="002B1C51" w14:paraId="78D1DC58" w14:textId="38B0379D">
            <w:pPr>
              <w:overflowPunct w:val="0"/>
              <w:autoSpaceDE w:val="0"/>
              <w:autoSpaceDN w:val="0"/>
              <w:adjustRightInd w:val="0"/>
              <w:textAlignment w:val="baseline"/>
              <w:rPr>
                <w:i/>
              </w:rPr>
            </w:pPr>
            <w:r>
              <w:rPr>
                <w:i/>
              </w:rPr>
              <w:t>Teléfono:</w:t>
            </w:r>
          </w:p>
        </w:tc>
        <w:tc>
          <w:tcPr>
            <w:tcW w:w="3510" w:type="dxa"/>
          </w:tcPr>
          <w:p w:rsidRPr="009A3B12" w:rsidR="002B1C51" w:rsidP="009A3B12" w:rsidRDefault="002B1C51" w14:paraId="4855A562" w14:textId="74692B7B">
            <w:pPr>
              <w:overflowPunct w:val="0"/>
              <w:autoSpaceDE w:val="0"/>
              <w:autoSpaceDN w:val="0"/>
              <w:adjustRightInd w:val="0"/>
              <w:textAlignment w:val="baseline"/>
              <w:rPr>
                <w:i/>
              </w:rPr>
            </w:pPr>
            <w:r>
              <w:rPr>
                <w:i/>
              </w:rPr>
              <w:t>+32 2 5469229</w:t>
            </w:r>
          </w:p>
        </w:tc>
      </w:tr>
      <w:tr w:rsidRPr="009A3B12" w:rsidR="002B1C51" w:rsidTr="002B1C51" w14:paraId="7B9461F8" w14:textId="77777777">
        <w:tc>
          <w:tcPr>
            <w:tcW w:w="2235" w:type="dxa"/>
          </w:tcPr>
          <w:p w:rsidRPr="009A3B12" w:rsidR="002B1C51" w:rsidP="009A3B12" w:rsidRDefault="002B1C51" w14:paraId="29D7C5FE" w14:textId="5B5260E5">
            <w:pPr>
              <w:overflowPunct w:val="0"/>
              <w:autoSpaceDE w:val="0"/>
              <w:autoSpaceDN w:val="0"/>
              <w:adjustRightInd w:val="0"/>
              <w:textAlignment w:val="baseline"/>
              <w:rPr>
                <w:i/>
              </w:rPr>
            </w:pPr>
            <w:r>
              <w:rPr>
                <w:i/>
              </w:rPr>
              <w:t>Correo electrónico:</w:t>
            </w:r>
          </w:p>
        </w:tc>
        <w:tc>
          <w:tcPr>
            <w:tcW w:w="3510" w:type="dxa"/>
          </w:tcPr>
          <w:p w:rsidRPr="009A3B12" w:rsidR="002B1C51" w:rsidP="009A3B12" w:rsidRDefault="002B1C51" w14:paraId="2D1E3999" w14:textId="77777777">
            <w:pPr>
              <w:overflowPunct w:val="0"/>
              <w:autoSpaceDE w:val="0"/>
              <w:autoSpaceDN w:val="0"/>
              <w:adjustRightInd w:val="0"/>
              <w:textAlignment w:val="baseline"/>
              <w:rPr>
                <w:i/>
                <w:iCs/>
              </w:rPr>
            </w:pPr>
            <w:hyperlink w:history="1" r:id="rId39">
              <w:r>
                <w:rPr>
                  <w:i/>
                  <w:color w:val="0000FF"/>
                  <w:u w:val="single"/>
                </w:rPr>
                <w:t>Bartek.Bednarowicz@eesc.europa.eu</w:t>
              </w:r>
            </w:hyperlink>
          </w:p>
        </w:tc>
      </w:tr>
    </w:tbl>
    <w:p w:rsidR="004D7AC0" w:rsidP="004D7AC0" w:rsidRDefault="004D7AC0" w14:paraId="4982DDC5" w14:textId="03813085">
      <w:pPr>
        <w:spacing w:after="160" w:line="259" w:lineRule="auto"/>
        <w:jc w:val="left"/>
      </w:pPr>
      <w:r>
        <w:br w:type="page"/>
      </w:r>
    </w:p>
    <w:p w:rsidR="004D7AC0" w:rsidP="004D7AC0" w:rsidRDefault="004D7AC0" w14:paraId="4982DDC6" w14:textId="77777777">
      <w:pPr>
        <w:pStyle w:val="Heading1"/>
        <w:rPr>
          <w:b/>
        </w:rPr>
      </w:pPr>
      <w:bookmarkStart w:name="_Toc24617160" w:id="9"/>
      <w:bookmarkStart w:name="_Toc75527082" w:id="10"/>
      <w:bookmarkStart w:name="_Toc201570901" w:id="11"/>
      <w:r>
        <w:rPr>
          <w:b/>
        </w:rPr>
        <w:lastRenderedPageBreak/>
        <w:t>TRANSPORTE, ENERGÍA, INFRAESTRUCTURAS Y SOCIEDAD DE LA INFORMACIÓN</w:t>
      </w:r>
      <w:bookmarkEnd w:id="9"/>
      <w:bookmarkEnd w:id="10"/>
      <w:bookmarkEnd w:id="11"/>
    </w:p>
    <w:p w:rsidR="004D7AC0" w:rsidP="004D7AC0" w:rsidRDefault="004D7AC0" w14:paraId="4982DDC7" w14:textId="77777777"/>
    <w:p w:rsidRPr="00240FD7" w:rsidR="00240FD7" w:rsidP="00240FD7" w:rsidRDefault="000E38A8" w14:paraId="5D1441A9" w14:textId="025C0963">
      <w:pPr>
        <w:widowControl w:val="0"/>
        <w:numPr>
          <w:ilvl w:val="0"/>
          <w:numId w:val="6"/>
        </w:numPr>
        <w:overflowPunct w:val="0"/>
        <w:autoSpaceDE w:val="0"/>
        <w:autoSpaceDN w:val="0"/>
        <w:adjustRightInd w:val="0"/>
        <w:ind w:left="426" w:hanging="426"/>
        <w:textAlignment w:val="baseline"/>
        <w:rPr>
          <w:sz w:val="20"/>
          <w:szCs w:val="20"/>
        </w:rPr>
      </w:pPr>
      <w:hyperlink w:history="1" r:id="rId40">
        <w:r w:rsidR="00381CCE">
          <w:rPr>
            <w:b/>
            <w:i/>
            <w:color w:val="0000FF"/>
            <w:sz w:val="28"/>
            <w:u w:val="single"/>
          </w:rPr>
          <w:t>Hacia un sistema energético europeo equilibrado</w:t>
        </w:r>
      </w:hyperlink>
    </w:p>
    <w:p w:rsidRPr="00240FD7" w:rsidR="00240FD7" w:rsidP="00240FD7" w:rsidRDefault="00240FD7" w14:paraId="6D27DCE3" w14:textId="77777777">
      <w:pPr>
        <w:tabs>
          <w:tab w:val="center" w:pos="284"/>
        </w:tabs>
        <w:overflowPunct w:val="0"/>
        <w:autoSpaceDE w:val="0"/>
        <w:autoSpaceDN w:val="0"/>
        <w:adjustRightInd w:val="0"/>
        <w:ind w:left="266" w:hanging="266"/>
        <w:textAlignment w:val="baseline"/>
        <w:rPr>
          <w:b/>
          <w:lang w:val="en-GB"/>
        </w:rPr>
      </w:pPr>
    </w:p>
    <w:tbl>
      <w:tblPr>
        <w:tblStyle w:val="TableGrid11"/>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7"/>
      </w:tblGrid>
      <w:tr w:rsidRPr="00240FD7" w:rsidR="00240FD7" w:rsidTr="002B1C51" w14:paraId="42A3F122" w14:textId="77777777">
        <w:tc>
          <w:tcPr>
            <w:tcW w:w="1107" w:type="pct"/>
          </w:tcPr>
          <w:p w:rsidRPr="00240FD7" w:rsidR="00240FD7" w:rsidP="00240FD7" w:rsidRDefault="00240FD7" w14:paraId="2D51F145" w14:textId="77777777">
            <w:pPr>
              <w:tabs>
                <w:tab w:val="center" w:pos="284"/>
              </w:tabs>
              <w:overflowPunct w:val="0"/>
              <w:autoSpaceDE w:val="0"/>
              <w:autoSpaceDN w:val="0"/>
              <w:adjustRightInd w:val="0"/>
              <w:ind w:left="266" w:hanging="266"/>
              <w:textAlignment w:val="baseline"/>
              <w:rPr>
                <w:b/>
              </w:rPr>
            </w:pPr>
            <w:r>
              <w:rPr>
                <w:b/>
              </w:rPr>
              <w:t xml:space="preserve">Ponente </w:t>
            </w:r>
          </w:p>
        </w:tc>
        <w:tc>
          <w:tcPr>
            <w:tcW w:w="3893" w:type="pct"/>
          </w:tcPr>
          <w:p w:rsidRPr="00240FD7" w:rsidR="00240FD7" w:rsidP="00240FD7" w:rsidRDefault="00240FD7" w14:paraId="3BA1A0D5" w14:textId="1FE0C66D">
            <w:pPr>
              <w:tabs>
                <w:tab w:val="center" w:pos="284"/>
              </w:tabs>
              <w:overflowPunct w:val="0"/>
              <w:autoSpaceDE w:val="0"/>
              <w:autoSpaceDN w:val="0"/>
              <w:adjustRightInd w:val="0"/>
              <w:ind w:left="266" w:hanging="266"/>
              <w:textAlignment w:val="baseline"/>
            </w:pPr>
            <w:r>
              <w:t>Zsolt KÜKEDI (Grupo de Organizaciones de la Sociedad Civil – HU)</w:t>
            </w:r>
          </w:p>
        </w:tc>
      </w:tr>
      <w:tr w:rsidRPr="00240FD7" w:rsidR="00240FD7" w:rsidTr="002B1C51" w14:paraId="480245EF" w14:textId="77777777">
        <w:tc>
          <w:tcPr>
            <w:tcW w:w="1107" w:type="pct"/>
          </w:tcPr>
          <w:p w:rsidRPr="00240FD7" w:rsidR="00240FD7" w:rsidP="00240FD7" w:rsidRDefault="00240FD7" w14:paraId="26667274" w14:textId="77777777">
            <w:pPr>
              <w:tabs>
                <w:tab w:val="center" w:pos="284"/>
              </w:tabs>
              <w:overflowPunct w:val="0"/>
              <w:autoSpaceDE w:val="0"/>
              <w:autoSpaceDN w:val="0"/>
              <w:adjustRightInd w:val="0"/>
              <w:ind w:left="266" w:hanging="266"/>
              <w:textAlignment w:val="baseline"/>
              <w:rPr>
                <w:b/>
              </w:rPr>
            </w:pPr>
            <w:r>
              <w:rPr>
                <w:b/>
              </w:rPr>
              <w:t>Coponente</w:t>
            </w:r>
          </w:p>
        </w:tc>
        <w:tc>
          <w:tcPr>
            <w:tcW w:w="3893" w:type="pct"/>
          </w:tcPr>
          <w:p w:rsidRPr="00240FD7" w:rsidR="00240FD7" w:rsidP="00240FD7" w:rsidRDefault="00240FD7" w14:paraId="4341A275" w14:textId="0D290491">
            <w:pPr>
              <w:tabs>
                <w:tab w:val="center" w:pos="284"/>
              </w:tabs>
              <w:overflowPunct w:val="0"/>
              <w:autoSpaceDE w:val="0"/>
              <w:autoSpaceDN w:val="0"/>
              <w:adjustRightInd w:val="0"/>
              <w:ind w:left="266" w:hanging="266"/>
              <w:textAlignment w:val="baseline"/>
            </w:pPr>
            <w:r>
              <w:t>Philippe CHARRY (Grupo de Trabajadores – FR)</w:t>
            </w:r>
          </w:p>
        </w:tc>
      </w:tr>
      <w:tr w:rsidRPr="00240FD7" w:rsidR="00240FD7" w:rsidTr="002B1C51" w14:paraId="66FFD7F8" w14:textId="77777777">
        <w:tc>
          <w:tcPr>
            <w:tcW w:w="5000" w:type="pct"/>
            <w:gridSpan w:val="2"/>
          </w:tcPr>
          <w:p w:rsidRPr="00240FD7" w:rsidR="00240FD7" w:rsidP="00240FD7" w:rsidRDefault="00240FD7" w14:paraId="1A41BD17"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2B1C51" w14:paraId="092A8E45" w14:textId="77777777">
        <w:tc>
          <w:tcPr>
            <w:tcW w:w="1107" w:type="pct"/>
            <w:vMerge w:val="restart"/>
          </w:tcPr>
          <w:p w:rsidRPr="00240FD7" w:rsidR="00240FD7" w:rsidP="00240FD7" w:rsidRDefault="00240FD7" w14:paraId="000D4347" w14:textId="500F19CB">
            <w:pPr>
              <w:tabs>
                <w:tab w:val="center" w:pos="284"/>
              </w:tabs>
              <w:overflowPunct w:val="0"/>
              <w:autoSpaceDE w:val="0"/>
              <w:autoSpaceDN w:val="0"/>
              <w:adjustRightInd w:val="0"/>
              <w:ind w:left="266" w:hanging="266"/>
              <w:textAlignment w:val="baseline"/>
              <w:rPr>
                <w:b/>
              </w:rPr>
            </w:pPr>
            <w:r>
              <w:rPr>
                <w:b/>
              </w:rPr>
              <w:t>Referencia</w:t>
            </w:r>
          </w:p>
        </w:tc>
        <w:tc>
          <w:tcPr>
            <w:tcW w:w="3893" w:type="pct"/>
          </w:tcPr>
          <w:p w:rsidRPr="00240FD7" w:rsidR="00240FD7" w:rsidP="00240FD7" w:rsidRDefault="00240FD7" w14:paraId="17DAA9C7" w14:textId="77777777">
            <w:pPr>
              <w:tabs>
                <w:tab w:val="center" w:pos="284"/>
              </w:tabs>
              <w:overflowPunct w:val="0"/>
              <w:autoSpaceDE w:val="0"/>
              <w:autoSpaceDN w:val="0"/>
              <w:adjustRightInd w:val="0"/>
              <w:ind w:left="266" w:hanging="266"/>
              <w:textAlignment w:val="baseline"/>
            </w:pPr>
            <w:r>
              <w:t>Dictamen de iniciativa</w:t>
            </w:r>
          </w:p>
          <w:p w:rsidRPr="00240FD7" w:rsidR="00240FD7" w:rsidP="00240FD7" w:rsidRDefault="00240FD7" w14:paraId="3AAFE680" w14:textId="77777777">
            <w:pPr>
              <w:tabs>
                <w:tab w:val="center" w:pos="284"/>
              </w:tabs>
              <w:overflowPunct w:val="0"/>
              <w:autoSpaceDE w:val="0"/>
              <w:autoSpaceDN w:val="0"/>
              <w:adjustRightInd w:val="0"/>
              <w:ind w:left="266" w:hanging="266"/>
              <w:textAlignment w:val="baseline"/>
            </w:pPr>
            <w:r>
              <w:t>EESC-2025-00328-00-00-AC</w:t>
            </w:r>
          </w:p>
        </w:tc>
      </w:tr>
      <w:tr w:rsidRPr="00240FD7" w:rsidR="00240FD7" w:rsidTr="002B1C51" w14:paraId="683AC6FA" w14:textId="77777777">
        <w:tc>
          <w:tcPr>
            <w:tcW w:w="1107" w:type="pct"/>
            <w:vMerge/>
          </w:tcPr>
          <w:p w:rsidRPr="00240FD7" w:rsidR="00240FD7" w:rsidP="00240FD7" w:rsidRDefault="00240FD7" w14:paraId="40A09F32" w14:textId="77777777">
            <w:pPr>
              <w:tabs>
                <w:tab w:val="center" w:pos="284"/>
              </w:tabs>
              <w:overflowPunct w:val="0"/>
              <w:autoSpaceDE w:val="0"/>
              <w:autoSpaceDN w:val="0"/>
              <w:adjustRightInd w:val="0"/>
              <w:ind w:left="266" w:hanging="266"/>
              <w:textAlignment w:val="baseline"/>
              <w:rPr>
                <w:b/>
              </w:rPr>
            </w:pPr>
          </w:p>
        </w:tc>
        <w:tc>
          <w:tcPr>
            <w:tcW w:w="3893" w:type="pct"/>
          </w:tcPr>
          <w:p w:rsidRPr="00240FD7" w:rsidR="00240FD7" w:rsidP="00240FD7" w:rsidRDefault="00240FD7" w14:paraId="6D08087E"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31F052BE"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6BA30868"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240FD7" w:rsidR="00240FD7" w:rsidP="00240FD7" w:rsidRDefault="00240FD7" w14:paraId="68865F43"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06017352" w14:textId="77777777">
      <w:pPr>
        <w:overflowPunct w:val="0"/>
        <w:autoSpaceDE w:val="0"/>
        <w:autoSpaceDN w:val="0"/>
        <w:adjustRightInd w:val="0"/>
        <w:textAlignment w:val="baseline"/>
        <w:rPr>
          <w:bCs/>
          <w:iCs/>
        </w:rPr>
      </w:pPr>
      <w:r>
        <w:t>El CESE:</w:t>
      </w:r>
    </w:p>
    <w:p w:rsidRPr="00240FD7" w:rsidR="00240FD7" w:rsidP="00240FD7" w:rsidRDefault="00240FD7" w14:paraId="00B1CC70" w14:textId="77777777">
      <w:pPr>
        <w:widowControl w:val="0"/>
        <w:overflowPunct w:val="0"/>
        <w:autoSpaceDE w:val="0"/>
        <w:autoSpaceDN w:val="0"/>
        <w:adjustRightInd w:val="0"/>
        <w:ind w:left="709"/>
        <w:textAlignment w:val="baseline"/>
        <w:rPr>
          <w:bCs/>
          <w:iCs/>
          <w:lang w:val="en-GB"/>
        </w:rPr>
      </w:pPr>
    </w:p>
    <w:p w:rsidRPr="00240FD7" w:rsidR="00240FD7" w:rsidP="00B60D9A" w:rsidRDefault="00240FD7" w14:paraId="3FFC8847" w14:textId="77777777">
      <w:pPr>
        <w:widowControl w:val="0"/>
        <w:numPr>
          <w:ilvl w:val="0"/>
          <w:numId w:val="41"/>
        </w:numPr>
        <w:overflowPunct w:val="0"/>
        <w:autoSpaceDE w:val="0"/>
        <w:autoSpaceDN w:val="0"/>
        <w:adjustRightInd w:val="0"/>
        <w:ind w:left="284" w:hanging="426"/>
        <w:textAlignment w:val="baseline"/>
        <w:rPr>
          <w:bCs/>
          <w:iCs/>
        </w:rPr>
      </w:pPr>
      <w:r>
        <w:t>considera que la asequibilidad de la energía, la neutralidad en carbono y la seguridad energética son los objetivos fundamentales de un sistema energético equilibrado;</w:t>
      </w:r>
    </w:p>
    <w:p w:rsidRPr="00240FD7" w:rsidR="00240FD7" w:rsidP="00B60D9A" w:rsidRDefault="00240FD7" w14:paraId="5604F059" w14:textId="77777777">
      <w:pPr>
        <w:widowControl w:val="0"/>
        <w:numPr>
          <w:ilvl w:val="0"/>
          <w:numId w:val="41"/>
        </w:numPr>
        <w:overflowPunct w:val="0"/>
        <w:autoSpaceDE w:val="0"/>
        <w:autoSpaceDN w:val="0"/>
        <w:adjustRightInd w:val="0"/>
        <w:ind w:left="284" w:hanging="426"/>
        <w:textAlignment w:val="baseline"/>
        <w:rPr>
          <w:bCs/>
          <w:iCs/>
        </w:rPr>
      </w:pPr>
      <w:r>
        <w:t>hace hincapié en la necesidad de mantener la generación de carga de base y una combinación de energías limpias diversa para equilibrar la oferta y la demanda, incluidas la generación intermitente y constante, las fuentes controlables y las no controlables y las diferencias energéticas regionales;</w:t>
      </w:r>
    </w:p>
    <w:p w:rsidRPr="00240FD7" w:rsidR="00240FD7" w:rsidP="00B60D9A" w:rsidRDefault="00240FD7" w14:paraId="1685627F" w14:textId="77777777">
      <w:pPr>
        <w:widowControl w:val="0"/>
        <w:numPr>
          <w:ilvl w:val="0"/>
          <w:numId w:val="41"/>
        </w:numPr>
        <w:overflowPunct w:val="0"/>
        <w:autoSpaceDE w:val="0"/>
        <w:autoSpaceDN w:val="0"/>
        <w:adjustRightInd w:val="0"/>
        <w:ind w:left="284" w:hanging="426"/>
        <w:textAlignment w:val="baseline"/>
        <w:rPr>
          <w:bCs/>
          <w:iCs/>
        </w:rPr>
      </w:pPr>
      <w:r>
        <w:t>apoya la petición de la Comisión de recomendar a los Estados miembros que reduzcan temporalmente los impuestos y gravámenes para reducir los elevados costes, tal como se indica en el Plan de Acción para una Energía Asequible;</w:t>
      </w:r>
    </w:p>
    <w:p w:rsidRPr="00240FD7" w:rsidR="00240FD7" w:rsidP="00B60D9A" w:rsidRDefault="00240FD7" w14:paraId="162065A6" w14:textId="77777777">
      <w:pPr>
        <w:widowControl w:val="0"/>
        <w:numPr>
          <w:ilvl w:val="0"/>
          <w:numId w:val="41"/>
        </w:numPr>
        <w:overflowPunct w:val="0"/>
        <w:autoSpaceDE w:val="0"/>
        <w:autoSpaceDN w:val="0"/>
        <w:adjustRightInd w:val="0"/>
        <w:ind w:left="284" w:hanging="426"/>
        <w:textAlignment w:val="baseline"/>
        <w:rPr>
          <w:bCs/>
          <w:iCs/>
        </w:rPr>
      </w:pPr>
      <w:r>
        <w:t>propone una hoja de ruta flexible pero firme para los Estados miembros que dependen de los combustibles fósiles, con la cooperación nacional y de la UE;</w:t>
      </w:r>
    </w:p>
    <w:p w:rsidRPr="00240FD7" w:rsidR="00240FD7" w:rsidP="00B60D9A" w:rsidRDefault="00240FD7" w14:paraId="73E85E07" w14:textId="77777777">
      <w:pPr>
        <w:widowControl w:val="0"/>
        <w:numPr>
          <w:ilvl w:val="0"/>
          <w:numId w:val="41"/>
        </w:numPr>
        <w:overflowPunct w:val="0"/>
        <w:autoSpaceDE w:val="0"/>
        <w:autoSpaceDN w:val="0"/>
        <w:adjustRightInd w:val="0"/>
        <w:ind w:left="284" w:hanging="426"/>
        <w:textAlignment w:val="baseline"/>
        <w:rPr>
          <w:bCs/>
          <w:iCs/>
        </w:rPr>
      </w:pPr>
      <w:r>
        <w:t>destaca la necesidad de aumentar la flexibilidad y la eficiencia, hace hincapié en el papel de la gestión activa de la demanda y del consumo inteligente, y pide campañas de sensibilización, soluciones de mejora de la eficiencia y modelos empresariales que promuevan la puesta en común de recursos entre los consumidores y productores más pequeños;</w:t>
      </w:r>
    </w:p>
    <w:p w:rsidRPr="00240FD7" w:rsidR="00240FD7" w:rsidP="00B60D9A" w:rsidRDefault="00240FD7" w14:paraId="346C32BF" w14:textId="77777777">
      <w:pPr>
        <w:widowControl w:val="0"/>
        <w:numPr>
          <w:ilvl w:val="0"/>
          <w:numId w:val="41"/>
        </w:numPr>
        <w:overflowPunct w:val="0"/>
        <w:autoSpaceDE w:val="0"/>
        <w:autoSpaceDN w:val="0"/>
        <w:adjustRightInd w:val="0"/>
        <w:ind w:left="284" w:hanging="426"/>
        <w:textAlignment w:val="baseline"/>
        <w:rPr>
          <w:bCs/>
          <w:iCs/>
        </w:rPr>
      </w:pPr>
      <w:r>
        <w:t>pide interconexiones transfronterizas más rápidas y la modernización de las infraestructuras para completar la Unión de la Energía y reforzar los flujos internos de energía, especialmente a raíz del reciente apagón en España y Portugal;</w:t>
      </w:r>
    </w:p>
    <w:p w:rsidRPr="00240FD7" w:rsidR="00240FD7" w:rsidP="00B60D9A" w:rsidRDefault="00240FD7" w14:paraId="35E39B22" w14:textId="77777777">
      <w:pPr>
        <w:widowControl w:val="0"/>
        <w:numPr>
          <w:ilvl w:val="0"/>
          <w:numId w:val="41"/>
        </w:numPr>
        <w:overflowPunct w:val="0"/>
        <w:autoSpaceDE w:val="0"/>
        <w:autoSpaceDN w:val="0"/>
        <w:adjustRightInd w:val="0"/>
        <w:ind w:left="284" w:hanging="426"/>
        <w:textAlignment w:val="baseline"/>
      </w:pPr>
      <w:r>
        <w:t>pide que se examine cómo hacer un mejor uso de las fuentes infrautilizadas (por ejemplo, la energía geotérmica para la electricidad, el biogás para la producción local) y acelerar la innovación (eficiencia, digitalización, flexibilidad de la red, integración sectorial);</w:t>
      </w:r>
    </w:p>
    <w:p w:rsidRPr="00240FD7" w:rsidR="00240FD7" w:rsidP="00B60D9A" w:rsidRDefault="00240FD7" w14:paraId="77C347B5" w14:textId="77777777">
      <w:pPr>
        <w:widowControl w:val="0"/>
        <w:numPr>
          <w:ilvl w:val="0"/>
          <w:numId w:val="41"/>
        </w:numPr>
        <w:overflowPunct w:val="0"/>
        <w:autoSpaceDE w:val="0"/>
        <w:autoSpaceDN w:val="0"/>
        <w:adjustRightInd w:val="0"/>
        <w:ind w:left="284" w:hanging="426"/>
        <w:textAlignment w:val="baseline"/>
        <w:rPr>
          <w:szCs w:val="20"/>
        </w:rPr>
      </w:pPr>
      <w:r>
        <w:t>recomienda hacer más accesible la producción descentralizada de energía renovable (prosumidores y comunidades de energía) eliminando lagunas normativas y abordando los conflictos de intereses;</w:t>
      </w:r>
    </w:p>
    <w:p w:rsidRPr="00240FD7" w:rsidR="00240FD7" w:rsidP="00B60D9A" w:rsidRDefault="00240FD7" w14:paraId="19A2DB39" w14:textId="77777777">
      <w:pPr>
        <w:widowControl w:val="0"/>
        <w:numPr>
          <w:ilvl w:val="0"/>
          <w:numId w:val="41"/>
        </w:numPr>
        <w:overflowPunct w:val="0"/>
        <w:autoSpaceDE w:val="0"/>
        <w:autoSpaceDN w:val="0"/>
        <w:adjustRightInd w:val="0"/>
        <w:ind w:left="284" w:hanging="426"/>
        <w:textAlignment w:val="baseline"/>
        <w:rPr>
          <w:szCs w:val="20"/>
        </w:rPr>
      </w:pPr>
      <w:r>
        <w:t>propone el desarrollo de un plan de acción europeo para la estabilidad transitoria que incluya normas obligatorias para la inercia sintética, pruebas de respuesta transitoria para nuevos activos y evaluaciones anuales de la resiliencia del sistema eléctrico frente a perturbaciones rápidas para evitar fallos generalizados de la red.</w:t>
      </w:r>
    </w:p>
    <w:p w:rsidRPr="00240FD7" w:rsidR="00240FD7" w:rsidP="00BD4876" w:rsidRDefault="00240FD7" w14:paraId="17C0E5E9" w14:textId="77777777">
      <w:pPr>
        <w:widowControl w:val="0"/>
        <w:overflowPunct w:val="0"/>
        <w:autoSpaceDE w:val="0"/>
        <w:autoSpaceDN w:val="0"/>
        <w:adjustRightInd w:val="0"/>
        <w:ind w:left="284" w:hanging="426"/>
        <w:textAlignment w:val="baseline"/>
        <w:rPr>
          <w:szCs w:val="20"/>
          <w:lang w:val="en-GB"/>
        </w:rPr>
      </w:pPr>
    </w:p>
    <w:tbl>
      <w:tblPr>
        <w:tblStyle w:val="TableGrid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297"/>
      </w:tblGrid>
      <w:tr w:rsidRPr="00240FD7" w:rsidR="00240FD7" w:rsidTr="002B1C51" w14:paraId="7F5A586D" w14:textId="77777777">
        <w:tc>
          <w:tcPr>
            <w:tcW w:w="1711" w:type="pct"/>
          </w:tcPr>
          <w:p w:rsidRPr="00240FD7" w:rsidR="00240FD7" w:rsidP="00240FD7" w:rsidRDefault="00240FD7" w14:paraId="5E40EB11" w14:textId="77777777">
            <w:pPr>
              <w:overflowPunct w:val="0"/>
              <w:autoSpaceDE w:val="0"/>
              <w:autoSpaceDN w:val="0"/>
              <w:adjustRightInd w:val="0"/>
              <w:spacing w:line="240" w:lineRule="auto"/>
              <w:textAlignment w:val="baseline"/>
              <w:rPr>
                <w:i/>
              </w:rPr>
            </w:pPr>
            <w:r>
              <w:rPr>
                <w:b/>
                <w:i/>
              </w:rPr>
              <w:t>Contacto:</w:t>
            </w:r>
          </w:p>
        </w:tc>
        <w:tc>
          <w:tcPr>
            <w:tcW w:w="3289" w:type="pct"/>
          </w:tcPr>
          <w:p w:rsidRPr="00240FD7" w:rsidR="00240FD7" w:rsidP="00240FD7" w:rsidRDefault="00240FD7" w14:paraId="7B86D9B1" w14:textId="77777777">
            <w:pPr>
              <w:overflowPunct w:val="0"/>
              <w:autoSpaceDE w:val="0"/>
              <w:autoSpaceDN w:val="0"/>
              <w:adjustRightInd w:val="0"/>
              <w:spacing w:line="240" w:lineRule="auto"/>
              <w:textAlignment w:val="baseline"/>
              <w:rPr>
                <w:i/>
              </w:rPr>
            </w:pPr>
            <w:r>
              <w:rPr>
                <w:i/>
              </w:rPr>
              <w:t>Giorgia Bordignon</w:t>
            </w:r>
          </w:p>
        </w:tc>
      </w:tr>
      <w:tr w:rsidRPr="00240FD7" w:rsidR="00240FD7" w:rsidTr="002B1C51" w14:paraId="3717A876" w14:textId="77777777">
        <w:tc>
          <w:tcPr>
            <w:tcW w:w="1711" w:type="pct"/>
          </w:tcPr>
          <w:p w:rsidRPr="00240FD7" w:rsidR="00240FD7" w:rsidP="00240FD7" w:rsidRDefault="00240FD7" w14:paraId="47FF5AFD" w14:textId="77777777">
            <w:pPr>
              <w:overflowPunct w:val="0"/>
              <w:autoSpaceDE w:val="0"/>
              <w:autoSpaceDN w:val="0"/>
              <w:adjustRightInd w:val="0"/>
              <w:spacing w:line="240" w:lineRule="auto"/>
              <w:textAlignment w:val="baseline"/>
              <w:rPr>
                <w:i/>
              </w:rPr>
            </w:pPr>
            <w:r>
              <w:rPr>
                <w:i/>
              </w:rPr>
              <w:t>Teléfono:</w:t>
            </w:r>
          </w:p>
        </w:tc>
        <w:tc>
          <w:tcPr>
            <w:tcW w:w="3289" w:type="pct"/>
          </w:tcPr>
          <w:p w:rsidRPr="00240FD7" w:rsidR="00240FD7" w:rsidP="00240FD7" w:rsidRDefault="00240FD7" w14:paraId="2A526C76" w14:textId="1D97388C">
            <w:pPr>
              <w:overflowPunct w:val="0"/>
              <w:autoSpaceDE w:val="0"/>
              <w:autoSpaceDN w:val="0"/>
              <w:adjustRightInd w:val="0"/>
              <w:spacing w:line="240" w:lineRule="auto"/>
              <w:textAlignment w:val="baseline"/>
              <w:rPr>
                <w:i/>
              </w:rPr>
            </w:pPr>
            <w:r>
              <w:rPr>
                <w:i/>
              </w:rPr>
              <w:t>+32 2 5468535</w:t>
            </w:r>
          </w:p>
        </w:tc>
      </w:tr>
      <w:tr w:rsidRPr="00240FD7" w:rsidR="00240FD7" w:rsidTr="002B1C51" w14:paraId="3D1E5EB1" w14:textId="77777777">
        <w:tc>
          <w:tcPr>
            <w:tcW w:w="1711" w:type="pct"/>
          </w:tcPr>
          <w:p w:rsidRPr="00240FD7" w:rsidR="00240FD7" w:rsidP="00240FD7" w:rsidRDefault="00BD4876" w14:paraId="21A6762F" w14:textId="79A0E54C">
            <w:pPr>
              <w:overflowPunct w:val="0"/>
              <w:autoSpaceDE w:val="0"/>
              <w:autoSpaceDN w:val="0"/>
              <w:adjustRightInd w:val="0"/>
              <w:spacing w:line="240" w:lineRule="auto"/>
              <w:textAlignment w:val="baseline"/>
              <w:rPr>
                <w:i/>
              </w:rPr>
            </w:pPr>
            <w:r>
              <w:rPr>
                <w:i/>
              </w:rPr>
              <w:t>Correo electrónico:</w:t>
            </w:r>
          </w:p>
        </w:tc>
        <w:tc>
          <w:tcPr>
            <w:tcW w:w="3289" w:type="pct"/>
          </w:tcPr>
          <w:p w:rsidRPr="00240FD7" w:rsidR="00240FD7" w:rsidP="00240FD7" w:rsidRDefault="000E38A8" w14:paraId="0A10AF36" w14:textId="77777777">
            <w:pPr>
              <w:overflowPunct w:val="0"/>
              <w:autoSpaceDE w:val="0"/>
              <w:autoSpaceDN w:val="0"/>
              <w:adjustRightInd w:val="0"/>
              <w:spacing w:line="240" w:lineRule="auto"/>
              <w:textAlignment w:val="baseline"/>
              <w:rPr>
                <w:i/>
              </w:rPr>
            </w:pPr>
            <w:hyperlink w:history="1" r:id="rId41">
              <w:r w:rsidR="00381CCE">
                <w:rPr>
                  <w:i/>
                  <w:color w:val="0000FF"/>
                  <w:u w:val="single"/>
                </w:rPr>
                <w:t>GiorgiaAndrea.Bordignon@eesc.europa.eu</w:t>
              </w:r>
            </w:hyperlink>
            <w:r w:rsidR="00381CCE">
              <w:rPr>
                <w:i/>
              </w:rPr>
              <w:t xml:space="preserve"> </w:t>
            </w:r>
          </w:p>
        </w:tc>
      </w:tr>
    </w:tbl>
    <w:p w:rsidR="00055407" w:rsidRDefault="00055407" w14:paraId="6037CC93" w14:textId="4CD819A3">
      <w:pPr>
        <w:spacing w:after="160" w:line="259" w:lineRule="auto"/>
        <w:jc w:val="left"/>
      </w:pPr>
      <w:r>
        <w:br w:type="page"/>
      </w:r>
    </w:p>
    <w:p w:rsidRPr="00240FD7" w:rsidR="00240FD7" w:rsidP="00240FD7" w:rsidRDefault="000E38A8" w14:paraId="2E1E7900" w14:textId="31C347E7">
      <w:pPr>
        <w:widowControl w:val="0"/>
        <w:numPr>
          <w:ilvl w:val="0"/>
          <w:numId w:val="6"/>
        </w:numPr>
        <w:overflowPunct w:val="0"/>
        <w:autoSpaceDE w:val="0"/>
        <w:autoSpaceDN w:val="0"/>
        <w:adjustRightInd w:val="0"/>
        <w:ind w:hanging="567"/>
        <w:textAlignment w:val="baseline"/>
        <w:rPr>
          <w:sz w:val="20"/>
          <w:szCs w:val="20"/>
        </w:rPr>
      </w:pPr>
      <w:hyperlink w:history="1" r:id="rId42">
        <w:r w:rsidR="00381CCE">
          <w:rPr>
            <w:b/>
            <w:i/>
            <w:color w:val="0000FF"/>
            <w:sz w:val="28"/>
            <w:u w:val="single"/>
          </w:rPr>
          <w:t>Planificar la movilidad urbana sostenible en la UE</w:t>
        </w:r>
      </w:hyperlink>
    </w:p>
    <w:p w:rsidRPr="00240FD7" w:rsidR="00240FD7" w:rsidP="00240FD7" w:rsidRDefault="00240FD7" w14:paraId="6214C6F8" w14:textId="77777777">
      <w:pPr>
        <w:tabs>
          <w:tab w:val="center" w:pos="284"/>
        </w:tabs>
        <w:overflowPunct w:val="0"/>
        <w:autoSpaceDE w:val="0"/>
        <w:autoSpaceDN w:val="0"/>
        <w:adjustRightInd w:val="0"/>
        <w:ind w:left="266" w:hanging="266"/>
        <w:textAlignment w:val="baseline"/>
        <w:rPr>
          <w:b/>
          <w:lang w:val="en-GB"/>
        </w:rPr>
      </w:pPr>
    </w:p>
    <w:tbl>
      <w:tblPr>
        <w:tblStyle w:val="TableGrid12"/>
        <w:tblW w:w="486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0"/>
        <w:gridCol w:w="7008"/>
      </w:tblGrid>
      <w:tr w:rsidRPr="00240FD7" w:rsidR="00240FD7" w:rsidTr="002B1C51" w14:paraId="37155882" w14:textId="77777777">
        <w:tc>
          <w:tcPr>
            <w:tcW w:w="1123" w:type="pct"/>
          </w:tcPr>
          <w:p w:rsidRPr="00240FD7" w:rsidR="00240FD7" w:rsidP="00240FD7" w:rsidRDefault="00240FD7" w14:paraId="52220D5B" w14:textId="77777777">
            <w:pPr>
              <w:tabs>
                <w:tab w:val="center" w:pos="284"/>
              </w:tabs>
              <w:overflowPunct w:val="0"/>
              <w:autoSpaceDE w:val="0"/>
              <w:autoSpaceDN w:val="0"/>
              <w:adjustRightInd w:val="0"/>
              <w:ind w:left="266" w:hanging="266"/>
              <w:textAlignment w:val="baseline"/>
              <w:rPr>
                <w:b/>
              </w:rPr>
            </w:pPr>
            <w:r>
              <w:rPr>
                <w:b/>
              </w:rPr>
              <w:t xml:space="preserve">Ponente </w:t>
            </w:r>
          </w:p>
        </w:tc>
        <w:tc>
          <w:tcPr>
            <w:tcW w:w="3877" w:type="pct"/>
          </w:tcPr>
          <w:p w:rsidRPr="00240FD7" w:rsidR="00240FD7" w:rsidP="00240FD7" w:rsidRDefault="00240FD7" w14:paraId="7F674029" w14:textId="2BAA46E1">
            <w:pPr>
              <w:tabs>
                <w:tab w:val="center" w:pos="284"/>
              </w:tabs>
              <w:overflowPunct w:val="0"/>
              <w:autoSpaceDE w:val="0"/>
              <w:autoSpaceDN w:val="0"/>
              <w:adjustRightInd w:val="0"/>
              <w:ind w:left="266" w:right="-103" w:hanging="266"/>
              <w:textAlignment w:val="baseline"/>
            </w:pPr>
            <w:r>
              <w:t>Lidija PAVIĆ-ROGOŠIĆ (Grupo de Organizaciones de la Sociedad Civil – HR)</w:t>
            </w:r>
          </w:p>
        </w:tc>
      </w:tr>
      <w:tr w:rsidRPr="00240FD7" w:rsidR="00240FD7" w:rsidTr="002B1C51" w14:paraId="646084EA" w14:textId="77777777">
        <w:tc>
          <w:tcPr>
            <w:tcW w:w="1123" w:type="pct"/>
          </w:tcPr>
          <w:p w:rsidRPr="00240FD7" w:rsidR="00240FD7" w:rsidP="00240FD7" w:rsidRDefault="00240FD7" w14:paraId="48F1578E" w14:textId="77777777">
            <w:pPr>
              <w:tabs>
                <w:tab w:val="center" w:pos="284"/>
              </w:tabs>
              <w:overflowPunct w:val="0"/>
              <w:autoSpaceDE w:val="0"/>
              <w:autoSpaceDN w:val="0"/>
              <w:adjustRightInd w:val="0"/>
              <w:ind w:left="266" w:hanging="266"/>
              <w:textAlignment w:val="baseline"/>
              <w:rPr>
                <w:b/>
              </w:rPr>
            </w:pPr>
            <w:r>
              <w:rPr>
                <w:b/>
              </w:rPr>
              <w:t>Coponente</w:t>
            </w:r>
          </w:p>
        </w:tc>
        <w:tc>
          <w:tcPr>
            <w:tcW w:w="3877" w:type="pct"/>
          </w:tcPr>
          <w:p w:rsidRPr="00240FD7" w:rsidR="00240FD7" w:rsidP="00240FD7" w:rsidRDefault="00240FD7" w14:paraId="6DB8C4BD" w14:textId="77777777">
            <w:pPr>
              <w:tabs>
                <w:tab w:val="center" w:pos="284"/>
              </w:tabs>
              <w:overflowPunct w:val="0"/>
              <w:autoSpaceDE w:val="0"/>
              <w:autoSpaceDN w:val="0"/>
              <w:adjustRightInd w:val="0"/>
              <w:ind w:left="266" w:hanging="266"/>
              <w:textAlignment w:val="baseline"/>
            </w:pPr>
            <w:r>
              <w:t>Mateusz SZYMAŃSKI (Grupo de Trabajadores – PL)</w:t>
            </w:r>
          </w:p>
        </w:tc>
      </w:tr>
      <w:tr w:rsidRPr="00240FD7" w:rsidR="00240FD7" w:rsidTr="002B1C51" w14:paraId="25EEB81C" w14:textId="77777777">
        <w:tc>
          <w:tcPr>
            <w:tcW w:w="5000" w:type="pct"/>
            <w:gridSpan w:val="2"/>
          </w:tcPr>
          <w:p w:rsidRPr="00240FD7" w:rsidR="00240FD7" w:rsidP="00240FD7" w:rsidRDefault="00240FD7" w14:paraId="65D7E164" w14:textId="77777777">
            <w:pPr>
              <w:tabs>
                <w:tab w:val="center" w:pos="284"/>
              </w:tabs>
              <w:overflowPunct w:val="0"/>
              <w:autoSpaceDE w:val="0"/>
              <w:autoSpaceDN w:val="0"/>
              <w:adjustRightInd w:val="0"/>
              <w:spacing w:line="160" w:lineRule="exact"/>
              <w:ind w:left="266" w:hanging="266"/>
              <w:textAlignment w:val="baseline"/>
            </w:pPr>
          </w:p>
        </w:tc>
      </w:tr>
      <w:tr w:rsidRPr="00240FD7" w:rsidR="00240FD7" w:rsidTr="002B1C51" w14:paraId="5BEF82B7" w14:textId="77777777">
        <w:tc>
          <w:tcPr>
            <w:tcW w:w="1123" w:type="pct"/>
            <w:vMerge w:val="restart"/>
          </w:tcPr>
          <w:p w:rsidRPr="00240FD7" w:rsidR="00240FD7" w:rsidP="00240FD7" w:rsidRDefault="00240FD7" w14:paraId="5219CA89" w14:textId="3102B8D4">
            <w:pPr>
              <w:tabs>
                <w:tab w:val="center" w:pos="284"/>
              </w:tabs>
              <w:overflowPunct w:val="0"/>
              <w:autoSpaceDE w:val="0"/>
              <w:autoSpaceDN w:val="0"/>
              <w:adjustRightInd w:val="0"/>
              <w:ind w:left="266" w:hanging="266"/>
              <w:textAlignment w:val="baseline"/>
              <w:rPr>
                <w:b/>
              </w:rPr>
            </w:pPr>
            <w:r>
              <w:rPr>
                <w:b/>
              </w:rPr>
              <w:t>Referencia</w:t>
            </w:r>
          </w:p>
        </w:tc>
        <w:tc>
          <w:tcPr>
            <w:tcW w:w="3877" w:type="pct"/>
          </w:tcPr>
          <w:p w:rsidRPr="00240FD7" w:rsidR="00240FD7" w:rsidP="00240FD7" w:rsidRDefault="00240FD7" w14:paraId="427BC4BC" w14:textId="77777777">
            <w:pPr>
              <w:tabs>
                <w:tab w:val="center" w:pos="284"/>
              </w:tabs>
              <w:overflowPunct w:val="0"/>
              <w:autoSpaceDE w:val="0"/>
              <w:autoSpaceDN w:val="0"/>
              <w:adjustRightInd w:val="0"/>
              <w:ind w:left="266" w:hanging="266"/>
              <w:textAlignment w:val="baseline"/>
            </w:pPr>
            <w:r>
              <w:t>Dictamen de iniciativa</w:t>
            </w:r>
          </w:p>
          <w:p w:rsidRPr="00240FD7" w:rsidR="00240FD7" w:rsidP="00240FD7" w:rsidRDefault="00240FD7" w14:paraId="21372768" w14:textId="77777777">
            <w:pPr>
              <w:tabs>
                <w:tab w:val="center" w:pos="284"/>
              </w:tabs>
              <w:overflowPunct w:val="0"/>
              <w:autoSpaceDE w:val="0"/>
              <w:autoSpaceDN w:val="0"/>
              <w:adjustRightInd w:val="0"/>
              <w:ind w:left="266" w:hanging="266"/>
              <w:textAlignment w:val="baseline"/>
            </w:pPr>
            <w:r>
              <w:t>EESC-2025-00372-00-00-AC</w:t>
            </w:r>
          </w:p>
        </w:tc>
      </w:tr>
      <w:tr w:rsidRPr="00240FD7" w:rsidR="00240FD7" w:rsidTr="002B1C51" w14:paraId="1B9C8807" w14:textId="77777777">
        <w:tc>
          <w:tcPr>
            <w:tcW w:w="1123" w:type="pct"/>
            <w:vMerge/>
          </w:tcPr>
          <w:p w:rsidRPr="00240FD7" w:rsidR="00240FD7" w:rsidP="00240FD7" w:rsidRDefault="00240FD7" w14:paraId="0E76A0B1" w14:textId="77777777">
            <w:pPr>
              <w:tabs>
                <w:tab w:val="center" w:pos="284"/>
              </w:tabs>
              <w:overflowPunct w:val="0"/>
              <w:autoSpaceDE w:val="0"/>
              <w:autoSpaceDN w:val="0"/>
              <w:adjustRightInd w:val="0"/>
              <w:ind w:left="266" w:hanging="266"/>
              <w:textAlignment w:val="baseline"/>
              <w:rPr>
                <w:b/>
              </w:rPr>
            </w:pPr>
          </w:p>
        </w:tc>
        <w:tc>
          <w:tcPr>
            <w:tcW w:w="3877" w:type="pct"/>
          </w:tcPr>
          <w:p w:rsidRPr="00240FD7" w:rsidR="00240FD7" w:rsidP="00240FD7" w:rsidRDefault="00240FD7" w14:paraId="77FF6397" w14:textId="77777777">
            <w:pPr>
              <w:tabs>
                <w:tab w:val="center" w:pos="284"/>
              </w:tabs>
              <w:overflowPunct w:val="0"/>
              <w:autoSpaceDE w:val="0"/>
              <w:autoSpaceDN w:val="0"/>
              <w:adjustRightInd w:val="0"/>
              <w:ind w:left="266" w:hanging="266"/>
              <w:textAlignment w:val="baseline"/>
            </w:pPr>
          </w:p>
        </w:tc>
      </w:tr>
    </w:tbl>
    <w:p w:rsidRPr="00240FD7" w:rsidR="00240FD7" w:rsidP="00240FD7" w:rsidRDefault="00240FD7" w14:paraId="5F1B24DF" w14:textId="77777777">
      <w:pPr>
        <w:tabs>
          <w:tab w:val="center" w:pos="284"/>
        </w:tabs>
        <w:overflowPunct w:val="0"/>
        <w:autoSpaceDE w:val="0"/>
        <w:autoSpaceDN w:val="0"/>
        <w:adjustRightInd w:val="0"/>
        <w:ind w:left="266" w:hanging="266"/>
        <w:textAlignment w:val="baseline"/>
        <w:rPr>
          <w:lang w:val="en-GB"/>
        </w:rPr>
      </w:pPr>
    </w:p>
    <w:p w:rsidRPr="00240FD7" w:rsidR="00240FD7" w:rsidP="00240FD7" w:rsidRDefault="00240FD7" w14:paraId="2F625EEC" w14:textId="50796146">
      <w:pPr>
        <w:keepNext/>
        <w:keepLines/>
        <w:tabs>
          <w:tab w:val="center" w:pos="284"/>
        </w:tabs>
        <w:overflowPunct w:val="0"/>
        <w:autoSpaceDE w:val="0"/>
        <w:autoSpaceDN w:val="0"/>
        <w:adjustRightInd w:val="0"/>
        <w:ind w:left="266" w:hanging="266"/>
        <w:textAlignment w:val="baseline"/>
        <w:rPr>
          <w:b/>
        </w:rPr>
      </w:pPr>
      <w:r>
        <w:rPr>
          <w:b/>
        </w:rPr>
        <w:t>Puntos clave</w:t>
      </w:r>
    </w:p>
    <w:p w:rsidRPr="00240FD7" w:rsidR="00240FD7" w:rsidP="00240FD7" w:rsidRDefault="00240FD7" w14:paraId="6BE04A64" w14:textId="77777777">
      <w:pPr>
        <w:keepNext/>
        <w:keepLines/>
        <w:tabs>
          <w:tab w:val="center" w:pos="284"/>
        </w:tabs>
        <w:overflowPunct w:val="0"/>
        <w:autoSpaceDE w:val="0"/>
        <w:autoSpaceDN w:val="0"/>
        <w:adjustRightInd w:val="0"/>
        <w:ind w:left="266" w:hanging="266"/>
        <w:textAlignment w:val="baseline"/>
        <w:rPr>
          <w:b/>
          <w:lang w:val="en-GB"/>
        </w:rPr>
      </w:pPr>
    </w:p>
    <w:p w:rsidRPr="00240FD7" w:rsidR="00240FD7" w:rsidP="00240FD7" w:rsidRDefault="00240FD7" w14:paraId="1692C32F" w14:textId="77777777">
      <w:pPr>
        <w:overflowPunct w:val="0"/>
        <w:autoSpaceDE w:val="0"/>
        <w:autoSpaceDN w:val="0"/>
        <w:adjustRightInd w:val="0"/>
        <w:textAlignment w:val="baseline"/>
        <w:rPr>
          <w:bCs/>
          <w:iCs/>
        </w:rPr>
      </w:pPr>
      <w:r>
        <w:t>El CESE:</w:t>
      </w:r>
    </w:p>
    <w:p w:rsidRPr="00240FD7" w:rsidR="00240FD7" w:rsidP="00240FD7" w:rsidRDefault="00240FD7" w14:paraId="1756A86F" w14:textId="77777777">
      <w:pPr>
        <w:overflowPunct w:val="0"/>
        <w:autoSpaceDE w:val="0"/>
        <w:autoSpaceDN w:val="0"/>
        <w:adjustRightInd w:val="0"/>
        <w:textAlignment w:val="baseline"/>
        <w:rPr>
          <w:bCs/>
          <w:iCs/>
          <w:lang w:val="en-GB"/>
        </w:rPr>
      </w:pPr>
    </w:p>
    <w:p w:rsidRPr="00240FD7" w:rsidR="00240FD7" w:rsidP="00B60D9A" w:rsidRDefault="00240FD7" w14:paraId="7288734D" w14:textId="77777777">
      <w:pPr>
        <w:widowControl w:val="0"/>
        <w:numPr>
          <w:ilvl w:val="0"/>
          <w:numId w:val="42"/>
        </w:numPr>
        <w:overflowPunct w:val="0"/>
        <w:autoSpaceDE w:val="0"/>
        <w:autoSpaceDN w:val="0"/>
        <w:adjustRightInd w:val="0"/>
        <w:ind w:left="284" w:hanging="284"/>
        <w:textAlignment w:val="baseline"/>
        <w:rPr>
          <w:bCs/>
          <w:iCs/>
        </w:rPr>
      </w:pPr>
      <w:r>
        <w:t>recomienda desarrollar planes de movilidad urbana sostenible a fin de mejorar la movilidad urbana y reducir su impacto medioambiental. El CESE insta a los Estados miembros a que desarrollen programas nacionales para ayudar a los entes locales y regionales a elaborar y ejecutar planes de movilidad urbana sostenible mediante orientaciones, desarrollo de capacidades y financiación, y a la Comisión a que apoye la continuación y expansión de las redes CIVINET;</w:t>
      </w:r>
    </w:p>
    <w:p w:rsidRPr="00240FD7" w:rsidR="00240FD7" w:rsidP="00B60D9A" w:rsidRDefault="00240FD7" w14:paraId="77BC4E06" w14:textId="77777777">
      <w:pPr>
        <w:widowControl w:val="0"/>
        <w:numPr>
          <w:ilvl w:val="0"/>
          <w:numId w:val="42"/>
        </w:numPr>
        <w:overflowPunct w:val="0"/>
        <w:autoSpaceDE w:val="0"/>
        <w:autoSpaceDN w:val="0"/>
        <w:adjustRightInd w:val="0"/>
        <w:ind w:left="284" w:hanging="284"/>
        <w:textAlignment w:val="baseline"/>
        <w:rPr>
          <w:bCs/>
          <w:iCs/>
        </w:rPr>
      </w:pPr>
      <w:r>
        <w:t>destaca que los planes de movilidad urbana sostenible son fundamentales para un desarrollo regional equilibrado. Movilizar la creatividad y el capital social de las regiones es un paso esencial; las organizaciones de empresarios y de trabajadores y las de la sociedad civil tienen un papel clave que desempeñar y debe animárselas a que aporten su contribución a este diálogo. Es importante que todas las partes interesadas pertinentes a escala local, nacional y de la UE participen en la planificación, también en cuestiones de carácter transfronterizo;</w:t>
      </w:r>
    </w:p>
    <w:p w:rsidRPr="00240FD7" w:rsidR="00240FD7" w:rsidP="00B60D9A" w:rsidRDefault="00240FD7" w14:paraId="0E0A4288" w14:textId="77777777">
      <w:pPr>
        <w:widowControl w:val="0"/>
        <w:numPr>
          <w:ilvl w:val="0"/>
          <w:numId w:val="42"/>
        </w:numPr>
        <w:overflowPunct w:val="0"/>
        <w:autoSpaceDE w:val="0"/>
        <w:autoSpaceDN w:val="0"/>
        <w:adjustRightInd w:val="0"/>
        <w:ind w:left="284" w:hanging="284"/>
        <w:textAlignment w:val="baseline"/>
        <w:rPr>
          <w:szCs w:val="20"/>
        </w:rPr>
      </w:pPr>
      <w:r>
        <w:t>recuerda que, al planificar la movilidad «urbana», debemos tener en cuenta que la vida social y económica de las zonas urbanas se extiende también a las zonas suburbanas, periurbanas y rurales, por lo que deberán tenerse en cuenta sus puntos de vista y necesidades. La falta de eficiencia del sistema de movilidad crea y perpetúa la brecha entre zonas urbanas y rurales, así como sus consecuencias negativas en los ámbitos económico, social y político. La equidad del sistema de movilidad implica que la movilidad sea asequible y no dé lugar a privilegios que favorezcan a quienes ya se encuentran en mejor posición.</w:t>
      </w:r>
    </w:p>
    <w:p w:rsidRPr="00240FD7" w:rsidR="00240FD7" w:rsidP="00240FD7" w:rsidRDefault="00240FD7" w14:paraId="3AA702BF" w14:textId="77777777">
      <w:pPr>
        <w:widowControl w:val="0"/>
        <w:overflowPunct w:val="0"/>
        <w:autoSpaceDE w:val="0"/>
        <w:autoSpaceDN w:val="0"/>
        <w:adjustRightInd w:val="0"/>
        <w:textAlignment w:val="baseline"/>
        <w:rPr>
          <w:szCs w:val="20"/>
          <w:lang w:val="en-GB"/>
        </w:rPr>
      </w:pPr>
    </w:p>
    <w:p w:rsidRPr="00240FD7" w:rsidR="00240FD7" w:rsidP="00240FD7" w:rsidRDefault="00240FD7" w14:paraId="34211ABA" w14:textId="77777777">
      <w:pPr>
        <w:widowControl w:val="0"/>
        <w:overflowPunct w:val="0"/>
        <w:autoSpaceDE w:val="0"/>
        <w:autoSpaceDN w:val="0"/>
        <w:adjustRightInd w:val="0"/>
        <w:ind w:left="709"/>
        <w:textAlignment w:val="baseline"/>
        <w:rPr>
          <w:szCs w:val="20"/>
          <w:lang w:val="en-GB"/>
        </w:rPr>
      </w:pPr>
    </w:p>
    <w:tbl>
      <w:tblPr>
        <w:tblStyle w:val="TableGrid1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4499"/>
      </w:tblGrid>
      <w:tr w:rsidRPr="00240FD7" w:rsidR="00240FD7" w:rsidTr="001757A2" w14:paraId="052C1995" w14:textId="77777777">
        <w:tc>
          <w:tcPr>
            <w:tcW w:w="1556" w:type="pct"/>
          </w:tcPr>
          <w:p w:rsidRPr="00240FD7" w:rsidR="00240FD7" w:rsidP="00240FD7" w:rsidRDefault="00240FD7" w14:paraId="750B1407" w14:textId="77777777">
            <w:pPr>
              <w:overflowPunct w:val="0"/>
              <w:autoSpaceDE w:val="0"/>
              <w:autoSpaceDN w:val="0"/>
              <w:adjustRightInd w:val="0"/>
              <w:spacing w:line="240" w:lineRule="auto"/>
              <w:textAlignment w:val="baseline"/>
              <w:rPr>
                <w:i/>
              </w:rPr>
            </w:pPr>
            <w:r>
              <w:rPr>
                <w:b/>
                <w:i/>
              </w:rPr>
              <w:t>Contacto:</w:t>
            </w:r>
          </w:p>
        </w:tc>
        <w:tc>
          <w:tcPr>
            <w:tcW w:w="3444" w:type="pct"/>
          </w:tcPr>
          <w:p w:rsidRPr="00240FD7" w:rsidR="00240FD7" w:rsidP="00240FD7" w:rsidRDefault="00240FD7" w14:paraId="450C552B" w14:textId="77777777">
            <w:pPr>
              <w:overflowPunct w:val="0"/>
              <w:autoSpaceDE w:val="0"/>
              <w:autoSpaceDN w:val="0"/>
              <w:adjustRightInd w:val="0"/>
              <w:spacing w:line="240" w:lineRule="auto"/>
              <w:textAlignment w:val="baseline"/>
              <w:rPr>
                <w:i/>
              </w:rPr>
            </w:pPr>
            <w:r>
              <w:rPr>
                <w:i/>
              </w:rPr>
              <w:t>Maja Radman</w:t>
            </w:r>
          </w:p>
        </w:tc>
      </w:tr>
      <w:tr w:rsidRPr="00240FD7" w:rsidR="00240FD7" w:rsidTr="001757A2" w14:paraId="60E956CE" w14:textId="77777777">
        <w:tc>
          <w:tcPr>
            <w:tcW w:w="1556" w:type="pct"/>
          </w:tcPr>
          <w:p w:rsidRPr="00240FD7" w:rsidR="00240FD7" w:rsidP="00240FD7" w:rsidRDefault="00240FD7" w14:paraId="07DE1D22" w14:textId="77777777">
            <w:pPr>
              <w:overflowPunct w:val="0"/>
              <w:autoSpaceDE w:val="0"/>
              <w:autoSpaceDN w:val="0"/>
              <w:adjustRightInd w:val="0"/>
              <w:spacing w:line="240" w:lineRule="auto"/>
              <w:textAlignment w:val="baseline"/>
              <w:rPr>
                <w:i/>
              </w:rPr>
            </w:pPr>
            <w:r>
              <w:rPr>
                <w:i/>
              </w:rPr>
              <w:t>Teléfono:</w:t>
            </w:r>
          </w:p>
        </w:tc>
        <w:tc>
          <w:tcPr>
            <w:tcW w:w="3444" w:type="pct"/>
          </w:tcPr>
          <w:p w:rsidRPr="00240FD7" w:rsidR="00240FD7" w:rsidP="00240FD7" w:rsidRDefault="00240FD7" w14:paraId="6F105713" w14:textId="2D94309E">
            <w:pPr>
              <w:overflowPunct w:val="0"/>
              <w:autoSpaceDE w:val="0"/>
              <w:autoSpaceDN w:val="0"/>
              <w:adjustRightInd w:val="0"/>
              <w:spacing w:line="240" w:lineRule="auto"/>
              <w:textAlignment w:val="baseline"/>
              <w:rPr>
                <w:i/>
              </w:rPr>
            </w:pPr>
            <w:r>
              <w:rPr>
                <w:i/>
              </w:rPr>
              <w:t>+32 2 5469051</w:t>
            </w:r>
          </w:p>
        </w:tc>
      </w:tr>
      <w:tr w:rsidRPr="00240FD7" w:rsidR="00240FD7" w:rsidTr="001757A2" w14:paraId="0A241900" w14:textId="77777777">
        <w:tc>
          <w:tcPr>
            <w:tcW w:w="1556" w:type="pct"/>
          </w:tcPr>
          <w:p w:rsidRPr="00240FD7" w:rsidR="00240FD7" w:rsidP="00240FD7" w:rsidRDefault="00240FD7" w14:paraId="72B4140B" w14:textId="77777777">
            <w:pPr>
              <w:overflowPunct w:val="0"/>
              <w:autoSpaceDE w:val="0"/>
              <w:autoSpaceDN w:val="0"/>
              <w:adjustRightInd w:val="0"/>
              <w:spacing w:line="240" w:lineRule="auto"/>
              <w:textAlignment w:val="baseline"/>
              <w:rPr>
                <w:i/>
              </w:rPr>
            </w:pPr>
            <w:r>
              <w:rPr>
                <w:i/>
              </w:rPr>
              <w:t>Correo electrónico:</w:t>
            </w:r>
          </w:p>
        </w:tc>
        <w:tc>
          <w:tcPr>
            <w:tcW w:w="3444" w:type="pct"/>
          </w:tcPr>
          <w:p w:rsidRPr="00240FD7" w:rsidR="00240FD7" w:rsidP="00240FD7" w:rsidRDefault="000E38A8" w14:paraId="0171E9D4" w14:textId="77777777">
            <w:pPr>
              <w:overflowPunct w:val="0"/>
              <w:autoSpaceDE w:val="0"/>
              <w:autoSpaceDN w:val="0"/>
              <w:adjustRightInd w:val="0"/>
              <w:spacing w:line="240" w:lineRule="auto"/>
              <w:textAlignment w:val="baseline"/>
              <w:rPr>
                <w:i/>
                <w:iCs/>
              </w:rPr>
            </w:pPr>
            <w:hyperlink w:history="1" r:id="rId43">
              <w:r w:rsidR="00381CCE">
                <w:rPr>
                  <w:i/>
                  <w:color w:val="0000FF"/>
                  <w:u w:val="single"/>
                </w:rPr>
                <w:t>Maja.Radman@eesc.europa.eu</w:t>
              </w:r>
            </w:hyperlink>
            <w:r w:rsidR="00381CCE">
              <w:rPr>
                <w:i/>
              </w:rPr>
              <w:t xml:space="preserve"> </w:t>
            </w:r>
          </w:p>
        </w:tc>
      </w:tr>
    </w:tbl>
    <w:p w:rsidRPr="00240FD7" w:rsidR="00240FD7" w:rsidP="00240FD7" w:rsidRDefault="00240FD7" w14:paraId="25DFC435" w14:textId="77777777">
      <w:pPr>
        <w:overflowPunct w:val="0"/>
        <w:autoSpaceDE w:val="0"/>
        <w:autoSpaceDN w:val="0"/>
        <w:adjustRightInd w:val="0"/>
        <w:jc w:val="center"/>
        <w:textAlignment w:val="baseline"/>
        <w:rPr>
          <w:szCs w:val="20"/>
        </w:rPr>
      </w:pPr>
    </w:p>
    <w:p w:rsidR="004D7AC0" w:rsidP="004D7AC0" w:rsidRDefault="004D7AC0" w14:paraId="4982DDF2" w14:textId="50B1413F">
      <w:pPr>
        <w:spacing w:after="160" w:line="259" w:lineRule="auto"/>
        <w:jc w:val="left"/>
      </w:pPr>
      <w:r>
        <w:br w:type="page"/>
      </w:r>
    </w:p>
    <w:p w:rsidR="004D7AC0" w:rsidP="004D7AC0" w:rsidRDefault="004D7AC0" w14:paraId="4982DDF3" w14:textId="77777777">
      <w:pPr>
        <w:pStyle w:val="Heading1"/>
        <w:rPr>
          <w:b/>
        </w:rPr>
      </w:pPr>
      <w:bookmarkStart w:name="_Toc75527083" w:id="12"/>
      <w:bookmarkStart w:name="_Toc201570902" w:id="13"/>
      <w:r>
        <w:rPr>
          <w:b/>
        </w:rPr>
        <w:lastRenderedPageBreak/>
        <w:t>MERCADO ÚNICO, PRODUCCIÓN Y CONSUMO</w:t>
      </w:r>
      <w:bookmarkEnd w:id="12"/>
      <w:bookmarkEnd w:id="13"/>
    </w:p>
    <w:p w:rsidR="004D7AC0" w:rsidP="004D7AC0" w:rsidRDefault="004D7AC0" w14:paraId="4982DDF4" w14:textId="77777777"/>
    <w:p w:rsidRPr="00254761" w:rsidR="00254761" w:rsidP="00254761" w:rsidRDefault="000E38A8" w14:paraId="5865EBE1" w14:textId="3E6DF709">
      <w:pPr>
        <w:widowControl w:val="0"/>
        <w:numPr>
          <w:ilvl w:val="0"/>
          <w:numId w:val="6"/>
        </w:numPr>
        <w:overflowPunct w:val="0"/>
        <w:autoSpaceDE w:val="0"/>
        <w:autoSpaceDN w:val="0"/>
        <w:adjustRightInd w:val="0"/>
        <w:ind w:hanging="567"/>
        <w:textAlignment w:val="baseline"/>
        <w:rPr>
          <w:sz w:val="20"/>
          <w:szCs w:val="20"/>
        </w:rPr>
      </w:pPr>
      <w:hyperlink w:tgtFrame="_blank" w:history="1" r:id="rId44">
        <w:r w:rsidR="00381CCE">
          <w:rPr>
            <w:b/>
            <w:i/>
            <w:color w:val="0000FF"/>
            <w:sz w:val="28"/>
            <w:u w:val="single"/>
          </w:rPr>
          <w:t>Políticas de diligencia debida en materia de pilas o baterías</w:t>
        </w:r>
      </w:hyperlink>
    </w:p>
    <w:p w:rsidRPr="00254761" w:rsidR="00254761" w:rsidP="00254761" w:rsidRDefault="00254761" w14:paraId="5917093A" w14:textId="77777777">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7195"/>
      </w:tblGrid>
      <w:tr w:rsidRPr="00254761" w:rsidR="00254761" w:rsidTr="001757A2" w14:paraId="2F4C44FD" w14:textId="77777777">
        <w:tc>
          <w:tcPr>
            <w:tcW w:w="1985" w:type="dxa"/>
            <w:vMerge w:val="restart"/>
          </w:tcPr>
          <w:p w:rsidRPr="00254761" w:rsidR="00254761" w:rsidP="00254761" w:rsidRDefault="00254761" w14:paraId="1D17B984" w14:textId="77777777">
            <w:pPr>
              <w:tabs>
                <w:tab w:val="center" w:pos="284"/>
              </w:tabs>
              <w:overflowPunct w:val="0"/>
              <w:autoSpaceDE w:val="0"/>
              <w:autoSpaceDN w:val="0"/>
              <w:adjustRightInd w:val="0"/>
              <w:ind w:left="266" w:hanging="266"/>
              <w:textAlignment w:val="baseline"/>
              <w:rPr>
                <w:b/>
              </w:rPr>
            </w:pPr>
            <w:r>
              <w:rPr>
                <w:b/>
              </w:rPr>
              <w:t>Referencias</w:t>
            </w:r>
          </w:p>
        </w:tc>
        <w:tc>
          <w:tcPr>
            <w:tcW w:w="7195" w:type="dxa"/>
          </w:tcPr>
          <w:p w:rsidR="007435E6" w:rsidP="00254761" w:rsidRDefault="007435E6" w14:paraId="416BB1A8" w14:textId="3617077D">
            <w:pPr>
              <w:tabs>
                <w:tab w:val="center" w:pos="284"/>
              </w:tabs>
              <w:overflowPunct w:val="0"/>
              <w:autoSpaceDE w:val="0"/>
              <w:autoSpaceDN w:val="0"/>
              <w:adjustRightInd w:val="0"/>
              <w:ind w:left="266" w:hanging="266"/>
              <w:textAlignment w:val="baseline"/>
            </w:pPr>
            <w:r>
              <w:t>Dictamen de categoría C</w:t>
            </w:r>
          </w:p>
          <w:p w:rsidRPr="00254761" w:rsidR="00254761" w:rsidP="00254761" w:rsidRDefault="00254761" w14:paraId="3234D140" w14:textId="1D07704B">
            <w:pPr>
              <w:tabs>
                <w:tab w:val="center" w:pos="284"/>
              </w:tabs>
              <w:overflowPunct w:val="0"/>
              <w:autoSpaceDE w:val="0"/>
              <w:autoSpaceDN w:val="0"/>
              <w:adjustRightInd w:val="0"/>
              <w:ind w:left="266" w:hanging="266"/>
              <w:textAlignment w:val="baseline"/>
            </w:pPr>
            <w:r>
              <w:t>COM(2025) 258 final</w:t>
            </w:r>
          </w:p>
        </w:tc>
      </w:tr>
      <w:tr w:rsidRPr="00254761" w:rsidR="00254761" w:rsidTr="001757A2" w14:paraId="3C451620" w14:textId="77777777">
        <w:tc>
          <w:tcPr>
            <w:tcW w:w="1985" w:type="dxa"/>
            <w:vMerge/>
          </w:tcPr>
          <w:p w:rsidRPr="00254761" w:rsidR="00254761" w:rsidP="00254761" w:rsidRDefault="00254761" w14:paraId="1BFF755B" w14:textId="77777777">
            <w:pPr>
              <w:tabs>
                <w:tab w:val="center" w:pos="284"/>
              </w:tabs>
              <w:overflowPunct w:val="0"/>
              <w:autoSpaceDE w:val="0"/>
              <w:autoSpaceDN w:val="0"/>
              <w:adjustRightInd w:val="0"/>
              <w:ind w:left="266" w:hanging="266"/>
              <w:textAlignment w:val="baseline"/>
              <w:rPr>
                <w:b/>
              </w:rPr>
            </w:pPr>
          </w:p>
        </w:tc>
        <w:tc>
          <w:tcPr>
            <w:tcW w:w="7195" w:type="dxa"/>
          </w:tcPr>
          <w:p w:rsidRPr="00254761" w:rsidR="00254761" w:rsidP="00254761" w:rsidRDefault="00254761" w14:paraId="3245D690" w14:textId="77777777">
            <w:pPr>
              <w:tabs>
                <w:tab w:val="center" w:pos="284"/>
              </w:tabs>
              <w:overflowPunct w:val="0"/>
              <w:autoSpaceDE w:val="0"/>
              <w:autoSpaceDN w:val="0"/>
              <w:adjustRightInd w:val="0"/>
              <w:ind w:left="266" w:hanging="266"/>
              <w:textAlignment w:val="baseline"/>
            </w:pPr>
            <w:r>
              <w:t>EESC-2025-02082-00-00-AC</w:t>
            </w:r>
          </w:p>
        </w:tc>
      </w:tr>
    </w:tbl>
    <w:p w:rsidRPr="00254761" w:rsidR="00254761" w:rsidP="00254761" w:rsidRDefault="00254761" w14:paraId="416E8BDD" w14:textId="77777777">
      <w:pPr>
        <w:tabs>
          <w:tab w:val="center" w:pos="284"/>
        </w:tabs>
        <w:overflowPunct w:val="0"/>
        <w:autoSpaceDE w:val="0"/>
        <w:autoSpaceDN w:val="0"/>
        <w:adjustRightInd w:val="0"/>
        <w:ind w:left="266" w:hanging="266"/>
        <w:textAlignment w:val="baseline"/>
        <w:rPr>
          <w:lang w:val="en-GB"/>
        </w:rPr>
      </w:pPr>
    </w:p>
    <w:p w:rsidRPr="00254761" w:rsidR="00254761" w:rsidP="00254761" w:rsidRDefault="00254761" w14:paraId="48F866A4"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254761" w:rsidR="00254761" w:rsidP="00254761" w:rsidRDefault="00254761" w14:paraId="7C8674BF" w14:textId="77777777">
      <w:pPr>
        <w:keepNext/>
        <w:keepLines/>
        <w:tabs>
          <w:tab w:val="center" w:pos="284"/>
        </w:tabs>
        <w:overflowPunct w:val="0"/>
        <w:autoSpaceDE w:val="0"/>
        <w:autoSpaceDN w:val="0"/>
        <w:adjustRightInd w:val="0"/>
        <w:ind w:left="266" w:hanging="266"/>
        <w:textAlignment w:val="baseline"/>
        <w:rPr>
          <w:b/>
          <w:lang w:val="en-GB"/>
        </w:rPr>
      </w:pPr>
    </w:p>
    <w:p w:rsidRPr="00254761" w:rsidR="00254761" w:rsidP="00254761" w:rsidRDefault="00254761" w14:paraId="4D39B50D" w14:textId="77777777">
      <w:pPr>
        <w:overflowPunct w:val="0"/>
        <w:autoSpaceDE w:val="0"/>
        <w:autoSpaceDN w:val="0"/>
        <w:adjustRightInd w:val="0"/>
        <w:textAlignment w:val="baseline"/>
        <w:rPr>
          <w:bCs/>
          <w:iCs/>
        </w:rPr>
      </w:pPr>
      <w:r>
        <w:t>El CESE considera que el contenido de la propuesta es plenamente satisfactorio y no es objeto de ninguna observación por su parte.</w:t>
      </w:r>
    </w:p>
    <w:p w:rsidRPr="00254761" w:rsidR="00254761" w:rsidP="00254761" w:rsidRDefault="00254761" w14:paraId="39E3A2B1" w14:textId="77777777">
      <w:pPr>
        <w:overflowPunct w:val="0"/>
        <w:autoSpaceDE w:val="0"/>
        <w:autoSpaceDN w:val="0"/>
        <w:adjustRightInd w:val="0"/>
        <w:textAlignment w:val="baseline"/>
        <w:rPr>
          <w:bCs/>
          <w:iCs/>
          <w:lang w:val="en-GB"/>
        </w:rPr>
      </w:pPr>
    </w:p>
    <w:tbl>
      <w:tblPr>
        <w:tblStyle w:val="TableGrid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945"/>
      </w:tblGrid>
      <w:tr w:rsidRPr="00254761" w:rsidR="00254761" w:rsidTr="002B1C51" w14:paraId="4DF7D8AB" w14:textId="77777777">
        <w:tc>
          <w:tcPr>
            <w:tcW w:w="2235" w:type="dxa"/>
          </w:tcPr>
          <w:p w:rsidRPr="00254761" w:rsidR="00254761" w:rsidP="00254761" w:rsidRDefault="00254761" w14:paraId="6CE53A83" w14:textId="77777777">
            <w:pPr>
              <w:overflowPunct w:val="0"/>
              <w:autoSpaceDE w:val="0"/>
              <w:autoSpaceDN w:val="0"/>
              <w:adjustRightInd w:val="0"/>
              <w:spacing w:line="240" w:lineRule="auto"/>
              <w:textAlignment w:val="baseline"/>
              <w:rPr>
                <w:i/>
              </w:rPr>
            </w:pPr>
            <w:r>
              <w:rPr>
                <w:b/>
                <w:i/>
              </w:rPr>
              <w:t>Contacto:</w:t>
            </w:r>
          </w:p>
        </w:tc>
        <w:tc>
          <w:tcPr>
            <w:tcW w:w="6945" w:type="dxa"/>
          </w:tcPr>
          <w:p w:rsidRPr="00254761" w:rsidR="00254761" w:rsidP="00254761" w:rsidRDefault="00254761" w14:paraId="3102A81B" w14:textId="77777777">
            <w:pPr>
              <w:overflowPunct w:val="0"/>
              <w:autoSpaceDE w:val="0"/>
              <w:autoSpaceDN w:val="0"/>
              <w:adjustRightInd w:val="0"/>
              <w:spacing w:line="240" w:lineRule="auto"/>
              <w:textAlignment w:val="baseline"/>
              <w:rPr>
                <w:i/>
              </w:rPr>
            </w:pPr>
            <w:r>
              <w:rPr>
                <w:i/>
              </w:rPr>
              <w:t>Alice </w:t>
            </w:r>
            <w:proofErr w:type="spellStart"/>
            <w:r>
              <w:rPr>
                <w:i/>
              </w:rPr>
              <w:t>Tétu</w:t>
            </w:r>
            <w:proofErr w:type="spellEnd"/>
          </w:p>
        </w:tc>
      </w:tr>
      <w:tr w:rsidRPr="00254761" w:rsidR="00254761" w:rsidTr="002B1C51" w14:paraId="1A08D712" w14:textId="77777777">
        <w:tc>
          <w:tcPr>
            <w:tcW w:w="2235" w:type="dxa"/>
          </w:tcPr>
          <w:p w:rsidRPr="00254761" w:rsidR="00254761" w:rsidP="00254761" w:rsidRDefault="00254761" w14:paraId="383FEF30" w14:textId="3CED3DF6">
            <w:pPr>
              <w:overflowPunct w:val="0"/>
              <w:autoSpaceDE w:val="0"/>
              <w:autoSpaceDN w:val="0"/>
              <w:adjustRightInd w:val="0"/>
              <w:spacing w:line="240" w:lineRule="auto"/>
              <w:textAlignment w:val="baseline"/>
              <w:rPr>
                <w:i/>
              </w:rPr>
            </w:pPr>
            <w:r>
              <w:rPr>
                <w:i/>
              </w:rPr>
              <w:t>Teléfono:</w:t>
            </w:r>
          </w:p>
        </w:tc>
        <w:tc>
          <w:tcPr>
            <w:tcW w:w="6945" w:type="dxa"/>
          </w:tcPr>
          <w:p w:rsidRPr="00254761" w:rsidR="00254761" w:rsidP="00254761" w:rsidRDefault="00254761" w14:paraId="07C7E0D4" w14:textId="3176AC04">
            <w:pPr>
              <w:overflowPunct w:val="0"/>
              <w:autoSpaceDE w:val="0"/>
              <w:autoSpaceDN w:val="0"/>
              <w:adjustRightInd w:val="0"/>
              <w:spacing w:line="240" w:lineRule="auto"/>
              <w:textAlignment w:val="baseline"/>
              <w:rPr>
                <w:i/>
              </w:rPr>
            </w:pPr>
            <w:r>
              <w:rPr>
                <w:i/>
              </w:rPr>
              <w:t>+ 32 2 5468286</w:t>
            </w:r>
          </w:p>
        </w:tc>
      </w:tr>
      <w:tr w:rsidRPr="00254761" w:rsidR="00254761" w:rsidTr="002B1C51" w14:paraId="5AABF235" w14:textId="77777777">
        <w:tc>
          <w:tcPr>
            <w:tcW w:w="2235" w:type="dxa"/>
          </w:tcPr>
          <w:p w:rsidRPr="00254761" w:rsidR="00254761" w:rsidP="00254761" w:rsidRDefault="00254761" w14:paraId="602F8DE7" w14:textId="77777777">
            <w:pPr>
              <w:overflowPunct w:val="0"/>
              <w:autoSpaceDE w:val="0"/>
              <w:autoSpaceDN w:val="0"/>
              <w:adjustRightInd w:val="0"/>
              <w:spacing w:line="240" w:lineRule="auto"/>
              <w:textAlignment w:val="baseline"/>
              <w:rPr>
                <w:i/>
              </w:rPr>
            </w:pPr>
            <w:r>
              <w:rPr>
                <w:i/>
              </w:rPr>
              <w:t>Correo electrónico:</w:t>
            </w:r>
          </w:p>
        </w:tc>
        <w:tc>
          <w:tcPr>
            <w:tcW w:w="6945" w:type="dxa"/>
          </w:tcPr>
          <w:p w:rsidRPr="00254761" w:rsidR="00254761" w:rsidP="00254761" w:rsidRDefault="000E38A8" w14:paraId="1B63B1E2" w14:textId="77777777">
            <w:pPr>
              <w:overflowPunct w:val="0"/>
              <w:autoSpaceDE w:val="0"/>
              <w:autoSpaceDN w:val="0"/>
              <w:adjustRightInd w:val="0"/>
              <w:spacing w:line="240" w:lineRule="auto"/>
              <w:textAlignment w:val="baseline"/>
              <w:rPr>
                <w:i/>
              </w:rPr>
            </w:pPr>
            <w:hyperlink w:history="1" r:id="rId45">
              <w:r w:rsidR="00381CCE">
                <w:rPr>
                  <w:i/>
                  <w:color w:val="0000FF"/>
                  <w:u w:val="single"/>
                </w:rPr>
                <w:t>Alice.Tetu@eesc.europa.eu</w:t>
              </w:r>
            </w:hyperlink>
          </w:p>
        </w:tc>
      </w:tr>
    </w:tbl>
    <w:p w:rsidR="00254761" w:rsidRDefault="00254761" w14:paraId="13016555" w14:textId="77777777">
      <w:pPr>
        <w:spacing w:after="160" w:line="259" w:lineRule="auto"/>
        <w:jc w:val="left"/>
        <w:rPr>
          <w:b/>
          <w:i/>
          <w:sz w:val="28"/>
          <w:szCs w:val="28"/>
        </w:rPr>
      </w:pPr>
      <w:r>
        <w:br w:type="page"/>
      </w:r>
    </w:p>
    <w:p w:rsidRPr="0026311A" w:rsidR="0026311A" w:rsidP="0026311A" w:rsidRDefault="000E38A8" w14:paraId="2CBAAB44" w14:textId="07F3548C">
      <w:pPr>
        <w:widowControl w:val="0"/>
        <w:numPr>
          <w:ilvl w:val="0"/>
          <w:numId w:val="6"/>
        </w:numPr>
        <w:overflowPunct w:val="0"/>
        <w:autoSpaceDE w:val="0"/>
        <w:autoSpaceDN w:val="0"/>
        <w:adjustRightInd w:val="0"/>
        <w:ind w:hanging="567"/>
        <w:textAlignment w:val="baseline"/>
        <w:rPr>
          <w:b/>
        </w:rPr>
      </w:pPr>
      <w:hyperlink w:tgtFrame="_blank" w:history="1" r:id="rId46">
        <w:r w:rsidR="00381CCE">
          <w:rPr>
            <w:b/>
            <w:i/>
            <w:color w:val="0000FF"/>
            <w:sz w:val="28"/>
            <w:u w:val="single"/>
          </w:rPr>
          <w:t>Primer paquete ómnibus sobre sostenibilidad</w:t>
        </w:r>
      </w:hyperlink>
      <w:r w:rsidR="00381CCE">
        <w:rPr>
          <w:b/>
          <w:i/>
          <w:sz w:val="28"/>
        </w:rPr>
        <w:t xml:space="preserve"> </w:t>
      </w:r>
    </w:p>
    <w:p w:rsidRPr="0026311A" w:rsidR="0026311A" w:rsidP="0026311A" w:rsidRDefault="0026311A" w14:paraId="1049256D" w14:textId="77777777">
      <w:pPr>
        <w:widowControl w:val="0"/>
        <w:overflowPunct w:val="0"/>
        <w:autoSpaceDE w:val="0"/>
        <w:autoSpaceDN w:val="0"/>
        <w:adjustRightInd w:val="0"/>
        <w:ind w:left="567"/>
        <w:textAlignment w:val="baseline"/>
        <w:rPr>
          <w:b/>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26311A" w:rsidR="0026311A" w:rsidTr="001757A2" w14:paraId="5C3B6829" w14:textId="77777777">
        <w:tc>
          <w:tcPr>
            <w:tcW w:w="1701" w:type="dxa"/>
          </w:tcPr>
          <w:p w:rsidRPr="0026311A" w:rsidR="0026311A" w:rsidP="0026311A" w:rsidRDefault="0026311A" w14:paraId="612D7247" w14:textId="77777777">
            <w:pPr>
              <w:tabs>
                <w:tab w:val="center" w:pos="284"/>
              </w:tabs>
              <w:overflowPunct w:val="0"/>
              <w:autoSpaceDE w:val="0"/>
              <w:autoSpaceDN w:val="0"/>
              <w:adjustRightInd w:val="0"/>
              <w:ind w:left="266" w:hanging="266"/>
              <w:textAlignment w:val="baseline"/>
              <w:rPr>
                <w:b/>
              </w:rPr>
            </w:pPr>
            <w:r>
              <w:rPr>
                <w:b/>
              </w:rPr>
              <w:t>Ponente</w:t>
            </w:r>
          </w:p>
        </w:tc>
        <w:tc>
          <w:tcPr>
            <w:tcW w:w="5387" w:type="dxa"/>
          </w:tcPr>
          <w:p w:rsidRPr="0026311A" w:rsidR="0026311A" w:rsidP="0026311A" w:rsidRDefault="0026311A" w14:paraId="27860A07" w14:textId="1CFF2261">
            <w:pPr>
              <w:tabs>
                <w:tab w:val="center" w:pos="284"/>
              </w:tabs>
              <w:overflowPunct w:val="0"/>
              <w:autoSpaceDE w:val="0"/>
              <w:autoSpaceDN w:val="0"/>
              <w:adjustRightInd w:val="0"/>
              <w:ind w:left="266" w:hanging="266"/>
              <w:textAlignment w:val="baseline"/>
            </w:pPr>
            <w:r>
              <w:t>Matteo Carlo BORSANI (Grupo de Empresarios – IT)</w:t>
            </w:r>
          </w:p>
        </w:tc>
      </w:tr>
      <w:tr w:rsidRPr="0026311A" w:rsidR="0026311A" w:rsidTr="001757A2" w14:paraId="251B1ED6" w14:textId="77777777">
        <w:tc>
          <w:tcPr>
            <w:tcW w:w="7088" w:type="dxa"/>
            <w:gridSpan w:val="2"/>
          </w:tcPr>
          <w:p w:rsidRPr="0026311A" w:rsidR="0026311A" w:rsidP="0026311A" w:rsidRDefault="0026311A" w14:paraId="6E17E0E2" w14:textId="77777777">
            <w:pPr>
              <w:tabs>
                <w:tab w:val="center" w:pos="284"/>
              </w:tabs>
              <w:overflowPunct w:val="0"/>
              <w:autoSpaceDE w:val="0"/>
              <w:autoSpaceDN w:val="0"/>
              <w:adjustRightInd w:val="0"/>
              <w:spacing w:line="160" w:lineRule="exact"/>
              <w:ind w:left="266" w:hanging="266"/>
              <w:textAlignment w:val="baseline"/>
              <w:rPr>
                <w:lang w:val="en-GB"/>
              </w:rPr>
            </w:pPr>
          </w:p>
        </w:tc>
      </w:tr>
      <w:tr w:rsidRPr="0026311A" w:rsidR="0026311A" w:rsidTr="001757A2" w14:paraId="5FBF37DA" w14:textId="77777777">
        <w:tc>
          <w:tcPr>
            <w:tcW w:w="1701" w:type="dxa"/>
            <w:vMerge w:val="restart"/>
          </w:tcPr>
          <w:p w:rsidRPr="0026311A" w:rsidR="0026311A" w:rsidP="0026311A" w:rsidRDefault="0026311A" w14:paraId="1C7ABE67" w14:textId="77777777">
            <w:pPr>
              <w:tabs>
                <w:tab w:val="center" w:pos="284"/>
              </w:tabs>
              <w:overflowPunct w:val="0"/>
              <w:autoSpaceDE w:val="0"/>
              <w:autoSpaceDN w:val="0"/>
              <w:adjustRightInd w:val="0"/>
              <w:ind w:left="266" w:hanging="266"/>
              <w:textAlignment w:val="baseline"/>
              <w:rPr>
                <w:b/>
              </w:rPr>
            </w:pPr>
            <w:r>
              <w:rPr>
                <w:b/>
              </w:rPr>
              <w:t>Referencias</w:t>
            </w:r>
          </w:p>
        </w:tc>
        <w:tc>
          <w:tcPr>
            <w:tcW w:w="5387" w:type="dxa"/>
          </w:tcPr>
          <w:p w:rsidRPr="0026311A" w:rsidR="0026311A" w:rsidP="0026311A" w:rsidRDefault="0026311A" w14:paraId="2BE733E9" w14:textId="0CDFAC19">
            <w:pPr>
              <w:tabs>
                <w:tab w:val="center" w:pos="284"/>
              </w:tabs>
              <w:overflowPunct w:val="0"/>
              <w:autoSpaceDE w:val="0"/>
              <w:autoSpaceDN w:val="0"/>
              <w:adjustRightInd w:val="0"/>
              <w:ind w:left="266" w:hanging="266"/>
              <w:textAlignment w:val="baseline"/>
            </w:pPr>
            <w:r>
              <w:t>COM(2025) 81 final</w:t>
            </w:r>
          </w:p>
        </w:tc>
      </w:tr>
      <w:tr w:rsidRPr="0026311A" w:rsidR="0026311A" w:rsidTr="001757A2" w14:paraId="4EFC7FE6" w14:textId="77777777">
        <w:tc>
          <w:tcPr>
            <w:tcW w:w="1701" w:type="dxa"/>
            <w:vMerge/>
          </w:tcPr>
          <w:p w:rsidRPr="0026311A" w:rsidR="0026311A" w:rsidP="0026311A" w:rsidRDefault="0026311A" w14:paraId="45CE879A" w14:textId="77777777">
            <w:pPr>
              <w:tabs>
                <w:tab w:val="center" w:pos="284"/>
              </w:tabs>
              <w:overflowPunct w:val="0"/>
              <w:autoSpaceDE w:val="0"/>
              <w:autoSpaceDN w:val="0"/>
              <w:adjustRightInd w:val="0"/>
              <w:ind w:left="266" w:hanging="266"/>
              <w:textAlignment w:val="baseline"/>
              <w:rPr>
                <w:b/>
              </w:rPr>
            </w:pPr>
          </w:p>
        </w:tc>
        <w:tc>
          <w:tcPr>
            <w:tcW w:w="5387" w:type="dxa"/>
          </w:tcPr>
          <w:p w:rsidRPr="0026311A" w:rsidR="0026311A" w:rsidP="0026311A" w:rsidRDefault="0026311A" w14:paraId="1F34FDE2" w14:textId="7BD9E650">
            <w:pPr>
              <w:tabs>
                <w:tab w:val="center" w:pos="284"/>
              </w:tabs>
              <w:overflowPunct w:val="0"/>
              <w:autoSpaceDE w:val="0"/>
              <w:autoSpaceDN w:val="0"/>
              <w:adjustRightInd w:val="0"/>
              <w:ind w:left="266" w:hanging="266"/>
              <w:textAlignment w:val="baseline"/>
            </w:pPr>
            <w:r>
              <w:t>EESC-2025-00896-00-00-AC</w:t>
            </w:r>
          </w:p>
        </w:tc>
      </w:tr>
    </w:tbl>
    <w:p w:rsidRPr="0026311A" w:rsidR="0026311A" w:rsidP="0026311A" w:rsidRDefault="0026311A" w14:paraId="47C36841" w14:textId="77777777">
      <w:pPr>
        <w:tabs>
          <w:tab w:val="center" w:pos="284"/>
        </w:tabs>
        <w:overflowPunct w:val="0"/>
        <w:autoSpaceDE w:val="0"/>
        <w:autoSpaceDN w:val="0"/>
        <w:adjustRightInd w:val="0"/>
        <w:ind w:left="266" w:hanging="266"/>
        <w:textAlignment w:val="baseline"/>
        <w:rPr>
          <w:lang w:val="en-GB"/>
        </w:rPr>
      </w:pPr>
    </w:p>
    <w:p w:rsidRPr="0026311A" w:rsidR="0026311A" w:rsidP="0026311A" w:rsidRDefault="0026311A" w14:paraId="2E836D51"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26311A" w:rsidR="0026311A" w:rsidP="0026311A" w:rsidRDefault="0026311A" w14:paraId="03057EE4" w14:textId="77777777">
      <w:pPr>
        <w:keepNext/>
        <w:keepLines/>
        <w:tabs>
          <w:tab w:val="center" w:pos="284"/>
        </w:tabs>
        <w:overflowPunct w:val="0"/>
        <w:autoSpaceDE w:val="0"/>
        <w:autoSpaceDN w:val="0"/>
        <w:adjustRightInd w:val="0"/>
        <w:ind w:left="266" w:hanging="266"/>
        <w:textAlignment w:val="baseline"/>
        <w:rPr>
          <w:b/>
          <w:lang w:val="en-GB"/>
        </w:rPr>
      </w:pPr>
    </w:p>
    <w:p w:rsidRPr="0026311A" w:rsidR="0026311A" w:rsidP="0026311A" w:rsidRDefault="0026311A" w14:paraId="04E1A8BB" w14:textId="77777777">
      <w:pPr>
        <w:overflowPunct w:val="0"/>
        <w:autoSpaceDE w:val="0"/>
        <w:autoSpaceDN w:val="0"/>
        <w:adjustRightInd w:val="0"/>
        <w:textAlignment w:val="baseline"/>
        <w:rPr>
          <w:bCs/>
          <w:iCs/>
        </w:rPr>
      </w:pPr>
      <w:r>
        <w:t>El CESE:</w:t>
      </w:r>
    </w:p>
    <w:p w:rsidRPr="0026311A" w:rsidR="0026311A" w:rsidP="0026311A" w:rsidRDefault="0026311A" w14:paraId="6012AE61" w14:textId="77777777">
      <w:pPr>
        <w:overflowPunct w:val="0"/>
        <w:autoSpaceDE w:val="0"/>
        <w:autoSpaceDN w:val="0"/>
        <w:adjustRightInd w:val="0"/>
        <w:textAlignment w:val="baseline"/>
        <w:rPr>
          <w:bCs/>
          <w:iCs/>
          <w:lang w:val="en-GB"/>
        </w:rPr>
      </w:pPr>
    </w:p>
    <w:p w:rsidRPr="0026311A" w:rsidR="0026311A" w:rsidP="00B60D9A" w:rsidRDefault="0026311A" w14:paraId="47B8A2A9"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pide a los colegisladores que </w:t>
      </w:r>
      <w:r>
        <w:rPr>
          <w:b/>
        </w:rPr>
        <w:t>asignen unos plazos oportunos para consultar de manera inclusiva a las partes interesadas y a los interlocutores sociales</w:t>
      </w:r>
      <w:r>
        <w:t>;</w:t>
      </w:r>
    </w:p>
    <w:p w:rsidRPr="0026311A" w:rsidR="0026311A" w:rsidP="00B60D9A" w:rsidRDefault="0026311A" w14:paraId="1144F960"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reconoce que </w:t>
      </w:r>
      <w:r>
        <w:rPr>
          <w:b/>
        </w:rPr>
        <w:t>las pymes en particular tienen dificultades para implantar procesos en materia de sostenibilidad y transparencia</w:t>
      </w:r>
      <w:r>
        <w:t xml:space="preserve">, y requieren —también los </w:t>
      </w:r>
      <w:proofErr w:type="spellStart"/>
      <w:r>
        <w:t>auditores—</w:t>
      </w:r>
      <w:proofErr w:type="spellEnd"/>
      <w:r>
        <w:t xml:space="preserve"> más asistencia para poder cumplir la normativa, algo esencial a la vista de la vital importancia de proteger los valores y modelos sociales europeos;</w:t>
      </w:r>
    </w:p>
    <w:p w:rsidRPr="0026311A" w:rsidR="0026311A" w:rsidP="00B60D9A" w:rsidRDefault="0026311A" w14:paraId="1E1F9265"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subraya que el ejercicio de la diligencia debida de las empresas es fundamental para garantizar </w:t>
      </w:r>
      <w:r>
        <w:rPr>
          <w:b/>
        </w:rPr>
        <w:t>una conducta empresarial responsable y fomentar cadenas de valor sostenibles</w:t>
      </w:r>
      <w:r>
        <w:t xml:space="preserve">, y pide </w:t>
      </w:r>
      <w:r>
        <w:rPr>
          <w:b/>
        </w:rPr>
        <w:t>normas y sanciones claras y proporcionadas</w:t>
      </w:r>
      <w:r>
        <w:t xml:space="preserve">, cruciales para que las empresas puedan cumplir eficazmente sus obligaciones; </w:t>
      </w:r>
    </w:p>
    <w:p w:rsidRPr="0026311A" w:rsidR="0026311A" w:rsidP="00B60D9A" w:rsidRDefault="0026311A" w14:paraId="3C400136" w14:textId="716583D8">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reconoce, en este sentido, la intención de la Comisión de volver a centrar determinadas obligaciones de diligencia debida en las operaciones propias de las empresas, sus filiales y sus socios comerciales directos, si bien pide que </w:t>
      </w:r>
      <w:r>
        <w:rPr>
          <w:b/>
        </w:rPr>
        <w:t>se considere aplicar una excepción a las empresas con un número inferior a quinientos empleados que operen en sectores de alto riesgo</w:t>
      </w:r>
      <w:r>
        <w:t xml:space="preserve">, sin dejar de señalar que </w:t>
      </w:r>
      <w:r>
        <w:rPr>
          <w:b/>
        </w:rPr>
        <w:t>todas las empresas tienen la obligación de respetar los derechos humanos</w:t>
      </w:r>
      <w:r>
        <w:t>;</w:t>
      </w:r>
    </w:p>
    <w:p w:rsidRPr="0026311A" w:rsidR="0026311A" w:rsidP="00B60D9A" w:rsidRDefault="0026311A" w14:paraId="7E7B4A42" w14:textId="4DF6CBBA">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insta a los legisladores a que aclaren que las empresas deben adoptar las </w:t>
      </w:r>
      <w:r>
        <w:rPr>
          <w:b/>
        </w:rPr>
        <w:t>medidas adecuadas para llevar a cabo evaluaciones en profundidad, utilizando un enfoque basado en el riesgo</w:t>
      </w:r>
      <w:r>
        <w:t xml:space="preserve"> y guiadas por sus propias actividades de inventariado. Pide asimismo a los colegisladores que reconsideren su elección del concepto de </w:t>
      </w:r>
      <w:r>
        <w:rPr>
          <w:b/>
        </w:rPr>
        <w:t>«información verosímil»</w:t>
      </w:r>
      <w:r>
        <w:t xml:space="preserve"> para garantizar una mayor seguridad jurídica;</w:t>
      </w:r>
    </w:p>
    <w:p w:rsidRPr="0026311A" w:rsidR="0026311A" w:rsidP="00B60D9A" w:rsidRDefault="0026311A" w14:paraId="5ADCB76B" w14:textId="77777777">
      <w:pPr>
        <w:numPr>
          <w:ilvl w:val="0"/>
          <w:numId w:val="43"/>
        </w:numPr>
        <w:overflowPunct w:val="0"/>
        <w:autoSpaceDE w:val="0"/>
        <w:autoSpaceDN w:val="0"/>
        <w:adjustRightInd w:val="0"/>
        <w:spacing w:after="200" w:line="276" w:lineRule="auto"/>
        <w:ind w:left="284" w:hanging="284"/>
        <w:contextualSpacing/>
        <w:textAlignment w:val="baseline"/>
        <w:rPr>
          <w:bCs/>
          <w:iCs/>
        </w:rPr>
      </w:pPr>
      <w:r>
        <w:t xml:space="preserve">observa con consternación la supresión de la </w:t>
      </w:r>
      <w:r>
        <w:rPr>
          <w:b/>
        </w:rPr>
        <w:t>posibilidad de que las víctimas de efectos adversos estén representadas por ONG</w:t>
      </w:r>
      <w:r>
        <w:t xml:space="preserve"> o sindicatos en sus demandas y expresa su preocupación por que esta circunstancia pueda limitar el acceso a la justicia de las personas afectadas. Anima a seguir reflexionando sobre la manera de garantizar un apoyo jurídico eficaz a las víctimas, en particular a las que se enfrentan a obstáculos estructurales para acceder a vías de recurso.</w:t>
      </w:r>
    </w:p>
    <w:p w:rsidRPr="0026311A" w:rsidR="0026311A" w:rsidP="0026311A" w:rsidRDefault="0026311A" w14:paraId="60755E02" w14:textId="77777777">
      <w:pPr>
        <w:widowControl w:val="0"/>
        <w:overflowPunct w:val="0"/>
        <w:autoSpaceDE w:val="0"/>
        <w:autoSpaceDN w:val="0"/>
        <w:adjustRightInd w:val="0"/>
        <w:ind w:left="709"/>
        <w:textAlignment w:val="baseline"/>
        <w:rPr>
          <w:szCs w:val="20"/>
          <w:lang w:val="en-GB"/>
        </w:rPr>
      </w:pPr>
    </w:p>
    <w:tbl>
      <w:tblPr>
        <w:tblStyle w:val="TableGrid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26311A" w:rsidR="0026311A" w:rsidTr="002B1C51" w14:paraId="3BE180F7" w14:textId="77777777">
        <w:tc>
          <w:tcPr>
            <w:tcW w:w="2235" w:type="dxa"/>
          </w:tcPr>
          <w:p w:rsidRPr="0026311A" w:rsidR="0026311A" w:rsidP="0026311A" w:rsidRDefault="0026311A" w14:paraId="11A46046" w14:textId="77777777">
            <w:pPr>
              <w:overflowPunct w:val="0"/>
              <w:autoSpaceDE w:val="0"/>
              <w:autoSpaceDN w:val="0"/>
              <w:adjustRightInd w:val="0"/>
              <w:spacing w:line="240" w:lineRule="auto"/>
              <w:textAlignment w:val="baseline"/>
              <w:rPr>
                <w:i/>
              </w:rPr>
            </w:pPr>
            <w:r>
              <w:rPr>
                <w:b/>
                <w:i/>
              </w:rPr>
              <w:t>Contacto:</w:t>
            </w:r>
          </w:p>
        </w:tc>
        <w:tc>
          <w:tcPr>
            <w:tcW w:w="4853" w:type="dxa"/>
          </w:tcPr>
          <w:p w:rsidRPr="0026311A" w:rsidR="0026311A" w:rsidP="0026311A" w:rsidRDefault="0026311A" w14:paraId="6A0E2655" w14:textId="579FCCA0">
            <w:pPr>
              <w:overflowPunct w:val="0"/>
              <w:autoSpaceDE w:val="0"/>
              <w:autoSpaceDN w:val="0"/>
              <w:adjustRightInd w:val="0"/>
              <w:spacing w:line="240" w:lineRule="auto"/>
              <w:textAlignment w:val="baseline"/>
              <w:rPr>
                <w:i/>
              </w:rPr>
            </w:pPr>
            <w:r>
              <w:rPr>
                <w:i/>
              </w:rPr>
              <w:t>Silvia Staffa</w:t>
            </w:r>
          </w:p>
        </w:tc>
      </w:tr>
      <w:tr w:rsidRPr="0026311A" w:rsidR="0026311A" w:rsidTr="002B1C51" w14:paraId="174E0FA4" w14:textId="77777777">
        <w:tc>
          <w:tcPr>
            <w:tcW w:w="2235" w:type="dxa"/>
          </w:tcPr>
          <w:p w:rsidRPr="0026311A" w:rsidR="0026311A" w:rsidP="0026311A" w:rsidRDefault="0026311A" w14:paraId="551D67C2" w14:textId="77777777">
            <w:pPr>
              <w:overflowPunct w:val="0"/>
              <w:autoSpaceDE w:val="0"/>
              <w:autoSpaceDN w:val="0"/>
              <w:adjustRightInd w:val="0"/>
              <w:spacing w:line="240" w:lineRule="auto"/>
              <w:textAlignment w:val="baseline"/>
              <w:rPr>
                <w:i/>
              </w:rPr>
            </w:pPr>
            <w:r>
              <w:rPr>
                <w:i/>
              </w:rPr>
              <w:t>Teléfono:</w:t>
            </w:r>
          </w:p>
        </w:tc>
        <w:tc>
          <w:tcPr>
            <w:tcW w:w="4853" w:type="dxa"/>
          </w:tcPr>
          <w:p w:rsidRPr="0026311A" w:rsidR="0026311A" w:rsidP="0026311A" w:rsidRDefault="0026311A" w14:paraId="64226A1F" w14:textId="39360BBD">
            <w:pPr>
              <w:overflowPunct w:val="0"/>
              <w:autoSpaceDE w:val="0"/>
              <w:autoSpaceDN w:val="0"/>
              <w:adjustRightInd w:val="0"/>
              <w:spacing w:line="240" w:lineRule="auto"/>
              <w:textAlignment w:val="baseline"/>
              <w:rPr>
                <w:i/>
              </w:rPr>
            </w:pPr>
            <w:r>
              <w:rPr>
                <w:i/>
              </w:rPr>
              <w:t>+ 32 2 5468378</w:t>
            </w:r>
          </w:p>
        </w:tc>
      </w:tr>
      <w:tr w:rsidRPr="0026311A" w:rsidR="0026311A" w:rsidTr="002B1C51" w14:paraId="2F97E083" w14:textId="77777777">
        <w:tc>
          <w:tcPr>
            <w:tcW w:w="2235" w:type="dxa"/>
          </w:tcPr>
          <w:p w:rsidRPr="0026311A" w:rsidR="0026311A" w:rsidP="0026311A" w:rsidRDefault="009770F1" w14:paraId="28BABB08" w14:textId="5E7FEE2D">
            <w:pPr>
              <w:overflowPunct w:val="0"/>
              <w:autoSpaceDE w:val="0"/>
              <w:autoSpaceDN w:val="0"/>
              <w:adjustRightInd w:val="0"/>
              <w:spacing w:line="240" w:lineRule="auto"/>
              <w:textAlignment w:val="baseline"/>
              <w:rPr>
                <w:i/>
              </w:rPr>
            </w:pPr>
            <w:r>
              <w:rPr>
                <w:i/>
              </w:rPr>
              <w:t>Correo electrónico:</w:t>
            </w:r>
          </w:p>
        </w:tc>
        <w:tc>
          <w:tcPr>
            <w:tcW w:w="4853" w:type="dxa"/>
          </w:tcPr>
          <w:p w:rsidRPr="0026311A" w:rsidR="0026311A" w:rsidP="0026311A" w:rsidRDefault="000E38A8" w14:paraId="1EA5DB14" w14:textId="77777777">
            <w:pPr>
              <w:overflowPunct w:val="0"/>
              <w:autoSpaceDE w:val="0"/>
              <w:autoSpaceDN w:val="0"/>
              <w:adjustRightInd w:val="0"/>
              <w:spacing w:line="240" w:lineRule="auto"/>
              <w:textAlignment w:val="baseline"/>
              <w:rPr>
                <w:i/>
                <w:iCs/>
              </w:rPr>
            </w:pPr>
            <w:hyperlink w:history="1" r:id="rId47">
              <w:r w:rsidR="00381CCE">
                <w:rPr>
                  <w:i/>
                  <w:color w:val="0000FF"/>
                  <w:u w:val="single"/>
                </w:rPr>
                <w:t>Silvia.Staffa@eesc.europa.eu</w:t>
              </w:r>
            </w:hyperlink>
          </w:p>
          <w:p w:rsidRPr="0026311A" w:rsidR="0026311A" w:rsidP="0026311A" w:rsidRDefault="0026311A" w14:paraId="5BD25871" w14:textId="77777777">
            <w:pPr>
              <w:overflowPunct w:val="0"/>
              <w:autoSpaceDE w:val="0"/>
              <w:autoSpaceDN w:val="0"/>
              <w:adjustRightInd w:val="0"/>
              <w:spacing w:line="240" w:lineRule="auto"/>
              <w:textAlignment w:val="baseline"/>
              <w:rPr>
                <w:i/>
              </w:rPr>
            </w:pPr>
          </w:p>
        </w:tc>
      </w:tr>
    </w:tbl>
    <w:p w:rsidRPr="0026311A" w:rsidR="0026311A" w:rsidP="0026311A" w:rsidRDefault="0026311A" w14:paraId="708CC5EC" w14:textId="77777777">
      <w:pPr>
        <w:overflowPunct w:val="0"/>
        <w:autoSpaceDE w:val="0"/>
        <w:autoSpaceDN w:val="0"/>
        <w:adjustRightInd w:val="0"/>
        <w:jc w:val="center"/>
        <w:textAlignment w:val="baseline"/>
        <w:rPr>
          <w:szCs w:val="20"/>
          <w:lang w:val="en-GB"/>
        </w:rPr>
      </w:pPr>
    </w:p>
    <w:p w:rsidR="004D7AC0" w:rsidP="004D7AC0" w:rsidRDefault="004D7AC0" w14:paraId="4982DE1E" w14:textId="77777777">
      <w:pPr>
        <w:spacing w:after="160" w:line="259" w:lineRule="auto"/>
        <w:jc w:val="left"/>
      </w:pPr>
      <w:r>
        <w:br w:type="page"/>
      </w:r>
    </w:p>
    <w:p w:rsidR="004D7AC0" w:rsidP="004D7AC0" w:rsidRDefault="004D7AC0" w14:paraId="4982DE1F" w14:textId="77777777">
      <w:pPr>
        <w:pStyle w:val="Heading1"/>
        <w:rPr>
          <w:b/>
        </w:rPr>
      </w:pPr>
      <w:bookmarkStart w:name="_Toc70322234" w:id="14"/>
      <w:bookmarkStart w:name="_Toc75527084" w:id="15"/>
      <w:bookmarkStart w:name="_Toc201570903" w:id="16"/>
      <w:r>
        <w:rPr>
          <w:b/>
        </w:rPr>
        <w:lastRenderedPageBreak/>
        <w:t>AGRICULTURA, DESARROLLO RURAL Y MEDIO AMBIENTE</w:t>
      </w:r>
      <w:bookmarkEnd w:id="14"/>
      <w:bookmarkEnd w:id="15"/>
      <w:bookmarkEnd w:id="16"/>
    </w:p>
    <w:p w:rsidR="004D7AC0" w:rsidP="004D7AC0" w:rsidRDefault="004D7AC0" w14:paraId="4982DE20" w14:textId="77777777"/>
    <w:p w:rsidRPr="00B60D9A" w:rsidR="006179EF" w:rsidP="006179EF" w:rsidRDefault="000E38A8" w14:paraId="36F81ECC" w14:textId="6CE12629">
      <w:pPr>
        <w:widowControl w:val="0"/>
        <w:numPr>
          <w:ilvl w:val="0"/>
          <w:numId w:val="18"/>
        </w:numPr>
        <w:overflowPunct w:val="0"/>
        <w:autoSpaceDE w:val="0"/>
        <w:autoSpaceDN w:val="0"/>
        <w:adjustRightInd w:val="0"/>
        <w:ind w:hanging="567"/>
        <w:textAlignment w:val="baseline"/>
        <w:rPr>
          <w:sz w:val="26"/>
          <w:szCs w:val="26"/>
        </w:rPr>
      </w:pPr>
      <w:hyperlink w:history="1" r:id="rId48">
        <w:r w:rsidR="00381CCE">
          <w:rPr>
            <w:b/>
            <w:i/>
            <w:color w:val="0000FF"/>
            <w:sz w:val="26"/>
            <w:u w:val="single"/>
          </w:rPr>
          <w:t>La agricultura regenerativa como objetivo para mejorar la producción sostenible de alimentos, en apoyo a los objetivos en materia de clima y biodiversidad</w:t>
        </w:r>
      </w:hyperlink>
    </w:p>
    <w:p w:rsidRPr="002B1C51" w:rsidR="006179EF" w:rsidP="006179EF" w:rsidRDefault="006179EF" w14:paraId="67C253BF" w14:textId="77777777">
      <w:pPr>
        <w:tabs>
          <w:tab w:val="center" w:pos="284"/>
        </w:tabs>
        <w:overflowPunct w:val="0"/>
        <w:autoSpaceDE w:val="0"/>
        <w:autoSpaceDN w:val="0"/>
        <w:adjustRightInd w:val="0"/>
        <w:ind w:left="266" w:hanging="266"/>
        <w:textAlignment w:val="baseline"/>
        <w:rPr>
          <w:b/>
          <w:lang w:val="en-GB"/>
        </w:rPr>
      </w:pPr>
    </w:p>
    <w:tbl>
      <w:tblPr>
        <w:tblStyle w:val="TableGrid15"/>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6821"/>
      </w:tblGrid>
      <w:tr w:rsidRPr="006179EF" w:rsidR="006179EF" w:rsidTr="001757A2" w14:paraId="6B6F3236" w14:textId="77777777">
        <w:tc>
          <w:tcPr>
            <w:tcW w:w="1148" w:type="pct"/>
          </w:tcPr>
          <w:p w:rsidRPr="006179EF" w:rsidR="006179EF" w:rsidP="006179EF" w:rsidRDefault="006179EF" w14:paraId="2513A5D9" w14:textId="77777777">
            <w:pPr>
              <w:tabs>
                <w:tab w:val="center" w:pos="284"/>
              </w:tabs>
              <w:overflowPunct w:val="0"/>
              <w:autoSpaceDE w:val="0"/>
              <w:autoSpaceDN w:val="0"/>
              <w:adjustRightInd w:val="0"/>
              <w:ind w:left="266" w:hanging="266"/>
              <w:textAlignment w:val="baseline"/>
              <w:rPr>
                <w:b/>
              </w:rPr>
            </w:pPr>
            <w:r>
              <w:rPr>
                <w:b/>
              </w:rPr>
              <w:t>Ponente</w:t>
            </w:r>
          </w:p>
        </w:tc>
        <w:tc>
          <w:tcPr>
            <w:tcW w:w="3852" w:type="pct"/>
          </w:tcPr>
          <w:p w:rsidRPr="006179EF" w:rsidR="006179EF" w:rsidP="006179EF" w:rsidRDefault="006179EF" w14:paraId="7DCE390A" w14:textId="77777777">
            <w:pPr>
              <w:tabs>
                <w:tab w:val="center" w:pos="284"/>
              </w:tabs>
              <w:overflowPunct w:val="0"/>
              <w:autoSpaceDE w:val="0"/>
              <w:autoSpaceDN w:val="0"/>
              <w:adjustRightInd w:val="0"/>
              <w:ind w:left="266" w:hanging="266"/>
              <w:textAlignment w:val="baseline"/>
              <w:rPr>
                <w:bCs/>
              </w:rPr>
            </w:pPr>
            <w:r>
              <w:t>Stoyan TCHOUKANOV (Grupo de Organizaciones de la Sociedad Civil – BG)</w:t>
            </w:r>
          </w:p>
        </w:tc>
      </w:tr>
      <w:tr w:rsidRPr="006179EF" w:rsidR="006179EF" w:rsidTr="001757A2" w14:paraId="50308CCC" w14:textId="77777777">
        <w:tc>
          <w:tcPr>
            <w:tcW w:w="5000" w:type="pct"/>
            <w:gridSpan w:val="2"/>
          </w:tcPr>
          <w:p w:rsidRPr="006179EF" w:rsidR="006179EF" w:rsidP="006179EF" w:rsidRDefault="006179EF" w14:paraId="23E62BF1"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5AE231AC" w14:textId="77777777">
        <w:tc>
          <w:tcPr>
            <w:tcW w:w="1148" w:type="pct"/>
            <w:vMerge w:val="restart"/>
          </w:tcPr>
          <w:p w:rsidRPr="006179EF" w:rsidR="006179EF" w:rsidP="006179EF" w:rsidRDefault="006179EF" w14:paraId="71965C8D" w14:textId="42A512D2">
            <w:pPr>
              <w:tabs>
                <w:tab w:val="center" w:pos="284"/>
              </w:tabs>
              <w:overflowPunct w:val="0"/>
              <w:autoSpaceDE w:val="0"/>
              <w:autoSpaceDN w:val="0"/>
              <w:adjustRightInd w:val="0"/>
              <w:ind w:left="266" w:hanging="266"/>
              <w:textAlignment w:val="baseline"/>
              <w:rPr>
                <w:b/>
              </w:rPr>
            </w:pPr>
            <w:r>
              <w:rPr>
                <w:b/>
              </w:rPr>
              <w:t>Referencia</w:t>
            </w:r>
          </w:p>
        </w:tc>
        <w:tc>
          <w:tcPr>
            <w:tcW w:w="3852" w:type="pct"/>
          </w:tcPr>
          <w:p w:rsidR="000959E6" w:rsidP="006179EF" w:rsidRDefault="000959E6" w14:paraId="5B3FA4A8" w14:textId="082D8119">
            <w:pPr>
              <w:tabs>
                <w:tab w:val="center" w:pos="284"/>
              </w:tabs>
              <w:overflowPunct w:val="0"/>
              <w:autoSpaceDE w:val="0"/>
              <w:autoSpaceDN w:val="0"/>
              <w:adjustRightInd w:val="0"/>
              <w:ind w:left="266" w:hanging="266"/>
              <w:textAlignment w:val="baseline"/>
            </w:pPr>
            <w:r>
              <w:t>Dictamen de iniciativa</w:t>
            </w:r>
          </w:p>
          <w:p w:rsidRPr="006179EF" w:rsidR="006179EF" w:rsidP="006179EF" w:rsidRDefault="006179EF" w14:paraId="30698363" w14:textId="1481EFBA">
            <w:pPr>
              <w:tabs>
                <w:tab w:val="center" w:pos="284"/>
              </w:tabs>
              <w:overflowPunct w:val="0"/>
              <w:autoSpaceDE w:val="0"/>
              <w:autoSpaceDN w:val="0"/>
              <w:adjustRightInd w:val="0"/>
              <w:ind w:left="266" w:hanging="266"/>
              <w:textAlignment w:val="baseline"/>
            </w:pPr>
            <w:r>
              <w:t>EESC-2025-00954-00-00-AC</w:t>
            </w:r>
          </w:p>
        </w:tc>
      </w:tr>
      <w:tr w:rsidRPr="006179EF" w:rsidR="006179EF" w:rsidTr="001757A2" w14:paraId="45A33472" w14:textId="77777777">
        <w:tc>
          <w:tcPr>
            <w:tcW w:w="1148" w:type="pct"/>
            <w:vMerge/>
          </w:tcPr>
          <w:p w:rsidRPr="006179EF" w:rsidR="006179EF" w:rsidP="006179EF" w:rsidRDefault="006179EF" w14:paraId="329882FB" w14:textId="77777777">
            <w:pPr>
              <w:tabs>
                <w:tab w:val="center" w:pos="284"/>
              </w:tabs>
              <w:overflowPunct w:val="0"/>
              <w:autoSpaceDE w:val="0"/>
              <w:autoSpaceDN w:val="0"/>
              <w:adjustRightInd w:val="0"/>
              <w:ind w:left="266" w:hanging="266"/>
              <w:textAlignment w:val="baseline"/>
              <w:rPr>
                <w:b/>
              </w:rPr>
            </w:pPr>
          </w:p>
        </w:tc>
        <w:tc>
          <w:tcPr>
            <w:tcW w:w="3852" w:type="pct"/>
          </w:tcPr>
          <w:p w:rsidRPr="006179EF" w:rsidR="006179EF" w:rsidP="006179EF" w:rsidRDefault="006179EF" w14:paraId="1FE59574" w14:textId="77777777">
            <w:pPr>
              <w:tabs>
                <w:tab w:val="center" w:pos="284"/>
              </w:tabs>
              <w:overflowPunct w:val="0"/>
              <w:autoSpaceDE w:val="0"/>
              <w:autoSpaceDN w:val="0"/>
              <w:adjustRightInd w:val="0"/>
              <w:ind w:left="266" w:hanging="266"/>
              <w:textAlignment w:val="baseline"/>
              <w:rPr>
                <w:sz w:val="16"/>
                <w:szCs w:val="16"/>
              </w:rPr>
            </w:pPr>
          </w:p>
        </w:tc>
      </w:tr>
    </w:tbl>
    <w:p w:rsidRPr="006179EF" w:rsidR="006179EF" w:rsidP="006179EF" w:rsidRDefault="006179EF" w14:paraId="211FC0D3"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6179EF" w:rsidR="006179EF" w:rsidP="006179EF" w:rsidRDefault="006179EF" w14:paraId="5A351619"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419DA6CE" w14:textId="77777777">
      <w:pPr>
        <w:overflowPunct w:val="0"/>
        <w:autoSpaceDE w:val="0"/>
        <w:autoSpaceDN w:val="0"/>
        <w:adjustRightInd w:val="0"/>
        <w:textAlignment w:val="baseline"/>
        <w:rPr>
          <w:bCs/>
          <w:iCs/>
        </w:rPr>
      </w:pPr>
      <w:r>
        <w:t>El CESE:</w:t>
      </w:r>
    </w:p>
    <w:p w:rsidRPr="006179EF" w:rsidR="006D5AE4" w:rsidP="006179EF" w:rsidRDefault="006D5AE4" w14:paraId="76129185" w14:textId="77777777">
      <w:pPr>
        <w:overflowPunct w:val="0"/>
        <w:autoSpaceDE w:val="0"/>
        <w:autoSpaceDN w:val="0"/>
        <w:adjustRightInd w:val="0"/>
        <w:textAlignment w:val="baseline"/>
        <w:rPr>
          <w:bCs/>
          <w:iCs/>
          <w:lang w:val="en-GB"/>
        </w:rPr>
      </w:pPr>
    </w:p>
    <w:p w:rsidRPr="006179EF" w:rsidR="006179EF" w:rsidP="00B60D9A" w:rsidRDefault="006179EF" w14:paraId="581511FD" w14:textId="77777777">
      <w:pPr>
        <w:numPr>
          <w:ilvl w:val="0"/>
          <w:numId w:val="44"/>
        </w:numPr>
        <w:overflowPunct w:val="0"/>
        <w:autoSpaceDE w:val="0"/>
        <w:autoSpaceDN w:val="0"/>
        <w:adjustRightInd w:val="0"/>
        <w:spacing w:after="200" w:line="276" w:lineRule="auto"/>
        <w:ind w:left="284" w:hanging="284"/>
        <w:contextualSpacing/>
        <w:textAlignment w:val="baseline"/>
      </w:pPr>
      <w:r>
        <w:t>considera que las formas regenerativas de agricultura pueden mejorar la producción sostenible de alimentos, ayudando en la consecución de los objetivos climáticos, de salud del suelo y de biodiversidad, a la vez que permiten incrementar tanto los ingresos de los agricultores como la productividad agrícola y la resiliencia frente a fenómenos climáticos extremos;</w:t>
      </w:r>
    </w:p>
    <w:p w:rsidRPr="006179EF" w:rsidR="006179EF" w:rsidP="00B60D9A" w:rsidRDefault="006179EF" w14:paraId="3B5FF8FE" w14:textId="77777777">
      <w:pPr>
        <w:numPr>
          <w:ilvl w:val="0"/>
          <w:numId w:val="44"/>
        </w:numPr>
        <w:overflowPunct w:val="0"/>
        <w:autoSpaceDE w:val="0"/>
        <w:autoSpaceDN w:val="0"/>
        <w:adjustRightInd w:val="0"/>
        <w:spacing w:after="200" w:line="276" w:lineRule="auto"/>
        <w:ind w:left="284" w:hanging="284"/>
        <w:contextualSpacing/>
        <w:textAlignment w:val="baseline"/>
      </w:pPr>
      <w:r>
        <w:t>considera que el marco actual de la UE no promueve de forma suficiente las formas regenerativas de agricultura, en particular respecto de la salud del suelo, que debe considerarse un bien público;</w:t>
      </w:r>
    </w:p>
    <w:p w:rsidRPr="006179EF" w:rsidR="006179EF" w:rsidP="00B60D9A" w:rsidRDefault="006179EF" w14:paraId="6BDFF932" w14:textId="77777777">
      <w:pPr>
        <w:numPr>
          <w:ilvl w:val="0"/>
          <w:numId w:val="44"/>
        </w:numPr>
        <w:overflowPunct w:val="0"/>
        <w:autoSpaceDE w:val="0"/>
        <w:autoSpaceDN w:val="0"/>
        <w:adjustRightInd w:val="0"/>
        <w:spacing w:after="200" w:line="276" w:lineRule="auto"/>
        <w:ind w:left="284" w:hanging="284"/>
        <w:contextualSpacing/>
        <w:textAlignment w:val="baseline"/>
      </w:pPr>
      <w:r>
        <w:t>señala que la agricultura regenerativa promueve un nuevo relato sobre la agricultura que puede fomentar la renovación del sector y atraer a jóvenes y nuevos agricultores, además de sustentar modelos empresariales y una financiación sostenibles;</w:t>
      </w:r>
    </w:p>
    <w:p w:rsidRPr="006179EF" w:rsidR="006179EF" w:rsidP="00B60D9A" w:rsidRDefault="006179EF" w14:paraId="0A67D39A" w14:textId="77777777">
      <w:pPr>
        <w:numPr>
          <w:ilvl w:val="0"/>
          <w:numId w:val="44"/>
        </w:numPr>
        <w:overflowPunct w:val="0"/>
        <w:autoSpaceDE w:val="0"/>
        <w:autoSpaceDN w:val="0"/>
        <w:adjustRightInd w:val="0"/>
        <w:spacing w:after="200" w:line="276" w:lineRule="auto"/>
        <w:ind w:left="284" w:hanging="284"/>
        <w:contextualSpacing/>
        <w:textAlignment w:val="baseline"/>
      </w:pPr>
      <w:r>
        <w:t>por consiguiente, pide que se acuerde una forma común de entender el término «agricultura regenerativa» y los beneficios de estas prácticas para el conjunto de la sociedad, así como una armonización del marco normativo de la UE para reconocer y apoyar estas prácticas;</w:t>
      </w:r>
    </w:p>
    <w:p w:rsidRPr="006179EF" w:rsidR="006179EF" w:rsidP="00B60D9A" w:rsidRDefault="006179EF" w14:paraId="4C2D65BB" w14:textId="77777777">
      <w:pPr>
        <w:numPr>
          <w:ilvl w:val="0"/>
          <w:numId w:val="44"/>
        </w:numPr>
        <w:overflowPunct w:val="0"/>
        <w:autoSpaceDE w:val="0"/>
        <w:autoSpaceDN w:val="0"/>
        <w:adjustRightInd w:val="0"/>
        <w:spacing w:after="200" w:line="276" w:lineRule="auto"/>
        <w:ind w:left="284" w:hanging="284"/>
        <w:contextualSpacing/>
        <w:textAlignment w:val="baseline"/>
      </w:pPr>
      <w:r>
        <w:t>propone una definición que destaque los resultados positivos de la agricultura regenerativa para los tres pilares de la sostenibilidad: «La agricultura regenerativa es un enfoque agrícola adaptativo basado en los resultados que aplica métodos probados en la práctica y basados en la ciencia con repercusiones positivas en el medio ambiente, en los medios de subsistencia de las comunidades rurales y en la salud pública, garantizando la resiliencia de los rendimientos, la competitividad y la eficiencia, así como los resultados sociales»;</w:t>
      </w:r>
    </w:p>
    <w:p w:rsidRPr="006179EF" w:rsidR="006179EF" w:rsidP="00B60D9A" w:rsidRDefault="006179EF" w14:paraId="04A485E9" w14:textId="77777777">
      <w:pPr>
        <w:numPr>
          <w:ilvl w:val="0"/>
          <w:numId w:val="44"/>
        </w:numPr>
        <w:overflowPunct w:val="0"/>
        <w:autoSpaceDE w:val="0"/>
        <w:autoSpaceDN w:val="0"/>
        <w:adjustRightInd w:val="0"/>
        <w:spacing w:line="276" w:lineRule="auto"/>
        <w:ind w:left="284" w:hanging="284"/>
        <w:contextualSpacing/>
        <w:textAlignment w:val="baseline"/>
      </w:pPr>
      <w:r>
        <w:t>propone, asimismo, establecer resultados a corto y largo plazo e indicadores basados en los resultados derivados de los sistemas de control o medición existentes, que se utilizarán para armonizar los instrumentos políticos, los mecanismos financieros, los marcos reguladores y las normas de las cadenas de suministro;</w:t>
      </w:r>
    </w:p>
    <w:p w:rsidRPr="00B60D9A" w:rsidR="006179EF" w:rsidP="006D5AE4" w:rsidRDefault="006179EF" w14:paraId="4BAA0B87" w14:textId="77777777">
      <w:pPr>
        <w:numPr>
          <w:ilvl w:val="0"/>
          <w:numId w:val="44"/>
        </w:numPr>
        <w:overflowPunct w:val="0"/>
        <w:autoSpaceDE w:val="0"/>
        <w:autoSpaceDN w:val="0"/>
        <w:adjustRightInd w:val="0"/>
        <w:spacing w:line="276" w:lineRule="auto"/>
        <w:ind w:left="284" w:hanging="284"/>
        <w:contextualSpacing/>
        <w:textAlignment w:val="baseline"/>
        <w:rPr>
          <w:rFonts w:ascii="Calibri" w:hAnsi="Calibri"/>
        </w:rPr>
      </w:pPr>
      <w:r>
        <w:t xml:space="preserve">insta a la Comisión Europea y a los Estados miembros de la UE a que expandan las formas regenerativas de agricultura armonizando la financiación (tanto en el marco de la PAC como fuera de él), ampliando de forma considerable las medidas de salud y cobertura del suelo en los planes estratégicos de la PAC, mejorando o activando servicios de asesoramiento independientes y redes de apoyo entre iguales, fomentando los cambios de mentalidad, llevando a cabo proyectos específicos de investigación e innovación, aumentando el apoyo a la inversión, impulsando la colaboración público-privada, simplificando y armonizando los marcos reglamentarios existentes y proponiendo un entorno de incentivos favorable (en particular en los primeros años de conversión), apoyando los seguros de transición específicos para cada contexto, garantizando precios justos para </w:t>
      </w:r>
      <w:r>
        <w:lastRenderedPageBreak/>
        <w:t>productos de calidad gracias a un mejor reparto del valor en la cadena agroalimentaria, así como garantizando mejores condiciones de transmisión de las tierras.</w:t>
      </w:r>
    </w:p>
    <w:p w:rsidRPr="00B60D9A" w:rsidR="004F6E52" w:rsidP="00B60D9A" w:rsidRDefault="004F6E52" w14:paraId="7FF3E47F" w14:textId="77777777">
      <w:pPr>
        <w:overflowPunct w:val="0"/>
        <w:autoSpaceDE w:val="0"/>
        <w:autoSpaceDN w:val="0"/>
        <w:adjustRightInd w:val="0"/>
        <w:spacing w:line="276" w:lineRule="auto"/>
        <w:ind w:left="360"/>
        <w:contextualSpacing/>
        <w:textAlignment w:val="baseline"/>
        <w:rPr>
          <w:rFonts w:ascii="Calibri" w:hAnsi="Calibri"/>
          <w:lang w:val="en-GB" w:eastAsia="zh-CN"/>
        </w:rPr>
      </w:pPr>
    </w:p>
    <w:tbl>
      <w:tblPr>
        <w:tblStyle w:val="TableGrid15"/>
        <w:tblpPr w:leftFromText="180" w:rightFromText="180" w:vertAnchor="text" w:horzAnchor="page" w:tblpX="1758" w:tblpYSpec="bottom"/>
        <w:tblW w:w="283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3036"/>
      </w:tblGrid>
      <w:tr w:rsidRPr="006179EF" w:rsidR="002B1C51" w:rsidTr="002B1C51" w14:paraId="19065A0C" w14:textId="77777777">
        <w:tc>
          <w:tcPr>
            <w:tcW w:w="2120" w:type="pct"/>
          </w:tcPr>
          <w:p w:rsidRPr="00B60D9A" w:rsidR="002B1C51" w:rsidP="002B1C51" w:rsidRDefault="002B1C51" w14:paraId="61349D6D" w14:textId="77777777">
            <w:pPr>
              <w:overflowPunct w:val="0"/>
              <w:autoSpaceDE w:val="0"/>
              <w:autoSpaceDN w:val="0"/>
              <w:adjustRightInd w:val="0"/>
              <w:spacing w:line="240" w:lineRule="auto"/>
              <w:ind w:left="-536" w:firstLine="536"/>
              <w:textAlignment w:val="baseline"/>
              <w:rPr>
                <w:i/>
              </w:rPr>
            </w:pPr>
            <w:r>
              <w:rPr>
                <w:b/>
                <w:i/>
              </w:rPr>
              <w:t xml:space="preserve">Contacto: </w:t>
            </w:r>
          </w:p>
        </w:tc>
        <w:tc>
          <w:tcPr>
            <w:tcW w:w="2880" w:type="pct"/>
          </w:tcPr>
          <w:p w:rsidRPr="00B60D9A" w:rsidR="002B1C51" w:rsidP="002B1C51" w:rsidRDefault="002B1C51" w14:paraId="3A884686" w14:textId="77777777">
            <w:pPr>
              <w:overflowPunct w:val="0"/>
              <w:autoSpaceDE w:val="0"/>
              <w:autoSpaceDN w:val="0"/>
              <w:adjustRightInd w:val="0"/>
              <w:spacing w:line="240" w:lineRule="auto"/>
              <w:ind w:left="-536" w:firstLine="536"/>
              <w:textAlignment w:val="baseline"/>
              <w:rPr>
                <w:i/>
              </w:rPr>
            </w:pPr>
            <w:r>
              <w:rPr>
                <w:i/>
              </w:rPr>
              <w:t>Martine Delanoy</w:t>
            </w:r>
          </w:p>
        </w:tc>
      </w:tr>
      <w:tr w:rsidRPr="006179EF" w:rsidR="002B1C51" w:rsidTr="002B1C51" w14:paraId="5C5D9B81" w14:textId="77777777">
        <w:tc>
          <w:tcPr>
            <w:tcW w:w="2120" w:type="pct"/>
          </w:tcPr>
          <w:p w:rsidRPr="00B60D9A" w:rsidR="002B1C51" w:rsidP="002B1C51" w:rsidRDefault="002B1C51" w14:paraId="23B95042" w14:textId="77777777">
            <w:pPr>
              <w:overflowPunct w:val="0"/>
              <w:autoSpaceDE w:val="0"/>
              <w:autoSpaceDN w:val="0"/>
              <w:adjustRightInd w:val="0"/>
              <w:spacing w:line="240" w:lineRule="auto"/>
              <w:ind w:left="-536" w:firstLine="536"/>
              <w:textAlignment w:val="baseline"/>
              <w:rPr>
                <w:i/>
              </w:rPr>
            </w:pPr>
            <w:r>
              <w:rPr>
                <w:i/>
              </w:rPr>
              <w:t>Teléfono:</w:t>
            </w:r>
          </w:p>
        </w:tc>
        <w:tc>
          <w:tcPr>
            <w:tcW w:w="2880" w:type="pct"/>
          </w:tcPr>
          <w:p w:rsidRPr="00B60D9A" w:rsidR="002B1C51" w:rsidP="002B1C51" w:rsidRDefault="002B1C51" w14:paraId="1748BBE9" w14:textId="77777777">
            <w:pPr>
              <w:overflowPunct w:val="0"/>
              <w:autoSpaceDE w:val="0"/>
              <w:autoSpaceDN w:val="0"/>
              <w:adjustRightInd w:val="0"/>
              <w:spacing w:line="240" w:lineRule="auto"/>
              <w:ind w:left="-536" w:firstLine="536"/>
              <w:textAlignment w:val="baseline"/>
              <w:rPr>
                <w:i/>
              </w:rPr>
            </w:pPr>
            <w:r>
              <w:rPr>
                <w:i/>
              </w:rPr>
              <w:t>+32 2 5469802</w:t>
            </w:r>
          </w:p>
        </w:tc>
      </w:tr>
      <w:tr w:rsidRPr="006179EF" w:rsidR="002B1C51" w:rsidTr="002B1C51" w14:paraId="780A5C22" w14:textId="77777777">
        <w:tc>
          <w:tcPr>
            <w:tcW w:w="2120" w:type="pct"/>
          </w:tcPr>
          <w:p w:rsidRPr="00B60D9A" w:rsidR="002B1C51" w:rsidP="002B1C51" w:rsidRDefault="002B1C51" w14:paraId="0E23971B" w14:textId="77777777">
            <w:pPr>
              <w:overflowPunct w:val="0"/>
              <w:autoSpaceDE w:val="0"/>
              <w:autoSpaceDN w:val="0"/>
              <w:adjustRightInd w:val="0"/>
              <w:spacing w:line="240" w:lineRule="auto"/>
              <w:ind w:left="-536" w:firstLine="536"/>
              <w:textAlignment w:val="baseline"/>
              <w:rPr>
                <w:i/>
              </w:rPr>
            </w:pPr>
            <w:r>
              <w:rPr>
                <w:i/>
              </w:rPr>
              <w:t>Correo electrónico:</w:t>
            </w:r>
          </w:p>
        </w:tc>
        <w:tc>
          <w:tcPr>
            <w:tcW w:w="2880" w:type="pct"/>
          </w:tcPr>
          <w:p w:rsidRPr="006D5AE4" w:rsidR="002B1C51" w:rsidP="002B1C51" w:rsidRDefault="002B1C51" w14:paraId="0668A83A" w14:textId="77777777">
            <w:pPr>
              <w:overflowPunct w:val="0"/>
              <w:autoSpaceDE w:val="0"/>
              <w:autoSpaceDN w:val="0"/>
              <w:adjustRightInd w:val="0"/>
              <w:spacing w:line="240" w:lineRule="auto"/>
              <w:ind w:left="-536" w:firstLine="536"/>
              <w:textAlignment w:val="baseline"/>
              <w:rPr>
                <w:i/>
              </w:rPr>
            </w:pPr>
            <w:hyperlink w:history="1" r:id="rId49">
              <w:r>
                <w:rPr>
                  <w:i/>
                  <w:color w:val="0000FF"/>
                  <w:u w:val="single"/>
                </w:rPr>
                <w:t>Martine.Delanoy@eesc.europa.eu</w:t>
              </w:r>
            </w:hyperlink>
            <w:r>
              <w:rPr>
                <w:i/>
              </w:rPr>
              <w:t xml:space="preserve"> </w:t>
            </w:r>
          </w:p>
        </w:tc>
      </w:tr>
    </w:tbl>
    <w:p w:rsidRPr="00B60D9A" w:rsidR="006D5AE4" w:rsidP="00B60D9A" w:rsidRDefault="006D5AE4" w14:paraId="2C4DCFE7" w14:textId="77777777">
      <w:pPr>
        <w:overflowPunct w:val="0"/>
        <w:autoSpaceDE w:val="0"/>
        <w:autoSpaceDN w:val="0"/>
        <w:adjustRightInd w:val="0"/>
        <w:spacing w:line="276" w:lineRule="auto"/>
        <w:ind w:left="360"/>
        <w:contextualSpacing/>
        <w:textAlignment w:val="baseline"/>
        <w:rPr>
          <w:rFonts w:ascii="Calibri" w:hAnsi="Calibri"/>
          <w:lang w:val="en-GB" w:eastAsia="zh-CN"/>
        </w:rPr>
      </w:pPr>
    </w:p>
    <w:p w:rsidR="006D5AE4" w:rsidP="006D5AE4" w:rsidRDefault="006D5AE4" w14:paraId="47D75CF9" w14:textId="77777777">
      <w:pPr>
        <w:overflowPunct w:val="0"/>
        <w:autoSpaceDE w:val="0"/>
        <w:autoSpaceDN w:val="0"/>
        <w:adjustRightInd w:val="0"/>
        <w:spacing w:line="276" w:lineRule="auto"/>
        <w:contextualSpacing/>
        <w:textAlignment w:val="baseline"/>
        <w:rPr>
          <w:lang w:eastAsia="zh-CN"/>
        </w:rPr>
      </w:pPr>
    </w:p>
    <w:p w:rsidR="00055407" w:rsidRDefault="00055407" w14:paraId="20B8A69F" w14:textId="7F6D1EF8">
      <w:pPr>
        <w:spacing w:after="160" w:line="259" w:lineRule="auto"/>
        <w:jc w:val="left"/>
        <w:rPr>
          <w:rFonts w:ascii="Calibri" w:hAnsi="Calibri"/>
        </w:rPr>
      </w:pPr>
      <w:r>
        <w:br w:type="page"/>
      </w:r>
    </w:p>
    <w:p w:rsidR="006179EF" w:rsidRDefault="006179EF" w14:paraId="4982DE45" w14:textId="57D67DB9">
      <w:pPr>
        <w:spacing w:after="160" w:line="259" w:lineRule="auto"/>
        <w:jc w:val="left"/>
      </w:pPr>
    </w:p>
    <w:p w:rsidR="007F5784" w:rsidP="007F5784" w:rsidRDefault="007F5784" w14:paraId="14026A78" w14:textId="4FAE1588">
      <w:pPr>
        <w:pStyle w:val="Heading1"/>
        <w:rPr>
          <w:b/>
        </w:rPr>
      </w:pPr>
      <w:bookmarkStart w:name="_Toc201570904" w:id="17"/>
      <w:r>
        <w:rPr>
          <w:b/>
        </w:rPr>
        <w:t>RELACIONES EXTERIORES</w:t>
      </w:r>
      <w:bookmarkEnd w:id="17"/>
    </w:p>
    <w:p w:rsidR="007F5784" w:rsidP="007F5784" w:rsidRDefault="007F5784" w14:paraId="3BBB3E68" w14:textId="77777777"/>
    <w:p w:rsidRPr="006179EF" w:rsidR="006179EF" w:rsidP="006179EF" w:rsidRDefault="006179EF" w14:paraId="276A5E66" w14:textId="5AA2032A">
      <w:pPr>
        <w:widowControl w:val="0"/>
        <w:numPr>
          <w:ilvl w:val="0"/>
          <w:numId w:val="20"/>
        </w:numPr>
        <w:overflowPunct w:val="0"/>
        <w:autoSpaceDE w:val="0"/>
        <w:autoSpaceDN w:val="0"/>
        <w:adjustRightInd w:val="0"/>
        <w:ind w:left="567" w:hanging="567"/>
        <w:textAlignment w:val="baseline"/>
        <w:rPr>
          <w:color w:val="0000FF"/>
          <w:sz w:val="20"/>
          <w:szCs w:val="20"/>
          <w:u w:val="single"/>
        </w:rPr>
      </w:pPr>
      <w:r w:rsidRPr="006179EF">
        <w:rPr>
          <w:b/>
          <w:i/>
          <w:sz w:val="28"/>
        </w:rPr>
        <w:fldChar w:fldCharType="begin"/>
      </w:r>
      <w:r w:rsidRPr="006179EF">
        <w:rPr>
          <w:b/>
          <w:i/>
          <w:sz w:val="28"/>
        </w:rPr>
        <w:instrText>HYPERLINK "https://www.eesc.europa.eu/es/our-work/opinions-information-reports/opinions/fragmentation-supply-chains-and-impact-cost-living"</w:instrText>
      </w:r>
      <w:r w:rsidRPr="006179EF">
        <w:rPr>
          <w:b/>
          <w:i/>
          <w:sz w:val="28"/>
        </w:rPr>
        <w:fldChar w:fldCharType="separate"/>
      </w:r>
      <w:r>
        <w:rPr>
          <w:b/>
          <w:i/>
          <w:color w:val="0000FF"/>
          <w:sz w:val="28"/>
          <w:u w:val="single"/>
        </w:rPr>
        <w:t>Fragmentación de las cadenas de suministro e impacto en el coste de la vida</w:t>
      </w:r>
    </w:p>
    <w:p w:rsidRPr="006179EF" w:rsidR="006179EF" w:rsidP="006179EF" w:rsidRDefault="006179EF" w14:paraId="36B43195" w14:textId="77777777">
      <w:pPr>
        <w:tabs>
          <w:tab w:val="center" w:pos="284"/>
        </w:tabs>
        <w:overflowPunct w:val="0"/>
        <w:autoSpaceDE w:val="0"/>
        <w:autoSpaceDN w:val="0"/>
        <w:adjustRightInd w:val="0"/>
        <w:ind w:left="266" w:hanging="266"/>
        <w:textAlignment w:val="baseline"/>
        <w:rPr>
          <w:b/>
        </w:rPr>
      </w:pPr>
      <w:r w:rsidRPr="006179EF">
        <w:rPr>
          <w:b/>
          <w:i/>
          <w:sz w:val="28"/>
        </w:rPr>
        <w:fldChar w:fldCharType="end"/>
      </w:r>
    </w:p>
    <w:tbl>
      <w:tblPr>
        <w:tblStyle w:val="TableGrid16"/>
        <w:tblW w:w="492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12"/>
      </w:tblGrid>
      <w:tr w:rsidRPr="006179EF" w:rsidR="006179EF" w:rsidTr="001757A2" w14:paraId="1A577F91" w14:textId="77777777">
        <w:tc>
          <w:tcPr>
            <w:tcW w:w="1111" w:type="pct"/>
          </w:tcPr>
          <w:p w:rsidRPr="006179EF" w:rsidR="006179EF" w:rsidP="006179EF" w:rsidRDefault="006179EF" w14:paraId="39DEF71C" w14:textId="77777777">
            <w:pPr>
              <w:tabs>
                <w:tab w:val="center" w:pos="284"/>
              </w:tabs>
              <w:overflowPunct w:val="0"/>
              <w:autoSpaceDE w:val="0"/>
              <w:autoSpaceDN w:val="0"/>
              <w:adjustRightInd w:val="0"/>
              <w:ind w:left="266" w:hanging="266"/>
              <w:textAlignment w:val="baseline"/>
              <w:rPr>
                <w:b/>
              </w:rPr>
            </w:pPr>
            <w:r>
              <w:rPr>
                <w:b/>
              </w:rPr>
              <w:t>Ponente</w:t>
            </w:r>
          </w:p>
          <w:p w:rsidRPr="006179EF" w:rsidR="006179EF" w:rsidP="006179EF" w:rsidRDefault="006179EF" w14:paraId="39BAC464" w14:textId="77777777">
            <w:pPr>
              <w:tabs>
                <w:tab w:val="center" w:pos="284"/>
              </w:tabs>
              <w:overflowPunct w:val="0"/>
              <w:autoSpaceDE w:val="0"/>
              <w:autoSpaceDN w:val="0"/>
              <w:adjustRightInd w:val="0"/>
              <w:ind w:left="266" w:hanging="266"/>
              <w:textAlignment w:val="baseline"/>
              <w:rPr>
                <w:b/>
              </w:rPr>
            </w:pPr>
            <w:r>
              <w:rPr>
                <w:b/>
              </w:rPr>
              <w:t>Coponente</w:t>
            </w:r>
          </w:p>
        </w:tc>
        <w:tc>
          <w:tcPr>
            <w:tcW w:w="3889" w:type="pct"/>
          </w:tcPr>
          <w:p w:rsidRPr="006179EF" w:rsidR="006179EF" w:rsidP="006179EF" w:rsidRDefault="006179EF" w14:paraId="4D0CF44A" w14:textId="14603DC0">
            <w:pPr>
              <w:tabs>
                <w:tab w:val="center" w:pos="284"/>
              </w:tabs>
              <w:overflowPunct w:val="0"/>
              <w:autoSpaceDE w:val="0"/>
              <w:autoSpaceDN w:val="0"/>
              <w:adjustRightInd w:val="0"/>
              <w:ind w:left="266" w:hanging="266"/>
              <w:textAlignment w:val="baseline"/>
            </w:pPr>
            <w:r>
              <w:t>Dimitris DIMITRIADIS (Grupo de Empresarios – EL)</w:t>
            </w:r>
          </w:p>
          <w:p w:rsidRPr="006179EF" w:rsidR="006179EF" w:rsidP="006179EF" w:rsidRDefault="006179EF" w14:paraId="05048B0F" w14:textId="4B2D99E9">
            <w:pPr>
              <w:tabs>
                <w:tab w:val="center" w:pos="284"/>
              </w:tabs>
              <w:overflowPunct w:val="0"/>
              <w:autoSpaceDE w:val="0"/>
              <w:autoSpaceDN w:val="0"/>
              <w:adjustRightInd w:val="0"/>
              <w:ind w:left="266" w:hanging="266"/>
              <w:textAlignment w:val="baseline"/>
            </w:pPr>
            <w:r>
              <w:t>Anastasis YIAPANIS (Grupo de Organizaciones de la Sociedad Civil – CY)</w:t>
            </w:r>
          </w:p>
        </w:tc>
      </w:tr>
      <w:tr w:rsidRPr="006179EF" w:rsidR="006179EF" w:rsidTr="001757A2" w14:paraId="1A7B410F" w14:textId="77777777">
        <w:tc>
          <w:tcPr>
            <w:tcW w:w="5000" w:type="pct"/>
            <w:gridSpan w:val="2"/>
          </w:tcPr>
          <w:p w:rsidRPr="006179EF" w:rsidR="006179EF" w:rsidP="006179EF" w:rsidRDefault="006179EF" w14:paraId="29C58B3C" w14:textId="77777777">
            <w:pPr>
              <w:tabs>
                <w:tab w:val="center" w:pos="284"/>
              </w:tabs>
              <w:overflowPunct w:val="0"/>
              <w:autoSpaceDE w:val="0"/>
              <w:autoSpaceDN w:val="0"/>
              <w:adjustRightInd w:val="0"/>
              <w:spacing w:line="160" w:lineRule="exact"/>
              <w:ind w:left="266" w:hanging="266"/>
              <w:textAlignment w:val="baseline"/>
            </w:pPr>
          </w:p>
        </w:tc>
      </w:tr>
      <w:tr w:rsidRPr="006179EF" w:rsidR="006179EF" w:rsidTr="001757A2" w14:paraId="0CC40A64" w14:textId="77777777">
        <w:tc>
          <w:tcPr>
            <w:tcW w:w="1111" w:type="pct"/>
          </w:tcPr>
          <w:p w:rsidRPr="006179EF" w:rsidR="006179EF" w:rsidP="006179EF" w:rsidRDefault="006179EF" w14:paraId="057BA223" w14:textId="0E43ECF3">
            <w:pPr>
              <w:tabs>
                <w:tab w:val="center" w:pos="284"/>
              </w:tabs>
              <w:overflowPunct w:val="0"/>
              <w:autoSpaceDE w:val="0"/>
              <w:autoSpaceDN w:val="0"/>
              <w:adjustRightInd w:val="0"/>
              <w:ind w:left="266" w:hanging="266"/>
              <w:textAlignment w:val="baseline"/>
              <w:rPr>
                <w:b/>
              </w:rPr>
            </w:pPr>
            <w:r>
              <w:rPr>
                <w:b/>
              </w:rPr>
              <w:t>Referencia</w:t>
            </w:r>
          </w:p>
        </w:tc>
        <w:tc>
          <w:tcPr>
            <w:tcW w:w="3889" w:type="pct"/>
          </w:tcPr>
          <w:p w:rsidR="00651562" w:rsidP="006179EF" w:rsidRDefault="00651562" w14:paraId="1E9C436D" w14:textId="3E28A31F">
            <w:pPr>
              <w:tabs>
                <w:tab w:val="center" w:pos="284"/>
              </w:tabs>
              <w:overflowPunct w:val="0"/>
              <w:autoSpaceDE w:val="0"/>
              <w:autoSpaceDN w:val="0"/>
              <w:adjustRightInd w:val="0"/>
              <w:ind w:left="266" w:hanging="266"/>
              <w:textAlignment w:val="baseline"/>
            </w:pPr>
            <w:r>
              <w:t>Dictamen de iniciativa</w:t>
            </w:r>
          </w:p>
          <w:p w:rsidRPr="006179EF" w:rsidR="006179EF" w:rsidP="006179EF" w:rsidRDefault="006179EF" w14:paraId="7307C957" w14:textId="41596C4B">
            <w:pPr>
              <w:tabs>
                <w:tab w:val="center" w:pos="284"/>
              </w:tabs>
              <w:overflowPunct w:val="0"/>
              <w:autoSpaceDE w:val="0"/>
              <w:autoSpaceDN w:val="0"/>
              <w:adjustRightInd w:val="0"/>
              <w:ind w:left="266" w:hanging="266"/>
              <w:textAlignment w:val="baseline"/>
            </w:pPr>
            <w:r>
              <w:t>EESC-2025-00037-00-00-AC</w:t>
            </w:r>
          </w:p>
        </w:tc>
      </w:tr>
    </w:tbl>
    <w:p w:rsidRPr="006179EF" w:rsidR="006179EF" w:rsidP="006179EF" w:rsidRDefault="006179EF" w14:paraId="57CF5480" w14:textId="77777777">
      <w:pPr>
        <w:tabs>
          <w:tab w:val="center" w:pos="284"/>
        </w:tabs>
        <w:overflowPunct w:val="0"/>
        <w:autoSpaceDE w:val="0"/>
        <w:autoSpaceDN w:val="0"/>
        <w:adjustRightInd w:val="0"/>
        <w:ind w:left="266" w:hanging="266"/>
        <w:textAlignment w:val="baseline"/>
        <w:rPr>
          <w:lang w:val="en-GB"/>
        </w:rPr>
      </w:pPr>
    </w:p>
    <w:p w:rsidRPr="006179EF" w:rsidR="006179EF" w:rsidP="006179EF" w:rsidRDefault="006179EF" w14:paraId="47E998DA"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6179EF" w:rsidR="006179EF" w:rsidP="006179EF" w:rsidRDefault="006179EF" w14:paraId="6799C1AE" w14:textId="77777777">
      <w:pPr>
        <w:keepNext/>
        <w:keepLines/>
        <w:tabs>
          <w:tab w:val="center" w:pos="284"/>
        </w:tabs>
        <w:overflowPunct w:val="0"/>
        <w:autoSpaceDE w:val="0"/>
        <w:autoSpaceDN w:val="0"/>
        <w:adjustRightInd w:val="0"/>
        <w:ind w:left="266" w:hanging="266"/>
        <w:textAlignment w:val="baseline"/>
        <w:rPr>
          <w:b/>
          <w:lang w:val="en-GB"/>
        </w:rPr>
      </w:pPr>
    </w:p>
    <w:p w:rsidR="006179EF" w:rsidP="006179EF" w:rsidRDefault="006179EF" w14:paraId="10A80BED" w14:textId="77777777">
      <w:pPr>
        <w:overflowPunct w:val="0"/>
        <w:autoSpaceDE w:val="0"/>
        <w:autoSpaceDN w:val="0"/>
        <w:adjustRightInd w:val="0"/>
        <w:textAlignment w:val="baseline"/>
        <w:rPr>
          <w:bCs/>
          <w:iCs/>
        </w:rPr>
      </w:pPr>
      <w:r>
        <w:t>El CESE:</w:t>
      </w:r>
    </w:p>
    <w:p w:rsidRPr="006179EF" w:rsidR="00651562" w:rsidP="006179EF" w:rsidRDefault="00651562" w14:paraId="2B564F9B" w14:textId="77777777">
      <w:pPr>
        <w:overflowPunct w:val="0"/>
        <w:autoSpaceDE w:val="0"/>
        <w:autoSpaceDN w:val="0"/>
        <w:adjustRightInd w:val="0"/>
        <w:textAlignment w:val="baseline"/>
        <w:rPr>
          <w:bCs/>
          <w:iCs/>
          <w:lang w:val="en-GB"/>
        </w:rPr>
      </w:pPr>
    </w:p>
    <w:p w:rsidRPr="006179EF" w:rsidR="006179EF" w:rsidP="00B60D9A" w:rsidRDefault="006179EF" w14:paraId="19DE432A" w14:textId="77777777">
      <w:pPr>
        <w:widowControl w:val="0"/>
        <w:numPr>
          <w:ilvl w:val="0"/>
          <w:numId w:val="45"/>
        </w:numPr>
        <w:overflowPunct w:val="0"/>
        <w:autoSpaceDE w:val="0"/>
        <w:autoSpaceDN w:val="0"/>
        <w:adjustRightInd w:val="0"/>
        <w:ind w:left="284" w:hanging="284"/>
        <w:textAlignment w:val="baseline"/>
        <w:rPr>
          <w:szCs w:val="20"/>
        </w:rPr>
      </w:pPr>
      <w:r>
        <w:t xml:space="preserve">hace hincapié en la </w:t>
      </w:r>
      <w:r>
        <w:rPr>
          <w:b/>
          <w:bCs/>
        </w:rPr>
        <w:t>necesidad de que la Unión reduzca su dependencia de las importaciones</w:t>
      </w:r>
      <w:r>
        <w:t xml:space="preserve"> —especialmente en el caso de bienes esenciales como los productos farmacéuticos y los </w:t>
      </w:r>
      <w:proofErr w:type="spellStart"/>
      <w:r>
        <w:t>semiconductores—</w:t>
      </w:r>
      <w:proofErr w:type="spellEnd"/>
      <w:r>
        <w:t xml:space="preserve"> y </w:t>
      </w:r>
      <w:r>
        <w:rPr>
          <w:b/>
          <w:bCs/>
        </w:rPr>
        <w:t>diversifique las cadenas de suministro</w:t>
      </w:r>
      <w:r>
        <w:t xml:space="preserve"> mediante el fomento de múltiples </w:t>
      </w:r>
      <w:r>
        <w:rPr>
          <w:b/>
          <w:bCs/>
        </w:rPr>
        <w:t>asociaciones internacionales</w:t>
      </w:r>
      <w:r>
        <w:t>;</w:t>
      </w:r>
    </w:p>
    <w:p w:rsidRPr="006179EF" w:rsidR="006179EF" w:rsidP="00B60D9A" w:rsidRDefault="006179EF" w14:paraId="7EC36158" w14:textId="77777777">
      <w:pPr>
        <w:widowControl w:val="0"/>
        <w:numPr>
          <w:ilvl w:val="0"/>
          <w:numId w:val="45"/>
        </w:numPr>
        <w:overflowPunct w:val="0"/>
        <w:autoSpaceDE w:val="0"/>
        <w:autoSpaceDN w:val="0"/>
        <w:adjustRightInd w:val="0"/>
        <w:ind w:left="284" w:hanging="284"/>
        <w:textAlignment w:val="baseline"/>
        <w:rPr>
          <w:szCs w:val="20"/>
        </w:rPr>
      </w:pPr>
      <w:r>
        <w:t xml:space="preserve">destaca la urgente necesidad de realizar </w:t>
      </w:r>
      <w:r>
        <w:rPr>
          <w:b/>
          <w:bCs/>
        </w:rPr>
        <w:t>inversiones específicas en industrias e infraestructuras estratégicas</w:t>
      </w:r>
      <w:r>
        <w:t xml:space="preserve"> para aumentar la resiliencia económica y </w:t>
      </w:r>
      <w:r>
        <w:rPr>
          <w:b/>
          <w:bCs/>
        </w:rPr>
        <w:t>colmar las brechas de productividad</w:t>
      </w:r>
      <w:r>
        <w:t xml:space="preserve"> entre productores europeos. Estas inversiones deben formar parte de una política industrial bien coordinada, integral y adecuadamente financiada;</w:t>
      </w:r>
    </w:p>
    <w:p w:rsidRPr="006179EF" w:rsidR="006179EF" w:rsidP="00B60D9A" w:rsidRDefault="006179EF" w14:paraId="287A6AED" w14:textId="77777777">
      <w:pPr>
        <w:widowControl w:val="0"/>
        <w:numPr>
          <w:ilvl w:val="0"/>
          <w:numId w:val="45"/>
        </w:numPr>
        <w:overflowPunct w:val="0"/>
        <w:autoSpaceDE w:val="0"/>
        <w:autoSpaceDN w:val="0"/>
        <w:adjustRightInd w:val="0"/>
        <w:ind w:left="284" w:hanging="284"/>
        <w:textAlignment w:val="baseline"/>
        <w:rPr>
          <w:szCs w:val="20"/>
        </w:rPr>
      </w:pPr>
      <w:r>
        <w:t xml:space="preserve">recomienda </w:t>
      </w:r>
      <w:r>
        <w:rPr>
          <w:b/>
          <w:bCs/>
        </w:rPr>
        <w:t>ampliar los acuerdos comerciales</w:t>
      </w:r>
      <w:r>
        <w:t xml:space="preserve">, en particular con socios fiables en el Sur Global, y aboga por </w:t>
      </w:r>
      <w:r>
        <w:rPr>
          <w:b/>
          <w:bCs/>
        </w:rPr>
        <w:t>mejoras en la eficiencia normativa</w:t>
      </w:r>
      <w:r>
        <w:t xml:space="preserve"> para racionalizar los complejos marcos de la Unión, </w:t>
      </w:r>
      <w:r>
        <w:rPr>
          <w:b/>
          <w:bCs/>
        </w:rPr>
        <w:t>manteniendo al mismo tiempo normas estrictas</w:t>
      </w:r>
      <w:r>
        <w:t>;</w:t>
      </w:r>
    </w:p>
    <w:p w:rsidRPr="006179EF" w:rsidR="006179EF" w:rsidP="00B60D9A" w:rsidRDefault="006179EF" w14:paraId="7B64C69C" w14:textId="77777777">
      <w:pPr>
        <w:widowControl w:val="0"/>
        <w:numPr>
          <w:ilvl w:val="0"/>
          <w:numId w:val="45"/>
        </w:numPr>
        <w:overflowPunct w:val="0"/>
        <w:autoSpaceDE w:val="0"/>
        <w:autoSpaceDN w:val="0"/>
        <w:adjustRightInd w:val="0"/>
        <w:ind w:left="284" w:hanging="284"/>
        <w:textAlignment w:val="baseline"/>
        <w:rPr>
          <w:szCs w:val="20"/>
        </w:rPr>
      </w:pPr>
      <w:r>
        <w:t xml:space="preserve">insta a que se sigan promoviendo los </w:t>
      </w:r>
      <w:r>
        <w:rPr>
          <w:b/>
          <w:bCs/>
        </w:rPr>
        <w:t>capítulos vinculantes y ejecutables sobre comercio y desarrollo sostenible</w:t>
      </w:r>
      <w:r>
        <w:t xml:space="preserve"> para proteger los mercados de la Unión frente a prácticas competitivas desleales posibilitadas por unas normas de producción globales menos estrictas;</w:t>
      </w:r>
    </w:p>
    <w:p w:rsidRPr="006179EF" w:rsidR="006179EF" w:rsidP="00B60D9A" w:rsidRDefault="006179EF" w14:paraId="64243792" w14:textId="77777777">
      <w:pPr>
        <w:widowControl w:val="0"/>
        <w:numPr>
          <w:ilvl w:val="0"/>
          <w:numId w:val="45"/>
        </w:numPr>
        <w:overflowPunct w:val="0"/>
        <w:autoSpaceDE w:val="0"/>
        <w:autoSpaceDN w:val="0"/>
        <w:adjustRightInd w:val="0"/>
        <w:ind w:left="284" w:hanging="284"/>
        <w:textAlignment w:val="baseline"/>
        <w:rPr>
          <w:szCs w:val="20"/>
        </w:rPr>
      </w:pPr>
      <w:r>
        <w:t xml:space="preserve">pide que </w:t>
      </w:r>
      <w:r>
        <w:rPr>
          <w:b/>
          <w:bCs/>
        </w:rPr>
        <w:t>se refuercen los mecanismos de apoyo financiero y técnico para las microempresas y las pequeñas y medianas empresas (pymes)</w:t>
      </w:r>
      <w:r>
        <w:t xml:space="preserve"> a fin de diversificar sus proveedores, adoptar modelos de negocio sostenibles y gestionar eficazmente las complejidades normativas;</w:t>
      </w:r>
    </w:p>
    <w:p w:rsidRPr="006179EF" w:rsidR="006179EF" w:rsidP="00B60D9A" w:rsidRDefault="006179EF" w14:paraId="5C74C144" w14:textId="77777777">
      <w:pPr>
        <w:widowControl w:val="0"/>
        <w:numPr>
          <w:ilvl w:val="0"/>
          <w:numId w:val="45"/>
        </w:numPr>
        <w:overflowPunct w:val="0"/>
        <w:autoSpaceDE w:val="0"/>
        <w:autoSpaceDN w:val="0"/>
        <w:adjustRightInd w:val="0"/>
        <w:ind w:left="284" w:hanging="284"/>
        <w:textAlignment w:val="baseline"/>
        <w:rPr>
          <w:szCs w:val="20"/>
        </w:rPr>
      </w:pPr>
      <w:r>
        <w:t xml:space="preserve">destaca la importancia de </w:t>
      </w:r>
      <w:r>
        <w:rPr>
          <w:b/>
          <w:bCs/>
        </w:rPr>
        <w:t>aumentar la inversión en investigación y desarrollo</w:t>
      </w:r>
      <w:r>
        <w:t xml:space="preserve"> en los sectores manufactureros sostenibles y de alta tecnología, con una </w:t>
      </w:r>
      <w:r>
        <w:rPr>
          <w:b/>
          <w:bCs/>
        </w:rPr>
        <w:t>mayor adopción de la inteligencia artificial</w:t>
      </w:r>
      <w:r>
        <w:t xml:space="preserve"> y las tecnologías de cadena de bloques para optimizar la gestión de la cadena de suministro;</w:t>
      </w:r>
    </w:p>
    <w:p w:rsidRPr="006179EF" w:rsidR="006179EF" w:rsidP="00B60D9A" w:rsidRDefault="006179EF" w14:paraId="062736C2" w14:textId="77777777">
      <w:pPr>
        <w:widowControl w:val="0"/>
        <w:numPr>
          <w:ilvl w:val="0"/>
          <w:numId w:val="45"/>
        </w:numPr>
        <w:overflowPunct w:val="0"/>
        <w:autoSpaceDE w:val="0"/>
        <w:autoSpaceDN w:val="0"/>
        <w:adjustRightInd w:val="0"/>
        <w:ind w:left="284" w:hanging="284"/>
        <w:textAlignment w:val="baseline"/>
        <w:rPr>
          <w:szCs w:val="20"/>
        </w:rPr>
      </w:pPr>
      <w:r>
        <w:t xml:space="preserve">subraya la necesidad de </w:t>
      </w:r>
      <w:r>
        <w:rPr>
          <w:b/>
          <w:bCs/>
        </w:rPr>
        <w:t>iniciativas educativas y de formación específicas</w:t>
      </w:r>
      <w:r>
        <w:t xml:space="preserve"> para mejorar las capacidades de la mano de obra, </w:t>
      </w:r>
      <w:r>
        <w:rPr>
          <w:b/>
          <w:bCs/>
        </w:rPr>
        <w:t>promover la movilidad laboral</w:t>
      </w:r>
      <w:r>
        <w:t xml:space="preserve"> dentro del mercado único y </w:t>
      </w:r>
      <w:r>
        <w:rPr>
          <w:b/>
          <w:bCs/>
        </w:rPr>
        <w:t>atraer y retener el talento</w:t>
      </w:r>
      <w:r>
        <w:t xml:space="preserve">, </w:t>
      </w:r>
      <w:r>
        <w:rPr>
          <w:b/>
          <w:bCs/>
        </w:rPr>
        <w:t>reforzando así la capacidad de innovación</w:t>
      </w:r>
      <w:r>
        <w:t>.</w:t>
      </w:r>
    </w:p>
    <w:p w:rsidRPr="002B1C51" w:rsidR="006179EF" w:rsidP="006179EF" w:rsidRDefault="006179EF" w14:paraId="296C56EB" w14:textId="77777777">
      <w:pPr>
        <w:widowControl w:val="0"/>
        <w:overflowPunct w:val="0"/>
        <w:autoSpaceDE w:val="0"/>
        <w:autoSpaceDN w:val="0"/>
        <w:adjustRightInd w:val="0"/>
        <w:ind w:left="709"/>
        <w:textAlignment w:val="baseline"/>
        <w:rPr>
          <w:lang w:val="en-GB"/>
        </w:rPr>
      </w:pPr>
    </w:p>
    <w:tbl>
      <w:tblPr>
        <w:tblStyle w:val="TableGrid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297"/>
      </w:tblGrid>
      <w:tr w:rsidRPr="006179EF" w:rsidR="006179EF" w:rsidTr="002B1C51" w14:paraId="679F4C15" w14:textId="77777777">
        <w:tc>
          <w:tcPr>
            <w:tcW w:w="1711" w:type="pct"/>
          </w:tcPr>
          <w:p w:rsidRPr="006179EF" w:rsidR="006179EF" w:rsidP="006179EF" w:rsidRDefault="006179EF" w14:paraId="3C4F2FD1" w14:textId="77777777">
            <w:pPr>
              <w:overflowPunct w:val="0"/>
              <w:autoSpaceDE w:val="0"/>
              <w:autoSpaceDN w:val="0"/>
              <w:adjustRightInd w:val="0"/>
              <w:spacing w:line="240" w:lineRule="auto"/>
              <w:textAlignment w:val="baseline"/>
              <w:rPr>
                <w:i/>
              </w:rPr>
            </w:pPr>
            <w:r>
              <w:rPr>
                <w:b/>
                <w:i/>
              </w:rPr>
              <w:t>Contacto:</w:t>
            </w:r>
          </w:p>
        </w:tc>
        <w:tc>
          <w:tcPr>
            <w:tcW w:w="3289" w:type="pct"/>
          </w:tcPr>
          <w:p w:rsidRPr="006179EF" w:rsidR="006179EF" w:rsidP="006179EF" w:rsidRDefault="006179EF" w14:paraId="44EA327A" w14:textId="77777777">
            <w:pPr>
              <w:overflowPunct w:val="0"/>
              <w:autoSpaceDE w:val="0"/>
              <w:autoSpaceDN w:val="0"/>
              <w:adjustRightInd w:val="0"/>
              <w:spacing w:line="240" w:lineRule="auto"/>
              <w:textAlignment w:val="baseline"/>
              <w:rPr>
                <w:i/>
                <w:iCs/>
              </w:rPr>
            </w:pPr>
            <w:r>
              <w:rPr>
                <w:i/>
              </w:rPr>
              <w:t>Marco Ristori</w:t>
            </w:r>
          </w:p>
        </w:tc>
      </w:tr>
      <w:tr w:rsidRPr="006179EF" w:rsidR="006179EF" w:rsidTr="002B1C51" w14:paraId="7E487032" w14:textId="77777777">
        <w:tc>
          <w:tcPr>
            <w:tcW w:w="1711" w:type="pct"/>
          </w:tcPr>
          <w:p w:rsidRPr="006179EF" w:rsidR="006179EF" w:rsidP="006179EF" w:rsidRDefault="006179EF" w14:paraId="6536B2B2" w14:textId="77777777">
            <w:pPr>
              <w:overflowPunct w:val="0"/>
              <w:autoSpaceDE w:val="0"/>
              <w:autoSpaceDN w:val="0"/>
              <w:adjustRightInd w:val="0"/>
              <w:spacing w:line="240" w:lineRule="auto"/>
              <w:textAlignment w:val="baseline"/>
              <w:rPr>
                <w:i/>
              </w:rPr>
            </w:pPr>
            <w:r>
              <w:rPr>
                <w:i/>
              </w:rPr>
              <w:t>Teléfono:</w:t>
            </w:r>
          </w:p>
        </w:tc>
        <w:tc>
          <w:tcPr>
            <w:tcW w:w="3289" w:type="pct"/>
          </w:tcPr>
          <w:p w:rsidRPr="006179EF" w:rsidR="006179EF" w:rsidP="006179EF" w:rsidRDefault="006179EF" w14:paraId="7E72342C" w14:textId="2F764B19">
            <w:pPr>
              <w:overflowPunct w:val="0"/>
              <w:autoSpaceDE w:val="0"/>
              <w:autoSpaceDN w:val="0"/>
              <w:adjustRightInd w:val="0"/>
              <w:spacing w:line="240" w:lineRule="auto"/>
              <w:textAlignment w:val="baseline"/>
              <w:rPr>
                <w:i/>
              </w:rPr>
            </w:pPr>
            <w:r>
              <w:rPr>
                <w:i/>
              </w:rPr>
              <w:t>+32 2 5469969</w:t>
            </w:r>
          </w:p>
        </w:tc>
      </w:tr>
      <w:tr w:rsidRPr="006179EF" w:rsidR="006179EF" w:rsidTr="002B1C51" w14:paraId="68C451DB" w14:textId="77777777">
        <w:tc>
          <w:tcPr>
            <w:tcW w:w="1711" w:type="pct"/>
          </w:tcPr>
          <w:p w:rsidRPr="006179EF" w:rsidR="006179EF" w:rsidP="006179EF" w:rsidRDefault="006179EF" w14:paraId="3C0523E1" w14:textId="77777777">
            <w:pPr>
              <w:overflowPunct w:val="0"/>
              <w:autoSpaceDE w:val="0"/>
              <w:autoSpaceDN w:val="0"/>
              <w:adjustRightInd w:val="0"/>
              <w:spacing w:line="240" w:lineRule="auto"/>
              <w:textAlignment w:val="baseline"/>
              <w:rPr>
                <w:i/>
              </w:rPr>
            </w:pPr>
            <w:r>
              <w:rPr>
                <w:i/>
              </w:rPr>
              <w:t>Correo electrónico:</w:t>
            </w:r>
          </w:p>
        </w:tc>
        <w:tc>
          <w:tcPr>
            <w:tcW w:w="3289" w:type="pct"/>
          </w:tcPr>
          <w:p w:rsidRPr="006179EF" w:rsidR="006179EF" w:rsidP="006179EF" w:rsidRDefault="000E38A8" w14:paraId="2C3E3001" w14:textId="77777777">
            <w:pPr>
              <w:overflowPunct w:val="0"/>
              <w:autoSpaceDE w:val="0"/>
              <w:autoSpaceDN w:val="0"/>
              <w:adjustRightInd w:val="0"/>
              <w:spacing w:line="240" w:lineRule="auto"/>
              <w:textAlignment w:val="baseline"/>
              <w:rPr>
                <w:i/>
              </w:rPr>
            </w:pPr>
            <w:hyperlink w:history="1" r:id="rId50">
              <w:r w:rsidR="00381CCE">
                <w:rPr>
                  <w:i/>
                  <w:color w:val="0000FF"/>
                  <w:u w:val="single"/>
                </w:rPr>
                <w:t>Marco.Ristori@eesc.europa.eu</w:t>
              </w:r>
            </w:hyperlink>
          </w:p>
        </w:tc>
      </w:tr>
    </w:tbl>
    <w:p w:rsidR="00055407" w:rsidRDefault="00055407" w14:paraId="48C49104" w14:textId="77777777">
      <w:pPr>
        <w:spacing w:after="160" w:line="259" w:lineRule="auto"/>
        <w:jc w:val="left"/>
        <w:rPr>
          <w:b/>
          <w:i/>
          <w:sz w:val="28"/>
          <w:szCs w:val="28"/>
        </w:rPr>
      </w:pPr>
      <w:r>
        <w:br w:type="page"/>
      </w:r>
    </w:p>
    <w:p w:rsidRPr="00AE7912" w:rsidR="00AE7912" w:rsidP="00AE7912" w:rsidRDefault="000E38A8" w14:paraId="471A5D31" w14:textId="7485F039">
      <w:pPr>
        <w:widowControl w:val="0"/>
        <w:numPr>
          <w:ilvl w:val="0"/>
          <w:numId w:val="21"/>
        </w:numPr>
        <w:overflowPunct w:val="0"/>
        <w:autoSpaceDE w:val="0"/>
        <w:autoSpaceDN w:val="0"/>
        <w:adjustRightInd w:val="0"/>
        <w:ind w:hanging="567"/>
        <w:jc w:val="left"/>
        <w:textAlignment w:val="baseline"/>
        <w:rPr>
          <w:b/>
          <w:bCs/>
          <w:i/>
          <w:iCs/>
          <w:color w:val="0000FF"/>
          <w:sz w:val="28"/>
          <w:szCs w:val="28"/>
          <w:u w:val="single"/>
        </w:rPr>
      </w:pPr>
      <w:hyperlink w:history="1" r:id="rId51">
        <w:r w:rsidR="00381CCE">
          <w:rPr>
            <w:b/>
            <w:i/>
            <w:color w:val="0000FF"/>
            <w:sz w:val="28"/>
            <w:u w:val="single"/>
          </w:rPr>
          <w:t>La situación de las organizaciones de la sociedad civil en los países de la ASEAN</w:t>
        </w:r>
      </w:hyperlink>
    </w:p>
    <w:p w:rsidRPr="002B1C51" w:rsidR="00AE7912" w:rsidP="00AE7912" w:rsidRDefault="00AE7912" w14:paraId="1C4B8C34" w14:textId="77777777">
      <w:pPr>
        <w:widowControl w:val="0"/>
        <w:overflowPunct w:val="0"/>
        <w:autoSpaceDE w:val="0"/>
        <w:autoSpaceDN w:val="0"/>
        <w:adjustRightInd w:val="0"/>
        <w:jc w:val="left"/>
        <w:textAlignment w:val="baseline"/>
        <w:rPr>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AE7912" w:rsidR="00AE7912" w:rsidTr="001757A2" w14:paraId="7635A0CF" w14:textId="77777777">
        <w:trPr>
          <w:trHeight w:val="330"/>
        </w:trPr>
        <w:tc>
          <w:tcPr>
            <w:tcW w:w="1701" w:type="dxa"/>
          </w:tcPr>
          <w:p w:rsidRPr="00AE7912" w:rsidR="00AE7912" w:rsidP="00AE7912" w:rsidRDefault="00AE7912" w14:paraId="194E695B" w14:textId="77777777">
            <w:pPr>
              <w:tabs>
                <w:tab w:val="center" w:pos="284"/>
              </w:tabs>
              <w:overflowPunct w:val="0"/>
              <w:autoSpaceDE w:val="0"/>
              <w:autoSpaceDN w:val="0"/>
              <w:adjustRightInd w:val="0"/>
              <w:ind w:left="266" w:hanging="266"/>
              <w:textAlignment w:val="baseline"/>
              <w:rPr>
                <w:b/>
                <w:szCs w:val="24"/>
              </w:rPr>
            </w:pPr>
            <w:r>
              <w:rPr>
                <w:b/>
              </w:rPr>
              <w:t>Ponente</w:t>
            </w:r>
          </w:p>
        </w:tc>
        <w:tc>
          <w:tcPr>
            <w:tcW w:w="5387" w:type="dxa"/>
          </w:tcPr>
          <w:p w:rsidR="00AE7912" w:rsidP="00AE7912" w:rsidRDefault="00AE7912" w14:paraId="6BC39091" w14:textId="515DB417">
            <w:pPr>
              <w:tabs>
                <w:tab w:val="center" w:pos="2585"/>
              </w:tabs>
              <w:overflowPunct w:val="0"/>
              <w:autoSpaceDE w:val="0"/>
              <w:autoSpaceDN w:val="0"/>
              <w:adjustRightInd w:val="0"/>
              <w:jc w:val="left"/>
              <w:textAlignment w:val="baseline"/>
              <w:rPr>
                <w:szCs w:val="24"/>
              </w:rPr>
            </w:pPr>
            <w:r>
              <w:t>Erika KOLLER (Grupo de Trabajadores – HU)</w:t>
            </w:r>
          </w:p>
          <w:p w:rsidRPr="00AE7912" w:rsidR="004F6E52" w:rsidP="00AE7912" w:rsidRDefault="004F6E52" w14:paraId="702C7FF4" w14:textId="5C863D55">
            <w:pPr>
              <w:tabs>
                <w:tab w:val="center" w:pos="2585"/>
              </w:tabs>
              <w:overflowPunct w:val="0"/>
              <w:autoSpaceDE w:val="0"/>
              <w:autoSpaceDN w:val="0"/>
              <w:adjustRightInd w:val="0"/>
              <w:jc w:val="left"/>
              <w:textAlignment w:val="baseline"/>
              <w:rPr>
                <w:szCs w:val="24"/>
                <w:lang w:val="en-GB"/>
              </w:rPr>
            </w:pPr>
          </w:p>
        </w:tc>
      </w:tr>
      <w:tr w:rsidRPr="00AE7912" w:rsidR="00AE7912" w:rsidTr="001757A2" w14:paraId="1D543515" w14:textId="77777777">
        <w:tc>
          <w:tcPr>
            <w:tcW w:w="1701" w:type="dxa"/>
          </w:tcPr>
          <w:p w:rsidRPr="00AE7912" w:rsidR="00AE7912" w:rsidP="00AE7912" w:rsidRDefault="00AE7912" w14:paraId="02671812" w14:textId="36C7A057">
            <w:pPr>
              <w:tabs>
                <w:tab w:val="center" w:pos="284"/>
              </w:tabs>
              <w:overflowPunct w:val="0"/>
              <w:autoSpaceDE w:val="0"/>
              <w:autoSpaceDN w:val="0"/>
              <w:adjustRightInd w:val="0"/>
              <w:ind w:left="266" w:hanging="266"/>
              <w:textAlignment w:val="baseline"/>
              <w:rPr>
                <w:b/>
                <w:szCs w:val="24"/>
              </w:rPr>
            </w:pPr>
            <w:r>
              <w:rPr>
                <w:b/>
              </w:rPr>
              <w:t>Referencia</w:t>
            </w:r>
          </w:p>
        </w:tc>
        <w:tc>
          <w:tcPr>
            <w:tcW w:w="5387" w:type="dxa"/>
          </w:tcPr>
          <w:p w:rsidR="00C504F7" w:rsidP="00AE7912" w:rsidRDefault="00C504F7" w14:paraId="008BF5D5" w14:textId="53E2F32A">
            <w:pPr>
              <w:tabs>
                <w:tab w:val="center" w:pos="284"/>
              </w:tabs>
              <w:overflowPunct w:val="0"/>
              <w:autoSpaceDE w:val="0"/>
              <w:autoSpaceDN w:val="0"/>
              <w:adjustRightInd w:val="0"/>
              <w:ind w:left="266" w:hanging="266"/>
              <w:textAlignment w:val="baseline"/>
              <w:rPr>
                <w:szCs w:val="24"/>
              </w:rPr>
            </w:pPr>
            <w:r>
              <w:t>Documento informativo</w:t>
            </w:r>
          </w:p>
          <w:p w:rsidRPr="00AE7912" w:rsidR="00AE7912" w:rsidP="00AE7912" w:rsidRDefault="00AE7912" w14:paraId="4813092F" w14:textId="37923F1C">
            <w:pPr>
              <w:tabs>
                <w:tab w:val="center" w:pos="284"/>
              </w:tabs>
              <w:overflowPunct w:val="0"/>
              <w:autoSpaceDE w:val="0"/>
              <w:autoSpaceDN w:val="0"/>
              <w:adjustRightInd w:val="0"/>
              <w:ind w:left="266" w:hanging="266"/>
              <w:textAlignment w:val="baseline"/>
              <w:rPr>
                <w:szCs w:val="24"/>
              </w:rPr>
            </w:pPr>
            <w:r>
              <w:t>EESC-2025-00840-00-00-RI</w:t>
            </w:r>
          </w:p>
        </w:tc>
      </w:tr>
    </w:tbl>
    <w:p w:rsidRPr="00AE7912" w:rsidR="00AE7912" w:rsidP="00AE7912" w:rsidRDefault="00AE7912" w14:paraId="42852B6A"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AE7912" w:rsidRDefault="00AE7912" w14:paraId="09DF519C"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AE7912" w:rsidR="00AE7912" w:rsidP="00AE7912" w:rsidRDefault="00AE7912" w14:paraId="574A87D1" w14:textId="77777777">
      <w:pPr>
        <w:keepNext/>
        <w:keepLines/>
        <w:tabs>
          <w:tab w:val="center" w:pos="284"/>
        </w:tabs>
        <w:overflowPunct w:val="0"/>
        <w:autoSpaceDE w:val="0"/>
        <w:autoSpaceDN w:val="0"/>
        <w:adjustRightInd w:val="0"/>
        <w:ind w:left="266" w:hanging="266"/>
        <w:textAlignment w:val="baseline"/>
        <w:rPr>
          <w:b/>
          <w:lang w:val="en-GB"/>
        </w:rPr>
      </w:pPr>
    </w:p>
    <w:p w:rsidRPr="00AE7912" w:rsidR="00AE7912" w:rsidP="00B60D9A" w:rsidRDefault="00AE7912" w14:paraId="614934F7" w14:textId="77777777">
      <w:pPr>
        <w:numPr>
          <w:ilvl w:val="0"/>
          <w:numId w:val="46"/>
        </w:numPr>
        <w:overflowPunct w:val="0"/>
        <w:autoSpaceDE w:val="0"/>
        <w:autoSpaceDN w:val="0"/>
        <w:adjustRightInd w:val="0"/>
        <w:ind w:left="284" w:hanging="284"/>
        <w:textAlignment w:val="baseline"/>
        <w:rPr>
          <w:szCs w:val="20"/>
        </w:rPr>
      </w:pPr>
      <w:r>
        <w:t xml:space="preserve">El presente informe tiene por objeto ilustrar cómo evoluciona la relación entre la Asociación de Naciones del Asia Sudoriental (ASEAN) y la Unión Europea (UE), en particular en lo que respecta al papel de la sociedad civil y al desarrollo sostenible en el contexto del comercio y la cooperación política. </w:t>
      </w:r>
    </w:p>
    <w:p w:rsidRPr="00AE7912" w:rsidR="00AE7912" w:rsidP="00B60D9A" w:rsidRDefault="00AE7912" w14:paraId="5081D1FA" w14:textId="77777777">
      <w:pPr>
        <w:numPr>
          <w:ilvl w:val="0"/>
          <w:numId w:val="46"/>
        </w:numPr>
        <w:overflowPunct w:val="0"/>
        <w:autoSpaceDE w:val="0"/>
        <w:autoSpaceDN w:val="0"/>
        <w:adjustRightInd w:val="0"/>
        <w:ind w:left="284" w:hanging="284"/>
        <w:textAlignment w:val="baseline"/>
        <w:rPr>
          <w:szCs w:val="20"/>
        </w:rPr>
      </w:pPr>
      <w:r>
        <w:t xml:space="preserve">Las dos regiones tienen más en común de lo que a menudo se percibe. Una asociación sólida entre la UE y la ASEAN, cimentada en una cooperación regida por principios y en el respeto de los enfoques políticos de la otra parte, sirve de fuerza estabilizadora en un entorno mundial cada vez más volátil. Les une el apoyo que comparten en favor del orden internacional basado en normas, así como su compromiso con la paz y el desarrollo. </w:t>
      </w:r>
    </w:p>
    <w:p w:rsidRPr="00AE7912" w:rsidR="00AE7912" w:rsidP="00B60D9A" w:rsidRDefault="00AE7912" w14:paraId="1F615364" w14:textId="77777777">
      <w:pPr>
        <w:numPr>
          <w:ilvl w:val="0"/>
          <w:numId w:val="46"/>
        </w:numPr>
        <w:overflowPunct w:val="0"/>
        <w:autoSpaceDE w:val="0"/>
        <w:autoSpaceDN w:val="0"/>
        <w:adjustRightInd w:val="0"/>
        <w:ind w:left="284" w:hanging="284"/>
        <w:textAlignment w:val="baseline"/>
        <w:rPr>
          <w:szCs w:val="20"/>
        </w:rPr>
      </w:pPr>
      <w:r>
        <w:t xml:space="preserve">Las relaciones entre la UE y la ASEAN siguen un calendario marcado de reuniones y grupos de trabajo que se celebran con carácter anual, entre los que destacan un comité conjunto que nutre los diálogos ministeriales de alto nivel y la cooperación industrial por medio de foros especializados. </w:t>
      </w:r>
    </w:p>
    <w:p w:rsidRPr="00AE7912" w:rsidR="00AE7912" w:rsidP="00B60D9A" w:rsidRDefault="00AE7912" w14:paraId="73C8E88F" w14:textId="77777777">
      <w:pPr>
        <w:numPr>
          <w:ilvl w:val="0"/>
          <w:numId w:val="46"/>
        </w:numPr>
        <w:overflowPunct w:val="0"/>
        <w:autoSpaceDE w:val="0"/>
        <w:autoSpaceDN w:val="0"/>
        <w:adjustRightInd w:val="0"/>
        <w:ind w:left="284" w:hanging="284"/>
        <w:textAlignment w:val="baseline"/>
        <w:rPr>
          <w:szCs w:val="20"/>
        </w:rPr>
      </w:pPr>
      <w:r>
        <w:t>La sociedad civil desempeña un papel fundamental a la hora de fomentar la cooperación interregional, sobre todo al impulsar los procesos políticos participativos y al apoyar los esfuerzos de consolidación interregional. Para los países afines, es esencial reconocer las intrincadas realidades políticas, sociales y culturales del sudeste asiático, que pueden diferir significativamente de las concepciones europeas. Superar estas diferencias es fundamental para promover un diálogo institucionalizado, abierto e inclusivo, en el que la sociedad civil tenga una participación significativa. Un diálogo de tales características obliga a reconsiderar las estrategias de participación y las realidades locales, con el fin de garantizar la inclusión de voces marginadas, especialmente las de las organizaciones de base, las mujeres, las minorías étnicas y pueblos indígenas y la juventud. Con todo, también requiere una evaluación minuciosa cuando se forjen asociaciones con organizaciones de la sociedad civil.</w:t>
      </w:r>
    </w:p>
    <w:p w:rsidRPr="00AE7912" w:rsidR="00AE7912" w:rsidP="00AE7912" w:rsidRDefault="00AE7912" w14:paraId="7D8EAFDB" w14:textId="77777777">
      <w:pPr>
        <w:overflowPunct w:val="0"/>
        <w:autoSpaceDE w:val="0"/>
        <w:autoSpaceDN w:val="0"/>
        <w:adjustRightInd w:val="0"/>
        <w:textAlignment w:val="baseline"/>
        <w:rPr>
          <w:rFonts w:eastAsia="Calibri"/>
          <w:szCs w:val="20"/>
          <w:lang w:val="en-GB"/>
        </w:rPr>
      </w:pPr>
    </w:p>
    <w:tbl>
      <w:tblPr>
        <w:tblStyle w:val="TableGrid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AE7912" w:rsidR="00AE7912" w:rsidTr="002B1C51" w14:paraId="17A93B18" w14:textId="77777777">
        <w:tc>
          <w:tcPr>
            <w:tcW w:w="2235" w:type="dxa"/>
          </w:tcPr>
          <w:p w:rsidRPr="00AE7912" w:rsidR="00AE7912" w:rsidP="00AE7912" w:rsidRDefault="00AE7912" w14:paraId="65FD52C7" w14:textId="77777777">
            <w:pPr>
              <w:overflowPunct w:val="0"/>
              <w:autoSpaceDE w:val="0"/>
              <w:autoSpaceDN w:val="0"/>
              <w:adjustRightInd w:val="0"/>
              <w:textAlignment w:val="baseline"/>
              <w:rPr>
                <w:i/>
                <w:szCs w:val="24"/>
              </w:rPr>
            </w:pPr>
            <w:r>
              <w:rPr>
                <w:b/>
                <w:i/>
              </w:rPr>
              <w:t>Contacto:</w:t>
            </w:r>
          </w:p>
        </w:tc>
        <w:tc>
          <w:tcPr>
            <w:tcW w:w="4853" w:type="dxa"/>
          </w:tcPr>
          <w:p w:rsidRPr="00B60D9A" w:rsidR="00AE7912" w:rsidP="00AE7912" w:rsidRDefault="00AE7912" w14:paraId="425D7DA0" w14:textId="77777777">
            <w:pPr>
              <w:overflowPunct w:val="0"/>
              <w:autoSpaceDE w:val="0"/>
              <w:autoSpaceDN w:val="0"/>
              <w:adjustRightInd w:val="0"/>
              <w:textAlignment w:val="baseline"/>
              <w:rPr>
                <w:i/>
                <w:szCs w:val="24"/>
              </w:rPr>
            </w:pPr>
            <w:r>
              <w:rPr>
                <w:i/>
              </w:rPr>
              <w:t xml:space="preserve">Gunilla </w:t>
            </w:r>
            <w:proofErr w:type="spellStart"/>
            <w:r>
              <w:rPr>
                <w:i/>
              </w:rPr>
              <w:t>Fèvre-Burdy</w:t>
            </w:r>
            <w:proofErr w:type="spellEnd"/>
          </w:p>
        </w:tc>
      </w:tr>
      <w:tr w:rsidRPr="00AE7912" w:rsidR="00AE7912" w:rsidTr="002B1C51" w14:paraId="053D8F5C" w14:textId="77777777">
        <w:tc>
          <w:tcPr>
            <w:tcW w:w="2235" w:type="dxa"/>
          </w:tcPr>
          <w:p w:rsidRPr="00AE7912" w:rsidR="00AE7912" w:rsidP="00AE7912" w:rsidRDefault="00AE7912" w14:paraId="524CC4A2" w14:textId="77777777">
            <w:pPr>
              <w:overflowPunct w:val="0"/>
              <w:autoSpaceDE w:val="0"/>
              <w:autoSpaceDN w:val="0"/>
              <w:adjustRightInd w:val="0"/>
              <w:textAlignment w:val="baseline"/>
              <w:rPr>
                <w:i/>
                <w:szCs w:val="24"/>
              </w:rPr>
            </w:pPr>
            <w:r>
              <w:rPr>
                <w:i/>
              </w:rPr>
              <w:t>Teléfono:</w:t>
            </w:r>
          </w:p>
        </w:tc>
        <w:tc>
          <w:tcPr>
            <w:tcW w:w="4853" w:type="dxa"/>
          </w:tcPr>
          <w:p w:rsidRPr="00AE7912" w:rsidR="00AE7912" w:rsidP="00AE7912" w:rsidRDefault="00AE7912" w14:paraId="66206E8A" w14:textId="348BF0FA">
            <w:pPr>
              <w:overflowPunct w:val="0"/>
              <w:autoSpaceDE w:val="0"/>
              <w:autoSpaceDN w:val="0"/>
              <w:adjustRightInd w:val="0"/>
              <w:textAlignment w:val="baseline"/>
              <w:rPr>
                <w:i/>
                <w:szCs w:val="24"/>
              </w:rPr>
            </w:pPr>
            <w:r>
              <w:rPr>
                <w:i/>
              </w:rPr>
              <w:t>+32 2 5469108</w:t>
            </w:r>
          </w:p>
        </w:tc>
      </w:tr>
      <w:tr w:rsidRPr="00AE7912" w:rsidR="00AE7912" w:rsidTr="002B1C51" w14:paraId="782EE881" w14:textId="77777777">
        <w:tc>
          <w:tcPr>
            <w:tcW w:w="2235" w:type="dxa"/>
          </w:tcPr>
          <w:p w:rsidRPr="00AE7912" w:rsidR="00AE7912" w:rsidP="00AE7912" w:rsidRDefault="00AE7912" w14:paraId="25B16D21" w14:textId="77777777">
            <w:pPr>
              <w:overflowPunct w:val="0"/>
              <w:autoSpaceDE w:val="0"/>
              <w:autoSpaceDN w:val="0"/>
              <w:adjustRightInd w:val="0"/>
              <w:textAlignment w:val="baseline"/>
              <w:rPr>
                <w:i/>
                <w:szCs w:val="24"/>
              </w:rPr>
            </w:pPr>
            <w:r>
              <w:rPr>
                <w:i/>
              </w:rPr>
              <w:t>Correo electrónico:</w:t>
            </w:r>
          </w:p>
        </w:tc>
        <w:tc>
          <w:tcPr>
            <w:tcW w:w="4853" w:type="dxa"/>
          </w:tcPr>
          <w:p w:rsidRPr="00AE7912" w:rsidR="00AE7912" w:rsidP="00AE7912" w:rsidRDefault="000E38A8" w14:paraId="22B44104" w14:textId="77777777">
            <w:pPr>
              <w:overflowPunct w:val="0"/>
              <w:autoSpaceDE w:val="0"/>
              <w:autoSpaceDN w:val="0"/>
              <w:adjustRightInd w:val="0"/>
              <w:textAlignment w:val="baseline"/>
              <w:rPr>
                <w:i/>
                <w:color w:val="0000FF"/>
                <w:szCs w:val="24"/>
                <w:u w:val="single"/>
              </w:rPr>
            </w:pPr>
            <w:hyperlink w:history="1" r:id="rId52">
              <w:r w:rsidR="00381CCE">
                <w:rPr>
                  <w:i/>
                  <w:color w:val="0000FF"/>
                  <w:u w:val="single"/>
                </w:rPr>
                <w:t>Gunilla.Sandberg@eesc.europa.eu</w:t>
              </w:r>
            </w:hyperlink>
          </w:p>
        </w:tc>
      </w:tr>
    </w:tbl>
    <w:p w:rsidR="006179EF" w:rsidRDefault="006179EF" w14:paraId="126BFE8C" w14:textId="2DA8AC15">
      <w:pPr>
        <w:spacing w:after="160" w:line="259" w:lineRule="auto"/>
        <w:jc w:val="left"/>
      </w:pPr>
      <w:r>
        <w:br w:type="page"/>
      </w:r>
    </w:p>
    <w:p w:rsidRPr="006D2C8A" w:rsidR="006D2C8A" w:rsidP="006D2C8A" w:rsidRDefault="006D2C8A" w14:paraId="528C73AA" w14:textId="46DE726B">
      <w:pPr>
        <w:pStyle w:val="Heading1"/>
        <w:rPr>
          <w:b/>
        </w:rPr>
      </w:pPr>
      <w:bookmarkStart w:name="_Toc201570905" w:id="18"/>
      <w:r>
        <w:rPr>
          <w:b/>
          <w:color w:val="222A35" w:themeColor="text2" w:themeShade="80"/>
        </w:rPr>
        <w:lastRenderedPageBreak/>
        <w:t>COMISIÓN CONSULTIVA DE LAS TRANSFORMACIONES INDUSTRIALES</w:t>
      </w:r>
      <w:bookmarkEnd w:id="18"/>
    </w:p>
    <w:p w:rsidRPr="002B1C51" w:rsidR="006D2C8A" w:rsidP="006D2C8A" w:rsidRDefault="006D2C8A" w14:paraId="713E272F" w14:textId="77777777"/>
    <w:p w:rsidRPr="001E19E2" w:rsidR="001E19E2" w:rsidP="001E19E2" w:rsidRDefault="000E38A8" w14:paraId="3B88A2BA" w14:textId="12D2BA17">
      <w:pPr>
        <w:numPr>
          <w:ilvl w:val="0"/>
          <w:numId w:val="22"/>
        </w:numPr>
        <w:overflowPunct w:val="0"/>
        <w:autoSpaceDE w:val="0"/>
        <w:autoSpaceDN w:val="0"/>
        <w:adjustRightInd w:val="0"/>
        <w:spacing w:after="200" w:line="276" w:lineRule="auto"/>
        <w:ind w:left="567" w:hanging="567"/>
        <w:contextualSpacing/>
        <w:jc w:val="left"/>
        <w:textAlignment w:val="baseline"/>
        <w:rPr>
          <w:b/>
          <w:bCs/>
          <w:i/>
          <w:iCs/>
          <w:color w:val="0000FF"/>
          <w:sz w:val="28"/>
          <w:szCs w:val="28"/>
          <w:u w:val="single"/>
        </w:rPr>
      </w:pPr>
      <w:hyperlink w:history="1" r:id="rId53">
        <w:r w:rsidR="001E19E2">
          <w:rPr>
            <w:b/>
            <w:i/>
            <w:color w:val="0000FF"/>
            <w:sz w:val="28"/>
            <w:u w:val="single"/>
          </w:rPr>
          <w:t>Reindustrialización de Europa: oportunidades para las empresas, los trabajadores y los ciudadanos en el contexto de la crisis del coste de la vida</w:t>
        </w:r>
      </w:hyperlink>
    </w:p>
    <w:p w:rsidRPr="002B1C51" w:rsidR="001E19E2" w:rsidP="001E19E2" w:rsidRDefault="001E19E2" w14:paraId="03D77D62" w14:textId="77777777">
      <w:pPr>
        <w:keepNext/>
        <w:keepLines/>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055407" w:rsidR="001E19E2" w:rsidTr="001757A2" w14:paraId="7674091C" w14:textId="77777777">
        <w:tc>
          <w:tcPr>
            <w:tcW w:w="1701" w:type="dxa"/>
          </w:tcPr>
          <w:p w:rsidRPr="001E19E2" w:rsidR="001E19E2" w:rsidP="001E19E2" w:rsidRDefault="001E19E2" w14:paraId="7CF1DAD6" w14:textId="77777777">
            <w:pPr>
              <w:tabs>
                <w:tab w:val="center" w:pos="284"/>
              </w:tabs>
              <w:overflowPunct w:val="0"/>
              <w:autoSpaceDE w:val="0"/>
              <w:autoSpaceDN w:val="0"/>
              <w:adjustRightInd w:val="0"/>
              <w:ind w:left="266" w:hanging="266"/>
              <w:textAlignment w:val="baseline"/>
              <w:rPr>
                <w:b/>
              </w:rPr>
            </w:pPr>
            <w:r>
              <w:rPr>
                <w:b/>
              </w:rPr>
              <w:t>Ponente</w:t>
            </w:r>
          </w:p>
        </w:tc>
        <w:tc>
          <w:tcPr>
            <w:tcW w:w="5670" w:type="dxa"/>
          </w:tcPr>
          <w:p w:rsidRPr="001E19E2" w:rsidR="001E19E2" w:rsidP="001E19E2" w:rsidRDefault="001E19E2" w14:paraId="65653375" w14:textId="77777777">
            <w:pPr>
              <w:tabs>
                <w:tab w:val="center" w:pos="284"/>
              </w:tabs>
              <w:overflowPunct w:val="0"/>
              <w:autoSpaceDE w:val="0"/>
              <w:autoSpaceDN w:val="0"/>
              <w:adjustRightInd w:val="0"/>
              <w:ind w:left="266" w:hanging="266"/>
              <w:textAlignment w:val="baseline"/>
            </w:pPr>
            <w:r>
              <w:t>Andrés BARCELÓ DELGADO (Grupo de Empresarios – ES)</w:t>
            </w:r>
          </w:p>
        </w:tc>
      </w:tr>
      <w:tr w:rsidRPr="001E19E2" w:rsidR="001E19E2" w:rsidTr="001757A2" w14:paraId="1EB02009" w14:textId="77777777">
        <w:tc>
          <w:tcPr>
            <w:tcW w:w="1701" w:type="dxa"/>
          </w:tcPr>
          <w:p w:rsidRPr="001E19E2" w:rsidR="001E19E2" w:rsidP="001E19E2" w:rsidRDefault="001E19E2" w14:paraId="5C8E6FCE" w14:textId="77777777">
            <w:pPr>
              <w:tabs>
                <w:tab w:val="center" w:pos="284"/>
              </w:tabs>
              <w:overflowPunct w:val="0"/>
              <w:autoSpaceDE w:val="0"/>
              <w:autoSpaceDN w:val="0"/>
              <w:adjustRightInd w:val="0"/>
              <w:ind w:left="266" w:hanging="266"/>
              <w:textAlignment w:val="baseline"/>
              <w:rPr>
                <w:b/>
              </w:rPr>
            </w:pPr>
            <w:r>
              <w:rPr>
                <w:b/>
              </w:rPr>
              <w:t>Coponente</w:t>
            </w:r>
          </w:p>
        </w:tc>
        <w:tc>
          <w:tcPr>
            <w:tcW w:w="5670" w:type="dxa"/>
          </w:tcPr>
          <w:p w:rsidRPr="001E19E2" w:rsidR="001E19E2" w:rsidP="001E19E2" w:rsidRDefault="001E19E2" w14:paraId="5F641CC2" w14:textId="77777777">
            <w:pPr>
              <w:tabs>
                <w:tab w:val="center" w:pos="284"/>
              </w:tabs>
              <w:overflowPunct w:val="0"/>
              <w:autoSpaceDE w:val="0"/>
              <w:autoSpaceDN w:val="0"/>
              <w:adjustRightInd w:val="0"/>
              <w:ind w:left="266" w:hanging="266"/>
              <w:textAlignment w:val="baseline"/>
            </w:pPr>
            <w:r>
              <w:t>Monika SITÁROVÁ (Cat. 2 – SK)</w:t>
            </w:r>
          </w:p>
        </w:tc>
      </w:tr>
      <w:tr w:rsidRPr="001E19E2" w:rsidR="001E19E2" w:rsidTr="001757A2" w14:paraId="07CF0C37" w14:textId="77777777">
        <w:tc>
          <w:tcPr>
            <w:tcW w:w="7371" w:type="dxa"/>
            <w:gridSpan w:val="2"/>
          </w:tcPr>
          <w:p w:rsidRPr="001E19E2" w:rsidR="001E19E2" w:rsidP="001E19E2" w:rsidRDefault="001E19E2" w14:paraId="65C9BFC6" w14:textId="77777777">
            <w:pPr>
              <w:tabs>
                <w:tab w:val="center" w:pos="284"/>
              </w:tabs>
              <w:overflowPunct w:val="0"/>
              <w:autoSpaceDE w:val="0"/>
              <w:autoSpaceDN w:val="0"/>
              <w:adjustRightInd w:val="0"/>
              <w:spacing w:line="160" w:lineRule="exact"/>
              <w:ind w:left="266" w:hanging="266"/>
              <w:textAlignment w:val="baseline"/>
            </w:pPr>
          </w:p>
        </w:tc>
      </w:tr>
      <w:tr w:rsidRPr="001E19E2" w:rsidR="001E19E2" w:rsidTr="001757A2" w14:paraId="5170DF5B" w14:textId="77777777">
        <w:tc>
          <w:tcPr>
            <w:tcW w:w="1701" w:type="dxa"/>
            <w:vMerge w:val="restart"/>
          </w:tcPr>
          <w:p w:rsidRPr="001E19E2" w:rsidR="001E19E2" w:rsidP="001E19E2" w:rsidRDefault="001E19E2" w14:paraId="2D144212" w14:textId="0BDFF3DA">
            <w:pPr>
              <w:tabs>
                <w:tab w:val="center" w:pos="284"/>
              </w:tabs>
              <w:overflowPunct w:val="0"/>
              <w:autoSpaceDE w:val="0"/>
              <w:autoSpaceDN w:val="0"/>
              <w:adjustRightInd w:val="0"/>
              <w:ind w:left="266" w:hanging="266"/>
              <w:textAlignment w:val="baseline"/>
              <w:rPr>
                <w:b/>
              </w:rPr>
            </w:pPr>
            <w:r>
              <w:rPr>
                <w:b/>
              </w:rPr>
              <w:t>Referencia</w:t>
            </w:r>
          </w:p>
        </w:tc>
        <w:tc>
          <w:tcPr>
            <w:tcW w:w="5670" w:type="dxa"/>
          </w:tcPr>
          <w:p w:rsidR="004F6E52" w:rsidP="001E19E2" w:rsidRDefault="004F6E52" w14:paraId="5B15416B" w14:textId="63F97B6C">
            <w:pPr>
              <w:tabs>
                <w:tab w:val="center" w:pos="284"/>
              </w:tabs>
              <w:overflowPunct w:val="0"/>
              <w:autoSpaceDE w:val="0"/>
              <w:autoSpaceDN w:val="0"/>
              <w:adjustRightInd w:val="0"/>
              <w:ind w:left="266" w:hanging="266"/>
              <w:textAlignment w:val="baseline"/>
            </w:pPr>
            <w:r>
              <w:t>Dictamen de iniciativa</w:t>
            </w:r>
          </w:p>
          <w:p w:rsidRPr="001E19E2" w:rsidR="001E19E2" w:rsidP="001E19E2" w:rsidRDefault="001E19E2" w14:paraId="7D3766D4" w14:textId="7D8B10ED">
            <w:pPr>
              <w:tabs>
                <w:tab w:val="center" w:pos="284"/>
              </w:tabs>
              <w:overflowPunct w:val="0"/>
              <w:autoSpaceDE w:val="0"/>
              <w:autoSpaceDN w:val="0"/>
              <w:adjustRightInd w:val="0"/>
              <w:ind w:left="266" w:hanging="266"/>
              <w:textAlignment w:val="baseline"/>
            </w:pPr>
            <w:r>
              <w:t>EESC-2025-00169-00-00-AC</w:t>
            </w:r>
          </w:p>
        </w:tc>
      </w:tr>
      <w:tr w:rsidRPr="001E19E2" w:rsidR="001E19E2" w:rsidTr="001757A2" w14:paraId="4E1E466F" w14:textId="77777777">
        <w:tc>
          <w:tcPr>
            <w:tcW w:w="1701" w:type="dxa"/>
            <w:vMerge/>
          </w:tcPr>
          <w:p w:rsidRPr="001E19E2" w:rsidR="001E19E2" w:rsidP="001E19E2" w:rsidRDefault="001E19E2" w14:paraId="72358823" w14:textId="77777777">
            <w:pPr>
              <w:tabs>
                <w:tab w:val="center" w:pos="284"/>
              </w:tabs>
              <w:overflowPunct w:val="0"/>
              <w:autoSpaceDE w:val="0"/>
              <w:autoSpaceDN w:val="0"/>
              <w:adjustRightInd w:val="0"/>
              <w:ind w:left="266" w:hanging="266"/>
              <w:textAlignment w:val="baseline"/>
              <w:rPr>
                <w:b/>
              </w:rPr>
            </w:pPr>
          </w:p>
        </w:tc>
        <w:tc>
          <w:tcPr>
            <w:tcW w:w="5670" w:type="dxa"/>
          </w:tcPr>
          <w:p w:rsidRPr="001E19E2" w:rsidR="001E19E2" w:rsidP="001E19E2" w:rsidRDefault="001E19E2" w14:paraId="0AB49E01" w14:textId="77777777">
            <w:pPr>
              <w:tabs>
                <w:tab w:val="center" w:pos="284"/>
              </w:tabs>
              <w:overflowPunct w:val="0"/>
              <w:autoSpaceDE w:val="0"/>
              <w:autoSpaceDN w:val="0"/>
              <w:adjustRightInd w:val="0"/>
              <w:ind w:left="266" w:hanging="266"/>
              <w:textAlignment w:val="baseline"/>
            </w:pPr>
          </w:p>
        </w:tc>
      </w:tr>
    </w:tbl>
    <w:p w:rsidRPr="001E19E2" w:rsidR="001E19E2" w:rsidP="001E19E2" w:rsidRDefault="001E19E2" w14:paraId="7A80E165"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1E19E2" w:rsidR="001E19E2" w:rsidP="001E19E2" w:rsidRDefault="001E19E2" w14:paraId="3D53CE10"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531504B8" w14:textId="77777777">
      <w:pPr>
        <w:keepNext/>
        <w:keepLines/>
        <w:tabs>
          <w:tab w:val="center" w:pos="0"/>
        </w:tabs>
        <w:overflowPunct w:val="0"/>
        <w:autoSpaceDE w:val="0"/>
        <w:autoSpaceDN w:val="0"/>
        <w:adjustRightInd w:val="0"/>
        <w:textAlignment w:val="baseline"/>
        <w:rPr>
          <w:b/>
        </w:rPr>
      </w:pPr>
      <w:r>
        <w:t xml:space="preserve">La </w:t>
      </w:r>
      <w:hyperlink w:history="1" r:id="rId54">
        <w:r>
          <w:rPr>
            <w:color w:val="0000FF"/>
            <w:u w:val="single"/>
          </w:rPr>
          <w:t>evaluación de la UE desde el punto de vista de los jóvenes en el CESE</w:t>
        </w:r>
      </w:hyperlink>
      <w:r>
        <w:t xml:space="preserve"> se aplicó a este Dictamen. Un grupo de organizaciones juveniles interesadas escogieron al Foro de la Juventud de la región del Mar Báltico para que las representara durante el proceso de elaboración del Dictamen.</w:t>
      </w:r>
    </w:p>
    <w:p w:rsidRPr="001E19E2" w:rsidR="001E19E2" w:rsidP="001E19E2" w:rsidRDefault="001E19E2" w14:paraId="6862D691" w14:textId="77777777">
      <w:pPr>
        <w:keepNext/>
        <w:keepLines/>
        <w:tabs>
          <w:tab w:val="center" w:pos="284"/>
        </w:tabs>
        <w:overflowPunct w:val="0"/>
        <w:autoSpaceDE w:val="0"/>
        <w:autoSpaceDN w:val="0"/>
        <w:adjustRightInd w:val="0"/>
        <w:ind w:left="266" w:hanging="266"/>
        <w:textAlignment w:val="baseline"/>
        <w:rPr>
          <w:b/>
          <w:lang w:val="en-GB"/>
        </w:rPr>
      </w:pPr>
    </w:p>
    <w:p w:rsidRPr="001E19E2" w:rsidR="001E19E2" w:rsidP="001E19E2" w:rsidRDefault="001E19E2" w14:paraId="32CE5CB5" w14:textId="77777777">
      <w:pPr>
        <w:keepNext/>
        <w:keepLines/>
        <w:tabs>
          <w:tab w:val="center" w:pos="284"/>
        </w:tabs>
        <w:overflowPunct w:val="0"/>
        <w:autoSpaceDE w:val="0"/>
        <w:autoSpaceDN w:val="0"/>
        <w:adjustRightInd w:val="0"/>
        <w:ind w:left="266" w:hanging="266"/>
        <w:textAlignment w:val="baseline"/>
        <w:rPr>
          <w:bCs/>
        </w:rPr>
      </w:pPr>
      <w:r>
        <w:t>El CESE:</w:t>
      </w:r>
    </w:p>
    <w:p w:rsidRPr="001E19E2" w:rsidR="001E19E2" w:rsidP="00B60D9A" w:rsidRDefault="001E19E2" w14:paraId="46A30BA5" w14:textId="77777777">
      <w:pPr>
        <w:widowControl w:val="0"/>
        <w:numPr>
          <w:ilvl w:val="0"/>
          <w:numId w:val="47"/>
        </w:numPr>
        <w:overflowPunct w:val="0"/>
        <w:autoSpaceDE w:val="0"/>
        <w:autoSpaceDN w:val="0"/>
        <w:adjustRightInd w:val="0"/>
        <w:ind w:left="284" w:hanging="284"/>
        <w:textAlignment w:val="baseline"/>
        <w:rPr>
          <w:bCs/>
          <w:iCs/>
        </w:rPr>
      </w:pPr>
      <w:r>
        <w:t xml:space="preserve">acoge favorablemente </w:t>
      </w:r>
      <w:r>
        <w:rPr>
          <w:b/>
        </w:rPr>
        <w:t>la iniciativa de la Comisión «Brújula para la Competitividad»</w:t>
      </w:r>
      <w:r>
        <w:t xml:space="preserve">, centrada en </w:t>
      </w:r>
      <w:r>
        <w:rPr>
          <w:b/>
        </w:rPr>
        <w:t>mejorar la competitividad de la economía de la UE para colmar la brecha con los Estados Unidos y Asia</w:t>
      </w:r>
      <w:r>
        <w:t>. Su desarrollo debe incluir parámetros de rendimiento claros que permitan a las instituciones de la UE y a las partes interesadas supervisar la realización de todas las tareas incluidas en la Brújula;</w:t>
      </w:r>
    </w:p>
    <w:p w:rsidRPr="001E19E2" w:rsidR="001E19E2" w:rsidP="00B60D9A" w:rsidRDefault="001E19E2" w14:paraId="780293C0" w14:textId="77777777">
      <w:pPr>
        <w:widowControl w:val="0"/>
        <w:numPr>
          <w:ilvl w:val="0"/>
          <w:numId w:val="47"/>
        </w:numPr>
        <w:overflowPunct w:val="0"/>
        <w:autoSpaceDE w:val="0"/>
        <w:autoSpaceDN w:val="0"/>
        <w:adjustRightInd w:val="0"/>
        <w:ind w:left="284" w:hanging="284"/>
        <w:textAlignment w:val="baseline"/>
        <w:rPr>
          <w:b/>
          <w:iCs/>
        </w:rPr>
      </w:pPr>
      <w:r>
        <w:t xml:space="preserve">desea que </w:t>
      </w:r>
      <w:r>
        <w:rPr>
          <w:b/>
        </w:rPr>
        <w:t>la Comisión garantice que el Plan de Acción para una Energía Asequible asegurará el suministro de electricidad y un precio estable, competitivo y predecible</w:t>
      </w:r>
      <w:r>
        <w:t>;</w:t>
      </w:r>
    </w:p>
    <w:p w:rsidRPr="001E19E2" w:rsidR="001E19E2" w:rsidP="00B60D9A" w:rsidRDefault="001E19E2" w14:paraId="15EB32A6" w14:textId="77777777">
      <w:pPr>
        <w:widowControl w:val="0"/>
        <w:numPr>
          <w:ilvl w:val="0"/>
          <w:numId w:val="47"/>
        </w:numPr>
        <w:overflowPunct w:val="0"/>
        <w:autoSpaceDE w:val="0"/>
        <w:autoSpaceDN w:val="0"/>
        <w:adjustRightInd w:val="0"/>
        <w:ind w:left="284" w:hanging="284"/>
        <w:textAlignment w:val="baseline"/>
        <w:rPr>
          <w:b/>
          <w:iCs/>
        </w:rPr>
      </w:pPr>
      <w:r>
        <w:t xml:space="preserve">hace hincapié en que </w:t>
      </w:r>
      <w:r>
        <w:rPr>
          <w:b/>
        </w:rPr>
        <w:t>la autonomía estratégica abierta debe ocupar un lugar central en el proceso de reindustrialización</w:t>
      </w:r>
      <w:r>
        <w:t xml:space="preserve">, garantizando </w:t>
      </w:r>
      <w:r>
        <w:rPr>
          <w:b/>
        </w:rPr>
        <w:t>el acceso a las materias primas, diversificando las fuentes y haciendo más resiliente la economía de la UE</w:t>
      </w:r>
      <w:r>
        <w:t xml:space="preserve">. Para animar a las empresas </w:t>
      </w:r>
      <w:r>
        <w:rPr>
          <w:b/>
        </w:rPr>
        <w:t>a acercar su producción a la UE</w:t>
      </w:r>
      <w:r>
        <w:t xml:space="preserve">, el CESE recomienda que se adopte </w:t>
      </w:r>
      <w:r>
        <w:rPr>
          <w:b/>
        </w:rPr>
        <w:t>una política industrial centrada en un enfoque basado en la cadena de valor</w:t>
      </w:r>
      <w:r>
        <w:t>;</w:t>
      </w:r>
    </w:p>
    <w:p w:rsidRPr="001E19E2" w:rsidR="001E19E2" w:rsidP="00B60D9A" w:rsidRDefault="001E19E2" w14:paraId="7B02D48E" w14:textId="77777777">
      <w:pPr>
        <w:widowControl w:val="0"/>
        <w:numPr>
          <w:ilvl w:val="0"/>
          <w:numId w:val="47"/>
        </w:numPr>
        <w:overflowPunct w:val="0"/>
        <w:autoSpaceDE w:val="0"/>
        <w:autoSpaceDN w:val="0"/>
        <w:adjustRightInd w:val="0"/>
        <w:ind w:left="284" w:hanging="284"/>
        <w:textAlignment w:val="baseline"/>
        <w:rPr>
          <w:b/>
          <w:bCs/>
        </w:rPr>
      </w:pPr>
      <w:r>
        <w:t xml:space="preserve">subraya que los legisladores de la UE deben utilizar la futura </w:t>
      </w:r>
      <w:r>
        <w:rPr>
          <w:b/>
        </w:rPr>
        <w:t xml:space="preserve">Ley de Aceleración de la </w:t>
      </w:r>
      <w:proofErr w:type="spellStart"/>
      <w:r>
        <w:rPr>
          <w:b/>
        </w:rPr>
        <w:t>Descarbonización</w:t>
      </w:r>
      <w:proofErr w:type="spellEnd"/>
      <w:r>
        <w:rPr>
          <w:b/>
        </w:rPr>
        <w:t xml:space="preserve"> Industrial para garantizar la sostenibilidad de los modelos de negocio alternativos y de la economía circular</w:t>
      </w:r>
      <w:r>
        <w:t xml:space="preserve"> mediante la oferta de </w:t>
      </w:r>
      <w:r>
        <w:rPr>
          <w:b/>
        </w:rPr>
        <w:t>una concesión acelerada de permisos, apoyo financiero y respaldo político</w:t>
      </w:r>
      <w:r>
        <w:t xml:space="preserve"> a las empresas dedicadas a la transición. La propuesta de </w:t>
      </w:r>
      <w:r>
        <w:rPr>
          <w:b/>
        </w:rPr>
        <w:t>Ley de Economía Circular</w:t>
      </w:r>
      <w:r>
        <w:t xml:space="preserve"> debe enviar un mensaje claro de </w:t>
      </w:r>
      <w:r>
        <w:rPr>
          <w:b/>
        </w:rPr>
        <w:t>apoyo a las empresas circulares y tranquilizar a los inversores sobre el hecho de que la UE es el entorno ideal para desarrollar soluciones limpias</w:t>
      </w:r>
      <w:r>
        <w:t>;</w:t>
      </w:r>
    </w:p>
    <w:p w:rsidRPr="001E19E2" w:rsidR="001E19E2" w:rsidP="00B60D9A" w:rsidRDefault="001E19E2" w14:paraId="36A14C04" w14:textId="77777777">
      <w:pPr>
        <w:widowControl w:val="0"/>
        <w:numPr>
          <w:ilvl w:val="0"/>
          <w:numId w:val="47"/>
        </w:numPr>
        <w:overflowPunct w:val="0"/>
        <w:autoSpaceDE w:val="0"/>
        <w:autoSpaceDN w:val="0"/>
        <w:adjustRightInd w:val="0"/>
        <w:ind w:left="284" w:hanging="284"/>
        <w:textAlignment w:val="baseline"/>
      </w:pPr>
      <w:r>
        <w:rPr>
          <w:b/>
        </w:rPr>
        <w:t>señala que la reindustrialización requiere un programa de innovación específico</w:t>
      </w:r>
      <w:r>
        <w:t xml:space="preserve"> con objetivos concretos que incluyan tanto las industrias existentes como las de nueva creación y que se basen en el diálogo social; </w:t>
      </w:r>
    </w:p>
    <w:p w:rsidRPr="001E19E2" w:rsidR="001E19E2" w:rsidP="00B60D9A" w:rsidRDefault="001E19E2" w14:paraId="64EDF5D1" w14:textId="77777777">
      <w:pPr>
        <w:widowControl w:val="0"/>
        <w:numPr>
          <w:ilvl w:val="0"/>
          <w:numId w:val="47"/>
        </w:numPr>
        <w:overflowPunct w:val="0"/>
        <w:autoSpaceDE w:val="0"/>
        <w:autoSpaceDN w:val="0"/>
        <w:adjustRightInd w:val="0"/>
        <w:ind w:left="284" w:hanging="284"/>
        <w:textAlignment w:val="baseline"/>
        <w:rPr>
          <w:b/>
          <w:bCs/>
        </w:rPr>
      </w:pPr>
      <w:r>
        <w:t xml:space="preserve">propone que la </w:t>
      </w:r>
      <w:r>
        <w:rPr>
          <w:b/>
        </w:rPr>
        <w:t>UE fomente programas de asociación público-privada que impulsen la inversión industrial, con un apartado dedicado a promover el emprendimiento juvenil en el sector manufacturero</w:t>
      </w:r>
      <w:r>
        <w:t>;</w:t>
      </w:r>
      <w:r>
        <w:rPr>
          <w:b/>
        </w:rPr>
        <w:t xml:space="preserve"> </w:t>
      </w:r>
    </w:p>
    <w:p w:rsidRPr="00E1573A" w:rsidR="001E19E2" w:rsidP="00B60D9A" w:rsidRDefault="001E19E2" w14:paraId="40794AEF" w14:textId="77777777">
      <w:pPr>
        <w:pStyle w:val="ListParagraph"/>
        <w:widowControl w:val="0"/>
        <w:numPr>
          <w:ilvl w:val="0"/>
          <w:numId w:val="47"/>
        </w:numPr>
        <w:overflowPunct w:val="0"/>
        <w:autoSpaceDE w:val="0"/>
        <w:autoSpaceDN w:val="0"/>
        <w:adjustRightInd w:val="0"/>
        <w:spacing w:line="240" w:lineRule="auto"/>
        <w:ind w:left="284" w:hanging="284"/>
        <w:jc w:val="left"/>
        <w:textAlignment w:val="baseline"/>
        <w:rPr>
          <w:rFonts w:asciiTheme="minorHAnsi" w:hAnsiTheme="minorHAnsi"/>
          <w:b/>
          <w:bCs/>
          <w:szCs w:val="20"/>
        </w:rPr>
      </w:pPr>
      <w:r>
        <w:t xml:space="preserve">pide que la </w:t>
      </w:r>
      <w:r>
        <w:rPr>
          <w:b/>
        </w:rPr>
        <w:t>futura propuesta de la Comisión sobre la Unión de las Competencias prevea el reconocimiento y la validación directos de las competencias de los trabajadores en toda la UE</w:t>
      </w:r>
      <w:r>
        <w:t xml:space="preserve"> </w:t>
      </w:r>
      <w:r>
        <w:lastRenderedPageBreak/>
        <w:t xml:space="preserve">una vez que estas hayan sido reconocidas por las autoridades públicas de un Estado miembro, lo que reducirá las cargas burocráticas. La Comisión debe poner en marcha </w:t>
      </w:r>
      <w:r>
        <w:rPr>
          <w:b/>
        </w:rPr>
        <w:t>un programa a escala de la UE para promover la formación de aprendices industriales con una remuneración justa entre las generaciones más jóvenes y apoyar una mano de obra más resiliente</w:t>
      </w:r>
      <w:r>
        <w:t>.</w:t>
      </w:r>
      <w:r>
        <w:rPr>
          <w:b/>
        </w:rPr>
        <w:t xml:space="preserve"> </w:t>
      </w:r>
    </w:p>
    <w:p w:rsidRPr="001E19E2" w:rsidR="001E19E2" w:rsidP="001E19E2" w:rsidRDefault="001E19E2" w14:paraId="083C9B21" w14:textId="77777777">
      <w:pPr>
        <w:overflowPunct w:val="0"/>
        <w:autoSpaceDE w:val="0"/>
        <w:autoSpaceDN w:val="0"/>
        <w:adjustRightInd w:val="0"/>
        <w:textAlignment w:val="baseline"/>
        <w:rPr>
          <w:szCs w:val="20"/>
          <w:lang w:val="en-GB"/>
        </w:rPr>
      </w:pPr>
    </w:p>
    <w:tbl>
      <w:tblPr>
        <w:tblStyle w:val="TableGrid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1E19E2" w:rsidR="001E19E2" w:rsidTr="002B1C51" w14:paraId="31E7420E" w14:textId="77777777">
        <w:tc>
          <w:tcPr>
            <w:tcW w:w="2235" w:type="dxa"/>
          </w:tcPr>
          <w:p w:rsidRPr="001E19E2" w:rsidR="001E19E2" w:rsidP="001E19E2" w:rsidRDefault="001E19E2" w14:paraId="1817EE79" w14:textId="77777777">
            <w:pPr>
              <w:overflowPunct w:val="0"/>
              <w:autoSpaceDE w:val="0"/>
              <w:autoSpaceDN w:val="0"/>
              <w:adjustRightInd w:val="0"/>
              <w:spacing w:line="240" w:lineRule="auto"/>
              <w:textAlignment w:val="baseline"/>
              <w:rPr>
                <w:i/>
              </w:rPr>
            </w:pPr>
            <w:r>
              <w:rPr>
                <w:b/>
                <w:i/>
              </w:rPr>
              <w:t>Contacto:</w:t>
            </w:r>
          </w:p>
        </w:tc>
        <w:tc>
          <w:tcPr>
            <w:tcW w:w="4853" w:type="dxa"/>
          </w:tcPr>
          <w:p w:rsidRPr="001E19E2" w:rsidR="001E19E2" w:rsidP="001E19E2" w:rsidRDefault="001E19E2" w14:paraId="6924553F" w14:textId="1DEF5239">
            <w:pPr>
              <w:overflowPunct w:val="0"/>
              <w:autoSpaceDE w:val="0"/>
              <w:autoSpaceDN w:val="0"/>
              <w:adjustRightInd w:val="0"/>
              <w:spacing w:line="240" w:lineRule="auto"/>
              <w:textAlignment w:val="baseline"/>
              <w:rPr>
                <w:i/>
              </w:rPr>
            </w:pPr>
            <w:r>
              <w:rPr>
                <w:i/>
              </w:rPr>
              <w:t>Adam Dorywalski</w:t>
            </w:r>
          </w:p>
        </w:tc>
      </w:tr>
      <w:tr w:rsidRPr="001E19E2" w:rsidR="001E19E2" w:rsidTr="002B1C51" w14:paraId="02FDC2A9" w14:textId="77777777">
        <w:tc>
          <w:tcPr>
            <w:tcW w:w="2235" w:type="dxa"/>
          </w:tcPr>
          <w:p w:rsidRPr="001E19E2" w:rsidR="001E19E2" w:rsidP="001E19E2" w:rsidRDefault="001E19E2" w14:paraId="0FDDE9B5" w14:textId="77777777">
            <w:pPr>
              <w:overflowPunct w:val="0"/>
              <w:autoSpaceDE w:val="0"/>
              <w:autoSpaceDN w:val="0"/>
              <w:adjustRightInd w:val="0"/>
              <w:spacing w:line="240" w:lineRule="auto"/>
              <w:textAlignment w:val="baseline"/>
              <w:rPr>
                <w:i/>
              </w:rPr>
            </w:pPr>
            <w:r>
              <w:rPr>
                <w:i/>
              </w:rPr>
              <w:t>Teléfono:</w:t>
            </w:r>
          </w:p>
        </w:tc>
        <w:tc>
          <w:tcPr>
            <w:tcW w:w="4853" w:type="dxa"/>
          </w:tcPr>
          <w:p w:rsidRPr="001E19E2" w:rsidR="001E19E2" w:rsidP="001E19E2" w:rsidRDefault="001E19E2" w14:paraId="4F5B7754" w14:textId="644CFF56">
            <w:pPr>
              <w:overflowPunct w:val="0"/>
              <w:autoSpaceDE w:val="0"/>
              <w:autoSpaceDN w:val="0"/>
              <w:adjustRightInd w:val="0"/>
              <w:spacing w:line="240" w:lineRule="auto"/>
              <w:textAlignment w:val="baseline"/>
              <w:rPr>
                <w:i/>
              </w:rPr>
            </w:pPr>
            <w:r>
              <w:rPr>
                <w:i/>
              </w:rPr>
              <w:t>+32 2 5469397</w:t>
            </w:r>
          </w:p>
        </w:tc>
      </w:tr>
      <w:tr w:rsidRPr="001E19E2" w:rsidR="001E19E2" w:rsidTr="002B1C51" w14:paraId="14B73272" w14:textId="77777777">
        <w:trPr>
          <w:trHeight w:val="80"/>
        </w:trPr>
        <w:tc>
          <w:tcPr>
            <w:tcW w:w="2235" w:type="dxa"/>
          </w:tcPr>
          <w:p w:rsidRPr="001E19E2" w:rsidR="001E19E2" w:rsidP="001E19E2" w:rsidRDefault="00E1573A" w14:paraId="5C218B82" w14:textId="74F267B2">
            <w:pPr>
              <w:overflowPunct w:val="0"/>
              <w:autoSpaceDE w:val="0"/>
              <w:autoSpaceDN w:val="0"/>
              <w:adjustRightInd w:val="0"/>
              <w:spacing w:line="240" w:lineRule="auto"/>
              <w:textAlignment w:val="baseline"/>
              <w:rPr>
                <w:i/>
              </w:rPr>
            </w:pPr>
            <w:r>
              <w:rPr>
                <w:i/>
              </w:rPr>
              <w:t>Correo electrónico:</w:t>
            </w:r>
          </w:p>
        </w:tc>
        <w:tc>
          <w:tcPr>
            <w:tcW w:w="4853" w:type="dxa"/>
          </w:tcPr>
          <w:p w:rsidRPr="001E19E2" w:rsidR="001E19E2" w:rsidP="001E19E2" w:rsidRDefault="000E38A8" w14:paraId="0DF1EA53" w14:textId="77777777">
            <w:pPr>
              <w:overflowPunct w:val="0"/>
              <w:autoSpaceDE w:val="0"/>
              <w:autoSpaceDN w:val="0"/>
              <w:adjustRightInd w:val="0"/>
              <w:spacing w:line="240" w:lineRule="auto"/>
              <w:textAlignment w:val="baseline"/>
              <w:rPr>
                <w:i/>
              </w:rPr>
            </w:pPr>
            <w:hyperlink w:history="1" r:id="rId55">
              <w:r w:rsidR="00381CCE">
                <w:rPr>
                  <w:i/>
                  <w:color w:val="0000FF"/>
                  <w:u w:val="single"/>
                </w:rPr>
                <w:t>Adam.Dorywalski@eesc.europa.eu</w:t>
              </w:r>
            </w:hyperlink>
          </w:p>
        </w:tc>
      </w:tr>
    </w:tbl>
    <w:p w:rsidR="00055407" w:rsidRDefault="00055407" w14:paraId="2FEBBE37" w14:textId="77777777">
      <w:pPr>
        <w:spacing w:after="160" w:line="259" w:lineRule="auto"/>
        <w:jc w:val="left"/>
      </w:pPr>
      <w:r>
        <w:br w:type="page"/>
      </w:r>
    </w:p>
    <w:p w:rsidRPr="00B60D9A" w:rsidR="00E34939" w:rsidP="00E34939" w:rsidRDefault="000E38A8" w14:paraId="51598283" w14:textId="4C844AF2">
      <w:pPr>
        <w:widowControl w:val="0"/>
        <w:numPr>
          <w:ilvl w:val="0"/>
          <w:numId w:val="23"/>
        </w:numPr>
        <w:overflowPunct w:val="0"/>
        <w:autoSpaceDE w:val="0"/>
        <w:autoSpaceDN w:val="0"/>
        <w:adjustRightInd w:val="0"/>
        <w:spacing w:after="200" w:line="276" w:lineRule="auto"/>
        <w:ind w:left="567" w:hanging="567"/>
        <w:contextualSpacing/>
        <w:jc w:val="left"/>
        <w:textAlignment w:val="baseline"/>
        <w:rPr>
          <w:sz w:val="28"/>
          <w:szCs w:val="28"/>
        </w:rPr>
      </w:pPr>
      <w:hyperlink w:history="1" r:id="rId56">
        <w:r w:rsidR="00E34939">
          <w:rPr>
            <w:b/>
            <w:i/>
            <w:color w:val="0000FF"/>
            <w:sz w:val="28"/>
            <w:u w:val="single"/>
          </w:rPr>
          <w:t>Ley de Medicamentos Esenciales – Enlaces relacionados</w:t>
        </w:r>
      </w:hyperlink>
    </w:p>
    <w:p w:rsidRPr="00E34939" w:rsidR="004F51B1" w:rsidP="00B60D9A" w:rsidRDefault="004F51B1" w14:paraId="756BCE6E" w14:textId="77777777">
      <w:pPr>
        <w:widowControl w:val="0"/>
        <w:overflowPunct w:val="0"/>
        <w:autoSpaceDE w:val="0"/>
        <w:autoSpaceDN w:val="0"/>
        <w:adjustRightInd w:val="0"/>
        <w:spacing w:after="200" w:line="276" w:lineRule="auto"/>
        <w:ind w:left="360"/>
        <w:contextualSpacing/>
        <w:jc w:val="left"/>
        <w:textAlignment w:val="baseline"/>
        <w:rPr>
          <w:sz w:val="28"/>
          <w:szCs w:val="28"/>
          <w:lang w:val="en-GB" w:eastAsia="zh-CN"/>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E34939" w:rsidR="00E34939" w:rsidTr="001757A2" w14:paraId="66DA7C26" w14:textId="77777777">
        <w:tc>
          <w:tcPr>
            <w:tcW w:w="1701" w:type="dxa"/>
          </w:tcPr>
          <w:p w:rsidRPr="00E34939" w:rsidR="00E34939" w:rsidP="00E34939" w:rsidRDefault="00E34939" w14:paraId="71F0C769" w14:textId="77777777">
            <w:pPr>
              <w:tabs>
                <w:tab w:val="center" w:pos="284"/>
              </w:tabs>
              <w:overflowPunct w:val="0"/>
              <w:autoSpaceDE w:val="0"/>
              <w:autoSpaceDN w:val="0"/>
              <w:adjustRightInd w:val="0"/>
              <w:ind w:left="266" w:hanging="266"/>
              <w:textAlignment w:val="baseline"/>
              <w:rPr>
                <w:b/>
              </w:rPr>
            </w:pPr>
            <w:r>
              <w:rPr>
                <w:b/>
              </w:rPr>
              <w:t>Ponente</w:t>
            </w:r>
          </w:p>
        </w:tc>
        <w:tc>
          <w:tcPr>
            <w:tcW w:w="5670" w:type="dxa"/>
          </w:tcPr>
          <w:p w:rsidRPr="00E34939" w:rsidR="00E34939" w:rsidP="00E34939" w:rsidRDefault="00E34939" w14:paraId="3D1EEF98" w14:textId="77777777">
            <w:pPr>
              <w:tabs>
                <w:tab w:val="center" w:pos="284"/>
              </w:tabs>
              <w:overflowPunct w:val="0"/>
              <w:autoSpaceDE w:val="0"/>
              <w:autoSpaceDN w:val="0"/>
              <w:adjustRightInd w:val="0"/>
              <w:ind w:left="266" w:hanging="266"/>
              <w:textAlignment w:val="baseline"/>
            </w:pPr>
            <w:r>
              <w:t>Veselin MITOV (Grupo de Trabajadores – BG)</w:t>
            </w:r>
          </w:p>
        </w:tc>
      </w:tr>
      <w:tr w:rsidRPr="00E34939" w:rsidR="00E34939" w:rsidTr="001757A2" w14:paraId="43AC0DCB" w14:textId="77777777">
        <w:tc>
          <w:tcPr>
            <w:tcW w:w="1701" w:type="dxa"/>
          </w:tcPr>
          <w:p w:rsidRPr="00E34939" w:rsidR="00E34939" w:rsidP="00E34939" w:rsidRDefault="00E34939" w14:paraId="66D9A727" w14:textId="77777777">
            <w:pPr>
              <w:tabs>
                <w:tab w:val="center" w:pos="284"/>
              </w:tabs>
              <w:overflowPunct w:val="0"/>
              <w:autoSpaceDE w:val="0"/>
              <w:autoSpaceDN w:val="0"/>
              <w:adjustRightInd w:val="0"/>
              <w:ind w:left="266" w:hanging="266"/>
              <w:textAlignment w:val="baseline"/>
              <w:rPr>
                <w:b/>
              </w:rPr>
            </w:pPr>
            <w:r>
              <w:rPr>
                <w:b/>
              </w:rPr>
              <w:t>Coponente</w:t>
            </w:r>
          </w:p>
        </w:tc>
        <w:tc>
          <w:tcPr>
            <w:tcW w:w="5670" w:type="dxa"/>
          </w:tcPr>
          <w:p w:rsidRPr="00E34939" w:rsidR="00E34939" w:rsidP="00E34939" w:rsidRDefault="00E34939" w14:paraId="46EE6BD8" w14:textId="77777777">
            <w:pPr>
              <w:tabs>
                <w:tab w:val="center" w:pos="284"/>
              </w:tabs>
              <w:overflowPunct w:val="0"/>
              <w:autoSpaceDE w:val="0"/>
              <w:autoSpaceDN w:val="0"/>
              <w:adjustRightInd w:val="0"/>
              <w:ind w:left="266" w:hanging="266"/>
              <w:textAlignment w:val="baseline"/>
            </w:pPr>
            <w:r>
              <w:t>Elżbieta SZADZIŃSKA (Cat. 3 – PL)</w:t>
            </w:r>
          </w:p>
        </w:tc>
      </w:tr>
      <w:tr w:rsidRPr="00E34939" w:rsidR="00E34939" w:rsidTr="001757A2" w14:paraId="3F2AA4CA" w14:textId="77777777">
        <w:tc>
          <w:tcPr>
            <w:tcW w:w="7371" w:type="dxa"/>
            <w:gridSpan w:val="2"/>
          </w:tcPr>
          <w:p w:rsidRPr="00E34939" w:rsidR="00E34939" w:rsidP="00E34939" w:rsidRDefault="00E34939" w14:paraId="3A99F3CC" w14:textId="77777777">
            <w:pPr>
              <w:tabs>
                <w:tab w:val="center" w:pos="284"/>
              </w:tabs>
              <w:overflowPunct w:val="0"/>
              <w:autoSpaceDE w:val="0"/>
              <w:autoSpaceDN w:val="0"/>
              <w:adjustRightInd w:val="0"/>
              <w:spacing w:line="160" w:lineRule="exact"/>
              <w:ind w:left="266" w:hanging="266"/>
              <w:textAlignment w:val="baseline"/>
            </w:pPr>
          </w:p>
        </w:tc>
      </w:tr>
      <w:tr w:rsidRPr="00E34939" w:rsidR="00E34939" w:rsidTr="001757A2" w14:paraId="60C25C06" w14:textId="77777777">
        <w:tc>
          <w:tcPr>
            <w:tcW w:w="1701" w:type="dxa"/>
            <w:vMerge w:val="restart"/>
          </w:tcPr>
          <w:p w:rsidRPr="00E34939" w:rsidR="00E34939" w:rsidP="00E34939" w:rsidRDefault="00E34939" w14:paraId="62009E64" w14:textId="77777777">
            <w:pPr>
              <w:tabs>
                <w:tab w:val="center" w:pos="284"/>
              </w:tabs>
              <w:overflowPunct w:val="0"/>
              <w:autoSpaceDE w:val="0"/>
              <w:autoSpaceDN w:val="0"/>
              <w:adjustRightInd w:val="0"/>
              <w:ind w:left="266" w:hanging="266"/>
              <w:textAlignment w:val="baseline"/>
              <w:rPr>
                <w:b/>
              </w:rPr>
            </w:pPr>
            <w:r>
              <w:rPr>
                <w:b/>
              </w:rPr>
              <w:t>Referencias</w:t>
            </w:r>
          </w:p>
        </w:tc>
        <w:tc>
          <w:tcPr>
            <w:tcW w:w="5670" w:type="dxa"/>
          </w:tcPr>
          <w:p w:rsidR="004B7430" w:rsidP="00E34939" w:rsidRDefault="004B7430" w14:paraId="275E7DFE" w14:textId="20DCA4F3">
            <w:pPr>
              <w:tabs>
                <w:tab w:val="center" w:pos="284"/>
              </w:tabs>
              <w:overflowPunct w:val="0"/>
              <w:autoSpaceDE w:val="0"/>
              <w:autoSpaceDN w:val="0"/>
              <w:adjustRightInd w:val="0"/>
              <w:ind w:left="266" w:hanging="266"/>
              <w:textAlignment w:val="baseline"/>
            </w:pPr>
            <w:r>
              <w:t>COM(2025) 102 final</w:t>
            </w:r>
          </w:p>
          <w:p w:rsidRPr="00E34939" w:rsidR="00E34939" w:rsidP="00E34939" w:rsidRDefault="00E34939" w14:paraId="4CC94755" w14:textId="411D980A">
            <w:pPr>
              <w:tabs>
                <w:tab w:val="center" w:pos="284"/>
              </w:tabs>
              <w:overflowPunct w:val="0"/>
              <w:autoSpaceDE w:val="0"/>
              <w:autoSpaceDN w:val="0"/>
              <w:adjustRightInd w:val="0"/>
              <w:ind w:left="266" w:hanging="266"/>
              <w:textAlignment w:val="baseline"/>
            </w:pPr>
            <w:r>
              <w:t>EESC-2025-01074-00-00-AC</w:t>
            </w:r>
          </w:p>
        </w:tc>
      </w:tr>
      <w:tr w:rsidRPr="00E34939" w:rsidR="00E34939" w:rsidTr="001757A2" w14:paraId="465114C9" w14:textId="77777777">
        <w:tc>
          <w:tcPr>
            <w:tcW w:w="1701" w:type="dxa"/>
            <w:vMerge/>
          </w:tcPr>
          <w:p w:rsidRPr="00E34939" w:rsidR="00E34939" w:rsidP="00E34939" w:rsidRDefault="00E34939" w14:paraId="1B512B59" w14:textId="77777777">
            <w:pPr>
              <w:tabs>
                <w:tab w:val="center" w:pos="284"/>
              </w:tabs>
              <w:overflowPunct w:val="0"/>
              <w:autoSpaceDE w:val="0"/>
              <w:autoSpaceDN w:val="0"/>
              <w:adjustRightInd w:val="0"/>
              <w:ind w:left="266" w:hanging="266"/>
              <w:textAlignment w:val="baseline"/>
              <w:rPr>
                <w:b/>
              </w:rPr>
            </w:pPr>
          </w:p>
        </w:tc>
        <w:tc>
          <w:tcPr>
            <w:tcW w:w="5670" w:type="dxa"/>
          </w:tcPr>
          <w:p w:rsidRPr="00E34939" w:rsidR="00E34939" w:rsidP="00E34939" w:rsidRDefault="00E34939" w14:paraId="13F8AEA8" w14:textId="77777777">
            <w:pPr>
              <w:tabs>
                <w:tab w:val="center" w:pos="284"/>
              </w:tabs>
              <w:overflowPunct w:val="0"/>
              <w:autoSpaceDE w:val="0"/>
              <w:autoSpaceDN w:val="0"/>
              <w:adjustRightInd w:val="0"/>
              <w:ind w:left="266" w:hanging="266"/>
              <w:textAlignment w:val="baseline"/>
            </w:pPr>
          </w:p>
        </w:tc>
      </w:tr>
    </w:tbl>
    <w:p w:rsidRPr="00E34939" w:rsidR="00E34939" w:rsidP="00E34939" w:rsidRDefault="00E34939" w14:paraId="2F972DE0"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E34939" w:rsidR="00E34939" w:rsidP="00E34939" w:rsidRDefault="00E34939" w14:paraId="55C7AF75" w14:textId="77777777">
      <w:pPr>
        <w:keepNext/>
        <w:keepLines/>
        <w:tabs>
          <w:tab w:val="center" w:pos="284"/>
        </w:tabs>
        <w:overflowPunct w:val="0"/>
        <w:autoSpaceDE w:val="0"/>
        <w:autoSpaceDN w:val="0"/>
        <w:adjustRightInd w:val="0"/>
        <w:ind w:left="266" w:hanging="266"/>
        <w:textAlignment w:val="baseline"/>
        <w:rPr>
          <w:b/>
          <w:lang w:val="en-GB"/>
        </w:rPr>
      </w:pPr>
    </w:p>
    <w:p w:rsidRPr="00E34939" w:rsidR="00E34939" w:rsidP="00E34939" w:rsidRDefault="00E34939" w14:paraId="68A30779" w14:textId="77777777">
      <w:pPr>
        <w:keepNext/>
        <w:keepLines/>
        <w:tabs>
          <w:tab w:val="center" w:pos="284"/>
        </w:tabs>
        <w:overflowPunct w:val="0"/>
        <w:autoSpaceDE w:val="0"/>
        <w:autoSpaceDN w:val="0"/>
        <w:adjustRightInd w:val="0"/>
        <w:ind w:left="266" w:hanging="266"/>
        <w:textAlignment w:val="baseline"/>
        <w:rPr>
          <w:bCs/>
        </w:rPr>
      </w:pPr>
      <w:r>
        <w:t>El CESE:</w:t>
      </w:r>
    </w:p>
    <w:p w:rsidRPr="00E34939" w:rsidR="00E34939" w:rsidP="00E34939" w:rsidRDefault="00E34939" w14:paraId="5162A358" w14:textId="77777777">
      <w:pPr>
        <w:keepNext/>
        <w:keepLines/>
        <w:tabs>
          <w:tab w:val="center" w:pos="284"/>
        </w:tabs>
        <w:overflowPunct w:val="0"/>
        <w:autoSpaceDE w:val="0"/>
        <w:autoSpaceDN w:val="0"/>
        <w:adjustRightInd w:val="0"/>
        <w:ind w:left="266" w:hanging="266"/>
        <w:textAlignment w:val="baseline"/>
        <w:rPr>
          <w:bCs/>
          <w:lang w:val="en-GB"/>
        </w:rPr>
      </w:pPr>
    </w:p>
    <w:p w:rsidRPr="004B7430" w:rsidR="00E34939" w:rsidP="00B60D9A" w:rsidRDefault="00E34939" w14:paraId="50214082"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6" w:id="19"/>
      <w:r>
        <w:t xml:space="preserve">recomienda que la UE </w:t>
      </w:r>
      <w:r>
        <w:rPr>
          <w:b/>
        </w:rPr>
        <w:t>aumente significativamente la financiación</w:t>
      </w:r>
      <w:r>
        <w:t xml:space="preserve"> a fin de respaldar los objetivos de la Ley de Medicamentos Esenciales. Debe </w:t>
      </w:r>
      <w:r>
        <w:rPr>
          <w:b/>
        </w:rPr>
        <w:t>crearse un fondo europeo específico para los materiales de partida, los ingredientes farmacéuticos activos (IFA) y los medicamentos esenciales</w:t>
      </w:r>
      <w:r>
        <w:t>, con contribuciones de los Estados miembros, el BEI y el sector privado. La financiación debe apoyar, por una parte, la producción dentro de la UE y la I+D para las tecnologías sostenibles y, por otra, compensar las desventajas en cuanto a costes con respecto a los productores de terceros países;</w:t>
      </w:r>
      <w:bookmarkEnd w:id="19"/>
    </w:p>
    <w:p w:rsidRPr="004B7430" w:rsidR="00E34939" w:rsidP="00B60D9A" w:rsidRDefault="00E34939" w14:paraId="79209AD6"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7" w:id="20"/>
      <w:r>
        <w:t xml:space="preserve">pide la creación de </w:t>
      </w:r>
      <w:r>
        <w:rPr>
          <w:b/>
        </w:rPr>
        <w:t>una base de datos plenamente interoperable a escala de la Unión</w:t>
      </w:r>
      <w:r>
        <w:t xml:space="preserve">, que incorpore los sistemas nacionales y permita apreciar en tiempo real las vulnerabilidades de la cadena de suministro y garantizar la protección de la ciberseguridad. Deben asignarse fondos al </w:t>
      </w:r>
      <w:r>
        <w:rPr>
          <w:b/>
        </w:rPr>
        <w:t>seguimiento en tiempo real, los mecanismos de alerta temprana y las tecnologías digitales</w:t>
      </w:r>
      <w:r>
        <w:t xml:space="preserve"> para predecir la escasez y responder mejor ante situaciones de crisis;</w:t>
      </w:r>
      <w:bookmarkEnd w:id="20"/>
    </w:p>
    <w:p w:rsidRPr="004B7430" w:rsidR="00E34939" w:rsidP="00B60D9A" w:rsidRDefault="00E34939" w14:paraId="3B6A2338"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08" w:id="21"/>
      <w:r>
        <w:t xml:space="preserve">destaca la necesidad de realizar —en paralelo con el trabajo legislativo y sin retrasar la adopción del </w:t>
      </w:r>
      <w:proofErr w:type="spellStart"/>
      <w:r>
        <w:t>Reglamento—</w:t>
      </w:r>
      <w:proofErr w:type="spellEnd"/>
      <w:r>
        <w:t xml:space="preserve"> </w:t>
      </w:r>
      <w:r>
        <w:rPr>
          <w:b/>
        </w:rPr>
        <w:t>una evaluación de impacto exhaustiva y basada en datos contrastados</w:t>
      </w:r>
      <w:r>
        <w:t xml:space="preserve"> de la Ley de Medicamentos Esenciales, que abarque toda la cadena de suministro y aborde las repercusiones socioeconómicas;</w:t>
      </w:r>
      <w:bookmarkEnd w:id="21"/>
    </w:p>
    <w:p w:rsidRPr="004B7430" w:rsidR="00E34939" w:rsidP="00B60D9A" w:rsidRDefault="00E34939" w14:paraId="36F56BB7" w14:textId="77777777">
      <w:pPr>
        <w:pStyle w:val="ListParagraph"/>
        <w:numPr>
          <w:ilvl w:val="0"/>
          <w:numId w:val="48"/>
        </w:numPr>
        <w:overflowPunct w:val="0"/>
        <w:autoSpaceDE w:val="0"/>
        <w:autoSpaceDN w:val="0"/>
        <w:adjustRightInd w:val="0"/>
        <w:ind w:left="284" w:hanging="284"/>
        <w:textAlignment w:val="baseline"/>
        <w:outlineLvl w:val="1"/>
        <w:rPr>
          <w:b/>
          <w:bCs/>
          <w:szCs w:val="20"/>
        </w:rPr>
      </w:pPr>
      <w:bookmarkStart w:name="_Toc201570909" w:id="22"/>
      <w:r>
        <w:t xml:space="preserve">considera que la UE debe invertir en </w:t>
      </w:r>
      <w:r>
        <w:rPr>
          <w:b/>
        </w:rPr>
        <w:t>iniciativas de reciclaje y perfeccionamiento profesional a gran escala</w:t>
      </w:r>
      <w:r>
        <w:t xml:space="preserve"> y crear centros de competencia, junto con un mayor apoyo financiero a la educación profesional, la formación de aprendices, los programas universitarios y la formación adaptada a las necesidades de la industria;</w:t>
      </w:r>
      <w:bookmarkEnd w:id="22"/>
    </w:p>
    <w:p w:rsidRPr="004B7430" w:rsidR="00E34939" w:rsidP="00B60D9A" w:rsidRDefault="00E34939" w14:paraId="1C78A75D"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0" w:id="23"/>
      <w:r>
        <w:t xml:space="preserve">recomienda que se lleve a cabo un análisis de la propuesta de </w:t>
      </w:r>
      <w:r>
        <w:rPr>
          <w:b/>
        </w:rPr>
        <w:t>integración de la Ley de Medicamentos Esenciales en el marco más amplio de autonomía estratégica y seguridad de la UE</w:t>
      </w:r>
      <w:r>
        <w:t>, en el que se reconozcan las cadenas de suministro de productos farmacéuticos como una cuestión de salud pública y seguridad europea;</w:t>
      </w:r>
      <w:bookmarkEnd w:id="23"/>
    </w:p>
    <w:p w:rsidRPr="004B7430" w:rsidR="00E34939" w:rsidP="00B60D9A" w:rsidRDefault="00E34939" w14:paraId="70E4EA69" w14:textId="77777777">
      <w:pPr>
        <w:pStyle w:val="ListParagraph"/>
        <w:numPr>
          <w:ilvl w:val="0"/>
          <w:numId w:val="48"/>
        </w:numPr>
        <w:overflowPunct w:val="0"/>
        <w:autoSpaceDE w:val="0"/>
        <w:autoSpaceDN w:val="0"/>
        <w:adjustRightInd w:val="0"/>
        <w:ind w:left="284" w:hanging="284"/>
        <w:textAlignment w:val="baseline"/>
        <w:outlineLvl w:val="1"/>
        <w:rPr>
          <w:szCs w:val="20"/>
        </w:rPr>
      </w:pPr>
      <w:bookmarkStart w:name="_Toc201570911" w:id="24"/>
      <w:r>
        <w:t xml:space="preserve">pide </w:t>
      </w:r>
      <w:r>
        <w:rPr>
          <w:b/>
        </w:rPr>
        <w:t>medidas estrictas para garantizar la asequibilidad de los medicamentos esenciales, incluidos los que se utilizan para tratar enfermedades raras</w:t>
      </w:r>
      <w:r>
        <w:t>, mediante la introducción de mecanismos para regular los precios de los medicamentos, lograr una mayor transparencia y evitar el aumento de los precios aplicados a los consumidores.</w:t>
      </w:r>
      <w:bookmarkEnd w:id="24"/>
    </w:p>
    <w:p w:rsidRPr="00E34939" w:rsidR="00E34939" w:rsidP="00E34939" w:rsidRDefault="00E34939" w14:paraId="1901AF10" w14:textId="77777777">
      <w:pPr>
        <w:overflowPunct w:val="0"/>
        <w:autoSpaceDE w:val="0"/>
        <w:autoSpaceDN w:val="0"/>
        <w:adjustRightInd w:val="0"/>
        <w:textAlignment w:val="baseline"/>
        <w:rPr>
          <w:szCs w:val="20"/>
          <w:lang w:val="en-GB"/>
        </w:rPr>
      </w:pPr>
    </w:p>
    <w:tbl>
      <w:tblPr>
        <w:tblStyle w:val="TableGrid1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853"/>
      </w:tblGrid>
      <w:tr w:rsidRPr="00E34939" w:rsidR="00E34939" w:rsidTr="002B1C51" w14:paraId="0CBCFC05" w14:textId="77777777">
        <w:tc>
          <w:tcPr>
            <w:tcW w:w="2235" w:type="dxa"/>
          </w:tcPr>
          <w:p w:rsidRPr="00E34939" w:rsidR="00E34939" w:rsidP="00E34939" w:rsidRDefault="00E34939" w14:paraId="70A5C875" w14:textId="77777777">
            <w:pPr>
              <w:overflowPunct w:val="0"/>
              <w:autoSpaceDE w:val="0"/>
              <w:autoSpaceDN w:val="0"/>
              <w:adjustRightInd w:val="0"/>
              <w:spacing w:line="240" w:lineRule="auto"/>
              <w:textAlignment w:val="baseline"/>
              <w:rPr>
                <w:i/>
              </w:rPr>
            </w:pPr>
            <w:r>
              <w:rPr>
                <w:b/>
                <w:i/>
              </w:rPr>
              <w:t>Contacto:</w:t>
            </w:r>
          </w:p>
        </w:tc>
        <w:tc>
          <w:tcPr>
            <w:tcW w:w="4853" w:type="dxa"/>
          </w:tcPr>
          <w:p w:rsidRPr="00E34939" w:rsidR="00E34939" w:rsidP="00E34939" w:rsidRDefault="00E34939" w14:paraId="230833EE" w14:textId="7D1B02AE">
            <w:pPr>
              <w:overflowPunct w:val="0"/>
              <w:autoSpaceDE w:val="0"/>
              <w:autoSpaceDN w:val="0"/>
              <w:adjustRightInd w:val="0"/>
              <w:spacing w:line="240" w:lineRule="auto"/>
              <w:textAlignment w:val="baseline"/>
              <w:rPr>
                <w:i/>
              </w:rPr>
            </w:pPr>
            <w:r>
              <w:rPr>
                <w:i/>
              </w:rPr>
              <w:t>Jacopo Ernesto Caja</w:t>
            </w:r>
          </w:p>
        </w:tc>
      </w:tr>
      <w:tr w:rsidRPr="00E34939" w:rsidR="00E34939" w:rsidTr="002B1C51" w14:paraId="1259B2BE" w14:textId="77777777">
        <w:tc>
          <w:tcPr>
            <w:tcW w:w="2235" w:type="dxa"/>
          </w:tcPr>
          <w:p w:rsidRPr="00E34939" w:rsidR="00E34939" w:rsidP="00E34939" w:rsidRDefault="00E34939" w14:paraId="491CF507" w14:textId="77777777">
            <w:pPr>
              <w:overflowPunct w:val="0"/>
              <w:autoSpaceDE w:val="0"/>
              <w:autoSpaceDN w:val="0"/>
              <w:adjustRightInd w:val="0"/>
              <w:spacing w:line="240" w:lineRule="auto"/>
              <w:textAlignment w:val="baseline"/>
              <w:rPr>
                <w:i/>
              </w:rPr>
            </w:pPr>
            <w:r>
              <w:rPr>
                <w:i/>
              </w:rPr>
              <w:t>Teléfono:</w:t>
            </w:r>
          </w:p>
        </w:tc>
        <w:tc>
          <w:tcPr>
            <w:tcW w:w="4853" w:type="dxa"/>
          </w:tcPr>
          <w:p w:rsidRPr="00E34939" w:rsidR="00E34939" w:rsidP="00E34939" w:rsidRDefault="00E34939" w14:paraId="76F0E3A2" w14:textId="134ADB4C">
            <w:pPr>
              <w:overflowPunct w:val="0"/>
              <w:autoSpaceDE w:val="0"/>
              <w:autoSpaceDN w:val="0"/>
              <w:adjustRightInd w:val="0"/>
              <w:spacing w:line="240" w:lineRule="auto"/>
              <w:textAlignment w:val="baseline"/>
              <w:rPr>
                <w:i/>
              </w:rPr>
            </w:pPr>
            <w:r>
              <w:rPr>
                <w:i/>
              </w:rPr>
              <w:t>+32 2 5469580</w:t>
            </w:r>
          </w:p>
        </w:tc>
      </w:tr>
      <w:tr w:rsidRPr="00E34939" w:rsidR="00E34939" w:rsidTr="002B1C51" w14:paraId="29EF9342" w14:textId="77777777">
        <w:trPr>
          <w:trHeight w:val="80"/>
        </w:trPr>
        <w:tc>
          <w:tcPr>
            <w:tcW w:w="2235" w:type="dxa"/>
          </w:tcPr>
          <w:p w:rsidRPr="00E34939" w:rsidR="00E34939" w:rsidP="00E34939" w:rsidRDefault="00E34939" w14:paraId="162AE44A" w14:textId="77777777">
            <w:pPr>
              <w:overflowPunct w:val="0"/>
              <w:autoSpaceDE w:val="0"/>
              <w:autoSpaceDN w:val="0"/>
              <w:adjustRightInd w:val="0"/>
              <w:spacing w:line="240" w:lineRule="auto"/>
              <w:textAlignment w:val="baseline"/>
              <w:rPr>
                <w:i/>
              </w:rPr>
            </w:pPr>
            <w:r>
              <w:rPr>
                <w:i/>
              </w:rPr>
              <w:t>Correo electrónico:</w:t>
            </w:r>
          </w:p>
        </w:tc>
        <w:tc>
          <w:tcPr>
            <w:tcW w:w="4853" w:type="dxa"/>
          </w:tcPr>
          <w:p w:rsidRPr="00E34939" w:rsidR="00E34939" w:rsidP="00E34939" w:rsidRDefault="000E38A8" w14:paraId="0684A661" w14:textId="77777777">
            <w:pPr>
              <w:overflowPunct w:val="0"/>
              <w:autoSpaceDE w:val="0"/>
              <w:autoSpaceDN w:val="0"/>
              <w:adjustRightInd w:val="0"/>
              <w:spacing w:line="240" w:lineRule="auto"/>
              <w:textAlignment w:val="baseline"/>
              <w:rPr>
                <w:i/>
                <w:iCs/>
              </w:rPr>
            </w:pPr>
            <w:hyperlink w:history="1" r:id="rId57">
              <w:r w:rsidR="00381CCE">
                <w:rPr>
                  <w:i/>
                  <w:color w:val="0000FF"/>
                  <w:u w:val="single"/>
                </w:rPr>
                <w:t>JacopoErnesto.Caja@eesc.europa.eu</w:t>
              </w:r>
            </w:hyperlink>
            <w:r w:rsidR="00381CCE">
              <w:rPr>
                <w:i/>
              </w:rPr>
              <w:t xml:space="preserve"> </w:t>
            </w:r>
          </w:p>
        </w:tc>
      </w:tr>
    </w:tbl>
    <w:p w:rsidRPr="00E34939" w:rsidR="00E34939" w:rsidP="00E34939" w:rsidRDefault="00E34939" w14:paraId="66F11168" w14:textId="77777777">
      <w:pPr>
        <w:overflowPunct w:val="0"/>
        <w:autoSpaceDE w:val="0"/>
        <w:autoSpaceDN w:val="0"/>
        <w:adjustRightInd w:val="0"/>
        <w:jc w:val="center"/>
        <w:textAlignment w:val="baseline"/>
        <w:rPr>
          <w:szCs w:val="20"/>
          <w:lang w:val="en-GB"/>
        </w:rPr>
      </w:pPr>
    </w:p>
    <w:p w:rsidR="00E34939" w:rsidRDefault="00E34939" w14:paraId="7B14C9F4" w14:textId="354AAF24">
      <w:pPr>
        <w:spacing w:after="160" w:line="259" w:lineRule="auto"/>
        <w:jc w:val="left"/>
      </w:pPr>
      <w:r>
        <w:br w:type="page"/>
      </w:r>
    </w:p>
    <w:p w:rsidRPr="000F397E" w:rsidR="000F397E" w:rsidP="000F397E" w:rsidRDefault="000E38A8" w14:paraId="015BBC38" w14:textId="1CBC25D8">
      <w:pPr>
        <w:widowControl w:val="0"/>
        <w:numPr>
          <w:ilvl w:val="0"/>
          <w:numId w:val="23"/>
        </w:numPr>
        <w:overflowPunct w:val="0"/>
        <w:autoSpaceDE w:val="0"/>
        <w:autoSpaceDN w:val="0"/>
        <w:adjustRightInd w:val="0"/>
        <w:spacing w:line="276" w:lineRule="auto"/>
        <w:ind w:left="567" w:hanging="567"/>
        <w:contextualSpacing/>
        <w:jc w:val="left"/>
        <w:textAlignment w:val="baseline"/>
        <w:rPr>
          <w:sz w:val="28"/>
          <w:szCs w:val="28"/>
        </w:rPr>
      </w:pPr>
      <w:hyperlink w:history="1" r:id="rId58">
        <w:r w:rsidR="000F397E">
          <w:rPr>
            <w:b/>
            <w:i/>
            <w:color w:val="0000FF"/>
            <w:sz w:val="28"/>
            <w:u w:val="single"/>
          </w:rPr>
          <w:t>Plan de acción sobre la ciberseguridad de los hospitales</w:t>
        </w:r>
      </w:hyperlink>
    </w:p>
    <w:p w:rsidRPr="000F397E" w:rsidR="000F397E" w:rsidP="000F397E" w:rsidRDefault="000F397E" w14:paraId="37506AA4" w14:textId="77777777">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479"/>
      </w:tblGrid>
      <w:tr w:rsidRPr="000F397E" w:rsidR="000F397E" w:rsidTr="001757A2" w14:paraId="04A98D5F" w14:textId="77777777">
        <w:tc>
          <w:tcPr>
            <w:tcW w:w="1701" w:type="dxa"/>
          </w:tcPr>
          <w:p w:rsidRPr="000F397E" w:rsidR="000F397E" w:rsidP="000F397E" w:rsidRDefault="000F397E" w14:paraId="2317D532" w14:textId="77777777">
            <w:pPr>
              <w:tabs>
                <w:tab w:val="center" w:pos="284"/>
              </w:tabs>
              <w:overflowPunct w:val="0"/>
              <w:autoSpaceDE w:val="0"/>
              <w:autoSpaceDN w:val="0"/>
              <w:adjustRightInd w:val="0"/>
              <w:ind w:left="266" w:hanging="266"/>
              <w:textAlignment w:val="baseline"/>
              <w:rPr>
                <w:b/>
              </w:rPr>
            </w:pPr>
            <w:r>
              <w:rPr>
                <w:b/>
              </w:rPr>
              <w:t>Ponente</w:t>
            </w:r>
          </w:p>
        </w:tc>
        <w:tc>
          <w:tcPr>
            <w:tcW w:w="7479" w:type="dxa"/>
          </w:tcPr>
          <w:p w:rsidRPr="000F397E" w:rsidR="000F397E" w:rsidP="000F397E" w:rsidRDefault="000F397E" w14:paraId="645AA645" w14:textId="77777777">
            <w:pPr>
              <w:tabs>
                <w:tab w:val="center" w:pos="284"/>
              </w:tabs>
              <w:overflowPunct w:val="0"/>
              <w:autoSpaceDE w:val="0"/>
              <w:autoSpaceDN w:val="0"/>
              <w:adjustRightInd w:val="0"/>
              <w:ind w:left="266" w:hanging="266"/>
              <w:textAlignment w:val="baseline"/>
            </w:pPr>
            <w:r>
              <w:t>Alain COHEUR (Grupo de Organizaciones de la Sociedad Civil – BE)</w:t>
            </w:r>
          </w:p>
        </w:tc>
      </w:tr>
      <w:tr w:rsidRPr="000F397E" w:rsidR="000F397E" w:rsidTr="001757A2" w14:paraId="4E626D6A" w14:textId="77777777">
        <w:tc>
          <w:tcPr>
            <w:tcW w:w="1701" w:type="dxa"/>
          </w:tcPr>
          <w:p w:rsidRPr="000F397E" w:rsidR="000F397E" w:rsidP="000F397E" w:rsidRDefault="000F397E" w14:paraId="77A122FD" w14:textId="77777777">
            <w:pPr>
              <w:tabs>
                <w:tab w:val="center" w:pos="284"/>
              </w:tabs>
              <w:overflowPunct w:val="0"/>
              <w:autoSpaceDE w:val="0"/>
              <w:autoSpaceDN w:val="0"/>
              <w:adjustRightInd w:val="0"/>
              <w:ind w:left="266" w:hanging="266"/>
              <w:textAlignment w:val="baseline"/>
              <w:rPr>
                <w:b/>
              </w:rPr>
            </w:pPr>
            <w:r>
              <w:rPr>
                <w:b/>
              </w:rPr>
              <w:t>Coponente</w:t>
            </w:r>
          </w:p>
        </w:tc>
        <w:tc>
          <w:tcPr>
            <w:tcW w:w="7479" w:type="dxa"/>
          </w:tcPr>
          <w:p w:rsidRPr="000F397E" w:rsidR="000F397E" w:rsidP="000F397E" w:rsidRDefault="000F397E" w14:paraId="7BC84DED" w14:textId="77777777">
            <w:pPr>
              <w:tabs>
                <w:tab w:val="center" w:pos="284"/>
              </w:tabs>
              <w:overflowPunct w:val="0"/>
              <w:autoSpaceDE w:val="0"/>
              <w:autoSpaceDN w:val="0"/>
              <w:adjustRightInd w:val="0"/>
              <w:ind w:left="266" w:hanging="266"/>
              <w:textAlignment w:val="baseline"/>
            </w:pPr>
            <w:r>
              <w:t>Hervé JEANNIN (Cat. 2 – FR)</w:t>
            </w:r>
          </w:p>
        </w:tc>
      </w:tr>
      <w:tr w:rsidRPr="000F397E" w:rsidR="000F397E" w:rsidTr="001757A2" w14:paraId="42D0F662" w14:textId="77777777">
        <w:tc>
          <w:tcPr>
            <w:tcW w:w="9180" w:type="dxa"/>
            <w:gridSpan w:val="2"/>
          </w:tcPr>
          <w:p w:rsidRPr="000F397E" w:rsidR="000F397E" w:rsidP="000F397E" w:rsidRDefault="000F397E" w14:paraId="310C6023" w14:textId="77777777">
            <w:pPr>
              <w:tabs>
                <w:tab w:val="center" w:pos="284"/>
              </w:tabs>
              <w:overflowPunct w:val="0"/>
              <w:autoSpaceDE w:val="0"/>
              <w:autoSpaceDN w:val="0"/>
              <w:adjustRightInd w:val="0"/>
              <w:spacing w:line="160" w:lineRule="exact"/>
              <w:ind w:left="266" w:hanging="266"/>
              <w:textAlignment w:val="baseline"/>
            </w:pPr>
          </w:p>
        </w:tc>
      </w:tr>
      <w:tr w:rsidRPr="000F397E" w:rsidR="000F397E" w:rsidTr="001757A2" w14:paraId="0BD5F07F" w14:textId="77777777">
        <w:tc>
          <w:tcPr>
            <w:tcW w:w="1701" w:type="dxa"/>
          </w:tcPr>
          <w:p w:rsidRPr="000F397E" w:rsidR="000F397E" w:rsidP="000F397E" w:rsidRDefault="000F397E" w14:paraId="6588D502" w14:textId="77777777">
            <w:pPr>
              <w:tabs>
                <w:tab w:val="center" w:pos="284"/>
              </w:tabs>
              <w:overflowPunct w:val="0"/>
              <w:autoSpaceDE w:val="0"/>
              <w:autoSpaceDN w:val="0"/>
              <w:adjustRightInd w:val="0"/>
              <w:ind w:left="266" w:hanging="266"/>
              <w:textAlignment w:val="baseline"/>
              <w:rPr>
                <w:b/>
              </w:rPr>
            </w:pPr>
            <w:r>
              <w:rPr>
                <w:b/>
              </w:rPr>
              <w:t>Referencias</w:t>
            </w:r>
          </w:p>
        </w:tc>
        <w:tc>
          <w:tcPr>
            <w:tcW w:w="7479" w:type="dxa"/>
          </w:tcPr>
          <w:p w:rsidR="002666A0" w:rsidP="000F397E" w:rsidRDefault="002666A0" w14:paraId="2852B56E" w14:textId="01CE5A1E">
            <w:pPr>
              <w:tabs>
                <w:tab w:val="center" w:pos="284"/>
              </w:tabs>
              <w:overflowPunct w:val="0"/>
              <w:autoSpaceDE w:val="0"/>
              <w:autoSpaceDN w:val="0"/>
              <w:adjustRightInd w:val="0"/>
              <w:ind w:left="266" w:hanging="266"/>
              <w:textAlignment w:val="baseline"/>
            </w:pPr>
            <w:r>
              <w:t>COM(2025) 10 final</w:t>
            </w:r>
          </w:p>
          <w:p w:rsidRPr="000F397E" w:rsidR="000F397E" w:rsidP="000F397E" w:rsidRDefault="000F397E" w14:paraId="4D608B89" w14:textId="7904820B">
            <w:pPr>
              <w:tabs>
                <w:tab w:val="center" w:pos="284"/>
              </w:tabs>
              <w:overflowPunct w:val="0"/>
              <w:autoSpaceDE w:val="0"/>
              <w:autoSpaceDN w:val="0"/>
              <w:adjustRightInd w:val="0"/>
              <w:ind w:left="266" w:hanging="266"/>
              <w:textAlignment w:val="baseline"/>
            </w:pPr>
            <w:r>
              <w:t>EESC-2025-00633-00-00-AC</w:t>
            </w:r>
          </w:p>
        </w:tc>
      </w:tr>
    </w:tbl>
    <w:p w:rsidRPr="000F397E" w:rsidR="000F397E" w:rsidP="000F397E" w:rsidRDefault="000F397E" w14:paraId="2977F6EE" w14:textId="77777777">
      <w:pPr>
        <w:keepNext/>
        <w:keepLines/>
        <w:tabs>
          <w:tab w:val="center" w:pos="284"/>
        </w:tabs>
        <w:overflowPunct w:val="0"/>
        <w:autoSpaceDE w:val="0"/>
        <w:autoSpaceDN w:val="0"/>
        <w:adjustRightInd w:val="0"/>
        <w:ind w:left="266" w:hanging="266"/>
        <w:textAlignment w:val="baseline"/>
        <w:rPr>
          <w:b/>
          <w:lang w:val="en-GB"/>
        </w:rPr>
      </w:pPr>
    </w:p>
    <w:p w:rsidRPr="000F397E" w:rsidR="000F397E" w:rsidP="000F397E" w:rsidRDefault="000F397E" w14:paraId="7A48C42D"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0F397E" w:rsidR="000F397E" w:rsidP="000F397E" w:rsidRDefault="000F397E" w14:paraId="549AE9A2" w14:textId="77777777">
      <w:pPr>
        <w:keepNext/>
        <w:keepLines/>
        <w:tabs>
          <w:tab w:val="center" w:pos="284"/>
        </w:tabs>
        <w:overflowPunct w:val="0"/>
        <w:autoSpaceDE w:val="0"/>
        <w:autoSpaceDN w:val="0"/>
        <w:adjustRightInd w:val="0"/>
        <w:ind w:left="266" w:hanging="266"/>
        <w:textAlignment w:val="baseline"/>
        <w:rPr>
          <w:b/>
          <w:lang w:val="en-GB"/>
        </w:rPr>
      </w:pPr>
    </w:p>
    <w:p w:rsidR="000F397E" w:rsidP="000F397E" w:rsidRDefault="000F397E" w14:paraId="5601CC49" w14:textId="77777777">
      <w:pPr>
        <w:keepNext/>
        <w:keepLines/>
        <w:tabs>
          <w:tab w:val="center" w:pos="284"/>
        </w:tabs>
        <w:overflowPunct w:val="0"/>
        <w:autoSpaceDE w:val="0"/>
        <w:autoSpaceDN w:val="0"/>
        <w:adjustRightInd w:val="0"/>
        <w:ind w:left="266" w:hanging="266"/>
        <w:textAlignment w:val="baseline"/>
        <w:rPr>
          <w:bCs/>
        </w:rPr>
      </w:pPr>
      <w:r>
        <w:t>El CESE:</w:t>
      </w:r>
    </w:p>
    <w:p w:rsidRPr="000F397E" w:rsidR="002666A0" w:rsidP="000F397E" w:rsidRDefault="002666A0" w14:paraId="35A4C957" w14:textId="77777777">
      <w:pPr>
        <w:keepNext/>
        <w:keepLines/>
        <w:tabs>
          <w:tab w:val="center" w:pos="284"/>
        </w:tabs>
        <w:overflowPunct w:val="0"/>
        <w:autoSpaceDE w:val="0"/>
        <w:autoSpaceDN w:val="0"/>
        <w:adjustRightInd w:val="0"/>
        <w:ind w:left="266" w:hanging="266"/>
        <w:textAlignment w:val="baseline"/>
        <w:rPr>
          <w:bCs/>
          <w:lang w:val="en-GB"/>
        </w:rPr>
      </w:pPr>
    </w:p>
    <w:p w:rsidRPr="002666A0" w:rsidR="000F397E" w:rsidP="00B60D9A" w:rsidRDefault="000F397E" w14:paraId="1E06DD98"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2" w:id="25"/>
      <w:r>
        <w:t>acoge con satisfacción el nivel de ambición del Plan de Acción europeo sobre la ciberseguridad de los hospitales y los prestadores de asistencia sanitaria y la atención que está recibiendo este tema. La mejora de la ciberseguridad en el sector sanitario no solo refuerza la seguridad y la resiliencia de manera general, sino que contribuye a la preparación de la Unión ante las crisis;</w:t>
      </w:r>
      <w:bookmarkEnd w:id="25"/>
    </w:p>
    <w:p w:rsidRPr="002666A0" w:rsidR="000F397E" w:rsidP="00B60D9A" w:rsidRDefault="000F397E" w14:paraId="086FD83B"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3" w:id="26"/>
      <w:r>
        <w:t>lamenta que en este momento no se esté abordando de manera suficiente la cuestión del apoyo financiero para la aplicación del Plan de Acción. Anima a la Comisión a que garantice una concentración temática para prestar apoyo financiero a través de los fondos de cohesión;</w:t>
      </w:r>
      <w:bookmarkEnd w:id="26"/>
    </w:p>
    <w:p w:rsidRPr="002666A0" w:rsidR="000F397E" w:rsidP="00B60D9A" w:rsidRDefault="000F397E" w14:paraId="45C6F1E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4" w:id="27"/>
      <w:r>
        <w:t>toma nota del apoyo de 6 millones EUR a la ENISA, pero subraya que la financiación es inadecuada en vista de la importancia de lo que está en juego;</w:t>
      </w:r>
      <w:bookmarkEnd w:id="27"/>
    </w:p>
    <w:p w:rsidRPr="002666A0" w:rsidR="000F397E" w:rsidP="00B60D9A" w:rsidRDefault="000F397E" w14:paraId="7C3AF3AC"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5" w:id="28"/>
      <w:r>
        <w:t>recomienda sensibilizar sobre las prácticas básicas de ciberhigiene; invertir en gemelos digitales para hospitales, sistemas sanitarios o productos sanitarios a fin de facilitar garantías y pruebas; prestar asistencia técnica a unidades médicas que carezcan de servicios informáticos; invertir en capacidades técnicas estratégicas;</w:t>
      </w:r>
      <w:bookmarkEnd w:id="28"/>
    </w:p>
    <w:p w:rsidRPr="002666A0" w:rsidR="000F397E" w:rsidP="00B60D9A" w:rsidRDefault="000F397E" w14:paraId="7CA2F5A2"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6" w:id="29"/>
      <w:r>
        <w:t>desea llamar la atención sobre un conjunto de medidas cautelares y preventivas que deberían mejorar el nivel de protección en el sector sanitario y reducir el riesgo de ciberataques: realización de pruebas adecuadas; elaboración de planes de continuidad de la actividad, actualizados y revisados periódicamente, tanto a nivel interno como externo, por auditores independientes; seguir las mejores prácticas en materia de seguimiento y reparación;</w:t>
      </w:r>
      <w:bookmarkEnd w:id="29"/>
    </w:p>
    <w:p w:rsidRPr="002666A0" w:rsidR="000F397E" w:rsidP="00B60D9A" w:rsidRDefault="000F397E" w14:paraId="12B63447" w14:textId="77777777">
      <w:pPr>
        <w:pStyle w:val="ListParagraph"/>
        <w:numPr>
          <w:ilvl w:val="0"/>
          <w:numId w:val="49"/>
        </w:numPr>
        <w:overflowPunct w:val="0"/>
        <w:autoSpaceDE w:val="0"/>
        <w:autoSpaceDN w:val="0"/>
        <w:adjustRightInd w:val="0"/>
        <w:ind w:left="284" w:hanging="284"/>
        <w:textAlignment w:val="baseline"/>
        <w:outlineLvl w:val="1"/>
        <w:rPr>
          <w:szCs w:val="20"/>
        </w:rPr>
      </w:pPr>
      <w:bookmarkStart w:name="_Toc201570917" w:id="30"/>
      <w:r>
        <w:t>recomienda planes de educación y formación continua desarrollados con los interlocutores sociales, así como mecanismos para la transferencia de conocimientos entre las diversas entidades y las partes interesadas profesionales a fin de abordar los retos en materia de ciberseguridad, ética, privacidad e IA.</w:t>
      </w:r>
      <w:bookmarkEnd w:id="30"/>
    </w:p>
    <w:p w:rsidRPr="000F397E" w:rsidR="000F397E" w:rsidP="000F397E" w:rsidRDefault="000F397E" w14:paraId="730034F9" w14:textId="77777777">
      <w:pPr>
        <w:overflowPunct w:val="0"/>
        <w:autoSpaceDE w:val="0"/>
        <w:autoSpaceDN w:val="0"/>
        <w:adjustRightInd w:val="0"/>
        <w:textAlignment w:val="baseline"/>
        <w:rPr>
          <w:szCs w:val="20"/>
          <w:lang w:val="en-GB"/>
        </w:rPr>
      </w:pPr>
    </w:p>
    <w:tbl>
      <w:tblPr>
        <w:tblStyle w:val="TableGrid20"/>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946"/>
      </w:tblGrid>
      <w:tr w:rsidRPr="000F397E" w:rsidR="000F397E" w:rsidTr="002B1C51" w14:paraId="4456BAA8" w14:textId="77777777">
        <w:tc>
          <w:tcPr>
            <w:tcW w:w="1217" w:type="pct"/>
          </w:tcPr>
          <w:p w:rsidRPr="000F397E" w:rsidR="000F397E" w:rsidP="000F397E" w:rsidRDefault="000F397E" w14:paraId="69FD2299" w14:textId="77777777">
            <w:pPr>
              <w:overflowPunct w:val="0"/>
              <w:autoSpaceDE w:val="0"/>
              <w:autoSpaceDN w:val="0"/>
              <w:adjustRightInd w:val="0"/>
              <w:spacing w:line="240" w:lineRule="auto"/>
              <w:textAlignment w:val="baseline"/>
              <w:rPr>
                <w:i/>
              </w:rPr>
            </w:pPr>
            <w:r>
              <w:rPr>
                <w:b/>
                <w:i/>
              </w:rPr>
              <w:t>Contacto:</w:t>
            </w:r>
          </w:p>
        </w:tc>
        <w:tc>
          <w:tcPr>
            <w:tcW w:w="3783" w:type="pct"/>
          </w:tcPr>
          <w:p w:rsidRPr="00B60D9A" w:rsidR="000F397E" w:rsidP="000F397E" w:rsidRDefault="000F397E" w14:paraId="2F254863" w14:textId="378EA086">
            <w:pPr>
              <w:overflowPunct w:val="0"/>
              <w:autoSpaceDE w:val="0"/>
              <w:autoSpaceDN w:val="0"/>
              <w:adjustRightInd w:val="0"/>
              <w:spacing w:line="240" w:lineRule="auto"/>
              <w:textAlignment w:val="baseline"/>
              <w:rPr>
                <w:i/>
              </w:rPr>
            </w:pPr>
            <w:r>
              <w:rPr>
                <w:i/>
              </w:rPr>
              <w:t>Ioannis Diamantopoulos</w:t>
            </w:r>
          </w:p>
        </w:tc>
      </w:tr>
      <w:tr w:rsidRPr="000F397E" w:rsidR="000F397E" w:rsidTr="002B1C51" w14:paraId="084C83C0" w14:textId="77777777">
        <w:tc>
          <w:tcPr>
            <w:tcW w:w="1217" w:type="pct"/>
          </w:tcPr>
          <w:p w:rsidRPr="000F397E" w:rsidR="000F397E" w:rsidP="000F397E" w:rsidRDefault="000F397E" w14:paraId="4E439DD1" w14:textId="77777777">
            <w:pPr>
              <w:overflowPunct w:val="0"/>
              <w:autoSpaceDE w:val="0"/>
              <w:autoSpaceDN w:val="0"/>
              <w:adjustRightInd w:val="0"/>
              <w:spacing w:line="240" w:lineRule="auto"/>
              <w:textAlignment w:val="baseline"/>
              <w:rPr>
                <w:i/>
              </w:rPr>
            </w:pPr>
            <w:r>
              <w:rPr>
                <w:i/>
              </w:rPr>
              <w:t>Teléfono:</w:t>
            </w:r>
          </w:p>
        </w:tc>
        <w:tc>
          <w:tcPr>
            <w:tcW w:w="3783" w:type="pct"/>
          </w:tcPr>
          <w:p w:rsidRPr="000F397E" w:rsidR="000F397E" w:rsidP="000F397E" w:rsidRDefault="000F397E" w14:paraId="130A2C27" w14:textId="3D41C6B4">
            <w:pPr>
              <w:overflowPunct w:val="0"/>
              <w:autoSpaceDE w:val="0"/>
              <w:autoSpaceDN w:val="0"/>
              <w:adjustRightInd w:val="0"/>
              <w:spacing w:line="240" w:lineRule="auto"/>
              <w:textAlignment w:val="baseline"/>
              <w:rPr>
                <w:i/>
              </w:rPr>
            </w:pPr>
            <w:r>
              <w:rPr>
                <w:i/>
              </w:rPr>
              <w:t>+32 2 5469170</w:t>
            </w:r>
          </w:p>
        </w:tc>
      </w:tr>
      <w:tr w:rsidRPr="000F397E" w:rsidR="000F397E" w:rsidTr="002B1C51" w14:paraId="27237F5B" w14:textId="77777777">
        <w:tc>
          <w:tcPr>
            <w:tcW w:w="1217" w:type="pct"/>
          </w:tcPr>
          <w:p w:rsidRPr="000F397E" w:rsidR="000F397E" w:rsidP="000F397E" w:rsidRDefault="000F397E" w14:paraId="7A671D56" w14:textId="77777777">
            <w:pPr>
              <w:overflowPunct w:val="0"/>
              <w:autoSpaceDE w:val="0"/>
              <w:autoSpaceDN w:val="0"/>
              <w:adjustRightInd w:val="0"/>
              <w:spacing w:line="240" w:lineRule="auto"/>
              <w:textAlignment w:val="baseline"/>
              <w:rPr>
                <w:i/>
              </w:rPr>
            </w:pPr>
            <w:r>
              <w:rPr>
                <w:i/>
              </w:rPr>
              <w:t>Correo electrónico:</w:t>
            </w:r>
          </w:p>
        </w:tc>
        <w:tc>
          <w:tcPr>
            <w:tcW w:w="3783" w:type="pct"/>
          </w:tcPr>
          <w:p w:rsidR="000F397E" w:rsidP="000F397E" w:rsidRDefault="000E38A8" w14:paraId="178AEB8A" w14:textId="77777777">
            <w:pPr>
              <w:overflowPunct w:val="0"/>
              <w:autoSpaceDE w:val="0"/>
              <w:autoSpaceDN w:val="0"/>
              <w:adjustRightInd w:val="0"/>
              <w:spacing w:line="240" w:lineRule="auto"/>
              <w:textAlignment w:val="baseline"/>
            </w:pPr>
            <w:hyperlink w:history="1" r:id="rId59">
              <w:r w:rsidR="00381CCE">
                <w:rPr>
                  <w:i/>
                  <w:color w:val="0000FF"/>
                  <w:u w:val="single"/>
                </w:rPr>
                <w:t>Ioannis.Diamantopoulos@eesc.europa.eu</w:t>
              </w:r>
            </w:hyperlink>
          </w:p>
          <w:p w:rsidRPr="000F397E" w:rsidR="000F397E" w:rsidP="000F397E" w:rsidRDefault="000F397E" w14:paraId="60DD5C1C" w14:textId="77777777">
            <w:pPr>
              <w:overflowPunct w:val="0"/>
              <w:autoSpaceDE w:val="0"/>
              <w:autoSpaceDN w:val="0"/>
              <w:adjustRightInd w:val="0"/>
              <w:spacing w:line="240" w:lineRule="auto"/>
              <w:textAlignment w:val="baseline"/>
              <w:rPr>
                <w:i/>
              </w:rPr>
            </w:pPr>
          </w:p>
        </w:tc>
      </w:tr>
    </w:tbl>
    <w:p w:rsidRPr="000F397E" w:rsidR="000F397E" w:rsidP="000F397E" w:rsidRDefault="000F397E" w14:paraId="17D99017" w14:textId="77777777">
      <w:pPr>
        <w:overflowPunct w:val="0"/>
        <w:autoSpaceDE w:val="0"/>
        <w:autoSpaceDN w:val="0"/>
        <w:adjustRightInd w:val="0"/>
        <w:jc w:val="center"/>
        <w:textAlignment w:val="baseline"/>
        <w:rPr>
          <w:szCs w:val="20"/>
        </w:rPr>
      </w:pPr>
      <w:r>
        <w:t>_____________</w:t>
      </w:r>
    </w:p>
    <w:p w:rsidRPr="001E19E2" w:rsidR="000D394D" w:rsidRDefault="000D394D" w14:paraId="0D2DBE11" w14:textId="77777777">
      <w:pPr>
        <w:spacing w:after="160" w:line="259" w:lineRule="auto"/>
        <w:jc w:val="left"/>
        <w:rPr>
          <w:lang w:val="en-GB"/>
        </w:rPr>
      </w:pPr>
    </w:p>
    <w:sectPr w:rsidRPr="001E19E2" w:rsidR="000D394D" w:rsidSect="00055407">
      <w:headerReference w:type="even" r:id="rId60"/>
      <w:headerReference w:type="default" r:id="rId61"/>
      <w:footerReference w:type="even" r:id="rId62"/>
      <w:footerReference w:type="default" r:id="rId63"/>
      <w:headerReference w:type="first" r:id="rId64"/>
      <w:footerReference w:type="first" r:id="rId6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A52A" w14:textId="77777777" w:rsidR="00055407" w:rsidRPr="00055407" w:rsidRDefault="00055407" w:rsidP="00055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161DC846" w:rsidR="00B518C9"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rsidR="00381CCE">
      <w:t>1</w:t>
    </w:r>
    <w:r>
      <w:fldChar w:fldCharType="end"/>
    </w:r>
    <w:r>
      <w:t>/</w:t>
    </w:r>
    <w:r w:rsidR="000E38A8">
      <w:fldChar w:fldCharType="begin"/>
    </w:r>
    <w:r w:rsidR="000E38A8">
      <w:instrText xml:space="preserve"> NUMPAGES </w:instrText>
    </w:r>
    <w:r w:rsidR="000E38A8">
      <w:fldChar w:fldCharType="separate"/>
    </w:r>
    <w:r w:rsidR="00381CCE">
      <w:t>2</w:t>
    </w:r>
    <w:r w:rsidR="000E38A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2C3C" w14:textId="77777777" w:rsidR="00055407" w:rsidRPr="00055407" w:rsidRDefault="00055407" w:rsidP="000554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6CD2C" w14:textId="77777777" w:rsidR="00055407" w:rsidRPr="00055407" w:rsidRDefault="00055407" w:rsidP="000554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3359" w14:textId="281A9974" w:rsidR="00055407" w:rsidRPr="00055407" w:rsidRDefault="00055407" w:rsidP="00055407">
    <w:pPr>
      <w:pStyle w:val="Footer"/>
    </w:pPr>
    <w:r>
      <w:t xml:space="preserve">EESC-2025-01645-00-00-TCD-TRA (EN) </w:t>
    </w:r>
    <w:r>
      <w:fldChar w:fldCharType="begin"/>
    </w:r>
    <w:r>
      <w:instrText xml:space="preserve"> PAGE  \* Arabic  \* MERGEFORMAT </w:instrText>
    </w:r>
    <w:r>
      <w:fldChar w:fldCharType="separate"/>
    </w:r>
    <w:r>
      <w:t>2</w:t>
    </w:r>
    <w:r>
      <w:fldChar w:fldCharType="end"/>
    </w:r>
    <w:r>
      <w:t>/</w:t>
    </w:r>
    <w:r w:rsidR="000E38A8">
      <w:fldChar w:fldCharType="begin"/>
    </w:r>
    <w:r w:rsidR="000E38A8">
      <w:instrText xml:space="preserve"> NUMPAGES </w:instrText>
    </w:r>
    <w:r w:rsidR="000E38A8">
      <w:fldChar w:fldCharType="separate"/>
    </w:r>
    <w:r>
      <w:t>28</w:t>
    </w:r>
    <w:r w:rsidR="000E38A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F2D21" w14:textId="77777777" w:rsidR="00055407" w:rsidRPr="00055407" w:rsidRDefault="00055407" w:rsidP="00055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0DD3" w14:textId="77777777" w:rsidR="00055407" w:rsidRPr="00055407" w:rsidRDefault="00055407" w:rsidP="00055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5006" w14:textId="067921A6" w:rsidR="00055407" w:rsidRPr="00055407" w:rsidRDefault="00055407" w:rsidP="00055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B00C" w14:textId="77777777" w:rsidR="00055407" w:rsidRPr="00055407" w:rsidRDefault="00055407" w:rsidP="000554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A058" w14:textId="77777777" w:rsidR="00055407" w:rsidRPr="00055407" w:rsidRDefault="00055407" w:rsidP="000554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ADAA" w14:textId="2B776D36" w:rsidR="00055407" w:rsidRPr="00055407" w:rsidRDefault="00055407" w:rsidP="000554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CFA" w14:textId="77777777" w:rsidR="00055407" w:rsidRPr="00055407" w:rsidRDefault="00055407" w:rsidP="00055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6BAC0384"/>
    <w:lvl w:ilvl="0">
      <w:numFmt w:val="decimal"/>
      <w:lvlText w:val="*"/>
      <w:lvlJc w:val="left"/>
    </w:lvl>
  </w:abstractNum>
  <w:abstractNum w:abstractNumId="2" w15:restartNumberingAfterBreak="0">
    <w:nsid w:val="00A4313A"/>
    <w:multiLevelType w:val="hybridMultilevel"/>
    <w:tmpl w:val="8A2407E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 w15:restartNumberingAfterBreak="0">
    <w:nsid w:val="00E91ABA"/>
    <w:multiLevelType w:val="hybridMultilevel"/>
    <w:tmpl w:val="0A6E67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028A08B3"/>
    <w:multiLevelType w:val="multilevel"/>
    <w:tmpl w:val="449684C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E4E04"/>
    <w:multiLevelType w:val="hybridMultilevel"/>
    <w:tmpl w:val="ACAE1A9C"/>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A256E06"/>
    <w:multiLevelType w:val="hybridMultilevel"/>
    <w:tmpl w:val="4E56A66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F7CF268"/>
    <w:multiLevelType w:val="hybridMultilevel"/>
    <w:tmpl w:val="400EA9C6"/>
    <w:lvl w:ilvl="0" w:tplc="AF664816">
      <w:start w:val="1"/>
      <w:numFmt w:val="bullet"/>
      <w:lvlText w:val=""/>
      <w:lvlJc w:val="left"/>
      <w:pPr>
        <w:ind w:left="567" w:hanging="360"/>
      </w:pPr>
      <w:rPr>
        <w:rFonts w:ascii="Symbol" w:hAnsi="Symbol" w:hint="default"/>
        <w:color w:val="000000" w:themeColor="text1"/>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8" w15:restartNumberingAfterBreak="0">
    <w:nsid w:val="1093134A"/>
    <w:multiLevelType w:val="hybridMultilevel"/>
    <w:tmpl w:val="7A26A4EE"/>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9"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5452FD5"/>
    <w:multiLevelType w:val="multilevel"/>
    <w:tmpl w:val="E3E463A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842DDD"/>
    <w:multiLevelType w:val="hybridMultilevel"/>
    <w:tmpl w:val="54E40C3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8720B11"/>
    <w:multiLevelType w:val="hybridMultilevel"/>
    <w:tmpl w:val="905A438A"/>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13" w15:restartNumberingAfterBreak="0">
    <w:nsid w:val="1D230797"/>
    <w:multiLevelType w:val="hybridMultilevel"/>
    <w:tmpl w:val="DEB8D55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D241F7C"/>
    <w:multiLevelType w:val="hybridMultilevel"/>
    <w:tmpl w:val="262AA0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DCA1625"/>
    <w:multiLevelType w:val="hybridMultilevel"/>
    <w:tmpl w:val="9566F87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1E6949ED"/>
    <w:multiLevelType w:val="hybridMultilevel"/>
    <w:tmpl w:val="8446FD7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7" w15:restartNumberingAfterBreak="0">
    <w:nsid w:val="20D83C0E"/>
    <w:multiLevelType w:val="hybridMultilevel"/>
    <w:tmpl w:val="AC5015D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631B73"/>
    <w:multiLevelType w:val="multilevel"/>
    <w:tmpl w:val="9432EE7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8F1BA9"/>
    <w:multiLevelType w:val="hybridMultilevel"/>
    <w:tmpl w:val="BCE07BC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23CF75D4"/>
    <w:multiLevelType w:val="hybridMultilevel"/>
    <w:tmpl w:val="353459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15:restartNumberingAfterBreak="0">
    <w:nsid w:val="245E5D03"/>
    <w:multiLevelType w:val="hybridMultilevel"/>
    <w:tmpl w:val="E620FB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27785EB1"/>
    <w:multiLevelType w:val="hybridMultilevel"/>
    <w:tmpl w:val="FF480688"/>
    <w:lvl w:ilvl="0" w:tplc="1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CAF5E45"/>
    <w:multiLevelType w:val="hybridMultilevel"/>
    <w:tmpl w:val="A002FEA2"/>
    <w:lvl w:ilvl="0" w:tplc="8E864B0C">
      <w:start w:val="1"/>
      <w:numFmt w:val="bullet"/>
      <w:lvlText w:val=""/>
      <w:lvlJc w:val="left"/>
      <w:pPr>
        <w:ind w:left="1080" w:hanging="360"/>
      </w:pPr>
      <w:rPr>
        <w:rFonts w:ascii="Symbol" w:hAnsi="Symbol" w:hint="default"/>
        <w:color w:val="auto"/>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31C21CF4"/>
    <w:multiLevelType w:val="hybridMultilevel"/>
    <w:tmpl w:val="B0E23C88"/>
    <w:lvl w:ilvl="0" w:tplc="BE182CF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842BD"/>
    <w:multiLevelType w:val="multilevel"/>
    <w:tmpl w:val="4E2EA0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077A0E"/>
    <w:multiLevelType w:val="hybridMultilevel"/>
    <w:tmpl w:val="2CFABAB2"/>
    <w:lvl w:ilvl="0" w:tplc="8E864B0C">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8" w15:restartNumberingAfterBreak="0">
    <w:nsid w:val="3A5B7D00"/>
    <w:multiLevelType w:val="multilevel"/>
    <w:tmpl w:val="640C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6017F1"/>
    <w:multiLevelType w:val="hybridMultilevel"/>
    <w:tmpl w:val="ABC42F3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C4406E5"/>
    <w:multiLevelType w:val="hybridMultilevel"/>
    <w:tmpl w:val="D786E98A"/>
    <w:lvl w:ilvl="0" w:tplc="8E864B0C">
      <w:start w:val="1"/>
      <w:numFmt w:val="bullet"/>
      <w:lvlText w:val=""/>
      <w:lvlJc w:val="left"/>
      <w:pPr>
        <w:ind w:left="567" w:hanging="360"/>
      </w:pPr>
      <w:rPr>
        <w:rFonts w:ascii="Symbol" w:hAnsi="Symbol" w:hint="default"/>
        <w:color w:val="auto"/>
      </w:rPr>
    </w:lvl>
    <w:lvl w:ilvl="1" w:tplc="FFFFFFFF">
      <w:start w:val="1"/>
      <w:numFmt w:val="lowerLetter"/>
      <w:lvlText w:val="%2."/>
      <w:lvlJc w:val="left"/>
      <w:pPr>
        <w:ind w:left="1287" w:hanging="360"/>
      </w:pPr>
    </w:lvl>
    <w:lvl w:ilvl="2" w:tplc="FFFFFFFF">
      <w:start w:val="1"/>
      <w:numFmt w:val="lowerRoman"/>
      <w:lvlText w:val="%3."/>
      <w:lvlJc w:val="right"/>
      <w:pPr>
        <w:ind w:left="2007" w:hanging="180"/>
      </w:pPr>
    </w:lvl>
    <w:lvl w:ilvl="3" w:tplc="FFFFFFFF">
      <w:start w:val="1"/>
      <w:numFmt w:val="decimal"/>
      <w:lvlText w:val="%4."/>
      <w:lvlJc w:val="left"/>
      <w:pPr>
        <w:ind w:left="2727" w:hanging="360"/>
      </w:pPr>
    </w:lvl>
    <w:lvl w:ilvl="4" w:tplc="FFFFFFFF">
      <w:start w:val="1"/>
      <w:numFmt w:val="lowerLetter"/>
      <w:lvlText w:val="%5."/>
      <w:lvlJc w:val="left"/>
      <w:pPr>
        <w:ind w:left="3447" w:hanging="360"/>
      </w:pPr>
    </w:lvl>
    <w:lvl w:ilvl="5" w:tplc="FFFFFFFF">
      <w:start w:val="1"/>
      <w:numFmt w:val="lowerRoman"/>
      <w:lvlText w:val="%6."/>
      <w:lvlJc w:val="right"/>
      <w:pPr>
        <w:ind w:left="4167" w:hanging="180"/>
      </w:pPr>
    </w:lvl>
    <w:lvl w:ilvl="6" w:tplc="FFFFFFFF">
      <w:start w:val="1"/>
      <w:numFmt w:val="decimal"/>
      <w:lvlText w:val="%7."/>
      <w:lvlJc w:val="left"/>
      <w:pPr>
        <w:ind w:left="4887" w:hanging="360"/>
      </w:pPr>
    </w:lvl>
    <w:lvl w:ilvl="7" w:tplc="FFFFFFFF">
      <w:start w:val="1"/>
      <w:numFmt w:val="lowerLetter"/>
      <w:lvlText w:val="%8."/>
      <w:lvlJc w:val="left"/>
      <w:pPr>
        <w:ind w:left="5607" w:hanging="360"/>
      </w:pPr>
    </w:lvl>
    <w:lvl w:ilvl="8" w:tplc="FFFFFFFF">
      <w:start w:val="1"/>
      <w:numFmt w:val="lowerRoman"/>
      <w:lvlText w:val="%9."/>
      <w:lvlJc w:val="right"/>
      <w:pPr>
        <w:ind w:left="6327" w:hanging="180"/>
      </w:pPr>
    </w:lvl>
  </w:abstractNum>
  <w:abstractNum w:abstractNumId="31" w15:restartNumberingAfterBreak="0">
    <w:nsid w:val="4C70277D"/>
    <w:multiLevelType w:val="hybridMultilevel"/>
    <w:tmpl w:val="424EFA08"/>
    <w:lvl w:ilvl="0" w:tplc="3DC081D6">
      <w:start w:val="1"/>
      <w:numFmt w:val="bullet"/>
      <w:lvlText w:val=""/>
      <w:lvlJc w:val="left"/>
      <w:pPr>
        <w:ind w:left="643" w:hanging="360"/>
      </w:pPr>
      <w:rPr>
        <w:rFonts w:ascii="Symbol" w:hAnsi="Symbol" w:hint="default"/>
      </w:rPr>
    </w:lvl>
    <w:lvl w:ilvl="1" w:tplc="080C0003" w:tentative="1">
      <w:start w:val="1"/>
      <w:numFmt w:val="bullet"/>
      <w:lvlText w:val="o"/>
      <w:lvlJc w:val="left"/>
      <w:pPr>
        <w:ind w:left="1363" w:hanging="360"/>
      </w:pPr>
      <w:rPr>
        <w:rFonts w:ascii="Courier New" w:hAnsi="Courier New" w:cs="Courier New" w:hint="default"/>
      </w:rPr>
    </w:lvl>
    <w:lvl w:ilvl="2" w:tplc="080C0005" w:tentative="1">
      <w:start w:val="1"/>
      <w:numFmt w:val="bullet"/>
      <w:lvlText w:val=""/>
      <w:lvlJc w:val="left"/>
      <w:pPr>
        <w:ind w:left="2083" w:hanging="360"/>
      </w:pPr>
      <w:rPr>
        <w:rFonts w:ascii="Wingdings" w:hAnsi="Wingdings" w:hint="default"/>
      </w:rPr>
    </w:lvl>
    <w:lvl w:ilvl="3" w:tplc="080C0001" w:tentative="1">
      <w:start w:val="1"/>
      <w:numFmt w:val="bullet"/>
      <w:lvlText w:val=""/>
      <w:lvlJc w:val="left"/>
      <w:pPr>
        <w:ind w:left="2803" w:hanging="360"/>
      </w:pPr>
      <w:rPr>
        <w:rFonts w:ascii="Symbol" w:hAnsi="Symbol" w:hint="default"/>
      </w:rPr>
    </w:lvl>
    <w:lvl w:ilvl="4" w:tplc="080C0003" w:tentative="1">
      <w:start w:val="1"/>
      <w:numFmt w:val="bullet"/>
      <w:lvlText w:val="o"/>
      <w:lvlJc w:val="left"/>
      <w:pPr>
        <w:ind w:left="3523" w:hanging="360"/>
      </w:pPr>
      <w:rPr>
        <w:rFonts w:ascii="Courier New" w:hAnsi="Courier New" w:cs="Courier New" w:hint="default"/>
      </w:rPr>
    </w:lvl>
    <w:lvl w:ilvl="5" w:tplc="080C0005" w:tentative="1">
      <w:start w:val="1"/>
      <w:numFmt w:val="bullet"/>
      <w:lvlText w:val=""/>
      <w:lvlJc w:val="left"/>
      <w:pPr>
        <w:ind w:left="4243" w:hanging="360"/>
      </w:pPr>
      <w:rPr>
        <w:rFonts w:ascii="Wingdings" w:hAnsi="Wingdings" w:hint="default"/>
      </w:rPr>
    </w:lvl>
    <w:lvl w:ilvl="6" w:tplc="080C0001" w:tentative="1">
      <w:start w:val="1"/>
      <w:numFmt w:val="bullet"/>
      <w:lvlText w:val=""/>
      <w:lvlJc w:val="left"/>
      <w:pPr>
        <w:ind w:left="4963" w:hanging="360"/>
      </w:pPr>
      <w:rPr>
        <w:rFonts w:ascii="Symbol" w:hAnsi="Symbol" w:hint="default"/>
      </w:rPr>
    </w:lvl>
    <w:lvl w:ilvl="7" w:tplc="080C0003" w:tentative="1">
      <w:start w:val="1"/>
      <w:numFmt w:val="bullet"/>
      <w:lvlText w:val="o"/>
      <w:lvlJc w:val="left"/>
      <w:pPr>
        <w:ind w:left="5683" w:hanging="360"/>
      </w:pPr>
      <w:rPr>
        <w:rFonts w:ascii="Courier New" w:hAnsi="Courier New" w:cs="Courier New" w:hint="default"/>
      </w:rPr>
    </w:lvl>
    <w:lvl w:ilvl="8" w:tplc="080C0005" w:tentative="1">
      <w:start w:val="1"/>
      <w:numFmt w:val="bullet"/>
      <w:lvlText w:val=""/>
      <w:lvlJc w:val="left"/>
      <w:pPr>
        <w:ind w:left="6403" w:hanging="360"/>
      </w:pPr>
      <w:rPr>
        <w:rFonts w:ascii="Wingdings" w:hAnsi="Wingdings" w:hint="default"/>
      </w:rPr>
    </w:lvl>
  </w:abstractNum>
  <w:abstractNum w:abstractNumId="32" w15:restartNumberingAfterBreak="0">
    <w:nsid w:val="5CCA7FD5"/>
    <w:multiLevelType w:val="hybridMultilevel"/>
    <w:tmpl w:val="BAE6A936"/>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5E6E7A72"/>
    <w:multiLevelType w:val="hybridMultilevel"/>
    <w:tmpl w:val="5C70B10E"/>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61C917D9"/>
    <w:multiLevelType w:val="hybridMultilevel"/>
    <w:tmpl w:val="5112BA32"/>
    <w:lvl w:ilvl="0" w:tplc="080C0001">
      <w:start w:val="1"/>
      <w:numFmt w:val="bullet"/>
      <w:lvlText w:val=""/>
      <w:lvlJc w:val="left"/>
      <w:pPr>
        <w:ind w:left="644" w:hanging="360"/>
      </w:pPr>
      <w:rPr>
        <w:rFonts w:ascii="Symbol" w:hAnsi="Symbol" w:hint="default"/>
      </w:rPr>
    </w:lvl>
    <w:lvl w:ilvl="1" w:tplc="C62E6A14">
      <w:start w:val="1"/>
      <w:numFmt w:val="bullet"/>
      <w:lvlText w:val=""/>
      <w:lvlJc w:val="left"/>
      <w:pPr>
        <w:ind w:left="1364" w:hanging="360"/>
      </w:pPr>
      <w:rPr>
        <w:rFonts w:ascii="Symbol" w:hAnsi="Symbol"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6243822"/>
    <w:multiLevelType w:val="hybridMultilevel"/>
    <w:tmpl w:val="470AC31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8F70EDF"/>
    <w:multiLevelType w:val="hybridMultilevel"/>
    <w:tmpl w:val="49661DC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9" w15:restartNumberingAfterBreak="0">
    <w:nsid w:val="6A127BD6"/>
    <w:multiLevelType w:val="hybridMultilevel"/>
    <w:tmpl w:val="DB422EAE"/>
    <w:lvl w:ilvl="0" w:tplc="54B075D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6EBEABE0"/>
    <w:multiLevelType w:val="hybridMultilevel"/>
    <w:tmpl w:val="071AAFC2"/>
    <w:lvl w:ilvl="0" w:tplc="3ECEE272">
      <w:start w:val="1"/>
      <w:numFmt w:val="bullet"/>
      <w:lvlText w:val=""/>
      <w:lvlJc w:val="left"/>
      <w:pPr>
        <w:ind w:left="720" w:hanging="360"/>
      </w:pPr>
      <w:rPr>
        <w:rFonts w:ascii="Symbol" w:hAnsi="Symbol" w:hint="default"/>
        <w:color w:val="auto"/>
        <w:sz w:val="28"/>
        <w:szCs w:val="28"/>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41" w15:restartNumberingAfterBreak="0">
    <w:nsid w:val="6F1016D5"/>
    <w:multiLevelType w:val="hybridMultilevel"/>
    <w:tmpl w:val="BFC45A1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1579E2"/>
    <w:multiLevelType w:val="multilevel"/>
    <w:tmpl w:val="DC92496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DA7990"/>
    <w:multiLevelType w:val="multilevel"/>
    <w:tmpl w:val="A0B0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2F3195"/>
    <w:multiLevelType w:val="hybridMultilevel"/>
    <w:tmpl w:val="C67CF7B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abstractNumId w:val="0"/>
  </w:num>
  <w:num w:numId="2">
    <w:abstractNumId w:val="38"/>
  </w:num>
  <w:num w:numId="3">
    <w:abstractNumId w:val="43"/>
  </w:num>
  <w:num w:numId="4">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5">
    <w:abstractNumId w:val="21"/>
  </w:num>
  <w:num w:numId="6">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7">
    <w:abstractNumId w:val="34"/>
  </w:num>
  <w:num w:numId="8">
    <w:abstractNumId w:val="37"/>
  </w:num>
  <w:num w:numId="9">
    <w:abstractNumId w:val="31"/>
  </w:num>
  <w:num w:numId="10">
    <w:abstractNumId w:val="12"/>
  </w:num>
  <w:num w:numId="11">
    <w:abstractNumId w:val="1"/>
    <w:lvlOverride w:ilvl="0">
      <w:lvl w:ilvl="0">
        <w:start w:val="1"/>
        <w:numFmt w:val="bullet"/>
        <w:lvlText w:val=""/>
        <w:lvlJc w:val="left"/>
        <w:pPr>
          <w:ind w:left="720" w:hanging="360"/>
        </w:pPr>
        <w:rPr>
          <w:rFonts w:ascii="Symbol" w:hAnsi="Symbol" w:hint="default"/>
          <w:color w:val="auto"/>
        </w:rPr>
      </w:lvl>
    </w:lvlOverride>
  </w:num>
  <w:num w:numId="12">
    <w:abstractNumId w:val="14"/>
  </w:num>
  <w:num w:numId="13">
    <w:abstractNumId w:val="35"/>
  </w:num>
  <w:num w:numId="14">
    <w:abstractNumId w:val="28"/>
  </w:num>
  <w:num w:numId="15">
    <w:abstractNumId w:val="44"/>
  </w:num>
  <w:num w:numId="16">
    <w:abstractNumId w:val="18"/>
  </w:num>
  <w:num w:numId="17">
    <w:abstractNumId w:val="36"/>
  </w:num>
  <w:num w:numId="18">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9">
    <w:abstractNumId w:val="23"/>
  </w:num>
  <w:num w:numId="20">
    <w:abstractNumId w:val="40"/>
  </w:num>
  <w:num w:numId="21">
    <w:abstractNumId w:val="7"/>
  </w:num>
  <w:num w:numId="22">
    <w:abstractNumId w:val="25"/>
  </w:num>
  <w:num w:numId="23">
    <w:abstractNumId w:val="9"/>
  </w:num>
  <w:num w:numId="24">
    <w:abstractNumId w:val="27"/>
  </w:num>
  <w:num w:numId="25">
    <w:abstractNumId w:val="8"/>
  </w:num>
  <w:num w:numId="26">
    <w:abstractNumId w:val="33"/>
  </w:num>
  <w:num w:numId="27">
    <w:abstractNumId w:val="17"/>
  </w:num>
  <w:num w:numId="28">
    <w:abstractNumId w:val="6"/>
  </w:num>
  <w:num w:numId="29">
    <w:abstractNumId w:val="16"/>
  </w:num>
  <w:num w:numId="30">
    <w:abstractNumId w:val="2"/>
  </w:num>
  <w:num w:numId="31">
    <w:abstractNumId w:val="11"/>
  </w:num>
  <w:num w:numId="32">
    <w:abstractNumId w:val="41"/>
  </w:num>
  <w:num w:numId="33">
    <w:abstractNumId w:val="3"/>
  </w:num>
  <w:num w:numId="34">
    <w:abstractNumId w:val="24"/>
  </w:num>
  <w:num w:numId="35">
    <w:abstractNumId w:val="39"/>
  </w:num>
  <w:num w:numId="36">
    <w:abstractNumId w:val="42"/>
  </w:num>
  <w:num w:numId="37">
    <w:abstractNumId w:val="10"/>
  </w:num>
  <w:num w:numId="38">
    <w:abstractNumId w:val="4"/>
  </w:num>
  <w:num w:numId="39">
    <w:abstractNumId w:val="19"/>
  </w:num>
  <w:num w:numId="40">
    <w:abstractNumId w:val="26"/>
  </w:num>
  <w:num w:numId="41">
    <w:abstractNumId w:val="13"/>
  </w:num>
  <w:num w:numId="42">
    <w:abstractNumId w:val="45"/>
  </w:num>
  <w:num w:numId="43">
    <w:abstractNumId w:val="29"/>
  </w:num>
  <w:num w:numId="44">
    <w:abstractNumId w:val="15"/>
  </w:num>
  <w:num w:numId="45">
    <w:abstractNumId w:val="5"/>
  </w:num>
  <w:num w:numId="46">
    <w:abstractNumId w:val="30"/>
  </w:num>
  <w:num w:numId="47">
    <w:abstractNumId w:val="22"/>
  </w:num>
  <w:num w:numId="48">
    <w:abstractNumId w:val="2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25C5A"/>
    <w:rsid w:val="00043305"/>
    <w:rsid w:val="00055407"/>
    <w:rsid w:val="00063DFF"/>
    <w:rsid w:val="00075030"/>
    <w:rsid w:val="000959E6"/>
    <w:rsid w:val="000A075F"/>
    <w:rsid w:val="000C63A4"/>
    <w:rsid w:val="000D394D"/>
    <w:rsid w:val="000E38A8"/>
    <w:rsid w:val="000E6568"/>
    <w:rsid w:val="000F397E"/>
    <w:rsid w:val="00123381"/>
    <w:rsid w:val="00156D53"/>
    <w:rsid w:val="00171B2B"/>
    <w:rsid w:val="0019737D"/>
    <w:rsid w:val="001A0F35"/>
    <w:rsid w:val="001B63A4"/>
    <w:rsid w:val="001B7DAA"/>
    <w:rsid w:val="001C720D"/>
    <w:rsid w:val="001E19E2"/>
    <w:rsid w:val="001E391D"/>
    <w:rsid w:val="0020025C"/>
    <w:rsid w:val="00212375"/>
    <w:rsid w:val="00231020"/>
    <w:rsid w:val="00240934"/>
    <w:rsid w:val="00240FD7"/>
    <w:rsid w:val="00254761"/>
    <w:rsid w:val="0026311A"/>
    <w:rsid w:val="002666A0"/>
    <w:rsid w:val="002950A0"/>
    <w:rsid w:val="002A5636"/>
    <w:rsid w:val="002B1C51"/>
    <w:rsid w:val="002B7981"/>
    <w:rsid w:val="002E1FD0"/>
    <w:rsid w:val="00303A9D"/>
    <w:rsid w:val="003066BE"/>
    <w:rsid w:val="003151D0"/>
    <w:rsid w:val="003161AA"/>
    <w:rsid w:val="00320FF5"/>
    <w:rsid w:val="003227CC"/>
    <w:rsid w:val="0034685F"/>
    <w:rsid w:val="00351E5A"/>
    <w:rsid w:val="003572EF"/>
    <w:rsid w:val="00381CCE"/>
    <w:rsid w:val="00382E57"/>
    <w:rsid w:val="003B35DF"/>
    <w:rsid w:val="003C2D04"/>
    <w:rsid w:val="003F1917"/>
    <w:rsid w:val="003F326D"/>
    <w:rsid w:val="003F79EF"/>
    <w:rsid w:val="0043191A"/>
    <w:rsid w:val="00432B76"/>
    <w:rsid w:val="00450837"/>
    <w:rsid w:val="004721D7"/>
    <w:rsid w:val="004801BE"/>
    <w:rsid w:val="004A5CD7"/>
    <w:rsid w:val="004B7430"/>
    <w:rsid w:val="004B7C66"/>
    <w:rsid w:val="004D7AC0"/>
    <w:rsid w:val="004F51B1"/>
    <w:rsid w:val="004F6E52"/>
    <w:rsid w:val="005215A3"/>
    <w:rsid w:val="005275B5"/>
    <w:rsid w:val="00532089"/>
    <w:rsid w:val="00554171"/>
    <w:rsid w:val="00586B4B"/>
    <w:rsid w:val="005A0BDA"/>
    <w:rsid w:val="005C73A1"/>
    <w:rsid w:val="005D51A7"/>
    <w:rsid w:val="005D59E4"/>
    <w:rsid w:val="005E432E"/>
    <w:rsid w:val="005E7651"/>
    <w:rsid w:val="005F1C0E"/>
    <w:rsid w:val="005F797E"/>
    <w:rsid w:val="006179EF"/>
    <w:rsid w:val="00625CA3"/>
    <w:rsid w:val="00641262"/>
    <w:rsid w:val="00651562"/>
    <w:rsid w:val="006537CB"/>
    <w:rsid w:val="006D2C8A"/>
    <w:rsid w:val="006D2D64"/>
    <w:rsid w:val="006D5AE4"/>
    <w:rsid w:val="007435E6"/>
    <w:rsid w:val="00754027"/>
    <w:rsid w:val="0075742D"/>
    <w:rsid w:val="00766B1A"/>
    <w:rsid w:val="00770396"/>
    <w:rsid w:val="00783D73"/>
    <w:rsid w:val="00797AAF"/>
    <w:rsid w:val="007A5F20"/>
    <w:rsid w:val="007C4222"/>
    <w:rsid w:val="007F5784"/>
    <w:rsid w:val="0080201B"/>
    <w:rsid w:val="00805E64"/>
    <w:rsid w:val="00844CF3"/>
    <w:rsid w:val="00845F24"/>
    <w:rsid w:val="00863217"/>
    <w:rsid w:val="0088219D"/>
    <w:rsid w:val="0089162C"/>
    <w:rsid w:val="008943CC"/>
    <w:rsid w:val="008B600E"/>
    <w:rsid w:val="00942860"/>
    <w:rsid w:val="009770F1"/>
    <w:rsid w:val="00993832"/>
    <w:rsid w:val="009964F4"/>
    <w:rsid w:val="009A3B12"/>
    <w:rsid w:val="009F0605"/>
    <w:rsid w:val="009F43C9"/>
    <w:rsid w:val="00A1625F"/>
    <w:rsid w:val="00A174E9"/>
    <w:rsid w:val="00A20E9D"/>
    <w:rsid w:val="00A272B2"/>
    <w:rsid w:val="00A50553"/>
    <w:rsid w:val="00A6461A"/>
    <w:rsid w:val="00A9750A"/>
    <w:rsid w:val="00AC3348"/>
    <w:rsid w:val="00AC3821"/>
    <w:rsid w:val="00AE1A95"/>
    <w:rsid w:val="00AE7912"/>
    <w:rsid w:val="00AF27EF"/>
    <w:rsid w:val="00B203DA"/>
    <w:rsid w:val="00B518C9"/>
    <w:rsid w:val="00B52F62"/>
    <w:rsid w:val="00B56F4F"/>
    <w:rsid w:val="00B60D9A"/>
    <w:rsid w:val="00B71CD1"/>
    <w:rsid w:val="00B92D7E"/>
    <w:rsid w:val="00BC7002"/>
    <w:rsid w:val="00BD11E7"/>
    <w:rsid w:val="00BD4876"/>
    <w:rsid w:val="00BE355C"/>
    <w:rsid w:val="00BE54B3"/>
    <w:rsid w:val="00C008B4"/>
    <w:rsid w:val="00C17ABD"/>
    <w:rsid w:val="00C2185C"/>
    <w:rsid w:val="00C26C67"/>
    <w:rsid w:val="00C504F7"/>
    <w:rsid w:val="00C737A5"/>
    <w:rsid w:val="00C821A5"/>
    <w:rsid w:val="00C86ABE"/>
    <w:rsid w:val="00CE792D"/>
    <w:rsid w:val="00D04355"/>
    <w:rsid w:val="00D228C8"/>
    <w:rsid w:val="00D264E4"/>
    <w:rsid w:val="00D43613"/>
    <w:rsid w:val="00D5108B"/>
    <w:rsid w:val="00D7076A"/>
    <w:rsid w:val="00D74CFF"/>
    <w:rsid w:val="00D81F5E"/>
    <w:rsid w:val="00D92269"/>
    <w:rsid w:val="00DE176A"/>
    <w:rsid w:val="00DF2F81"/>
    <w:rsid w:val="00E00A6B"/>
    <w:rsid w:val="00E11CA7"/>
    <w:rsid w:val="00E1573A"/>
    <w:rsid w:val="00E32C54"/>
    <w:rsid w:val="00E34939"/>
    <w:rsid w:val="00E449A3"/>
    <w:rsid w:val="00E661EA"/>
    <w:rsid w:val="00E77899"/>
    <w:rsid w:val="00E7797E"/>
    <w:rsid w:val="00E8520F"/>
    <w:rsid w:val="00EA5508"/>
    <w:rsid w:val="00EE332D"/>
    <w:rsid w:val="00EE3630"/>
    <w:rsid w:val="00F225C2"/>
    <w:rsid w:val="00F267B0"/>
    <w:rsid w:val="00F837B3"/>
    <w:rsid w:val="00F83C17"/>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537CB"/>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F0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174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9162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E35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C3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83D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11C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3B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043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240F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2547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631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179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AE79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E19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349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F3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32C54"/>
    <w:pPr>
      <w:spacing w:after="100"/>
      <w:ind w:left="220"/>
    </w:pPr>
  </w:style>
  <w:style w:type="character" w:customStyle="1" w:styleId="UnresolvedMention1">
    <w:name w:val="Unresolved Mention1"/>
    <w:basedOn w:val="DefaultParagraphFont"/>
    <w:uiPriority w:val="99"/>
    <w:semiHidden/>
    <w:unhideWhenUsed/>
    <w:rsid w:val="00527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es/our-work/opinions-information-reports/opinions/assessing-tax-reporting-obligations-eu" TargetMode="External"/><Relationship Id="rId21" Type="http://schemas.openxmlformats.org/officeDocument/2006/relationships/hyperlink" Target="https://www.eesc.europa.eu/es/documents/resolution/eesc-contribution-2026-european-commission-work-programme" TargetMode="External"/><Relationship Id="rId34" Type="http://schemas.openxmlformats.org/officeDocument/2006/relationships/hyperlink" Target="https://www.eesc.europa.eu/es/our-work/opinions-information-reports/opinions/future-eu-strategy-rights-persons-disabilities-post-2025" TargetMode="External"/><Relationship Id="rId42" Type="http://schemas.openxmlformats.org/officeDocument/2006/relationships/hyperlink" Target="https://www.eesc.europa.eu/es/our-work/opinions-information-reports/opinions/planning-sustainable-urban-mobility-eu" TargetMode="External"/><Relationship Id="rId47" Type="http://schemas.openxmlformats.org/officeDocument/2006/relationships/hyperlink" Target="mailto:Silvia.Staffa@eesc.europa.eu" TargetMode="External"/><Relationship Id="rId50" Type="http://schemas.openxmlformats.org/officeDocument/2006/relationships/hyperlink" Target="mailto:Marco.Ristori@eesc.europa.eu" TargetMode="External"/><Relationship Id="rId55" Type="http://schemas.openxmlformats.org/officeDocument/2006/relationships/hyperlink" Target="mailto:Adam.Dorywalski@eesc.europa.eu" TargetMode="External"/><Relationship Id="rId63" Type="http://schemas.openxmlformats.org/officeDocument/2006/relationships/footer" Target="footer5.xml"/><Relationship Id="rId68" Type="http://schemas.openxmlformats.org/officeDocument/2006/relationships/customXml" Target="../customXml/item1.xml"/><Relationship Id="rId7" Type="http://schemas.openxmlformats.org/officeDocument/2006/relationships/styles" Target="styles.xml"/><Relationship Id="rId71" Type="http://schemas.openxmlformats.org/officeDocument/2006/relationships/customXml" Target="../customXml/item4.xml"/><Relationship Id="rId16" Type="http://schemas.openxmlformats.org/officeDocument/2006/relationships/header" Target="header2.xml"/><Relationship Id="rId29" Type="http://schemas.openxmlformats.org/officeDocument/2006/relationships/hyperlink" Target="mailto:GeorgiosMeleas@eesc.europa.eu" TargetMode="External"/><Relationship Id="rId11" Type="http://schemas.openxmlformats.org/officeDocument/2006/relationships/endnotes" Target="endnotes.xml"/><Relationship Id="rId24" Type="http://schemas.openxmlformats.org/officeDocument/2006/relationships/hyperlink" Target="https://www.eesc.europa.eu/es/our-work/opinions-information-reports/opinions/roadmap-womens-rights" TargetMode="External"/><Relationship Id="rId32" Type="http://schemas.openxmlformats.org/officeDocument/2006/relationships/hyperlink" Target="https://www.eesc.europa.eu/es/our-work/opinions-information-reports/opinions/new-action-plan-implementation-european-pillar-social-rights" TargetMode="External"/><Relationship Id="rId37" Type="http://schemas.openxmlformats.org/officeDocument/2006/relationships/hyperlink" Target="mailto:Valeria.Atzori@eesc.europa.eu" TargetMode="External"/><Relationship Id="rId40" Type="http://schemas.openxmlformats.org/officeDocument/2006/relationships/hyperlink" Target="https://www.eesc.europa.eu/es/our-work/opinions-information-reports/opinions/towards-balanced-european-energy-system" TargetMode="External"/><Relationship Id="rId45" Type="http://schemas.openxmlformats.org/officeDocument/2006/relationships/hyperlink" Target="mailto:Alice.Tetu@eesc.europa.eu" TargetMode="External"/><Relationship Id="rId53" Type="http://schemas.openxmlformats.org/officeDocument/2006/relationships/hyperlink" Target="https://www.eesc.europa.eu/es/our-work/opinions-information-reports/opinions/reindustrialisation-europe-opportunity-businesses-employees-and-citizens-context-cost-living-crisis" TargetMode="External"/><Relationship Id="rId58" Type="http://schemas.openxmlformats.org/officeDocument/2006/relationships/hyperlink" Target="https://www.eesc.europa.eu/es/our-work/opinions-information-reports/opinions/european-action-plan-cybersecurity-hospitals-and-healthcare-providers" TargetMode="External"/><Relationship Id="rId66" Type="http://schemas.openxmlformats.org/officeDocument/2006/relationships/fontTable" Target="fontTable.xml"/><Relationship Id="rId61" Type="http://schemas.openxmlformats.org/officeDocument/2006/relationships/header" Target="header5.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David.Scuderi@eesc.europa.eu" TargetMode="External"/><Relationship Id="rId27" Type="http://schemas.openxmlformats.org/officeDocument/2006/relationships/hyperlink" Target="mailto:Juri.Soosaar@eesc.europa.eu" TargetMode="External"/><Relationship Id="rId30" Type="http://schemas.openxmlformats.org/officeDocument/2006/relationships/hyperlink" Target="https://www.eesc.europa.eu/es/our-work/opinions-information-reports/opinions/enhancing-legal-and-organised-labour-migration-eu" TargetMode="External"/><Relationship Id="rId35" Type="http://schemas.openxmlformats.org/officeDocument/2006/relationships/hyperlink" Target="mailto:Valeria.Atzori@eesc.europa.eu" TargetMode="External"/><Relationship Id="rId43" Type="http://schemas.openxmlformats.org/officeDocument/2006/relationships/hyperlink" Target="mailto:Maja.Radman@eesc.europa.eu" TargetMode="External"/><Relationship Id="rId48" Type="http://schemas.openxmlformats.org/officeDocument/2006/relationships/hyperlink" Target="https://www.eesc.europa.eu/es/our-work/opinions-information-reports/opinions/regenerative-agriculture-target-towards-sustainable-agriculture-and-food-production-supporting-climate-and-biodiversity" TargetMode="External"/><Relationship Id="rId56" Type="http://schemas.openxmlformats.org/officeDocument/2006/relationships/hyperlink" Target="https://www.eesc.europa.eu/es/our-work/opinions-information-reports/opinions/critical-medicines-act/related-links-ccmi-240" TargetMode="External"/><Relationship Id="rId64" Type="http://schemas.openxmlformats.org/officeDocument/2006/relationships/header" Target="header6.xml"/><Relationship Id="rId69" Type="http://schemas.openxmlformats.org/officeDocument/2006/relationships/customXml" Target="../customXml/item2.xml"/><Relationship Id="rId8" Type="http://schemas.openxmlformats.org/officeDocument/2006/relationships/settings" Target="settings.xml"/><Relationship Id="rId51" Type="http://schemas.openxmlformats.org/officeDocument/2006/relationships/hyperlink" Target="https://www.eesc.europa.eu/es/our-work/opinions-information-reports/information-reports/situation-civil-society-organisations-asean-countries"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Gabriela.Grasu@eesc.europa.eu" TargetMode="External"/><Relationship Id="rId33" Type="http://schemas.openxmlformats.org/officeDocument/2006/relationships/hyperlink" Target="mailto:Bartek.Bednarowicz@eesc.europa.eu" TargetMode="External"/><Relationship Id="rId38" Type="http://schemas.openxmlformats.org/officeDocument/2006/relationships/hyperlink" Target="https://www.eesc.europa.eu/en/our-work/opinions-information-reports/opinions/support-workers-affected-imminent-job-displacement-enterprises-undergoing-restructuring" TargetMode="External"/><Relationship Id="rId46" Type="http://schemas.openxmlformats.org/officeDocument/2006/relationships/hyperlink" Target="https://www.eesc.europa.eu/es/our-work/opinions-information-reports/opinions/first-omnibus-package-sustainability" TargetMode="External"/><Relationship Id="rId59" Type="http://schemas.openxmlformats.org/officeDocument/2006/relationships/hyperlink" Target="mailto:Ioannis.Diamantopoulos@eesc.europa.eu"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mailto:GiorgiaAndrea.Bordignon@eesc.europa.eu" TargetMode="External"/><Relationship Id="rId54" Type="http://schemas.openxmlformats.org/officeDocument/2006/relationships/hyperlink" Target="https://www.eesc.europa.eu/es/initiatives/eu-youth-test-eesc" TargetMode="External"/><Relationship Id="rId62" Type="http://schemas.openxmlformats.org/officeDocument/2006/relationships/footer" Target="footer4.xml"/><Relationship Id="rId70" Type="http://schemas.openxmlformats.org/officeDocument/2006/relationships/customXml" Target="../customXml/item3.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tefania.Lopedote@eesc.europa.eu" TargetMode="External"/><Relationship Id="rId28" Type="http://schemas.openxmlformats.org/officeDocument/2006/relationships/hyperlink" Target="https://www.eesc.europa.eu/en/our-work/opinions-information-reports/opinions/additional-assistance-outermost-regions" TargetMode="External"/><Relationship Id="rId36" Type="http://schemas.openxmlformats.org/officeDocument/2006/relationships/hyperlink" Target="https://www.eesc.europa.eu/es/our-work/opinions-information-reports/opinions/how-address-loss-purchasing-power-and-risk-rising-inequalities-exclusion-and-marginalization" TargetMode="External"/><Relationship Id="rId49" Type="http://schemas.openxmlformats.org/officeDocument/2006/relationships/hyperlink" Target="mailto:Martine.Delanoy@eesc.europa.eu" TargetMode="External"/><Relationship Id="rId57" Type="http://schemas.openxmlformats.org/officeDocument/2006/relationships/hyperlink" Target="mailto:JacopoErnesto.Caja@eesc.europa.eu" TargetMode="Externa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es/our-work/opinions-information-reports/opinions/battery-due-diligence-policies" TargetMode="External"/><Relationship Id="rId52" Type="http://schemas.openxmlformats.org/officeDocument/2006/relationships/hyperlink" Target="mailto:Gunilla.Sandberg@eesc.europa.eu" TargetMode="External"/><Relationship Id="rId60" Type="http://schemas.openxmlformats.org/officeDocument/2006/relationships/header" Target="header4.xml"/><Relationship Id="rId65" Type="http://schemas.openxmlformats.org/officeDocument/2006/relationships/footer" Target="footer6.xml"/><Relationship Id="rId9" Type="http://schemas.openxmlformats.org/officeDocument/2006/relationships/webSettings" Target="webSettings.xml"/><Relationship Id="rId13" Type="http://schemas.openxmlformats.org/officeDocument/2006/relationships/hyperlink" Target="https://www.eesc.europa.eu/es/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mailto:Bartek.Bednarowicz@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26272E6D350E4BA98D090F484731A0" ma:contentTypeVersion="4" ma:contentTypeDescription="Defines the documents for Document Manager V2" ma:contentTypeScope="" ma:versionID="06c6d1ca1f0ecd2b8160ea2f3986497c">
  <xsd:schema xmlns:xsd="http://www.w3.org/2001/XMLSchema" xmlns:xs="http://www.w3.org/2001/XMLSchema" xmlns:p="http://schemas.microsoft.com/office/2006/metadata/properties" xmlns:ns2="1a33af13-4045-4f88-9d7b-618e30f79918" xmlns:ns3="http://schemas.microsoft.com/sharepoint/v3/fields" xmlns:ns4="aa382cf6-584e-4bd2-bd73-0bac1a20efcb" targetNamespace="http://schemas.microsoft.com/office/2006/metadata/properties" ma:root="true" ma:fieldsID="bef8e357c2859f419fb9a63c872f6d08" ns2:_="" ns3:_="" ns4:_="">
    <xsd:import namespace="1a33af13-4045-4f88-9d7b-618e30f79918"/>
    <xsd:import namespace="http://schemas.microsoft.com/sharepoint/v3/fields"/>
    <xsd:import namespace="aa382cf6-584e-4bd2-bd73-0bac1a20efc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82cf6-584e-4bd2-bd73-0bac1a20efc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A6WAAD5KZT2Q-293470456-8395</_dlc_DocId>
    <_dlc_DocIdUrl xmlns="1a33af13-4045-4f88-9d7b-618e30f79918">
      <Url>http://dm/eesc/2025/_layouts/15/DocIdRedir.aspx?ID=A6WAAD5KZT2Q-293470456-8395</Url>
      <Description>A6WAAD5KZT2Q-293470456-8395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2025-06-30T12:00:00+00:00</ProductionDate>
    <DocumentNumber xmlns="aa382cf6-584e-4bd2-bd73-0bac1a20efcb">1645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2025-07-16T12:00:00+00:00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6540</FicheNumber>
    <OriginalSender xmlns="1a33af13-4045-4f88-9d7b-618e30f79918">
      <UserInfo>
        <DisplayName>Navarro Anna</DisplayName>
        <AccountId>1542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a382cf6-584e-4bd2-bd73-0bac1a20efcb">598</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EA6810F4-F11B-44E6-A200-4212A55F9748}"/>
</file>

<file path=customXml/itemProps2.xml><?xml version="1.0" encoding="utf-8"?>
<ds:datastoreItem xmlns:ds="http://schemas.openxmlformats.org/officeDocument/2006/customXml" ds:itemID="{5D919A4E-BD12-43F9-BB5B-7FCBB74245D2}"/>
</file>

<file path=customXml/itemProps3.xml><?xml version="1.0" encoding="utf-8"?>
<ds:datastoreItem xmlns:ds="http://schemas.openxmlformats.org/officeDocument/2006/customXml" ds:itemID="{DC01572F-4FC7-4A6A-9B07-2E0F3C05A0EA}"/>
</file>

<file path=customXml/itemProps4.xml><?xml version="1.0" encoding="utf-8"?>
<ds:datastoreItem xmlns:ds="http://schemas.openxmlformats.org/officeDocument/2006/customXml" ds:itemID="{27B1B84A-4B48-4ABD-A605-C31FDC7B5FD7}"/>
</file>

<file path=docProps/app.xml><?xml version="1.0" encoding="utf-8"?>
<Properties xmlns="http://schemas.openxmlformats.org/officeDocument/2006/extended-properties" xmlns:vt="http://schemas.openxmlformats.org/officeDocument/2006/docPropsVTypes">
  <Template>Normal.dotm</Template>
  <TotalTime>0</TotalTime>
  <Pages>26</Pages>
  <Words>8287</Words>
  <Characters>47241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- 597. pleno de junio de 2025</dc:title>
  <dc:subject>TCD</dc:subject>
  <dc:creator>Nieddu Emma</dc:creator>
  <cp:keywords>EESC-2025-01645-00-00-TCD-TRA-EN</cp:keywords>
  <dc:description>Rapporteur:  - Original language: EN - Date of document: 30/06/2025 - Date of meeting: 30/16/2025 14:30 - External documents:  - Administrator: MME TAMASAUSKIENE Julija</dc:description>
  <cp:lastModifiedBy>Navarro Anna</cp:lastModifiedBy>
  <cp:revision>10</cp:revision>
  <dcterms:created xsi:type="dcterms:W3CDTF">2025-06-24T14:06:00Z</dcterms:created>
  <dcterms:modified xsi:type="dcterms:W3CDTF">2025-06-30T14:15:00Z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24/06/2025, 02/05/2022, 02/05/2022, 28/06/2021</vt:lpwstr>
  </property>
  <property fmtid="{D5CDD505-2E9C-101B-9397-08002B2CF9AE}" pid="4" name="Pref_Time">
    <vt:lpwstr>16:06:11, 12:28:29, 12:25:37, 08:41:48</vt:lpwstr>
  </property>
  <property fmtid="{D5CDD505-2E9C-101B-9397-08002B2CF9AE}" pid="5" name="Pref_User">
    <vt:lpwstr>pacup, enied, enied, enied</vt:lpwstr>
  </property>
  <property fmtid="{D5CDD505-2E9C-101B-9397-08002B2CF9AE}" pid="6" name="Pref_FileName">
    <vt:lpwstr>EESC-2025-01645-00-00-TCD-ORI.docx, Summary of opinions.docx, COR-EESC-2022-02370-00-00-ADMIN-ORI.docx, Synthese des avis Template.docx</vt:lpwstr>
  </property>
  <property fmtid="{D5CDD505-2E9C-101B-9397-08002B2CF9AE}" pid="7" name="ContentTypeId">
    <vt:lpwstr>0x010100EA97B91038054C99906057A708A1480A00FD26272E6D350E4BA98D090F484731A0</vt:lpwstr>
  </property>
  <property fmtid="{D5CDD505-2E9C-101B-9397-08002B2CF9AE}" pid="8" name="_dlc_DocIdItemGuid">
    <vt:lpwstr>06f97599-61f3-4cc1-84a5-0ec315f9bf7f</vt:lpwstr>
  </property>
  <property fmtid="{D5CDD505-2E9C-101B-9397-08002B2CF9AE}" pid="9" name="AvailableTranslations">
    <vt:lpwstr>40;#DA|5d49c027-8956-412b-aa16-e85a0f96ad0e;#16;#ES|e7a6b05b-ae16-40c8-add9-68b64b03aeba;#41;#ET|ff6c3f4c-b02c-4c3c-ab07-2c37995a7a0a;#33;#PT|50ccc04a-eadd-42ae-a0cb-acaf45f812ba;#29;#CS|72f9705b-0217-4fd3-bea2-cbc7ed80e26e;#28;#SV|c2ed69e7-a339-43d7-8f22-d93680a92aa0;#42;#EL|6d4f4d51-af9b-4650-94b4-4276bee85c91;#5;#EN|f2175f21-25d7-44a3-96da-d6a61b075e1b;#35;#FI|87606a43-d45f-42d6-b8c9-e1a3457db5b7;#24;#PL|1e03da61-4678-4e07-b136-b5024ca9197b;#46;#SK|46d9fce0-ef79-4f71-b89b-cd6aa82426b8;#36;#RO|feb747a2-64cd-4299-af12-4833ddc30497;#23;#DE|f6b31e5a-26fa-4935-b661-318e46daf27e;#27;#NL|55c6556c-b4f4-441d-9acf-c498d4f838bd;#31;#SL|98a412ae-eb01-49e9-ae3d-585a81724cfc;#12;#FR|d2afafd3-4c81-4f60-8f52-ee33f2f54ff3;#47;#BG|1a1b3951-7821-4e6a-85f5-5673fc08bd2c;#37;#HU|6b229040-c589-4408-b4c1-4285663d20a8;#50;#HR|2f555653-ed1a-4fe6-8362-9082d95989e5;#34;#IT|0774613c-01ed-4e5d-a25d-11d2388de825;#39;#LV|46f7e311-5d9f-4663-b433-18aeccb7ace7;#30;#LT|a7ff5ce7-6123-4f68-865a-a57c31810414</vt:lpwstr>
  </property>
  <property fmtid="{D5CDD505-2E9C-101B-9397-08002B2CF9AE}" pid="10" name="DocumentType_0">
    <vt:lpwstr>TCD|cd9d6eb6-3f4f-424a-b2d1-57c9d450eaaf</vt:lpwstr>
  </property>
  <property fmtid="{D5CDD505-2E9C-101B-9397-08002B2CF9AE}" pid="11" name="MeetingNumber">
    <vt:i4>598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1645</vt:i4>
  </property>
  <property fmtid="{D5CDD505-2E9C-101B-9397-08002B2CF9AE}" pid="15" name="DocumentVersion">
    <vt:i4>0</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2025-07-16T12:00:00Z</vt:filetime>
  </property>
  <property fmtid="{D5CDD505-2E9C-101B-9397-08002B2CF9AE}" pid="29" name="AvailableTranslations_0">
    <vt:lpwstr>EN|f2175f21-25d7-44a3-96da-d6a61b075e1b;DE|f6b31e5a-26fa-4935-b661-318e46daf27e;HR|2f555653-ed1a-4fe6-8362-9082d95989e5</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13;#TRA|150d2a88-1431-44e6-a8ca-0bb753ab8672;#50;#HR|2f555653-ed1a-4fe6-8362-9082d95989e5;#8;#Final|ea5e6674-7b27-4bac-b091-73adbb394efe;#23;#DE|f6b31e5a-26fa-4935-b661-318e46daf27e;#5;#EN|f2175f21-25d7-44a3-96da-d6a61b075e1b;#19;#TCD|cd9d6eb6-3f4f-424a-b2d1-57c9d450eaaf;#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6540</vt:i4>
  </property>
  <property fmtid="{D5CDD505-2E9C-101B-9397-08002B2CF9AE}" pid="37" name="DocumentLanguage">
    <vt:lpwstr>16;#ES|e7a6b05b-ae16-40c8-add9-68b64b03aeba</vt:lpwstr>
  </property>
  <property fmtid="{D5CDD505-2E9C-101B-9397-08002B2CF9AE}" pid="38" name="_docset_NoMedatataSyncRequired">
    <vt:lpwstr>False</vt:lpwstr>
  </property>
</Properties>
</file>