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6A23" w:rsidR="003C2229" w:rsidP="00686EC2" w:rsidRDefault="00355E0E" w14:paraId="668577B2" w14:textId="0FAD341C">
      <w:pPr>
        <w:spacing w:line="240" w:lineRule="auto"/>
        <w:rPr>
          <w:rFonts w:ascii="Verdana" w:hAnsi="Verdana"/>
          <w:sz w:val="20"/>
        </w:rPr>
      </w:pPr>
      <w:r>
        <w:rPr>
          <w:rFonts w:ascii="Verdana" w:hAnsi="Verdana"/>
          <w:noProof/>
          <w:sz w:val="20"/>
          <w:lang w:val="en-US"/>
        </w:rPr>
        <w:drawing>
          <wp:inline distT="0" distB="0" distL="0" distR="0" wp14:anchorId="2B11C582" wp14:editId="63D2D521">
            <wp:extent cx="5754422" cy="139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SC-PressRelease-EN-wordheader.jpg"/>
                    <pic:cNvPicPr/>
                  </pic:nvPicPr>
                  <pic:blipFill>
                    <a:blip r:embed="rId12">
                      <a:extLst>
                        <a:ext uri="{28A0092B-C50C-407E-A947-70E740481C1C}">
                          <a14:useLocalDpi xmlns:a14="http://schemas.microsoft.com/office/drawing/2010/main" val="0"/>
                        </a:ext>
                      </a:extLst>
                    </a:blip>
                    <a:stretch>
                      <a:fillRect/>
                    </a:stretch>
                  </pic:blipFill>
                  <pic:spPr>
                    <a:xfrm>
                      <a:off x="0" y="0"/>
                      <a:ext cx="5754422" cy="1396800"/>
                    </a:xfrm>
                    <a:prstGeom prst="rect">
                      <a:avLst/>
                    </a:prstGeom>
                  </pic:spPr>
                </pic:pic>
              </a:graphicData>
            </a:graphic>
          </wp:inline>
        </w:drawing>
      </w:r>
    </w:p>
    <w:tbl>
      <w:tblPr>
        <w:tblW w:w="0" w:type="auto"/>
        <w:tblLook w:val="0000" w:firstRow="0" w:lastRow="0" w:firstColumn="0" w:lastColumn="0" w:noHBand="0" w:noVBand="0"/>
      </w:tblPr>
      <w:tblGrid>
        <w:gridCol w:w="5168"/>
        <w:gridCol w:w="4119"/>
      </w:tblGrid>
      <w:tr w:rsidRPr="00906A23" w:rsidR="00C93E55" w:rsidTr="00705C0F" w14:paraId="5C3A6577" w14:textId="77777777">
        <w:trPr>
          <w:cantSplit/>
        </w:trPr>
        <w:tc>
          <w:tcPr>
            <w:tcW w:w="5168" w:type="dxa"/>
          </w:tcPr>
          <w:p w:rsidRPr="00906A23" w:rsidR="00C93E55" w:rsidP="001C54D3" w:rsidRDefault="00C93E55" w14:paraId="294DD7E9" w14:textId="59AB65CD">
            <w:pPr>
              <w:spacing w:before="120" w:after="120" w:line="240" w:lineRule="auto"/>
              <w:rPr>
                <w:rFonts w:ascii="Verdana" w:hAnsi="Verdana"/>
                <w:b/>
                <w:bCs/>
                <w:sz w:val="20"/>
              </w:rPr>
            </w:pPr>
            <w:r>
              <w:rPr>
                <w:rFonts w:ascii="Verdana" w:hAnsi="Verdana"/>
                <w:b/>
                <w:sz w:val="20"/>
              </w:rPr>
              <w:t>Nº 22/2025</w:t>
            </w:r>
          </w:p>
        </w:tc>
        <w:tc>
          <w:tcPr>
            <w:tcW w:w="4119" w:type="dxa"/>
          </w:tcPr>
          <w:p w:rsidRPr="00906A23" w:rsidR="00C93E55" w:rsidP="001C54D3" w:rsidRDefault="00705660" w14:paraId="2A60BCDE" w14:textId="00A10A3E">
            <w:pPr>
              <w:spacing w:before="120" w:after="120" w:line="240" w:lineRule="auto"/>
              <w:jc w:val="right"/>
              <w:rPr>
                <w:rFonts w:ascii="Verdana" w:hAnsi="Verdana"/>
                <w:b/>
                <w:bCs/>
                <w:sz w:val="20"/>
              </w:rPr>
            </w:pPr>
            <w:r>
              <w:rPr>
                <w:rFonts w:ascii="Verdana" w:hAnsi="Verdana"/>
                <w:b/>
                <w:sz w:val="20"/>
              </w:rPr>
              <w:t>11 juin 2025</w:t>
            </w:r>
          </w:p>
        </w:tc>
      </w:tr>
    </w:tbl>
    <w:p w:rsidRPr="00906A23" w:rsidR="00D81F45" w:rsidP="002F5762" w:rsidRDefault="00ED1BA9" w14:paraId="4E90BE63" w14:textId="020A03E5">
      <w:pPr>
        <w:rPr>
          <w:rFonts w:ascii="Verdana" w:hAnsi="Verdana"/>
          <w:bCs/>
          <w:sz w:val="18"/>
          <w:szCs w:val="18"/>
        </w:rPr>
      </w:pPr>
      <w:r>
        <w:rPr>
          <w:rFonts w:ascii="Verdana" w:hAnsi="Verdana"/>
          <w:noProof/>
          <w:sz w:val="20"/>
        </w:rPr>
        <mc:AlternateContent>
          <mc:Choice Requires="wps">
            <w:drawing>
              <wp:anchor distT="0" distB="0" distL="114300" distR="114300" simplePos="0" relativeHeight="251659264" behindDoc="1" locked="0" layoutInCell="0" allowOverlap="1" wp14:editId="4E8D6F05" wp14:anchorId="0CCAFE41">
                <wp:simplePos x="0" y="0"/>
                <wp:positionH relativeFrom="page">
                  <wp:posOffset>6769100</wp:posOffset>
                </wp:positionH>
                <wp:positionV relativeFrom="page">
                  <wp:posOffset>10081260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321382" w:rsidRDefault="00321382" w14:paraId="41AF90D2" w14:textId="77777777">
                            <w:pPr>
                              <w:jc w:val="center"/>
                              <w:rPr>
                                <w:rFonts w:ascii="Arial" w:hAnsi="Arial" w:cs="Arial"/>
                                <w:b/>
                                <w:bCs/>
                                <w:sz w:val="48"/>
                              </w:rPr>
                            </w:pPr>
                            <w:r>
                              <w:rPr>
                                <w:rFonts w:ascii="Arial" w:hAnsi="Arial"/>
                                <w:b/>
                                <w:sz w:val="48"/>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CCAFE41">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DQ0NvV8gEAAMcDAAAOAAAAAAAAAAAAAAAAAC4CAABkcnMv&#10;ZTJvRG9jLnhtbFBLAQItABQABgAIAAAAIQDrVDFa3gAAAA8BAAAPAAAAAAAAAAAAAAAAAEwEAABk&#10;cnMvZG93bnJldi54bWxQSwUGAAAAAAQABADzAAAAVwUAAAAA&#10;">
                <v:textbox>
                  <w:txbxContent>
                    <w:p w:rsidRPr="00260E65" w:rsidR="00321382" w:rsidRDefault="00321382" w14:paraId="41AF90D2" w14:textId="77777777">
                      <w:pPr>
                        <w:jc w:val="center"/>
                        <w:rPr>
                          <w:rFonts w:ascii="Arial" w:hAnsi="Arial" w:cs="Arial"/>
                          <w:b/>
                          <w:bCs/>
                          <w:sz w:val="48"/>
                        </w:rPr>
                      </w:pPr>
                      <w:r>
                        <w:rPr>
                          <w:rFonts w:ascii="Arial" w:hAnsi="Arial"/>
                          <w:b/>
                          <w:sz w:val="48"/>
                        </w:rPr>
                        <w:t>FR</w:t>
                      </w:r>
                    </w:p>
                  </w:txbxContent>
                </v:textbox>
                <w10:wrap anchorx="page" anchory="page"/>
              </v:shape>
            </w:pict>
          </mc:Fallback>
        </mc:AlternateContent>
      </w:r>
    </w:p>
    <w:p w:rsidRPr="00906A23" w:rsidR="00C577B9" w:rsidP="002F5762" w:rsidRDefault="00F5594C" w14:paraId="76D5EA57" w14:textId="5840EDDC">
      <w:pPr>
        <w:jc w:val="center"/>
        <w:rPr>
          <w:rFonts w:ascii="Verdana" w:hAnsi="Verdana"/>
          <w:b/>
          <w:color w:val="0070C0"/>
          <w:sz w:val="28"/>
          <w:szCs w:val="28"/>
        </w:rPr>
      </w:pPr>
      <w:r>
        <w:rPr>
          <w:rFonts w:ascii="Verdana" w:hAnsi="Verdana"/>
          <w:b/>
          <w:color w:val="0070C0"/>
          <w:sz w:val="28"/>
        </w:rPr>
        <w:t>La production d’énergie doit être plus inclusive et abordable, tant dans les zones urbaines que rurales</w:t>
      </w:r>
    </w:p>
    <w:p w:rsidRPr="00906A23" w:rsidR="00A04C23" w:rsidP="002F5762" w:rsidRDefault="00A04C23" w14:paraId="7B780AEA" w14:textId="77777777">
      <w:pPr>
        <w:rPr>
          <w:rFonts w:ascii="Verdana" w:hAnsi="Verdana"/>
          <w:sz w:val="18"/>
          <w:szCs w:val="18"/>
        </w:rPr>
      </w:pPr>
    </w:p>
    <w:p w:rsidRPr="00906A23" w:rsidR="00554F23" w:rsidP="002F5762" w:rsidRDefault="00EF7D8B" w14:paraId="28C55262" w14:textId="5EC27671">
      <w:pPr>
        <w:rPr>
          <w:rFonts w:ascii="Verdana" w:hAnsi="Verdana"/>
          <w:bCs/>
          <w:sz w:val="18"/>
          <w:szCs w:val="18"/>
        </w:rPr>
      </w:pPr>
      <w:r>
        <w:rPr>
          <w:rFonts w:ascii="Verdana" w:hAnsi="Verdana"/>
          <w:b/>
          <w:sz w:val="18"/>
        </w:rPr>
        <w:t>La conférence sur le caractère abordable de l’énergie, organisée conjointement par le Comité économique et social européen (CESE) et la Commission européenne, a souligné la nécessité d’une participation active du plus grand nombre possible de citoyens. Les ménages, les citoyens vulnérables et les PME doivent devenir les principaux acteurs de la transition énergétique, y compris dans les zones rurales.</w:t>
      </w:r>
    </w:p>
    <w:p w:rsidRPr="00906A23" w:rsidR="00554F23" w:rsidP="002F5762" w:rsidRDefault="00554F23" w14:paraId="32431A3F" w14:textId="748C528F">
      <w:pPr>
        <w:rPr>
          <w:rFonts w:ascii="Verdana" w:hAnsi="Verdana"/>
          <w:sz w:val="18"/>
          <w:szCs w:val="18"/>
        </w:rPr>
      </w:pPr>
    </w:p>
    <w:p w:rsidRPr="00906A23" w:rsidR="004938BE" w:rsidP="002F5762" w:rsidRDefault="00226683" w14:paraId="7565BDB3" w14:textId="4A16685E">
      <w:pPr>
        <w:rPr>
          <w:rFonts w:ascii="Verdana" w:hAnsi="Verdana"/>
          <w:sz w:val="18"/>
          <w:szCs w:val="18"/>
        </w:rPr>
      </w:pPr>
      <w:r>
        <w:rPr>
          <w:rFonts w:ascii="Verdana" w:hAnsi="Verdana"/>
          <w:sz w:val="18"/>
        </w:rPr>
        <w:t>L’UE doit être en mesure de produire de l’énergie d’une manière plus inclusive et abordable, et il convient que les citoyens européens jouent un rôle actif dans ce processus, y compris dans les zones rurales.</w:t>
      </w:r>
    </w:p>
    <w:p w:rsidRPr="00906A23" w:rsidR="004938BE" w:rsidP="002F5762" w:rsidRDefault="004938BE" w14:paraId="2A9DBF66" w14:textId="77777777">
      <w:pPr>
        <w:rPr>
          <w:rFonts w:ascii="Verdana" w:hAnsi="Verdana"/>
          <w:sz w:val="18"/>
          <w:szCs w:val="18"/>
        </w:rPr>
      </w:pPr>
    </w:p>
    <w:p w:rsidRPr="00906A23" w:rsidR="00F96F38" w:rsidP="002F5762" w:rsidRDefault="00226683" w14:paraId="686EA676" w14:textId="4428EE42">
      <w:pPr>
        <w:rPr>
          <w:rFonts w:ascii="Verdana" w:hAnsi="Verdana"/>
          <w:sz w:val="18"/>
          <w:szCs w:val="18"/>
        </w:rPr>
      </w:pPr>
      <w:r>
        <w:rPr>
          <w:rFonts w:ascii="Verdana" w:hAnsi="Verdana"/>
          <w:sz w:val="18"/>
        </w:rPr>
        <w:t>Tels sont les principaux points marquants qui sont ressortis de la conférence sur le thème «</w:t>
      </w:r>
      <w:hyperlink w:history="1" r:id="rId13">
        <w:r>
          <w:rPr>
            <w:rStyle w:val="Hyperlink"/>
            <w:rFonts w:ascii="Verdana" w:hAnsi="Verdana"/>
            <w:i/>
            <w:sz w:val="18"/>
          </w:rPr>
          <w:t>Fournir une énergie abordable en Europe</w:t>
        </w:r>
      </w:hyperlink>
      <w:r>
        <w:rPr>
          <w:rFonts w:ascii="Verdana" w:hAnsi="Verdana"/>
          <w:sz w:val="18"/>
        </w:rPr>
        <w:t>», organisée conjointement par la section «Transports, énergie, infrastructures et société de l’information» (TEN) du CESE et la direction générale de l’énergie (DG ENER) de la Commission européenne, à Bruxelles, le 11 juin 2025.</w:t>
      </w:r>
    </w:p>
    <w:p w:rsidRPr="00906A23" w:rsidR="00AC2C26" w:rsidP="00AC2C26" w:rsidRDefault="00AC2C26" w14:paraId="1169CF3A" w14:textId="424FECFD">
      <w:pPr>
        <w:rPr>
          <w:rFonts w:ascii="Verdana" w:hAnsi="Verdana"/>
          <w:sz w:val="18"/>
          <w:szCs w:val="18"/>
        </w:rPr>
      </w:pPr>
    </w:p>
    <w:p w:rsidRPr="00906A23" w:rsidR="00141F7D" w:rsidP="00141F7D" w:rsidRDefault="00807937" w14:paraId="6967992A" w14:textId="2852C25C">
      <w:pPr>
        <w:rPr>
          <w:rFonts w:ascii="Verdana" w:hAnsi="Verdana"/>
          <w:sz w:val="18"/>
          <w:szCs w:val="18"/>
        </w:rPr>
      </w:pPr>
      <w:r>
        <w:rPr>
          <w:rFonts w:ascii="Verdana" w:hAnsi="Verdana"/>
          <w:sz w:val="18"/>
        </w:rPr>
        <w:t>L’événement a été l’occasion de souligner que l’Union européenne peut parvenir à une énergie abordable en se concentrant sur trois aspects: l’engagement des consommateurs, la protection des personnes vulnérables et les investissements durables. Plus précisément, elle a mis en évidence l’importance:</w:t>
      </w:r>
    </w:p>
    <w:p w:rsidRPr="00906A23" w:rsidR="00141F7D" w:rsidP="00141F7D" w:rsidRDefault="00141F7D" w14:paraId="466BC543" w14:textId="77777777">
      <w:pPr>
        <w:rPr>
          <w:rFonts w:ascii="Verdana" w:hAnsi="Verdana"/>
          <w:sz w:val="18"/>
          <w:szCs w:val="18"/>
        </w:rPr>
      </w:pPr>
    </w:p>
    <w:p w:rsidRPr="00906A23" w:rsidR="00141F7D" w:rsidP="00141F7D" w:rsidRDefault="00D63EC6" w14:paraId="2F7B6F7C" w14:textId="7E717286">
      <w:pPr>
        <w:pStyle w:val="ListParagraph"/>
        <w:numPr>
          <w:ilvl w:val="0"/>
          <w:numId w:val="7"/>
        </w:numPr>
        <w:spacing w:line="288" w:lineRule="auto"/>
        <w:ind w:left="284" w:hanging="284"/>
        <w:jc w:val="both"/>
        <w:rPr>
          <w:rFonts w:ascii="Verdana" w:hAnsi="Verdana"/>
          <w:sz w:val="18"/>
          <w:szCs w:val="18"/>
        </w:rPr>
      </w:pPr>
      <w:r>
        <w:rPr>
          <w:rFonts w:ascii="Verdana" w:hAnsi="Verdana"/>
          <w:sz w:val="18"/>
        </w:rPr>
        <w:t xml:space="preserve">de mettre au point des solutions innovantes visant à promouvoir un </w:t>
      </w:r>
      <w:r>
        <w:rPr>
          <w:rFonts w:ascii="Verdana" w:hAnsi="Verdana"/>
          <w:b/>
          <w:sz w:val="18"/>
        </w:rPr>
        <w:t>rôle actif pour tous les consommateurs</w:t>
      </w:r>
      <w:r>
        <w:rPr>
          <w:rFonts w:ascii="Verdana" w:hAnsi="Verdana"/>
          <w:sz w:val="18"/>
        </w:rPr>
        <w:t>, en faisant spécifiquement référence au rôle révolutionnaire joué par les communautés énergétiques; ce type d’engagement recèle un potentiel inexploité, qui est essentiel pour réaliser la transition écologique plus rapidement et plus efficacement;</w:t>
      </w:r>
    </w:p>
    <w:p w:rsidRPr="00906A23" w:rsidR="00141F7D" w:rsidP="00141F7D" w:rsidRDefault="00141F7D" w14:paraId="2D70C137" w14:textId="77777777">
      <w:pPr>
        <w:rPr>
          <w:rFonts w:ascii="Verdana" w:hAnsi="Verdana"/>
          <w:sz w:val="18"/>
          <w:szCs w:val="18"/>
        </w:rPr>
      </w:pPr>
    </w:p>
    <w:p w:rsidRPr="00906A23" w:rsidR="00141F7D" w:rsidP="00141F7D" w:rsidRDefault="00141F7D" w14:paraId="59B1144D" w14:textId="401AA600">
      <w:pPr>
        <w:pStyle w:val="ListParagraph"/>
        <w:numPr>
          <w:ilvl w:val="0"/>
          <w:numId w:val="7"/>
        </w:numPr>
        <w:spacing w:line="288" w:lineRule="auto"/>
        <w:ind w:left="284" w:hanging="284"/>
        <w:jc w:val="both"/>
        <w:rPr>
          <w:rFonts w:ascii="Verdana" w:hAnsi="Verdana"/>
          <w:sz w:val="18"/>
          <w:szCs w:val="18"/>
        </w:rPr>
      </w:pPr>
      <w:r>
        <w:rPr>
          <w:rFonts w:ascii="Verdana" w:hAnsi="Verdana"/>
          <w:sz w:val="18"/>
        </w:rPr>
        <w:t xml:space="preserve">de protéger les </w:t>
      </w:r>
      <w:r>
        <w:rPr>
          <w:rFonts w:ascii="Verdana" w:hAnsi="Verdana"/>
          <w:b/>
          <w:sz w:val="18"/>
        </w:rPr>
        <w:t>consommateurs vulnérables</w:t>
      </w:r>
      <w:r>
        <w:rPr>
          <w:rFonts w:ascii="Verdana" w:hAnsi="Verdana"/>
          <w:sz w:val="18"/>
        </w:rPr>
        <w:t xml:space="preserve"> et les ménages à faibles revenus en trouvant les options les plus appropriées pour garantir la consommation énergétique de base, l’inclusion effective et l’accès aux services essentiels pour ces personnes;</w:t>
      </w:r>
    </w:p>
    <w:p w:rsidRPr="00906A23" w:rsidR="00141F7D" w:rsidP="00141F7D" w:rsidRDefault="00141F7D" w14:paraId="7964A616" w14:textId="77777777">
      <w:pPr>
        <w:rPr>
          <w:rFonts w:ascii="Verdana" w:hAnsi="Verdana"/>
          <w:sz w:val="18"/>
          <w:szCs w:val="18"/>
        </w:rPr>
      </w:pPr>
    </w:p>
    <w:p w:rsidRPr="00906A23" w:rsidR="00141F7D" w:rsidP="00141F7D" w:rsidRDefault="004C49C3" w14:paraId="0F438838" w14:textId="2A123FB0">
      <w:pPr>
        <w:pStyle w:val="ListParagraph"/>
        <w:numPr>
          <w:ilvl w:val="0"/>
          <w:numId w:val="7"/>
        </w:numPr>
        <w:spacing w:line="288" w:lineRule="auto"/>
        <w:ind w:left="284" w:hanging="284"/>
        <w:jc w:val="both"/>
        <w:rPr>
          <w:rFonts w:ascii="Verdana" w:hAnsi="Verdana"/>
          <w:sz w:val="18"/>
          <w:szCs w:val="18"/>
        </w:rPr>
      </w:pPr>
      <w:r>
        <w:rPr>
          <w:rFonts w:ascii="Verdana" w:hAnsi="Verdana"/>
          <w:sz w:val="18"/>
        </w:rPr>
        <w:t xml:space="preserve">de répondre aux </w:t>
      </w:r>
      <w:r>
        <w:rPr>
          <w:rFonts w:ascii="Verdana" w:hAnsi="Verdana"/>
          <w:b/>
          <w:sz w:val="18"/>
        </w:rPr>
        <w:t>besoins d’investissement</w:t>
      </w:r>
      <w:r>
        <w:rPr>
          <w:rFonts w:ascii="Verdana" w:hAnsi="Verdana"/>
          <w:sz w:val="18"/>
        </w:rPr>
        <w:t xml:space="preserve"> et éventuellement de créer des outils au niveau de l’UE pour financer la transition écologique tout en améliorant la sécurité énergétique et le caractère abordable de l’énergie, à la lumière du plan d’action pour une énergie abordable de la Commission européenne.</w:t>
      </w:r>
    </w:p>
    <w:p w:rsidRPr="00906A23" w:rsidR="00141F7D" w:rsidP="00AC2C26" w:rsidRDefault="00141F7D" w14:paraId="64795844" w14:textId="704C3383">
      <w:pPr>
        <w:rPr>
          <w:rFonts w:ascii="Verdana" w:hAnsi="Verdana"/>
          <w:sz w:val="18"/>
          <w:szCs w:val="18"/>
        </w:rPr>
      </w:pPr>
    </w:p>
    <w:p w:rsidRPr="00906A23" w:rsidR="00141F7D" w:rsidP="00355E0E" w:rsidRDefault="00141F7D" w14:paraId="36611E74" w14:textId="7F46251C">
      <w:pPr>
        <w:keepNext/>
        <w:rPr>
          <w:rFonts w:ascii="Verdana" w:hAnsi="Verdana"/>
          <w:b/>
          <w:bCs/>
          <w:sz w:val="18"/>
          <w:szCs w:val="18"/>
        </w:rPr>
      </w:pPr>
      <w:r>
        <w:rPr>
          <w:rFonts w:ascii="Verdana" w:hAnsi="Verdana"/>
          <w:b/>
          <w:sz w:val="18"/>
        </w:rPr>
        <w:t>La précarité énergétique reste une source de préoccupation dans l’Union</w:t>
      </w:r>
    </w:p>
    <w:p w:rsidRPr="00906A23" w:rsidR="00141F7D" w:rsidP="00355E0E" w:rsidRDefault="00141F7D" w14:paraId="37BE3E38" w14:textId="77777777">
      <w:pPr>
        <w:keepNext/>
        <w:rPr>
          <w:rFonts w:ascii="Verdana" w:hAnsi="Verdana"/>
          <w:sz w:val="18"/>
          <w:szCs w:val="18"/>
        </w:rPr>
      </w:pPr>
    </w:p>
    <w:p w:rsidRPr="00906A23" w:rsidR="00AC2C26" w:rsidP="00AC2C26" w:rsidRDefault="00AC2C26" w14:paraId="102C8E00" w14:textId="47FCA669">
      <w:pPr>
        <w:rPr>
          <w:rFonts w:ascii="Verdana" w:hAnsi="Verdana"/>
          <w:sz w:val="18"/>
          <w:szCs w:val="18"/>
        </w:rPr>
      </w:pPr>
      <w:r>
        <w:rPr>
          <w:rFonts w:ascii="Verdana" w:hAnsi="Verdana"/>
          <w:sz w:val="18"/>
        </w:rPr>
        <w:t xml:space="preserve">La précarité énergétique reste une préoccupation majeure pour les Européens, même si en 2024, grâce aux mesures prises par l’UE, le nombre de citoyens qui ne sont pas en mesure de chauffer convenablement leur logement a diminué pour la première fois depuis 2021. Selon </w:t>
      </w:r>
      <w:hyperlink w:history="1" r:id="rId14">
        <w:r>
          <w:rPr>
            <w:rStyle w:val="Hyperlink"/>
            <w:rFonts w:ascii="Verdana" w:hAnsi="Verdana"/>
            <w:sz w:val="18"/>
          </w:rPr>
          <w:t>Eurostat</w:t>
        </w:r>
      </w:hyperlink>
      <w:r>
        <w:rPr>
          <w:rFonts w:ascii="Verdana" w:hAnsi="Verdana"/>
          <w:sz w:val="18"/>
        </w:rPr>
        <w:t xml:space="preserve">, en </w:t>
      </w:r>
      <w:r>
        <w:rPr>
          <w:rFonts w:ascii="Verdana" w:hAnsi="Verdana"/>
          <w:sz w:val="18"/>
        </w:rPr>
        <w:lastRenderedPageBreak/>
        <w:t>2024, la précarité énergétique a touché 9,2 % des Européens, contre 10,6 % en 2023, 9,3 % en 2022 et 6,9 % en 2021.</w:t>
      </w:r>
    </w:p>
    <w:p w:rsidRPr="00906A23" w:rsidR="00AC2C26" w:rsidP="00AC2C26" w:rsidRDefault="00AC2C26" w14:paraId="18504522" w14:textId="77777777">
      <w:pPr>
        <w:rPr>
          <w:rFonts w:ascii="Verdana" w:hAnsi="Verdana"/>
          <w:sz w:val="18"/>
          <w:szCs w:val="18"/>
        </w:rPr>
      </w:pPr>
    </w:p>
    <w:p w:rsidRPr="00906A23" w:rsidR="004A633E" w:rsidP="00AC2C26" w:rsidRDefault="00AC2C26" w14:paraId="462B01DC" w14:textId="1C9FAFD1">
      <w:pPr>
        <w:rPr>
          <w:rFonts w:ascii="Verdana" w:hAnsi="Verdana"/>
          <w:sz w:val="18"/>
          <w:szCs w:val="18"/>
        </w:rPr>
      </w:pPr>
      <w:r>
        <w:rPr>
          <w:rFonts w:ascii="Verdana" w:hAnsi="Verdana"/>
          <w:sz w:val="18"/>
        </w:rPr>
        <w:t xml:space="preserve">Afin de protéger les consommateurs vulnérables contre les coupures d’électricité, la Commission européenne a présenté, en février 2025, le </w:t>
      </w:r>
      <w:hyperlink w:history="1" r:id="rId15">
        <w:r>
          <w:rPr>
            <w:rStyle w:val="Hyperlink"/>
            <w:rFonts w:ascii="Verdana" w:hAnsi="Verdana"/>
            <w:sz w:val="18"/>
          </w:rPr>
          <w:t>plan d’action pour une énergie abordable</w:t>
        </w:r>
      </w:hyperlink>
      <w:r>
        <w:rPr>
          <w:rFonts w:ascii="Verdana" w:hAnsi="Verdana"/>
          <w:sz w:val="18"/>
        </w:rPr>
        <w:t>, dans le cadre du pacte pour une industrie propre. Le plan met l’accent sur la baisse des prix de l’énergie pour les citoyens, les entreprises et les collectivités dans l’ensemble de l’UE et propose une série de mesures visant à réduire les factures énergétiques, à accélérer les économies de coûts et à intensifier les réformes structurelles de notre système énergétique.</w:t>
      </w:r>
    </w:p>
    <w:p w:rsidRPr="00906A23" w:rsidR="00202DB2" w:rsidP="00AC2C26" w:rsidRDefault="00202DB2" w14:paraId="5606F2C8" w14:textId="77777777">
      <w:pPr>
        <w:rPr>
          <w:rFonts w:ascii="Verdana" w:hAnsi="Verdana"/>
          <w:sz w:val="18"/>
          <w:szCs w:val="18"/>
        </w:rPr>
      </w:pPr>
    </w:p>
    <w:p w:rsidRPr="00906A23" w:rsidR="00141F7D" w:rsidP="00AC2C26" w:rsidRDefault="00141F7D" w14:paraId="7392C38A" w14:textId="213053AE">
      <w:pPr>
        <w:rPr>
          <w:rFonts w:ascii="Verdana" w:hAnsi="Verdana"/>
          <w:sz w:val="18"/>
          <w:szCs w:val="18"/>
        </w:rPr>
      </w:pPr>
      <w:r>
        <w:rPr>
          <w:rFonts w:ascii="Verdana" w:hAnsi="Verdana"/>
          <w:sz w:val="18"/>
        </w:rPr>
        <w:t>Le CESE travaille depuis longtemps sur ces questions et organise depuis 2021 une conférence annuelle pour faire le point sur la situation. Voici le titre des différentes éditions:</w:t>
      </w:r>
    </w:p>
    <w:p w:rsidRPr="00906A23" w:rsidR="00141F7D" w:rsidP="00141F7D" w:rsidRDefault="00984445" w14:paraId="07F9FAA9" w14:textId="77777777">
      <w:pPr>
        <w:pStyle w:val="ListParagraph"/>
        <w:numPr>
          <w:ilvl w:val="0"/>
          <w:numId w:val="6"/>
        </w:numPr>
        <w:spacing w:line="288" w:lineRule="auto"/>
        <w:ind w:left="284" w:hanging="284"/>
        <w:rPr>
          <w:rFonts w:ascii="Verdana" w:hAnsi="Verdana"/>
          <w:sz w:val="18"/>
          <w:szCs w:val="18"/>
        </w:rPr>
      </w:pPr>
      <w:hyperlink w:history="1" r:id="rId16">
        <w:r w:rsidR="00ED1BA9">
          <w:rPr>
            <w:rStyle w:val="Hyperlink"/>
            <w:rFonts w:ascii="Verdana" w:hAnsi="Verdana"/>
            <w:i/>
            <w:sz w:val="18"/>
          </w:rPr>
          <w:t>Une énergie abordable — Donner corps aux idées de la société civile</w:t>
        </w:r>
      </w:hyperlink>
      <w:r w:rsidR="00ED1BA9">
        <w:t xml:space="preserve"> (2024);</w:t>
      </w:r>
    </w:p>
    <w:p w:rsidRPr="00906A23" w:rsidR="00141F7D" w:rsidP="00141F7D" w:rsidRDefault="00984445" w14:paraId="1C11D8B9" w14:textId="77777777">
      <w:pPr>
        <w:pStyle w:val="ListParagraph"/>
        <w:numPr>
          <w:ilvl w:val="0"/>
          <w:numId w:val="6"/>
        </w:numPr>
        <w:spacing w:line="288" w:lineRule="auto"/>
        <w:ind w:left="284" w:hanging="284"/>
        <w:rPr>
          <w:rFonts w:ascii="Verdana" w:hAnsi="Verdana"/>
          <w:sz w:val="18"/>
          <w:szCs w:val="18"/>
        </w:rPr>
      </w:pPr>
      <w:hyperlink w:history="1" r:id="rId17">
        <w:r w:rsidR="00ED1BA9">
          <w:rPr>
            <w:rStyle w:val="Hyperlink"/>
            <w:rFonts w:ascii="Verdana" w:hAnsi="Verdana"/>
            <w:i/>
            <w:sz w:val="18"/>
          </w:rPr>
          <w:t>La lutte contre la précarité énergétique au service d’une transition juste</w:t>
        </w:r>
      </w:hyperlink>
      <w:r w:rsidR="00ED1BA9">
        <w:t xml:space="preserve"> (2023);</w:t>
      </w:r>
    </w:p>
    <w:p w:rsidRPr="00906A23" w:rsidR="00141F7D" w:rsidP="00141F7D" w:rsidRDefault="00984445" w14:paraId="73B3F4F0" w14:textId="77777777">
      <w:pPr>
        <w:pStyle w:val="ListParagraph"/>
        <w:numPr>
          <w:ilvl w:val="0"/>
          <w:numId w:val="6"/>
        </w:numPr>
        <w:spacing w:line="288" w:lineRule="auto"/>
        <w:ind w:left="284" w:hanging="284"/>
        <w:rPr>
          <w:rFonts w:ascii="Verdana" w:hAnsi="Verdana"/>
          <w:sz w:val="18"/>
          <w:szCs w:val="18"/>
        </w:rPr>
      </w:pPr>
      <w:hyperlink w:history="1" r:id="rId18">
        <w:r w:rsidR="00ED1BA9">
          <w:rPr>
            <w:rStyle w:val="Hyperlink"/>
            <w:rFonts w:ascii="Verdana" w:hAnsi="Verdana"/>
            <w:i/>
            <w:sz w:val="18"/>
          </w:rPr>
          <w:t>La lutte contre la précarité énergétique au cœur de la transition écologique et énergétique</w:t>
        </w:r>
      </w:hyperlink>
      <w:r w:rsidR="00ED1BA9">
        <w:t xml:space="preserve"> (2022);</w:t>
      </w:r>
    </w:p>
    <w:p w:rsidRPr="00906A23" w:rsidR="00141F7D" w:rsidP="00141F7D" w:rsidRDefault="00984445" w14:paraId="59C8A32E" w14:textId="77777777">
      <w:pPr>
        <w:pStyle w:val="ListParagraph"/>
        <w:numPr>
          <w:ilvl w:val="0"/>
          <w:numId w:val="6"/>
        </w:numPr>
        <w:ind w:left="284" w:hanging="284"/>
        <w:rPr>
          <w:rFonts w:ascii="Verdana" w:hAnsi="Verdana"/>
          <w:sz w:val="18"/>
          <w:szCs w:val="18"/>
        </w:rPr>
      </w:pPr>
      <w:hyperlink w:history="1" r:id="rId19">
        <w:r w:rsidR="00ED1BA9">
          <w:rPr>
            <w:rStyle w:val="Hyperlink"/>
            <w:rFonts w:ascii="Verdana" w:hAnsi="Verdana"/>
            <w:i/>
            <w:sz w:val="18"/>
          </w:rPr>
          <w:t>La précarité énergétique à la croisée des chemins entre le socle européen des droits sociaux et le pacte vert pour l’Europe</w:t>
        </w:r>
      </w:hyperlink>
      <w:r w:rsidR="00ED1BA9">
        <w:t xml:space="preserve"> (2021).</w:t>
      </w:r>
    </w:p>
    <w:p w:rsidRPr="00906A23" w:rsidR="00141F7D" w:rsidP="00AC2C26" w:rsidRDefault="00141F7D" w14:paraId="2549A8D8" w14:textId="15DF2077">
      <w:pPr>
        <w:rPr>
          <w:rFonts w:ascii="Verdana" w:hAnsi="Verdana"/>
          <w:sz w:val="18"/>
          <w:szCs w:val="18"/>
        </w:rPr>
      </w:pPr>
    </w:p>
    <w:p w:rsidRPr="00906A23" w:rsidR="00467B7A" w:rsidP="00D174A1" w:rsidRDefault="00467B7A" w14:paraId="45C8DD70" w14:textId="75CC86A6">
      <w:pPr>
        <w:rPr>
          <w:rFonts w:ascii="Verdana" w:hAnsi="Verdana"/>
          <w:sz w:val="18"/>
          <w:szCs w:val="18"/>
        </w:rPr>
      </w:pPr>
      <w:r>
        <w:rPr>
          <w:rFonts w:ascii="Verdana" w:hAnsi="Verdana"/>
          <w:sz w:val="18"/>
        </w:rPr>
        <w:t>Les conclusions détaillées de la conférence de cette année — qui est donc la cinquième manifestation annuelle du CESE sur la précarité énergétique — seront publiées prochainement sur le site internet du Comité.</w:t>
      </w:r>
    </w:p>
    <w:p w:rsidRPr="00906A23" w:rsidR="00AC2C26" w:rsidP="00D174A1" w:rsidRDefault="00AC2C26" w14:paraId="59C494D0" w14:textId="77777777">
      <w:pPr>
        <w:rPr>
          <w:rFonts w:ascii="Verdana" w:hAnsi="Verdana"/>
          <w:sz w:val="18"/>
          <w:szCs w:val="18"/>
        </w:rPr>
      </w:pPr>
    </w:p>
    <w:p w:rsidRPr="00906A23" w:rsidR="009A7A0E" w:rsidP="00D174A1" w:rsidRDefault="00AC2C26" w14:paraId="7F6C21CE" w14:textId="1A25FFDC">
      <w:pPr>
        <w:rPr>
          <w:rFonts w:ascii="Verdana" w:hAnsi="Verdana"/>
          <w:b/>
          <w:bCs/>
          <w:sz w:val="18"/>
          <w:szCs w:val="18"/>
        </w:rPr>
      </w:pPr>
      <w:r>
        <w:rPr>
          <w:rFonts w:ascii="Verdana" w:hAnsi="Verdana"/>
          <w:b/>
          <w:sz w:val="18"/>
        </w:rPr>
        <w:t>Citations des orateurs</w:t>
      </w:r>
    </w:p>
    <w:p w:rsidRPr="00906A23" w:rsidR="00467B7A" w:rsidP="00D174A1" w:rsidRDefault="00467B7A" w14:paraId="0913DE30" w14:textId="77777777">
      <w:pPr>
        <w:rPr>
          <w:rFonts w:ascii="Verdana" w:hAnsi="Verdana"/>
          <w:sz w:val="18"/>
          <w:szCs w:val="18"/>
        </w:rPr>
      </w:pPr>
    </w:p>
    <w:p w:rsidRPr="00906A23" w:rsidR="007549EB" w:rsidP="002C59DC" w:rsidRDefault="006865DA" w14:paraId="3B60F43D" w14:textId="5D352591">
      <w:r>
        <w:rPr>
          <w:rFonts w:ascii="Verdana" w:hAnsi="Verdana"/>
          <w:sz w:val="18"/>
        </w:rPr>
        <w:t>«Grâce à des efforts conjoints et accrus, la proportion des Européens en situation de précarité énergétique a enfin diminué en 2024. Toutefois, plus de 41 millions de nos concitoyens ne peuvent toujours pas chauffer convenablement leur logement. Les prix de l’électricité, bien qu’inférieurs à ceux qui prévalaient pendant la crise, restent de deux à quatre fois plus élevés que ceux de nos pays partenaires. Cette situation continue d’exercer une pression sur les ménages et constitue une menace réelle pour la compétitivité à long terme de l’industrie européenne. Le défi est loin d’être résolu et notre détermination doit rester forte.»</w:t>
      </w:r>
    </w:p>
    <w:p w:rsidRPr="00906A23" w:rsidR="000C0616" w:rsidP="006B6519" w:rsidRDefault="00931CC4" w14:paraId="40F36280" w14:textId="73597007">
      <w:pPr>
        <w:rPr>
          <w:rFonts w:ascii="Verdana" w:hAnsi="Verdana" w:cs="Arial"/>
          <w:b/>
          <w:sz w:val="18"/>
          <w:szCs w:val="18"/>
        </w:rPr>
      </w:pPr>
      <w:r>
        <w:rPr>
          <w:rFonts w:ascii="Verdana" w:hAnsi="Verdana"/>
          <w:b/>
          <w:sz w:val="18"/>
        </w:rPr>
        <w:t>Aurel Laurenţiu Plosceanu</w:t>
      </w:r>
      <w:r>
        <w:rPr>
          <w:rFonts w:ascii="Verdana" w:hAnsi="Verdana"/>
          <w:sz w:val="18"/>
        </w:rPr>
        <w:t>, vice-président du Comité économique et social européen (CESE),</w:t>
      </w:r>
      <w:r>
        <w:t xml:space="preserve"> </w:t>
      </w:r>
      <w:r>
        <w:rPr>
          <w:rFonts w:ascii="Verdana" w:hAnsi="Verdana"/>
          <w:sz w:val="18"/>
        </w:rPr>
        <w:t xml:space="preserve"> chargé de la communication</w:t>
      </w:r>
    </w:p>
    <w:p w:rsidRPr="00906A23" w:rsidR="001B07CB" w:rsidP="006B6519" w:rsidRDefault="001B07CB" w14:paraId="1DF060D7" w14:textId="77777777">
      <w:pPr>
        <w:rPr>
          <w:rFonts w:ascii="Verdana" w:hAnsi="Verdana"/>
          <w:sz w:val="18"/>
          <w:szCs w:val="18"/>
        </w:rPr>
      </w:pPr>
    </w:p>
    <w:p w:rsidRPr="00906A23" w:rsidR="009D5DB3" w:rsidP="00413EA5" w:rsidRDefault="009D5DB3" w14:paraId="244DAC9B" w14:textId="77E4DD42">
      <w:pPr>
        <w:rPr>
          <w:rFonts w:ascii="Verdana" w:hAnsi="Verdana"/>
          <w:sz w:val="18"/>
          <w:szCs w:val="18"/>
        </w:rPr>
      </w:pPr>
      <w:r>
        <w:rPr>
          <w:rFonts w:ascii="Verdana" w:hAnsi="Verdana"/>
          <w:sz w:val="18"/>
        </w:rPr>
        <w:t>«Les personnes exposées au risque de pauvreté ou d’exclusion sociale sont confrontées à des difficultés disproportionnées pour leur accès à l’énergie.</w:t>
      </w:r>
      <w:r>
        <w:t xml:space="preserve"> </w:t>
      </w:r>
      <w:r>
        <w:rPr>
          <w:rFonts w:ascii="Verdana" w:hAnsi="Verdana"/>
          <w:sz w:val="18"/>
        </w:rPr>
        <w:t>Ces dernières années, la vulnérabilité de notre système énergétique est devenue plus qu’évidente. Notre objectif est de stimuler l’autonomie stratégique et la compétitivité de l’Europe, et d’instaurer une économie et une société plus vertes et plus durables. Nous sommes déterminés à élaborer une stratégie pour une énergie abordable, sûre et durable favorisant les communautés énergétiques et garantissant l’équité pour les plus vulnérables.»</w:t>
      </w:r>
    </w:p>
    <w:p w:rsidRPr="00906A23" w:rsidR="009D5DB3" w:rsidP="009D5DB3" w:rsidRDefault="009D5DB3" w14:paraId="3DA65B43" w14:textId="52E37C11">
      <w:pPr>
        <w:rPr>
          <w:rFonts w:ascii="Verdana" w:hAnsi="Verdana"/>
          <w:sz w:val="18"/>
          <w:szCs w:val="18"/>
        </w:rPr>
      </w:pPr>
      <w:r>
        <w:rPr>
          <w:rFonts w:ascii="Verdana" w:hAnsi="Verdana"/>
          <w:b/>
          <w:sz w:val="18"/>
        </w:rPr>
        <w:t>Baiba Miltoviča</w:t>
      </w:r>
      <w:r>
        <w:rPr>
          <w:rFonts w:ascii="Verdana" w:hAnsi="Verdana"/>
          <w:sz w:val="18"/>
        </w:rPr>
        <w:t>, présidente de la section «Transports, énergie, infrastructures et société de l’information» (TEN) du CESE</w:t>
      </w:r>
    </w:p>
    <w:p w:rsidRPr="00906A23" w:rsidR="001D7118" w:rsidP="006B6519" w:rsidRDefault="001D7118" w14:paraId="57633AC6" w14:textId="77777777">
      <w:pPr>
        <w:rPr>
          <w:rFonts w:ascii="Verdana" w:hAnsi="Verdana"/>
          <w:sz w:val="18"/>
          <w:szCs w:val="18"/>
        </w:rPr>
      </w:pPr>
    </w:p>
    <w:p w:rsidRPr="00906A23" w:rsidR="003A26BB" w:rsidP="003A26BB" w:rsidRDefault="003A26BB" w14:paraId="13875D83" w14:textId="46A1D203">
      <w:pPr>
        <w:rPr>
          <w:rFonts w:ascii="Verdana" w:hAnsi="Verdana"/>
          <w:sz w:val="18"/>
          <w:szCs w:val="18"/>
        </w:rPr>
      </w:pPr>
      <w:r>
        <w:rPr>
          <w:rFonts w:ascii="Verdana" w:hAnsi="Verdana"/>
          <w:sz w:val="18"/>
        </w:rPr>
        <w:t>«Pour que la transition énergétique devienne une réalité pour tous les Européens, nous devons lutter contre la précarité énergétique, donner aux consommateurs les moyens d’agir et garantir le caractère abordable de l’énergie pour tous. Le Train de mesures sur l’énergie citoyenne permettra de relever ces défis. Toutes les parties prenantes, y compris la Commission, le CESE, les acteurs du marché et les organisations de consommateurs, doivent travailler de concert pour en faire une réussite. J’espère que la conférence d’aujourd’hui pourra apporter une contribution importante à ce processus.»</w:t>
      </w:r>
    </w:p>
    <w:p w:rsidRPr="00C26833" w:rsidR="001D7118" w:rsidP="006B6519" w:rsidRDefault="00150BF7" w14:paraId="18A57DD2" w14:textId="11EEC4C0">
      <w:pPr>
        <w:rPr>
          <w:rFonts w:ascii="Verdana" w:hAnsi="Verdana"/>
          <w:sz w:val="18"/>
          <w:szCs w:val="18"/>
        </w:rPr>
      </w:pPr>
      <w:r>
        <w:rPr>
          <w:rFonts w:ascii="Verdana" w:hAnsi="Verdana"/>
          <w:b/>
          <w:sz w:val="18"/>
        </w:rPr>
        <w:t>Rosalinde Van Der Vlies</w:t>
      </w:r>
      <w:r>
        <w:rPr>
          <w:rFonts w:ascii="Verdana" w:hAnsi="Verdana"/>
          <w:sz w:val="18"/>
        </w:rPr>
        <w:t>, directrice de la DG ENER.B, Commission européenne</w:t>
      </w:r>
    </w:p>
    <w:p w:rsidRPr="00355E0E" w:rsidR="007B4A83" w:rsidP="007B4A83" w:rsidRDefault="007B4A83" w14:paraId="46E0567A" w14:textId="7A4FC858">
      <w:pPr>
        <w:rPr>
          <w:rFonts w:ascii="Verdana" w:hAnsi="Verdana" w:cs="Arial"/>
          <w:bCs/>
          <w:sz w:val="18"/>
          <w:szCs w:val="18"/>
          <w:lang w:val="fr-BE" w:eastAsia="fr-FR"/>
        </w:rPr>
      </w:pPr>
    </w:p>
    <w:p w:rsidRPr="00355E0E" w:rsidR="0077356E" w:rsidP="007B4A83" w:rsidRDefault="0077356E" w14:paraId="1E03EC62" w14:textId="33ADE83A">
      <w:pPr>
        <w:rPr>
          <w:rFonts w:ascii="Verdana" w:hAnsi="Verdana"/>
          <w:sz w:val="18"/>
          <w:szCs w:val="18"/>
          <w:lang w:val="fr-BE"/>
        </w:rPr>
      </w:pPr>
    </w:p>
    <w:p w:rsidRPr="00355E0E" w:rsidR="00AF3D24" w:rsidP="00795B49" w:rsidRDefault="00AF3D24" w14:paraId="4AA3FA83" w14:textId="77777777">
      <w:pPr>
        <w:rPr>
          <w:rFonts w:ascii="Verdana" w:hAnsi="Verdana"/>
          <w:sz w:val="18"/>
          <w:szCs w:val="18"/>
          <w:lang w:val="fr-BE"/>
        </w:rPr>
      </w:pPr>
    </w:p>
    <w:p w:rsidRPr="00355E0E" w:rsidR="00984A19" w:rsidP="00795B49" w:rsidRDefault="00984A19" w14:paraId="3054F653" w14:textId="77777777">
      <w:pPr>
        <w:rPr>
          <w:rFonts w:ascii="Verdana" w:hAnsi="Verdana"/>
          <w:sz w:val="18"/>
          <w:szCs w:val="18"/>
          <w:lang w:val="fr-BE"/>
        </w:rPr>
      </w:pPr>
    </w:p>
    <w:p w:rsidRPr="00906A23" w:rsidR="00BD7293" w:rsidP="00BD7293" w:rsidRDefault="00BD7293" w14:paraId="467A97BB" w14:textId="550FD4B6">
      <w:pPr>
        <w:jc w:val="center"/>
        <w:rPr>
          <w:rFonts w:ascii="Verdana" w:hAnsi="Verdana"/>
          <w:sz w:val="18"/>
          <w:szCs w:val="18"/>
        </w:rPr>
      </w:pPr>
      <w:r>
        <w:rPr>
          <w:rFonts w:ascii="Verdana" w:hAnsi="Verdana"/>
          <w:b/>
          <w:sz w:val="18"/>
        </w:rPr>
        <w:t>Pour de plus amples informations, veuillez prendre contact avec:</w:t>
      </w:r>
    </w:p>
    <w:p w:rsidRPr="00355E0E" w:rsidR="00BD7293" w:rsidP="00BD7293" w:rsidRDefault="00BD7293" w14:paraId="681BC902" w14:textId="25ECB376">
      <w:pPr>
        <w:pStyle w:val="Heading1"/>
        <w:numPr>
          <w:ilvl w:val="0"/>
          <w:numId w:val="0"/>
        </w:numPr>
        <w:ind w:left="360"/>
        <w:jc w:val="center"/>
        <w:rPr>
          <w:rFonts w:ascii="Verdana" w:hAnsi="Verdana"/>
          <w:sz w:val="18"/>
          <w:szCs w:val="18"/>
          <w:lang w:val="it-IT"/>
        </w:rPr>
      </w:pPr>
      <w:r w:rsidRPr="00355E0E">
        <w:rPr>
          <w:rFonts w:ascii="Verdana" w:hAnsi="Verdana"/>
          <w:sz w:val="18"/>
          <w:lang w:val="it-IT"/>
        </w:rPr>
        <w:t>Service de presse du CESE — Marco Pezzani</w:t>
      </w:r>
      <w:r w:rsidRPr="00355E0E">
        <w:rPr>
          <w:rFonts w:ascii="Verdana" w:hAnsi="Verdana"/>
          <w:sz w:val="18"/>
          <w:lang w:val="it-IT"/>
        </w:rPr>
        <w:br/>
        <w:t>+32 (0)2 546 97 93</w:t>
      </w:r>
      <w:r w:rsidRPr="00355E0E">
        <w:rPr>
          <w:rFonts w:ascii="Verdana" w:hAnsi="Verdana"/>
          <w:sz w:val="18"/>
          <w:lang w:val="it-IT"/>
        </w:rPr>
        <w:tab/>
        <w:t>Mobile: +32 (0)470 881 903</w:t>
      </w:r>
    </w:p>
    <w:p w:rsidRPr="00355E0E" w:rsidR="00BD7293" w:rsidP="00BD7293" w:rsidRDefault="00984445" w14:paraId="0CFB3708" w14:textId="77777777">
      <w:pPr>
        <w:jc w:val="center"/>
        <w:rPr>
          <w:rFonts w:ascii="Verdana" w:hAnsi="Verdana"/>
          <w:sz w:val="18"/>
          <w:szCs w:val="18"/>
          <w:lang w:val="it-IT"/>
        </w:rPr>
      </w:pPr>
      <w:hyperlink w:history="1" r:id="rId20">
        <w:r w:rsidRPr="00355E0E" w:rsidR="00ED1BA9">
          <w:rPr>
            <w:rStyle w:val="Hyperlink"/>
            <w:rFonts w:ascii="Verdana" w:hAnsi="Verdana"/>
            <w:sz w:val="18"/>
            <w:lang w:val="it-IT"/>
          </w:rPr>
          <w:t>marco.pezzani@eesc.europa.eu</w:t>
        </w:r>
      </w:hyperlink>
    </w:p>
    <w:p w:rsidRPr="00355E0E" w:rsidR="00BD7293" w:rsidP="00BD7293" w:rsidRDefault="00BD7293" w14:paraId="1C7AF790" w14:textId="563AC12F">
      <w:pPr>
        <w:pStyle w:val="Heading1"/>
        <w:numPr>
          <w:ilvl w:val="0"/>
          <w:numId w:val="0"/>
        </w:numPr>
        <w:jc w:val="center"/>
        <w:rPr>
          <w:rFonts w:ascii="Verdana" w:hAnsi="Verdana"/>
          <w:b/>
          <w:bCs/>
          <w:sz w:val="18"/>
          <w:szCs w:val="18"/>
          <w:lang w:val="it-IT"/>
        </w:rPr>
      </w:pPr>
      <w:r w:rsidRPr="00355E0E">
        <w:rPr>
          <w:rFonts w:ascii="Verdana" w:hAnsi="Verdana"/>
          <w:b/>
          <w:sz w:val="18"/>
          <w:lang w:val="it-IT"/>
        </w:rPr>
        <w:t>@EESC_PRESS</w:t>
      </w:r>
    </w:p>
    <w:p w:rsidRPr="00C26833" w:rsidR="00305D16" w:rsidP="00305D16" w:rsidRDefault="00305D16" w14:paraId="4FFDD0C5" w14:textId="77777777">
      <w:pPr>
        <w:rPr>
          <w:rFonts w:ascii="Verdana" w:hAnsi="Verdana"/>
          <w:sz w:val="18"/>
          <w:szCs w:val="18"/>
          <w:lang w:val="it-IT"/>
        </w:rPr>
      </w:pPr>
    </w:p>
    <w:p w:rsidRPr="00906A23" w:rsidR="00F83179" w:rsidP="00CE439D" w:rsidRDefault="00F83179" w14:paraId="10AAEE89" w14:textId="77777777">
      <w:pPr>
        <w:rPr>
          <w:rFonts w:ascii="Verdana" w:hAnsi="Verdana"/>
          <w:b/>
          <w:bCs/>
          <w:i/>
          <w:sz w:val="16"/>
          <w:szCs w:val="16"/>
        </w:rPr>
      </w:pPr>
      <w:r>
        <w:rPr>
          <w:rFonts w:ascii="Verdana" w:hAnsi="Verdana"/>
          <w:i/>
          <w:sz w:val="16"/>
        </w:rPr>
        <w:t>__</w:t>
      </w:r>
      <w:r>
        <w:rPr>
          <w:rFonts w:ascii="Verdana" w:hAnsi="Verdana"/>
          <w:b/>
          <w:i/>
          <w:sz w:val="16"/>
        </w:rPr>
        <w:t>_____________________________________________________________________________</w:t>
      </w:r>
    </w:p>
    <w:p w:rsidRPr="00906A23" w:rsidR="00F83179" w:rsidP="00CE439D" w:rsidRDefault="00F83179" w14:paraId="088DC2EF" w14:textId="77777777">
      <w:pPr>
        <w:rPr>
          <w:rFonts w:ascii="Verdana" w:hAnsi="Verdana"/>
          <w:i/>
          <w:sz w:val="16"/>
          <w:szCs w:val="16"/>
        </w:rPr>
      </w:pPr>
      <w:r>
        <w:rPr>
          <w:rFonts w:ascii="Verdana" w:hAnsi="Verdana"/>
          <w:i/>
          <w:sz w:val="16"/>
        </w:rPr>
        <w:t>Le Comité économique et social européen assure la représentation des différentes composantes à caractère économique et social de la société civile organisée. Il constitue un organe institutionnel consultatif, établi en 1957 par le traité de Rome. Grâce à sa mission de consultation, ses membres, et donc les organisations qu’ils représentent, peuvent participer au processus décisionnel de l’Union européenne.</w:t>
      </w:r>
    </w:p>
    <w:p w:rsidRPr="00906A23" w:rsidR="00090358" w:rsidP="00AB5D9C" w:rsidRDefault="00F83179" w14:paraId="4ADAD889" w14:textId="7A80AA29">
      <w:pPr>
        <w:rPr>
          <w:rFonts w:ascii="Verdana" w:hAnsi="Verdana"/>
          <w:bCs/>
          <w:sz w:val="18"/>
          <w:szCs w:val="18"/>
        </w:rPr>
      </w:pPr>
      <w:r>
        <w:rPr>
          <w:rFonts w:ascii="Verdana" w:hAnsi="Verdana"/>
          <w:i/>
          <w:sz w:val="16"/>
        </w:rPr>
        <w:t>__</w:t>
      </w:r>
      <w:r>
        <w:rPr>
          <w:rFonts w:ascii="Verdana" w:hAnsi="Verdana"/>
          <w:b/>
          <w:i/>
          <w:sz w:val="16"/>
        </w:rPr>
        <w:t>_____________________________________________________________________________</w:t>
      </w:r>
    </w:p>
    <w:sectPr w:rsidRPr="00906A23" w:rsidR="00090358" w:rsidSect="00355E0E">
      <w:footerReference w:type="default" r:id="rId21"/>
      <w:type w:val="continuous"/>
      <w:pgSz w:w="11907" w:h="16839" w:code="9"/>
      <w:pgMar w:top="851" w:right="1418" w:bottom="1418" w:left="1418" w:header="422"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10EC" w14:textId="77777777" w:rsidR="00066B5F" w:rsidRDefault="00066B5F">
      <w:r>
        <w:separator/>
      </w:r>
    </w:p>
  </w:endnote>
  <w:endnote w:type="continuationSeparator" w:id="0">
    <w:p w14:paraId="3B850CF1" w14:textId="77777777" w:rsidR="00066B5F" w:rsidRDefault="0006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915" w14:textId="77777777" w:rsidR="00F83179" w:rsidRPr="00984A19" w:rsidRDefault="00F83179" w:rsidP="0004715C">
    <w:pPr>
      <w:spacing w:line="240" w:lineRule="auto"/>
      <w:jc w:val="center"/>
      <w:rPr>
        <w:rFonts w:ascii="Verdana" w:hAnsi="Verdana"/>
        <w:sz w:val="16"/>
        <w:szCs w:val="16"/>
      </w:rPr>
    </w:pPr>
    <w:r>
      <w:rPr>
        <w:rFonts w:ascii="Verdana" w:hAnsi="Verdana"/>
        <w:sz w:val="16"/>
      </w:rPr>
      <w:t>Rue Belliard 99 — 1040 Bruxelles — BELGIQUE</w:t>
    </w:r>
  </w:p>
  <w:p w14:paraId="7D053E17" w14:textId="77777777" w:rsidR="00F83179" w:rsidRPr="00984A19" w:rsidRDefault="00F83179" w:rsidP="0004715C">
    <w:pPr>
      <w:spacing w:line="240" w:lineRule="auto"/>
      <w:jc w:val="center"/>
      <w:rPr>
        <w:rFonts w:ascii="Verdana" w:hAnsi="Verdana"/>
        <w:sz w:val="16"/>
        <w:szCs w:val="16"/>
      </w:rPr>
    </w:pPr>
    <w:r>
      <w:rPr>
        <w:rFonts w:ascii="Verdana" w:hAnsi="Verdana"/>
        <w:sz w:val="16"/>
      </w:rPr>
      <w:t>Tél. +32 25469406 — Fax: +32 25469764</w:t>
    </w:r>
  </w:p>
  <w:p w14:paraId="4D2BF509" w14:textId="04AD764F" w:rsidR="00F83179" w:rsidRPr="00984A19" w:rsidRDefault="00F83179" w:rsidP="0004715C">
    <w:pPr>
      <w:spacing w:line="240" w:lineRule="auto"/>
      <w:jc w:val="center"/>
      <w:rPr>
        <w:rFonts w:ascii="Verdana" w:hAnsi="Verdana"/>
        <w:sz w:val="16"/>
        <w:szCs w:val="16"/>
      </w:rPr>
    </w:pPr>
    <w:r>
      <w:rPr>
        <w:rFonts w:ascii="Verdana" w:hAnsi="Verdana"/>
        <w:sz w:val="16"/>
      </w:rPr>
      <w:t xml:space="preserve">Courrier électronique: </w:t>
    </w:r>
    <w:hyperlink r:id="rId1" w:history="1">
      <w:r>
        <w:rPr>
          <w:rStyle w:val="Hyperlink"/>
          <w:rFonts w:ascii="Verdana" w:hAnsi="Verdana"/>
          <w:sz w:val="16"/>
        </w:rPr>
        <w:t>press@eesc.europa.eu</w:t>
      </w:r>
    </w:hyperlink>
    <w:r>
      <w:rPr>
        <w:rFonts w:ascii="Verdana" w:hAnsi="Verdana"/>
        <w:sz w:val="16"/>
      </w:rPr>
      <w:t xml:space="preserve"> — Internet: </w:t>
    </w:r>
    <w:hyperlink r:id="rId2" w:history="1">
      <w:r>
        <w:rPr>
          <w:rStyle w:val="Hyperlink"/>
          <w:rFonts w:ascii="Verdana" w:hAnsi="Verdana"/>
          <w:sz w:val="16"/>
        </w:rPr>
        <w:t>www.eesc.europa.eu</w:t>
      </w:r>
    </w:hyperlink>
  </w:p>
  <w:p w14:paraId="2A643DB3" w14:textId="77777777" w:rsidR="00F83179" w:rsidRPr="0004715C" w:rsidRDefault="00046C01" w:rsidP="00F61167">
    <w:pPr>
      <w:spacing w:line="240" w:lineRule="auto"/>
      <w:jc w:val="center"/>
      <w:rPr>
        <w:rFonts w:ascii="Verdana" w:hAnsi="Verdana"/>
        <w:sz w:val="16"/>
        <w:szCs w:val="16"/>
      </w:rPr>
    </w:pPr>
    <w:r>
      <w:rPr>
        <w:rFonts w:ascii="Verdana" w:hAnsi="Verdana"/>
        <w:sz w:val="16"/>
      </w:rPr>
      <w:t xml:space="preserve">Suivez le CESE sur </w:t>
    </w:r>
    <w:r>
      <w:rPr>
        <w:noProof/>
      </w:rPr>
      <w:drawing>
        <wp:inline distT="0" distB="0" distL="0" distR="0" wp14:anchorId="5C143A1A" wp14:editId="0F05CCCB">
          <wp:extent cx="323850" cy="323850"/>
          <wp:effectExtent l="0" t="0" r="0" b="0"/>
          <wp:docPr id="39" name="Graphic 39">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hlinkClick r:id="rId3"/>
                  </pic:cNvPr>
                  <pic:cNvPicPr/>
                </pic:nvPicPr>
                <pic:blipFill>
                  <a:blip r:embed="rId4">
                    <a:extLst>
                      <a:ext uri="{96DAC541-7B7A-43D3-8B79-37D633B846F1}">
                        <asvg:svgBlip xmlns:asvg="http://schemas.microsoft.com/office/drawing/2016/SVG/main" r:embed="rId5"/>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6C8E36F3" wp14:editId="26DEF2C1">
          <wp:extent cx="323850" cy="323850"/>
          <wp:effectExtent l="0" t="0" r="0" b="0"/>
          <wp:docPr id="40" name="Graphic 4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hlinkClick r:id="rId6"/>
                  </pic:cNvPr>
                  <pic:cNvPicPr/>
                </pic:nvPicPr>
                <pic:blipFill>
                  <a:blip r:embed="rId7">
                    <a:extLst>
                      <a:ext uri="{96DAC541-7B7A-43D3-8B79-37D633B846F1}">
                        <asvg:svgBlip xmlns:asvg="http://schemas.microsoft.com/office/drawing/2016/SVG/main" r:embed="rId8"/>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52138DEF" wp14:editId="5338F007">
          <wp:extent cx="323850" cy="323850"/>
          <wp:effectExtent l="0" t="0" r="0" b="0"/>
          <wp:docPr id="41" name="Graphic 4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hlinkClick r:id="rId9"/>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4A5D0D17" wp14:editId="6ECC0F4F">
          <wp:extent cx="323850" cy="323850"/>
          <wp:effectExtent l="0" t="0" r="0" b="0"/>
          <wp:docPr id="42" name="Graphic 4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hlinkClick r:id="rId12"/>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25742F61" wp14:editId="754A6271">
          <wp:extent cx="323850" cy="323850"/>
          <wp:effectExtent l="0" t="0" r="0" b="0"/>
          <wp:docPr id="43" name="Graphic 43" descr="https://www.facebook.com/EuropeanEconomicAndSocialCommittee&#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https://www.facebook.com/EuropeanEconomicAndSocialCommittee&#10;">
                    <a:hlinkClick r:id="rId15"/>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323850" cy="3238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0DCA2" w14:textId="77777777" w:rsidR="00066B5F" w:rsidRDefault="00066B5F">
      <w:r>
        <w:separator/>
      </w:r>
    </w:p>
  </w:footnote>
  <w:footnote w:type="continuationSeparator" w:id="0">
    <w:p w14:paraId="190C8250" w14:textId="77777777" w:rsidR="00066B5F" w:rsidRDefault="0006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1E1716CD"/>
    <w:multiLevelType w:val="hybridMultilevel"/>
    <w:tmpl w:val="BEE84C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BD22271"/>
    <w:multiLevelType w:val="hybridMultilevel"/>
    <w:tmpl w:val="FCEC854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34D1138"/>
    <w:multiLevelType w:val="hybridMultilevel"/>
    <w:tmpl w:val="1BACD4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758309C"/>
    <w:multiLevelType w:val="hybridMultilevel"/>
    <w:tmpl w:val="1E0063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F801590"/>
    <w:multiLevelType w:val="hybridMultilevel"/>
    <w:tmpl w:val="ADD409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3B90ED7"/>
    <w:multiLevelType w:val="hybridMultilevel"/>
    <w:tmpl w:val="F2FA0E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6F5"/>
    <w:rsid w:val="0000580B"/>
    <w:rsid w:val="00010096"/>
    <w:rsid w:val="0001364C"/>
    <w:rsid w:val="000161BA"/>
    <w:rsid w:val="0001778F"/>
    <w:rsid w:val="00021013"/>
    <w:rsid w:val="0002280B"/>
    <w:rsid w:val="00023E84"/>
    <w:rsid w:val="0002403C"/>
    <w:rsid w:val="0003254A"/>
    <w:rsid w:val="0003378C"/>
    <w:rsid w:val="00034E47"/>
    <w:rsid w:val="00036BF3"/>
    <w:rsid w:val="000370A3"/>
    <w:rsid w:val="00037D4B"/>
    <w:rsid w:val="00041035"/>
    <w:rsid w:val="000440D3"/>
    <w:rsid w:val="00044423"/>
    <w:rsid w:val="00045128"/>
    <w:rsid w:val="0004667F"/>
    <w:rsid w:val="00046C01"/>
    <w:rsid w:val="0004715C"/>
    <w:rsid w:val="0006159D"/>
    <w:rsid w:val="0006275D"/>
    <w:rsid w:val="00066B5F"/>
    <w:rsid w:val="00067F21"/>
    <w:rsid w:val="0007155C"/>
    <w:rsid w:val="00071F59"/>
    <w:rsid w:val="00071F79"/>
    <w:rsid w:val="000765BA"/>
    <w:rsid w:val="0008108C"/>
    <w:rsid w:val="00083A75"/>
    <w:rsid w:val="00085C04"/>
    <w:rsid w:val="00085C8C"/>
    <w:rsid w:val="00090358"/>
    <w:rsid w:val="00094348"/>
    <w:rsid w:val="00094725"/>
    <w:rsid w:val="000964DC"/>
    <w:rsid w:val="00097DAB"/>
    <w:rsid w:val="000B0C94"/>
    <w:rsid w:val="000B3B9F"/>
    <w:rsid w:val="000B6B95"/>
    <w:rsid w:val="000B6CF5"/>
    <w:rsid w:val="000C0616"/>
    <w:rsid w:val="000C71DF"/>
    <w:rsid w:val="000F1862"/>
    <w:rsid w:val="000F2AD2"/>
    <w:rsid w:val="000F4109"/>
    <w:rsid w:val="000F6F35"/>
    <w:rsid w:val="00100731"/>
    <w:rsid w:val="00102D32"/>
    <w:rsid w:val="00104DFA"/>
    <w:rsid w:val="00105E49"/>
    <w:rsid w:val="0010663D"/>
    <w:rsid w:val="00112EAE"/>
    <w:rsid w:val="001147B1"/>
    <w:rsid w:val="00115153"/>
    <w:rsid w:val="001207E6"/>
    <w:rsid w:val="001278E1"/>
    <w:rsid w:val="00132CB8"/>
    <w:rsid w:val="00133557"/>
    <w:rsid w:val="0013526E"/>
    <w:rsid w:val="00136B8E"/>
    <w:rsid w:val="00141F7D"/>
    <w:rsid w:val="00142677"/>
    <w:rsid w:val="00150BF7"/>
    <w:rsid w:val="00151698"/>
    <w:rsid w:val="0015360B"/>
    <w:rsid w:val="00155064"/>
    <w:rsid w:val="00155ED8"/>
    <w:rsid w:val="00156EFB"/>
    <w:rsid w:val="00156FBF"/>
    <w:rsid w:val="001641A1"/>
    <w:rsid w:val="0016622A"/>
    <w:rsid w:val="00173745"/>
    <w:rsid w:val="00173B51"/>
    <w:rsid w:val="001745A4"/>
    <w:rsid w:val="0017564F"/>
    <w:rsid w:val="00180201"/>
    <w:rsid w:val="00183F5E"/>
    <w:rsid w:val="00184EE7"/>
    <w:rsid w:val="0018613F"/>
    <w:rsid w:val="00186C2E"/>
    <w:rsid w:val="0018701A"/>
    <w:rsid w:val="0019340E"/>
    <w:rsid w:val="0019689E"/>
    <w:rsid w:val="0019784C"/>
    <w:rsid w:val="001A11B7"/>
    <w:rsid w:val="001A7D7A"/>
    <w:rsid w:val="001B07CB"/>
    <w:rsid w:val="001B2042"/>
    <w:rsid w:val="001B4762"/>
    <w:rsid w:val="001B63E5"/>
    <w:rsid w:val="001B6775"/>
    <w:rsid w:val="001C1318"/>
    <w:rsid w:val="001C54D3"/>
    <w:rsid w:val="001C7295"/>
    <w:rsid w:val="001D2700"/>
    <w:rsid w:val="001D7118"/>
    <w:rsid w:val="001D73C0"/>
    <w:rsid w:val="001E26FA"/>
    <w:rsid w:val="001E66D4"/>
    <w:rsid w:val="001E750C"/>
    <w:rsid w:val="001E7F79"/>
    <w:rsid w:val="001F0EC4"/>
    <w:rsid w:val="001F395E"/>
    <w:rsid w:val="001F681D"/>
    <w:rsid w:val="001F6F92"/>
    <w:rsid w:val="001F7FE8"/>
    <w:rsid w:val="00202DB2"/>
    <w:rsid w:val="002053F3"/>
    <w:rsid w:val="002069A5"/>
    <w:rsid w:val="002145DD"/>
    <w:rsid w:val="00216520"/>
    <w:rsid w:val="00220030"/>
    <w:rsid w:val="00221400"/>
    <w:rsid w:val="002246C0"/>
    <w:rsid w:val="00226683"/>
    <w:rsid w:val="00227A31"/>
    <w:rsid w:val="002302DF"/>
    <w:rsid w:val="00231907"/>
    <w:rsid w:val="00234386"/>
    <w:rsid w:val="00235A39"/>
    <w:rsid w:val="00244626"/>
    <w:rsid w:val="00252427"/>
    <w:rsid w:val="00257629"/>
    <w:rsid w:val="002651DE"/>
    <w:rsid w:val="0026528E"/>
    <w:rsid w:val="002652AD"/>
    <w:rsid w:val="00267C83"/>
    <w:rsid w:val="00270697"/>
    <w:rsid w:val="002726E3"/>
    <w:rsid w:val="00272911"/>
    <w:rsid w:val="002734F3"/>
    <w:rsid w:val="00275154"/>
    <w:rsid w:val="002833FC"/>
    <w:rsid w:val="00284C16"/>
    <w:rsid w:val="0028734A"/>
    <w:rsid w:val="0028784C"/>
    <w:rsid w:val="00293223"/>
    <w:rsid w:val="00293FF8"/>
    <w:rsid w:val="00297D39"/>
    <w:rsid w:val="002A2267"/>
    <w:rsid w:val="002A2ABE"/>
    <w:rsid w:val="002B21C1"/>
    <w:rsid w:val="002B4379"/>
    <w:rsid w:val="002C21B3"/>
    <w:rsid w:val="002C59DC"/>
    <w:rsid w:val="002D07D2"/>
    <w:rsid w:val="002D20C4"/>
    <w:rsid w:val="002E33C1"/>
    <w:rsid w:val="002E3743"/>
    <w:rsid w:val="002E59E6"/>
    <w:rsid w:val="002F1B62"/>
    <w:rsid w:val="002F4802"/>
    <w:rsid w:val="002F5762"/>
    <w:rsid w:val="002F702D"/>
    <w:rsid w:val="002F7551"/>
    <w:rsid w:val="002F79A3"/>
    <w:rsid w:val="003034A2"/>
    <w:rsid w:val="00305010"/>
    <w:rsid w:val="0030533C"/>
    <w:rsid w:val="00305D16"/>
    <w:rsid w:val="0031015A"/>
    <w:rsid w:val="003129C4"/>
    <w:rsid w:val="00312C41"/>
    <w:rsid w:val="0031616B"/>
    <w:rsid w:val="0032051A"/>
    <w:rsid w:val="00321382"/>
    <w:rsid w:val="00326563"/>
    <w:rsid w:val="00327A20"/>
    <w:rsid w:val="0033063D"/>
    <w:rsid w:val="003306FB"/>
    <w:rsid w:val="00331D38"/>
    <w:rsid w:val="00335549"/>
    <w:rsid w:val="00337F0A"/>
    <w:rsid w:val="00343B4A"/>
    <w:rsid w:val="00345CEB"/>
    <w:rsid w:val="00347036"/>
    <w:rsid w:val="00347B2F"/>
    <w:rsid w:val="00355E0E"/>
    <w:rsid w:val="00356F45"/>
    <w:rsid w:val="00357587"/>
    <w:rsid w:val="00365A20"/>
    <w:rsid w:val="003677C7"/>
    <w:rsid w:val="003700AF"/>
    <w:rsid w:val="00372E5C"/>
    <w:rsid w:val="00375A66"/>
    <w:rsid w:val="00382C96"/>
    <w:rsid w:val="00384F7A"/>
    <w:rsid w:val="0038577F"/>
    <w:rsid w:val="003872F9"/>
    <w:rsid w:val="003878F0"/>
    <w:rsid w:val="003908DA"/>
    <w:rsid w:val="00394D81"/>
    <w:rsid w:val="003959F5"/>
    <w:rsid w:val="00397D56"/>
    <w:rsid w:val="003A26BB"/>
    <w:rsid w:val="003A42CA"/>
    <w:rsid w:val="003A7239"/>
    <w:rsid w:val="003A77E7"/>
    <w:rsid w:val="003B2BA3"/>
    <w:rsid w:val="003B2CA8"/>
    <w:rsid w:val="003B56F2"/>
    <w:rsid w:val="003B714A"/>
    <w:rsid w:val="003C1787"/>
    <w:rsid w:val="003C1F6B"/>
    <w:rsid w:val="003C2229"/>
    <w:rsid w:val="003C2488"/>
    <w:rsid w:val="003C3AE9"/>
    <w:rsid w:val="003C45ED"/>
    <w:rsid w:val="003C4C11"/>
    <w:rsid w:val="003C60BB"/>
    <w:rsid w:val="003D1248"/>
    <w:rsid w:val="003D1DDA"/>
    <w:rsid w:val="003E76A5"/>
    <w:rsid w:val="003E7719"/>
    <w:rsid w:val="003F2E95"/>
    <w:rsid w:val="003F2EAF"/>
    <w:rsid w:val="003F3689"/>
    <w:rsid w:val="003F65DD"/>
    <w:rsid w:val="003F6670"/>
    <w:rsid w:val="004003F0"/>
    <w:rsid w:val="00400946"/>
    <w:rsid w:val="004056EC"/>
    <w:rsid w:val="004138F2"/>
    <w:rsid w:val="00413EA5"/>
    <w:rsid w:val="00414734"/>
    <w:rsid w:val="00415456"/>
    <w:rsid w:val="00416467"/>
    <w:rsid w:val="00421AC5"/>
    <w:rsid w:val="00424928"/>
    <w:rsid w:val="0042770A"/>
    <w:rsid w:val="00430F48"/>
    <w:rsid w:val="00434BBD"/>
    <w:rsid w:val="00435670"/>
    <w:rsid w:val="0043702E"/>
    <w:rsid w:val="00445251"/>
    <w:rsid w:val="00446F70"/>
    <w:rsid w:val="00455672"/>
    <w:rsid w:val="004605FD"/>
    <w:rsid w:val="004654DB"/>
    <w:rsid w:val="00466903"/>
    <w:rsid w:val="00467B7A"/>
    <w:rsid w:val="0047148D"/>
    <w:rsid w:val="004840D4"/>
    <w:rsid w:val="00486D46"/>
    <w:rsid w:val="004873DA"/>
    <w:rsid w:val="00487B4A"/>
    <w:rsid w:val="004938BE"/>
    <w:rsid w:val="00494BBC"/>
    <w:rsid w:val="00495BDA"/>
    <w:rsid w:val="004A4D5A"/>
    <w:rsid w:val="004A633E"/>
    <w:rsid w:val="004A6A6E"/>
    <w:rsid w:val="004A6BFA"/>
    <w:rsid w:val="004B4B28"/>
    <w:rsid w:val="004B7008"/>
    <w:rsid w:val="004C0408"/>
    <w:rsid w:val="004C06FD"/>
    <w:rsid w:val="004C0999"/>
    <w:rsid w:val="004C193A"/>
    <w:rsid w:val="004C46B7"/>
    <w:rsid w:val="004C49C3"/>
    <w:rsid w:val="004C4BBF"/>
    <w:rsid w:val="004C5B62"/>
    <w:rsid w:val="004C7042"/>
    <w:rsid w:val="004D0B35"/>
    <w:rsid w:val="004D20D1"/>
    <w:rsid w:val="004D5705"/>
    <w:rsid w:val="004D6672"/>
    <w:rsid w:val="004D6A75"/>
    <w:rsid w:val="004E422F"/>
    <w:rsid w:val="004E74D4"/>
    <w:rsid w:val="004F3DBD"/>
    <w:rsid w:val="004F4C5B"/>
    <w:rsid w:val="0050073F"/>
    <w:rsid w:val="005031E0"/>
    <w:rsid w:val="00512080"/>
    <w:rsid w:val="00515159"/>
    <w:rsid w:val="00515D8E"/>
    <w:rsid w:val="005205B5"/>
    <w:rsid w:val="00520DAB"/>
    <w:rsid w:val="00521DF8"/>
    <w:rsid w:val="0052272B"/>
    <w:rsid w:val="005227A7"/>
    <w:rsid w:val="005244B3"/>
    <w:rsid w:val="005270ED"/>
    <w:rsid w:val="00530C49"/>
    <w:rsid w:val="00532E74"/>
    <w:rsid w:val="005343E0"/>
    <w:rsid w:val="00537FB0"/>
    <w:rsid w:val="00552EA9"/>
    <w:rsid w:val="005549A1"/>
    <w:rsid w:val="00554F23"/>
    <w:rsid w:val="00556CD0"/>
    <w:rsid w:val="005638E6"/>
    <w:rsid w:val="0056705F"/>
    <w:rsid w:val="00571318"/>
    <w:rsid w:val="005719E5"/>
    <w:rsid w:val="005729AB"/>
    <w:rsid w:val="0057724A"/>
    <w:rsid w:val="0057747F"/>
    <w:rsid w:val="00582C7E"/>
    <w:rsid w:val="00585CC3"/>
    <w:rsid w:val="00586031"/>
    <w:rsid w:val="00587BE3"/>
    <w:rsid w:val="00595DA5"/>
    <w:rsid w:val="005962C4"/>
    <w:rsid w:val="005A0B74"/>
    <w:rsid w:val="005A0C6B"/>
    <w:rsid w:val="005A0E46"/>
    <w:rsid w:val="005A1684"/>
    <w:rsid w:val="005A186C"/>
    <w:rsid w:val="005A1ABE"/>
    <w:rsid w:val="005A32D5"/>
    <w:rsid w:val="005A6D3D"/>
    <w:rsid w:val="005A7748"/>
    <w:rsid w:val="005B1D7E"/>
    <w:rsid w:val="005B3342"/>
    <w:rsid w:val="005C08F4"/>
    <w:rsid w:val="005C2258"/>
    <w:rsid w:val="005C43A1"/>
    <w:rsid w:val="005C46DB"/>
    <w:rsid w:val="005D3D97"/>
    <w:rsid w:val="005E20E7"/>
    <w:rsid w:val="005E311E"/>
    <w:rsid w:val="005E7CF1"/>
    <w:rsid w:val="005F21DE"/>
    <w:rsid w:val="005F5DEE"/>
    <w:rsid w:val="005F7400"/>
    <w:rsid w:val="00601C7D"/>
    <w:rsid w:val="006057D2"/>
    <w:rsid w:val="00612B3A"/>
    <w:rsid w:val="00616A0A"/>
    <w:rsid w:val="00621DC9"/>
    <w:rsid w:val="006255F1"/>
    <w:rsid w:val="00626C38"/>
    <w:rsid w:val="00626F8E"/>
    <w:rsid w:val="006338A6"/>
    <w:rsid w:val="006347BC"/>
    <w:rsid w:val="0063662B"/>
    <w:rsid w:val="0063783D"/>
    <w:rsid w:val="00640DDB"/>
    <w:rsid w:val="0064141E"/>
    <w:rsid w:val="00642F54"/>
    <w:rsid w:val="006446DB"/>
    <w:rsid w:val="00662EE3"/>
    <w:rsid w:val="00671802"/>
    <w:rsid w:val="00682534"/>
    <w:rsid w:val="00684F85"/>
    <w:rsid w:val="006865DA"/>
    <w:rsid w:val="00686EC2"/>
    <w:rsid w:val="006916CA"/>
    <w:rsid w:val="0069575A"/>
    <w:rsid w:val="006A0CAB"/>
    <w:rsid w:val="006A5A86"/>
    <w:rsid w:val="006A744F"/>
    <w:rsid w:val="006B4D96"/>
    <w:rsid w:val="006B4DBE"/>
    <w:rsid w:val="006B4E30"/>
    <w:rsid w:val="006B6229"/>
    <w:rsid w:val="006B6519"/>
    <w:rsid w:val="006B6F71"/>
    <w:rsid w:val="006B72A7"/>
    <w:rsid w:val="006B7447"/>
    <w:rsid w:val="006C2A46"/>
    <w:rsid w:val="006D1D1C"/>
    <w:rsid w:val="006D4383"/>
    <w:rsid w:val="006D5807"/>
    <w:rsid w:val="006D7338"/>
    <w:rsid w:val="006E1037"/>
    <w:rsid w:val="006E2FE3"/>
    <w:rsid w:val="006E5267"/>
    <w:rsid w:val="006F59C3"/>
    <w:rsid w:val="006F774D"/>
    <w:rsid w:val="00705660"/>
    <w:rsid w:val="007057AC"/>
    <w:rsid w:val="00712975"/>
    <w:rsid w:val="00712D86"/>
    <w:rsid w:val="00712EA3"/>
    <w:rsid w:val="00723033"/>
    <w:rsid w:val="007234C4"/>
    <w:rsid w:val="007253F3"/>
    <w:rsid w:val="00725F2D"/>
    <w:rsid w:val="007313DC"/>
    <w:rsid w:val="0074009C"/>
    <w:rsid w:val="00741024"/>
    <w:rsid w:val="007549EB"/>
    <w:rsid w:val="00755D34"/>
    <w:rsid w:val="00767758"/>
    <w:rsid w:val="007731DC"/>
    <w:rsid w:val="0077356E"/>
    <w:rsid w:val="00773B9C"/>
    <w:rsid w:val="00781191"/>
    <w:rsid w:val="0078480E"/>
    <w:rsid w:val="007849C2"/>
    <w:rsid w:val="00785DFC"/>
    <w:rsid w:val="00787632"/>
    <w:rsid w:val="0079001F"/>
    <w:rsid w:val="0079079B"/>
    <w:rsid w:val="007909AD"/>
    <w:rsid w:val="00795B49"/>
    <w:rsid w:val="007968FA"/>
    <w:rsid w:val="007A23CA"/>
    <w:rsid w:val="007A34D8"/>
    <w:rsid w:val="007A5486"/>
    <w:rsid w:val="007B3D01"/>
    <w:rsid w:val="007B4005"/>
    <w:rsid w:val="007B4A83"/>
    <w:rsid w:val="007B709B"/>
    <w:rsid w:val="007B7A38"/>
    <w:rsid w:val="007C0D98"/>
    <w:rsid w:val="007D1EE8"/>
    <w:rsid w:val="007D5510"/>
    <w:rsid w:val="007E7BB6"/>
    <w:rsid w:val="007F69E5"/>
    <w:rsid w:val="00800E6B"/>
    <w:rsid w:val="00802AFA"/>
    <w:rsid w:val="00803425"/>
    <w:rsid w:val="00804B92"/>
    <w:rsid w:val="00807937"/>
    <w:rsid w:val="00807DED"/>
    <w:rsid w:val="008133EA"/>
    <w:rsid w:val="00813F86"/>
    <w:rsid w:val="008141F8"/>
    <w:rsid w:val="008141FD"/>
    <w:rsid w:val="008144DC"/>
    <w:rsid w:val="008152B0"/>
    <w:rsid w:val="00817EBD"/>
    <w:rsid w:val="008261A5"/>
    <w:rsid w:val="00826961"/>
    <w:rsid w:val="00835707"/>
    <w:rsid w:val="00837B82"/>
    <w:rsid w:val="008407E8"/>
    <w:rsid w:val="00841256"/>
    <w:rsid w:val="008412F6"/>
    <w:rsid w:val="008466EE"/>
    <w:rsid w:val="00846B68"/>
    <w:rsid w:val="008627C2"/>
    <w:rsid w:val="00863956"/>
    <w:rsid w:val="00865838"/>
    <w:rsid w:val="00866188"/>
    <w:rsid w:val="008679E6"/>
    <w:rsid w:val="00867AE2"/>
    <w:rsid w:val="00872F0D"/>
    <w:rsid w:val="0087436D"/>
    <w:rsid w:val="00877F72"/>
    <w:rsid w:val="008820BE"/>
    <w:rsid w:val="008850E4"/>
    <w:rsid w:val="00887E35"/>
    <w:rsid w:val="00896E6F"/>
    <w:rsid w:val="008A083A"/>
    <w:rsid w:val="008A15C7"/>
    <w:rsid w:val="008A2EE4"/>
    <w:rsid w:val="008A58D3"/>
    <w:rsid w:val="008B0FC7"/>
    <w:rsid w:val="008B12A5"/>
    <w:rsid w:val="008B3C19"/>
    <w:rsid w:val="008B49FA"/>
    <w:rsid w:val="008B7AB3"/>
    <w:rsid w:val="008C1C87"/>
    <w:rsid w:val="008C573E"/>
    <w:rsid w:val="008C5C8E"/>
    <w:rsid w:val="008C6718"/>
    <w:rsid w:val="008D2469"/>
    <w:rsid w:val="008D571D"/>
    <w:rsid w:val="008D75E5"/>
    <w:rsid w:val="008D7C72"/>
    <w:rsid w:val="008E59E0"/>
    <w:rsid w:val="008E71BD"/>
    <w:rsid w:val="008E71E6"/>
    <w:rsid w:val="008E7DAF"/>
    <w:rsid w:val="008F1186"/>
    <w:rsid w:val="008F2BFE"/>
    <w:rsid w:val="008F414C"/>
    <w:rsid w:val="0090446E"/>
    <w:rsid w:val="00904607"/>
    <w:rsid w:val="00906844"/>
    <w:rsid w:val="00906A23"/>
    <w:rsid w:val="00912DB1"/>
    <w:rsid w:val="0091356C"/>
    <w:rsid w:val="009150C4"/>
    <w:rsid w:val="00924B5C"/>
    <w:rsid w:val="009302B0"/>
    <w:rsid w:val="009319BA"/>
    <w:rsid w:val="00931CC4"/>
    <w:rsid w:val="00943446"/>
    <w:rsid w:val="00945113"/>
    <w:rsid w:val="00945D2C"/>
    <w:rsid w:val="00945DB7"/>
    <w:rsid w:val="00953E66"/>
    <w:rsid w:val="00955D3C"/>
    <w:rsid w:val="009572EA"/>
    <w:rsid w:val="0096162E"/>
    <w:rsid w:val="00961C66"/>
    <w:rsid w:val="00965CA9"/>
    <w:rsid w:val="009666A2"/>
    <w:rsid w:val="00971012"/>
    <w:rsid w:val="00975B17"/>
    <w:rsid w:val="00977EAB"/>
    <w:rsid w:val="00981743"/>
    <w:rsid w:val="00984445"/>
    <w:rsid w:val="00984A19"/>
    <w:rsid w:val="009869AA"/>
    <w:rsid w:val="00987A46"/>
    <w:rsid w:val="00990253"/>
    <w:rsid w:val="009908CD"/>
    <w:rsid w:val="009928A8"/>
    <w:rsid w:val="00994E68"/>
    <w:rsid w:val="009A311F"/>
    <w:rsid w:val="009A4C63"/>
    <w:rsid w:val="009A7A0E"/>
    <w:rsid w:val="009B09FA"/>
    <w:rsid w:val="009C0994"/>
    <w:rsid w:val="009C2A8E"/>
    <w:rsid w:val="009C2FCF"/>
    <w:rsid w:val="009C538D"/>
    <w:rsid w:val="009D3245"/>
    <w:rsid w:val="009D5DB3"/>
    <w:rsid w:val="009D7D39"/>
    <w:rsid w:val="009E2A9F"/>
    <w:rsid w:val="009E68EA"/>
    <w:rsid w:val="009E73CF"/>
    <w:rsid w:val="009F0B02"/>
    <w:rsid w:val="009F10D0"/>
    <w:rsid w:val="009F3A85"/>
    <w:rsid w:val="009F4DB8"/>
    <w:rsid w:val="00A00BF1"/>
    <w:rsid w:val="00A010F0"/>
    <w:rsid w:val="00A04C23"/>
    <w:rsid w:val="00A05730"/>
    <w:rsid w:val="00A13DBB"/>
    <w:rsid w:val="00A1663C"/>
    <w:rsid w:val="00A17060"/>
    <w:rsid w:val="00A1723B"/>
    <w:rsid w:val="00A17AB1"/>
    <w:rsid w:val="00A2371C"/>
    <w:rsid w:val="00A23A00"/>
    <w:rsid w:val="00A23A5C"/>
    <w:rsid w:val="00A251E3"/>
    <w:rsid w:val="00A274C6"/>
    <w:rsid w:val="00A307F4"/>
    <w:rsid w:val="00A332E7"/>
    <w:rsid w:val="00A35BA8"/>
    <w:rsid w:val="00A35D92"/>
    <w:rsid w:val="00A42F65"/>
    <w:rsid w:val="00A4515F"/>
    <w:rsid w:val="00A50EA2"/>
    <w:rsid w:val="00A55B67"/>
    <w:rsid w:val="00A56257"/>
    <w:rsid w:val="00A56D0A"/>
    <w:rsid w:val="00A57EA9"/>
    <w:rsid w:val="00A6005B"/>
    <w:rsid w:val="00A61506"/>
    <w:rsid w:val="00A64BE9"/>
    <w:rsid w:val="00A66319"/>
    <w:rsid w:val="00A67046"/>
    <w:rsid w:val="00A70691"/>
    <w:rsid w:val="00A74687"/>
    <w:rsid w:val="00A7706C"/>
    <w:rsid w:val="00A820E3"/>
    <w:rsid w:val="00A838CA"/>
    <w:rsid w:val="00A857D3"/>
    <w:rsid w:val="00A87B1A"/>
    <w:rsid w:val="00A909DE"/>
    <w:rsid w:val="00A92CFE"/>
    <w:rsid w:val="00A96CE7"/>
    <w:rsid w:val="00AA4A6F"/>
    <w:rsid w:val="00AA5A87"/>
    <w:rsid w:val="00AA5BF1"/>
    <w:rsid w:val="00AA61D9"/>
    <w:rsid w:val="00AB5D9C"/>
    <w:rsid w:val="00AC2449"/>
    <w:rsid w:val="00AC2BCA"/>
    <w:rsid w:val="00AC2BF2"/>
    <w:rsid w:val="00AC2C26"/>
    <w:rsid w:val="00AC56D9"/>
    <w:rsid w:val="00AC5CA7"/>
    <w:rsid w:val="00AE22A3"/>
    <w:rsid w:val="00AE4F8E"/>
    <w:rsid w:val="00AE5AB7"/>
    <w:rsid w:val="00AE5D13"/>
    <w:rsid w:val="00AF143F"/>
    <w:rsid w:val="00AF2692"/>
    <w:rsid w:val="00AF3D24"/>
    <w:rsid w:val="00AF5DB1"/>
    <w:rsid w:val="00B12C99"/>
    <w:rsid w:val="00B13DAE"/>
    <w:rsid w:val="00B15098"/>
    <w:rsid w:val="00B16DDB"/>
    <w:rsid w:val="00B17527"/>
    <w:rsid w:val="00B2321D"/>
    <w:rsid w:val="00B239E2"/>
    <w:rsid w:val="00B24C0D"/>
    <w:rsid w:val="00B26429"/>
    <w:rsid w:val="00B317CE"/>
    <w:rsid w:val="00B31EA2"/>
    <w:rsid w:val="00B32D40"/>
    <w:rsid w:val="00B352F2"/>
    <w:rsid w:val="00B40FE0"/>
    <w:rsid w:val="00B42082"/>
    <w:rsid w:val="00B50DAA"/>
    <w:rsid w:val="00B514E0"/>
    <w:rsid w:val="00B544E0"/>
    <w:rsid w:val="00B54D4E"/>
    <w:rsid w:val="00B57A36"/>
    <w:rsid w:val="00B6495E"/>
    <w:rsid w:val="00B66DB9"/>
    <w:rsid w:val="00B710AF"/>
    <w:rsid w:val="00B72548"/>
    <w:rsid w:val="00B753A0"/>
    <w:rsid w:val="00B75489"/>
    <w:rsid w:val="00B7570E"/>
    <w:rsid w:val="00B7608D"/>
    <w:rsid w:val="00B8166F"/>
    <w:rsid w:val="00B87297"/>
    <w:rsid w:val="00B9349D"/>
    <w:rsid w:val="00B96D77"/>
    <w:rsid w:val="00BA5CC1"/>
    <w:rsid w:val="00BA72BC"/>
    <w:rsid w:val="00BB36F5"/>
    <w:rsid w:val="00BB5523"/>
    <w:rsid w:val="00BB5EAC"/>
    <w:rsid w:val="00BB7B6B"/>
    <w:rsid w:val="00BC0660"/>
    <w:rsid w:val="00BC2166"/>
    <w:rsid w:val="00BC3753"/>
    <w:rsid w:val="00BC7A17"/>
    <w:rsid w:val="00BD0C95"/>
    <w:rsid w:val="00BD617C"/>
    <w:rsid w:val="00BD7293"/>
    <w:rsid w:val="00BE4181"/>
    <w:rsid w:val="00BE7C61"/>
    <w:rsid w:val="00BF04A4"/>
    <w:rsid w:val="00BF0E86"/>
    <w:rsid w:val="00BF6293"/>
    <w:rsid w:val="00BF7E0D"/>
    <w:rsid w:val="00C04D2A"/>
    <w:rsid w:val="00C0652E"/>
    <w:rsid w:val="00C06DFB"/>
    <w:rsid w:val="00C0752E"/>
    <w:rsid w:val="00C100EA"/>
    <w:rsid w:val="00C1016C"/>
    <w:rsid w:val="00C1518A"/>
    <w:rsid w:val="00C166D6"/>
    <w:rsid w:val="00C208E9"/>
    <w:rsid w:val="00C22A5C"/>
    <w:rsid w:val="00C25F23"/>
    <w:rsid w:val="00C26833"/>
    <w:rsid w:val="00C26991"/>
    <w:rsid w:val="00C3751C"/>
    <w:rsid w:val="00C43DF0"/>
    <w:rsid w:val="00C44F81"/>
    <w:rsid w:val="00C47814"/>
    <w:rsid w:val="00C47890"/>
    <w:rsid w:val="00C577B9"/>
    <w:rsid w:val="00C61A8D"/>
    <w:rsid w:val="00C62D37"/>
    <w:rsid w:val="00C63EEA"/>
    <w:rsid w:val="00C64899"/>
    <w:rsid w:val="00C65FDA"/>
    <w:rsid w:val="00C6631A"/>
    <w:rsid w:val="00C72B00"/>
    <w:rsid w:val="00C73EB4"/>
    <w:rsid w:val="00C740E7"/>
    <w:rsid w:val="00C75498"/>
    <w:rsid w:val="00C7656D"/>
    <w:rsid w:val="00C77231"/>
    <w:rsid w:val="00C8634A"/>
    <w:rsid w:val="00C919ED"/>
    <w:rsid w:val="00C93E55"/>
    <w:rsid w:val="00C952EC"/>
    <w:rsid w:val="00C97D1B"/>
    <w:rsid w:val="00CA359C"/>
    <w:rsid w:val="00CA65F6"/>
    <w:rsid w:val="00CA6C40"/>
    <w:rsid w:val="00CB099B"/>
    <w:rsid w:val="00CB17D3"/>
    <w:rsid w:val="00CB5993"/>
    <w:rsid w:val="00CC4730"/>
    <w:rsid w:val="00CC6714"/>
    <w:rsid w:val="00CD41B5"/>
    <w:rsid w:val="00CE439D"/>
    <w:rsid w:val="00CE6DB7"/>
    <w:rsid w:val="00CF2507"/>
    <w:rsid w:val="00CF51CB"/>
    <w:rsid w:val="00CF6A96"/>
    <w:rsid w:val="00D03F1F"/>
    <w:rsid w:val="00D06EC8"/>
    <w:rsid w:val="00D1029C"/>
    <w:rsid w:val="00D111A3"/>
    <w:rsid w:val="00D12A4E"/>
    <w:rsid w:val="00D1382B"/>
    <w:rsid w:val="00D14DDA"/>
    <w:rsid w:val="00D15945"/>
    <w:rsid w:val="00D174A1"/>
    <w:rsid w:val="00D20279"/>
    <w:rsid w:val="00D217FD"/>
    <w:rsid w:val="00D24471"/>
    <w:rsid w:val="00D246FB"/>
    <w:rsid w:val="00D274ED"/>
    <w:rsid w:val="00D316CC"/>
    <w:rsid w:val="00D33655"/>
    <w:rsid w:val="00D41605"/>
    <w:rsid w:val="00D42966"/>
    <w:rsid w:val="00D43887"/>
    <w:rsid w:val="00D47E7D"/>
    <w:rsid w:val="00D543FC"/>
    <w:rsid w:val="00D54407"/>
    <w:rsid w:val="00D56843"/>
    <w:rsid w:val="00D62C85"/>
    <w:rsid w:val="00D634D3"/>
    <w:rsid w:val="00D63EC6"/>
    <w:rsid w:val="00D6418E"/>
    <w:rsid w:val="00D67BAF"/>
    <w:rsid w:val="00D67ED5"/>
    <w:rsid w:val="00D70036"/>
    <w:rsid w:val="00D72282"/>
    <w:rsid w:val="00D72563"/>
    <w:rsid w:val="00D72777"/>
    <w:rsid w:val="00D72AD0"/>
    <w:rsid w:val="00D741A7"/>
    <w:rsid w:val="00D76774"/>
    <w:rsid w:val="00D769D9"/>
    <w:rsid w:val="00D8197C"/>
    <w:rsid w:val="00D81F45"/>
    <w:rsid w:val="00D82F8D"/>
    <w:rsid w:val="00D831D3"/>
    <w:rsid w:val="00D9016E"/>
    <w:rsid w:val="00D9186A"/>
    <w:rsid w:val="00D93A09"/>
    <w:rsid w:val="00D97383"/>
    <w:rsid w:val="00DB345D"/>
    <w:rsid w:val="00DB3D4B"/>
    <w:rsid w:val="00DB575B"/>
    <w:rsid w:val="00DB6FF3"/>
    <w:rsid w:val="00DC031D"/>
    <w:rsid w:val="00DC3869"/>
    <w:rsid w:val="00DC3F41"/>
    <w:rsid w:val="00DC4F9D"/>
    <w:rsid w:val="00DC66B3"/>
    <w:rsid w:val="00DC7000"/>
    <w:rsid w:val="00DC7846"/>
    <w:rsid w:val="00DD3BAC"/>
    <w:rsid w:val="00DE41E8"/>
    <w:rsid w:val="00DE677A"/>
    <w:rsid w:val="00DE6D19"/>
    <w:rsid w:val="00E1124A"/>
    <w:rsid w:val="00E113E7"/>
    <w:rsid w:val="00E11E77"/>
    <w:rsid w:val="00E13BAA"/>
    <w:rsid w:val="00E20B02"/>
    <w:rsid w:val="00E21CD9"/>
    <w:rsid w:val="00E22D8A"/>
    <w:rsid w:val="00E27081"/>
    <w:rsid w:val="00E30097"/>
    <w:rsid w:val="00E32685"/>
    <w:rsid w:val="00E356A9"/>
    <w:rsid w:val="00E36FA4"/>
    <w:rsid w:val="00E40228"/>
    <w:rsid w:val="00E4300A"/>
    <w:rsid w:val="00E43144"/>
    <w:rsid w:val="00E548F3"/>
    <w:rsid w:val="00E54E94"/>
    <w:rsid w:val="00E56BB3"/>
    <w:rsid w:val="00E60AE4"/>
    <w:rsid w:val="00E60D5C"/>
    <w:rsid w:val="00E61611"/>
    <w:rsid w:val="00E64DB4"/>
    <w:rsid w:val="00E657B2"/>
    <w:rsid w:val="00E65BE5"/>
    <w:rsid w:val="00E6706B"/>
    <w:rsid w:val="00E80001"/>
    <w:rsid w:val="00E81285"/>
    <w:rsid w:val="00E852CF"/>
    <w:rsid w:val="00E92C8E"/>
    <w:rsid w:val="00E94327"/>
    <w:rsid w:val="00E95392"/>
    <w:rsid w:val="00EA1D7E"/>
    <w:rsid w:val="00EA22E5"/>
    <w:rsid w:val="00EA56B8"/>
    <w:rsid w:val="00EA694E"/>
    <w:rsid w:val="00EB0614"/>
    <w:rsid w:val="00EB0BA1"/>
    <w:rsid w:val="00EB69BF"/>
    <w:rsid w:val="00EC2BC7"/>
    <w:rsid w:val="00EC35DF"/>
    <w:rsid w:val="00EC55A1"/>
    <w:rsid w:val="00ED1BA9"/>
    <w:rsid w:val="00ED3858"/>
    <w:rsid w:val="00ED68E4"/>
    <w:rsid w:val="00EE3A1B"/>
    <w:rsid w:val="00EE424A"/>
    <w:rsid w:val="00EF1F08"/>
    <w:rsid w:val="00EF7D8B"/>
    <w:rsid w:val="00F05494"/>
    <w:rsid w:val="00F07AAB"/>
    <w:rsid w:val="00F11CEF"/>
    <w:rsid w:val="00F11ECE"/>
    <w:rsid w:val="00F13C5A"/>
    <w:rsid w:val="00F20732"/>
    <w:rsid w:val="00F21458"/>
    <w:rsid w:val="00F226D1"/>
    <w:rsid w:val="00F22DC9"/>
    <w:rsid w:val="00F258F8"/>
    <w:rsid w:val="00F3228D"/>
    <w:rsid w:val="00F331D8"/>
    <w:rsid w:val="00F376C6"/>
    <w:rsid w:val="00F407F5"/>
    <w:rsid w:val="00F40E72"/>
    <w:rsid w:val="00F421C0"/>
    <w:rsid w:val="00F44E99"/>
    <w:rsid w:val="00F45A6F"/>
    <w:rsid w:val="00F50BAD"/>
    <w:rsid w:val="00F50C6F"/>
    <w:rsid w:val="00F51000"/>
    <w:rsid w:val="00F5594C"/>
    <w:rsid w:val="00F56280"/>
    <w:rsid w:val="00F57BE8"/>
    <w:rsid w:val="00F61167"/>
    <w:rsid w:val="00F6236A"/>
    <w:rsid w:val="00F64D88"/>
    <w:rsid w:val="00F660F2"/>
    <w:rsid w:val="00F66943"/>
    <w:rsid w:val="00F66FC5"/>
    <w:rsid w:val="00F76B4C"/>
    <w:rsid w:val="00F81D34"/>
    <w:rsid w:val="00F81FF5"/>
    <w:rsid w:val="00F82407"/>
    <w:rsid w:val="00F83179"/>
    <w:rsid w:val="00F90CFF"/>
    <w:rsid w:val="00F92DAC"/>
    <w:rsid w:val="00F93DE2"/>
    <w:rsid w:val="00F96F38"/>
    <w:rsid w:val="00FA1B78"/>
    <w:rsid w:val="00FA3AB5"/>
    <w:rsid w:val="00FA420A"/>
    <w:rsid w:val="00FA565B"/>
    <w:rsid w:val="00FC0102"/>
    <w:rsid w:val="00FC39A5"/>
    <w:rsid w:val="00FC5EAA"/>
    <w:rsid w:val="00FC7B18"/>
    <w:rsid w:val="00FD2294"/>
    <w:rsid w:val="00FE251E"/>
    <w:rsid w:val="00FE74E6"/>
    <w:rsid w:val="00FF1E29"/>
    <w:rsid w:val="00FF2AED"/>
    <w:rsid w:val="00FF4788"/>
    <w:rsid w:val="00FF4E70"/>
  </w:rsids>
  <m:mathPr>
    <m:mathFont m:val="Cambria Math"/>
    <m:brkBin m:val="before"/>
    <m:brkBinSub m:val="--"/>
    <m:smallFrac m:val="0"/>
    <m:dispDef/>
    <m:lMargin m:val="0"/>
    <m:rMargin m:val="0"/>
    <m:defJc m:val="centerGroup"/>
    <m:wrapIndent m:val="1440"/>
    <m:intLim m:val="subSup"/>
    <m:naryLim m:val="undOvr"/>
  </m:mathPr>
  <w:themeFontLang w:val="fr-BE"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F710F31"/>
  <w15:docId w15:val="{E1200CD2-0F58-4465-8C7F-6A425784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167"/>
    <w:pPr>
      <w:overflowPunct w:val="0"/>
      <w:autoSpaceDE w:val="0"/>
      <w:autoSpaceDN w:val="0"/>
      <w:adjustRightInd w:val="0"/>
      <w:spacing w:line="288" w:lineRule="auto"/>
      <w:jc w:val="both"/>
      <w:textAlignment w:val="baseline"/>
    </w:pPr>
    <w:rPr>
      <w:sz w:val="22"/>
      <w:lang w:eastAsia="en-US"/>
    </w:rPr>
  </w:style>
  <w:style w:type="paragraph" w:styleId="Heading1">
    <w:name w:val="heading 1"/>
    <w:basedOn w:val="Normal"/>
    <w:next w:val="Normal"/>
    <w:link w:val="Heading1Char"/>
    <w:qFormat/>
    <w:rsid w:val="00F61167"/>
    <w:pPr>
      <w:numPr>
        <w:numId w:val="1"/>
      </w:numPr>
      <w:ind w:left="720" w:hanging="720"/>
      <w:outlineLvl w:val="0"/>
    </w:pPr>
    <w:rPr>
      <w:kern w:val="28"/>
    </w:rPr>
  </w:style>
  <w:style w:type="paragraph" w:styleId="Heading2">
    <w:name w:val="heading 2"/>
    <w:basedOn w:val="Normal"/>
    <w:next w:val="Normal"/>
    <w:link w:val="Heading2Char"/>
    <w:qFormat/>
    <w:rsid w:val="00F61167"/>
    <w:pPr>
      <w:numPr>
        <w:ilvl w:val="1"/>
        <w:numId w:val="1"/>
      </w:numPr>
      <w:ind w:left="720" w:hanging="720"/>
      <w:outlineLvl w:val="1"/>
    </w:pPr>
  </w:style>
  <w:style w:type="paragraph" w:styleId="Heading3">
    <w:name w:val="heading 3"/>
    <w:basedOn w:val="Normal"/>
    <w:next w:val="Normal"/>
    <w:link w:val="Heading3Char"/>
    <w:qFormat/>
    <w:rsid w:val="00F61167"/>
    <w:pPr>
      <w:numPr>
        <w:ilvl w:val="2"/>
        <w:numId w:val="1"/>
      </w:numPr>
      <w:ind w:left="720" w:hanging="720"/>
      <w:outlineLvl w:val="2"/>
    </w:pPr>
  </w:style>
  <w:style w:type="paragraph" w:styleId="Heading4">
    <w:name w:val="heading 4"/>
    <w:basedOn w:val="Normal"/>
    <w:next w:val="Normal"/>
    <w:link w:val="Heading4Char"/>
    <w:qFormat/>
    <w:rsid w:val="00F61167"/>
    <w:pPr>
      <w:numPr>
        <w:ilvl w:val="3"/>
        <w:numId w:val="1"/>
      </w:numPr>
      <w:ind w:left="720" w:hanging="720"/>
      <w:outlineLvl w:val="3"/>
    </w:pPr>
  </w:style>
  <w:style w:type="paragraph" w:styleId="Heading5">
    <w:name w:val="heading 5"/>
    <w:basedOn w:val="Normal"/>
    <w:next w:val="Normal"/>
    <w:link w:val="Heading5Char"/>
    <w:qFormat/>
    <w:rsid w:val="00F61167"/>
    <w:pPr>
      <w:numPr>
        <w:ilvl w:val="4"/>
        <w:numId w:val="1"/>
      </w:numPr>
      <w:ind w:left="720" w:hanging="720"/>
      <w:outlineLvl w:val="4"/>
    </w:pPr>
  </w:style>
  <w:style w:type="paragraph" w:styleId="Heading6">
    <w:name w:val="heading 6"/>
    <w:basedOn w:val="Normal"/>
    <w:next w:val="Normal"/>
    <w:link w:val="Heading6Char"/>
    <w:qFormat/>
    <w:rsid w:val="00F61167"/>
    <w:pPr>
      <w:numPr>
        <w:ilvl w:val="5"/>
        <w:numId w:val="1"/>
      </w:numPr>
      <w:ind w:left="720" w:hanging="720"/>
      <w:outlineLvl w:val="5"/>
    </w:pPr>
  </w:style>
  <w:style w:type="paragraph" w:styleId="Heading7">
    <w:name w:val="heading 7"/>
    <w:basedOn w:val="Normal"/>
    <w:next w:val="Normal"/>
    <w:link w:val="Heading7Char"/>
    <w:qFormat/>
    <w:rsid w:val="00F61167"/>
    <w:pPr>
      <w:numPr>
        <w:ilvl w:val="6"/>
        <w:numId w:val="1"/>
      </w:numPr>
      <w:ind w:left="720" w:hanging="720"/>
      <w:outlineLvl w:val="6"/>
    </w:pPr>
  </w:style>
  <w:style w:type="paragraph" w:styleId="Heading8">
    <w:name w:val="heading 8"/>
    <w:basedOn w:val="Normal"/>
    <w:next w:val="Normal"/>
    <w:link w:val="Heading8Char"/>
    <w:qFormat/>
    <w:rsid w:val="00F61167"/>
    <w:pPr>
      <w:numPr>
        <w:ilvl w:val="7"/>
        <w:numId w:val="1"/>
      </w:numPr>
      <w:ind w:left="720" w:hanging="720"/>
      <w:outlineLvl w:val="7"/>
    </w:pPr>
  </w:style>
  <w:style w:type="paragraph" w:styleId="Heading9">
    <w:name w:val="heading 9"/>
    <w:basedOn w:val="Normal"/>
    <w:next w:val="Normal"/>
    <w:link w:val="Heading9Char"/>
    <w:qFormat/>
    <w:rsid w:val="00F61167"/>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4F9"/>
    <w:rPr>
      <w:rFonts w:asciiTheme="majorHAnsi" w:eastAsiaTheme="majorEastAsia" w:hAnsiTheme="majorHAnsi" w:cstheme="majorBidi"/>
      <w:b/>
      <w:bCs/>
      <w:color w:val="365F91" w:themeColor="accent1" w:themeShade="BF"/>
      <w:sz w:val="28"/>
      <w:szCs w:val="28"/>
      <w:lang w:val="fr-FR" w:eastAsia="en-US"/>
    </w:rPr>
  </w:style>
  <w:style w:type="character" w:customStyle="1" w:styleId="Heading2Char">
    <w:name w:val="Heading 2 Char"/>
    <w:basedOn w:val="DefaultParagraphFont"/>
    <w:link w:val="Heading2"/>
    <w:uiPriority w:val="9"/>
    <w:semiHidden/>
    <w:rsid w:val="001374F9"/>
    <w:rPr>
      <w:rFonts w:asciiTheme="majorHAnsi" w:eastAsiaTheme="majorEastAsia" w:hAnsiTheme="majorHAnsi" w:cstheme="majorBidi"/>
      <w:b/>
      <w:bCs/>
      <w:color w:val="4F81BD" w:themeColor="accent1"/>
      <w:sz w:val="26"/>
      <w:szCs w:val="26"/>
      <w:lang w:val="fr-FR" w:eastAsia="en-US"/>
    </w:rPr>
  </w:style>
  <w:style w:type="character" w:customStyle="1" w:styleId="Heading3Char">
    <w:name w:val="Heading 3 Char"/>
    <w:basedOn w:val="DefaultParagraphFont"/>
    <w:link w:val="Heading3"/>
    <w:uiPriority w:val="9"/>
    <w:semiHidden/>
    <w:rsid w:val="001374F9"/>
    <w:rPr>
      <w:rFonts w:asciiTheme="majorHAnsi" w:eastAsiaTheme="majorEastAsia" w:hAnsiTheme="majorHAnsi" w:cstheme="majorBidi"/>
      <w:b/>
      <w:bCs/>
      <w:color w:val="4F81BD" w:themeColor="accent1"/>
      <w:sz w:val="22"/>
      <w:lang w:val="fr-FR" w:eastAsia="en-US"/>
    </w:rPr>
  </w:style>
  <w:style w:type="character" w:customStyle="1" w:styleId="Heading4Char">
    <w:name w:val="Heading 4 Char"/>
    <w:basedOn w:val="DefaultParagraphFont"/>
    <w:link w:val="Heading4"/>
    <w:uiPriority w:val="9"/>
    <w:semiHidden/>
    <w:rsid w:val="001374F9"/>
    <w:rPr>
      <w:rFonts w:asciiTheme="majorHAnsi" w:eastAsiaTheme="majorEastAsia" w:hAnsiTheme="majorHAnsi" w:cstheme="majorBidi"/>
      <w:b/>
      <w:bCs/>
      <w:i/>
      <w:iCs/>
      <w:color w:val="4F81BD" w:themeColor="accent1"/>
      <w:sz w:val="22"/>
      <w:lang w:val="fr-FR" w:eastAsia="en-US"/>
    </w:rPr>
  </w:style>
  <w:style w:type="character" w:customStyle="1" w:styleId="Heading5Char">
    <w:name w:val="Heading 5 Char"/>
    <w:basedOn w:val="DefaultParagraphFont"/>
    <w:link w:val="Heading5"/>
    <w:uiPriority w:val="9"/>
    <w:semiHidden/>
    <w:rsid w:val="001374F9"/>
    <w:rPr>
      <w:rFonts w:asciiTheme="majorHAnsi" w:eastAsiaTheme="majorEastAsia" w:hAnsiTheme="majorHAnsi" w:cstheme="majorBidi"/>
      <w:color w:val="243F60" w:themeColor="accent1" w:themeShade="7F"/>
      <w:sz w:val="22"/>
      <w:lang w:val="fr-FR" w:eastAsia="en-US"/>
    </w:rPr>
  </w:style>
  <w:style w:type="character" w:customStyle="1" w:styleId="Heading6Char">
    <w:name w:val="Heading 6 Char"/>
    <w:basedOn w:val="DefaultParagraphFont"/>
    <w:link w:val="Heading6"/>
    <w:uiPriority w:val="9"/>
    <w:semiHidden/>
    <w:rsid w:val="001374F9"/>
    <w:rPr>
      <w:rFonts w:asciiTheme="majorHAnsi" w:eastAsiaTheme="majorEastAsia" w:hAnsiTheme="majorHAnsi" w:cstheme="majorBidi"/>
      <w:i/>
      <w:iCs/>
      <w:color w:val="243F60" w:themeColor="accent1" w:themeShade="7F"/>
      <w:sz w:val="22"/>
      <w:lang w:val="fr-FR" w:eastAsia="en-US"/>
    </w:rPr>
  </w:style>
  <w:style w:type="character" w:customStyle="1" w:styleId="Heading7Char">
    <w:name w:val="Heading 7 Char"/>
    <w:basedOn w:val="DefaultParagraphFont"/>
    <w:link w:val="Heading7"/>
    <w:uiPriority w:val="9"/>
    <w:semiHidden/>
    <w:rsid w:val="001374F9"/>
    <w:rPr>
      <w:rFonts w:asciiTheme="majorHAnsi" w:eastAsiaTheme="majorEastAsia" w:hAnsiTheme="majorHAnsi" w:cstheme="majorBidi"/>
      <w:i/>
      <w:iCs/>
      <w:color w:val="404040" w:themeColor="text1" w:themeTint="BF"/>
      <w:sz w:val="22"/>
      <w:lang w:val="fr-FR" w:eastAsia="en-US"/>
    </w:rPr>
  </w:style>
  <w:style w:type="character" w:customStyle="1" w:styleId="Heading8Char">
    <w:name w:val="Heading 8 Char"/>
    <w:basedOn w:val="DefaultParagraphFont"/>
    <w:link w:val="Heading8"/>
    <w:uiPriority w:val="9"/>
    <w:semiHidden/>
    <w:rsid w:val="001374F9"/>
    <w:rPr>
      <w:rFonts w:asciiTheme="majorHAnsi" w:eastAsiaTheme="majorEastAsia" w:hAnsiTheme="majorHAnsi" w:cstheme="majorBidi"/>
      <w:color w:val="404040" w:themeColor="text1" w:themeTint="BF"/>
      <w:lang w:val="fr-FR" w:eastAsia="en-US"/>
    </w:rPr>
  </w:style>
  <w:style w:type="character" w:customStyle="1" w:styleId="Heading9Char">
    <w:name w:val="Heading 9 Char"/>
    <w:basedOn w:val="DefaultParagraphFont"/>
    <w:link w:val="Heading9"/>
    <w:uiPriority w:val="9"/>
    <w:semiHidden/>
    <w:rsid w:val="001374F9"/>
    <w:rPr>
      <w:rFonts w:asciiTheme="majorHAnsi" w:eastAsiaTheme="majorEastAsia" w:hAnsiTheme="majorHAnsi" w:cstheme="majorBidi"/>
      <w:i/>
      <w:iCs/>
      <w:color w:val="404040" w:themeColor="text1" w:themeTint="BF"/>
      <w:lang w:val="fr-FR" w:eastAsia="en-US"/>
    </w:rPr>
  </w:style>
  <w:style w:type="paragraph" w:styleId="Footer">
    <w:name w:val="footer"/>
    <w:basedOn w:val="Normal"/>
    <w:link w:val="FooterChar"/>
    <w:uiPriority w:val="99"/>
    <w:rsid w:val="00F61167"/>
  </w:style>
  <w:style w:type="character" w:customStyle="1" w:styleId="FooterChar">
    <w:name w:val="Footer Char"/>
    <w:basedOn w:val="DefaultParagraphFont"/>
    <w:link w:val="Footer"/>
    <w:uiPriority w:val="99"/>
    <w:semiHidden/>
    <w:rsid w:val="001374F9"/>
    <w:rPr>
      <w:sz w:val="22"/>
      <w:lang w:val="fr-FR" w:eastAsia="en-US"/>
    </w:rPr>
  </w:style>
  <w:style w:type="paragraph" w:styleId="FootnoteText">
    <w:name w:val="footnote text"/>
    <w:basedOn w:val="Normal"/>
    <w:link w:val="FootnoteTextChar"/>
    <w:uiPriority w:val="99"/>
    <w:rsid w:val="00F61167"/>
    <w:pPr>
      <w:keepLines/>
      <w:spacing w:after="60" w:line="240" w:lineRule="auto"/>
      <w:ind w:left="720" w:hanging="720"/>
    </w:pPr>
    <w:rPr>
      <w:sz w:val="16"/>
    </w:rPr>
  </w:style>
  <w:style w:type="character" w:customStyle="1" w:styleId="FootnoteTextChar">
    <w:name w:val="Footnote Text Char"/>
    <w:basedOn w:val="DefaultParagraphFont"/>
    <w:link w:val="FootnoteText"/>
    <w:uiPriority w:val="99"/>
    <w:semiHidden/>
    <w:rsid w:val="001374F9"/>
    <w:rPr>
      <w:lang w:val="fr-FR" w:eastAsia="en-US"/>
    </w:rPr>
  </w:style>
  <w:style w:type="paragraph" w:styleId="Header">
    <w:name w:val="header"/>
    <w:basedOn w:val="Normal"/>
    <w:link w:val="HeaderChar"/>
    <w:uiPriority w:val="99"/>
    <w:rsid w:val="00F61167"/>
  </w:style>
  <w:style w:type="character" w:customStyle="1" w:styleId="HeaderChar">
    <w:name w:val="Header Char"/>
    <w:basedOn w:val="DefaultParagraphFont"/>
    <w:link w:val="Header"/>
    <w:uiPriority w:val="99"/>
    <w:semiHidden/>
    <w:rsid w:val="001374F9"/>
    <w:rPr>
      <w:sz w:val="22"/>
      <w:lang w:val="fr-FR" w:eastAsia="en-US"/>
    </w:rPr>
  </w:style>
  <w:style w:type="paragraph" w:customStyle="1" w:styleId="quotes">
    <w:name w:val="quotes"/>
    <w:basedOn w:val="Normal"/>
    <w:next w:val="Normal"/>
    <w:rsid w:val="00F61167"/>
    <w:pPr>
      <w:ind w:left="720"/>
    </w:pPr>
    <w:rPr>
      <w:i/>
    </w:rPr>
  </w:style>
  <w:style w:type="character" w:styleId="FootnoteReference">
    <w:name w:val="footnote reference"/>
    <w:basedOn w:val="DefaultParagraphFont"/>
    <w:uiPriority w:val="99"/>
    <w:semiHidden/>
    <w:rsid w:val="00F61167"/>
    <w:rPr>
      <w:sz w:val="24"/>
      <w:vertAlign w:val="superscript"/>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rsid w:val="00B710A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710AF"/>
    <w:rPr>
      <w:rFonts w:ascii="Tahoma" w:hAnsi="Tahoma" w:cs="Tahoma"/>
      <w:sz w:val="16"/>
      <w:szCs w:val="16"/>
      <w:lang w:val="fr-FR" w:eastAsia="en-US"/>
    </w:rPr>
  </w:style>
  <w:style w:type="table" w:styleId="TableGrid">
    <w:name w:val="Table Grid"/>
    <w:basedOn w:val="TableNormal"/>
    <w:uiPriority w:val="59"/>
    <w:rsid w:val="00BD72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1611"/>
    <w:rPr>
      <w:sz w:val="22"/>
      <w:lang w:eastAsia="en-US"/>
    </w:rPr>
  </w:style>
  <w:style w:type="character" w:styleId="CommentReference">
    <w:name w:val="annotation reference"/>
    <w:basedOn w:val="DefaultParagraphFont"/>
    <w:semiHidden/>
    <w:unhideWhenUsed/>
    <w:rsid w:val="00E61611"/>
    <w:rPr>
      <w:sz w:val="16"/>
      <w:szCs w:val="16"/>
    </w:rPr>
  </w:style>
  <w:style w:type="paragraph" w:styleId="CommentText">
    <w:name w:val="annotation text"/>
    <w:basedOn w:val="Normal"/>
    <w:link w:val="CommentTextChar"/>
    <w:unhideWhenUsed/>
    <w:rsid w:val="00E61611"/>
    <w:pPr>
      <w:spacing w:line="240" w:lineRule="auto"/>
    </w:pPr>
    <w:rPr>
      <w:sz w:val="20"/>
    </w:rPr>
  </w:style>
  <w:style w:type="character" w:customStyle="1" w:styleId="CommentTextChar">
    <w:name w:val="Comment Text Char"/>
    <w:basedOn w:val="DefaultParagraphFont"/>
    <w:link w:val="CommentText"/>
    <w:rsid w:val="00E61611"/>
    <w:rPr>
      <w:lang w:val="fr-FR" w:eastAsia="en-US"/>
    </w:rPr>
  </w:style>
  <w:style w:type="paragraph" w:styleId="CommentSubject">
    <w:name w:val="annotation subject"/>
    <w:basedOn w:val="CommentText"/>
    <w:next w:val="CommentText"/>
    <w:link w:val="CommentSubjectChar"/>
    <w:semiHidden/>
    <w:unhideWhenUsed/>
    <w:rsid w:val="00E61611"/>
    <w:rPr>
      <w:b/>
      <w:bCs/>
    </w:rPr>
  </w:style>
  <w:style w:type="character" w:customStyle="1" w:styleId="CommentSubjectChar">
    <w:name w:val="Comment Subject Char"/>
    <w:basedOn w:val="CommentTextChar"/>
    <w:link w:val="CommentSubject"/>
    <w:semiHidden/>
    <w:rsid w:val="00E61611"/>
    <w:rPr>
      <w:b/>
      <w:bCs/>
      <w:lang w:val="fr-FR" w:eastAsia="en-US"/>
    </w:rPr>
  </w:style>
  <w:style w:type="paragraph" w:styleId="ListParagraph">
    <w:name w:val="List Paragraph"/>
    <w:basedOn w:val="Normal"/>
    <w:uiPriority w:val="34"/>
    <w:qFormat/>
    <w:rsid w:val="00D76774"/>
    <w:pPr>
      <w:overflowPunct/>
      <w:autoSpaceDE/>
      <w:autoSpaceDN/>
      <w:adjustRightInd/>
      <w:spacing w:line="240" w:lineRule="auto"/>
      <w:ind w:left="720"/>
      <w:jc w:val="left"/>
      <w:textAlignment w:val="auto"/>
    </w:pPr>
    <w:rPr>
      <w:rFonts w:ascii="Calibri" w:eastAsiaTheme="minorHAnsi" w:hAnsi="Calibri" w:cs="Calibri"/>
      <w:szCs w:val="22"/>
      <w:lang w:eastAsia="fr-BE"/>
    </w:rPr>
  </w:style>
  <w:style w:type="character" w:customStyle="1" w:styleId="UnresolvedMention1">
    <w:name w:val="Unresolved Mention1"/>
    <w:basedOn w:val="DefaultParagraphFont"/>
    <w:uiPriority w:val="99"/>
    <w:semiHidden/>
    <w:unhideWhenUsed/>
    <w:rsid w:val="00D76774"/>
    <w:rPr>
      <w:color w:val="605E5C"/>
      <w:shd w:val="clear" w:color="auto" w:fill="E1DFDD"/>
    </w:rPr>
  </w:style>
  <w:style w:type="character" w:customStyle="1" w:styleId="UnresolvedMention2">
    <w:name w:val="Unresolved Mention2"/>
    <w:basedOn w:val="DefaultParagraphFont"/>
    <w:uiPriority w:val="99"/>
    <w:semiHidden/>
    <w:unhideWhenUsed/>
    <w:rsid w:val="00616A0A"/>
    <w:rPr>
      <w:color w:val="605E5C"/>
      <w:shd w:val="clear" w:color="auto" w:fill="E1DFDD"/>
    </w:rPr>
  </w:style>
  <w:style w:type="paragraph" w:styleId="NormalWeb">
    <w:name w:val="Normal (Web)"/>
    <w:basedOn w:val="Normal"/>
    <w:uiPriority w:val="99"/>
    <w:semiHidden/>
    <w:unhideWhenUsed/>
    <w:rsid w:val="00E43144"/>
    <w:pPr>
      <w:overflowPunct/>
      <w:autoSpaceDE/>
      <w:autoSpaceDN/>
      <w:adjustRightInd/>
      <w:spacing w:line="240" w:lineRule="auto"/>
      <w:jc w:val="left"/>
      <w:textAlignment w:val="auto"/>
    </w:pPr>
    <w:rPr>
      <w:rFonts w:ascii="Calibri" w:eastAsiaTheme="minorHAnsi" w:hAnsi="Calibri" w:cs="Calibri"/>
      <w:szCs w:val="22"/>
      <w:lang w:eastAsia="fr-BE"/>
    </w:rPr>
  </w:style>
  <w:style w:type="character" w:customStyle="1" w:styleId="UnresolvedMention3">
    <w:name w:val="Unresolved Mention3"/>
    <w:basedOn w:val="DefaultParagraphFont"/>
    <w:uiPriority w:val="99"/>
    <w:semiHidden/>
    <w:unhideWhenUsed/>
    <w:rsid w:val="009C2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1254">
      <w:bodyDiv w:val="1"/>
      <w:marLeft w:val="0"/>
      <w:marRight w:val="0"/>
      <w:marTop w:val="0"/>
      <w:marBottom w:val="0"/>
      <w:divBdr>
        <w:top w:val="none" w:sz="0" w:space="0" w:color="auto"/>
        <w:left w:val="none" w:sz="0" w:space="0" w:color="auto"/>
        <w:bottom w:val="none" w:sz="0" w:space="0" w:color="auto"/>
        <w:right w:val="none" w:sz="0" w:space="0" w:color="auto"/>
      </w:divBdr>
    </w:div>
    <w:div w:id="120659851">
      <w:bodyDiv w:val="1"/>
      <w:marLeft w:val="0"/>
      <w:marRight w:val="0"/>
      <w:marTop w:val="0"/>
      <w:marBottom w:val="0"/>
      <w:divBdr>
        <w:top w:val="none" w:sz="0" w:space="0" w:color="auto"/>
        <w:left w:val="none" w:sz="0" w:space="0" w:color="auto"/>
        <w:bottom w:val="none" w:sz="0" w:space="0" w:color="auto"/>
        <w:right w:val="none" w:sz="0" w:space="0" w:color="auto"/>
      </w:divBdr>
    </w:div>
    <w:div w:id="493841491">
      <w:bodyDiv w:val="1"/>
      <w:marLeft w:val="0"/>
      <w:marRight w:val="0"/>
      <w:marTop w:val="0"/>
      <w:marBottom w:val="0"/>
      <w:divBdr>
        <w:top w:val="none" w:sz="0" w:space="0" w:color="auto"/>
        <w:left w:val="none" w:sz="0" w:space="0" w:color="auto"/>
        <w:bottom w:val="none" w:sz="0" w:space="0" w:color="auto"/>
        <w:right w:val="none" w:sz="0" w:space="0" w:color="auto"/>
      </w:divBdr>
      <w:divsChild>
        <w:div w:id="54360040">
          <w:marLeft w:val="0"/>
          <w:marRight w:val="0"/>
          <w:marTop w:val="0"/>
          <w:marBottom w:val="0"/>
          <w:divBdr>
            <w:top w:val="single" w:sz="2" w:space="0" w:color="000000"/>
            <w:left w:val="single" w:sz="2" w:space="0" w:color="000000"/>
            <w:bottom w:val="single" w:sz="2" w:space="0" w:color="000000"/>
            <w:right w:val="single" w:sz="2" w:space="0" w:color="000000"/>
          </w:divBdr>
        </w:div>
        <w:div w:id="8572814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7274054">
      <w:bodyDiv w:val="1"/>
      <w:marLeft w:val="0"/>
      <w:marRight w:val="0"/>
      <w:marTop w:val="0"/>
      <w:marBottom w:val="0"/>
      <w:divBdr>
        <w:top w:val="none" w:sz="0" w:space="0" w:color="auto"/>
        <w:left w:val="none" w:sz="0" w:space="0" w:color="auto"/>
        <w:bottom w:val="none" w:sz="0" w:space="0" w:color="auto"/>
        <w:right w:val="none" w:sz="0" w:space="0" w:color="auto"/>
      </w:divBdr>
    </w:div>
    <w:div w:id="698287011">
      <w:bodyDiv w:val="1"/>
      <w:marLeft w:val="0"/>
      <w:marRight w:val="0"/>
      <w:marTop w:val="0"/>
      <w:marBottom w:val="0"/>
      <w:divBdr>
        <w:top w:val="none" w:sz="0" w:space="0" w:color="auto"/>
        <w:left w:val="none" w:sz="0" w:space="0" w:color="auto"/>
        <w:bottom w:val="none" w:sz="0" w:space="0" w:color="auto"/>
        <w:right w:val="none" w:sz="0" w:space="0" w:color="auto"/>
      </w:divBdr>
    </w:div>
    <w:div w:id="898396482">
      <w:bodyDiv w:val="1"/>
      <w:marLeft w:val="0"/>
      <w:marRight w:val="0"/>
      <w:marTop w:val="0"/>
      <w:marBottom w:val="0"/>
      <w:divBdr>
        <w:top w:val="none" w:sz="0" w:space="0" w:color="auto"/>
        <w:left w:val="none" w:sz="0" w:space="0" w:color="auto"/>
        <w:bottom w:val="none" w:sz="0" w:space="0" w:color="auto"/>
        <w:right w:val="none" w:sz="0" w:space="0" w:color="auto"/>
      </w:divBdr>
    </w:div>
    <w:div w:id="920915039">
      <w:bodyDiv w:val="1"/>
      <w:marLeft w:val="0"/>
      <w:marRight w:val="0"/>
      <w:marTop w:val="0"/>
      <w:marBottom w:val="0"/>
      <w:divBdr>
        <w:top w:val="none" w:sz="0" w:space="0" w:color="auto"/>
        <w:left w:val="none" w:sz="0" w:space="0" w:color="auto"/>
        <w:bottom w:val="none" w:sz="0" w:space="0" w:color="auto"/>
        <w:right w:val="none" w:sz="0" w:space="0" w:color="auto"/>
      </w:divBdr>
    </w:div>
    <w:div w:id="937757973">
      <w:marLeft w:val="0"/>
      <w:marRight w:val="0"/>
      <w:marTop w:val="0"/>
      <w:marBottom w:val="0"/>
      <w:divBdr>
        <w:top w:val="none" w:sz="0" w:space="0" w:color="auto"/>
        <w:left w:val="none" w:sz="0" w:space="0" w:color="auto"/>
        <w:bottom w:val="none" w:sz="0" w:space="0" w:color="auto"/>
        <w:right w:val="none" w:sz="0" w:space="0" w:color="auto"/>
      </w:divBdr>
    </w:div>
    <w:div w:id="937757974">
      <w:marLeft w:val="0"/>
      <w:marRight w:val="0"/>
      <w:marTop w:val="0"/>
      <w:marBottom w:val="0"/>
      <w:divBdr>
        <w:top w:val="none" w:sz="0" w:space="0" w:color="auto"/>
        <w:left w:val="none" w:sz="0" w:space="0" w:color="auto"/>
        <w:bottom w:val="none" w:sz="0" w:space="0" w:color="auto"/>
        <w:right w:val="none" w:sz="0" w:space="0" w:color="auto"/>
      </w:divBdr>
    </w:div>
    <w:div w:id="1112869574">
      <w:bodyDiv w:val="1"/>
      <w:marLeft w:val="0"/>
      <w:marRight w:val="0"/>
      <w:marTop w:val="0"/>
      <w:marBottom w:val="0"/>
      <w:divBdr>
        <w:top w:val="none" w:sz="0" w:space="0" w:color="auto"/>
        <w:left w:val="none" w:sz="0" w:space="0" w:color="auto"/>
        <w:bottom w:val="none" w:sz="0" w:space="0" w:color="auto"/>
        <w:right w:val="none" w:sz="0" w:space="0" w:color="auto"/>
      </w:divBdr>
    </w:div>
    <w:div w:id="1170832747">
      <w:bodyDiv w:val="1"/>
      <w:marLeft w:val="0"/>
      <w:marRight w:val="0"/>
      <w:marTop w:val="0"/>
      <w:marBottom w:val="0"/>
      <w:divBdr>
        <w:top w:val="none" w:sz="0" w:space="0" w:color="auto"/>
        <w:left w:val="none" w:sz="0" w:space="0" w:color="auto"/>
        <w:bottom w:val="none" w:sz="0" w:space="0" w:color="auto"/>
        <w:right w:val="none" w:sz="0" w:space="0" w:color="auto"/>
      </w:divBdr>
    </w:div>
    <w:div w:id="1369988078">
      <w:bodyDiv w:val="1"/>
      <w:marLeft w:val="0"/>
      <w:marRight w:val="0"/>
      <w:marTop w:val="0"/>
      <w:marBottom w:val="0"/>
      <w:divBdr>
        <w:top w:val="none" w:sz="0" w:space="0" w:color="auto"/>
        <w:left w:val="none" w:sz="0" w:space="0" w:color="auto"/>
        <w:bottom w:val="none" w:sz="0" w:space="0" w:color="auto"/>
        <w:right w:val="none" w:sz="0" w:space="0" w:color="auto"/>
      </w:divBdr>
    </w:div>
    <w:div w:id="1408651520">
      <w:bodyDiv w:val="1"/>
      <w:marLeft w:val="0"/>
      <w:marRight w:val="0"/>
      <w:marTop w:val="0"/>
      <w:marBottom w:val="0"/>
      <w:divBdr>
        <w:top w:val="none" w:sz="0" w:space="0" w:color="auto"/>
        <w:left w:val="none" w:sz="0" w:space="0" w:color="auto"/>
        <w:bottom w:val="none" w:sz="0" w:space="0" w:color="auto"/>
        <w:right w:val="none" w:sz="0" w:space="0" w:color="auto"/>
      </w:divBdr>
    </w:div>
    <w:div w:id="1443766492">
      <w:bodyDiv w:val="1"/>
      <w:marLeft w:val="0"/>
      <w:marRight w:val="0"/>
      <w:marTop w:val="0"/>
      <w:marBottom w:val="0"/>
      <w:divBdr>
        <w:top w:val="none" w:sz="0" w:space="0" w:color="auto"/>
        <w:left w:val="none" w:sz="0" w:space="0" w:color="auto"/>
        <w:bottom w:val="none" w:sz="0" w:space="0" w:color="auto"/>
        <w:right w:val="none" w:sz="0" w:space="0" w:color="auto"/>
      </w:divBdr>
    </w:div>
    <w:div w:id="1798838262">
      <w:bodyDiv w:val="1"/>
      <w:marLeft w:val="0"/>
      <w:marRight w:val="0"/>
      <w:marTop w:val="0"/>
      <w:marBottom w:val="0"/>
      <w:divBdr>
        <w:top w:val="none" w:sz="0" w:space="0" w:color="auto"/>
        <w:left w:val="none" w:sz="0" w:space="0" w:color="auto"/>
        <w:bottom w:val="none" w:sz="0" w:space="0" w:color="auto"/>
        <w:right w:val="none" w:sz="0" w:space="0" w:color="auto"/>
      </w:divBdr>
    </w:div>
    <w:div w:id="2033069740">
      <w:bodyDiv w:val="1"/>
      <w:marLeft w:val="0"/>
      <w:marRight w:val="0"/>
      <w:marTop w:val="0"/>
      <w:marBottom w:val="0"/>
      <w:divBdr>
        <w:top w:val="none" w:sz="0" w:space="0" w:color="auto"/>
        <w:left w:val="none" w:sz="0" w:space="0" w:color="auto"/>
        <w:bottom w:val="none" w:sz="0" w:space="0" w:color="auto"/>
        <w:right w:val="none" w:sz="0" w:space="0" w:color="auto"/>
      </w:divBdr>
    </w:div>
    <w:div w:id="213163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esc.europa.eu/fr/agenda/our-events/events/fournir-une-energie-abordable-en-europe" TargetMode="External"/><Relationship Id="rId18" Type="http://schemas.openxmlformats.org/officeDocument/2006/relationships/hyperlink" Target="https://www.eesc.europa.eu/fr/agenda/our-events/events/lutter-contre-la-precarite-energetique-au-coeur-de-la-transition-ecologique-et-energetique" TargetMode="External"/><Relationship Id="rId26"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esc.europa.eu/fr/agenda/our-events/events/lutter-contre-la-precarite-energetique-pour-une-transition-juste" TargetMode="External"/><Relationship Id="rId25" Type="http://schemas.openxmlformats.org/officeDocument/2006/relationships/customXml" Target="../customXml/item2.xml"/><Relationship Id="rId16" Type="http://schemas.openxmlformats.org/officeDocument/2006/relationships/hyperlink" Target="https://www.eesc.europa.eu/fr/agenda/our-events/events/conference-affordable-energy-turning-civil-society-views-action" TargetMode="External"/><Relationship Id="rId20" Type="http://schemas.openxmlformats.org/officeDocument/2006/relationships/hyperlink" Target="mailto:marco.pezzani@eesc.europa.eu" TargetMode="Externa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1.xml"/><Relationship Id="rId15" Type="http://schemas.openxmlformats.org/officeDocument/2006/relationships/hyperlink" Target="https://energy.ec.europa.eu/strategy/affordable-energy_en?prefLang=f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esc.europa.eu/fr/agenda/our-events/events/conference-sur-la-precarite-energetique-la-croisee-des-chemins-du-socle-europeen-des-droits-sociaux-et-du-pacte-vert" TargetMode="External"/><Relationship Id="rId9" Type="http://schemas.openxmlformats.org/officeDocument/2006/relationships/webSettings" Target="webSettings.xml"/><Relationship Id="rId14" Type="http://schemas.openxmlformats.org/officeDocument/2006/relationships/hyperlink" Target="https://energy.ec.europa.eu/topics/markets-and-consumers/energy-consumers-and-prosumers/energy-poverty_en?prefLang=fr"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8" Type="http://schemas.openxmlformats.org/officeDocument/2006/relationships/image" Target="media/image5.svg"/><Relationship Id="rId13" Type="http://schemas.openxmlformats.org/officeDocument/2006/relationships/image" Target="media/image8.png"/><Relationship Id="rId3" Type="http://schemas.openxmlformats.org/officeDocument/2006/relationships/hyperlink" Target="http://www.youtube.com/user/EurEcoSocCommittee" TargetMode="External"/><Relationship Id="rId7" Type="http://schemas.openxmlformats.org/officeDocument/2006/relationships/image" Target="media/image4.png"/><Relationship Id="rId12" Type="http://schemas.openxmlformats.org/officeDocument/2006/relationships/hyperlink" Target="https://www.instagram.com/accounts/login/?next=/eu_civilsociety/" TargetMode="External"/><Relationship Id="rId17" Type="http://schemas.openxmlformats.org/officeDocument/2006/relationships/image" Target="media/image11.svg"/><Relationship Id="rId2" Type="http://schemas.openxmlformats.org/officeDocument/2006/relationships/hyperlink" Target="https://www.eesc.europa.eu/fr" TargetMode="External"/><Relationship Id="rId16" Type="http://schemas.openxmlformats.org/officeDocument/2006/relationships/image" Target="media/image10.png"/><Relationship Id="rId1" Type="http://schemas.openxmlformats.org/officeDocument/2006/relationships/hyperlink" Target="mailto:press@eesc.europa.eu" TargetMode="External"/><Relationship Id="rId6" Type="http://schemas.openxmlformats.org/officeDocument/2006/relationships/hyperlink" Target="https://twitter.com/EU_EESC" TargetMode="External"/><Relationship Id="rId11" Type="http://schemas.openxmlformats.org/officeDocument/2006/relationships/image" Target="media/image7.svg"/><Relationship Id="rId5" Type="http://schemas.openxmlformats.org/officeDocument/2006/relationships/image" Target="media/image3.svg"/><Relationship Id="rId15" Type="http://schemas.openxmlformats.org/officeDocument/2006/relationships/hyperlink" Target="https://www.facebook.com/EuropeanEconomicAndSocialCommittee/" TargetMode="External"/><Relationship Id="rId10" Type="http://schemas.openxmlformats.org/officeDocument/2006/relationships/image" Target="media/image6.png"/><Relationship Id="rId4" Type="http://schemas.openxmlformats.org/officeDocument/2006/relationships/image" Target="media/image2.png"/><Relationship Id="rId9" Type="http://schemas.openxmlformats.org/officeDocument/2006/relationships/hyperlink" Target="http://www.linkedin.com/company/european-economic-and-social-committee" TargetMode="External"/><Relationship Id="rId14"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a33af13-4045-4f88-9d7b-618e30f79918">A6WAAD5KZT2Q-293470456-6850</_dlc_DocId>
    <_dlc_DocIdUrl xmlns="1a33af13-4045-4f88-9d7b-618e30f79918">
      <Url>http://dm/eesc/2025/_layouts/15/DocIdRedir.aspx?ID=A6WAAD5KZT2Q-293470456-6850</Url>
      <Description>A6WAAD5KZT2Q-293470456-6850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1a33af13-4045-4f88-9d7b-618e30f79918"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a33af13-4045-4f88-9d7b-618e30f79918">2025-06-12T12:00:00+00:00</ProductionDate>
    <DocumentNumber xmlns="aa382cf6-584e-4bd2-bd73-0bac1a20efcb">1820</DocumentNumber>
    <FicheYear xmlns="1a33af13-4045-4f88-9d7b-618e30f79918" xsi:nil="true"/>
    <DossierNumber xmlns="1a33af13-4045-4f88-9d7b-618e30f79918"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a33af13-4045-4f88-9d7b-618e30f79918" xsi:nil="true"/>
    <TaxCatchAll xmlns="1a33af13-4045-4f88-9d7b-618e30f79918">
      <Value>36</Value>
      <Value>34</Value>
      <Value>54</Value>
      <Value>16</Value>
      <Value>15</Value>
      <Value>13</Value>
      <Value>12</Value>
      <Value>47</Value>
      <Value>8</Value>
      <Value>5</Value>
      <Value>39</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a33af13-4045-4f88-9d7b-618e30f79918" xsi:nil="true"/>
    <DocumentYear xmlns="1a33af13-4045-4f88-9d7b-618e30f79918">2025</DocumentYear>
    <FicheNumber xmlns="1a33af13-4045-4f88-9d7b-618e30f79918">5252</FicheNumber>
    <OriginalSender xmlns="1a33af13-4045-4f88-9d7b-618e30f79918">
      <UserInfo>
        <DisplayName>Lacroix Grégory</DisplayName>
        <AccountId>1634</AccountId>
        <AccountType/>
      </UserInfo>
    </OriginalSender>
    <DocumentPart xmlns="1a33af13-4045-4f88-9d7b-618e30f79918">0</DocumentPart>
    <AdoptionDate xmlns="1a33af13-4045-4f88-9d7b-618e30f79918" xsi:nil="true"/>
    <RequestingService xmlns="1a33af13-4045-4f88-9d7b-618e30f79918">Presse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aa382cf6-584e-4bd2-bd73-0bac1a20efcb" xsi:nil="true"/>
    <DossierName_0 xmlns="http://schemas.microsoft.com/sharepoint/v3/fields">
      <Terms xmlns="http://schemas.microsoft.com/office/infopath/2007/PartnerControls"/>
    </DossierName_0>
    <DocumentVersion xmlns="1a33af13-4045-4f88-9d7b-618e30f79918">0</Documen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FD26272E6D350E4BA98D090F484731A0" ma:contentTypeVersion="4" ma:contentTypeDescription="Defines the documents for Document Manager V2" ma:contentTypeScope="" ma:versionID="06c6d1ca1f0ecd2b8160ea2f3986497c">
  <xsd:schema xmlns:xsd="http://www.w3.org/2001/XMLSchema" xmlns:xs="http://www.w3.org/2001/XMLSchema" xmlns:p="http://schemas.microsoft.com/office/2006/metadata/properties" xmlns:ns2="1a33af13-4045-4f88-9d7b-618e30f79918" xmlns:ns3="http://schemas.microsoft.com/sharepoint/v3/fields" xmlns:ns4="aa382cf6-584e-4bd2-bd73-0bac1a20efcb" targetNamespace="http://schemas.microsoft.com/office/2006/metadata/properties" ma:root="true" ma:fieldsID="bef8e357c2859f419fb9a63c872f6d08" ns2:_="" ns3:_="" ns4:_="">
    <xsd:import namespace="1a33af13-4045-4f88-9d7b-618e30f79918"/>
    <xsd:import namespace="http://schemas.microsoft.com/sharepoint/v3/fields"/>
    <xsd:import namespace="aa382cf6-584e-4bd2-bd73-0bac1a20efc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3af13-4045-4f88-9d7b-618e30f799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c795c8aa-ad9d-4177-b7c3-7e58e1f2dfdf}" ma:internalName="TaxCatchAll" ma:showField="CatchAllData"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c795c8aa-ad9d-4177-b7c3-7e58e1f2dfdf}" ma:internalName="TaxCatchAllLabel" ma:readOnly="true" ma:showField="CatchAllDataLabel"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382cf6-584e-4bd2-bd73-0bac1a20efc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48C2A-CF67-4398-BFF2-7BBE22C98744}"/>
</file>

<file path=customXml/itemProps2.xml><?xml version="1.0" encoding="utf-8"?>
<ds:datastoreItem xmlns:ds="http://schemas.openxmlformats.org/officeDocument/2006/customXml" ds:itemID="{CFBD8EB9-3156-4449-82FD-12ED850B971A}"/>
</file>

<file path=customXml/itemProps3.xml><?xml version="1.0" encoding="utf-8"?>
<ds:datastoreItem xmlns:ds="http://schemas.openxmlformats.org/officeDocument/2006/customXml" ds:itemID="{CFBA0F89-6753-42AD-A04C-B0FCD14562DA}"/>
</file>

<file path=customXml/itemProps4.xml><?xml version="1.0" encoding="utf-8"?>
<ds:datastoreItem xmlns:ds="http://schemas.openxmlformats.org/officeDocument/2006/customXml" ds:itemID="{DDBA5A0B-F660-4DE6-86FC-8047F51E370C}"/>
</file>

<file path=docProps/app.xml><?xml version="1.0" encoding="utf-8"?>
<Properties xmlns="http://schemas.openxmlformats.org/officeDocument/2006/extended-properties" xmlns:vt="http://schemas.openxmlformats.org/officeDocument/2006/docPropsVTypes">
  <Template>Normal</Template>
  <TotalTime>2</TotalTime>
  <Pages>2</Pages>
  <Words>1243</Words>
  <Characters>6837</Characters>
  <Application>Microsoft Office Word</Application>
  <DocSecurity>0</DocSecurity>
  <Lines>56</Lines>
  <Paragraphs>16</Paragraphs>
  <ScaleCrop>false</ScaleCrop>
  <HeadingPairs>
    <vt:vector size="6" baseType="variant">
      <vt:variant>
        <vt:lpstr>Title</vt:lpstr>
      </vt:variant>
      <vt:variant>
        <vt:i4>1</vt:i4>
      </vt:variant>
      <vt:variant>
        <vt:lpstr>Titel</vt:lpstr>
      </vt:variant>
      <vt:variant>
        <vt:i4>1</vt:i4>
      </vt:variant>
      <vt:variant>
        <vt:lpstr>Název</vt:lpstr>
      </vt:variant>
      <vt:variant>
        <vt:i4>1</vt:i4>
      </vt:variant>
    </vt:vector>
  </HeadingPairs>
  <TitlesOfParts>
    <vt:vector size="3" baseType="lpstr">
      <vt:lpstr>EESC CP template updated</vt:lpstr>
      <vt:lpstr>EESC CP template updated</vt:lpstr>
      <vt:lpstr>EESC CP template updated</vt:lpstr>
    </vt:vector>
  </TitlesOfParts>
  <Company>CESE-CdR</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production d’énergie doit être plus inclusive et abordable, tant dans les zones urbaines que rurales</dc:title>
  <dc:subject>CP</dc:subject>
  <dc:creator>Emma Nieddu</dc:creator>
  <cp:keywords>EESC-2025-01820-00-00-CP-TRA-EN</cp:keywords>
  <dc:description>Rapporteur:  - Original language: EN - Date of document: 12-06-2025 - Date of meeting:  - External documents:  - Administrator: M. PEZZANI Marco</dc:description>
  <cp:lastModifiedBy>Lacroix Grégory</cp:lastModifiedBy>
  <cp:revision>10</cp:revision>
  <cp:lastPrinted>2022-05-17T15:54:00Z</cp:lastPrinted>
  <dcterms:created xsi:type="dcterms:W3CDTF">2025-06-12T06:31:00Z</dcterms:created>
  <dcterms:modified xsi:type="dcterms:W3CDTF">2025-06-12T15:29:00Z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12/06/2025, 05/04/2022</vt:lpwstr>
  </property>
  <property fmtid="{D5CDD505-2E9C-101B-9397-08002B2CF9AE}" pid="4" name="Pref_Time">
    <vt:lpwstr>08:31:05, 16:28:46</vt:lpwstr>
  </property>
  <property fmtid="{D5CDD505-2E9C-101B-9397-08002B2CF9AE}" pid="5" name="Pref_User">
    <vt:lpwstr>pacup, enied</vt:lpwstr>
  </property>
  <property fmtid="{D5CDD505-2E9C-101B-9397-08002B2CF9AE}" pid="6" name="Pref_FileName">
    <vt:lpwstr>EESC-2025-01820-00-00-CP-ORI.docx, EESC-2022-01954-00-00-ADMIN-ORI.docx</vt:lpwstr>
  </property>
  <property fmtid="{D5CDD505-2E9C-101B-9397-08002B2CF9AE}" pid="7" name="ContentTypeId">
    <vt:lpwstr>0x010100EA97B91038054C99906057A708A1480A00FD26272E6D350E4BA98D090F484731A0</vt:lpwstr>
  </property>
  <property fmtid="{D5CDD505-2E9C-101B-9397-08002B2CF9AE}" pid="8" name="_dlc_DocIdItemGuid">
    <vt:lpwstr>75f5a505-af9b-4d4a-9d56-ad6037a08239</vt:lpwstr>
  </property>
  <property fmtid="{D5CDD505-2E9C-101B-9397-08002B2CF9AE}" pid="9" name="AvailableTranslations">
    <vt:lpwstr>34;#IT|0774613c-01ed-4e5d-a25d-11d2388de825;#5;#EN|f2175f21-25d7-44a3-96da-d6a61b075e1b;#47;#BG|1a1b3951-7821-4e6a-85f5-5673fc08bd2c;#39;#LV|46f7e311-5d9f-4663-b433-18aeccb7ace7;#36;#RO|feb747a2-64cd-4299-af12-4833ddc30497;#12;#FR|d2afafd3-4c81-4f60-8f52-ee33f2f54ff3;#16;#ES|e7a6b05b-ae16-40c8-add9-68b64b03aeba</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1820</vt:i4>
  </property>
  <property fmtid="{D5CDD505-2E9C-101B-9397-08002B2CF9AE}" pid="14" name="DocumentVersion">
    <vt:i4>0</vt:i4>
  </property>
  <property fmtid="{D5CDD505-2E9C-101B-9397-08002B2CF9AE}" pid="15" name="DocumentStatus">
    <vt:lpwstr>13;#TRA|150d2a88-1431-44e6-a8ca-0bb753ab8672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54;#CP|de8ad211-9e8d-408b-8324-674d21bb7d18</vt:lpwstr>
  </property>
  <property fmtid="{D5CDD505-2E9C-101B-9397-08002B2CF9AE}" pid="21" name="RequestingService">
    <vt:lpwstr>Presse</vt:lpwstr>
  </property>
  <property fmtid="{D5CDD505-2E9C-101B-9397-08002B2CF9AE}" pid="22" name="Confidentiality">
    <vt:lpwstr>15;#Unrestricted|826e22d7-d029-4ec0-a450-0c28ff673572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EN|f2175f21-25d7-44a3-96da-d6a61b075e1b</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15;#Unrestricted|826e22d7-d029-4ec0-a450-0c28ff673572;#13;#TRA|150d2a88-1431-44e6-a8ca-0bb753ab8672;#8;#Final|ea5e6674-7b27-4bac-b091-73adbb394efe;#5;#EN|f2175f21-25d7-44a3-96da-d6a61b075e1b;#54;#CP|de8ad211-9e8d-408b-8324-674d21bb7d18;#1;#EESC|422833ec-8d7e-4e65-8e4e-8bed07ffb729</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2025</vt:i4>
  </property>
  <property fmtid="{D5CDD505-2E9C-101B-9397-08002B2CF9AE}" pid="35" name="FicheNumber">
    <vt:i4>5252</vt:i4>
  </property>
  <property fmtid="{D5CDD505-2E9C-101B-9397-08002B2CF9AE}" pid="36" name="DocumentLanguage">
    <vt:lpwstr>12;#FR|d2afafd3-4c81-4f60-8f52-ee33f2f54ff3</vt:lpwstr>
  </property>
  <property fmtid="{D5CDD505-2E9C-101B-9397-08002B2CF9AE}" pid="37" name="_docset_NoMedatataSyncRequired">
    <vt:lpwstr>False</vt:lpwstr>
  </property>
</Properties>
</file>