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6A23" w:rsidR="003C2229" w:rsidP="00686EC2" w:rsidRDefault="00837B82" w14:paraId="668577B2" w14:textId="77777777">
      <w:pPr>
        <w:spacing w:line="240" w:lineRule="auto"/>
        <w:rPr>
          <w:rFonts w:ascii="Verdana" w:hAnsi="Verdana"/>
          <w:sz w:val="20"/>
        </w:rPr>
      </w:pPr>
      <w:r>
        <w:rPr>
          <w:rFonts w:ascii="Verdana" w:hAnsi="Verdana"/>
          <w:noProof/>
          <w:sz w:val="20"/>
        </w:rPr>
        <w:drawing>
          <wp:inline distT="0" distB="0" distL="0" distR="0" wp14:anchorId="48B1D9AF" wp14:editId="69F8E736">
            <wp:extent cx="5760000"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2">
                      <a:extLst>
                        <a:ext uri="{28A0092B-C50C-407E-A947-70E740481C1C}">
                          <a14:useLocalDpi xmlns:a14="http://schemas.microsoft.com/office/drawing/2010/main" val="0"/>
                        </a:ext>
                      </a:extLst>
                    </a:blip>
                    <a:stretch>
                      <a:fillRect/>
                    </a:stretch>
                  </pic:blipFill>
                  <pic:spPr>
                    <a:xfrm>
                      <a:off x="0" y="0"/>
                      <a:ext cx="5760000" cy="1396800"/>
                    </a:xfrm>
                    <a:prstGeom prst="rect">
                      <a:avLst/>
                    </a:prstGeom>
                  </pic:spPr>
                </pic:pic>
              </a:graphicData>
            </a:graphic>
          </wp:inline>
        </w:drawing>
      </w:r>
    </w:p>
    <w:tbl>
      <w:tblPr>
        <w:tblW w:w="0" w:type="auto"/>
        <w:tblLook w:val="0000" w:firstRow="0" w:lastRow="0" w:firstColumn="0" w:lastColumn="0" w:noHBand="0" w:noVBand="0"/>
      </w:tblPr>
      <w:tblGrid>
        <w:gridCol w:w="5168"/>
        <w:gridCol w:w="4119"/>
      </w:tblGrid>
      <w:tr w:rsidRPr="00906A23" w:rsidR="00C93E55" w:rsidTr="00705C0F" w14:paraId="5C3A6577" w14:textId="77777777">
        <w:trPr>
          <w:cantSplit/>
        </w:trPr>
        <w:tc>
          <w:tcPr>
            <w:tcW w:w="5168" w:type="dxa"/>
          </w:tcPr>
          <w:p w:rsidRPr="00906A23" w:rsidR="00C93E55" w:rsidP="001C54D3" w:rsidRDefault="00C93E55" w14:paraId="294DD7E9" w14:textId="59AB65CD">
            <w:pPr>
              <w:spacing w:before="120" w:after="120" w:line="240" w:lineRule="auto"/>
              <w:rPr>
                <w:rFonts w:ascii="Verdana" w:hAnsi="Verdana"/>
                <w:b/>
                <w:bCs/>
                <w:sz w:val="20"/>
              </w:rPr>
            </w:pPr>
            <w:r>
              <w:rPr>
                <w:rFonts w:ascii="Verdana" w:hAnsi="Verdana"/>
                <w:b/>
                <w:sz w:val="20"/>
              </w:rPr>
              <w:t>COMUNICADO DE PRENSA n.º 22/2025</w:t>
            </w:r>
          </w:p>
        </w:tc>
        <w:tc>
          <w:tcPr>
            <w:tcW w:w="4119" w:type="dxa"/>
          </w:tcPr>
          <w:p w:rsidRPr="00906A23" w:rsidR="00C93E55" w:rsidP="001C54D3" w:rsidRDefault="00705660" w14:paraId="2A60BCDE" w14:textId="00A10A3E">
            <w:pPr>
              <w:spacing w:before="120" w:after="120" w:line="240" w:lineRule="auto"/>
              <w:jc w:val="right"/>
              <w:rPr>
                <w:rFonts w:ascii="Verdana" w:hAnsi="Verdana"/>
                <w:b/>
                <w:bCs/>
                <w:sz w:val="20"/>
              </w:rPr>
            </w:pPr>
            <w:r>
              <w:rPr>
                <w:rFonts w:ascii="Verdana" w:hAnsi="Verdana"/>
                <w:b/>
                <w:sz w:val="20"/>
              </w:rPr>
              <w:t>11 de junio de 2025</w:t>
            </w:r>
          </w:p>
        </w:tc>
      </w:tr>
    </w:tbl>
    <w:p w:rsidRPr="00906A23" w:rsidR="00D81F45" w:rsidP="002F5762" w:rsidRDefault="00ED1BA9" w14:paraId="4E90BE63" w14:textId="020A03E5">
      <w:pPr>
        <w:rPr>
          <w:rFonts w:ascii="Verdana" w:hAnsi="Verdana"/>
          <w:bCs/>
          <w:sz w:val="18"/>
          <w:szCs w:val="18"/>
        </w:rPr>
      </w:pPr>
      <w:r>
        <w:rPr>
          <w:rFonts w:ascii="Verdana" w:hAnsi="Verdana"/>
          <w:noProof/>
          <w:sz w:val="20"/>
        </w:rPr>
        <mc:AlternateContent>
          <mc:Choice Requires="wps">
            <w:drawing>
              <wp:anchor distT="0" distB="0" distL="114300" distR="114300" simplePos="0" relativeHeight="251659264" behindDoc="1" locked="0" layoutInCell="0" allowOverlap="1" wp14:editId="4E8D6F05" wp14:anchorId="0CCAFE41">
                <wp:simplePos x="0" y="0"/>
                <wp:positionH relativeFrom="page">
                  <wp:posOffset>6769100</wp:posOffset>
                </wp:positionH>
                <wp:positionV relativeFrom="page">
                  <wp:posOffset>10081260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321382" w:rsidRDefault="00321382" w14:paraId="41AF90D2" w14:textId="77777777">
                            <w:pPr>
                              <w:jc w:val="center"/>
                              <w:rPr>
                                <w:rFonts w:ascii="Arial" w:hAnsi="Arial" w:cs="Arial"/>
                                <w:b/>
                                <w:bCs/>
                                <w:sz w:val="48"/>
                              </w:rP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CAFE41">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321382" w:rsidRDefault="00321382" w14:paraId="41AF90D2" w14:textId="77777777">
                      <w:pPr>
                        <w:jc w:val="center"/>
                        <w:rPr>
                          <w:rFonts w:ascii="Arial" w:hAnsi="Arial" w:cs="Arial"/>
                          <w:b/>
                          <w:bCs/>
                          <w:sz w:val="48"/>
                        </w:rPr>
                      </w:pPr>
                      <w:r>
                        <w:rPr>
                          <w:rFonts w:ascii="Arial" w:hAnsi="Arial"/>
                          <w:b/>
                          <w:sz w:val="48"/>
                        </w:rPr>
                        <w:t>ES</w:t>
                      </w:r>
                    </w:p>
                  </w:txbxContent>
                </v:textbox>
                <w10:wrap anchorx="page" anchory="page"/>
              </v:shape>
            </w:pict>
          </mc:Fallback>
        </mc:AlternateContent>
      </w:r>
    </w:p>
    <w:p w:rsidRPr="00906A23" w:rsidR="00C577B9" w:rsidP="002F5762" w:rsidRDefault="00F5594C" w14:paraId="76D5EA57" w14:textId="5840EDDC">
      <w:pPr>
        <w:jc w:val="center"/>
        <w:rPr>
          <w:rFonts w:ascii="Verdana" w:hAnsi="Verdana"/>
          <w:b/>
          <w:color w:val="0070C0"/>
          <w:sz w:val="28"/>
          <w:szCs w:val="28"/>
        </w:rPr>
      </w:pPr>
      <w:r>
        <w:rPr>
          <w:rFonts w:ascii="Verdana" w:hAnsi="Verdana"/>
          <w:b/>
          <w:color w:val="0070C0"/>
          <w:sz w:val="28"/>
        </w:rPr>
        <w:t>La generación de energía debe ser más inclusiva y asequible, tanto en las zonas urbanas como en las rurales</w:t>
      </w:r>
    </w:p>
    <w:p w:rsidRPr="00906A23" w:rsidR="00A04C23" w:rsidP="002F5762" w:rsidRDefault="00A04C23" w14:paraId="7B780AEA" w14:textId="77777777">
      <w:pPr>
        <w:rPr>
          <w:rFonts w:ascii="Verdana" w:hAnsi="Verdana"/>
          <w:sz w:val="18"/>
          <w:szCs w:val="18"/>
        </w:rPr>
      </w:pPr>
    </w:p>
    <w:p w:rsidRPr="00906A23" w:rsidR="00554F23" w:rsidP="002F5762" w:rsidRDefault="00EF7D8B" w14:paraId="28C55262" w14:textId="5EC27671">
      <w:pPr>
        <w:rPr>
          <w:rFonts w:ascii="Verdana" w:hAnsi="Verdana"/>
          <w:bCs/>
          <w:sz w:val="18"/>
          <w:szCs w:val="18"/>
        </w:rPr>
      </w:pPr>
      <w:r>
        <w:rPr>
          <w:rFonts w:ascii="Verdana" w:hAnsi="Verdana"/>
          <w:b/>
          <w:sz w:val="18"/>
        </w:rPr>
        <w:t>La conferencia sobre energía asequible organizada conjuntamente por el Comité Económico y Social Europeo (CESE) y la Comisión Europea ha subrayado la necesidad de procurar una participación activa de la mayor parte posible de la población. Los hogares, los ciudadanos vulnerables y las pymes, en particular en las zonas rurales, deben asumir un papel protagonista en la transición energética.</w:t>
      </w:r>
    </w:p>
    <w:p w:rsidRPr="00906A23" w:rsidR="00554F23" w:rsidP="002F5762" w:rsidRDefault="00554F23" w14:paraId="32431A3F" w14:textId="748C528F">
      <w:pPr>
        <w:rPr>
          <w:rFonts w:ascii="Verdana" w:hAnsi="Verdana"/>
          <w:sz w:val="18"/>
          <w:szCs w:val="18"/>
        </w:rPr>
      </w:pPr>
    </w:p>
    <w:p w:rsidRPr="00906A23" w:rsidR="004938BE" w:rsidP="002F5762" w:rsidRDefault="00226683" w14:paraId="7565BDB3" w14:textId="4A16685E">
      <w:pPr>
        <w:rPr>
          <w:rFonts w:ascii="Verdana" w:hAnsi="Verdana"/>
          <w:sz w:val="18"/>
          <w:szCs w:val="18"/>
        </w:rPr>
      </w:pPr>
      <w:r>
        <w:rPr>
          <w:rFonts w:ascii="Verdana" w:hAnsi="Verdana"/>
          <w:sz w:val="18"/>
        </w:rPr>
        <w:t>La UE debe ser capaz de generar energía de una manera más inclusiva y asequible, y sus ciudadanos, de desempeñar un papel activo en ese proceso, también en las zonas rurales.</w:t>
      </w:r>
    </w:p>
    <w:p w:rsidRPr="00906A23" w:rsidR="004938BE" w:rsidP="002F5762" w:rsidRDefault="004938BE" w14:paraId="2A9DBF66" w14:textId="77777777">
      <w:pPr>
        <w:rPr>
          <w:rFonts w:ascii="Verdana" w:hAnsi="Verdana"/>
          <w:sz w:val="18"/>
          <w:szCs w:val="18"/>
        </w:rPr>
      </w:pPr>
    </w:p>
    <w:p w:rsidRPr="00906A23" w:rsidR="00F96F38" w:rsidP="002F5762" w:rsidRDefault="00226683" w14:paraId="686EA676" w14:textId="4428EE42">
      <w:pPr>
        <w:rPr>
          <w:rFonts w:ascii="Verdana" w:hAnsi="Verdana"/>
          <w:sz w:val="18"/>
          <w:szCs w:val="18"/>
        </w:rPr>
      </w:pPr>
      <w:r>
        <w:rPr>
          <w:rFonts w:ascii="Verdana" w:hAnsi="Verdana"/>
          <w:sz w:val="18"/>
        </w:rPr>
        <w:t>Estas son las principales ideas que pueden destacarse de la conferencia «</w:t>
      </w:r>
      <w:hyperlink w:history="1" r:id="rId13">
        <w:r>
          <w:rPr>
            <w:rStyle w:val="Hyperlink"/>
            <w:rFonts w:ascii="Verdana" w:hAnsi="Verdana"/>
            <w:i/>
            <w:sz w:val="18"/>
          </w:rPr>
          <w:t>Garantizar la energía asequible en Europa</w:t>
        </w:r>
      </w:hyperlink>
      <w:r>
        <w:rPr>
          <w:rFonts w:ascii="Verdana" w:hAnsi="Verdana"/>
          <w:sz w:val="18"/>
        </w:rPr>
        <w:t>», organizada conjuntamente por la Sección de Transportes, Energía, Infraestructuras y Sociedad de la Información (TEN) del CESE y la Dirección General de Energía (DG ENER) de la Comisión Europea el 11 de junio de 2025 en Bruselas.</w:t>
      </w:r>
    </w:p>
    <w:p w:rsidRPr="00906A23" w:rsidR="00AC2C26" w:rsidP="00AC2C26" w:rsidRDefault="00AC2C26" w14:paraId="1169CF3A" w14:textId="424FECFD">
      <w:pPr>
        <w:rPr>
          <w:rFonts w:ascii="Verdana" w:hAnsi="Verdana"/>
          <w:sz w:val="18"/>
          <w:szCs w:val="18"/>
        </w:rPr>
      </w:pPr>
    </w:p>
    <w:p w:rsidRPr="00906A23" w:rsidR="00141F7D" w:rsidP="00141F7D" w:rsidRDefault="00807937" w14:paraId="6967992A" w14:textId="2852C25C">
      <w:pPr>
        <w:rPr>
          <w:rFonts w:ascii="Verdana" w:hAnsi="Verdana"/>
          <w:sz w:val="18"/>
          <w:szCs w:val="18"/>
        </w:rPr>
      </w:pPr>
      <w:r>
        <w:rPr>
          <w:rFonts w:ascii="Verdana" w:hAnsi="Verdana"/>
          <w:sz w:val="18"/>
        </w:rPr>
        <w:t>En el acto se puso de relieve que la Unión Europea podrá generar energía asequible si se centra en tres cuestiones, a saber, la participación de los consumidores, la protección de las personas vulnerables y la inversión sostenible. Más concretamente, se incidió en la importancia de los aspectos siguientes:</w:t>
      </w:r>
    </w:p>
    <w:p w:rsidRPr="00906A23" w:rsidR="00141F7D" w:rsidP="00141F7D" w:rsidRDefault="00141F7D" w14:paraId="466BC543" w14:textId="77777777">
      <w:pPr>
        <w:rPr>
          <w:rFonts w:ascii="Verdana" w:hAnsi="Verdana"/>
          <w:sz w:val="18"/>
          <w:szCs w:val="18"/>
        </w:rPr>
      </w:pPr>
    </w:p>
    <w:p w:rsidRPr="00906A23" w:rsidR="00141F7D" w:rsidP="00141F7D" w:rsidRDefault="00D63EC6" w14:paraId="2F7B6F7C" w14:textId="7E717286">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el desarrollo de soluciones destinadas a fomentar la </w:t>
      </w:r>
      <w:r>
        <w:rPr>
          <w:rFonts w:ascii="Verdana" w:hAnsi="Verdana"/>
          <w:b/>
          <w:sz w:val="18"/>
        </w:rPr>
        <w:t>participación activa de todos los consumidores</w:t>
      </w:r>
      <w:r>
        <w:rPr>
          <w:rFonts w:ascii="Verdana" w:hAnsi="Verdana"/>
          <w:sz w:val="18"/>
        </w:rPr>
        <w:t>, en particular por lo que se refiere al papel trascendental que desempeñan las comunidades de energía, una forma de participación que encierra un potencial aún por explotar y que resulta esencial para lograr una transición ecológica más rápida y eficaz;</w:t>
      </w:r>
    </w:p>
    <w:p w:rsidRPr="00906A23" w:rsidR="00141F7D" w:rsidP="00141F7D" w:rsidRDefault="00141F7D" w14:paraId="2D70C137" w14:textId="77777777">
      <w:pPr>
        <w:rPr>
          <w:rFonts w:ascii="Verdana" w:hAnsi="Verdana"/>
          <w:sz w:val="18"/>
          <w:szCs w:val="18"/>
        </w:rPr>
      </w:pPr>
    </w:p>
    <w:p w:rsidRPr="00906A23" w:rsidR="00141F7D" w:rsidP="00141F7D" w:rsidRDefault="00141F7D" w14:paraId="59B1144D" w14:textId="401AA600">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la protección de </w:t>
      </w:r>
      <w:r>
        <w:rPr>
          <w:rFonts w:ascii="Verdana" w:hAnsi="Verdana"/>
          <w:b/>
          <w:sz w:val="18"/>
        </w:rPr>
        <w:t>consumidores vulnerables</w:t>
      </w:r>
      <w:r>
        <w:rPr>
          <w:rFonts w:ascii="Verdana" w:hAnsi="Verdana"/>
          <w:sz w:val="18"/>
        </w:rPr>
        <w:t xml:space="preserve"> y hogares de renta baja dando con las alternativas que mejor garanticen un consumo básico de energía y una verdadera inclusión, y que faciliten a las personas con bajos ingresos el acceso a servicios esenciales;</w:t>
      </w:r>
    </w:p>
    <w:p w:rsidRPr="00906A23" w:rsidR="00141F7D" w:rsidP="00141F7D" w:rsidRDefault="00141F7D" w14:paraId="7964A616" w14:textId="77777777">
      <w:pPr>
        <w:rPr>
          <w:rFonts w:ascii="Verdana" w:hAnsi="Verdana"/>
          <w:sz w:val="18"/>
          <w:szCs w:val="18"/>
        </w:rPr>
      </w:pPr>
    </w:p>
    <w:p w:rsidRPr="00906A23" w:rsidR="00141F7D" w:rsidP="00141F7D" w:rsidRDefault="004C49C3" w14:paraId="0F438838" w14:textId="2A123FB0">
      <w:pPr>
        <w:pStyle w:val="ListParagraph"/>
        <w:numPr>
          <w:ilvl w:val="0"/>
          <w:numId w:val="7"/>
        </w:numPr>
        <w:spacing w:line="288" w:lineRule="auto"/>
        <w:ind w:left="284" w:hanging="284"/>
        <w:jc w:val="both"/>
        <w:rPr>
          <w:rFonts w:ascii="Verdana" w:hAnsi="Verdana"/>
          <w:sz w:val="18"/>
          <w:szCs w:val="18"/>
        </w:rPr>
      </w:pPr>
      <w:r>
        <w:rPr>
          <w:rFonts w:ascii="Verdana" w:hAnsi="Verdana"/>
          <w:sz w:val="18"/>
        </w:rPr>
        <w:t xml:space="preserve">la satisfacción de las </w:t>
      </w:r>
      <w:r>
        <w:rPr>
          <w:rFonts w:ascii="Verdana" w:hAnsi="Verdana"/>
          <w:b/>
          <w:sz w:val="18"/>
        </w:rPr>
        <w:t>necesidades de inversión</w:t>
      </w:r>
      <w:r>
        <w:rPr>
          <w:rFonts w:ascii="Verdana" w:hAnsi="Verdana"/>
          <w:sz w:val="18"/>
        </w:rPr>
        <w:t xml:space="preserve"> y la posible creación instrumentos a escala de la UE para financiar la transición ecológica, con la consiguiente mejora de la seguridad energética y la asequibilidad, a la luz del Plan de Acción para una Energía Asequible de la Comisión Europea.</w:t>
      </w:r>
    </w:p>
    <w:p w:rsidRPr="00906A23" w:rsidR="00141F7D" w:rsidP="00AC2C26" w:rsidRDefault="00141F7D" w14:paraId="64795844" w14:textId="704C3383">
      <w:pPr>
        <w:rPr>
          <w:rFonts w:ascii="Verdana" w:hAnsi="Verdana"/>
          <w:sz w:val="18"/>
          <w:szCs w:val="18"/>
        </w:rPr>
      </w:pPr>
    </w:p>
    <w:p w:rsidRPr="00906A23" w:rsidR="00141F7D" w:rsidP="00A24CDB" w:rsidRDefault="00141F7D" w14:paraId="36611E74" w14:textId="7F46251C">
      <w:pPr>
        <w:keepNext/>
        <w:rPr>
          <w:rFonts w:ascii="Verdana" w:hAnsi="Verdana"/>
          <w:b/>
          <w:bCs/>
          <w:sz w:val="18"/>
          <w:szCs w:val="18"/>
        </w:rPr>
      </w:pPr>
      <w:r>
        <w:rPr>
          <w:rFonts w:ascii="Verdana" w:hAnsi="Verdana"/>
          <w:b/>
          <w:sz w:val="18"/>
        </w:rPr>
        <w:lastRenderedPageBreak/>
        <w:t>La pobreza energética sigue siendo motivo de preocupación en la UE</w:t>
      </w:r>
    </w:p>
    <w:p w:rsidRPr="00906A23" w:rsidR="00141F7D" w:rsidP="00A24CDB" w:rsidRDefault="00141F7D" w14:paraId="37BE3E38" w14:textId="77777777">
      <w:pPr>
        <w:keepNext/>
        <w:rPr>
          <w:rFonts w:ascii="Verdana" w:hAnsi="Verdana"/>
          <w:sz w:val="18"/>
          <w:szCs w:val="18"/>
        </w:rPr>
      </w:pPr>
    </w:p>
    <w:p w:rsidRPr="00906A23" w:rsidR="00AC2C26" w:rsidP="00AC2C26" w:rsidRDefault="00AC2C26" w14:paraId="102C8E00" w14:textId="47FCA669">
      <w:pPr>
        <w:rPr>
          <w:rFonts w:ascii="Verdana" w:hAnsi="Verdana"/>
          <w:sz w:val="18"/>
          <w:szCs w:val="18"/>
        </w:rPr>
      </w:pPr>
      <w:r>
        <w:rPr>
          <w:rFonts w:ascii="Verdana" w:hAnsi="Verdana"/>
          <w:sz w:val="18"/>
        </w:rPr>
        <w:t xml:space="preserve">La pobreza energética sigue siendo una de las cuestiones que más preocupa a los ciudadanos europeos, pese a que en 2024, y por primera vez desde 2021, las medidas de la UE lograron reducir el número de personas que no podían calentar adecuadamente sus hogares. Según </w:t>
      </w:r>
      <w:hyperlink w:history="1" r:id="rId14">
        <w:r>
          <w:rPr>
            <w:rStyle w:val="Hyperlink"/>
            <w:rFonts w:ascii="Verdana" w:hAnsi="Verdana"/>
            <w:sz w:val="18"/>
          </w:rPr>
          <w:t>Euro</w:t>
        </w:r>
        <w:r>
          <w:rPr>
            <w:rStyle w:val="Hyperlink"/>
            <w:rFonts w:ascii="Verdana" w:hAnsi="Verdana"/>
            <w:sz w:val="18"/>
          </w:rPr>
          <w:t>s</w:t>
        </w:r>
        <w:r>
          <w:rPr>
            <w:rStyle w:val="Hyperlink"/>
            <w:rFonts w:ascii="Verdana" w:hAnsi="Verdana"/>
            <w:sz w:val="18"/>
          </w:rPr>
          <w:t>tat</w:t>
        </w:r>
      </w:hyperlink>
      <w:r>
        <w:rPr>
          <w:rFonts w:ascii="Verdana" w:hAnsi="Verdana"/>
          <w:sz w:val="18"/>
        </w:rPr>
        <w:t>, ese año un 9,2 % de los ciudadanos europeos sufrió pobreza energética —lo que supone un descenso respecto del 10,6 % en 2023 y el 9,3 % en 2022— frente al 6,9 % que se registró en 2021.</w:t>
      </w:r>
    </w:p>
    <w:p w:rsidRPr="00906A23" w:rsidR="00AC2C26" w:rsidP="00AC2C26" w:rsidRDefault="00AC2C26" w14:paraId="18504522" w14:textId="77777777">
      <w:pPr>
        <w:rPr>
          <w:rFonts w:ascii="Verdana" w:hAnsi="Verdana"/>
          <w:sz w:val="18"/>
          <w:szCs w:val="18"/>
        </w:rPr>
      </w:pPr>
    </w:p>
    <w:p w:rsidRPr="00906A23" w:rsidR="004A633E" w:rsidP="00AC2C26" w:rsidRDefault="00AC2C26" w14:paraId="462B01DC" w14:textId="1C9FAFD1">
      <w:pPr>
        <w:rPr>
          <w:rFonts w:ascii="Verdana" w:hAnsi="Verdana"/>
          <w:sz w:val="18"/>
          <w:szCs w:val="18"/>
        </w:rPr>
      </w:pPr>
      <w:r>
        <w:rPr>
          <w:rFonts w:ascii="Verdana" w:hAnsi="Verdana"/>
          <w:sz w:val="18"/>
        </w:rPr>
        <w:t xml:space="preserve">Con el fin de intentar proteger a los consumidores vulnerables de la desconexión de electricidad, en febrero de 2025 la Comisión Europea presentó el </w:t>
      </w:r>
      <w:hyperlink w:history="1" r:id="rId15">
        <w:r>
          <w:rPr>
            <w:rStyle w:val="Hyperlink"/>
            <w:rFonts w:ascii="Verdana" w:hAnsi="Verdana"/>
            <w:sz w:val="18"/>
          </w:rPr>
          <w:t>Plan de Acción para una E</w:t>
        </w:r>
        <w:r>
          <w:rPr>
            <w:rStyle w:val="Hyperlink"/>
            <w:rFonts w:ascii="Verdana" w:hAnsi="Verdana"/>
            <w:sz w:val="18"/>
          </w:rPr>
          <w:t>n</w:t>
        </w:r>
        <w:r>
          <w:rPr>
            <w:rStyle w:val="Hyperlink"/>
            <w:rFonts w:ascii="Verdana" w:hAnsi="Verdana"/>
            <w:sz w:val="18"/>
          </w:rPr>
          <w:t>ergía Asequible</w:t>
        </w:r>
      </w:hyperlink>
      <w:r>
        <w:rPr>
          <w:rFonts w:ascii="Verdana" w:hAnsi="Verdana"/>
          <w:sz w:val="18"/>
        </w:rPr>
        <w:t xml:space="preserve"> como parte del Pacto por una Industria Limpia. Este Plan se centra en aminorar los precios de la energía que soportan ciudadanos, empresas y comunidades en toda la UE y propone una serie de medidas para reducir las facturas energéticas, acelerar el ahorro de costes e intensificar las reformas estructurales de nuestro sistema energético.</w:t>
      </w:r>
    </w:p>
    <w:p w:rsidRPr="00906A23" w:rsidR="00202DB2" w:rsidP="00AC2C26" w:rsidRDefault="00202DB2" w14:paraId="5606F2C8" w14:textId="77777777">
      <w:pPr>
        <w:rPr>
          <w:rFonts w:ascii="Verdana" w:hAnsi="Verdana"/>
          <w:sz w:val="18"/>
          <w:szCs w:val="18"/>
        </w:rPr>
      </w:pPr>
    </w:p>
    <w:p w:rsidRPr="00906A23" w:rsidR="00141F7D" w:rsidP="00AC2C26" w:rsidRDefault="00141F7D" w14:paraId="7392C38A" w14:textId="213053AE">
      <w:pPr>
        <w:rPr>
          <w:rFonts w:ascii="Verdana" w:hAnsi="Verdana"/>
          <w:sz w:val="18"/>
          <w:szCs w:val="18"/>
        </w:rPr>
      </w:pPr>
      <w:r>
        <w:rPr>
          <w:rFonts w:ascii="Verdana" w:hAnsi="Verdana"/>
          <w:sz w:val="18"/>
        </w:rPr>
        <w:t>El CESE lleva mucho tiempo trabajando en estas cuestiones y desde 2021 celebra conferencias con carácter anual para hacer balance de la situación:</w:t>
      </w:r>
    </w:p>
    <w:p w:rsidRPr="00906A23" w:rsidR="00141F7D" w:rsidP="00141F7D" w:rsidRDefault="00670380" w14:paraId="07F9FAA9" w14:textId="77777777">
      <w:pPr>
        <w:pStyle w:val="ListParagraph"/>
        <w:numPr>
          <w:ilvl w:val="0"/>
          <w:numId w:val="6"/>
        </w:numPr>
        <w:spacing w:line="288" w:lineRule="auto"/>
        <w:ind w:left="284" w:hanging="284"/>
        <w:rPr>
          <w:rFonts w:ascii="Verdana" w:hAnsi="Verdana"/>
          <w:sz w:val="18"/>
          <w:szCs w:val="18"/>
        </w:rPr>
      </w:pPr>
      <w:hyperlink w:history="1" r:id="rId16">
        <w:r w:rsidR="00ED1BA9">
          <w:rPr>
            <w:rStyle w:val="Hyperlink"/>
            <w:rFonts w:ascii="Verdana" w:hAnsi="Verdana"/>
            <w:i/>
            <w:sz w:val="18"/>
          </w:rPr>
          <w:t>Conferencia sobre energía ase</w:t>
        </w:r>
        <w:r w:rsidR="00ED1BA9">
          <w:rPr>
            <w:rStyle w:val="Hyperlink"/>
            <w:rFonts w:ascii="Verdana" w:hAnsi="Verdana"/>
            <w:i/>
            <w:sz w:val="18"/>
          </w:rPr>
          <w:t>q</w:t>
        </w:r>
        <w:r w:rsidR="00ED1BA9">
          <w:rPr>
            <w:rStyle w:val="Hyperlink"/>
            <w:rFonts w:ascii="Verdana" w:hAnsi="Verdana"/>
            <w:i/>
            <w:sz w:val="18"/>
          </w:rPr>
          <w:t>uible para transformar la perspectiva de la sociedad civil en medidas</w:t>
        </w:r>
      </w:hyperlink>
      <w:r w:rsidR="00ED1BA9">
        <w:rPr>
          <w:rFonts w:ascii="Verdana" w:hAnsi="Verdana"/>
          <w:sz w:val="18"/>
        </w:rPr>
        <w:t>, 2024.</w:t>
      </w:r>
    </w:p>
    <w:p w:rsidRPr="00906A23" w:rsidR="00141F7D" w:rsidP="00141F7D" w:rsidRDefault="00670380" w14:paraId="1C11D8B9" w14:textId="77777777">
      <w:pPr>
        <w:pStyle w:val="ListParagraph"/>
        <w:numPr>
          <w:ilvl w:val="0"/>
          <w:numId w:val="6"/>
        </w:numPr>
        <w:spacing w:line="288" w:lineRule="auto"/>
        <w:ind w:left="284" w:hanging="284"/>
        <w:rPr>
          <w:rFonts w:ascii="Verdana" w:hAnsi="Verdana"/>
          <w:sz w:val="18"/>
          <w:szCs w:val="18"/>
        </w:rPr>
      </w:pPr>
      <w:hyperlink w:history="1" r:id="rId17">
        <w:r w:rsidR="00ED1BA9">
          <w:rPr>
            <w:rStyle w:val="Hyperlink"/>
            <w:rFonts w:ascii="Verdana" w:hAnsi="Verdana"/>
            <w:i/>
            <w:sz w:val="18"/>
          </w:rPr>
          <w:t>Luchar contra la pobreza energét</w:t>
        </w:r>
        <w:r w:rsidR="00ED1BA9">
          <w:rPr>
            <w:rStyle w:val="Hyperlink"/>
            <w:rFonts w:ascii="Verdana" w:hAnsi="Verdana"/>
            <w:i/>
            <w:sz w:val="18"/>
          </w:rPr>
          <w:t>i</w:t>
        </w:r>
        <w:r w:rsidR="00ED1BA9">
          <w:rPr>
            <w:rStyle w:val="Hyperlink"/>
            <w:rFonts w:ascii="Verdana" w:hAnsi="Verdana"/>
            <w:i/>
            <w:sz w:val="18"/>
          </w:rPr>
          <w:t>ca para una transición justa</w:t>
        </w:r>
      </w:hyperlink>
      <w:r w:rsidR="00ED1BA9">
        <w:rPr>
          <w:rFonts w:ascii="Verdana" w:hAnsi="Verdana"/>
          <w:sz w:val="18"/>
        </w:rPr>
        <w:t>, 2023.</w:t>
      </w:r>
    </w:p>
    <w:p w:rsidRPr="00906A23" w:rsidR="00141F7D" w:rsidP="00141F7D" w:rsidRDefault="00670380" w14:paraId="73B3F4F0" w14:textId="77777777">
      <w:pPr>
        <w:pStyle w:val="ListParagraph"/>
        <w:numPr>
          <w:ilvl w:val="0"/>
          <w:numId w:val="6"/>
        </w:numPr>
        <w:spacing w:line="288" w:lineRule="auto"/>
        <w:ind w:left="284" w:hanging="284"/>
        <w:rPr>
          <w:rFonts w:ascii="Verdana" w:hAnsi="Verdana"/>
          <w:sz w:val="18"/>
          <w:szCs w:val="18"/>
        </w:rPr>
      </w:pPr>
      <w:hyperlink w:history="1" r:id="rId18">
        <w:r w:rsidR="00ED1BA9">
          <w:rPr>
            <w:rStyle w:val="Hyperlink"/>
            <w:rFonts w:ascii="Verdana" w:hAnsi="Verdana"/>
            <w:i/>
            <w:sz w:val="18"/>
          </w:rPr>
          <w:t>La lucha contra la pobreza ener</w:t>
        </w:r>
        <w:r w:rsidR="00ED1BA9">
          <w:rPr>
            <w:rStyle w:val="Hyperlink"/>
            <w:rFonts w:ascii="Verdana" w:hAnsi="Verdana"/>
            <w:i/>
            <w:sz w:val="18"/>
          </w:rPr>
          <w:t>g</w:t>
        </w:r>
        <w:r w:rsidR="00ED1BA9">
          <w:rPr>
            <w:rStyle w:val="Hyperlink"/>
            <w:rFonts w:ascii="Verdana" w:hAnsi="Verdana"/>
            <w:i/>
            <w:sz w:val="18"/>
          </w:rPr>
          <w:t>ética en el centro de la transición ecológica y energética</w:t>
        </w:r>
      </w:hyperlink>
      <w:r w:rsidR="00ED1BA9">
        <w:rPr>
          <w:rFonts w:ascii="Verdana" w:hAnsi="Verdana"/>
          <w:sz w:val="18"/>
        </w:rPr>
        <w:t>, 2022.</w:t>
      </w:r>
    </w:p>
    <w:p w:rsidRPr="00906A23" w:rsidR="00141F7D" w:rsidP="00141F7D" w:rsidRDefault="00670380" w14:paraId="59C8A32E" w14:textId="77777777">
      <w:pPr>
        <w:pStyle w:val="ListParagraph"/>
        <w:numPr>
          <w:ilvl w:val="0"/>
          <w:numId w:val="6"/>
        </w:numPr>
        <w:ind w:left="284" w:hanging="284"/>
        <w:rPr>
          <w:rFonts w:ascii="Verdana" w:hAnsi="Verdana"/>
          <w:sz w:val="18"/>
          <w:szCs w:val="18"/>
        </w:rPr>
      </w:pPr>
      <w:hyperlink w:history="1" r:id="rId19">
        <w:r w:rsidR="00ED1BA9">
          <w:rPr>
            <w:rStyle w:val="Hyperlink"/>
            <w:rFonts w:ascii="Verdana" w:hAnsi="Verdana"/>
            <w:i/>
            <w:sz w:val="18"/>
          </w:rPr>
          <w:t>Pobreza energética – E</w:t>
        </w:r>
        <w:r w:rsidR="00ED1BA9">
          <w:rPr>
            <w:rStyle w:val="Hyperlink"/>
            <w:rFonts w:ascii="Verdana" w:hAnsi="Verdana"/>
            <w:i/>
            <w:sz w:val="18"/>
          </w:rPr>
          <w:t>n</w:t>
        </w:r>
        <w:r w:rsidR="00ED1BA9">
          <w:rPr>
            <w:rStyle w:val="Hyperlink"/>
            <w:rFonts w:ascii="Verdana" w:hAnsi="Verdana"/>
            <w:i/>
            <w:sz w:val="18"/>
          </w:rPr>
          <w:t xml:space="preserve"> la encrucijada del pilar europeo de derechos sociales y el Pacto Verde Europeo</w:t>
        </w:r>
      </w:hyperlink>
      <w:r w:rsidR="00ED1BA9">
        <w:rPr>
          <w:rFonts w:ascii="Verdana" w:hAnsi="Verdana"/>
          <w:sz w:val="18"/>
        </w:rPr>
        <w:t>, 2021.</w:t>
      </w:r>
    </w:p>
    <w:p w:rsidRPr="00906A23" w:rsidR="00141F7D" w:rsidP="00AC2C26" w:rsidRDefault="00141F7D" w14:paraId="2549A8D8" w14:textId="15DF2077">
      <w:pPr>
        <w:rPr>
          <w:rFonts w:ascii="Verdana" w:hAnsi="Verdana"/>
          <w:sz w:val="18"/>
          <w:szCs w:val="18"/>
        </w:rPr>
      </w:pPr>
    </w:p>
    <w:p w:rsidRPr="00906A23" w:rsidR="00467B7A" w:rsidP="00D174A1" w:rsidRDefault="00467B7A" w14:paraId="45C8DD70" w14:textId="75CC86A6">
      <w:pPr>
        <w:rPr>
          <w:rFonts w:ascii="Verdana" w:hAnsi="Verdana"/>
          <w:sz w:val="18"/>
          <w:szCs w:val="18"/>
        </w:rPr>
      </w:pPr>
      <w:r>
        <w:rPr>
          <w:rFonts w:ascii="Verdana" w:hAnsi="Verdana"/>
          <w:sz w:val="18"/>
        </w:rPr>
        <w:t>En breve se publicarán en el sitio web del CESE las conclusiones detalladas de la conferencia celebrada este año, que constituye el quinto acto anual del CESE en materia de pobreza energética.</w:t>
      </w:r>
    </w:p>
    <w:p w:rsidRPr="00906A23" w:rsidR="00AC2C26" w:rsidP="00D174A1" w:rsidRDefault="00AC2C26" w14:paraId="59C494D0" w14:textId="77777777">
      <w:pPr>
        <w:rPr>
          <w:rFonts w:ascii="Verdana" w:hAnsi="Verdana"/>
          <w:sz w:val="18"/>
          <w:szCs w:val="18"/>
        </w:rPr>
      </w:pPr>
    </w:p>
    <w:p w:rsidRPr="00906A23" w:rsidR="009A7A0E" w:rsidP="00D174A1" w:rsidRDefault="00AC2C26" w14:paraId="7F6C21CE" w14:textId="1A25FFDC">
      <w:pPr>
        <w:rPr>
          <w:rFonts w:ascii="Verdana" w:hAnsi="Verdana"/>
          <w:b/>
          <w:bCs/>
          <w:sz w:val="18"/>
          <w:szCs w:val="18"/>
        </w:rPr>
      </w:pPr>
      <w:r>
        <w:rPr>
          <w:rFonts w:ascii="Verdana" w:hAnsi="Verdana"/>
          <w:b/>
          <w:sz w:val="18"/>
        </w:rPr>
        <w:t>Algunas palabras de los oradores</w:t>
      </w:r>
    </w:p>
    <w:p w:rsidRPr="00906A23" w:rsidR="00467B7A" w:rsidP="00D174A1" w:rsidRDefault="00467B7A" w14:paraId="0913DE30" w14:textId="77777777">
      <w:pPr>
        <w:rPr>
          <w:rFonts w:ascii="Verdana" w:hAnsi="Verdana"/>
          <w:sz w:val="18"/>
          <w:szCs w:val="18"/>
        </w:rPr>
      </w:pPr>
    </w:p>
    <w:p w:rsidRPr="00906A23" w:rsidR="007549EB" w:rsidP="002C59DC" w:rsidRDefault="006865DA" w14:paraId="3B60F43D" w14:textId="5D352591">
      <w:r>
        <w:rPr>
          <w:rFonts w:ascii="Verdana" w:hAnsi="Verdana"/>
          <w:sz w:val="18"/>
        </w:rPr>
        <w:t>«Merced al aunamiento e intensificación de esfuerzos, la proporción de ciudadanos europeos que sufren pobreza energética por fin disminuyó en 2024. Sin embargo, más de 41 millones de nuestros conciudadanos siguen sin poder calentar adecuadamente sus hogares. Si bien los precios de la energía han disminuido con respecto al período de crisis, siguen duplicando o cuadruplicando los de nuestros países socios, lo cual no hace sino aumentar la presión que soportan los hogares y supone una amenaza real para la competitividad a largo plazo de la industria europea. Queda un largo camino para poner fin a este problema, por lo que debemos mantenernos firmes y decididos».</w:t>
      </w:r>
    </w:p>
    <w:p w:rsidRPr="00906A23" w:rsidR="000C0616" w:rsidP="006B6519" w:rsidRDefault="00931CC4" w14:paraId="40F36280" w14:textId="73597007">
      <w:pPr>
        <w:rPr>
          <w:rFonts w:ascii="Verdana" w:hAnsi="Verdana" w:cs="Arial"/>
          <w:b/>
          <w:sz w:val="18"/>
          <w:szCs w:val="18"/>
        </w:rPr>
      </w:pPr>
      <w:r>
        <w:rPr>
          <w:rFonts w:ascii="Verdana" w:hAnsi="Verdana"/>
          <w:b/>
          <w:sz w:val="18"/>
        </w:rPr>
        <w:t>Aurel Laurenţiu Plosceanu</w:t>
      </w:r>
      <w:r>
        <w:rPr>
          <w:rFonts w:ascii="Verdana" w:hAnsi="Verdana"/>
          <w:sz w:val="18"/>
        </w:rPr>
        <w:t>, vicepresidente del Comité Económico y Social Europeo (CESE)</w:t>
      </w:r>
      <w:r>
        <w:t xml:space="preserve"> </w:t>
      </w:r>
      <w:r>
        <w:rPr>
          <w:rFonts w:ascii="Verdana" w:hAnsi="Verdana"/>
          <w:sz w:val="18"/>
        </w:rPr>
        <w:t>responsable de Comunicación</w:t>
      </w:r>
    </w:p>
    <w:p w:rsidRPr="00906A23" w:rsidR="001B07CB" w:rsidP="006B6519" w:rsidRDefault="001B07CB" w14:paraId="1DF060D7" w14:textId="77777777">
      <w:pPr>
        <w:rPr>
          <w:rFonts w:ascii="Verdana" w:hAnsi="Verdana"/>
          <w:sz w:val="18"/>
          <w:szCs w:val="18"/>
        </w:rPr>
      </w:pPr>
    </w:p>
    <w:p w:rsidRPr="00906A23" w:rsidR="009D5DB3" w:rsidP="00413EA5" w:rsidRDefault="009D5DB3" w14:paraId="244DAC9B" w14:textId="77E4DD42">
      <w:pPr>
        <w:rPr>
          <w:rFonts w:ascii="Verdana" w:hAnsi="Verdana"/>
          <w:sz w:val="18"/>
          <w:szCs w:val="18"/>
        </w:rPr>
      </w:pPr>
      <w:r>
        <w:rPr>
          <w:rFonts w:ascii="Verdana" w:hAnsi="Verdana"/>
          <w:sz w:val="18"/>
        </w:rPr>
        <w:t>«Las personas que se encuentran en riesgo de pobreza o exclusión social afrontan dificultades especialmente gravosas para acceder a la energía.</w:t>
      </w:r>
      <w:r>
        <w:t xml:space="preserve"> </w:t>
      </w:r>
      <w:r>
        <w:rPr>
          <w:rFonts w:ascii="Verdana" w:hAnsi="Verdana"/>
          <w:sz w:val="18"/>
        </w:rPr>
        <w:t>En los últimos años, la vulnerabilidad de nuestro sistema energético se ha hecho más que evidente. Nuestro objetivo es impulsar la autonomía estratégica y la competitividad de Europa, así como lograr una economía y una sociedad más ecológicas y sostenibles. Nos comprometemos a desarrollar una estrategia para una energía asequible, segura y sostenible que promueva el papel activo de los consumidores y garantice la equidad en favor de las personas más vulnerables».</w:t>
      </w:r>
    </w:p>
    <w:p w:rsidRPr="00906A23" w:rsidR="009D5DB3" w:rsidP="009D5DB3" w:rsidRDefault="009D5DB3" w14:paraId="3DA65B43" w14:textId="52E37C11">
      <w:pPr>
        <w:rPr>
          <w:rFonts w:ascii="Verdana" w:hAnsi="Verdana"/>
          <w:sz w:val="18"/>
          <w:szCs w:val="18"/>
        </w:rPr>
      </w:pPr>
      <w:r>
        <w:rPr>
          <w:rFonts w:ascii="Verdana" w:hAnsi="Verdana"/>
          <w:b/>
          <w:sz w:val="18"/>
        </w:rPr>
        <w:t>Baiba Miltoviča</w:t>
      </w:r>
      <w:r>
        <w:rPr>
          <w:rFonts w:ascii="Verdana" w:hAnsi="Verdana"/>
          <w:sz w:val="18"/>
        </w:rPr>
        <w:t xml:space="preserve"> presidenta de la Sección de Transportes, Energía, Infraestructuras y Sociedad de la Información (TEN) del CESE</w:t>
      </w:r>
    </w:p>
    <w:p w:rsidRPr="00906A23" w:rsidR="001D7118" w:rsidP="006B6519" w:rsidRDefault="001D7118" w14:paraId="57633AC6" w14:textId="77777777">
      <w:pPr>
        <w:rPr>
          <w:rFonts w:ascii="Verdana" w:hAnsi="Verdana"/>
          <w:sz w:val="18"/>
          <w:szCs w:val="18"/>
        </w:rPr>
      </w:pPr>
    </w:p>
    <w:p w:rsidRPr="00906A23" w:rsidR="003A26BB" w:rsidP="003A26BB" w:rsidRDefault="003A26BB" w14:paraId="13875D83" w14:textId="46A1D203">
      <w:pPr>
        <w:rPr>
          <w:rFonts w:ascii="Verdana" w:hAnsi="Verdana"/>
          <w:sz w:val="18"/>
          <w:szCs w:val="18"/>
        </w:rPr>
      </w:pPr>
      <w:r>
        <w:rPr>
          <w:rFonts w:ascii="Verdana" w:hAnsi="Verdana"/>
          <w:sz w:val="18"/>
        </w:rPr>
        <w:lastRenderedPageBreak/>
        <w:t>«A fin de lograr una auténtica transición energética que beneficie al conjunto de la ciudadanía europea, debemos luchar contra la pobreza energética, empoderar a los consumidores y procurar una energía asequible para todos. El paquete energético de los ciudadanos abordará estos retos. Todos los agentes, en particular la Comisión, el CESE, los operadores de mercado y las organizaciones de consumidores, deben aunar esfuerzos para procurar su éxito. Espero que esta conferencia contribuya de manera significativa a este proceso».</w:t>
      </w:r>
    </w:p>
    <w:p w:rsidRPr="00C26833" w:rsidR="001D7118" w:rsidP="006B6519" w:rsidRDefault="00150BF7" w14:paraId="18A57DD2" w14:textId="11EEC4C0">
      <w:pPr>
        <w:rPr>
          <w:rFonts w:ascii="Verdana" w:hAnsi="Verdana"/>
          <w:sz w:val="18"/>
          <w:szCs w:val="18"/>
        </w:rPr>
      </w:pPr>
      <w:r>
        <w:rPr>
          <w:rFonts w:ascii="Verdana" w:hAnsi="Verdana"/>
          <w:b/>
          <w:sz w:val="18"/>
        </w:rPr>
        <w:t>Rosalinde Van Der Vlies</w:t>
      </w:r>
      <w:r>
        <w:rPr>
          <w:rFonts w:ascii="Verdana" w:hAnsi="Verdana"/>
          <w:sz w:val="18"/>
        </w:rPr>
        <w:t>, directora de la Dirección ENER.B, Comisión Europea</w:t>
      </w:r>
    </w:p>
    <w:p w:rsidRPr="00C26833" w:rsidR="007B4A83" w:rsidP="007B4A83" w:rsidRDefault="007B4A83" w14:paraId="46E0567A" w14:textId="7A4FC858">
      <w:pPr>
        <w:rPr>
          <w:rFonts w:ascii="Verdana" w:hAnsi="Verdana" w:cs="Arial"/>
          <w:bCs/>
          <w:sz w:val="18"/>
          <w:szCs w:val="18"/>
          <w:lang w:val="nl-NL" w:eastAsia="fr-FR"/>
        </w:rPr>
      </w:pPr>
    </w:p>
    <w:p w:rsidRPr="00C26833" w:rsidR="0077356E" w:rsidP="007B4A83" w:rsidRDefault="0077356E" w14:paraId="1E03EC62" w14:textId="33ADE83A">
      <w:pPr>
        <w:rPr>
          <w:rFonts w:ascii="Verdana" w:hAnsi="Verdana"/>
          <w:sz w:val="18"/>
          <w:szCs w:val="18"/>
          <w:lang w:val="nl-NL"/>
        </w:rPr>
      </w:pPr>
    </w:p>
    <w:p w:rsidRPr="00C26833" w:rsidR="00AF3D24" w:rsidP="00795B49" w:rsidRDefault="00AF3D24" w14:paraId="4AA3FA83" w14:textId="77777777">
      <w:pPr>
        <w:rPr>
          <w:rFonts w:ascii="Verdana" w:hAnsi="Verdana"/>
          <w:sz w:val="18"/>
          <w:szCs w:val="18"/>
          <w:lang w:val="nl-NL"/>
        </w:rPr>
      </w:pPr>
    </w:p>
    <w:p w:rsidRPr="00C26833" w:rsidR="00984A19" w:rsidP="00795B49" w:rsidRDefault="00984A19" w14:paraId="3054F653" w14:textId="77777777">
      <w:pPr>
        <w:rPr>
          <w:rFonts w:ascii="Verdana" w:hAnsi="Verdana"/>
          <w:sz w:val="18"/>
          <w:szCs w:val="18"/>
          <w:lang w:val="nl-NL"/>
        </w:rPr>
      </w:pPr>
    </w:p>
    <w:p w:rsidRPr="00906A23" w:rsidR="00BD7293" w:rsidP="00BD7293" w:rsidRDefault="00BD7293" w14:paraId="467A97BB" w14:textId="550FD4B6">
      <w:pPr>
        <w:jc w:val="center"/>
        <w:rPr>
          <w:rFonts w:ascii="Verdana" w:hAnsi="Verdana"/>
          <w:sz w:val="18"/>
          <w:szCs w:val="18"/>
        </w:rPr>
      </w:pPr>
      <w:r>
        <w:rPr>
          <w:rFonts w:ascii="Verdana" w:hAnsi="Verdana"/>
          <w:b/>
          <w:sz w:val="18"/>
        </w:rPr>
        <w:t>Para más información, póngase en contacto con:</w:t>
      </w:r>
    </w:p>
    <w:p w:rsidRPr="00C26833" w:rsidR="00BD7293" w:rsidP="00BD7293" w:rsidRDefault="00BD7293" w14:paraId="681BC902" w14:textId="25ECB376">
      <w:pPr>
        <w:pStyle w:val="Heading1"/>
        <w:numPr>
          <w:ilvl w:val="0"/>
          <w:numId w:val="0"/>
        </w:numPr>
        <w:ind w:left="360"/>
        <w:jc w:val="center"/>
        <w:rPr>
          <w:rFonts w:ascii="Verdana" w:hAnsi="Verdana"/>
          <w:sz w:val="18"/>
          <w:szCs w:val="18"/>
        </w:rPr>
      </w:pPr>
      <w:r>
        <w:rPr>
          <w:rFonts w:ascii="Verdana" w:hAnsi="Verdana"/>
          <w:sz w:val="18"/>
        </w:rPr>
        <w:t>Unidad de Prensa del CESE – Marco Pezzani</w:t>
      </w:r>
      <w:r>
        <w:rPr>
          <w:rFonts w:ascii="Verdana" w:hAnsi="Verdana"/>
          <w:sz w:val="18"/>
        </w:rPr>
        <w:br/>
        <w:t>+32 (0)25469793 – Móvil: +32 (0)470881903</w:t>
      </w:r>
    </w:p>
    <w:p w:rsidRPr="00C26833" w:rsidR="00BD7293" w:rsidP="00BD7293" w:rsidRDefault="00670380" w14:paraId="0CFB3708" w14:textId="77777777">
      <w:pPr>
        <w:jc w:val="center"/>
        <w:rPr>
          <w:rFonts w:ascii="Verdana" w:hAnsi="Verdana"/>
          <w:sz w:val="18"/>
          <w:szCs w:val="18"/>
        </w:rPr>
      </w:pPr>
      <w:hyperlink w:history="1" r:id="rId20">
        <w:r w:rsidR="00ED1BA9">
          <w:rPr>
            <w:rStyle w:val="Hyperlink"/>
            <w:rFonts w:ascii="Verdana" w:hAnsi="Verdana"/>
            <w:sz w:val="18"/>
          </w:rPr>
          <w:t>marco.pezzani@eesc.europa.eu</w:t>
        </w:r>
      </w:hyperlink>
    </w:p>
    <w:p w:rsidRPr="00C26833" w:rsidR="00BD7293" w:rsidP="00BD7293" w:rsidRDefault="00BD7293" w14:paraId="1C7AF790" w14:textId="563AC12F">
      <w:pPr>
        <w:pStyle w:val="Heading1"/>
        <w:numPr>
          <w:ilvl w:val="0"/>
          <w:numId w:val="0"/>
        </w:numPr>
        <w:jc w:val="center"/>
        <w:rPr>
          <w:rFonts w:ascii="Verdana" w:hAnsi="Verdana"/>
          <w:b/>
          <w:bCs/>
          <w:sz w:val="18"/>
          <w:szCs w:val="18"/>
        </w:rPr>
      </w:pPr>
      <w:r>
        <w:rPr>
          <w:rFonts w:ascii="Verdana" w:hAnsi="Verdana"/>
          <w:b/>
          <w:sz w:val="18"/>
        </w:rPr>
        <w:t>@EESC_PRESS</w:t>
      </w:r>
    </w:p>
    <w:p w:rsidRPr="00C26833" w:rsidR="00305D16" w:rsidP="00305D16" w:rsidRDefault="00305D16" w14:paraId="4FFDD0C5" w14:textId="77777777">
      <w:pPr>
        <w:rPr>
          <w:rFonts w:ascii="Verdana" w:hAnsi="Verdana"/>
          <w:sz w:val="18"/>
          <w:szCs w:val="18"/>
          <w:lang w:val="it-IT"/>
        </w:rPr>
      </w:pPr>
    </w:p>
    <w:p w:rsidRPr="00906A23" w:rsidR="00F83179" w:rsidP="00CE439D" w:rsidRDefault="00F83179" w14:paraId="10AAEE89" w14:textId="77777777">
      <w:pPr>
        <w:rPr>
          <w:rFonts w:ascii="Verdana" w:hAnsi="Verdana"/>
          <w:b/>
          <w:bCs/>
          <w:i/>
          <w:sz w:val="16"/>
          <w:szCs w:val="16"/>
        </w:rPr>
      </w:pPr>
      <w:r>
        <w:rPr>
          <w:rFonts w:ascii="Verdana" w:hAnsi="Verdana"/>
          <w:i/>
          <w:sz w:val="16"/>
        </w:rPr>
        <w:t>__</w:t>
      </w:r>
      <w:r>
        <w:rPr>
          <w:rFonts w:ascii="Verdana" w:hAnsi="Verdana"/>
          <w:b/>
          <w:i/>
          <w:sz w:val="16"/>
        </w:rPr>
        <w:t>_____________________________________________________________________________</w:t>
      </w:r>
    </w:p>
    <w:p w:rsidRPr="00906A23" w:rsidR="00F83179" w:rsidP="00CE439D" w:rsidRDefault="00F83179" w14:paraId="088DC2EF" w14:textId="77777777">
      <w:pPr>
        <w:rPr>
          <w:rFonts w:ascii="Verdana" w:hAnsi="Verdana"/>
          <w:i/>
          <w:sz w:val="16"/>
          <w:szCs w:val="16"/>
        </w:rPr>
      </w:pPr>
      <w:r>
        <w:rPr>
          <w:rFonts w:ascii="Verdana" w:hAnsi="Verdana"/>
          <w:i/>
          <w:sz w:val="16"/>
        </w:rPr>
        <w:t>El Comité Económico y Social Europeo garantiza la representación de los diferentes componentes de carácter económico y social de la sociedad civil organizada. Es un órgano institucional consultivo, creado por el Tratado de Roma en 1957. Su función consultiva hace posible que sus miembros —y, por tanto, las organizaciones a las que representan— participen en el proceso de decisión de la UE.</w:t>
      </w:r>
    </w:p>
    <w:p w:rsidRPr="00906A23" w:rsidR="00090358" w:rsidP="00AB5D9C" w:rsidRDefault="00F83179" w14:paraId="4ADAD889" w14:textId="7A80AA29">
      <w:pPr>
        <w:rPr>
          <w:rFonts w:ascii="Verdana" w:hAnsi="Verdana"/>
          <w:bCs/>
          <w:sz w:val="18"/>
          <w:szCs w:val="18"/>
        </w:rPr>
      </w:pPr>
      <w:r>
        <w:rPr>
          <w:rFonts w:ascii="Verdana" w:hAnsi="Verdana"/>
          <w:i/>
          <w:sz w:val="16"/>
        </w:rPr>
        <w:t>__</w:t>
      </w:r>
      <w:r>
        <w:rPr>
          <w:rFonts w:ascii="Verdana" w:hAnsi="Verdana"/>
          <w:b/>
          <w:i/>
          <w:sz w:val="16"/>
        </w:rPr>
        <w:t>_____________________________________________________________________________</w:t>
      </w:r>
    </w:p>
    <w:sectPr w:rsidRPr="00906A23" w:rsidR="00090358" w:rsidSect="008141FD">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425" w:right="1418" w:bottom="1418" w:left="1418" w:header="1417"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10EC" w14:textId="77777777" w:rsidR="00066B5F" w:rsidRDefault="00066B5F">
      <w:r>
        <w:separator/>
      </w:r>
    </w:p>
  </w:endnote>
  <w:endnote w:type="continuationSeparator" w:id="0">
    <w:p w14:paraId="3B850CF1" w14:textId="77777777" w:rsidR="00066B5F" w:rsidRDefault="0006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D4D8" w14:textId="77777777" w:rsidR="005D6F1E" w:rsidRDefault="005D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915" w14:textId="77777777" w:rsidR="00F83179" w:rsidRPr="00984A19" w:rsidRDefault="00F83179" w:rsidP="0004715C">
    <w:pPr>
      <w:spacing w:line="240" w:lineRule="auto"/>
      <w:jc w:val="center"/>
      <w:rPr>
        <w:rFonts w:ascii="Verdana" w:hAnsi="Verdana"/>
        <w:sz w:val="16"/>
        <w:szCs w:val="16"/>
      </w:rPr>
    </w:pPr>
    <w:r>
      <w:rPr>
        <w:rFonts w:ascii="Verdana" w:hAnsi="Verdana"/>
        <w:sz w:val="16"/>
      </w:rPr>
      <w:t>Rue Belliard/Belliardstraat 99 – 1040 Bruxelles/Brussel – BELGIQUE/BELGIË</w:t>
    </w:r>
  </w:p>
  <w:p w14:paraId="7D053E17" w14:textId="77777777" w:rsidR="00F83179" w:rsidRPr="00984A19" w:rsidRDefault="00F83179" w:rsidP="0004715C">
    <w:pPr>
      <w:spacing w:line="240" w:lineRule="auto"/>
      <w:jc w:val="center"/>
      <w:rPr>
        <w:rFonts w:ascii="Verdana" w:hAnsi="Verdana"/>
        <w:sz w:val="16"/>
        <w:szCs w:val="16"/>
      </w:rPr>
    </w:pPr>
    <w:r>
      <w:rPr>
        <w:rFonts w:ascii="Verdana" w:hAnsi="Verdana"/>
        <w:sz w:val="16"/>
      </w:rPr>
      <w:t>Tel.: +32 (0)25469406 – Fax: +32 (0)25469764</w:t>
    </w:r>
  </w:p>
  <w:p w14:paraId="4D2BF509" w14:textId="04AD764F" w:rsidR="00F83179" w:rsidRPr="00984A19" w:rsidRDefault="00F83179" w:rsidP="0004715C">
    <w:pPr>
      <w:spacing w:line="240" w:lineRule="auto"/>
      <w:jc w:val="center"/>
      <w:rPr>
        <w:rFonts w:ascii="Verdana" w:hAnsi="Verdana"/>
        <w:sz w:val="16"/>
        <w:szCs w:val="16"/>
      </w:rPr>
    </w:pPr>
    <w:r>
      <w:rPr>
        <w:rFonts w:ascii="Verdana" w:hAnsi="Verdana"/>
        <w:sz w:val="16"/>
      </w:rPr>
      <w:t xml:space="preserve">Correo electrónico: </w:t>
    </w:r>
    <w:hyperlink r:id="rId1" w:history="1">
      <w:r>
        <w:rPr>
          <w:rStyle w:val="Hyperlink"/>
          <w:rFonts w:ascii="Verdana" w:hAnsi="Verdana"/>
          <w:sz w:val="16"/>
        </w:rPr>
        <w:t>press@eesc.europa.eu</w:t>
      </w:r>
    </w:hyperlink>
    <w:r>
      <w:rPr>
        <w:rFonts w:ascii="Verdana" w:hAnsi="Verdana"/>
        <w:sz w:val="16"/>
      </w:rPr>
      <w:t xml:space="preserve"> – Internet: </w:t>
    </w:r>
    <w:hyperlink r:id="rId2" w:history="1">
      <w:r>
        <w:rPr>
          <w:rStyle w:val="Hyperlink"/>
          <w:rFonts w:ascii="Verdana" w:hAnsi="Verdana"/>
          <w:sz w:val="16"/>
        </w:rPr>
        <w:t>www.eesc.europa.eu</w:t>
      </w:r>
    </w:hyperlink>
  </w:p>
  <w:p w14:paraId="2A643DB3" w14:textId="77777777" w:rsidR="00F83179" w:rsidRPr="0004715C" w:rsidRDefault="00046C01" w:rsidP="00F61167">
    <w:pPr>
      <w:spacing w:line="240" w:lineRule="auto"/>
      <w:jc w:val="center"/>
      <w:rPr>
        <w:rFonts w:ascii="Verdana" w:hAnsi="Verdana"/>
        <w:sz w:val="16"/>
        <w:szCs w:val="16"/>
      </w:rPr>
    </w:pPr>
    <w:r>
      <w:rPr>
        <w:rFonts w:ascii="Verdana" w:hAnsi="Verdana"/>
        <w:sz w:val="16"/>
      </w:rPr>
      <w:t xml:space="preserve">Síganos en </w:t>
    </w:r>
    <w:r>
      <w:rPr>
        <w:noProof/>
      </w:rPr>
      <w:drawing>
        <wp:inline distT="0" distB="0" distL="0" distR="0" wp14:anchorId="5C143A1A" wp14:editId="0F05CCCB">
          <wp:extent cx="323850" cy="323850"/>
          <wp:effectExtent l="0" t="0" r="0" b="0"/>
          <wp:docPr id="5" name="Graphic 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6C8E36F3" wp14:editId="26DEF2C1">
          <wp:extent cx="323850" cy="323850"/>
          <wp:effectExtent l="0" t="0" r="0" b="0"/>
          <wp:docPr id="9" name="Graphic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hlinkClick r:id="rId6"/>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52138DEF" wp14:editId="5338F007">
          <wp:extent cx="323850" cy="323850"/>
          <wp:effectExtent l="0" t="0" r="0" b="0"/>
          <wp:docPr id="10" name="Graphic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9"/>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4A5D0D17" wp14:editId="6ECC0F4F">
          <wp:extent cx="323850" cy="323850"/>
          <wp:effectExtent l="0" t="0" r="0" b="0"/>
          <wp:docPr id="11" name="Graphic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23850" cy="323850"/>
                  </a:xfrm>
                  <a:prstGeom prst="rect">
                    <a:avLst/>
                  </a:prstGeom>
                </pic:spPr>
              </pic:pic>
            </a:graphicData>
          </a:graphic>
        </wp:inline>
      </w:drawing>
    </w:r>
    <w:r>
      <w:rPr>
        <w:noProof/>
      </w:rPr>
      <w:drawing>
        <wp:inline distT="0" distB="0" distL="0" distR="0" wp14:anchorId="25742F61" wp14:editId="754A6271">
          <wp:extent cx="323850" cy="323850"/>
          <wp:effectExtent l="0" t="0" r="0" b="0"/>
          <wp:docPr id="12" name="Graphic 12" descr="https://www.facebook.com/EuropeanEconomicAndSocialCommittee&#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23850" cy="323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D097" w14:textId="77777777" w:rsidR="005D6F1E" w:rsidRDefault="005D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DCA2" w14:textId="77777777" w:rsidR="00066B5F" w:rsidRDefault="00066B5F">
      <w:r>
        <w:separator/>
      </w:r>
    </w:p>
  </w:footnote>
  <w:footnote w:type="continuationSeparator" w:id="0">
    <w:p w14:paraId="190C8250" w14:textId="77777777" w:rsidR="00066B5F" w:rsidRDefault="0006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05B9" w14:textId="77777777" w:rsidR="005D6F1E" w:rsidRDefault="005D6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77E9" w14:textId="77777777" w:rsidR="005D6F1E" w:rsidRDefault="005D6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2795" w14:textId="77777777" w:rsidR="005D6F1E" w:rsidRDefault="005D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1E1716CD"/>
    <w:multiLevelType w:val="hybridMultilevel"/>
    <w:tmpl w:val="BEE84C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BD22271"/>
    <w:multiLevelType w:val="hybridMultilevel"/>
    <w:tmpl w:val="FCEC854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4D1138"/>
    <w:multiLevelType w:val="hybridMultilevel"/>
    <w:tmpl w:val="1BACD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58309C"/>
    <w:multiLevelType w:val="hybridMultilevel"/>
    <w:tmpl w:val="1E0063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F801590"/>
    <w:multiLevelType w:val="hybridMultilevel"/>
    <w:tmpl w:val="ADD40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B90ED7"/>
    <w:multiLevelType w:val="hybridMultilevel"/>
    <w:tmpl w:val="F2FA0E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0580B"/>
    <w:rsid w:val="00010096"/>
    <w:rsid w:val="0001364C"/>
    <w:rsid w:val="000161BA"/>
    <w:rsid w:val="0001778F"/>
    <w:rsid w:val="00021013"/>
    <w:rsid w:val="0002280B"/>
    <w:rsid w:val="00023E84"/>
    <w:rsid w:val="0002403C"/>
    <w:rsid w:val="0003254A"/>
    <w:rsid w:val="0003378C"/>
    <w:rsid w:val="00034E47"/>
    <w:rsid w:val="00036BF3"/>
    <w:rsid w:val="000370A3"/>
    <w:rsid w:val="00037D4B"/>
    <w:rsid w:val="00041035"/>
    <w:rsid w:val="000440D3"/>
    <w:rsid w:val="00044423"/>
    <w:rsid w:val="00045128"/>
    <w:rsid w:val="0004667F"/>
    <w:rsid w:val="00046C01"/>
    <w:rsid w:val="0004715C"/>
    <w:rsid w:val="0006159D"/>
    <w:rsid w:val="0006275D"/>
    <w:rsid w:val="00066B5F"/>
    <w:rsid w:val="00067F21"/>
    <w:rsid w:val="0007155C"/>
    <w:rsid w:val="00071F59"/>
    <w:rsid w:val="00071F79"/>
    <w:rsid w:val="000765BA"/>
    <w:rsid w:val="0008108C"/>
    <w:rsid w:val="00083A75"/>
    <w:rsid w:val="00085C04"/>
    <w:rsid w:val="00085C8C"/>
    <w:rsid w:val="00090358"/>
    <w:rsid w:val="00094348"/>
    <w:rsid w:val="00094725"/>
    <w:rsid w:val="000964DC"/>
    <w:rsid w:val="00097DAB"/>
    <w:rsid w:val="000B0C94"/>
    <w:rsid w:val="000B3B9F"/>
    <w:rsid w:val="000B6B95"/>
    <w:rsid w:val="000B6CF5"/>
    <w:rsid w:val="000C0616"/>
    <w:rsid w:val="000C71DF"/>
    <w:rsid w:val="000F1862"/>
    <w:rsid w:val="000F2AD2"/>
    <w:rsid w:val="000F4109"/>
    <w:rsid w:val="000F6F35"/>
    <w:rsid w:val="00100731"/>
    <w:rsid w:val="00102D32"/>
    <w:rsid w:val="00104DFA"/>
    <w:rsid w:val="00105E49"/>
    <w:rsid w:val="0010663D"/>
    <w:rsid w:val="00112EAE"/>
    <w:rsid w:val="001147B1"/>
    <w:rsid w:val="00115153"/>
    <w:rsid w:val="001207E6"/>
    <w:rsid w:val="001278E1"/>
    <w:rsid w:val="00132CB8"/>
    <w:rsid w:val="00133557"/>
    <w:rsid w:val="0013526E"/>
    <w:rsid w:val="00136B8E"/>
    <w:rsid w:val="00141F7D"/>
    <w:rsid w:val="00142677"/>
    <w:rsid w:val="00150BF7"/>
    <w:rsid w:val="00151698"/>
    <w:rsid w:val="0015360B"/>
    <w:rsid w:val="00155064"/>
    <w:rsid w:val="00155ED8"/>
    <w:rsid w:val="00156EFB"/>
    <w:rsid w:val="00156FBF"/>
    <w:rsid w:val="001641A1"/>
    <w:rsid w:val="0016622A"/>
    <w:rsid w:val="00173745"/>
    <w:rsid w:val="00173B51"/>
    <w:rsid w:val="001745A4"/>
    <w:rsid w:val="0017564F"/>
    <w:rsid w:val="00180201"/>
    <w:rsid w:val="00183F5E"/>
    <w:rsid w:val="00184EE7"/>
    <w:rsid w:val="0018613F"/>
    <w:rsid w:val="00186C2E"/>
    <w:rsid w:val="0018701A"/>
    <w:rsid w:val="0019340E"/>
    <w:rsid w:val="0019689E"/>
    <w:rsid w:val="0019784C"/>
    <w:rsid w:val="001A11B7"/>
    <w:rsid w:val="001A7D7A"/>
    <w:rsid w:val="001B07CB"/>
    <w:rsid w:val="001B4762"/>
    <w:rsid w:val="001B63E5"/>
    <w:rsid w:val="001B6775"/>
    <w:rsid w:val="001C1318"/>
    <w:rsid w:val="001C54D3"/>
    <w:rsid w:val="001C7295"/>
    <w:rsid w:val="001D2700"/>
    <w:rsid w:val="001D7118"/>
    <w:rsid w:val="001D73C0"/>
    <w:rsid w:val="001E26FA"/>
    <w:rsid w:val="001E66D4"/>
    <w:rsid w:val="001E750C"/>
    <w:rsid w:val="001E7F79"/>
    <w:rsid w:val="001F0EC4"/>
    <w:rsid w:val="001F395E"/>
    <w:rsid w:val="001F681D"/>
    <w:rsid w:val="001F6F92"/>
    <w:rsid w:val="001F7FE8"/>
    <w:rsid w:val="00202DB2"/>
    <w:rsid w:val="002053F3"/>
    <w:rsid w:val="002069A5"/>
    <w:rsid w:val="002145DD"/>
    <w:rsid w:val="00216520"/>
    <w:rsid w:val="00220030"/>
    <w:rsid w:val="00221400"/>
    <w:rsid w:val="002246C0"/>
    <w:rsid w:val="00226683"/>
    <w:rsid w:val="00227A31"/>
    <w:rsid w:val="002302DF"/>
    <w:rsid w:val="00231907"/>
    <w:rsid w:val="00234386"/>
    <w:rsid w:val="00235A39"/>
    <w:rsid w:val="00244626"/>
    <w:rsid w:val="00252427"/>
    <w:rsid w:val="00257629"/>
    <w:rsid w:val="002651DE"/>
    <w:rsid w:val="0026528E"/>
    <w:rsid w:val="002652AD"/>
    <w:rsid w:val="00267C83"/>
    <w:rsid w:val="00270697"/>
    <w:rsid w:val="002726E3"/>
    <w:rsid w:val="00272911"/>
    <w:rsid w:val="002734F3"/>
    <w:rsid w:val="00275154"/>
    <w:rsid w:val="002833FC"/>
    <w:rsid w:val="00284C16"/>
    <w:rsid w:val="0028734A"/>
    <w:rsid w:val="0028784C"/>
    <w:rsid w:val="00293223"/>
    <w:rsid w:val="00293FF8"/>
    <w:rsid w:val="00297D39"/>
    <w:rsid w:val="002A2267"/>
    <w:rsid w:val="002A2ABE"/>
    <w:rsid w:val="002B04CF"/>
    <w:rsid w:val="002B21C1"/>
    <w:rsid w:val="002B4379"/>
    <w:rsid w:val="002C21B3"/>
    <w:rsid w:val="002C59DC"/>
    <w:rsid w:val="002D07D2"/>
    <w:rsid w:val="002D20C4"/>
    <w:rsid w:val="002E33C1"/>
    <w:rsid w:val="002E3743"/>
    <w:rsid w:val="002E59E6"/>
    <w:rsid w:val="002F1B62"/>
    <w:rsid w:val="002F4802"/>
    <w:rsid w:val="002F5762"/>
    <w:rsid w:val="002F702D"/>
    <w:rsid w:val="002F7551"/>
    <w:rsid w:val="002F79A3"/>
    <w:rsid w:val="003034A2"/>
    <w:rsid w:val="00305010"/>
    <w:rsid w:val="0030533C"/>
    <w:rsid w:val="00305D16"/>
    <w:rsid w:val="0031015A"/>
    <w:rsid w:val="003129C4"/>
    <w:rsid w:val="00312C41"/>
    <w:rsid w:val="0031616B"/>
    <w:rsid w:val="0032051A"/>
    <w:rsid w:val="00321382"/>
    <w:rsid w:val="00326563"/>
    <w:rsid w:val="00327A20"/>
    <w:rsid w:val="0033063D"/>
    <w:rsid w:val="003306FB"/>
    <w:rsid w:val="00331D38"/>
    <w:rsid w:val="00335549"/>
    <w:rsid w:val="00337F0A"/>
    <w:rsid w:val="00343B4A"/>
    <w:rsid w:val="00345CEB"/>
    <w:rsid w:val="00347036"/>
    <w:rsid w:val="00347B2F"/>
    <w:rsid w:val="00356F45"/>
    <w:rsid w:val="00357587"/>
    <w:rsid w:val="00365A20"/>
    <w:rsid w:val="003677C7"/>
    <w:rsid w:val="003700AF"/>
    <w:rsid w:val="00372E5C"/>
    <w:rsid w:val="00375A66"/>
    <w:rsid w:val="00382C96"/>
    <w:rsid w:val="00384F7A"/>
    <w:rsid w:val="0038577F"/>
    <w:rsid w:val="003872F9"/>
    <w:rsid w:val="003878F0"/>
    <w:rsid w:val="003908DA"/>
    <w:rsid w:val="00394D81"/>
    <w:rsid w:val="003959F5"/>
    <w:rsid w:val="00397D56"/>
    <w:rsid w:val="003A26BB"/>
    <w:rsid w:val="003A42CA"/>
    <w:rsid w:val="003A7239"/>
    <w:rsid w:val="003A77E7"/>
    <w:rsid w:val="003B2BA3"/>
    <w:rsid w:val="003B2CA8"/>
    <w:rsid w:val="003B56F2"/>
    <w:rsid w:val="003B714A"/>
    <w:rsid w:val="003C1787"/>
    <w:rsid w:val="003C1F6B"/>
    <w:rsid w:val="003C2229"/>
    <w:rsid w:val="003C2488"/>
    <w:rsid w:val="003C3AE9"/>
    <w:rsid w:val="003C45ED"/>
    <w:rsid w:val="003C4C11"/>
    <w:rsid w:val="003C60BB"/>
    <w:rsid w:val="003D1248"/>
    <w:rsid w:val="003D1DDA"/>
    <w:rsid w:val="003E76A5"/>
    <w:rsid w:val="003E7719"/>
    <w:rsid w:val="003F2E95"/>
    <w:rsid w:val="003F2EAF"/>
    <w:rsid w:val="003F3689"/>
    <w:rsid w:val="003F65DD"/>
    <w:rsid w:val="003F6670"/>
    <w:rsid w:val="004003F0"/>
    <w:rsid w:val="00400946"/>
    <w:rsid w:val="004056EC"/>
    <w:rsid w:val="004138F2"/>
    <w:rsid w:val="00413EA5"/>
    <w:rsid w:val="00414734"/>
    <w:rsid w:val="00415456"/>
    <w:rsid w:val="00416467"/>
    <w:rsid w:val="00421AC5"/>
    <w:rsid w:val="00424928"/>
    <w:rsid w:val="0042770A"/>
    <w:rsid w:val="00430F48"/>
    <w:rsid w:val="00434BBD"/>
    <w:rsid w:val="00435670"/>
    <w:rsid w:val="0043702E"/>
    <w:rsid w:val="00445251"/>
    <w:rsid w:val="00446F70"/>
    <w:rsid w:val="00455672"/>
    <w:rsid w:val="004605FD"/>
    <w:rsid w:val="004654DB"/>
    <w:rsid w:val="00466903"/>
    <w:rsid w:val="00467B7A"/>
    <w:rsid w:val="0047148D"/>
    <w:rsid w:val="004840D4"/>
    <w:rsid w:val="00486D46"/>
    <w:rsid w:val="004873DA"/>
    <w:rsid w:val="00487B4A"/>
    <w:rsid w:val="004938BE"/>
    <w:rsid w:val="00494BBC"/>
    <w:rsid w:val="00495BDA"/>
    <w:rsid w:val="004A4D5A"/>
    <w:rsid w:val="004A633E"/>
    <w:rsid w:val="004A6A6E"/>
    <w:rsid w:val="004A6BFA"/>
    <w:rsid w:val="004B4B28"/>
    <w:rsid w:val="004B7008"/>
    <w:rsid w:val="004C0408"/>
    <w:rsid w:val="004C06FD"/>
    <w:rsid w:val="004C0999"/>
    <w:rsid w:val="004C193A"/>
    <w:rsid w:val="004C46B7"/>
    <w:rsid w:val="004C49C3"/>
    <w:rsid w:val="004C4BBF"/>
    <w:rsid w:val="004C5B62"/>
    <w:rsid w:val="004C7042"/>
    <w:rsid w:val="004D0B35"/>
    <w:rsid w:val="004D20D1"/>
    <w:rsid w:val="004D5705"/>
    <w:rsid w:val="004D6672"/>
    <w:rsid w:val="004D6A75"/>
    <w:rsid w:val="004E422F"/>
    <w:rsid w:val="004E74D4"/>
    <w:rsid w:val="004F3DBD"/>
    <w:rsid w:val="004F4C5B"/>
    <w:rsid w:val="0050073F"/>
    <w:rsid w:val="005031E0"/>
    <w:rsid w:val="00512080"/>
    <w:rsid w:val="00515159"/>
    <w:rsid w:val="00515D8E"/>
    <w:rsid w:val="005205B5"/>
    <w:rsid w:val="00520DAB"/>
    <w:rsid w:val="00521DF8"/>
    <w:rsid w:val="0052272B"/>
    <w:rsid w:val="005227A7"/>
    <w:rsid w:val="005244B3"/>
    <w:rsid w:val="005270ED"/>
    <w:rsid w:val="00530C49"/>
    <w:rsid w:val="00532E74"/>
    <w:rsid w:val="005343E0"/>
    <w:rsid w:val="00537FB0"/>
    <w:rsid w:val="00552EA9"/>
    <w:rsid w:val="005549A1"/>
    <w:rsid w:val="00554F23"/>
    <w:rsid w:val="00556CD0"/>
    <w:rsid w:val="005638E6"/>
    <w:rsid w:val="0056705F"/>
    <w:rsid w:val="00571318"/>
    <w:rsid w:val="005719E5"/>
    <w:rsid w:val="005729AB"/>
    <w:rsid w:val="0057724A"/>
    <w:rsid w:val="0057747F"/>
    <w:rsid w:val="00582C7E"/>
    <w:rsid w:val="00585CC3"/>
    <w:rsid w:val="00586031"/>
    <w:rsid w:val="00587BE3"/>
    <w:rsid w:val="00595DA5"/>
    <w:rsid w:val="005962C4"/>
    <w:rsid w:val="005A0B74"/>
    <w:rsid w:val="005A0C6B"/>
    <w:rsid w:val="005A0E46"/>
    <w:rsid w:val="005A1684"/>
    <w:rsid w:val="005A186C"/>
    <w:rsid w:val="005A1ABE"/>
    <w:rsid w:val="005A32D5"/>
    <w:rsid w:val="005A6D3D"/>
    <w:rsid w:val="005A7748"/>
    <w:rsid w:val="005B1D7E"/>
    <w:rsid w:val="005B3342"/>
    <w:rsid w:val="005C08F4"/>
    <w:rsid w:val="005C2258"/>
    <w:rsid w:val="005C43A1"/>
    <w:rsid w:val="005C46DB"/>
    <w:rsid w:val="005D3D97"/>
    <w:rsid w:val="005D6F1E"/>
    <w:rsid w:val="005E20E7"/>
    <w:rsid w:val="005E311E"/>
    <w:rsid w:val="005E7CF1"/>
    <w:rsid w:val="005F21DE"/>
    <w:rsid w:val="005F5DEE"/>
    <w:rsid w:val="005F7400"/>
    <w:rsid w:val="00601C7D"/>
    <w:rsid w:val="006057D2"/>
    <w:rsid w:val="00612B3A"/>
    <w:rsid w:val="00616A0A"/>
    <w:rsid w:val="00621DC9"/>
    <w:rsid w:val="006255F1"/>
    <w:rsid w:val="00626C38"/>
    <w:rsid w:val="00626F8E"/>
    <w:rsid w:val="006338A6"/>
    <w:rsid w:val="006347BC"/>
    <w:rsid w:val="0063662B"/>
    <w:rsid w:val="0063783D"/>
    <w:rsid w:val="00640DDB"/>
    <w:rsid w:val="0064141E"/>
    <w:rsid w:val="00642F54"/>
    <w:rsid w:val="006446DB"/>
    <w:rsid w:val="00662EE3"/>
    <w:rsid w:val="00670380"/>
    <w:rsid w:val="00671802"/>
    <w:rsid w:val="00682534"/>
    <w:rsid w:val="00684F85"/>
    <w:rsid w:val="006865DA"/>
    <w:rsid w:val="00686EC2"/>
    <w:rsid w:val="006916CA"/>
    <w:rsid w:val="0069575A"/>
    <w:rsid w:val="006A0CAB"/>
    <w:rsid w:val="006A5A86"/>
    <w:rsid w:val="006A744F"/>
    <w:rsid w:val="006B4D96"/>
    <w:rsid w:val="006B4DBE"/>
    <w:rsid w:val="006B4E30"/>
    <w:rsid w:val="006B6229"/>
    <w:rsid w:val="006B6519"/>
    <w:rsid w:val="006B6F71"/>
    <w:rsid w:val="006B72A7"/>
    <w:rsid w:val="006B7447"/>
    <w:rsid w:val="006C2A46"/>
    <w:rsid w:val="006D1D1C"/>
    <w:rsid w:val="006D4383"/>
    <w:rsid w:val="006D5807"/>
    <w:rsid w:val="006D7338"/>
    <w:rsid w:val="006E1037"/>
    <w:rsid w:val="006E2FE3"/>
    <w:rsid w:val="006E5267"/>
    <w:rsid w:val="006F59C3"/>
    <w:rsid w:val="006F774D"/>
    <w:rsid w:val="00705660"/>
    <w:rsid w:val="007057AC"/>
    <w:rsid w:val="00712975"/>
    <w:rsid w:val="00712D86"/>
    <w:rsid w:val="00712EA3"/>
    <w:rsid w:val="00723033"/>
    <w:rsid w:val="007234C4"/>
    <w:rsid w:val="007247A8"/>
    <w:rsid w:val="007253F3"/>
    <w:rsid w:val="00725F2D"/>
    <w:rsid w:val="007313DC"/>
    <w:rsid w:val="0074009C"/>
    <w:rsid w:val="00741024"/>
    <w:rsid w:val="007549EB"/>
    <w:rsid w:val="00755D34"/>
    <w:rsid w:val="00767758"/>
    <w:rsid w:val="007731DC"/>
    <w:rsid w:val="0077356E"/>
    <w:rsid w:val="00773B9C"/>
    <w:rsid w:val="00781191"/>
    <w:rsid w:val="0078480E"/>
    <w:rsid w:val="007849C2"/>
    <w:rsid w:val="00785DFC"/>
    <w:rsid w:val="00787632"/>
    <w:rsid w:val="0079001F"/>
    <w:rsid w:val="0079079B"/>
    <w:rsid w:val="007909AD"/>
    <w:rsid w:val="00795B49"/>
    <w:rsid w:val="007968FA"/>
    <w:rsid w:val="007A23CA"/>
    <w:rsid w:val="007A34D8"/>
    <w:rsid w:val="007A5486"/>
    <w:rsid w:val="007B3D01"/>
    <w:rsid w:val="007B4005"/>
    <w:rsid w:val="007B4A83"/>
    <w:rsid w:val="007B709B"/>
    <w:rsid w:val="007B7A38"/>
    <w:rsid w:val="007C0D98"/>
    <w:rsid w:val="007D1EE8"/>
    <w:rsid w:val="007D5510"/>
    <w:rsid w:val="007E7BB6"/>
    <w:rsid w:val="007F69E5"/>
    <w:rsid w:val="00800E6B"/>
    <w:rsid w:val="00802AFA"/>
    <w:rsid w:val="00803425"/>
    <w:rsid w:val="00804B92"/>
    <w:rsid w:val="00807937"/>
    <w:rsid w:val="00807DED"/>
    <w:rsid w:val="008133EA"/>
    <w:rsid w:val="00813F86"/>
    <w:rsid w:val="008141F8"/>
    <w:rsid w:val="008141FD"/>
    <w:rsid w:val="008144DC"/>
    <w:rsid w:val="008152B0"/>
    <w:rsid w:val="00817EBD"/>
    <w:rsid w:val="008261A5"/>
    <w:rsid w:val="00826961"/>
    <w:rsid w:val="00835707"/>
    <w:rsid w:val="00837B82"/>
    <w:rsid w:val="008407E8"/>
    <w:rsid w:val="00841256"/>
    <w:rsid w:val="008412F6"/>
    <w:rsid w:val="008466EE"/>
    <w:rsid w:val="00846B68"/>
    <w:rsid w:val="008627C2"/>
    <w:rsid w:val="00863956"/>
    <w:rsid w:val="00865838"/>
    <w:rsid w:val="00866188"/>
    <w:rsid w:val="008679E6"/>
    <w:rsid w:val="00867AE2"/>
    <w:rsid w:val="00872F0D"/>
    <w:rsid w:val="0087436D"/>
    <w:rsid w:val="00877F72"/>
    <w:rsid w:val="008820BE"/>
    <w:rsid w:val="008850E4"/>
    <w:rsid w:val="00887E35"/>
    <w:rsid w:val="00896E6F"/>
    <w:rsid w:val="008A083A"/>
    <w:rsid w:val="008A15C7"/>
    <w:rsid w:val="008A2EE4"/>
    <w:rsid w:val="008A58D3"/>
    <w:rsid w:val="008B0FC7"/>
    <w:rsid w:val="008B12A5"/>
    <w:rsid w:val="008B3C19"/>
    <w:rsid w:val="008B49FA"/>
    <w:rsid w:val="008B7AB3"/>
    <w:rsid w:val="008C1C87"/>
    <w:rsid w:val="008C573E"/>
    <w:rsid w:val="008C5C8E"/>
    <w:rsid w:val="008C6718"/>
    <w:rsid w:val="008D2469"/>
    <w:rsid w:val="008D571D"/>
    <w:rsid w:val="008D75E5"/>
    <w:rsid w:val="008D7C72"/>
    <w:rsid w:val="008E59E0"/>
    <w:rsid w:val="008E71BD"/>
    <w:rsid w:val="008E71E6"/>
    <w:rsid w:val="008E7DAF"/>
    <w:rsid w:val="008F1186"/>
    <w:rsid w:val="008F2BFE"/>
    <w:rsid w:val="008F414C"/>
    <w:rsid w:val="0090446E"/>
    <w:rsid w:val="00904607"/>
    <w:rsid w:val="00906844"/>
    <w:rsid w:val="00906A23"/>
    <w:rsid w:val="00912DB1"/>
    <w:rsid w:val="0091356C"/>
    <w:rsid w:val="009150C4"/>
    <w:rsid w:val="00924B5C"/>
    <w:rsid w:val="009302B0"/>
    <w:rsid w:val="009319BA"/>
    <w:rsid w:val="00931CC4"/>
    <w:rsid w:val="00943446"/>
    <w:rsid w:val="00945113"/>
    <w:rsid w:val="00945D2C"/>
    <w:rsid w:val="00945DB7"/>
    <w:rsid w:val="00953E66"/>
    <w:rsid w:val="00955D3C"/>
    <w:rsid w:val="009572EA"/>
    <w:rsid w:val="0096162E"/>
    <w:rsid w:val="00961C66"/>
    <w:rsid w:val="00965CA9"/>
    <w:rsid w:val="009666A2"/>
    <w:rsid w:val="00971012"/>
    <w:rsid w:val="00975B17"/>
    <w:rsid w:val="00977EAB"/>
    <w:rsid w:val="00981743"/>
    <w:rsid w:val="00984A19"/>
    <w:rsid w:val="009869AA"/>
    <w:rsid w:val="00987A46"/>
    <w:rsid w:val="00990253"/>
    <w:rsid w:val="009908CD"/>
    <w:rsid w:val="009928A8"/>
    <w:rsid w:val="00994E68"/>
    <w:rsid w:val="009A311F"/>
    <w:rsid w:val="009A4C63"/>
    <w:rsid w:val="009A7A0E"/>
    <w:rsid w:val="009B09FA"/>
    <w:rsid w:val="009C0994"/>
    <w:rsid w:val="009C2A8E"/>
    <w:rsid w:val="009C2FCF"/>
    <w:rsid w:val="009C538D"/>
    <w:rsid w:val="009D3245"/>
    <w:rsid w:val="009D5DB3"/>
    <w:rsid w:val="009D7D39"/>
    <w:rsid w:val="009E2A9F"/>
    <w:rsid w:val="009E68EA"/>
    <w:rsid w:val="009E73CF"/>
    <w:rsid w:val="009F0B02"/>
    <w:rsid w:val="009F10D0"/>
    <w:rsid w:val="009F3A85"/>
    <w:rsid w:val="009F4DB8"/>
    <w:rsid w:val="00A00BF1"/>
    <w:rsid w:val="00A010F0"/>
    <w:rsid w:val="00A04C23"/>
    <w:rsid w:val="00A05730"/>
    <w:rsid w:val="00A13DBB"/>
    <w:rsid w:val="00A1663C"/>
    <w:rsid w:val="00A17060"/>
    <w:rsid w:val="00A1723B"/>
    <w:rsid w:val="00A17AB1"/>
    <w:rsid w:val="00A2371C"/>
    <w:rsid w:val="00A23A00"/>
    <w:rsid w:val="00A23A5C"/>
    <w:rsid w:val="00A24CDB"/>
    <w:rsid w:val="00A251E3"/>
    <w:rsid w:val="00A274C6"/>
    <w:rsid w:val="00A307F4"/>
    <w:rsid w:val="00A332E7"/>
    <w:rsid w:val="00A35BA8"/>
    <w:rsid w:val="00A35D92"/>
    <w:rsid w:val="00A42F65"/>
    <w:rsid w:val="00A4515F"/>
    <w:rsid w:val="00A50EA2"/>
    <w:rsid w:val="00A55B67"/>
    <w:rsid w:val="00A56257"/>
    <w:rsid w:val="00A56D0A"/>
    <w:rsid w:val="00A57EA9"/>
    <w:rsid w:val="00A6005B"/>
    <w:rsid w:val="00A61506"/>
    <w:rsid w:val="00A64BE9"/>
    <w:rsid w:val="00A66319"/>
    <w:rsid w:val="00A67046"/>
    <w:rsid w:val="00A70691"/>
    <w:rsid w:val="00A74687"/>
    <w:rsid w:val="00A7706C"/>
    <w:rsid w:val="00A820E3"/>
    <w:rsid w:val="00A838CA"/>
    <w:rsid w:val="00A857D3"/>
    <w:rsid w:val="00A87B1A"/>
    <w:rsid w:val="00A909DE"/>
    <w:rsid w:val="00A92CFE"/>
    <w:rsid w:val="00A96CE7"/>
    <w:rsid w:val="00AA4A6F"/>
    <w:rsid w:val="00AA5A87"/>
    <w:rsid w:val="00AA5BF1"/>
    <w:rsid w:val="00AA61D9"/>
    <w:rsid w:val="00AB5D9C"/>
    <w:rsid w:val="00AC2449"/>
    <w:rsid w:val="00AC2BCA"/>
    <w:rsid w:val="00AC2BF2"/>
    <w:rsid w:val="00AC2C26"/>
    <w:rsid w:val="00AC56D9"/>
    <w:rsid w:val="00AC5CA7"/>
    <w:rsid w:val="00AE22A3"/>
    <w:rsid w:val="00AE4F8E"/>
    <w:rsid w:val="00AE5AB7"/>
    <w:rsid w:val="00AE5D13"/>
    <w:rsid w:val="00AF143F"/>
    <w:rsid w:val="00AF2692"/>
    <w:rsid w:val="00AF3D24"/>
    <w:rsid w:val="00AF5DB1"/>
    <w:rsid w:val="00B12C99"/>
    <w:rsid w:val="00B13DAE"/>
    <w:rsid w:val="00B15098"/>
    <w:rsid w:val="00B16DDB"/>
    <w:rsid w:val="00B17527"/>
    <w:rsid w:val="00B2321D"/>
    <w:rsid w:val="00B239E2"/>
    <w:rsid w:val="00B24C0D"/>
    <w:rsid w:val="00B26429"/>
    <w:rsid w:val="00B317CE"/>
    <w:rsid w:val="00B31EA2"/>
    <w:rsid w:val="00B32D40"/>
    <w:rsid w:val="00B352F2"/>
    <w:rsid w:val="00B40FE0"/>
    <w:rsid w:val="00B42082"/>
    <w:rsid w:val="00B50DAA"/>
    <w:rsid w:val="00B514E0"/>
    <w:rsid w:val="00B544E0"/>
    <w:rsid w:val="00B54D4E"/>
    <w:rsid w:val="00B57A36"/>
    <w:rsid w:val="00B6495E"/>
    <w:rsid w:val="00B66DB9"/>
    <w:rsid w:val="00B710AF"/>
    <w:rsid w:val="00B72548"/>
    <w:rsid w:val="00B753A0"/>
    <w:rsid w:val="00B75489"/>
    <w:rsid w:val="00B7570E"/>
    <w:rsid w:val="00B7608D"/>
    <w:rsid w:val="00B8166F"/>
    <w:rsid w:val="00B87297"/>
    <w:rsid w:val="00B9349D"/>
    <w:rsid w:val="00B96D77"/>
    <w:rsid w:val="00BA5CC1"/>
    <w:rsid w:val="00BA72BC"/>
    <w:rsid w:val="00BB36F5"/>
    <w:rsid w:val="00BB5523"/>
    <w:rsid w:val="00BB5EAC"/>
    <w:rsid w:val="00BB7B6B"/>
    <w:rsid w:val="00BC0660"/>
    <w:rsid w:val="00BC2166"/>
    <w:rsid w:val="00BC3753"/>
    <w:rsid w:val="00BC7A17"/>
    <w:rsid w:val="00BD0C95"/>
    <w:rsid w:val="00BD617C"/>
    <w:rsid w:val="00BD7293"/>
    <w:rsid w:val="00BE4181"/>
    <w:rsid w:val="00BE7C61"/>
    <w:rsid w:val="00BF04A4"/>
    <w:rsid w:val="00BF0E86"/>
    <w:rsid w:val="00BF6293"/>
    <w:rsid w:val="00BF7E0D"/>
    <w:rsid w:val="00C04D2A"/>
    <w:rsid w:val="00C0652E"/>
    <w:rsid w:val="00C06DFB"/>
    <w:rsid w:val="00C0752E"/>
    <w:rsid w:val="00C100EA"/>
    <w:rsid w:val="00C1016C"/>
    <w:rsid w:val="00C1518A"/>
    <w:rsid w:val="00C166D6"/>
    <w:rsid w:val="00C208E9"/>
    <w:rsid w:val="00C22A5C"/>
    <w:rsid w:val="00C25F23"/>
    <w:rsid w:val="00C26833"/>
    <w:rsid w:val="00C26991"/>
    <w:rsid w:val="00C3751C"/>
    <w:rsid w:val="00C43DF0"/>
    <w:rsid w:val="00C44F81"/>
    <w:rsid w:val="00C47814"/>
    <w:rsid w:val="00C47890"/>
    <w:rsid w:val="00C577B9"/>
    <w:rsid w:val="00C61A8D"/>
    <w:rsid w:val="00C62D37"/>
    <w:rsid w:val="00C63EEA"/>
    <w:rsid w:val="00C64899"/>
    <w:rsid w:val="00C65FDA"/>
    <w:rsid w:val="00C6631A"/>
    <w:rsid w:val="00C72B00"/>
    <w:rsid w:val="00C73EB4"/>
    <w:rsid w:val="00C740E7"/>
    <w:rsid w:val="00C75498"/>
    <w:rsid w:val="00C7656D"/>
    <w:rsid w:val="00C77231"/>
    <w:rsid w:val="00C8634A"/>
    <w:rsid w:val="00C919ED"/>
    <w:rsid w:val="00C93E55"/>
    <w:rsid w:val="00C952EC"/>
    <w:rsid w:val="00C97D1B"/>
    <w:rsid w:val="00CA359C"/>
    <w:rsid w:val="00CA65F6"/>
    <w:rsid w:val="00CA6C40"/>
    <w:rsid w:val="00CB099B"/>
    <w:rsid w:val="00CB17D3"/>
    <w:rsid w:val="00CB5993"/>
    <w:rsid w:val="00CC4730"/>
    <w:rsid w:val="00CC6714"/>
    <w:rsid w:val="00CD41B5"/>
    <w:rsid w:val="00CE439D"/>
    <w:rsid w:val="00CE6DB7"/>
    <w:rsid w:val="00CF2507"/>
    <w:rsid w:val="00CF51CB"/>
    <w:rsid w:val="00CF6A96"/>
    <w:rsid w:val="00D03F1F"/>
    <w:rsid w:val="00D06EC8"/>
    <w:rsid w:val="00D1029C"/>
    <w:rsid w:val="00D111A3"/>
    <w:rsid w:val="00D12A4E"/>
    <w:rsid w:val="00D1382B"/>
    <w:rsid w:val="00D14DDA"/>
    <w:rsid w:val="00D15945"/>
    <w:rsid w:val="00D174A1"/>
    <w:rsid w:val="00D20279"/>
    <w:rsid w:val="00D217FD"/>
    <w:rsid w:val="00D24471"/>
    <w:rsid w:val="00D246FB"/>
    <w:rsid w:val="00D274ED"/>
    <w:rsid w:val="00D316CC"/>
    <w:rsid w:val="00D33655"/>
    <w:rsid w:val="00D41605"/>
    <w:rsid w:val="00D42966"/>
    <w:rsid w:val="00D43887"/>
    <w:rsid w:val="00D47E7D"/>
    <w:rsid w:val="00D543FC"/>
    <w:rsid w:val="00D54407"/>
    <w:rsid w:val="00D56843"/>
    <w:rsid w:val="00D62C85"/>
    <w:rsid w:val="00D634D3"/>
    <w:rsid w:val="00D63EC6"/>
    <w:rsid w:val="00D6418E"/>
    <w:rsid w:val="00D67BAF"/>
    <w:rsid w:val="00D67ED5"/>
    <w:rsid w:val="00D70036"/>
    <w:rsid w:val="00D72282"/>
    <w:rsid w:val="00D72563"/>
    <w:rsid w:val="00D72777"/>
    <w:rsid w:val="00D72AD0"/>
    <w:rsid w:val="00D741A7"/>
    <w:rsid w:val="00D76774"/>
    <w:rsid w:val="00D769D9"/>
    <w:rsid w:val="00D8197C"/>
    <w:rsid w:val="00D81F45"/>
    <w:rsid w:val="00D82F8D"/>
    <w:rsid w:val="00D831D3"/>
    <w:rsid w:val="00D9016E"/>
    <w:rsid w:val="00D9186A"/>
    <w:rsid w:val="00D93A09"/>
    <w:rsid w:val="00D97383"/>
    <w:rsid w:val="00DB345D"/>
    <w:rsid w:val="00DB3D4B"/>
    <w:rsid w:val="00DB575B"/>
    <w:rsid w:val="00DB6FF3"/>
    <w:rsid w:val="00DC031D"/>
    <w:rsid w:val="00DC3869"/>
    <w:rsid w:val="00DC3F41"/>
    <w:rsid w:val="00DC4F9D"/>
    <w:rsid w:val="00DC66B3"/>
    <w:rsid w:val="00DC7000"/>
    <w:rsid w:val="00DC7846"/>
    <w:rsid w:val="00DD3BAC"/>
    <w:rsid w:val="00DE41E8"/>
    <w:rsid w:val="00DE677A"/>
    <w:rsid w:val="00DE6D19"/>
    <w:rsid w:val="00E1124A"/>
    <w:rsid w:val="00E113E7"/>
    <w:rsid w:val="00E11E77"/>
    <w:rsid w:val="00E13BAA"/>
    <w:rsid w:val="00E20B02"/>
    <w:rsid w:val="00E21CD9"/>
    <w:rsid w:val="00E22D8A"/>
    <w:rsid w:val="00E27081"/>
    <w:rsid w:val="00E30097"/>
    <w:rsid w:val="00E32685"/>
    <w:rsid w:val="00E356A9"/>
    <w:rsid w:val="00E36FA4"/>
    <w:rsid w:val="00E40228"/>
    <w:rsid w:val="00E4300A"/>
    <w:rsid w:val="00E43144"/>
    <w:rsid w:val="00E548F3"/>
    <w:rsid w:val="00E54E94"/>
    <w:rsid w:val="00E56BB3"/>
    <w:rsid w:val="00E60AE4"/>
    <w:rsid w:val="00E60D5C"/>
    <w:rsid w:val="00E61611"/>
    <w:rsid w:val="00E64DB4"/>
    <w:rsid w:val="00E657B2"/>
    <w:rsid w:val="00E65BE5"/>
    <w:rsid w:val="00E6706B"/>
    <w:rsid w:val="00E80001"/>
    <w:rsid w:val="00E81285"/>
    <w:rsid w:val="00E852CF"/>
    <w:rsid w:val="00E92C8E"/>
    <w:rsid w:val="00E94327"/>
    <w:rsid w:val="00E95392"/>
    <w:rsid w:val="00EA1D7E"/>
    <w:rsid w:val="00EA22E5"/>
    <w:rsid w:val="00EA56B8"/>
    <w:rsid w:val="00EA694E"/>
    <w:rsid w:val="00EB0614"/>
    <w:rsid w:val="00EB0BA1"/>
    <w:rsid w:val="00EB69BF"/>
    <w:rsid w:val="00EC2BC7"/>
    <w:rsid w:val="00EC35DF"/>
    <w:rsid w:val="00EC55A1"/>
    <w:rsid w:val="00ED1BA9"/>
    <w:rsid w:val="00ED3858"/>
    <w:rsid w:val="00ED68E4"/>
    <w:rsid w:val="00EE3A1B"/>
    <w:rsid w:val="00EE424A"/>
    <w:rsid w:val="00EF1F08"/>
    <w:rsid w:val="00EF7D8B"/>
    <w:rsid w:val="00F05494"/>
    <w:rsid w:val="00F07AAB"/>
    <w:rsid w:val="00F11CEF"/>
    <w:rsid w:val="00F11ECE"/>
    <w:rsid w:val="00F13C5A"/>
    <w:rsid w:val="00F20732"/>
    <w:rsid w:val="00F21458"/>
    <w:rsid w:val="00F226D1"/>
    <w:rsid w:val="00F22DC9"/>
    <w:rsid w:val="00F258F8"/>
    <w:rsid w:val="00F3228D"/>
    <w:rsid w:val="00F331D8"/>
    <w:rsid w:val="00F376C6"/>
    <w:rsid w:val="00F407F5"/>
    <w:rsid w:val="00F40E72"/>
    <w:rsid w:val="00F421C0"/>
    <w:rsid w:val="00F44E99"/>
    <w:rsid w:val="00F45A6F"/>
    <w:rsid w:val="00F50BAD"/>
    <w:rsid w:val="00F50C6F"/>
    <w:rsid w:val="00F51000"/>
    <w:rsid w:val="00F5594C"/>
    <w:rsid w:val="00F56280"/>
    <w:rsid w:val="00F57BE8"/>
    <w:rsid w:val="00F61167"/>
    <w:rsid w:val="00F6236A"/>
    <w:rsid w:val="00F64D88"/>
    <w:rsid w:val="00F660F2"/>
    <w:rsid w:val="00F66943"/>
    <w:rsid w:val="00F66FC5"/>
    <w:rsid w:val="00F76B4C"/>
    <w:rsid w:val="00F81D34"/>
    <w:rsid w:val="00F81FF5"/>
    <w:rsid w:val="00F82407"/>
    <w:rsid w:val="00F83179"/>
    <w:rsid w:val="00F90CFF"/>
    <w:rsid w:val="00F92DAC"/>
    <w:rsid w:val="00F93DE2"/>
    <w:rsid w:val="00F96F38"/>
    <w:rsid w:val="00FA1B78"/>
    <w:rsid w:val="00FA3AB5"/>
    <w:rsid w:val="00FA420A"/>
    <w:rsid w:val="00FA565B"/>
    <w:rsid w:val="00FC0102"/>
    <w:rsid w:val="00FC39A5"/>
    <w:rsid w:val="00FC5EAA"/>
    <w:rsid w:val="00FC7B18"/>
    <w:rsid w:val="00FD2294"/>
    <w:rsid w:val="00FE251E"/>
    <w:rsid w:val="00FE74E6"/>
    <w:rsid w:val="00FF1E29"/>
    <w:rsid w:val="00FF2AED"/>
    <w:rsid w:val="00FF4788"/>
    <w:rsid w:val="00FF4E70"/>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F710F31"/>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qFormat/>
    <w:rsid w:val="00F61167"/>
    <w:pPr>
      <w:numPr>
        <w:numId w:val="1"/>
      </w:numPr>
      <w:ind w:left="720" w:hanging="720"/>
      <w:outlineLvl w:val="0"/>
    </w:pPr>
    <w:rPr>
      <w:kern w:val="28"/>
    </w:rPr>
  </w:style>
  <w:style w:type="paragraph" w:styleId="Heading2">
    <w:name w:val="heading 2"/>
    <w:basedOn w:val="Normal"/>
    <w:next w:val="Normal"/>
    <w:link w:val="Heading2Char"/>
    <w:qFormat/>
    <w:rsid w:val="00F61167"/>
    <w:pPr>
      <w:numPr>
        <w:ilvl w:val="1"/>
        <w:numId w:val="1"/>
      </w:numPr>
      <w:ind w:left="720" w:hanging="720"/>
      <w:outlineLvl w:val="1"/>
    </w:pPr>
  </w:style>
  <w:style w:type="paragraph" w:styleId="Heading3">
    <w:name w:val="heading 3"/>
    <w:basedOn w:val="Normal"/>
    <w:next w:val="Normal"/>
    <w:link w:val="Heading3Char"/>
    <w:qFormat/>
    <w:rsid w:val="00F61167"/>
    <w:pPr>
      <w:numPr>
        <w:ilvl w:val="2"/>
        <w:numId w:val="1"/>
      </w:numPr>
      <w:ind w:left="720" w:hanging="720"/>
      <w:outlineLvl w:val="2"/>
    </w:pPr>
  </w:style>
  <w:style w:type="paragraph" w:styleId="Heading4">
    <w:name w:val="heading 4"/>
    <w:basedOn w:val="Normal"/>
    <w:next w:val="Normal"/>
    <w:link w:val="Heading4Char"/>
    <w:qFormat/>
    <w:rsid w:val="00F61167"/>
    <w:pPr>
      <w:numPr>
        <w:ilvl w:val="3"/>
        <w:numId w:val="1"/>
      </w:numPr>
      <w:ind w:left="720" w:hanging="720"/>
      <w:outlineLvl w:val="3"/>
    </w:pPr>
  </w:style>
  <w:style w:type="paragraph" w:styleId="Heading5">
    <w:name w:val="heading 5"/>
    <w:basedOn w:val="Normal"/>
    <w:next w:val="Normal"/>
    <w:link w:val="Heading5Char"/>
    <w:qFormat/>
    <w:rsid w:val="00F61167"/>
    <w:pPr>
      <w:numPr>
        <w:ilvl w:val="4"/>
        <w:numId w:val="1"/>
      </w:numPr>
      <w:ind w:left="720" w:hanging="720"/>
      <w:outlineLvl w:val="4"/>
    </w:pPr>
  </w:style>
  <w:style w:type="paragraph" w:styleId="Heading6">
    <w:name w:val="heading 6"/>
    <w:basedOn w:val="Normal"/>
    <w:next w:val="Normal"/>
    <w:link w:val="Heading6Char"/>
    <w:qFormat/>
    <w:rsid w:val="00F61167"/>
    <w:pPr>
      <w:numPr>
        <w:ilvl w:val="5"/>
        <w:numId w:val="1"/>
      </w:numPr>
      <w:ind w:left="720" w:hanging="720"/>
      <w:outlineLvl w:val="5"/>
    </w:pPr>
  </w:style>
  <w:style w:type="paragraph" w:styleId="Heading7">
    <w:name w:val="heading 7"/>
    <w:basedOn w:val="Normal"/>
    <w:next w:val="Normal"/>
    <w:link w:val="Heading7Char"/>
    <w:qFormat/>
    <w:rsid w:val="00F61167"/>
    <w:pPr>
      <w:numPr>
        <w:ilvl w:val="6"/>
        <w:numId w:val="1"/>
      </w:numPr>
      <w:ind w:left="720" w:hanging="720"/>
      <w:outlineLvl w:val="6"/>
    </w:pPr>
  </w:style>
  <w:style w:type="paragraph" w:styleId="Heading8">
    <w:name w:val="heading 8"/>
    <w:basedOn w:val="Normal"/>
    <w:next w:val="Normal"/>
    <w:link w:val="Heading8Char"/>
    <w:qFormat/>
    <w:rsid w:val="00F61167"/>
    <w:pPr>
      <w:numPr>
        <w:ilvl w:val="7"/>
        <w:numId w:val="1"/>
      </w:numPr>
      <w:ind w:left="720" w:hanging="720"/>
      <w:outlineLvl w:val="7"/>
    </w:pPr>
  </w:style>
  <w:style w:type="paragraph" w:styleId="Heading9">
    <w:name w:val="heading 9"/>
    <w:basedOn w:val="Normal"/>
    <w:next w:val="Normal"/>
    <w:link w:val="Heading9Char"/>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s-ES"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s-ES"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s-ES"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s-ES"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s-ES"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s-ES"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s-ES"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s-ES"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s-ES"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s-ES"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s-ES"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s-ES"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s-ES" w:eastAsia="en-US"/>
    </w:rPr>
  </w:style>
  <w:style w:type="table" w:styleId="TableGrid">
    <w:name w:val="Table Grid"/>
    <w:basedOn w:val="TableNormal"/>
    <w:uiPriority w:val="59"/>
    <w:rsid w:val="00BD72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1611"/>
    <w:rPr>
      <w:sz w:val="22"/>
      <w:lang w:eastAsia="en-US"/>
    </w:rPr>
  </w:style>
  <w:style w:type="character" w:styleId="CommentReference">
    <w:name w:val="annotation reference"/>
    <w:basedOn w:val="DefaultParagraphFont"/>
    <w:semiHidden/>
    <w:unhideWhenUsed/>
    <w:rsid w:val="00E61611"/>
    <w:rPr>
      <w:sz w:val="16"/>
      <w:szCs w:val="16"/>
    </w:rPr>
  </w:style>
  <w:style w:type="paragraph" w:styleId="CommentText">
    <w:name w:val="annotation text"/>
    <w:basedOn w:val="Normal"/>
    <w:link w:val="CommentTextChar"/>
    <w:unhideWhenUsed/>
    <w:rsid w:val="00E61611"/>
    <w:pPr>
      <w:spacing w:line="240" w:lineRule="auto"/>
    </w:pPr>
    <w:rPr>
      <w:sz w:val="20"/>
    </w:rPr>
  </w:style>
  <w:style w:type="character" w:customStyle="1" w:styleId="CommentTextChar">
    <w:name w:val="Comment Text Char"/>
    <w:basedOn w:val="DefaultParagraphFont"/>
    <w:link w:val="CommentText"/>
    <w:rsid w:val="00E61611"/>
    <w:rPr>
      <w:lang w:val="es-ES" w:eastAsia="en-US"/>
    </w:rPr>
  </w:style>
  <w:style w:type="paragraph" w:styleId="CommentSubject">
    <w:name w:val="annotation subject"/>
    <w:basedOn w:val="CommentText"/>
    <w:next w:val="CommentText"/>
    <w:link w:val="CommentSubjectChar"/>
    <w:semiHidden/>
    <w:unhideWhenUsed/>
    <w:rsid w:val="00E61611"/>
    <w:rPr>
      <w:b/>
      <w:bCs/>
    </w:rPr>
  </w:style>
  <w:style w:type="character" w:customStyle="1" w:styleId="CommentSubjectChar">
    <w:name w:val="Comment Subject Char"/>
    <w:basedOn w:val="CommentTextChar"/>
    <w:link w:val="CommentSubject"/>
    <w:semiHidden/>
    <w:rsid w:val="00E61611"/>
    <w:rPr>
      <w:b/>
      <w:bCs/>
      <w:lang w:val="es-ES" w:eastAsia="en-US"/>
    </w:rPr>
  </w:style>
  <w:style w:type="paragraph" w:styleId="ListParagraph">
    <w:name w:val="List Paragraph"/>
    <w:basedOn w:val="Normal"/>
    <w:uiPriority w:val="34"/>
    <w:qFormat/>
    <w:rsid w:val="00D76774"/>
    <w:pPr>
      <w:overflowPunct/>
      <w:autoSpaceDE/>
      <w:autoSpaceDN/>
      <w:adjustRightInd/>
      <w:spacing w:line="240" w:lineRule="auto"/>
      <w:ind w:left="720"/>
      <w:jc w:val="left"/>
      <w:textAlignment w:val="auto"/>
    </w:pPr>
    <w:rPr>
      <w:rFonts w:ascii="Calibri" w:eastAsiaTheme="minorHAnsi" w:hAnsi="Calibri" w:cs="Calibri"/>
      <w:szCs w:val="22"/>
      <w:lang w:eastAsia="fr-BE"/>
    </w:rPr>
  </w:style>
  <w:style w:type="character" w:customStyle="1" w:styleId="UnresolvedMention1">
    <w:name w:val="Unresolved Mention1"/>
    <w:basedOn w:val="DefaultParagraphFont"/>
    <w:uiPriority w:val="99"/>
    <w:semiHidden/>
    <w:unhideWhenUsed/>
    <w:rsid w:val="00D76774"/>
    <w:rPr>
      <w:color w:val="605E5C"/>
      <w:shd w:val="clear" w:color="auto" w:fill="E1DFDD"/>
    </w:rPr>
  </w:style>
  <w:style w:type="character" w:customStyle="1" w:styleId="UnresolvedMention2">
    <w:name w:val="Unresolved Mention2"/>
    <w:basedOn w:val="DefaultParagraphFont"/>
    <w:uiPriority w:val="99"/>
    <w:semiHidden/>
    <w:unhideWhenUsed/>
    <w:rsid w:val="00616A0A"/>
    <w:rPr>
      <w:color w:val="605E5C"/>
      <w:shd w:val="clear" w:color="auto" w:fill="E1DFDD"/>
    </w:rPr>
  </w:style>
  <w:style w:type="paragraph" w:styleId="NormalWeb">
    <w:name w:val="Normal (Web)"/>
    <w:basedOn w:val="Normal"/>
    <w:uiPriority w:val="99"/>
    <w:semiHidden/>
    <w:unhideWhenUsed/>
    <w:rsid w:val="00E43144"/>
    <w:pPr>
      <w:overflowPunct/>
      <w:autoSpaceDE/>
      <w:autoSpaceDN/>
      <w:adjustRightInd/>
      <w:spacing w:line="240" w:lineRule="auto"/>
      <w:jc w:val="left"/>
      <w:textAlignment w:val="auto"/>
    </w:pPr>
    <w:rPr>
      <w:rFonts w:ascii="Calibri" w:eastAsiaTheme="minorHAnsi" w:hAnsi="Calibri" w:cs="Calibri"/>
      <w:szCs w:val="22"/>
      <w:lang w:eastAsia="fr-BE"/>
    </w:rPr>
  </w:style>
  <w:style w:type="character" w:customStyle="1" w:styleId="UnresolvedMention3">
    <w:name w:val="Unresolved Mention3"/>
    <w:basedOn w:val="DefaultParagraphFont"/>
    <w:uiPriority w:val="99"/>
    <w:semiHidden/>
    <w:unhideWhenUsed/>
    <w:rsid w:val="009C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1254">
      <w:bodyDiv w:val="1"/>
      <w:marLeft w:val="0"/>
      <w:marRight w:val="0"/>
      <w:marTop w:val="0"/>
      <w:marBottom w:val="0"/>
      <w:divBdr>
        <w:top w:val="none" w:sz="0" w:space="0" w:color="auto"/>
        <w:left w:val="none" w:sz="0" w:space="0" w:color="auto"/>
        <w:bottom w:val="none" w:sz="0" w:space="0" w:color="auto"/>
        <w:right w:val="none" w:sz="0" w:space="0" w:color="auto"/>
      </w:divBdr>
    </w:div>
    <w:div w:id="120659851">
      <w:bodyDiv w:val="1"/>
      <w:marLeft w:val="0"/>
      <w:marRight w:val="0"/>
      <w:marTop w:val="0"/>
      <w:marBottom w:val="0"/>
      <w:divBdr>
        <w:top w:val="none" w:sz="0" w:space="0" w:color="auto"/>
        <w:left w:val="none" w:sz="0" w:space="0" w:color="auto"/>
        <w:bottom w:val="none" w:sz="0" w:space="0" w:color="auto"/>
        <w:right w:val="none" w:sz="0" w:space="0" w:color="auto"/>
      </w:divBdr>
    </w:div>
    <w:div w:id="493841491">
      <w:bodyDiv w:val="1"/>
      <w:marLeft w:val="0"/>
      <w:marRight w:val="0"/>
      <w:marTop w:val="0"/>
      <w:marBottom w:val="0"/>
      <w:divBdr>
        <w:top w:val="none" w:sz="0" w:space="0" w:color="auto"/>
        <w:left w:val="none" w:sz="0" w:space="0" w:color="auto"/>
        <w:bottom w:val="none" w:sz="0" w:space="0" w:color="auto"/>
        <w:right w:val="none" w:sz="0" w:space="0" w:color="auto"/>
      </w:divBdr>
      <w:divsChild>
        <w:div w:id="54360040">
          <w:marLeft w:val="0"/>
          <w:marRight w:val="0"/>
          <w:marTop w:val="0"/>
          <w:marBottom w:val="0"/>
          <w:divBdr>
            <w:top w:val="single" w:sz="2" w:space="0" w:color="000000"/>
            <w:left w:val="single" w:sz="2" w:space="0" w:color="000000"/>
            <w:bottom w:val="single" w:sz="2" w:space="0" w:color="000000"/>
            <w:right w:val="single" w:sz="2" w:space="0" w:color="000000"/>
          </w:divBdr>
        </w:div>
        <w:div w:id="857281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7274054">
      <w:bodyDiv w:val="1"/>
      <w:marLeft w:val="0"/>
      <w:marRight w:val="0"/>
      <w:marTop w:val="0"/>
      <w:marBottom w:val="0"/>
      <w:divBdr>
        <w:top w:val="none" w:sz="0" w:space="0" w:color="auto"/>
        <w:left w:val="none" w:sz="0" w:space="0" w:color="auto"/>
        <w:bottom w:val="none" w:sz="0" w:space="0" w:color="auto"/>
        <w:right w:val="none" w:sz="0" w:space="0" w:color="auto"/>
      </w:divBdr>
    </w:div>
    <w:div w:id="698287011">
      <w:bodyDiv w:val="1"/>
      <w:marLeft w:val="0"/>
      <w:marRight w:val="0"/>
      <w:marTop w:val="0"/>
      <w:marBottom w:val="0"/>
      <w:divBdr>
        <w:top w:val="none" w:sz="0" w:space="0" w:color="auto"/>
        <w:left w:val="none" w:sz="0" w:space="0" w:color="auto"/>
        <w:bottom w:val="none" w:sz="0" w:space="0" w:color="auto"/>
        <w:right w:val="none" w:sz="0" w:space="0" w:color="auto"/>
      </w:divBdr>
    </w:div>
    <w:div w:id="898396482">
      <w:bodyDiv w:val="1"/>
      <w:marLeft w:val="0"/>
      <w:marRight w:val="0"/>
      <w:marTop w:val="0"/>
      <w:marBottom w:val="0"/>
      <w:divBdr>
        <w:top w:val="none" w:sz="0" w:space="0" w:color="auto"/>
        <w:left w:val="none" w:sz="0" w:space="0" w:color="auto"/>
        <w:bottom w:val="none" w:sz="0" w:space="0" w:color="auto"/>
        <w:right w:val="none" w:sz="0" w:space="0" w:color="auto"/>
      </w:divBdr>
    </w:div>
    <w:div w:id="920915039">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112869574">
      <w:bodyDiv w:val="1"/>
      <w:marLeft w:val="0"/>
      <w:marRight w:val="0"/>
      <w:marTop w:val="0"/>
      <w:marBottom w:val="0"/>
      <w:divBdr>
        <w:top w:val="none" w:sz="0" w:space="0" w:color="auto"/>
        <w:left w:val="none" w:sz="0" w:space="0" w:color="auto"/>
        <w:bottom w:val="none" w:sz="0" w:space="0" w:color="auto"/>
        <w:right w:val="none" w:sz="0" w:space="0" w:color="auto"/>
      </w:divBdr>
    </w:div>
    <w:div w:id="1170832747">
      <w:bodyDiv w:val="1"/>
      <w:marLeft w:val="0"/>
      <w:marRight w:val="0"/>
      <w:marTop w:val="0"/>
      <w:marBottom w:val="0"/>
      <w:divBdr>
        <w:top w:val="none" w:sz="0" w:space="0" w:color="auto"/>
        <w:left w:val="none" w:sz="0" w:space="0" w:color="auto"/>
        <w:bottom w:val="none" w:sz="0" w:space="0" w:color="auto"/>
        <w:right w:val="none" w:sz="0" w:space="0" w:color="auto"/>
      </w:divBdr>
    </w:div>
    <w:div w:id="1369988078">
      <w:bodyDiv w:val="1"/>
      <w:marLeft w:val="0"/>
      <w:marRight w:val="0"/>
      <w:marTop w:val="0"/>
      <w:marBottom w:val="0"/>
      <w:divBdr>
        <w:top w:val="none" w:sz="0" w:space="0" w:color="auto"/>
        <w:left w:val="none" w:sz="0" w:space="0" w:color="auto"/>
        <w:bottom w:val="none" w:sz="0" w:space="0" w:color="auto"/>
        <w:right w:val="none" w:sz="0" w:space="0" w:color="auto"/>
      </w:divBdr>
    </w:div>
    <w:div w:id="1408651520">
      <w:bodyDiv w:val="1"/>
      <w:marLeft w:val="0"/>
      <w:marRight w:val="0"/>
      <w:marTop w:val="0"/>
      <w:marBottom w:val="0"/>
      <w:divBdr>
        <w:top w:val="none" w:sz="0" w:space="0" w:color="auto"/>
        <w:left w:val="none" w:sz="0" w:space="0" w:color="auto"/>
        <w:bottom w:val="none" w:sz="0" w:space="0" w:color="auto"/>
        <w:right w:val="none" w:sz="0" w:space="0" w:color="auto"/>
      </w:divBdr>
    </w:div>
    <w:div w:id="1443766492">
      <w:bodyDiv w:val="1"/>
      <w:marLeft w:val="0"/>
      <w:marRight w:val="0"/>
      <w:marTop w:val="0"/>
      <w:marBottom w:val="0"/>
      <w:divBdr>
        <w:top w:val="none" w:sz="0" w:space="0" w:color="auto"/>
        <w:left w:val="none" w:sz="0" w:space="0" w:color="auto"/>
        <w:bottom w:val="none" w:sz="0" w:space="0" w:color="auto"/>
        <w:right w:val="none" w:sz="0" w:space="0" w:color="auto"/>
      </w:divBdr>
    </w:div>
    <w:div w:id="1798838262">
      <w:bodyDiv w:val="1"/>
      <w:marLeft w:val="0"/>
      <w:marRight w:val="0"/>
      <w:marTop w:val="0"/>
      <w:marBottom w:val="0"/>
      <w:divBdr>
        <w:top w:val="none" w:sz="0" w:space="0" w:color="auto"/>
        <w:left w:val="none" w:sz="0" w:space="0" w:color="auto"/>
        <w:bottom w:val="none" w:sz="0" w:space="0" w:color="auto"/>
        <w:right w:val="none" w:sz="0" w:space="0" w:color="auto"/>
      </w:divBdr>
    </w:div>
    <w:div w:id="2033069740">
      <w:bodyDiv w:val="1"/>
      <w:marLeft w:val="0"/>
      <w:marRight w:val="0"/>
      <w:marTop w:val="0"/>
      <w:marBottom w:val="0"/>
      <w:divBdr>
        <w:top w:val="none" w:sz="0" w:space="0" w:color="auto"/>
        <w:left w:val="none" w:sz="0" w:space="0" w:color="auto"/>
        <w:bottom w:val="none" w:sz="0" w:space="0" w:color="auto"/>
        <w:right w:val="none" w:sz="0" w:space="0" w:color="auto"/>
      </w:divBdr>
    </w:div>
    <w:div w:id="21316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esc.europa.eu/es/agenda/our-events/events/delivering-affordable-energy-europe" TargetMode="External"/><Relationship Id="rId18" Type="http://schemas.openxmlformats.org/officeDocument/2006/relationships/hyperlink" Target="https://www.eesc.europa.eu/es/agenda/our-events/events/tackling-energy-poverty-heart-ecological-and-energy-transition" TargetMode="External"/><Relationship Id="rId26" Type="http://schemas.openxmlformats.org/officeDocument/2006/relationships/footer" Target="footer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esc.europa.eu/es/agenda/our-events/events/tackling-energy-poverty-just-transition" TargetMode="External"/><Relationship Id="rId25" Type="http://schemas.openxmlformats.org/officeDocument/2006/relationships/header" Target="header3.xml"/><Relationship Id="rId16" Type="http://schemas.openxmlformats.org/officeDocument/2006/relationships/hyperlink" Target="https://www.eesc.europa.eu/es/agenda/our-events/events/conference-affordable-energy-turning-civil-society-views-action" TargetMode="External"/><Relationship Id="rId20" Type="http://schemas.openxmlformats.org/officeDocument/2006/relationships/hyperlink" Target="mailto:marco.pezzani@eesc.europa.eu" TargetMode="External"/><Relationship Id="rId29"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customXml" Target="../customXml/item4.xml"/><Relationship Id="rId15" Type="http://schemas.openxmlformats.org/officeDocument/2006/relationships/hyperlink" Target="https://energy.ec.europa.eu/strategy/affordable-energy_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esc.europa.eu/es/agenda/our-events/events/conference-energy-poverty-crossroads-european-pillar-social-rights-and-european-green-deal" TargetMode="External"/><Relationship Id="rId31"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nergy.ec.europa.eu/topics/markets-and-consumers/energy-consumers-and-prosumers/energy-poverty_en"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image" Target="media/image8.png"/><Relationship Id="rId3" Type="http://schemas.openxmlformats.org/officeDocument/2006/relationships/hyperlink" Target="https://www.youtube.com/user/EurEcoSocCommittee" TargetMode="External"/><Relationship Id="rId7" Type="http://schemas.openxmlformats.org/officeDocument/2006/relationships/image" Target="media/image4.png"/><Relationship Id="rId12" Type="http://schemas.openxmlformats.org/officeDocument/2006/relationships/hyperlink" Target="https://www.instagram.com/accounts/login/?next=/eu_civilsociety/" TargetMode="External"/><Relationship Id="rId17" Type="http://schemas.openxmlformats.org/officeDocument/2006/relationships/image" Target="media/image11.svg"/><Relationship Id="rId2" Type="http://schemas.openxmlformats.org/officeDocument/2006/relationships/hyperlink" Target="https://www.eesc.europa.eu/es" TargetMode="External"/><Relationship Id="rId16" Type="http://schemas.openxmlformats.org/officeDocument/2006/relationships/image" Target="media/image10.pn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image" Target="media/image7.svg"/><Relationship Id="rId5" Type="http://schemas.openxmlformats.org/officeDocument/2006/relationships/image" Target="media/image3.svg"/><Relationship Id="rId15" Type="http://schemas.openxmlformats.org/officeDocument/2006/relationships/hyperlink" Target="https://www.facebook.com/EuropeanEconomicAndSocialCommittee" TargetMode="External"/><Relationship Id="rId10" Type="http://schemas.openxmlformats.org/officeDocument/2006/relationships/image" Target="media/image6.png"/><Relationship Id="rId4" Type="http://schemas.openxmlformats.org/officeDocument/2006/relationships/image" Target="media/image2.png"/><Relationship Id="rId9" Type="http://schemas.openxmlformats.org/officeDocument/2006/relationships/hyperlink" Target="https://be.linkedin.com/company/european-economic-social-committee" TargetMode="External"/><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A6WAAD5KZT2Q-293470456-7027</_dlc_DocId>
    <_dlc_DocIdUrl xmlns="1a33af13-4045-4f88-9d7b-618e30f79918">
      <Url>http://dm/eesc/2025/_layouts/15/DocIdRedir.aspx?ID=A6WAAD5KZT2Q-293470456-7027</Url>
      <Description>A6WAAD5KZT2Q-293470456-7027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2025-06-13T12:00:00+00:00</ProductionDate>
    <DocumentNumber xmlns="aa382cf6-584e-4bd2-bd73-0bac1a20efcb">1820</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 xsi:nil="true"/>
    <TaxCatchAll xmlns="1a33af13-4045-4f88-9d7b-618e30f79918">
      <Value>36</Value>
      <Value>34</Value>
      <Value>54</Value>
      <Value>16</Value>
      <Value>15</Value>
      <Value>13</Value>
      <Value>12</Value>
      <Value>47</Value>
      <Value>8</Value>
      <Value>5</Value>
      <Value>39</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5252</FicheNumber>
    <OriginalSender xmlns="1a33af13-4045-4f88-9d7b-618e30f79918">
      <UserInfo>
        <DisplayName>Navarro Anna</DisplayName>
        <AccountId>1542</AccountId>
        <AccountType/>
      </UserInfo>
    </OriginalSender>
    <DocumentPart xmlns="1a33af13-4045-4f88-9d7b-618e30f79918">0</DocumentPart>
    <AdoptionDate xmlns="1a33af13-4045-4f88-9d7b-618e30f79918" xsi:nil="true"/>
    <RequestingService xmlns="1a33af13-4045-4f88-9d7b-618e30f79918">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71350A-5BA1-4D91-88C4-DF0A316C87D6}"/>
</file>

<file path=customXml/itemProps2.xml><?xml version="1.0" encoding="utf-8"?>
<ds:datastoreItem xmlns:ds="http://schemas.openxmlformats.org/officeDocument/2006/customXml" ds:itemID="{DD75FCA2-1DB2-4C70-A3D0-45BB8A287139}"/>
</file>

<file path=customXml/itemProps3.xml><?xml version="1.0" encoding="utf-8"?>
<ds:datastoreItem xmlns:ds="http://schemas.openxmlformats.org/officeDocument/2006/customXml" ds:itemID="{FAF94FA7-D67D-4BC3-BFA0-DBD56196A370}"/>
</file>

<file path=customXml/itemProps4.xml><?xml version="1.0" encoding="utf-8"?>
<ds:datastoreItem xmlns:ds="http://schemas.openxmlformats.org/officeDocument/2006/customXml" ds:itemID="{147011A9-32A7-449F-90C8-2339AB972B40}"/>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6812</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EESC CP template updated</vt:lpstr>
      <vt:lpstr>EESC CP template updated</vt:lpstr>
      <vt:lpstr>EESC CP template updated</vt:lpstr>
    </vt:vector>
  </TitlesOfParts>
  <Company>CESE-CdR</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generación de energía debe ser más inclusiva y asequible, tanto en las zonas urbanas como en las rurales</dc:title>
  <dc:subject>CP</dc:subject>
  <dc:creator>Emma Nieddu</dc:creator>
  <cp:keywords>EESC-2025-01820-00-00-CP-TRA-EN</cp:keywords>
  <dc:description>Rapporteur:  - Original language: EN - Date of document: 13/06/2025 - Date of meeting:  - External documents:  - Administrator: M. PEZZANI Marco</dc:description>
  <cp:lastModifiedBy>Navarro Anna</cp:lastModifiedBy>
  <cp:revision>12</cp:revision>
  <cp:lastPrinted>2022-05-17T15:54:00Z</cp:lastPrinted>
  <dcterms:created xsi:type="dcterms:W3CDTF">2025-06-12T06:31:00Z</dcterms:created>
  <dcterms:modified xsi:type="dcterms:W3CDTF">2025-06-13T13:58:00Z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12/06/2025, 05/04/2022</vt:lpwstr>
  </property>
  <property fmtid="{D5CDD505-2E9C-101B-9397-08002B2CF9AE}" pid="4" name="Pref_Time">
    <vt:lpwstr>08:31:05, 16:28:46</vt:lpwstr>
  </property>
  <property fmtid="{D5CDD505-2E9C-101B-9397-08002B2CF9AE}" pid="5" name="Pref_User">
    <vt:lpwstr>pacup, enied</vt:lpwstr>
  </property>
  <property fmtid="{D5CDD505-2E9C-101B-9397-08002B2CF9AE}" pid="6" name="Pref_FileName">
    <vt:lpwstr>EESC-2025-01820-00-00-CP-ORI.docx, EESC-2022-01954-00-00-ADMIN-ORI.docx</vt:lpwstr>
  </property>
  <property fmtid="{D5CDD505-2E9C-101B-9397-08002B2CF9AE}" pid="7" name="ContentTypeId">
    <vt:lpwstr>0x010100EA97B91038054C99906057A708A1480A00FD26272E6D350E4BA98D090F484731A0</vt:lpwstr>
  </property>
  <property fmtid="{D5CDD505-2E9C-101B-9397-08002B2CF9AE}" pid="8" name="_dlc_DocIdItemGuid">
    <vt:lpwstr>1b8d22a1-ffcc-417a-868a-b6c8fd81883b</vt:lpwstr>
  </property>
  <property fmtid="{D5CDD505-2E9C-101B-9397-08002B2CF9AE}" pid="9" name="AvailableTranslations">
    <vt:lpwstr>34;#IT|0774613c-01ed-4e5d-a25d-11d2388de825;#5;#EN|f2175f21-25d7-44a3-96da-d6a61b075e1b;#47;#BG|1a1b3951-7821-4e6a-85f5-5673fc08bd2c;#39;#LV|46f7e311-5d9f-4663-b433-18aeccb7ace7;#36;#RO|feb747a2-64cd-4299-af12-4833ddc30497;#12;#FR|d2afafd3-4c81-4f60-8f52-ee33f2f54ff3;#16;#ES|e7a6b05b-ae16-40c8-add9-68b64b03aeba</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1820</vt:i4>
  </property>
  <property fmtid="{D5CDD505-2E9C-101B-9397-08002B2CF9AE}" pid="14" name="DocumentVersion">
    <vt:i4>0</vt:i4>
  </property>
  <property fmtid="{D5CDD505-2E9C-101B-9397-08002B2CF9AE}" pid="15" name="DocumentStatus">
    <vt:lpwstr>13;#TRA|150d2a88-1431-44e6-a8ca-0bb753ab8672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54;#CP|de8ad211-9e8d-408b-8324-674d21bb7d18</vt:lpwstr>
  </property>
  <property fmtid="{D5CDD505-2E9C-101B-9397-08002B2CF9AE}" pid="21" name="RequestingService">
    <vt:lpwstr>Presse</vt:lpwstr>
  </property>
  <property fmtid="{D5CDD505-2E9C-101B-9397-08002B2CF9AE}" pid="22" name="Confidentiality">
    <vt:lpwstr>15;#Unrestricted|826e22d7-d029-4ec0-a450-0c28ff673572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IT|0774613c-01ed-4e5d-a25d-11d2388de825;EN|f2175f21-25d7-44a3-96da-d6a61b075e1b;BG|1a1b3951-7821-4e6a-85f5-5673fc08bd2c;LV|46f7e311-5d9f-4663-b433-18aeccb7ace7;FR|d2afafd3-4c81-4f60-8f52-ee33f2f54ff3</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15;#Unrestricted|826e22d7-d029-4ec0-a450-0c28ff673572;#13;#TRA|150d2a88-1431-44e6-a8ca-0bb753ab8672;#12;#FR|d2afafd3-4c81-4f60-8f52-ee33f2f54ff3;#47;#BG|1a1b3951-7821-4e6a-85f5-5673fc08bd2c;#39;#LV|46f7e311-5d9f-4663-b433-18aeccb7ace7;#8;#Final|ea5e6674-7b27-4bac-b091-73adbb394efe;#5;#EN|f2175f21-25d7-44a3-96da-d6a61b075e1b;#54;#CP|de8ad211-9e8d-408b-8324-674d21bb7d18;#1;#EESC|422833ec-8d7e-4e65-8e4e-8bed07ffb729;#34;#IT|0774613c-01ed-4e5d-a25d-11d2388de825</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2025</vt:i4>
  </property>
  <property fmtid="{D5CDD505-2E9C-101B-9397-08002B2CF9AE}" pid="35" name="FicheNumber">
    <vt:i4>5252</vt:i4>
  </property>
  <property fmtid="{D5CDD505-2E9C-101B-9397-08002B2CF9AE}" pid="36" name="DocumentLanguage">
    <vt:lpwstr>16;#ES|e7a6b05b-ae16-40c8-add9-68b64b03aeba</vt:lpwstr>
  </property>
  <property fmtid="{D5CDD505-2E9C-101B-9397-08002B2CF9AE}" pid="37" name="_docset_NoMedatataSyncRequired">
    <vt:lpwstr>False</vt:lpwstr>
  </property>
</Properties>
</file>