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E56A" w14:textId="23FD1828" w:rsidR="008D1C4B" w:rsidRDefault="00017BB5">
      <w:pPr>
        <w:jc w:val="center"/>
        <w:rPr>
          <w:lang w:val="en-GB"/>
        </w:rPr>
      </w:pPr>
      <w:r>
        <w:rPr>
          <w:noProof/>
          <w:lang w:val="de-AT" w:eastAsia="de-AT"/>
        </w:rPr>
        <w:drawing>
          <wp:inline distT="0" distB="0" distL="0" distR="0" wp14:anchorId="3763585C" wp14:editId="09A5E8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Pr>
          <w:noProof/>
          <w:sz w:val="20"/>
          <w:lang w:val="de-AT" w:eastAsia="de-AT"/>
        </w:rPr>
        <mc:AlternateContent>
          <mc:Choice Requires="wps">
            <w:drawing>
              <wp:anchor distT="0" distB="0" distL="114300" distR="114300" simplePos="0" relativeHeight="251659264" behindDoc="1" locked="0" layoutInCell="0" allowOverlap="1" wp14:anchorId="131133D6" wp14:editId="15FE4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55D1A" w:rsidRDefault="00255D1A">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55D1A" w:rsidRDefault="00255D1A">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5E7A16AD" w14:textId="77777777" w:rsidR="008D1C4B" w:rsidRDefault="008D1C4B">
      <w:pPr>
        <w:rPr>
          <w:lang w:val="en-GB"/>
        </w:rPr>
      </w:pPr>
    </w:p>
    <w:p w14:paraId="5B3BE56B" w14:textId="42344CBC" w:rsidR="008D1C4B" w:rsidRDefault="00017BB5">
      <w:pPr>
        <w:jc w:val="right"/>
        <w:rPr>
          <w:lang w:val="en-GB"/>
        </w:rPr>
      </w:pPr>
      <w:r>
        <w:rPr>
          <w:b/>
          <w:lang w:val="en-GB"/>
        </w:rPr>
        <w:t>REX/606</w:t>
      </w:r>
    </w:p>
    <w:p w14:paraId="5B3BE56C" w14:textId="3966A72B" w:rsidR="008D1C4B" w:rsidRDefault="00017BB5">
      <w:pPr>
        <w:jc w:val="right"/>
        <w:rPr>
          <w:lang w:val="en-GB"/>
        </w:rPr>
      </w:pPr>
      <w:r>
        <w:rPr>
          <w:b/>
          <w:lang w:val="en-GB"/>
        </w:rPr>
        <w:t>A New Pact for the Mediterranean</w:t>
      </w:r>
    </w:p>
    <w:p w14:paraId="5B3BE56D" w14:textId="77777777" w:rsidR="008D1C4B" w:rsidRDefault="008D1C4B">
      <w:pPr>
        <w:rPr>
          <w:lang w:val="en-GB"/>
        </w:rPr>
      </w:pPr>
    </w:p>
    <w:p w14:paraId="5B3BE56E" w14:textId="77777777" w:rsidR="008D1C4B" w:rsidRDefault="008D1C4B">
      <w:pPr>
        <w:rPr>
          <w:lang w:val="en-GB"/>
        </w:rPr>
      </w:pPr>
    </w:p>
    <w:p w14:paraId="3C09B2EE" w14:textId="0A34FA8A" w:rsidR="008D1C4B" w:rsidRDefault="00017BB5">
      <w:pPr>
        <w:jc w:val="center"/>
        <w:rPr>
          <w:b/>
          <w:bCs/>
          <w:sz w:val="28"/>
          <w:szCs w:val="28"/>
          <w:lang w:val="en-GB"/>
        </w:rPr>
      </w:pPr>
      <w:r>
        <w:rPr>
          <w:b/>
          <w:bCs/>
          <w:sz w:val="28"/>
          <w:szCs w:val="28"/>
          <w:lang w:val="en-GB"/>
        </w:rPr>
        <w:t xml:space="preserve">PRELIMINARY DRAFT OPINION </w:t>
      </w:r>
    </w:p>
    <w:p w14:paraId="34368F6A" w14:textId="77777777" w:rsidR="008D1C4B" w:rsidRDefault="008D1C4B">
      <w:pPr>
        <w:jc w:val="center"/>
        <w:rPr>
          <w:lang w:val="en-GB"/>
        </w:rPr>
      </w:pPr>
    </w:p>
    <w:p w14:paraId="7D40B1DD" w14:textId="049C965E" w:rsidR="008D1C4B" w:rsidRDefault="00017BB5">
      <w:pPr>
        <w:jc w:val="center"/>
        <w:rPr>
          <w:lang w:val="en-GB"/>
        </w:rPr>
      </w:pPr>
      <w:r>
        <w:rPr>
          <w:lang w:val="en-GB"/>
        </w:rPr>
        <w:t xml:space="preserve">Section for External Relations </w:t>
      </w:r>
    </w:p>
    <w:p w14:paraId="046C48E8" w14:textId="77777777" w:rsidR="008D1C4B" w:rsidRDefault="008D1C4B">
      <w:pPr>
        <w:jc w:val="center"/>
        <w:rPr>
          <w:lang w:val="en-GB"/>
        </w:rPr>
      </w:pPr>
    </w:p>
    <w:p w14:paraId="69DFD613" w14:textId="264E2E5E" w:rsidR="008D1C4B" w:rsidRDefault="00017BB5" w:rsidP="40B6CB60">
      <w:pPr>
        <w:jc w:val="center"/>
        <w:rPr>
          <w:b/>
          <w:bCs/>
          <w:lang w:val="en-GB"/>
        </w:rPr>
      </w:pPr>
      <w:r w:rsidRPr="40B6CB60">
        <w:rPr>
          <w:b/>
          <w:bCs/>
          <w:lang w:val="en-GB"/>
        </w:rPr>
        <w:t>A New Pact for the Mediterranean</w:t>
      </w:r>
    </w:p>
    <w:p w14:paraId="37AB4FE9" w14:textId="0517EE02" w:rsidR="008D1C4B" w:rsidRDefault="00017BB5">
      <w:pPr>
        <w:jc w:val="center"/>
        <w:rPr>
          <w:b/>
          <w:lang w:val="en-GB"/>
        </w:rPr>
      </w:pPr>
      <w:r w:rsidRPr="40B6CB60">
        <w:rPr>
          <w:b/>
          <w:bCs/>
          <w:lang w:val="en-GB"/>
        </w:rPr>
        <w:t>(</w:t>
      </w:r>
      <w:proofErr w:type="gramStart"/>
      <w:r w:rsidRPr="40B6CB60">
        <w:rPr>
          <w:b/>
          <w:bCs/>
          <w:lang w:val="en-GB"/>
        </w:rPr>
        <w:t>exploratory</w:t>
      </w:r>
      <w:proofErr w:type="gramEnd"/>
      <w:r w:rsidRPr="40B6CB60">
        <w:rPr>
          <w:b/>
          <w:bCs/>
          <w:lang w:val="en-GB"/>
        </w:rPr>
        <w:t xml:space="preserve"> opinion)</w:t>
      </w:r>
    </w:p>
    <w:p w14:paraId="27AB5D94" w14:textId="0539BD7B" w:rsidR="008D1C4B" w:rsidRDefault="008D1C4B" w:rsidP="40B6CB60">
      <w:pPr>
        <w:jc w:val="center"/>
        <w:rPr>
          <w:lang w:val="en-GB"/>
        </w:rPr>
      </w:pPr>
    </w:p>
    <w:p w14:paraId="0C6F98B7" w14:textId="3CDD66F8" w:rsidR="008D1C4B" w:rsidRDefault="27F6396D" w:rsidP="40B6CB60">
      <w:pPr>
        <w:jc w:val="center"/>
        <w:rPr>
          <w:lang w:val="en-GB"/>
        </w:rPr>
      </w:pPr>
      <w:r w:rsidRPr="40B6CB60">
        <w:rPr>
          <w:lang w:val="en-GB"/>
        </w:rPr>
        <w:t xml:space="preserve">Rapporteur: </w:t>
      </w:r>
      <w:r w:rsidRPr="40B6CB60">
        <w:rPr>
          <w:b/>
          <w:bCs/>
          <w:lang w:val="en-GB"/>
        </w:rPr>
        <w:t>Thomas WAGNSONNER</w:t>
      </w:r>
    </w:p>
    <w:p w14:paraId="12F6E5E5" w14:textId="15AB28C0" w:rsidR="008D1C4B" w:rsidRDefault="27F6396D" w:rsidP="40B6CB60">
      <w:pPr>
        <w:jc w:val="center"/>
        <w:rPr>
          <w:lang w:val="en-GB"/>
        </w:rPr>
      </w:pPr>
      <w:r w:rsidRPr="40B6CB60">
        <w:rPr>
          <w:lang w:val="en-GB"/>
        </w:rPr>
        <w:t xml:space="preserve">Co-rapporteur: </w:t>
      </w:r>
      <w:r w:rsidRPr="40B6CB60">
        <w:rPr>
          <w:b/>
          <w:bCs/>
          <w:lang w:val="en-GB"/>
        </w:rPr>
        <w:t>Lidija PAVIĆ-ROGOŠIĆ</w:t>
      </w:r>
    </w:p>
    <w:p w14:paraId="5B3BE570" w14:textId="655DA5DA" w:rsidR="008D1C4B" w:rsidRDefault="008D1C4B" w:rsidP="40B6CB60">
      <w:pPr>
        <w:jc w:val="left"/>
        <w:rPr>
          <w:lang w:val="en-GB"/>
        </w:rPr>
      </w:pPr>
    </w:p>
    <w:p w14:paraId="1EA83C22" w14:textId="6A19017B" w:rsidR="40B6CB60" w:rsidRDefault="40B6CB60" w:rsidP="40B6CB60">
      <w:pPr>
        <w:jc w:val="left"/>
        <w:rPr>
          <w:lang w:val="en-GB"/>
        </w:rPr>
      </w:pPr>
    </w:p>
    <w:p w14:paraId="0BBC2BDB" w14:textId="3CAA5EA4" w:rsidR="40B6CB60" w:rsidRDefault="40B6CB60" w:rsidP="40B6CB60">
      <w:pPr>
        <w:jc w:val="left"/>
        <w:rPr>
          <w:lang w:val="en-GB"/>
        </w:rPr>
      </w:pPr>
    </w:p>
    <w:p w14:paraId="64B8F574" w14:textId="20F00279" w:rsidR="40B6CB60" w:rsidRDefault="40B6CB60" w:rsidP="40B6CB60">
      <w:pPr>
        <w:jc w:val="left"/>
        <w:rPr>
          <w:lang w:val="en-GB"/>
        </w:rPr>
      </w:pPr>
    </w:p>
    <w:p w14:paraId="5AD81722" w14:textId="0F1CD1C2" w:rsidR="40B6CB60" w:rsidRDefault="40B6CB60" w:rsidP="40B6CB60">
      <w:pPr>
        <w:jc w:val="left"/>
        <w:rPr>
          <w:lang w:val="en-GB"/>
        </w:rPr>
      </w:pPr>
    </w:p>
    <w:p w14:paraId="227832C0" w14:textId="2520DE23" w:rsidR="40B6CB60" w:rsidRDefault="40B6CB60" w:rsidP="40B6CB60">
      <w:pPr>
        <w:jc w:val="left"/>
        <w:rPr>
          <w:lang w:val="en-GB"/>
        </w:rPr>
      </w:pPr>
    </w:p>
    <w:p w14:paraId="2F192B36" w14:textId="09BA2226" w:rsidR="40B6CB60" w:rsidRDefault="40B6CB60" w:rsidP="40B6CB60">
      <w:pPr>
        <w:jc w:val="left"/>
        <w:rPr>
          <w:lang w:val="en-GB"/>
        </w:rPr>
      </w:pPr>
    </w:p>
    <w:p w14:paraId="7820788B" w14:textId="3799C745" w:rsidR="40B6CB60" w:rsidRDefault="40B6CB60" w:rsidP="40B6CB60">
      <w:pPr>
        <w:jc w:val="left"/>
        <w:rPr>
          <w:lang w:val="en-GB"/>
        </w:rPr>
      </w:pPr>
    </w:p>
    <w:p w14:paraId="4BA4FFA8" w14:textId="3653A951" w:rsidR="40B6CB60" w:rsidRDefault="40B6CB60" w:rsidP="40B6CB60">
      <w:pPr>
        <w:jc w:val="left"/>
        <w:rPr>
          <w:lang w:val="en-GB"/>
        </w:rPr>
      </w:pPr>
    </w:p>
    <w:p w14:paraId="70D5C3AC" w14:textId="33F61686" w:rsidR="40B6CB60" w:rsidRDefault="40B6CB60" w:rsidP="40B6CB60">
      <w:pPr>
        <w:jc w:val="left"/>
        <w:rPr>
          <w:lang w:val="en-GB"/>
        </w:rPr>
      </w:pPr>
    </w:p>
    <w:p w14:paraId="737D3D95" w14:textId="50DB3BC9" w:rsidR="40B6CB60" w:rsidRDefault="40B6CB60" w:rsidP="40B6CB60">
      <w:pPr>
        <w:jc w:val="left"/>
        <w:rPr>
          <w:lang w:val="en-GB"/>
        </w:rPr>
      </w:pPr>
    </w:p>
    <w:p w14:paraId="33013E2D" w14:textId="7611D38E" w:rsidR="40B6CB60" w:rsidRDefault="40B6CB60" w:rsidP="40B6CB60">
      <w:pPr>
        <w:jc w:val="left"/>
        <w:rPr>
          <w:lang w:val="en-GB"/>
        </w:rPr>
      </w:pPr>
    </w:p>
    <w:p w14:paraId="21A1DAFA" w14:textId="3A4A5653" w:rsidR="40B6CB60" w:rsidRDefault="40B6CB60" w:rsidP="40B6CB60">
      <w:pPr>
        <w:jc w:val="left"/>
        <w:rPr>
          <w:lang w:val="en-GB"/>
        </w:rPr>
      </w:pPr>
    </w:p>
    <w:p w14:paraId="766CCEB0" w14:textId="65D20E0C" w:rsidR="40B6CB60" w:rsidRDefault="40B6CB60" w:rsidP="40B6CB60">
      <w:pPr>
        <w:jc w:val="left"/>
        <w:rPr>
          <w:lang w:val="en-GB"/>
        </w:rPr>
      </w:pPr>
    </w:p>
    <w:p w14:paraId="2525BFEA" w14:textId="1D9A974C" w:rsidR="40B6CB60" w:rsidRDefault="40B6CB60" w:rsidP="40B6CB60">
      <w:pPr>
        <w:jc w:val="left"/>
        <w:rPr>
          <w:lang w:val="en-GB"/>
        </w:rPr>
      </w:pPr>
    </w:p>
    <w:p w14:paraId="7A5EAE14" w14:textId="2F18306E" w:rsidR="40B6CB60" w:rsidRDefault="40B6CB60" w:rsidP="40B6CB60">
      <w:pPr>
        <w:jc w:val="left"/>
        <w:rPr>
          <w:lang w:val="en-GB"/>
        </w:rPr>
      </w:pPr>
    </w:p>
    <w:p w14:paraId="0EF442ED" w14:textId="610DFDF0" w:rsidR="40B6CB60" w:rsidRDefault="40B6CB60" w:rsidP="40B6CB60">
      <w:pPr>
        <w:jc w:val="left"/>
        <w:rPr>
          <w:lang w:val="en-GB"/>
        </w:rPr>
      </w:pPr>
    </w:p>
    <w:p w14:paraId="28061362" w14:textId="5EB1B47D" w:rsidR="40B6CB60" w:rsidRDefault="40B6CB60" w:rsidP="40B6CB60">
      <w:pPr>
        <w:jc w:val="left"/>
        <w:rPr>
          <w:lang w:val="en-GB"/>
        </w:rPr>
      </w:pPr>
    </w:p>
    <w:p w14:paraId="17707952" w14:textId="07ECAFA0" w:rsidR="40B6CB60" w:rsidRDefault="40B6CB60" w:rsidP="40B6CB60">
      <w:pPr>
        <w:jc w:val="left"/>
        <w:rPr>
          <w:lang w:val="en-GB"/>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8D1C4B" w14:paraId="5B3BE57A" w14:textId="77777777" w:rsidTr="0077504E">
        <w:tc>
          <w:tcPr>
            <w:tcW w:w="3085" w:type="dxa"/>
          </w:tcPr>
          <w:p w14:paraId="5B3BE578" w14:textId="77777777" w:rsidR="008D1C4B" w:rsidRDefault="00017BB5">
            <w:pPr>
              <w:jc w:val="left"/>
              <w:rPr>
                <w:lang w:val="en-GB" w:eastAsia="en-GB" w:bidi="en-GB"/>
              </w:rPr>
            </w:pPr>
            <w:r>
              <w:rPr>
                <w:lang w:val="en-GB"/>
              </w:rPr>
              <w:t>Contact</w:t>
            </w:r>
          </w:p>
        </w:tc>
        <w:tc>
          <w:tcPr>
            <w:tcW w:w="6204" w:type="dxa"/>
          </w:tcPr>
          <w:p w14:paraId="5B3BE579" w14:textId="2BDD3D4C" w:rsidR="008D1C4B" w:rsidRDefault="00D213C8">
            <w:pPr>
              <w:jc w:val="left"/>
              <w:rPr>
                <w:lang w:val="en-GB"/>
              </w:rPr>
            </w:pPr>
            <w:hyperlink r:id="rId13" w:history="1">
              <w:r w:rsidR="00017BB5">
                <w:rPr>
                  <w:rStyle w:val="Hyperlink"/>
                  <w:lang w:val="en-GB"/>
                </w:rPr>
                <w:t>Andreas.Berger@eesc.europa.eu</w:t>
              </w:r>
            </w:hyperlink>
          </w:p>
        </w:tc>
      </w:tr>
      <w:tr w:rsidR="008D1C4B" w14:paraId="5B3BE57D" w14:textId="77777777" w:rsidTr="0077504E">
        <w:tc>
          <w:tcPr>
            <w:tcW w:w="3085" w:type="dxa"/>
          </w:tcPr>
          <w:p w14:paraId="5B3BE57B" w14:textId="77777777" w:rsidR="008D1C4B" w:rsidRDefault="00017BB5">
            <w:pPr>
              <w:jc w:val="left"/>
              <w:rPr>
                <w:lang w:val="en-GB"/>
              </w:rPr>
            </w:pPr>
            <w:r>
              <w:rPr>
                <w:lang w:val="en-GB"/>
              </w:rPr>
              <w:t>Administrator</w:t>
            </w:r>
          </w:p>
        </w:tc>
        <w:tc>
          <w:tcPr>
            <w:tcW w:w="6204" w:type="dxa"/>
          </w:tcPr>
          <w:p w14:paraId="5B3BE57C" w14:textId="45B62198" w:rsidR="008D1C4B" w:rsidRDefault="00017BB5">
            <w:pPr>
              <w:jc w:val="left"/>
              <w:rPr>
                <w:lang w:val="en-GB"/>
              </w:rPr>
            </w:pPr>
            <w:r w:rsidRPr="40B6CB60">
              <w:rPr>
                <w:lang w:val="en-GB"/>
              </w:rPr>
              <w:t>Andrea</w:t>
            </w:r>
            <w:r w:rsidR="306E6F2F" w:rsidRPr="40B6CB60">
              <w:rPr>
                <w:lang w:val="en-GB"/>
              </w:rPr>
              <w:t>s</w:t>
            </w:r>
            <w:r w:rsidRPr="40B6CB60">
              <w:rPr>
                <w:lang w:val="en-GB"/>
              </w:rPr>
              <w:t xml:space="preserve"> Berger</w:t>
            </w:r>
          </w:p>
        </w:tc>
      </w:tr>
      <w:tr w:rsidR="008D1C4B" w14:paraId="5B3BE580" w14:textId="77777777" w:rsidTr="0077504E">
        <w:tc>
          <w:tcPr>
            <w:tcW w:w="3085" w:type="dxa"/>
          </w:tcPr>
          <w:p w14:paraId="5B3BE57E" w14:textId="77777777" w:rsidR="008D1C4B" w:rsidRDefault="00017BB5">
            <w:pPr>
              <w:jc w:val="left"/>
              <w:rPr>
                <w:lang w:val="en-GB"/>
              </w:rPr>
            </w:pPr>
            <w:r>
              <w:rPr>
                <w:lang w:val="en-GB"/>
              </w:rPr>
              <w:t>Document date</w:t>
            </w:r>
          </w:p>
        </w:tc>
        <w:tc>
          <w:tcPr>
            <w:tcW w:w="6204" w:type="dxa"/>
          </w:tcPr>
          <w:p w14:paraId="5B3BE57F" w14:textId="582DCADF" w:rsidR="008D1C4B" w:rsidRDefault="00017BB5">
            <w:pPr>
              <w:jc w:val="left"/>
              <w:rPr>
                <w:lang w:val="en-GB"/>
              </w:rPr>
            </w:pPr>
            <w:r w:rsidRPr="40B6CB60">
              <w:rPr>
                <w:lang w:val="en-GB"/>
              </w:rPr>
              <w:t>1</w:t>
            </w:r>
            <w:r w:rsidR="0077504E">
              <w:rPr>
                <w:lang w:val="en-GB"/>
              </w:rPr>
              <w:t>7</w:t>
            </w:r>
            <w:r w:rsidRPr="40B6CB60">
              <w:rPr>
                <w:lang w:val="en-GB"/>
              </w:rPr>
              <w:t>/6//2025</w:t>
            </w:r>
          </w:p>
        </w:tc>
      </w:tr>
    </w:tbl>
    <w:p w14:paraId="26DE6ECD" w14:textId="2F855B5B" w:rsidR="40B6CB60" w:rsidRDefault="40B6CB60" w:rsidP="40B6CB60">
      <w:pPr>
        <w:rPr>
          <w:lang w:val="en-GB"/>
        </w:rPr>
        <w:sectPr w:rsidR="40B6CB60">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008D1C4B" w14:paraId="5B3BE588" w14:textId="77777777">
        <w:tc>
          <w:tcPr>
            <w:tcW w:w="3032" w:type="dxa"/>
          </w:tcPr>
          <w:p w14:paraId="5B3BE586" w14:textId="77777777" w:rsidR="008D1C4B" w:rsidRDefault="00017BB5">
            <w:pPr>
              <w:rPr>
                <w:lang w:val="en-GB"/>
              </w:rPr>
            </w:pPr>
            <w:r>
              <w:rPr>
                <w:lang w:val="en-GB"/>
              </w:rPr>
              <w:lastRenderedPageBreak/>
              <w:t>Study Group</w:t>
            </w:r>
          </w:p>
        </w:tc>
        <w:tc>
          <w:tcPr>
            <w:tcW w:w="6041" w:type="dxa"/>
          </w:tcPr>
          <w:p w14:paraId="5B3BE587" w14:textId="682A58F7" w:rsidR="008D1C4B" w:rsidRDefault="00017BB5">
            <w:pPr>
              <w:jc w:val="left"/>
              <w:rPr>
                <w:lang w:val="en-GB"/>
              </w:rPr>
            </w:pPr>
            <w:r>
              <w:rPr>
                <w:lang w:val="en-GB"/>
              </w:rPr>
              <w:t>A New Pact for the Mediterranean</w:t>
            </w:r>
          </w:p>
        </w:tc>
      </w:tr>
      <w:tr w:rsidR="008D1C4B" w14:paraId="5B3BE58B" w14:textId="77777777">
        <w:tc>
          <w:tcPr>
            <w:tcW w:w="3032" w:type="dxa"/>
          </w:tcPr>
          <w:p w14:paraId="5B3BE589" w14:textId="77777777" w:rsidR="008D1C4B" w:rsidRDefault="008D1C4B">
            <w:pPr>
              <w:rPr>
                <w:lang w:val="en-GB"/>
              </w:rPr>
            </w:pPr>
          </w:p>
        </w:tc>
        <w:tc>
          <w:tcPr>
            <w:tcW w:w="6041" w:type="dxa"/>
          </w:tcPr>
          <w:p w14:paraId="5B3BE58A" w14:textId="77777777" w:rsidR="008D1C4B" w:rsidRDefault="008D1C4B">
            <w:pPr>
              <w:jc w:val="left"/>
              <w:rPr>
                <w:lang w:val="en-GB"/>
              </w:rPr>
            </w:pPr>
          </w:p>
        </w:tc>
      </w:tr>
      <w:tr w:rsidR="008D1C4B" w14:paraId="5B3BE58E" w14:textId="77777777">
        <w:tc>
          <w:tcPr>
            <w:tcW w:w="3032" w:type="dxa"/>
          </w:tcPr>
          <w:p w14:paraId="5B3BE58C" w14:textId="77777777" w:rsidR="008D1C4B" w:rsidRDefault="00017BB5">
            <w:pPr>
              <w:rPr>
                <w:lang w:val="en-GB"/>
              </w:rPr>
            </w:pPr>
            <w:r>
              <w:rPr>
                <w:lang w:val="en-GB"/>
              </w:rPr>
              <w:t>President</w:t>
            </w:r>
          </w:p>
        </w:tc>
        <w:tc>
          <w:tcPr>
            <w:tcW w:w="6041" w:type="dxa"/>
          </w:tcPr>
          <w:p w14:paraId="5B3BE58D" w14:textId="78455362" w:rsidR="008D1C4B" w:rsidRDefault="00017BB5">
            <w:pPr>
              <w:jc w:val="left"/>
              <w:rPr>
                <w:lang w:val="en-GB"/>
              </w:rPr>
            </w:pPr>
            <w:r>
              <w:rPr>
                <w:lang w:val="en-GB"/>
              </w:rPr>
              <w:t>Milena ANGELOVA (BG-I)</w:t>
            </w:r>
          </w:p>
        </w:tc>
      </w:tr>
      <w:tr w:rsidR="008D1C4B" w14:paraId="5B3BE591" w14:textId="77777777">
        <w:tc>
          <w:tcPr>
            <w:tcW w:w="3032" w:type="dxa"/>
          </w:tcPr>
          <w:p w14:paraId="5B3BE58F" w14:textId="77777777" w:rsidR="008D1C4B" w:rsidRDefault="00017BB5">
            <w:pPr>
              <w:rPr>
                <w:lang w:val="en-GB"/>
              </w:rPr>
            </w:pPr>
            <w:r>
              <w:rPr>
                <w:lang w:val="en-GB"/>
              </w:rPr>
              <w:t>Rapporteur</w:t>
            </w:r>
          </w:p>
        </w:tc>
        <w:tc>
          <w:tcPr>
            <w:tcW w:w="6041" w:type="dxa"/>
          </w:tcPr>
          <w:p w14:paraId="5B3BE590" w14:textId="1D0F8E9D" w:rsidR="008D1C4B" w:rsidRDefault="00017BB5">
            <w:pPr>
              <w:jc w:val="left"/>
              <w:rPr>
                <w:lang w:val="en-GB"/>
              </w:rPr>
            </w:pPr>
            <w:r>
              <w:rPr>
                <w:lang w:val="en-GB"/>
              </w:rPr>
              <w:t>Thomas WAGNSONNER (AT-II)</w:t>
            </w:r>
          </w:p>
        </w:tc>
      </w:tr>
      <w:tr w:rsidR="008D1C4B" w14:paraId="5B3BE594" w14:textId="77777777">
        <w:tc>
          <w:tcPr>
            <w:tcW w:w="3032" w:type="dxa"/>
          </w:tcPr>
          <w:p w14:paraId="5B3BE592" w14:textId="77777777" w:rsidR="008D1C4B" w:rsidRDefault="00017BB5">
            <w:pPr>
              <w:rPr>
                <w:lang w:val="en-GB"/>
              </w:rPr>
            </w:pPr>
            <w:r>
              <w:rPr>
                <w:lang w:val="en-GB"/>
              </w:rPr>
              <w:t>Co-rapporteur</w:t>
            </w:r>
          </w:p>
        </w:tc>
        <w:tc>
          <w:tcPr>
            <w:tcW w:w="6041" w:type="dxa"/>
          </w:tcPr>
          <w:p w14:paraId="5B3BE593" w14:textId="49769ABF" w:rsidR="008D1C4B" w:rsidRDefault="00017BB5">
            <w:pPr>
              <w:jc w:val="left"/>
              <w:rPr>
                <w:lang w:val="en-GB"/>
              </w:rPr>
            </w:pPr>
            <w:r>
              <w:rPr>
                <w:lang w:val="en-GB"/>
              </w:rPr>
              <w:t>Lidija PAVIĆ-ROGOŠIĆ (HR-III)</w:t>
            </w:r>
          </w:p>
        </w:tc>
      </w:tr>
      <w:tr w:rsidR="008D1C4B" w14:paraId="5B3BE597" w14:textId="77777777">
        <w:tc>
          <w:tcPr>
            <w:tcW w:w="3032" w:type="dxa"/>
          </w:tcPr>
          <w:p w14:paraId="5B3BE595" w14:textId="77777777" w:rsidR="008D1C4B" w:rsidRDefault="008D1C4B">
            <w:pPr>
              <w:rPr>
                <w:lang w:val="en-GB"/>
              </w:rPr>
            </w:pPr>
          </w:p>
        </w:tc>
        <w:tc>
          <w:tcPr>
            <w:tcW w:w="6041" w:type="dxa"/>
          </w:tcPr>
          <w:p w14:paraId="5B3BE596" w14:textId="77777777" w:rsidR="008D1C4B" w:rsidRDefault="008D1C4B">
            <w:pPr>
              <w:jc w:val="left"/>
              <w:rPr>
                <w:lang w:val="en-GB"/>
              </w:rPr>
            </w:pPr>
          </w:p>
        </w:tc>
      </w:tr>
      <w:tr w:rsidR="008D1C4B" w:rsidRPr="003125EA" w14:paraId="5B3BE59C" w14:textId="77777777">
        <w:tc>
          <w:tcPr>
            <w:tcW w:w="3032" w:type="dxa"/>
          </w:tcPr>
          <w:p w14:paraId="5B3BE598" w14:textId="77777777" w:rsidR="008D1C4B" w:rsidRDefault="00017BB5">
            <w:pPr>
              <w:rPr>
                <w:lang w:val="en-GB"/>
              </w:rPr>
            </w:pPr>
            <w:r>
              <w:rPr>
                <w:lang w:val="en-GB"/>
              </w:rPr>
              <w:t>Members</w:t>
            </w:r>
          </w:p>
        </w:tc>
        <w:tc>
          <w:tcPr>
            <w:tcW w:w="6041" w:type="dxa"/>
          </w:tcPr>
          <w:p w14:paraId="5B3BE599" w14:textId="3D92AAB9" w:rsidR="008D1C4B" w:rsidRDefault="00017BB5">
            <w:pPr>
              <w:jc w:val="left"/>
              <w:rPr>
                <w:lang w:val="es-ES"/>
              </w:rPr>
            </w:pPr>
            <w:r>
              <w:rPr>
                <w:lang w:val="es-ES"/>
              </w:rPr>
              <w:t>Helena DE FELIPE LEHTONEN (ES-I)</w:t>
            </w:r>
          </w:p>
          <w:p w14:paraId="5B3BE59A" w14:textId="70FFEC0A" w:rsidR="008D1C4B" w:rsidRDefault="00017BB5">
            <w:pPr>
              <w:jc w:val="left"/>
              <w:rPr>
                <w:lang w:val="it-IT"/>
              </w:rPr>
            </w:pPr>
            <w:r>
              <w:rPr>
                <w:lang w:val="it-IT"/>
              </w:rPr>
              <w:t>Cinzia DEL RIO (IT-II)</w:t>
            </w:r>
          </w:p>
          <w:p w14:paraId="422BF111" w14:textId="19CA1AA4" w:rsidR="008D1C4B" w:rsidRDefault="00017BB5">
            <w:pPr>
              <w:jc w:val="left"/>
              <w:rPr>
                <w:lang w:val="it-IT"/>
              </w:rPr>
            </w:pPr>
            <w:r>
              <w:rPr>
                <w:lang w:val="it-IT"/>
              </w:rPr>
              <w:t>Lisa FERRARINI (IT-I)</w:t>
            </w:r>
          </w:p>
          <w:p w14:paraId="3668DBE5" w14:textId="77777777" w:rsidR="008D1C4B" w:rsidRDefault="00017BB5">
            <w:pPr>
              <w:jc w:val="left"/>
              <w:rPr>
                <w:lang w:val="it-IT"/>
              </w:rPr>
            </w:pPr>
            <w:r>
              <w:rPr>
                <w:lang w:val="it-IT"/>
              </w:rPr>
              <w:t>Luca JAHIER (IT-III)</w:t>
            </w:r>
          </w:p>
          <w:p w14:paraId="3E21E655" w14:textId="3424B1BE" w:rsidR="008D1C4B" w:rsidRDefault="00017BB5">
            <w:pPr>
              <w:jc w:val="left"/>
              <w:rPr>
                <w:lang w:val="it-IT"/>
              </w:rPr>
            </w:pPr>
            <w:r>
              <w:rPr>
                <w:lang w:val="it-IT"/>
              </w:rPr>
              <w:t>Violeta JELIĆ (HR-I)</w:t>
            </w:r>
          </w:p>
          <w:p w14:paraId="7EC39585" w14:textId="03847E1F" w:rsidR="008D1C4B" w:rsidRDefault="00017BB5">
            <w:pPr>
              <w:jc w:val="left"/>
              <w:rPr>
                <w:lang w:val="it-IT"/>
              </w:rPr>
            </w:pPr>
            <w:r>
              <w:rPr>
                <w:lang w:val="it-IT"/>
              </w:rPr>
              <w:t xml:space="preserve">Michael </w:t>
            </w:r>
            <w:proofErr w:type="spellStart"/>
            <w:r>
              <w:rPr>
                <w:lang w:val="it-IT"/>
              </w:rPr>
              <w:t>McLOUGHLIN</w:t>
            </w:r>
            <w:proofErr w:type="spellEnd"/>
            <w:r>
              <w:rPr>
                <w:lang w:val="it-IT"/>
              </w:rPr>
              <w:t xml:space="preserve"> (IE-III)</w:t>
            </w:r>
          </w:p>
          <w:p w14:paraId="10AE7802" w14:textId="01E4B436" w:rsidR="008D1C4B" w:rsidRDefault="00017BB5">
            <w:pPr>
              <w:jc w:val="left"/>
              <w:rPr>
                <w:lang w:val="de-DE"/>
              </w:rPr>
            </w:pPr>
            <w:r>
              <w:rPr>
                <w:lang w:val="de-DE"/>
              </w:rPr>
              <w:t>Vilim RIBIĆ (HR-II)</w:t>
            </w:r>
          </w:p>
          <w:p w14:paraId="772AB911" w14:textId="4DAA8D4F" w:rsidR="008D1C4B" w:rsidRDefault="00017BB5">
            <w:pPr>
              <w:jc w:val="left"/>
              <w:rPr>
                <w:lang w:val="de-DE"/>
              </w:rPr>
            </w:pPr>
            <w:r>
              <w:rPr>
                <w:lang w:val="de-DE"/>
              </w:rPr>
              <w:t>Martin SCHAFFENRATH (AT-III)</w:t>
            </w:r>
          </w:p>
          <w:p w14:paraId="614B1025" w14:textId="77777777" w:rsidR="008D1C4B" w:rsidRPr="003125EA" w:rsidRDefault="00017BB5" w:rsidP="0077504E">
            <w:pPr>
              <w:spacing w:after="120"/>
              <w:jc w:val="left"/>
              <w:rPr>
                <w:lang w:val="de-DE"/>
              </w:rPr>
            </w:pPr>
            <w:r w:rsidRPr="003125EA">
              <w:rPr>
                <w:lang w:val="de-DE"/>
              </w:rPr>
              <w:t>Carlos SILVA (PT-II)</w:t>
            </w:r>
          </w:p>
          <w:p w14:paraId="783AA3B4" w14:textId="77777777" w:rsidR="000744F0" w:rsidRPr="003125EA" w:rsidRDefault="000744F0">
            <w:pPr>
              <w:jc w:val="left"/>
              <w:rPr>
                <w:lang w:val="de-DE"/>
              </w:rPr>
            </w:pPr>
            <w:r w:rsidRPr="003125EA">
              <w:rPr>
                <w:lang w:val="de-DE"/>
              </w:rPr>
              <w:t xml:space="preserve">Pablo PASTOR VIDAL (ES-Youth </w:t>
            </w:r>
            <w:proofErr w:type="spellStart"/>
            <w:r w:rsidRPr="003125EA">
              <w:rPr>
                <w:lang w:val="de-DE"/>
              </w:rPr>
              <w:t>Representative</w:t>
            </w:r>
            <w:proofErr w:type="spellEnd"/>
            <w:r w:rsidRPr="003125EA">
              <w:rPr>
                <w:lang w:val="de-DE"/>
              </w:rPr>
              <w:t>)</w:t>
            </w:r>
          </w:p>
          <w:p w14:paraId="0775ED68" w14:textId="77777777" w:rsidR="000744F0" w:rsidRPr="003125EA" w:rsidRDefault="000744F0">
            <w:pPr>
              <w:jc w:val="left"/>
              <w:rPr>
                <w:lang w:val="de-DE"/>
              </w:rPr>
            </w:pPr>
            <w:r w:rsidRPr="003125EA">
              <w:rPr>
                <w:lang w:val="de-DE"/>
              </w:rPr>
              <w:t xml:space="preserve">Abdullatif SLEIBI (NL-Youth </w:t>
            </w:r>
            <w:proofErr w:type="spellStart"/>
            <w:r w:rsidRPr="003125EA">
              <w:rPr>
                <w:lang w:val="de-DE"/>
              </w:rPr>
              <w:t>Representative</w:t>
            </w:r>
            <w:proofErr w:type="spellEnd"/>
            <w:r w:rsidRPr="003125EA">
              <w:rPr>
                <w:lang w:val="de-DE"/>
              </w:rPr>
              <w:t>)</w:t>
            </w:r>
          </w:p>
          <w:p w14:paraId="5B3BE59B" w14:textId="49D6FA91" w:rsidR="000744F0" w:rsidRPr="003125EA" w:rsidRDefault="000744F0">
            <w:pPr>
              <w:jc w:val="left"/>
              <w:rPr>
                <w:lang w:val="de-DE"/>
              </w:rPr>
            </w:pPr>
            <w:proofErr w:type="spellStart"/>
            <w:r w:rsidRPr="003125EA">
              <w:rPr>
                <w:lang w:val="de-DE"/>
              </w:rPr>
              <w:t>Layal</w:t>
            </w:r>
            <w:proofErr w:type="spellEnd"/>
            <w:r w:rsidRPr="003125EA">
              <w:rPr>
                <w:lang w:val="de-DE"/>
              </w:rPr>
              <w:t xml:space="preserve"> BEYHUM (LBN-Youth </w:t>
            </w:r>
            <w:proofErr w:type="spellStart"/>
            <w:r w:rsidRPr="003125EA">
              <w:rPr>
                <w:lang w:val="de-DE"/>
              </w:rPr>
              <w:t>Representative</w:t>
            </w:r>
            <w:proofErr w:type="spellEnd"/>
            <w:r w:rsidRPr="003125EA">
              <w:rPr>
                <w:lang w:val="de-DE"/>
              </w:rPr>
              <w:t>)</w:t>
            </w:r>
          </w:p>
        </w:tc>
      </w:tr>
    </w:tbl>
    <w:p w14:paraId="5B3BE5A3" w14:textId="77777777" w:rsidR="008D1C4B" w:rsidRPr="003125EA" w:rsidRDefault="008D1C4B">
      <w:pPr>
        <w:rPr>
          <w:lang w:val="de-DE"/>
        </w:rPr>
      </w:pPr>
    </w:p>
    <w:tbl>
      <w:tblPr>
        <w:tblW w:w="0" w:type="auto"/>
        <w:tblLook w:val="04A0" w:firstRow="1" w:lastRow="0" w:firstColumn="1" w:lastColumn="0" w:noHBand="0" w:noVBand="1"/>
      </w:tblPr>
      <w:tblGrid>
        <w:gridCol w:w="3055"/>
        <w:gridCol w:w="6018"/>
      </w:tblGrid>
      <w:tr w:rsidR="008D1C4B" w14:paraId="24249E85" w14:textId="77777777">
        <w:trPr>
          <w:trHeight w:val="251"/>
        </w:trPr>
        <w:tc>
          <w:tcPr>
            <w:tcW w:w="3055" w:type="dxa"/>
          </w:tcPr>
          <w:p w14:paraId="1225BDD1" w14:textId="72B1478F" w:rsidR="008D1C4B" w:rsidRDefault="00017BB5">
            <w:pPr>
              <w:jc w:val="left"/>
              <w:rPr>
                <w:lang w:val="en-GB"/>
              </w:rPr>
            </w:pPr>
            <w:r>
              <w:rPr>
                <w:lang w:val="en-GB"/>
              </w:rPr>
              <w:t>Advisors</w:t>
            </w:r>
          </w:p>
        </w:tc>
        <w:tc>
          <w:tcPr>
            <w:tcW w:w="6018" w:type="dxa"/>
          </w:tcPr>
          <w:p w14:paraId="6A59503A" w14:textId="3658CEE1" w:rsidR="008D1C4B" w:rsidRDefault="00017BB5">
            <w:pPr>
              <w:jc w:val="left"/>
              <w:rPr>
                <w:lang w:val="en-GB"/>
              </w:rPr>
            </w:pPr>
            <w:r>
              <w:rPr>
                <w:lang w:val="en-GB"/>
              </w:rPr>
              <w:t>Karol ZABAWA (rapporteur’s advisor, Group II)</w:t>
            </w:r>
          </w:p>
          <w:p w14:paraId="6A26F736" w14:textId="77777777" w:rsidR="008D1C4B" w:rsidRDefault="00017BB5">
            <w:pPr>
              <w:jc w:val="left"/>
              <w:rPr>
                <w:lang w:val="en-GB"/>
              </w:rPr>
            </w:pPr>
            <w:r>
              <w:rPr>
                <w:iCs/>
                <w:lang w:val="en-GB"/>
              </w:rPr>
              <w:t xml:space="preserve">Rim FILALI MEKNASSI </w:t>
            </w:r>
            <w:r>
              <w:rPr>
                <w:lang w:val="en-GB"/>
              </w:rPr>
              <w:t>(co-rapporteur’s advisor, Group III)</w:t>
            </w:r>
          </w:p>
          <w:p w14:paraId="4CEFBCA3" w14:textId="1C6C1349" w:rsidR="008D1C4B" w:rsidRDefault="00017BB5">
            <w:pPr>
              <w:jc w:val="left"/>
              <w:rPr>
                <w:lang w:val="en-GB"/>
              </w:rPr>
            </w:pPr>
            <w:r>
              <w:rPr>
                <w:lang w:val="en-GB"/>
              </w:rPr>
              <w:t>Maria GAVOUNELI (advisor for Group I)</w:t>
            </w:r>
          </w:p>
        </w:tc>
      </w:tr>
      <w:tr w:rsidR="008D1C4B" w14:paraId="35E60D09" w14:textId="77777777">
        <w:trPr>
          <w:trHeight w:val="251"/>
        </w:trPr>
        <w:tc>
          <w:tcPr>
            <w:tcW w:w="3055" w:type="dxa"/>
          </w:tcPr>
          <w:p w14:paraId="2CCD6979" w14:textId="77777777" w:rsidR="008D1C4B" w:rsidRDefault="008D1C4B">
            <w:pPr>
              <w:jc w:val="left"/>
              <w:rPr>
                <w:lang w:val="en-GB"/>
              </w:rPr>
            </w:pPr>
          </w:p>
        </w:tc>
        <w:tc>
          <w:tcPr>
            <w:tcW w:w="6018" w:type="dxa"/>
          </w:tcPr>
          <w:p w14:paraId="5F5408E4" w14:textId="77777777" w:rsidR="008D1C4B" w:rsidRDefault="008D1C4B">
            <w:pPr>
              <w:jc w:val="left"/>
              <w:rPr>
                <w:lang w:val="en-GB"/>
              </w:rPr>
            </w:pPr>
          </w:p>
        </w:tc>
      </w:tr>
    </w:tbl>
    <w:p w14:paraId="5B3BE5D2" w14:textId="77777777" w:rsidR="008D1C4B" w:rsidRDefault="00017BB5">
      <w:pPr>
        <w:rPr>
          <w:lang w:val="en-GB"/>
        </w:rPr>
      </w:pPr>
      <w:r>
        <w:rPr>
          <w:lang w:val="en-GB"/>
        </w:rPr>
        <w:br w:type="page"/>
      </w:r>
    </w:p>
    <w:p w14:paraId="5B3BE5D3" w14:textId="77777777" w:rsidR="008D1C4B" w:rsidRDefault="00017BB5">
      <w:pPr>
        <w:pStyle w:val="berschrift1"/>
        <w:rPr>
          <w:b/>
          <w:lang w:val="en-GB"/>
        </w:rPr>
      </w:pPr>
      <w:r>
        <w:rPr>
          <w:b/>
          <w:lang w:val="en-GB"/>
        </w:rPr>
        <w:lastRenderedPageBreak/>
        <w:t>Conclusions and recommendations</w:t>
      </w:r>
    </w:p>
    <w:p w14:paraId="5B3BE5D4" w14:textId="77777777" w:rsidR="008D1C4B" w:rsidRDefault="008D1C4B">
      <w:pPr>
        <w:rPr>
          <w:lang w:val="en-GB"/>
        </w:rPr>
      </w:pPr>
    </w:p>
    <w:p w14:paraId="051305FC" w14:textId="14E61918" w:rsidR="008D1C4B" w:rsidRDefault="00017BB5">
      <w:pPr>
        <w:pStyle w:val="berschrift2"/>
        <w:rPr>
          <w:lang w:val="en-GB"/>
        </w:rPr>
      </w:pPr>
      <w:r w:rsidRPr="40B6CB60">
        <w:rPr>
          <w:lang w:val="en-GB"/>
        </w:rPr>
        <w:t xml:space="preserve">The Mediterranean region is a strategic area for the EU, not only for geopolitical reasons but also because of the significant economic, cultural and development opportunities it offers </w:t>
      </w:r>
      <w:r w:rsidR="0E6E9F4F" w:rsidRPr="40B6CB60">
        <w:rPr>
          <w:lang w:val="en-GB"/>
        </w:rPr>
        <w:t>for the cooperation and</w:t>
      </w:r>
      <w:r w:rsidR="2D7EA4B5" w:rsidRPr="40B6CB60">
        <w:rPr>
          <w:lang w:val="en-GB"/>
        </w:rPr>
        <w:t xml:space="preserve"> mutual benefit </w:t>
      </w:r>
      <w:r w:rsidR="165E1DD3" w:rsidRPr="40B6CB60">
        <w:rPr>
          <w:lang w:val="en-GB"/>
        </w:rPr>
        <w:t xml:space="preserve">of </w:t>
      </w:r>
      <w:r w:rsidR="78362A7F" w:rsidRPr="40B6CB60">
        <w:rPr>
          <w:lang w:val="en-GB"/>
        </w:rPr>
        <w:t xml:space="preserve">all peoples in </w:t>
      </w:r>
      <w:r w:rsidR="2D7EA4B5" w:rsidRPr="40B6CB60">
        <w:rPr>
          <w:lang w:val="en-GB"/>
        </w:rPr>
        <w:t>the</w:t>
      </w:r>
      <w:r w:rsidR="4A707398" w:rsidRPr="40B6CB60">
        <w:rPr>
          <w:lang w:val="en-GB"/>
        </w:rPr>
        <w:t xml:space="preserve"> whole Euromed region</w:t>
      </w:r>
      <w:r w:rsidR="2D7EA4B5" w:rsidRPr="40B6CB60">
        <w:rPr>
          <w:lang w:val="en-GB"/>
        </w:rPr>
        <w:t xml:space="preserve">. </w:t>
      </w:r>
    </w:p>
    <w:p w14:paraId="12EF1A59" w14:textId="0A2A45A5" w:rsidR="008D1C4B" w:rsidRDefault="008D1C4B">
      <w:pPr>
        <w:pStyle w:val="berschrift2"/>
        <w:numPr>
          <w:ilvl w:val="0"/>
          <w:numId w:val="0"/>
        </w:numPr>
        <w:rPr>
          <w:lang w:val="en-GB"/>
        </w:rPr>
      </w:pPr>
    </w:p>
    <w:p w14:paraId="15808062" w14:textId="4C2FC3C8" w:rsidR="008D1C4B" w:rsidRDefault="00017BB5">
      <w:pPr>
        <w:pStyle w:val="berschrift2"/>
        <w:rPr>
          <w:lang w:val="en-GB"/>
        </w:rPr>
      </w:pPr>
      <w:r w:rsidRPr="40B6CB60">
        <w:rPr>
          <w:lang w:val="en-GB"/>
        </w:rPr>
        <w:t>The EESC expects the New Pact for the Mediterranean (the Pact) to actively promote peace, democracy, good governance, the fight against corruption, the rule of law, equal access to justice, inclusive prosperity and stability, civic spaces and human and labour rights, and to foster respect for international humanitarian law (IHL)</w:t>
      </w:r>
      <w:r w:rsidR="0DF9E173" w:rsidRPr="40B6CB60">
        <w:rPr>
          <w:lang w:val="en-GB"/>
        </w:rPr>
        <w:t xml:space="preserve"> </w:t>
      </w:r>
      <w:r w:rsidR="7CE7D97B" w:rsidRPr="40B6CB60">
        <w:rPr>
          <w:lang w:val="en-GB"/>
        </w:rPr>
        <w:t>The EESC also s</w:t>
      </w:r>
      <w:r w:rsidR="0DF9E173" w:rsidRPr="40B6CB60">
        <w:rPr>
          <w:lang w:val="en-GB"/>
        </w:rPr>
        <w:t>upports strongly the renewed multilateralism in political and trade relations and highlights the opportunity of bilateral agreements within a multilateral context, focusing on a growing potential for entrepreneurship.</w:t>
      </w:r>
    </w:p>
    <w:p w14:paraId="771CF9DD" w14:textId="2FF8D4E1" w:rsidR="008D1C4B" w:rsidRDefault="008D1C4B">
      <w:pPr>
        <w:pStyle w:val="berschrift2"/>
        <w:numPr>
          <w:ilvl w:val="0"/>
          <w:numId w:val="0"/>
        </w:numPr>
        <w:rPr>
          <w:lang w:val="en-GB"/>
        </w:rPr>
      </w:pPr>
    </w:p>
    <w:p w14:paraId="780B9114" w14:textId="1668C0E3" w:rsidR="008D1C4B" w:rsidRDefault="00017BB5">
      <w:pPr>
        <w:pStyle w:val="berschrift2"/>
        <w:rPr>
          <w:lang w:val="en-GB"/>
        </w:rPr>
      </w:pPr>
      <w:r>
        <w:rPr>
          <w:lang w:val="en-GB"/>
        </w:rPr>
        <w:t>The EESC sees the Pact as a new development model, with shared partnerships and business opportunities able to deliver economic growth and innovation, with good quality jobs and opportunities especially for young people and women who are active in inclusive and socially stable societies. The EESC therefore wishes to become an integral institutional partner in this process. It also calls on the European Commission to consider upgrading the existing EESC Euromed Follow-up Committee to an inclusive body with members from the partner countries which will play a key role in monitoring and evaluating the Pact.</w:t>
      </w:r>
    </w:p>
    <w:p w14:paraId="43F0A0FA" w14:textId="77777777" w:rsidR="008D1C4B" w:rsidRDefault="008D1C4B">
      <w:pPr>
        <w:rPr>
          <w:lang w:val="en-GB"/>
        </w:rPr>
      </w:pPr>
    </w:p>
    <w:p w14:paraId="752C1D62" w14:textId="37677A25" w:rsidR="008D1C4B" w:rsidRPr="00A80978" w:rsidRDefault="00017BB5" w:rsidP="40B6CB60">
      <w:pPr>
        <w:pStyle w:val="berschrift2"/>
        <w:rPr>
          <w:lang w:val="en-GB"/>
        </w:rPr>
      </w:pPr>
      <w:r w:rsidRPr="00A80978">
        <w:rPr>
          <w:lang w:val="en-GB"/>
        </w:rPr>
        <w:t xml:space="preserve">The EESC calls for </w:t>
      </w:r>
      <w:r w:rsidRPr="00A80978">
        <w:rPr>
          <w:b/>
          <w:bCs/>
          <w:lang w:val="en-GB"/>
        </w:rPr>
        <w:t>evaluation</w:t>
      </w:r>
      <w:r w:rsidR="03A32A13" w:rsidRPr="00A80978">
        <w:rPr>
          <w:b/>
          <w:bCs/>
          <w:lang w:val="en-GB"/>
        </w:rPr>
        <w:t>s</w:t>
      </w:r>
      <w:r w:rsidR="084184CA" w:rsidRPr="00A80978">
        <w:t xml:space="preserve"> </w:t>
      </w:r>
      <w:r w:rsidR="05472D76" w:rsidRPr="00A80978">
        <w:rPr>
          <w:lang w:val="en-GB"/>
        </w:rPr>
        <w:t xml:space="preserve">of </w:t>
      </w:r>
      <w:r w:rsidRPr="00A80978">
        <w:rPr>
          <w:lang w:val="en-GB"/>
        </w:rPr>
        <w:t xml:space="preserve">previous policies and strategies </w:t>
      </w:r>
      <w:r w:rsidR="00A80978" w:rsidRPr="003125EA">
        <w:rPr>
          <w:lang w:val="en-GB"/>
        </w:rPr>
        <w:t xml:space="preserve">accompanying the Pact </w:t>
      </w:r>
      <w:r w:rsidR="41B9DC5D" w:rsidRPr="00A80978">
        <w:rPr>
          <w:lang w:val="en-GB"/>
        </w:rPr>
        <w:t xml:space="preserve">to be </w:t>
      </w:r>
      <w:r w:rsidR="53D9396C" w:rsidRPr="00A80978">
        <w:rPr>
          <w:lang w:val="en-GB"/>
        </w:rPr>
        <w:t xml:space="preserve">carried out by the </w:t>
      </w:r>
      <w:r w:rsidR="4DC64E44" w:rsidRPr="00A80978">
        <w:rPr>
          <w:lang w:val="en-GB"/>
        </w:rPr>
        <w:t xml:space="preserve">Commission. </w:t>
      </w:r>
    </w:p>
    <w:p w14:paraId="3B1C05F7" w14:textId="77777777" w:rsidR="008D1C4B" w:rsidRDefault="008D1C4B">
      <w:pPr>
        <w:rPr>
          <w:lang w:val="en-GB"/>
        </w:rPr>
      </w:pPr>
    </w:p>
    <w:p w14:paraId="09551893" w14:textId="17C5B004" w:rsidR="008D1C4B" w:rsidRDefault="00017BB5">
      <w:pPr>
        <w:pStyle w:val="berschrift2"/>
        <w:rPr>
          <w:lang w:val="en-GB"/>
        </w:rPr>
      </w:pPr>
      <w:r w:rsidRPr="40B6CB60">
        <w:rPr>
          <w:lang w:val="en-GB"/>
        </w:rPr>
        <w:t>The EESC emphasises that monitoring and evaluation</w:t>
      </w:r>
      <w:r w:rsidR="0B3E2CC5" w:rsidRPr="40B6CB60">
        <w:rPr>
          <w:lang w:val="en-GB"/>
        </w:rPr>
        <w:t xml:space="preserve"> of the Pact</w:t>
      </w:r>
      <w:r w:rsidR="005D489A" w:rsidRPr="40B6CB60">
        <w:rPr>
          <w:lang w:val="en-GB"/>
        </w:rPr>
        <w:t xml:space="preserve"> </w:t>
      </w:r>
      <w:r w:rsidRPr="40B6CB60">
        <w:rPr>
          <w:lang w:val="en-GB"/>
        </w:rPr>
        <w:t>must be participatory from the outset, ensuring that civil society organisations (CSOs) and social partners play an active role in shaping indicators, verifying data and interpreting findings and are consulted on implementation.</w:t>
      </w:r>
    </w:p>
    <w:p w14:paraId="5336A55E" w14:textId="1BAEFD59" w:rsidR="008D1C4B" w:rsidRDefault="008D1C4B">
      <w:pPr>
        <w:pStyle w:val="berschrift2"/>
        <w:numPr>
          <w:ilvl w:val="0"/>
          <w:numId w:val="0"/>
        </w:numPr>
        <w:rPr>
          <w:lang w:val="en-GB"/>
        </w:rPr>
      </w:pPr>
    </w:p>
    <w:p w14:paraId="4488A674" w14:textId="1B71F4D4" w:rsidR="008D1C4B" w:rsidRDefault="00017BB5">
      <w:pPr>
        <w:pStyle w:val="berschrift2"/>
        <w:rPr>
          <w:lang w:val="en-GB"/>
        </w:rPr>
      </w:pPr>
      <w:r>
        <w:rPr>
          <w:lang w:val="en-GB"/>
        </w:rPr>
        <w:t xml:space="preserve">The EESC calls for the Pact to include targeted support for social and civil dialogue mechanisms and organisations. It also calls for a stronger and guaranteed role within the Pact for Economic and Social Councils (ESCs) and similar bodies in the Euromed region, including the </w:t>
      </w:r>
      <w:hyperlink r:id="rId20" w:history="1">
        <w:r>
          <w:rPr>
            <w:rStyle w:val="Hyperlink"/>
            <w:lang w:val="en-GB"/>
          </w:rPr>
          <w:t>Mediterranean Youth Council</w:t>
        </w:r>
      </w:hyperlink>
      <w:r>
        <w:rPr>
          <w:lang w:val="en-GB"/>
        </w:rPr>
        <w:t>, and supports the creation of ESCs and similar bodies in countries lacking such a structure.</w:t>
      </w:r>
    </w:p>
    <w:p w14:paraId="5B051F1A" w14:textId="77777777" w:rsidR="008D1C4B" w:rsidRDefault="008D1C4B">
      <w:pPr>
        <w:rPr>
          <w:lang w:val="en-GB"/>
        </w:rPr>
      </w:pPr>
    </w:p>
    <w:p w14:paraId="207AA726" w14:textId="7A8906DA" w:rsidR="008D1C4B" w:rsidRDefault="00017BB5">
      <w:pPr>
        <w:pStyle w:val="berschrift2"/>
        <w:rPr>
          <w:lang w:val="en-GB"/>
        </w:rPr>
      </w:pPr>
      <w:r>
        <w:rPr>
          <w:lang w:val="en-GB"/>
        </w:rPr>
        <w:t xml:space="preserve"> The EESC emphasises the significance of including and endorsing the voices of non-traditional and marginalised people and groups in formal decision-making processes. It points out that there is currently no </w:t>
      </w:r>
      <w:r>
        <w:rPr>
          <w:b/>
          <w:lang w:val="en-GB"/>
        </w:rPr>
        <w:t>streamlined gender perspective</w:t>
      </w:r>
      <w:r>
        <w:rPr>
          <w:lang w:val="en-GB"/>
        </w:rPr>
        <w:t xml:space="preserve"> in the discourse surrounding the Pact and emphasises the role of young people in co-creating it.</w:t>
      </w:r>
    </w:p>
    <w:p w14:paraId="40CE19AE" w14:textId="77777777" w:rsidR="008D1C4B" w:rsidRDefault="008D1C4B">
      <w:pPr>
        <w:pStyle w:val="Listenabsatz"/>
        <w:rPr>
          <w:lang w:val="en-GB"/>
        </w:rPr>
      </w:pPr>
    </w:p>
    <w:p w14:paraId="2DAEDE62" w14:textId="4A4896C4" w:rsidR="008D1C4B" w:rsidRDefault="00017BB5">
      <w:pPr>
        <w:pStyle w:val="berschrift2"/>
        <w:rPr>
          <w:lang w:val="en-GB"/>
        </w:rPr>
      </w:pPr>
      <w:r>
        <w:rPr>
          <w:lang w:val="en-GB"/>
        </w:rPr>
        <w:t>Internal and regional conflicts are a reality in the region. The EESC underlines the role of the Pact and the forthcoming EU Middle East Strategy in reshaping the EU’s approach to conflict resolution and post-conflict reconstruction, which socially inclusive policies can be based. CSOs and social partners must be involved in shaping these strategies.</w:t>
      </w:r>
    </w:p>
    <w:p w14:paraId="02163A5C" w14:textId="4DA0553E" w:rsidR="008D1C4B" w:rsidRDefault="008D1C4B">
      <w:pPr>
        <w:pStyle w:val="berschrift2"/>
        <w:numPr>
          <w:ilvl w:val="0"/>
          <w:numId w:val="0"/>
        </w:numPr>
        <w:rPr>
          <w:lang w:val="en-GB"/>
        </w:rPr>
      </w:pPr>
    </w:p>
    <w:p w14:paraId="1C15293F" w14:textId="77777777" w:rsidR="0077504E" w:rsidRDefault="0077504E">
      <w:pPr>
        <w:spacing w:line="240" w:lineRule="auto"/>
        <w:jc w:val="left"/>
        <w:rPr>
          <w:lang w:val="en-GB"/>
        </w:rPr>
      </w:pPr>
      <w:r>
        <w:rPr>
          <w:lang w:val="en-GB"/>
        </w:rPr>
        <w:br w:type="page"/>
      </w:r>
    </w:p>
    <w:p w14:paraId="198F20B1" w14:textId="6FCCBA54" w:rsidR="008D1C4B" w:rsidRDefault="00017BB5">
      <w:pPr>
        <w:pStyle w:val="berschrift2"/>
        <w:rPr>
          <w:lang w:val="en-GB"/>
        </w:rPr>
      </w:pPr>
      <w:r>
        <w:rPr>
          <w:lang w:val="en-GB"/>
        </w:rPr>
        <w:lastRenderedPageBreak/>
        <w:t xml:space="preserve">The EESC stresses the need for </w:t>
      </w:r>
      <w:r>
        <w:t xml:space="preserve">a differentiated approach to </w:t>
      </w:r>
      <w:proofErr w:type="spellStart"/>
      <w:r>
        <w:t>labour</w:t>
      </w:r>
      <w:proofErr w:type="spellEnd"/>
      <w:r>
        <w:t xml:space="preserve"> migration, separating these affairs from the perspective of security</w:t>
      </w:r>
      <w:r>
        <w:rPr>
          <w:lang w:val="en-GB"/>
        </w:rPr>
        <w:t>. It also calls for current and future frameworks to adopt a balanced approach which takes due account of the risks and benefits for both the EU and partner countries.</w:t>
      </w:r>
      <w:bookmarkStart w:id="0" w:name="_Ref201061576"/>
      <w:r w:rsidR="000744F0">
        <w:rPr>
          <w:rStyle w:val="Funotenzeichen"/>
          <w:lang w:val="en-GB"/>
        </w:rPr>
        <w:footnoteReference w:id="2"/>
      </w:r>
      <w:bookmarkEnd w:id="0"/>
      <w:r>
        <w:rPr>
          <w:lang w:val="en-GB"/>
        </w:rPr>
        <w:t xml:space="preserve"> </w:t>
      </w:r>
    </w:p>
    <w:p w14:paraId="0519A45F" w14:textId="111656C5" w:rsidR="008D1C4B" w:rsidRDefault="008D1C4B">
      <w:pPr>
        <w:pStyle w:val="berschrift2"/>
        <w:numPr>
          <w:ilvl w:val="0"/>
          <w:numId w:val="0"/>
        </w:numPr>
        <w:rPr>
          <w:lang w:val="en-GB"/>
        </w:rPr>
      </w:pPr>
    </w:p>
    <w:p w14:paraId="703BEC2C" w14:textId="51FF1A5B" w:rsidR="008D1C4B" w:rsidRDefault="00017BB5">
      <w:pPr>
        <w:pStyle w:val="berschrift2"/>
        <w:rPr>
          <w:lang w:val="en-GB"/>
        </w:rPr>
      </w:pPr>
      <w:r>
        <w:rPr>
          <w:lang w:val="en-GB"/>
        </w:rPr>
        <w:t>The EESC calls for targeted investment in infrastructure projects, which requires a fair and inclusive interregional financial framework. At present, cooperation among major development banks and other donors is marred by fragmentation and inadequate coordination. The establishment of a formal investment coordination mechanism, such as a regional investment bank or fund actively involving all partner countries and civil society, would facilitate the mobilisation of resources and the financing of key infrastructure projects, and promote inclusive and green growth.</w:t>
      </w:r>
    </w:p>
    <w:p w14:paraId="3E29C215" w14:textId="6FE6BDBD" w:rsidR="008D1C4B" w:rsidRDefault="008D1C4B">
      <w:pPr>
        <w:pStyle w:val="berschrift2"/>
        <w:numPr>
          <w:ilvl w:val="0"/>
          <w:numId w:val="0"/>
        </w:numPr>
        <w:rPr>
          <w:lang w:val="en-GB"/>
        </w:rPr>
      </w:pPr>
    </w:p>
    <w:p w14:paraId="0E24463C" w14:textId="3EA0C6CA" w:rsidR="008D1C4B" w:rsidRDefault="00017BB5">
      <w:pPr>
        <w:pStyle w:val="berschrift2"/>
        <w:rPr>
          <w:lang w:val="en-GB"/>
        </w:rPr>
      </w:pPr>
      <w:r w:rsidRPr="40B6CB60">
        <w:rPr>
          <w:lang w:val="en-GB"/>
        </w:rPr>
        <w:t>Entrepreneurship remains key for the sustainable development of the Mediterranean. Micro, small and medium enterprises (MSMEs), which are the backbone of economic and social development across the region, need support to build capacity in the digital economy and rely on energy and infrastructure connectivity, in both the North-South and South-South corridors.</w:t>
      </w:r>
      <w:bookmarkStart w:id="1" w:name="_Ref201061645"/>
      <w:r w:rsidR="000744F0">
        <w:rPr>
          <w:rStyle w:val="Funotenzeichen"/>
          <w:lang w:val="en-GB"/>
        </w:rPr>
        <w:footnoteReference w:id="3"/>
      </w:r>
      <w:bookmarkEnd w:id="1"/>
    </w:p>
    <w:p w14:paraId="21C62D99" w14:textId="77777777" w:rsidR="008D1C4B" w:rsidRDefault="008D1C4B">
      <w:pPr>
        <w:pStyle w:val="berschrift2"/>
        <w:numPr>
          <w:ilvl w:val="0"/>
          <w:numId w:val="0"/>
        </w:numPr>
        <w:rPr>
          <w:lang w:val="en-GB"/>
        </w:rPr>
      </w:pPr>
    </w:p>
    <w:p w14:paraId="29D94FB1" w14:textId="79D81C22" w:rsidR="008D1C4B" w:rsidRDefault="00017BB5">
      <w:pPr>
        <w:pStyle w:val="berschrift2"/>
        <w:rPr>
          <w:lang w:val="en-GB"/>
        </w:rPr>
      </w:pPr>
      <w:r w:rsidRPr="40B6CB60">
        <w:rPr>
          <w:lang w:val="en-GB"/>
        </w:rPr>
        <w:t xml:space="preserve">The EESC points out that the Pact has the potential to deepen trade relations with the partner countries and establish a Euro-Mediterranean Free Trade Area. </w:t>
      </w:r>
      <w:r w:rsidR="16A210AB" w:rsidRPr="40B6CB60">
        <w:rPr>
          <w:lang w:val="en-GB"/>
        </w:rPr>
        <w:t xml:space="preserve">It urges that </w:t>
      </w:r>
      <w:r w:rsidR="166704FE" w:rsidRPr="40B6CB60">
        <w:rPr>
          <w:lang w:val="en-GB"/>
        </w:rPr>
        <w:t>t</w:t>
      </w:r>
      <w:r w:rsidRPr="40B6CB60">
        <w:rPr>
          <w:lang w:val="en-GB"/>
        </w:rPr>
        <w:t xml:space="preserve">he negotiations on a new generation of trade agreements </w:t>
      </w:r>
      <w:r w:rsidR="062E6DD7" w:rsidRPr="40B6CB60">
        <w:rPr>
          <w:lang w:val="en-GB"/>
        </w:rPr>
        <w:t xml:space="preserve">include </w:t>
      </w:r>
      <w:r w:rsidRPr="40B6CB60">
        <w:rPr>
          <w:lang w:val="en-GB"/>
        </w:rPr>
        <w:t xml:space="preserve"> sustainable development chapters, joint management of mobility and monitoring by organised civil society through </w:t>
      </w:r>
      <w:hyperlink r:id="rId21">
        <w:r w:rsidRPr="40B6CB60">
          <w:rPr>
            <w:rStyle w:val="Hyperlink"/>
            <w:lang w:val="en-GB"/>
          </w:rPr>
          <w:t>domestic advisory groups</w:t>
        </w:r>
      </w:hyperlink>
      <w:r w:rsidRPr="40B6CB60">
        <w:rPr>
          <w:lang w:val="en-GB"/>
        </w:rPr>
        <w:t xml:space="preserve"> (DAGs) have to be begun afresh.</w:t>
      </w:r>
    </w:p>
    <w:p w14:paraId="0D3B1647" w14:textId="77777777" w:rsidR="008D1C4B" w:rsidRDefault="008D1C4B">
      <w:pPr>
        <w:pStyle w:val="berschrift2"/>
        <w:numPr>
          <w:ilvl w:val="0"/>
          <w:numId w:val="0"/>
        </w:numPr>
        <w:rPr>
          <w:lang w:val="en-GB"/>
        </w:rPr>
      </w:pPr>
    </w:p>
    <w:p w14:paraId="1E39E3E1" w14:textId="72BC4E5E" w:rsidR="008D1C4B" w:rsidRDefault="00017BB5">
      <w:pPr>
        <w:pStyle w:val="berschrift2"/>
        <w:rPr>
          <w:lang w:val="en-GB"/>
        </w:rPr>
      </w:pPr>
      <w:r w:rsidRPr="40B6CB60">
        <w:rPr>
          <w:lang w:val="en-GB"/>
        </w:rPr>
        <w:t xml:space="preserve">EU tools such as Erasmus+ and </w:t>
      </w:r>
      <w:hyperlink r:id="rId22">
        <w:r w:rsidRPr="40B6CB60">
          <w:rPr>
            <w:rStyle w:val="Hyperlink"/>
            <w:lang w:val="en-GB"/>
          </w:rPr>
          <w:t>Interreg</w:t>
        </w:r>
      </w:hyperlink>
      <w:r w:rsidRPr="40B6CB60">
        <w:rPr>
          <w:lang w:val="en-GB"/>
        </w:rPr>
        <w:t xml:space="preserve"> must introduce dedicated funding lines for civil society, </w:t>
      </w:r>
      <w:r w:rsidR="3712E296" w:rsidRPr="40B6CB60">
        <w:rPr>
          <w:lang w:val="en-GB"/>
        </w:rPr>
        <w:t xml:space="preserve">taking into account local specificities when drafting eligibility </w:t>
      </w:r>
      <w:proofErr w:type="gramStart"/>
      <w:r w:rsidR="3712E296" w:rsidRPr="40B6CB60">
        <w:rPr>
          <w:lang w:val="en-GB"/>
        </w:rPr>
        <w:t xml:space="preserve">criteria </w:t>
      </w:r>
      <w:r w:rsidRPr="40B6CB60">
        <w:rPr>
          <w:lang w:val="en-GB"/>
        </w:rPr>
        <w:t>,</w:t>
      </w:r>
      <w:proofErr w:type="gramEnd"/>
      <w:r w:rsidRPr="40B6CB60">
        <w:rPr>
          <w:lang w:val="en-GB"/>
        </w:rPr>
        <w:t xml:space="preserve"> simplified applications and long-term financing options. Re-granting mechanisms, successfully implemented in the Western Balkans (</w:t>
      </w:r>
      <w:hyperlink r:id="rId23">
        <w:r w:rsidRPr="40B6CB60">
          <w:rPr>
            <w:rStyle w:val="Hyperlink"/>
            <w:lang w:val="en-GB"/>
          </w:rPr>
          <w:t>Western Balkans Fund</w:t>
        </w:r>
      </w:hyperlink>
      <w:r w:rsidRPr="40B6CB60">
        <w:rPr>
          <w:lang w:val="en-GB"/>
        </w:rPr>
        <w:t xml:space="preserve"> and </w:t>
      </w:r>
      <w:hyperlink r:id="rId24">
        <w:r w:rsidRPr="40B6CB60">
          <w:rPr>
            <w:rStyle w:val="Hyperlink"/>
            <w:lang w:val="en-GB"/>
          </w:rPr>
          <w:t>Regional Civil Society Development Hub</w:t>
        </w:r>
      </w:hyperlink>
      <w:r w:rsidRPr="40B6CB60">
        <w:rPr>
          <w:lang w:val="en-GB"/>
        </w:rPr>
        <w:t xml:space="preserve">), should be leveraged to improve access to funding. </w:t>
      </w:r>
    </w:p>
    <w:p w14:paraId="2AD4397A" w14:textId="497BED33" w:rsidR="008D1C4B" w:rsidRDefault="008D1C4B">
      <w:pPr>
        <w:rPr>
          <w:lang w:val="en-GB"/>
        </w:rPr>
      </w:pPr>
    </w:p>
    <w:p w14:paraId="373612DF" w14:textId="71B912FE" w:rsidR="008D1C4B" w:rsidRDefault="00017BB5">
      <w:pPr>
        <w:pStyle w:val="berschrift2"/>
        <w:rPr>
          <w:lang w:val="en-GB"/>
        </w:rPr>
      </w:pPr>
      <w:r w:rsidRPr="40B6CB60">
        <w:rPr>
          <w:lang w:val="en-GB"/>
        </w:rPr>
        <w:t xml:space="preserve">The EESC advocates for local participation mechanisms such as regional forums and rural civil society incubators, and simplified grants for </w:t>
      </w:r>
      <w:r w:rsidR="12171E02" w:rsidRPr="40B6CB60">
        <w:rPr>
          <w:lang w:val="en-GB"/>
        </w:rPr>
        <w:t xml:space="preserve">genuine </w:t>
      </w:r>
      <w:r w:rsidRPr="40B6CB60">
        <w:rPr>
          <w:lang w:val="en-GB"/>
        </w:rPr>
        <w:t>grassroots actors. To promote territorial cohesion, it calls for incentives for urban-rural collaboration in areas such as food, energy and mobility backed by targeted rural funding, drawing on models like the EU’s LEADER/CLLD approach.</w:t>
      </w:r>
    </w:p>
    <w:p w14:paraId="32479DBD" w14:textId="2DE513DE" w:rsidR="008D1C4B" w:rsidRDefault="008D1C4B">
      <w:pPr>
        <w:rPr>
          <w:lang w:val="en-GB"/>
        </w:rPr>
      </w:pPr>
    </w:p>
    <w:p w14:paraId="3230D676" w14:textId="5D92B5E5" w:rsidR="008D1C4B" w:rsidRDefault="00017BB5">
      <w:pPr>
        <w:pStyle w:val="berschrift2"/>
        <w:rPr>
          <w:lang w:val="en-GB"/>
        </w:rPr>
      </w:pPr>
      <w:r>
        <w:rPr>
          <w:lang w:val="en-GB"/>
        </w:rPr>
        <w:t>The EESC emphasises that capacity building and civic education integrated into formal education systems are instrumental in strengthening participatory governance and policy advocacy. Non-formal education plays a crucial role and should be supported.</w:t>
      </w:r>
    </w:p>
    <w:p w14:paraId="3E395224" w14:textId="77777777" w:rsidR="008D1C4B" w:rsidRDefault="008D1C4B">
      <w:pPr>
        <w:rPr>
          <w:lang w:val="en-GB"/>
        </w:rPr>
      </w:pPr>
    </w:p>
    <w:p w14:paraId="5EA1E379" w14:textId="64E05535" w:rsidR="00A80978" w:rsidRDefault="00A80978" w:rsidP="00A80978">
      <w:pPr>
        <w:pStyle w:val="berschrift2"/>
        <w:rPr>
          <w:lang w:val="en-GB"/>
        </w:rPr>
      </w:pPr>
      <w:r w:rsidRPr="00A80978">
        <w:rPr>
          <w:lang w:val="en-GB"/>
        </w:rPr>
        <w:lastRenderedPageBreak/>
        <w:t>The role of young people</w:t>
      </w:r>
      <w:r>
        <w:rPr>
          <w:lang w:val="en-GB"/>
        </w:rPr>
        <w:t>,</w:t>
      </w:r>
      <w:r w:rsidRPr="00A80978">
        <w:t xml:space="preserve"> </w:t>
      </w:r>
      <w:r>
        <w:rPr>
          <w:lang w:val="en-GB"/>
        </w:rPr>
        <w:t>in particular</w:t>
      </w:r>
      <w:r w:rsidRPr="00A80978">
        <w:rPr>
          <w:lang w:val="en-GB"/>
        </w:rPr>
        <w:t xml:space="preserve"> from different socioeconomic levels and regional backgrounds</w:t>
      </w:r>
      <w:r>
        <w:rPr>
          <w:lang w:val="en-GB"/>
        </w:rPr>
        <w:t>,</w:t>
      </w:r>
      <w:r w:rsidRPr="00A80978">
        <w:rPr>
          <w:lang w:val="en-GB"/>
        </w:rPr>
        <w:t xml:space="preserve"> in co-creating the Pact is key to ensuring inclusive participation and addressing the difficulties they face in participating</w:t>
      </w:r>
      <w:r>
        <w:rPr>
          <w:lang w:val="en-GB"/>
        </w:rPr>
        <w:t>.</w:t>
      </w:r>
      <w:bookmarkStart w:id="2" w:name="_Ref201061583"/>
      <w:r>
        <w:rPr>
          <w:rStyle w:val="Funotenzeichen"/>
          <w:lang w:val="en-GB"/>
        </w:rPr>
        <w:footnoteReference w:id="4"/>
      </w:r>
      <w:bookmarkEnd w:id="2"/>
    </w:p>
    <w:p w14:paraId="76FFEBA9" w14:textId="77777777" w:rsidR="00A80978" w:rsidRPr="00A80978" w:rsidRDefault="00A80978" w:rsidP="003125EA">
      <w:pPr>
        <w:rPr>
          <w:lang w:val="en-GB"/>
        </w:rPr>
      </w:pPr>
    </w:p>
    <w:p w14:paraId="24CDA347" w14:textId="35537AFC" w:rsidR="008D1C4B" w:rsidRDefault="00017BB5">
      <w:pPr>
        <w:pStyle w:val="berschrift2"/>
        <w:rPr>
          <w:lang w:val="en-GB"/>
        </w:rPr>
      </w:pPr>
      <w:r>
        <w:rPr>
          <w:lang w:val="en-GB"/>
        </w:rPr>
        <w:t xml:space="preserve">The EESC is in favour of supporting the expansion of UNIMED to all Euro-Mediterranean countries and creating financial tools to assist in this process and support the rotation capacities of students and researchers. </w:t>
      </w:r>
    </w:p>
    <w:p w14:paraId="0637991A" w14:textId="3A8AAD5B" w:rsidR="008D1C4B" w:rsidRDefault="008D1C4B">
      <w:pPr>
        <w:rPr>
          <w:lang w:val="en-GB"/>
        </w:rPr>
      </w:pPr>
    </w:p>
    <w:p w14:paraId="7529603C" w14:textId="31E636D9" w:rsidR="008D1C4B" w:rsidRDefault="00017BB5">
      <w:pPr>
        <w:pStyle w:val="berschrift2"/>
        <w:rPr>
          <w:lang w:val="en-GB"/>
        </w:rPr>
      </w:pPr>
      <w:r>
        <w:rPr>
          <w:lang w:val="en-GB"/>
        </w:rPr>
        <w:t>The EESC welcomes the Arab Recovery and Reconstruction Plan for Gaza presented on 4 March 2025 and calls on the Commission to align EU funding with it and to advocate for Palestinian civil society to be included as full partners in designing, implementing and monitoring this plan under the Pact.</w:t>
      </w:r>
    </w:p>
    <w:p w14:paraId="57CE3123" w14:textId="05B50767" w:rsidR="008D1C4B" w:rsidRDefault="008D1C4B">
      <w:pPr>
        <w:rPr>
          <w:lang w:val="en-GB"/>
        </w:rPr>
      </w:pPr>
    </w:p>
    <w:p w14:paraId="51A1E277" w14:textId="390685D2" w:rsidR="008D1C4B" w:rsidRDefault="00017BB5">
      <w:pPr>
        <w:pStyle w:val="berschrift2"/>
        <w:rPr>
          <w:lang w:val="en-GB"/>
        </w:rPr>
      </w:pPr>
      <w:r>
        <w:rPr>
          <w:lang w:val="en-GB"/>
        </w:rPr>
        <w:t xml:space="preserve">The Pact should build should upon the </w:t>
      </w:r>
      <w:hyperlink r:id="rId25" w:history="1">
        <w:r>
          <w:rPr>
            <w:rStyle w:val="Hyperlink"/>
            <w:lang w:val="en-GB"/>
          </w:rPr>
          <w:t>Naples Process</w:t>
        </w:r>
      </w:hyperlink>
      <w:r>
        <w:rPr>
          <w:lang w:val="en-GB"/>
        </w:rPr>
        <w:t xml:space="preserve"> for cultural collaboration in Europe and develop joint strategies to protect and enhance culture as a common good for the region and an important tool for EU external relations. The EESC supports the launch of a corresponding EU-Mediterranean Cultural Fund.</w:t>
      </w:r>
    </w:p>
    <w:p w14:paraId="5B3BE5DA" w14:textId="734DFCD1" w:rsidR="008D1C4B" w:rsidRDefault="008D1C4B">
      <w:pPr>
        <w:rPr>
          <w:lang w:val="en-GB"/>
        </w:rPr>
      </w:pPr>
    </w:p>
    <w:p w14:paraId="5B3BE5DB" w14:textId="0F2860FE" w:rsidR="008D1C4B" w:rsidRDefault="00017BB5">
      <w:pPr>
        <w:pStyle w:val="berschrift1"/>
        <w:keepNext/>
        <w:rPr>
          <w:lang w:val="en-GB"/>
        </w:rPr>
      </w:pPr>
      <w:r>
        <w:rPr>
          <w:b/>
          <w:bCs/>
          <w:lang w:val="en-GB"/>
        </w:rPr>
        <w:t>Scope and objectives</w:t>
      </w:r>
    </w:p>
    <w:p w14:paraId="7BAB539C" w14:textId="65AE504F" w:rsidR="008D1C4B" w:rsidRDefault="008D1C4B">
      <w:pPr>
        <w:pStyle w:val="berschrift2"/>
        <w:keepNext/>
        <w:numPr>
          <w:ilvl w:val="0"/>
          <w:numId w:val="0"/>
        </w:numPr>
        <w:rPr>
          <w:lang w:val="en-GB"/>
        </w:rPr>
      </w:pPr>
    </w:p>
    <w:p w14:paraId="735A2CF2" w14:textId="11F6C386" w:rsidR="008D1C4B" w:rsidRDefault="00017BB5">
      <w:pPr>
        <w:pStyle w:val="berschrift2"/>
        <w:rPr>
          <w:lang w:val="en-GB"/>
        </w:rPr>
      </w:pPr>
      <w:r>
        <w:rPr>
          <w:lang w:val="en-GB"/>
        </w:rPr>
        <w:t>The Pact, as outlined in official EU communications and speeches</w:t>
      </w:r>
      <w:r>
        <w:rPr>
          <w:rStyle w:val="Funotenzeichen"/>
          <w:lang w:val="en-GB"/>
        </w:rPr>
        <w:footnoteReference w:id="5"/>
      </w:r>
      <w:r>
        <w:rPr>
          <w:lang w:val="en-GB"/>
        </w:rPr>
        <w:t>, seeks to establish a strategic, people-centred framework for deeper EU-Southern Mediterranean cooperation. It aims to address evolving geopolitical circumstances through stronger political commitment and partnerships, focusing on shared priorities. The Pact will include the ten Southern Neighbourhood countries. The EESC welcomes the key policy areas</w:t>
      </w:r>
      <w:r w:rsidR="0E74FEC5">
        <w:rPr>
          <w:lang w:val="en-GB"/>
        </w:rPr>
        <w:t xml:space="preserve"> </w:t>
      </w:r>
      <w:r w:rsidR="2DD815D0" w:rsidRPr="40B6CB60">
        <w:rPr>
          <w:lang w:val="en-GB"/>
        </w:rPr>
        <w:t>as quoted in the scoping paper namely “energy and clean tech, water resilience and climate change preparedness, agriculture, trade and investment, including rare earth minerals, migration management, talents, skills and jobs development, mobility, higher education, culture and sport, digital and transport (including ports) connectivity, security and defence”</w:t>
      </w:r>
      <w:r w:rsidR="715194A2" w:rsidRPr="40B6CB60">
        <w:rPr>
          <w:lang w:val="en-GB"/>
        </w:rPr>
        <w:t xml:space="preserve">. </w:t>
      </w:r>
    </w:p>
    <w:p w14:paraId="5795AF19" w14:textId="77777777" w:rsidR="008D1C4B" w:rsidRDefault="008D1C4B">
      <w:pPr>
        <w:rPr>
          <w:lang w:val="en-GB"/>
        </w:rPr>
      </w:pPr>
    </w:p>
    <w:p w14:paraId="028DA6C9" w14:textId="5491DFC3" w:rsidR="008D1C4B" w:rsidRDefault="00017BB5">
      <w:pPr>
        <w:pStyle w:val="berschrift2"/>
        <w:rPr>
          <w:lang w:val="en-GB"/>
        </w:rPr>
      </w:pPr>
      <w:r>
        <w:rPr>
          <w:lang w:val="en-GB"/>
        </w:rPr>
        <w:t xml:space="preserve">The Pact is expected to build upon the Joint Communication on a </w:t>
      </w:r>
      <w:hyperlink r:id="rId26" w:history="1">
        <w:r>
          <w:rPr>
            <w:rStyle w:val="Hyperlink"/>
            <w:i/>
            <w:iCs/>
            <w:lang w:val="en-GB"/>
          </w:rPr>
          <w:t xml:space="preserve">Renewed partnership with the Southern Neighbourhood – </w:t>
        </w:r>
        <w:r>
          <w:rPr>
            <w:rStyle w:val="Hyperlink"/>
            <w:i/>
            <w:lang w:val="en-GB"/>
          </w:rPr>
          <w:t>A New Agenda for the Mediterranean</w:t>
        </w:r>
      </w:hyperlink>
      <w:r>
        <w:rPr>
          <w:lang w:val="en-GB"/>
        </w:rPr>
        <w:t xml:space="preserve"> and the accompanying </w:t>
      </w:r>
      <w:hyperlink r:id="rId27" w:history="1">
        <w:r>
          <w:rPr>
            <w:rStyle w:val="Hyperlink"/>
            <w:lang w:val="en-GB"/>
          </w:rPr>
          <w:t>Economic and Investment Plan</w:t>
        </w:r>
      </w:hyperlink>
      <w:r>
        <w:rPr>
          <w:lang w:val="en-GB"/>
        </w:rPr>
        <w:t xml:space="preserve">, published in February 2021. The EESC adopted the corresponding REX/540 opinion on </w:t>
      </w:r>
      <w:hyperlink r:id="rId28" w:history="1">
        <w:r>
          <w:rPr>
            <w:rStyle w:val="Hyperlink"/>
            <w:i/>
            <w:lang w:val="en-GB"/>
          </w:rPr>
          <w:t>A New Agenda for the Mediterranean</w:t>
        </w:r>
      </w:hyperlink>
      <w:r>
        <w:rPr>
          <w:lang w:val="en-GB"/>
        </w:rPr>
        <w:t xml:space="preserve"> in July 2021 and reiterates that the recommendations set out in it should be incorporated into the Pact. </w:t>
      </w:r>
    </w:p>
    <w:p w14:paraId="2B88A09B" w14:textId="77777777" w:rsidR="008D1C4B" w:rsidRDefault="008D1C4B">
      <w:pPr>
        <w:rPr>
          <w:lang w:val="en-GB"/>
        </w:rPr>
      </w:pPr>
    </w:p>
    <w:p w14:paraId="433EAA4F" w14:textId="72DC0BC2" w:rsidR="008D1C4B" w:rsidRDefault="00017BB5">
      <w:pPr>
        <w:pStyle w:val="berschrift2"/>
        <w:rPr>
          <w:lang w:val="en-GB"/>
        </w:rPr>
      </w:pPr>
      <w:r w:rsidRPr="40B6CB60">
        <w:rPr>
          <w:lang w:val="en-GB"/>
        </w:rPr>
        <w:t>The EESC has adopted several opinions</w:t>
      </w:r>
      <w:r w:rsidR="000744F0">
        <w:rPr>
          <w:rStyle w:val="Funotenzeichen"/>
          <w:lang w:val="en-GB"/>
        </w:rPr>
        <w:footnoteReference w:id="6"/>
      </w:r>
      <w:r w:rsidRPr="40B6CB60">
        <w:rPr>
          <w:lang w:val="en-GB"/>
        </w:rPr>
        <w:t xml:space="preserve"> regarding the Euro-Mediterranean region (see Annex) and underscores the importance of incorporating them and other relevant strategies (e.g. </w:t>
      </w:r>
      <w:hyperlink r:id="rId29">
        <w:r w:rsidRPr="40B6CB60">
          <w:rPr>
            <w:rStyle w:val="Hyperlink"/>
            <w:lang w:val="en-GB"/>
          </w:rPr>
          <w:t>Mediterranean Strategy for Sustainable Development 2016–2025</w:t>
        </w:r>
      </w:hyperlink>
      <w:r w:rsidRPr="40B6CB60">
        <w:rPr>
          <w:lang w:val="en-GB"/>
        </w:rPr>
        <w:t>) regarding the Mediterranean region in the Pact.</w:t>
      </w:r>
    </w:p>
    <w:p w14:paraId="01CF51F4" w14:textId="68D14AD0" w:rsidR="008D1C4B" w:rsidRDefault="00017BB5">
      <w:pPr>
        <w:pStyle w:val="berschrift2"/>
        <w:rPr>
          <w:lang w:val="en-GB"/>
        </w:rPr>
      </w:pPr>
      <w:r w:rsidRPr="40B6CB60">
        <w:rPr>
          <w:lang w:val="en-GB"/>
        </w:rPr>
        <w:lastRenderedPageBreak/>
        <w:t xml:space="preserve">The latest </w:t>
      </w:r>
      <w:r w:rsidR="7B5E97D5" w:rsidRPr="40B6CB60">
        <w:rPr>
          <w:lang w:val="en-GB"/>
        </w:rPr>
        <w:t>ministerial declarations</w:t>
      </w:r>
      <w:r w:rsidRPr="40B6CB60">
        <w:rPr>
          <w:lang w:val="en-GB"/>
        </w:rPr>
        <w:t xml:space="preserve"> adopted by the </w:t>
      </w:r>
      <w:r w:rsidR="4020B2CB" w:rsidRPr="40B6CB60">
        <w:rPr>
          <w:lang w:val="en-GB"/>
        </w:rPr>
        <w:t xml:space="preserve">member states </w:t>
      </w:r>
      <w:r w:rsidR="5987F4DF" w:rsidRPr="40B6CB60">
        <w:rPr>
          <w:lang w:val="en-GB"/>
        </w:rPr>
        <w:t xml:space="preserve">of the </w:t>
      </w:r>
      <w:r w:rsidRPr="40B6CB60">
        <w:rPr>
          <w:lang w:val="en-GB"/>
        </w:rPr>
        <w:t xml:space="preserve">Union for the Mediterranean (UfM) in fields such as environment and climate, energy, the blue economy, sustainable urban development, employment and labour and women’s </w:t>
      </w:r>
      <w:r w:rsidR="1979BCD8" w:rsidRPr="40B6CB60">
        <w:rPr>
          <w:lang w:val="en-GB"/>
        </w:rPr>
        <w:t>empowerment</w:t>
      </w:r>
      <w:r w:rsidRPr="40B6CB60">
        <w:rPr>
          <w:lang w:val="en-GB"/>
        </w:rPr>
        <w:t>, remain key regional strategies with which the Pact must align.</w:t>
      </w:r>
    </w:p>
    <w:p w14:paraId="69897D2D" w14:textId="77777777" w:rsidR="008D1C4B" w:rsidRDefault="008D1C4B">
      <w:pPr>
        <w:rPr>
          <w:lang w:val="en-GB"/>
        </w:rPr>
      </w:pPr>
    </w:p>
    <w:p w14:paraId="144FB95F" w14:textId="220EF889" w:rsidR="008D1C4B" w:rsidRDefault="00017BB5">
      <w:pPr>
        <w:pStyle w:val="berschrift1"/>
        <w:keepNext/>
        <w:rPr>
          <w:lang w:val="en-GB"/>
        </w:rPr>
      </w:pPr>
      <w:r>
        <w:rPr>
          <w:b/>
          <w:lang w:val="en-GB"/>
        </w:rPr>
        <w:t>General comments</w:t>
      </w:r>
    </w:p>
    <w:p w14:paraId="461A2A8E" w14:textId="46A1DF1C" w:rsidR="008D1C4B" w:rsidRDefault="008D1C4B">
      <w:pPr>
        <w:keepNext/>
        <w:rPr>
          <w:lang w:val="en-GB"/>
        </w:rPr>
      </w:pPr>
    </w:p>
    <w:p w14:paraId="4AF91382" w14:textId="7A307C3D" w:rsidR="008D1C4B" w:rsidRDefault="00017BB5">
      <w:pPr>
        <w:keepNext/>
        <w:rPr>
          <w:b/>
          <w:lang w:val="en-GB"/>
        </w:rPr>
      </w:pPr>
      <w:r>
        <w:rPr>
          <w:b/>
          <w:lang w:val="en-GB"/>
        </w:rPr>
        <w:t>Governance and democracy</w:t>
      </w:r>
    </w:p>
    <w:p w14:paraId="67EC0DB1" w14:textId="77777777" w:rsidR="008D1C4B" w:rsidRDefault="008D1C4B">
      <w:pPr>
        <w:keepNext/>
        <w:rPr>
          <w:bCs/>
          <w:lang w:val="en-GB"/>
        </w:rPr>
      </w:pPr>
    </w:p>
    <w:p w14:paraId="0D8CA4D2" w14:textId="41EC2151" w:rsidR="008D1C4B" w:rsidRDefault="00017BB5">
      <w:pPr>
        <w:pStyle w:val="berschrift2"/>
        <w:rPr>
          <w:lang w:val="en-GB"/>
        </w:rPr>
      </w:pPr>
      <w:r w:rsidRPr="40B6CB60">
        <w:rPr>
          <w:lang w:val="en-GB"/>
        </w:rPr>
        <w:t xml:space="preserve">The EESC acknowledges the Commission’s efforts to draft the Pact and underscores the significance of basing it on the </w:t>
      </w:r>
      <w:r w:rsidRPr="40B6CB60">
        <w:rPr>
          <w:i/>
          <w:iCs/>
          <w:lang w:val="en-GB"/>
        </w:rPr>
        <w:t>Renewed Partnership with the Southern Neighbourhood – A New Agenda for the Mediterranean</w:t>
      </w:r>
      <w:r w:rsidRPr="40B6CB60">
        <w:rPr>
          <w:lang w:val="en-GB"/>
        </w:rPr>
        <w:t xml:space="preserve">. The EESC expects the Pact to actively promote peace, democracy, good governance, the fight against corruption, the rule of law, equal access to justice, </w:t>
      </w:r>
      <w:r w:rsidR="26A3EF2D" w:rsidRPr="40B6CB60">
        <w:rPr>
          <w:lang w:val="en-GB"/>
        </w:rPr>
        <w:t xml:space="preserve">competitiveness, </w:t>
      </w:r>
      <w:r w:rsidRPr="40B6CB60">
        <w:rPr>
          <w:lang w:val="en-GB"/>
        </w:rPr>
        <w:t>inclusive growth and prosperity, civic spaces and human and labour rights and to foster respect for IHL and the role of the UN in the region. Access to funds for any initiatives included in the Pact must depend on these commitments being met.</w:t>
      </w:r>
    </w:p>
    <w:p w14:paraId="73BFA855" w14:textId="7F560B03" w:rsidR="008D1C4B" w:rsidRDefault="008D1C4B">
      <w:pPr>
        <w:rPr>
          <w:lang w:val="en-GB"/>
        </w:rPr>
      </w:pPr>
    </w:p>
    <w:p w14:paraId="5AB7D089" w14:textId="4A36ACC1" w:rsidR="008D1C4B" w:rsidRDefault="00017BB5">
      <w:pPr>
        <w:pStyle w:val="berschrift2"/>
        <w:rPr>
          <w:lang w:val="en-GB"/>
        </w:rPr>
      </w:pPr>
      <w:r>
        <w:rPr>
          <w:lang w:val="en-GB"/>
        </w:rPr>
        <w:t xml:space="preserve">In order to ensure consistency and facilitate the identification of lessons learned, it is crucial to evaluate previous policies and the reasons for the failure of previous agreements regarding a comprehensive Mediterranean strategy. This </w:t>
      </w:r>
      <w:r>
        <w:rPr>
          <w:b/>
          <w:lang w:val="en-GB"/>
        </w:rPr>
        <w:t>evaluation</w:t>
      </w:r>
      <w:r>
        <w:rPr>
          <w:lang w:val="en-GB"/>
        </w:rPr>
        <w:t xml:space="preserve"> should be summarised in a report to be published alongside the Pact. The EESC calls for civil society (CSOs and social partners) to play a role in drafting this report, as well as in developing monitoring and evaluation measures. These measures shall include explicit benchmarks, budget allocations and regular assessments and must be included in future bilateral partnership agreements. Outcome reports from independent mechanisms and evaluation bodies must set out recommendations, which the authorities of the Pact must act on within a specific timeframe.</w:t>
      </w:r>
    </w:p>
    <w:p w14:paraId="7815D291" w14:textId="4241ED52" w:rsidR="008D1C4B" w:rsidRDefault="008D1C4B">
      <w:pPr>
        <w:pStyle w:val="berschrift2"/>
        <w:numPr>
          <w:ilvl w:val="0"/>
          <w:numId w:val="0"/>
        </w:numPr>
        <w:rPr>
          <w:lang w:val="en-GB"/>
        </w:rPr>
      </w:pPr>
    </w:p>
    <w:p w14:paraId="33B53F13" w14:textId="3956394C" w:rsidR="008D1C4B" w:rsidRDefault="00017BB5">
      <w:pPr>
        <w:pStyle w:val="berschrift2"/>
        <w:rPr>
          <w:lang w:val="en-GB"/>
        </w:rPr>
      </w:pPr>
      <w:r>
        <w:rPr>
          <w:lang w:val="en-GB"/>
        </w:rPr>
        <w:t xml:space="preserve">The EESC expresses its support for the consultative process undertaken, emphasising the importance of bottom-up (grassroots and innovative) approaches and of incorporating civil society from the EU and the partner countries as strategic partners of the Pact. However, the process lacks a clear approach, transparency and methodology. Civil society must be recognised as co-creators and implementers of the Pact, which will help establish the Pact’s approach as a partnership of equals between the EU and partner countries. </w:t>
      </w:r>
    </w:p>
    <w:p w14:paraId="13D74D94" w14:textId="1ED7B5A7" w:rsidR="008D1C4B" w:rsidRDefault="008D1C4B">
      <w:pPr>
        <w:rPr>
          <w:lang w:val="en-GB"/>
        </w:rPr>
      </w:pPr>
    </w:p>
    <w:p w14:paraId="5460979E" w14:textId="5D11DB2B" w:rsidR="008D1C4B" w:rsidRDefault="00017BB5">
      <w:pPr>
        <w:pStyle w:val="berschrift2"/>
        <w:rPr>
          <w:lang w:val="en-GB"/>
        </w:rPr>
      </w:pPr>
      <w:r>
        <w:rPr>
          <w:lang w:val="en-GB"/>
        </w:rPr>
        <w:t>CSOs and social partners must be involved in EU protection mechanisms as these groups drive rights-based reforms, including good governance and anti-corruption initiatives, they need to be empowered to monitor violations. The EESC calls for the establishment of a fund for at-risk organisations and individuals, offering legal, financial and relocation support.</w:t>
      </w:r>
    </w:p>
    <w:p w14:paraId="08C96BEF" w14:textId="504E35FB" w:rsidR="008D1C4B" w:rsidRDefault="008D1C4B">
      <w:pPr>
        <w:rPr>
          <w:lang w:val="en-GB"/>
        </w:rPr>
      </w:pPr>
    </w:p>
    <w:p w14:paraId="1800867B" w14:textId="77777777" w:rsidR="003125EA" w:rsidRDefault="003125EA">
      <w:pPr>
        <w:spacing w:line="240" w:lineRule="auto"/>
        <w:jc w:val="left"/>
        <w:rPr>
          <w:b/>
          <w:lang w:val="en-GB"/>
        </w:rPr>
      </w:pPr>
      <w:r>
        <w:rPr>
          <w:b/>
          <w:lang w:val="en-GB"/>
        </w:rPr>
        <w:br w:type="page"/>
      </w:r>
    </w:p>
    <w:p w14:paraId="6379C249" w14:textId="0D73368D" w:rsidR="008D1C4B" w:rsidRDefault="00017BB5">
      <w:pPr>
        <w:keepNext/>
        <w:rPr>
          <w:b/>
          <w:lang w:val="en-GB"/>
        </w:rPr>
      </w:pPr>
      <w:r>
        <w:rPr>
          <w:b/>
          <w:lang w:val="en-GB"/>
        </w:rPr>
        <w:lastRenderedPageBreak/>
        <w:t>Institutional framework</w:t>
      </w:r>
    </w:p>
    <w:p w14:paraId="11CD06AB" w14:textId="77777777" w:rsidR="008D1C4B" w:rsidRDefault="008D1C4B">
      <w:pPr>
        <w:keepNext/>
        <w:rPr>
          <w:lang w:val="en-GB"/>
        </w:rPr>
      </w:pPr>
    </w:p>
    <w:p w14:paraId="18894C12" w14:textId="175D03FC" w:rsidR="008D1C4B" w:rsidRDefault="00017BB5">
      <w:pPr>
        <w:pStyle w:val="berschrift2"/>
        <w:rPr>
          <w:lang w:val="en-GB"/>
        </w:rPr>
      </w:pPr>
      <w:r>
        <w:rPr>
          <w:lang w:val="en-GB"/>
        </w:rPr>
        <w:t xml:space="preserve">Social and civil dialogue processes are a cornerstone of democratic participation. However, CSOs and social partner organisations face difficulties in taking part in decision-making processes. The EESC calls for the Pact to include targeted support for social and civil dialogue mechanisms and organisations, particularly in situations where structural barriers prevent meaningful participation. This support shall ensure democratic processes that go beyond elections and are practically grounded in civic freedoms, international human and labour rights, and inclusive access to information and opportunities. </w:t>
      </w:r>
    </w:p>
    <w:p w14:paraId="63EECEF9" w14:textId="77777777" w:rsidR="008D1C4B" w:rsidRDefault="008D1C4B">
      <w:pPr>
        <w:rPr>
          <w:lang w:val="en-GB"/>
        </w:rPr>
      </w:pPr>
    </w:p>
    <w:p w14:paraId="170BB3A8" w14:textId="09E5ACD7" w:rsidR="008D1C4B" w:rsidRDefault="00017BB5">
      <w:pPr>
        <w:pStyle w:val="berschrift2"/>
        <w:rPr>
          <w:lang w:val="en-GB"/>
        </w:rPr>
      </w:pPr>
      <w:r>
        <w:rPr>
          <w:b/>
          <w:lang w:val="en-GB"/>
        </w:rPr>
        <w:t>Social dialogue</w:t>
      </w:r>
      <w:r>
        <w:rPr>
          <w:lang w:val="en-GB"/>
        </w:rPr>
        <w:t xml:space="preserve"> is key to shaping economic, labour and social policies, promoting resilience, competitiveness and inclusive growth. The EESC calls for the implementation of key ILO conventions (C98, C135, C87, C154); this will reinforce bipartite and tripartite dialogue and so ensure social and economic justice.</w:t>
      </w:r>
    </w:p>
    <w:p w14:paraId="4F0715A8" w14:textId="2B513639" w:rsidR="008D1C4B" w:rsidRDefault="008D1C4B">
      <w:pPr>
        <w:pStyle w:val="berschrift2"/>
        <w:numPr>
          <w:ilvl w:val="0"/>
          <w:numId w:val="0"/>
        </w:numPr>
        <w:rPr>
          <w:lang w:val="en-GB"/>
        </w:rPr>
      </w:pPr>
    </w:p>
    <w:p w14:paraId="1C4810B5" w14:textId="50460F55" w:rsidR="008D1C4B" w:rsidRDefault="00017BB5">
      <w:pPr>
        <w:pStyle w:val="berschrift2"/>
        <w:rPr>
          <w:lang w:val="en-GB"/>
        </w:rPr>
      </w:pPr>
      <w:r>
        <w:rPr>
          <w:b/>
          <w:bCs/>
          <w:lang w:val="en-GB"/>
        </w:rPr>
        <w:t>Civil dialogue</w:t>
      </w:r>
      <w:r>
        <w:rPr>
          <w:lang w:val="en-GB"/>
        </w:rPr>
        <w:t xml:space="preserve"> between CSOs and with governments is essential to the Pact, fostering trust, cooperation and sustainable development. It ensures diverse voices are heard, supports local empowerment and promotes peaceful, inclusive solutions.</w:t>
      </w:r>
    </w:p>
    <w:p w14:paraId="649C2E12" w14:textId="77777777" w:rsidR="008D1C4B" w:rsidRDefault="008D1C4B">
      <w:pPr>
        <w:rPr>
          <w:lang w:val="en-GB"/>
        </w:rPr>
      </w:pPr>
    </w:p>
    <w:p w14:paraId="5B7991D3" w14:textId="515920D7" w:rsidR="008D1C4B" w:rsidRDefault="00017BB5">
      <w:pPr>
        <w:pStyle w:val="berschrift2"/>
        <w:rPr>
          <w:lang w:val="en-GB"/>
        </w:rPr>
      </w:pPr>
      <w:r>
        <w:rPr>
          <w:lang w:val="en-GB"/>
        </w:rPr>
        <w:t xml:space="preserve">ESCs and similar bodies (e.g. </w:t>
      </w:r>
      <w:hyperlink r:id="rId30" w:history="1">
        <w:r>
          <w:rPr>
            <w:rStyle w:val="Hyperlink"/>
            <w:lang w:val="en-GB"/>
          </w:rPr>
          <w:t>Mediterranean Youth Council</w:t>
        </w:r>
      </w:hyperlink>
      <w:r>
        <w:rPr>
          <w:lang w:val="en-GB"/>
        </w:rPr>
        <w:t>) in the Euromed region are stable platforms for policy dialogue and play a crucial role in fostering inclusive and sustainable policymaking. They have the potential to drive environmental, climate and social action at grassroots level and are key partners in initiatives that advance the SDGs and support the just transition to inclusive societies and economies. The EESC calls for a stronger and guaranteed role for them within the Pact and calls for support for the creation of ESCs and similar bodies in countries lacking such a structure.</w:t>
      </w:r>
    </w:p>
    <w:p w14:paraId="6A3E145C" w14:textId="77777777" w:rsidR="008D1C4B" w:rsidRDefault="008D1C4B">
      <w:pPr>
        <w:pStyle w:val="berschrift2"/>
        <w:numPr>
          <w:ilvl w:val="0"/>
          <w:numId w:val="0"/>
        </w:numPr>
        <w:rPr>
          <w:lang w:val="en-GB"/>
        </w:rPr>
      </w:pPr>
    </w:p>
    <w:p w14:paraId="60863732" w14:textId="759905FF" w:rsidR="008D1C4B" w:rsidRDefault="00017BB5">
      <w:pPr>
        <w:pStyle w:val="berschrift2"/>
        <w:keepNext/>
        <w:numPr>
          <w:ilvl w:val="0"/>
          <w:numId w:val="0"/>
        </w:numPr>
        <w:rPr>
          <w:bCs/>
          <w:lang w:val="en-GB"/>
        </w:rPr>
      </w:pPr>
      <w:r>
        <w:rPr>
          <w:b/>
          <w:lang w:val="en-GB"/>
        </w:rPr>
        <w:t>Mobility</w:t>
      </w:r>
    </w:p>
    <w:p w14:paraId="0A880392" w14:textId="77777777" w:rsidR="008D1C4B" w:rsidRDefault="008D1C4B">
      <w:pPr>
        <w:keepNext/>
        <w:rPr>
          <w:lang w:val="en-GB"/>
        </w:rPr>
      </w:pPr>
    </w:p>
    <w:p w14:paraId="6D119DC1" w14:textId="7E0506DA" w:rsidR="008D1C4B" w:rsidRDefault="00017BB5">
      <w:pPr>
        <w:pStyle w:val="berschrift2"/>
        <w:rPr>
          <w:lang w:val="en-GB"/>
        </w:rPr>
      </w:pPr>
      <w:r>
        <w:rPr>
          <w:lang w:val="en-GB"/>
        </w:rPr>
        <w:t xml:space="preserve">The EESC emphasises the relevance of cultivating interregional civil society collaboration. This should extend beyond conventional North-South technical assistance to incorporate regional, South-South and triangular collaboration within the Pact. One possibility is to empower diaspora communities to lead or co-lead initiatives with their countries of origin and thereby act as ambassadors for greater integration and cooperation. </w:t>
      </w:r>
    </w:p>
    <w:p w14:paraId="03E4B6A4" w14:textId="77777777" w:rsidR="008D1C4B" w:rsidRDefault="008D1C4B">
      <w:pPr>
        <w:rPr>
          <w:lang w:val="en-GB"/>
        </w:rPr>
      </w:pPr>
    </w:p>
    <w:p w14:paraId="6A41FCBD" w14:textId="38A8D710" w:rsidR="008D1C4B" w:rsidRDefault="00017BB5">
      <w:pPr>
        <w:pStyle w:val="berschrift2"/>
        <w:rPr>
          <w:lang w:val="en-GB"/>
        </w:rPr>
      </w:pPr>
      <w:r>
        <w:rPr>
          <w:lang w:val="en-GB"/>
        </w:rPr>
        <w:t>The EESC recognises that Southern Mediterranean civil society, independent media and youth mobility across the Mediterranean are central to building mutual understanding, trust and cooperation and stresses that restrictive visa policies remain a major obstacle. The announced EU visa strategy should be used as an opportunity to consider a comprehensive legal framework supporting long-term collaboration, recurring visits and South–South–North exchanges, as well as enhancing young people’s mobility.</w:t>
      </w:r>
    </w:p>
    <w:p w14:paraId="3D5CFC32" w14:textId="77777777" w:rsidR="008D1C4B" w:rsidRDefault="008D1C4B">
      <w:pPr>
        <w:pStyle w:val="berschrift2"/>
        <w:numPr>
          <w:ilvl w:val="0"/>
          <w:numId w:val="0"/>
        </w:numPr>
        <w:rPr>
          <w:lang w:val="en-GB"/>
        </w:rPr>
      </w:pPr>
    </w:p>
    <w:p w14:paraId="6DC19294" w14:textId="457ECCC5" w:rsidR="008D1C4B" w:rsidRDefault="00017BB5">
      <w:pPr>
        <w:pStyle w:val="berschrift2"/>
        <w:rPr>
          <w:lang w:val="en-GB"/>
        </w:rPr>
      </w:pPr>
      <w:r>
        <w:rPr>
          <w:lang w:val="en-GB"/>
        </w:rPr>
        <w:t xml:space="preserve">Internal and regional conflicts are a reality in the region. Taking a case-by-case approach is essential when seeking to actively address the root causes of forced displacement through conflict resolution and by addressing socio-economic challenges. The EESC underlines the role of the Pact and the forthcoming EU Middle East Strategy in reshaping the EU’s approach to conflict </w:t>
      </w:r>
      <w:r>
        <w:rPr>
          <w:lang w:val="en-GB"/>
        </w:rPr>
        <w:lastRenderedPageBreak/>
        <w:t>resolution and post-conflict reconstruction. Civil society must be actively involved in shaping these strategies and their role must be expanded given their position as first responders in these situations. Furthermore, the creation of a Mediterranean Coast Guard Capacity-Building Fund for joint patrols, search and rescue, and anti-trafficking operations, overseen by civil society, would help uphold human rights.</w:t>
      </w:r>
    </w:p>
    <w:p w14:paraId="36212D1B" w14:textId="77777777" w:rsidR="008D1C4B" w:rsidRDefault="008D1C4B">
      <w:pPr>
        <w:rPr>
          <w:lang w:val="en-GB"/>
        </w:rPr>
      </w:pPr>
    </w:p>
    <w:p w14:paraId="31CC29AB" w14:textId="0AEDC1FE" w:rsidR="008D1C4B" w:rsidRDefault="00017BB5">
      <w:pPr>
        <w:pStyle w:val="berschrift2"/>
        <w:rPr>
          <w:lang w:val="en-GB"/>
        </w:rPr>
      </w:pPr>
      <w:r>
        <w:rPr>
          <w:lang w:val="en-GB"/>
        </w:rPr>
        <w:t xml:space="preserve">Displacement based on environmental causes alone is not grounds for asylum or international protection. Bearing in mind the historical contribution of EU Member States to the climate crisis, they must provide legal protection for people displaced due to environmental causes. The EESC recommends that such causes be included within the scope of the Temporary Protection Directive. </w:t>
      </w:r>
    </w:p>
    <w:p w14:paraId="00675C31" w14:textId="77777777" w:rsidR="008D1C4B" w:rsidRDefault="008D1C4B">
      <w:pPr>
        <w:rPr>
          <w:lang w:val="en-GB"/>
        </w:rPr>
      </w:pPr>
    </w:p>
    <w:p w14:paraId="4C501374" w14:textId="0765CFF2" w:rsidR="008D1C4B" w:rsidRDefault="00017BB5">
      <w:pPr>
        <w:pStyle w:val="berschrift2"/>
        <w:rPr>
          <w:lang w:val="en-GB"/>
        </w:rPr>
      </w:pPr>
      <w:r>
        <w:rPr>
          <w:lang w:val="en-GB"/>
        </w:rPr>
        <w:t xml:space="preserve">The EESC stresses the need for </w:t>
      </w:r>
      <w:r>
        <w:t xml:space="preserve">a differentiated approach to </w:t>
      </w:r>
      <w:proofErr w:type="spellStart"/>
      <w:r>
        <w:t>labour</w:t>
      </w:r>
      <w:proofErr w:type="spellEnd"/>
      <w:r>
        <w:t xml:space="preserve"> migration and mobility separating these affairs from the perspective of security</w:t>
      </w:r>
      <w:r>
        <w:rPr>
          <w:lang w:val="en-GB"/>
        </w:rPr>
        <w:t>. It also calls for current and future frameworks to adopt a balanced approach which takes due account of the risks and benefits for both sides. This includes mitigating the risk of brain drain, implementing functioning reintegration systems as part of effective ‘brain circulation’ schemes, safeguarding equal rights for third-country migrant workers at all skill levels, ensuring fair and ethical recruitment procedures and providing strong protection for vulnerable groups.</w:t>
      </w:r>
      <w:r w:rsidR="004C1C12" w:rsidRPr="003125EA">
        <w:rPr>
          <w:vertAlign w:val="superscript"/>
          <w:lang w:val="en-GB"/>
        </w:rPr>
        <w:fldChar w:fldCharType="begin"/>
      </w:r>
      <w:r w:rsidR="004C1C12" w:rsidRPr="003125EA">
        <w:rPr>
          <w:vertAlign w:val="superscript"/>
          <w:lang w:val="en-GB"/>
        </w:rPr>
        <w:instrText xml:space="preserve"> NOTEREF _Ref201061576 \h </w:instrText>
      </w:r>
      <w:r w:rsidR="004C1C12">
        <w:rPr>
          <w:vertAlign w:val="superscript"/>
          <w:lang w:val="en-GB"/>
        </w:rPr>
        <w:instrText xml:space="preserve"> \* MERGEFORMAT </w:instrText>
      </w:r>
      <w:r w:rsidR="004C1C12" w:rsidRPr="003125EA">
        <w:rPr>
          <w:vertAlign w:val="superscript"/>
          <w:lang w:val="en-GB"/>
        </w:rPr>
      </w:r>
      <w:r w:rsidR="004C1C12" w:rsidRPr="003125EA">
        <w:rPr>
          <w:vertAlign w:val="superscript"/>
          <w:lang w:val="en-GB"/>
        </w:rPr>
        <w:fldChar w:fldCharType="separate"/>
      </w:r>
      <w:r w:rsidR="004C1C12" w:rsidRPr="003125EA">
        <w:rPr>
          <w:vertAlign w:val="superscript"/>
          <w:lang w:val="en-GB"/>
        </w:rPr>
        <w:t>1</w:t>
      </w:r>
      <w:r w:rsidR="004C1C12" w:rsidRPr="003125EA">
        <w:rPr>
          <w:vertAlign w:val="superscript"/>
          <w:lang w:val="en-GB"/>
        </w:rPr>
        <w:fldChar w:fldCharType="end"/>
      </w:r>
    </w:p>
    <w:p w14:paraId="6976972A" w14:textId="3E4AF6A3" w:rsidR="008D1C4B" w:rsidRDefault="008D1C4B">
      <w:pPr>
        <w:rPr>
          <w:lang w:val="en-GB"/>
        </w:rPr>
      </w:pPr>
    </w:p>
    <w:p w14:paraId="5CE4A667" w14:textId="62781527" w:rsidR="008D1C4B" w:rsidRDefault="00017BB5">
      <w:pPr>
        <w:keepNext/>
        <w:rPr>
          <w:b/>
          <w:lang w:val="en-GB"/>
        </w:rPr>
      </w:pPr>
      <w:r>
        <w:rPr>
          <w:b/>
          <w:lang w:val="en-GB"/>
        </w:rPr>
        <w:t>Social cohesion and inclusion</w:t>
      </w:r>
    </w:p>
    <w:p w14:paraId="33D05E9F" w14:textId="77777777" w:rsidR="008D1C4B" w:rsidRDefault="008D1C4B">
      <w:pPr>
        <w:keepNext/>
        <w:rPr>
          <w:bCs/>
          <w:lang w:val="en-GB"/>
        </w:rPr>
      </w:pPr>
    </w:p>
    <w:p w14:paraId="310D21D5" w14:textId="477372C7" w:rsidR="008D1C4B" w:rsidRDefault="28F1F3A0">
      <w:pPr>
        <w:pStyle w:val="berschrift2"/>
        <w:rPr>
          <w:lang w:val="en-GB"/>
        </w:rPr>
      </w:pPr>
      <w:r w:rsidRPr="40B6CB60">
        <w:rPr>
          <w:lang w:val="en-GB"/>
        </w:rPr>
        <w:t xml:space="preserve">The EESC points out that there is currently no streamlined gender perspective in the discourse surrounding the Pact. </w:t>
      </w:r>
      <w:r w:rsidR="00017BB5" w:rsidRPr="40B6CB60">
        <w:rPr>
          <w:lang w:val="en-GB"/>
        </w:rPr>
        <w:t xml:space="preserve">The EESC emphasises the significance of including and endorsing the voices of non-traditional and marginalised people and groups, such as youth groups, feminist collectives, LGBTIQ+ networks, people with disabilities, migrants in vulnerable situations, and ethnic and religious minorities. These groups find themselves repressed and excluded from formal decision-making processes. Moreover, providing independent spaces would guarantee their protection and safety when they carry out monitoring and due diligence activities.  </w:t>
      </w:r>
    </w:p>
    <w:p w14:paraId="5F26FC1D" w14:textId="77777777" w:rsidR="008D1C4B" w:rsidRDefault="008D1C4B">
      <w:pPr>
        <w:rPr>
          <w:lang w:val="en-GB"/>
        </w:rPr>
      </w:pPr>
    </w:p>
    <w:p w14:paraId="733ACA92" w14:textId="32A540A3" w:rsidR="008D1C4B" w:rsidRDefault="00017BB5">
      <w:pPr>
        <w:pStyle w:val="berschrift2"/>
        <w:rPr>
          <w:lang w:val="en-GB"/>
        </w:rPr>
      </w:pPr>
      <w:r>
        <w:rPr>
          <w:lang w:val="en-GB"/>
        </w:rPr>
        <w:t>The EESC calls for a focus on investing in social cohesion and inclusion, participatory governance and social innovation, particularly in fragile or underserved areas. By supporting social economy actors such as social enterprises and social cooperatives, local initiatives and communal public service providers, the Pact can help empower women, young people and marginalised communities while promoting decent employment.</w:t>
      </w:r>
    </w:p>
    <w:p w14:paraId="4DE563F9" w14:textId="77777777" w:rsidR="008D1C4B" w:rsidRDefault="008D1C4B">
      <w:pPr>
        <w:pStyle w:val="berschrift2"/>
        <w:numPr>
          <w:ilvl w:val="0"/>
          <w:numId w:val="0"/>
        </w:numPr>
        <w:rPr>
          <w:lang w:val="en-GB"/>
        </w:rPr>
      </w:pPr>
    </w:p>
    <w:p w14:paraId="5F697B03" w14:textId="731FF573" w:rsidR="008D1C4B" w:rsidRDefault="00017BB5">
      <w:pPr>
        <w:pStyle w:val="berschrift2"/>
        <w:rPr>
          <w:lang w:val="en-GB"/>
        </w:rPr>
      </w:pPr>
      <w:r>
        <w:rPr>
          <w:lang w:val="en-GB"/>
        </w:rPr>
        <w:t>The role of young people in co-creating the Pact is key to ensuring inclusive participation and addressing the difficulties they face in participating</w:t>
      </w:r>
      <w:r w:rsidR="004C1C12" w:rsidRPr="003125EA">
        <w:rPr>
          <w:vertAlign w:val="superscript"/>
          <w:lang w:val="en-GB"/>
        </w:rPr>
        <w:fldChar w:fldCharType="begin"/>
      </w:r>
      <w:r w:rsidR="004C1C12" w:rsidRPr="003125EA">
        <w:rPr>
          <w:vertAlign w:val="superscript"/>
          <w:lang w:val="en-GB"/>
        </w:rPr>
        <w:instrText xml:space="preserve"> NOTEREF _Ref201061583 \h </w:instrText>
      </w:r>
      <w:r w:rsidR="004C1C12">
        <w:rPr>
          <w:vertAlign w:val="superscript"/>
          <w:lang w:val="en-GB"/>
        </w:rPr>
        <w:instrText xml:space="preserve"> \* MERGEFORMAT </w:instrText>
      </w:r>
      <w:r w:rsidR="004C1C12" w:rsidRPr="003125EA">
        <w:rPr>
          <w:vertAlign w:val="superscript"/>
          <w:lang w:val="en-GB"/>
        </w:rPr>
      </w:r>
      <w:r w:rsidR="004C1C12" w:rsidRPr="003125EA">
        <w:rPr>
          <w:vertAlign w:val="superscript"/>
          <w:lang w:val="en-GB"/>
        </w:rPr>
        <w:fldChar w:fldCharType="separate"/>
      </w:r>
      <w:r w:rsidR="004C1C12" w:rsidRPr="003125EA">
        <w:rPr>
          <w:vertAlign w:val="superscript"/>
          <w:lang w:val="en-GB"/>
        </w:rPr>
        <w:t>3</w:t>
      </w:r>
      <w:r w:rsidR="004C1C12" w:rsidRPr="003125EA">
        <w:rPr>
          <w:vertAlign w:val="superscript"/>
          <w:lang w:val="en-GB"/>
        </w:rPr>
        <w:fldChar w:fldCharType="end"/>
      </w:r>
      <w:r>
        <w:rPr>
          <w:lang w:val="en-GB"/>
        </w:rPr>
        <w:t xml:space="preserve">. The EESC welcomes the efforts to include young people in consultation processes and calls for more tangible actions and objectives to avoid tokenism and elitist co-optation. In particular, young people from different socioeconomic levels and regional backgrounds should be involved, and the results of consultations and proposals should be monitored and evaluated by independent organisations to ensure accountability. </w:t>
      </w:r>
    </w:p>
    <w:p w14:paraId="30EBF2A1" w14:textId="5502E22E" w:rsidR="008D1C4B" w:rsidRDefault="008D1C4B">
      <w:pPr>
        <w:rPr>
          <w:lang w:val="en-GB"/>
        </w:rPr>
      </w:pPr>
    </w:p>
    <w:p w14:paraId="5B3BE5DD" w14:textId="24600AE6" w:rsidR="008D1C4B" w:rsidRDefault="00017BB5">
      <w:pPr>
        <w:pStyle w:val="berschrift1"/>
        <w:keepNext/>
        <w:rPr>
          <w:b/>
          <w:lang w:val="en-GB"/>
        </w:rPr>
      </w:pPr>
      <w:r>
        <w:rPr>
          <w:b/>
          <w:lang w:val="en-GB"/>
        </w:rPr>
        <w:lastRenderedPageBreak/>
        <w:t>Specific comments</w:t>
      </w:r>
    </w:p>
    <w:p w14:paraId="138EE8E8" w14:textId="22D8D0D8" w:rsidR="008D1C4B" w:rsidRDefault="008D1C4B">
      <w:pPr>
        <w:keepNext/>
        <w:rPr>
          <w:lang w:val="en-GB"/>
        </w:rPr>
      </w:pPr>
    </w:p>
    <w:p w14:paraId="72D0BA98" w14:textId="01EEC5AC" w:rsidR="008D1C4B" w:rsidRDefault="00017BB5">
      <w:pPr>
        <w:keepNext/>
        <w:rPr>
          <w:b/>
          <w:lang w:val="en-GB"/>
        </w:rPr>
      </w:pPr>
      <w:r>
        <w:rPr>
          <w:b/>
          <w:lang w:val="en-GB"/>
        </w:rPr>
        <w:t>Civil society involvement</w:t>
      </w:r>
    </w:p>
    <w:p w14:paraId="3C371B62" w14:textId="77777777" w:rsidR="008D1C4B" w:rsidRDefault="008D1C4B">
      <w:pPr>
        <w:keepNext/>
        <w:rPr>
          <w:bCs/>
          <w:lang w:val="en-GB"/>
        </w:rPr>
      </w:pPr>
    </w:p>
    <w:p w14:paraId="53B3C98F" w14:textId="4F986CE9" w:rsidR="008D1C4B" w:rsidRDefault="00017BB5">
      <w:pPr>
        <w:pStyle w:val="berschrift2"/>
        <w:rPr>
          <w:lang w:val="en-GB"/>
        </w:rPr>
      </w:pPr>
      <w:r>
        <w:rPr>
          <w:lang w:val="en-GB"/>
        </w:rPr>
        <w:t xml:space="preserve">The EESC emphasises the need for all relevant social actors, social partners and CSOs from the EU and the partner countries to be involved in the Pact on a structured and permanent basis, moving beyond ad hoc consultations towards institutionalised participation at all levels of governance. This should include a permanent steering or advisory body, representation in working groups and project evaluation panels, and guaranteed representation at official events and established follow-up mechanisms. The EESC also calls on the Commission to consider upgrading the existing EESC Euromed Follow-up Committee to an inclusive body with members from the partner countries which will play a role in monitoring and evaluating the Pact. </w:t>
      </w:r>
    </w:p>
    <w:p w14:paraId="735508B3" w14:textId="2633EF12" w:rsidR="008D1C4B" w:rsidRDefault="008D1C4B">
      <w:pPr>
        <w:rPr>
          <w:lang w:val="en-GB"/>
        </w:rPr>
      </w:pPr>
    </w:p>
    <w:p w14:paraId="59D0742E" w14:textId="60FB1A4D" w:rsidR="008D1C4B" w:rsidRDefault="00017BB5">
      <w:pPr>
        <w:pStyle w:val="berschrift2"/>
        <w:rPr>
          <w:lang w:val="en-GB"/>
        </w:rPr>
      </w:pPr>
      <w:r>
        <w:rPr>
          <w:lang w:val="en-GB"/>
        </w:rPr>
        <w:t>T</w:t>
      </w:r>
      <w:r>
        <w:rPr>
          <w:sz w:val="24"/>
          <w:lang w:val="en-GB"/>
        </w:rPr>
        <w:t>he</w:t>
      </w:r>
      <w:r>
        <w:rPr>
          <w:lang w:val="en-GB"/>
        </w:rPr>
        <w:t xml:space="preserve"> EESC insists that civil society participation must be embedded into the formal political process. This applies particularly to the participation of young people and their integration into key political processes and discussions. Moreover, it underscores the need to conduct on-the-ground consultations on both sides prior to high-level political meetings, thereby preventing purely top-down approaches. </w:t>
      </w:r>
    </w:p>
    <w:p w14:paraId="19E8D750" w14:textId="77777777" w:rsidR="008D1C4B" w:rsidRDefault="008D1C4B">
      <w:pPr>
        <w:rPr>
          <w:lang w:val="en-GB"/>
        </w:rPr>
      </w:pPr>
    </w:p>
    <w:p w14:paraId="2DE7F762" w14:textId="31589C36" w:rsidR="008D1C4B" w:rsidRDefault="00017BB5">
      <w:pPr>
        <w:pStyle w:val="berschrift2"/>
        <w:rPr>
          <w:lang w:val="en-GB"/>
        </w:rPr>
      </w:pPr>
      <w:r>
        <w:rPr>
          <w:lang w:val="en-GB"/>
        </w:rPr>
        <w:t>The EESC emphasises that monitoring and evaluation must be participatory from the outset, ensuring that civil society actively shapes indicators, verifies data and interprets findings and is consulted on implementation. It highlights the need to establish these processes when the Pact is launched in order to guarantee meaningful engagement. The EESC calls for the creation of innovative feedback pathways, including independent evaluations and ‘shadow reports’ in order to provide complementary insights and ensure compliance with human and labour rights.</w:t>
      </w:r>
    </w:p>
    <w:p w14:paraId="21833829" w14:textId="5818567D" w:rsidR="008D1C4B" w:rsidRDefault="008D1C4B">
      <w:pPr>
        <w:rPr>
          <w:lang w:val="en-GB"/>
        </w:rPr>
      </w:pPr>
    </w:p>
    <w:p w14:paraId="38BAE469" w14:textId="164F9CFF" w:rsidR="008D1C4B" w:rsidRDefault="00017BB5" w:rsidP="40B6CB60">
      <w:pPr>
        <w:keepNext/>
        <w:rPr>
          <w:b/>
          <w:bCs/>
          <w:lang w:val="en-GB"/>
        </w:rPr>
      </w:pPr>
      <w:r w:rsidRPr="40B6CB60">
        <w:rPr>
          <w:b/>
          <w:bCs/>
          <w:lang w:val="en-GB"/>
        </w:rPr>
        <w:t>Business, investment and trade</w:t>
      </w:r>
    </w:p>
    <w:p w14:paraId="475E9778" w14:textId="77777777" w:rsidR="008D1C4B" w:rsidRDefault="008D1C4B">
      <w:pPr>
        <w:keepNext/>
        <w:rPr>
          <w:bCs/>
          <w:lang w:val="en-GB"/>
        </w:rPr>
      </w:pPr>
    </w:p>
    <w:p w14:paraId="3E3AA834" w14:textId="77777777" w:rsidR="008D1C4B" w:rsidRDefault="008D1C4B">
      <w:pPr>
        <w:rPr>
          <w:lang w:val="en-GB"/>
        </w:rPr>
      </w:pPr>
    </w:p>
    <w:p w14:paraId="62C8BC5A" w14:textId="154992BF" w:rsidR="008D1C4B" w:rsidRDefault="00017BB5">
      <w:pPr>
        <w:pStyle w:val="berschrift2"/>
        <w:rPr>
          <w:lang w:val="en-GB"/>
        </w:rPr>
      </w:pPr>
      <w:r w:rsidRPr="40B6CB60">
        <w:rPr>
          <w:lang w:val="en-GB"/>
        </w:rPr>
        <w:t>The EESC calls for targeted investment in infrastructure project</w:t>
      </w:r>
      <w:r w:rsidR="2F5415AA" w:rsidRPr="40B6CB60">
        <w:rPr>
          <w:lang w:val="en-GB"/>
        </w:rPr>
        <w:t>s</w:t>
      </w:r>
      <w:r w:rsidR="0FB51A9C" w:rsidRPr="40B6CB60">
        <w:rPr>
          <w:lang w:val="en-GB"/>
        </w:rPr>
        <w:t xml:space="preserve"> </w:t>
      </w:r>
      <w:r w:rsidRPr="40B6CB60">
        <w:rPr>
          <w:lang w:val="en-GB"/>
        </w:rPr>
        <w:t>s</w:t>
      </w:r>
      <w:r w:rsidR="2737E2D2" w:rsidRPr="40B6CB60">
        <w:rPr>
          <w:lang w:val="en-GB"/>
        </w:rPr>
        <w:t>uch as the India-Middle East-Europe corridor (IMEC)</w:t>
      </w:r>
      <w:r w:rsidR="69016B44" w:rsidRPr="40B6CB60">
        <w:rPr>
          <w:lang w:val="en-GB"/>
        </w:rPr>
        <w:t xml:space="preserve">, </w:t>
      </w:r>
      <w:r w:rsidRPr="40B6CB60">
        <w:rPr>
          <w:lang w:val="en-GB"/>
        </w:rPr>
        <w:t xml:space="preserve">establishing a green hydrogen and derivatives pipeline linking North Africa, the Gulf and Europe, alongside ammonia-processing hubs in Oman or Egypt under joint EU-Gulf Cooperation Council governance, or joint desalination and renewable energy projects on the Eastern Mediterranean and North African coasts. </w:t>
      </w:r>
      <w:r w:rsidR="4D0E872F" w:rsidRPr="40B6CB60">
        <w:rPr>
          <w:lang w:val="en-GB"/>
        </w:rPr>
        <w:t>P</w:t>
      </w:r>
      <w:r w:rsidR="0527F6BF" w:rsidRPr="40B6CB60">
        <w:rPr>
          <w:lang w:val="en-GB"/>
        </w:rPr>
        <w:t>roduction of renewable energy, through solar power or hydrogen, and the related energy networks could result in remarkable benefits for the region. Sustainable water management and the development of water supply infrastructure present excellent cooperation opportunities, with a significant beneficial impact factor for women and girls. Sustainable farming and tourism may well generate an ecosystem of further development in accommodation and food as well production and supply of crafts and traditional products. The EESC stresses that, as climate adaptation and food security are central to the New Pact, rural access must be reinforced through dedicated resources and funding, fostering connectivity, among other priorities.</w:t>
      </w:r>
    </w:p>
    <w:p w14:paraId="3EAC69D4" w14:textId="77777777" w:rsidR="008D1C4B" w:rsidRDefault="008D1C4B">
      <w:pPr>
        <w:rPr>
          <w:lang w:val="en-GB"/>
        </w:rPr>
      </w:pPr>
    </w:p>
    <w:p w14:paraId="457EAFD6" w14:textId="3C18D367" w:rsidR="008D1C4B" w:rsidRDefault="00017BB5">
      <w:pPr>
        <w:pStyle w:val="berschrift2"/>
        <w:rPr>
          <w:lang w:val="en-GB"/>
        </w:rPr>
      </w:pPr>
      <w:r w:rsidRPr="40B6CB60">
        <w:rPr>
          <w:lang w:val="en-GB"/>
        </w:rPr>
        <w:t xml:space="preserve">Projects </w:t>
      </w:r>
      <w:r w:rsidR="63AF05AE" w:rsidRPr="40B6CB60">
        <w:rPr>
          <w:lang w:val="en-GB"/>
        </w:rPr>
        <w:t xml:space="preserve">and targeted investments </w:t>
      </w:r>
      <w:r w:rsidRPr="40B6CB60">
        <w:rPr>
          <w:lang w:val="en-GB"/>
        </w:rPr>
        <w:t xml:space="preserve">supporting the green and just transition, as well as long-term sustainable economic development with added value to local communities require a fair and inclusive interregional financial framework. Current cooperation among major development </w:t>
      </w:r>
      <w:r w:rsidRPr="40B6CB60">
        <w:rPr>
          <w:lang w:val="en-GB"/>
        </w:rPr>
        <w:lastRenderedPageBreak/>
        <w:t>banks (EIB, EBRD, World Bank, Islamic Development Bank) and other donors (IMF, UN agencies, etc.) is marred by fragmentation and inadequate coordination, with an absence of a cohesive focus on integrating the interests of, and ensuring balanced representation of, partner countries. The establishment of a formal investment coordination mechanism, such as a regional investment bank or fund actively involving partner countries and civil society, would facilitate the mobilisation of resources for key infrastructure projects and promote inclusive and green growth.</w:t>
      </w:r>
    </w:p>
    <w:p w14:paraId="100B3269" w14:textId="52D7A795" w:rsidR="008D1C4B" w:rsidRDefault="008D1C4B">
      <w:pPr>
        <w:rPr>
          <w:lang w:val="en-GB"/>
        </w:rPr>
      </w:pPr>
    </w:p>
    <w:p w14:paraId="25352DA2" w14:textId="6BC83723" w:rsidR="008D1C4B" w:rsidRDefault="00017BB5">
      <w:pPr>
        <w:pStyle w:val="berschrift2"/>
        <w:rPr>
          <w:lang w:val="en-GB"/>
        </w:rPr>
      </w:pPr>
      <w:r>
        <w:rPr>
          <w:lang w:val="en-GB"/>
        </w:rPr>
        <w:t xml:space="preserve">Entrepreneurship remains key for the sustainable development of the Mediterranean. MSMEs, which are the backbone of economic development across the region, need support to build capacity in the digital economy and rely on energy and infrastructure connectivity, on both the North-South and South-South corridors. Partnership projects such as </w:t>
      </w:r>
      <w:hyperlink r:id="rId31" w:history="1">
        <w:r>
          <w:rPr>
            <w:rStyle w:val="Hyperlink"/>
            <w:lang w:val="en-GB"/>
          </w:rPr>
          <w:t>EBSOMED</w:t>
        </w:r>
      </w:hyperlink>
      <w:r>
        <w:rPr>
          <w:lang w:val="en-GB"/>
        </w:rPr>
        <w:t xml:space="preserve"> and the </w:t>
      </w:r>
      <w:hyperlink r:id="rId32" w:history="1">
        <w:r>
          <w:rPr>
            <w:rStyle w:val="Hyperlink"/>
            <w:lang w:val="en-GB"/>
          </w:rPr>
          <w:t>EU Global Gateway</w:t>
        </w:r>
      </w:hyperlink>
      <w:r>
        <w:rPr>
          <w:lang w:val="en-GB"/>
        </w:rPr>
        <w:t xml:space="preserve"> are important tools in helping enterprises to develop and succeed in the region and beyond.</w:t>
      </w:r>
      <w:r w:rsidR="004C1C12" w:rsidRPr="003125EA">
        <w:rPr>
          <w:vertAlign w:val="superscript"/>
          <w:lang w:val="en-GB"/>
        </w:rPr>
        <w:fldChar w:fldCharType="begin"/>
      </w:r>
      <w:r w:rsidR="004C1C12" w:rsidRPr="003125EA">
        <w:rPr>
          <w:vertAlign w:val="superscript"/>
          <w:lang w:val="en-GB"/>
        </w:rPr>
        <w:instrText xml:space="preserve"> NOTEREF _Ref201061645 \h </w:instrText>
      </w:r>
      <w:r w:rsidR="004C1C12">
        <w:rPr>
          <w:vertAlign w:val="superscript"/>
          <w:lang w:val="en-GB"/>
        </w:rPr>
        <w:instrText xml:space="preserve"> \* MERGEFORMAT </w:instrText>
      </w:r>
      <w:r w:rsidR="004C1C12" w:rsidRPr="003125EA">
        <w:rPr>
          <w:vertAlign w:val="superscript"/>
          <w:lang w:val="en-GB"/>
        </w:rPr>
      </w:r>
      <w:r w:rsidR="004C1C12" w:rsidRPr="003125EA">
        <w:rPr>
          <w:vertAlign w:val="superscript"/>
          <w:lang w:val="en-GB"/>
        </w:rPr>
        <w:fldChar w:fldCharType="separate"/>
      </w:r>
      <w:r w:rsidR="004C1C12" w:rsidRPr="003125EA">
        <w:rPr>
          <w:vertAlign w:val="superscript"/>
          <w:lang w:val="en-GB"/>
        </w:rPr>
        <w:t>2</w:t>
      </w:r>
      <w:r w:rsidR="004C1C12" w:rsidRPr="003125EA">
        <w:rPr>
          <w:vertAlign w:val="superscript"/>
          <w:lang w:val="en-GB"/>
        </w:rPr>
        <w:fldChar w:fldCharType="end"/>
      </w:r>
    </w:p>
    <w:p w14:paraId="1760E09F" w14:textId="77777777" w:rsidR="008D1C4B" w:rsidRDefault="008D1C4B">
      <w:pPr>
        <w:rPr>
          <w:lang w:val="en-GB"/>
        </w:rPr>
      </w:pPr>
    </w:p>
    <w:p w14:paraId="282C743E" w14:textId="1476B318" w:rsidR="008D1C4B" w:rsidRDefault="00017BB5">
      <w:pPr>
        <w:pStyle w:val="berschrift2"/>
        <w:rPr>
          <w:lang w:val="en-GB"/>
        </w:rPr>
      </w:pPr>
      <w:r w:rsidRPr="40B6CB60">
        <w:rPr>
          <w:lang w:val="en-GB"/>
        </w:rPr>
        <w:t xml:space="preserve">The EESC notes that, despite the commitment to deepen trade relations with the partner countries and establish a Euro-Mediterranean Free Trade Area, negotiations on a new generation of free trade agreements (FTAs) such as deep and comprehensive free trade agreements have still not been concluded. It </w:t>
      </w:r>
      <w:r w:rsidR="1272F3BF" w:rsidRPr="40B6CB60">
        <w:rPr>
          <w:lang w:val="en-GB"/>
        </w:rPr>
        <w:t xml:space="preserve">strongly urges </w:t>
      </w:r>
      <w:r w:rsidRPr="40B6CB60">
        <w:rPr>
          <w:lang w:val="en-GB"/>
        </w:rPr>
        <w:t xml:space="preserve">that the Pact should reignite negotiations on a new generation of FTAs, incorporating sustainable development chapters, joint management of mobility exploiting the job opportunities coming from theses FTAs and monitoring by organised civil society through </w:t>
      </w:r>
      <w:hyperlink r:id="rId33">
        <w:r w:rsidRPr="40B6CB60">
          <w:rPr>
            <w:rStyle w:val="Hyperlink"/>
            <w:lang w:val="en-GB"/>
          </w:rPr>
          <w:t>domestic advisory groups</w:t>
        </w:r>
      </w:hyperlink>
      <w:r w:rsidRPr="40B6CB60">
        <w:rPr>
          <w:lang w:val="en-GB"/>
        </w:rPr>
        <w:t xml:space="preserve"> (DAGs). At the very least, the EESC strongly urges the Commission to commit to an expansion of the current FTAs in the negotiations under the Pact in order to and include sustainable development chapters, as well as a monitoring mechanism similar to the DAGs. The inclusion of partner countries in the EU single market, as mentioned in the scoping paper, needs to be considered with caution.</w:t>
      </w:r>
    </w:p>
    <w:p w14:paraId="00E5FB04" w14:textId="7B0F41C7" w:rsidR="008D1C4B" w:rsidRDefault="008D1C4B">
      <w:pPr>
        <w:rPr>
          <w:lang w:val="en-GB"/>
        </w:rPr>
      </w:pPr>
    </w:p>
    <w:p w14:paraId="0C69B72C" w14:textId="4C62DFD0" w:rsidR="008D1C4B" w:rsidRDefault="00017BB5">
      <w:pPr>
        <w:keepNext/>
        <w:rPr>
          <w:bCs/>
          <w:lang w:val="en-GB"/>
        </w:rPr>
      </w:pPr>
      <w:r>
        <w:rPr>
          <w:b/>
          <w:lang w:val="en-GB"/>
        </w:rPr>
        <w:t xml:space="preserve">Sustainable and regional development </w:t>
      </w:r>
    </w:p>
    <w:p w14:paraId="67AA52B3" w14:textId="77777777" w:rsidR="008D1C4B" w:rsidRDefault="008D1C4B">
      <w:pPr>
        <w:pStyle w:val="berschrift2"/>
        <w:keepNext/>
        <w:numPr>
          <w:ilvl w:val="0"/>
          <w:numId w:val="0"/>
        </w:numPr>
        <w:rPr>
          <w:lang w:val="en-GB"/>
        </w:rPr>
      </w:pPr>
    </w:p>
    <w:p w14:paraId="75EC1165" w14:textId="5A1D279F" w:rsidR="008D1C4B" w:rsidRDefault="00017BB5">
      <w:pPr>
        <w:pStyle w:val="berschrift2"/>
        <w:rPr>
          <w:lang w:val="en-GB"/>
        </w:rPr>
      </w:pPr>
      <w:r>
        <w:rPr>
          <w:lang w:val="en-GB"/>
        </w:rPr>
        <w:t xml:space="preserve">The EESC calls for civil society to be fully integrated into </w:t>
      </w:r>
      <w:hyperlink r:id="rId34" w:history="1">
        <w:r>
          <w:rPr>
            <w:rStyle w:val="Hyperlink"/>
            <w:lang w:val="en-GB"/>
          </w:rPr>
          <w:t>Team Europe Initiatives</w:t>
        </w:r>
      </w:hyperlink>
      <w:r>
        <w:rPr>
          <w:lang w:val="en-GB"/>
        </w:rPr>
        <w:t xml:space="preserve">, where they can contribute to priority-setting, champion transparency, accountability and cross-sectoral collaboration and ensure that policies address human and social needs. Recognising successful models such as the </w:t>
      </w:r>
      <w:hyperlink r:id="rId35" w:history="1">
        <w:r>
          <w:rPr>
            <w:rStyle w:val="Hyperlink"/>
            <w:lang w:val="en-GB"/>
          </w:rPr>
          <w:t>Eastern Partnership Civil Society Forum</w:t>
        </w:r>
      </w:hyperlink>
      <w:r>
        <w:rPr>
          <w:lang w:val="en-GB"/>
        </w:rPr>
        <w:t xml:space="preserve"> and the </w:t>
      </w:r>
      <w:hyperlink r:id="rId36" w:history="1">
        <w:r>
          <w:rPr>
            <w:rStyle w:val="Hyperlink"/>
            <w:lang w:val="en-GB"/>
          </w:rPr>
          <w:t>EU Youth Dialogue</w:t>
        </w:r>
      </w:hyperlink>
      <w:r>
        <w:rPr>
          <w:lang w:val="en-GB"/>
        </w:rPr>
        <w:t>, the EESC stresses that these structured and well-funded engagement platforms can serve as valuable models.</w:t>
      </w:r>
    </w:p>
    <w:p w14:paraId="486B698B" w14:textId="1EDDCD05" w:rsidR="008D1C4B" w:rsidRDefault="008D1C4B">
      <w:pPr>
        <w:rPr>
          <w:lang w:val="en-GB"/>
        </w:rPr>
      </w:pPr>
    </w:p>
    <w:p w14:paraId="3E0EF3C9" w14:textId="7ADD16DA" w:rsidR="008D1C4B" w:rsidRDefault="00017BB5">
      <w:pPr>
        <w:pStyle w:val="berschrift2"/>
        <w:rPr>
          <w:lang w:val="en-GB"/>
        </w:rPr>
      </w:pPr>
      <w:r>
        <w:rPr>
          <w:lang w:val="en-GB"/>
        </w:rPr>
        <w:t xml:space="preserve">EU tools such as Erasmus+ and </w:t>
      </w:r>
      <w:hyperlink r:id="rId37" w:history="1">
        <w:r>
          <w:rPr>
            <w:rStyle w:val="Hyperlink"/>
            <w:lang w:val="en-GB"/>
          </w:rPr>
          <w:t>Interreg</w:t>
        </w:r>
      </w:hyperlink>
      <w:r>
        <w:rPr>
          <w:lang w:val="en-GB"/>
        </w:rPr>
        <w:t xml:space="preserve"> must introduce dedicated funding lines for civil society, with flexible eligibility, simplified applications and long-term financing options. Re-granting mechanisms, successfully implemented in the Western Balkans (</w:t>
      </w:r>
      <w:hyperlink r:id="rId38" w:history="1">
        <w:r>
          <w:rPr>
            <w:rStyle w:val="Hyperlink"/>
            <w:lang w:val="en-GB"/>
          </w:rPr>
          <w:t>Western Balkans Fund</w:t>
        </w:r>
      </w:hyperlink>
      <w:r>
        <w:rPr>
          <w:lang w:val="en-GB"/>
        </w:rPr>
        <w:t xml:space="preserve"> and </w:t>
      </w:r>
      <w:hyperlink r:id="rId39" w:history="1">
        <w:r>
          <w:rPr>
            <w:rStyle w:val="Hyperlink"/>
            <w:lang w:val="en-GB"/>
          </w:rPr>
          <w:t>Regional Civil Society Development Hub</w:t>
        </w:r>
      </w:hyperlink>
      <w:r>
        <w:rPr>
          <w:lang w:val="en-GB"/>
        </w:rPr>
        <w:t>), should be leveraged to improve access to funding. Moreover, establishing technical assistance mechanisms and programmes can assist grassroots players with securing and managing EU funds.</w:t>
      </w:r>
    </w:p>
    <w:p w14:paraId="2FA8EFCD" w14:textId="77777777" w:rsidR="008D1C4B" w:rsidRDefault="008D1C4B">
      <w:pPr>
        <w:rPr>
          <w:lang w:val="en-GB"/>
        </w:rPr>
      </w:pPr>
    </w:p>
    <w:p w14:paraId="4E06F58D" w14:textId="77777777" w:rsidR="003125EA" w:rsidRDefault="003125EA">
      <w:pPr>
        <w:spacing w:line="240" w:lineRule="auto"/>
        <w:jc w:val="left"/>
        <w:rPr>
          <w:lang w:val="en-GB"/>
        </w:rPr>
      </w:pPr>
      <w:r>
        <w:rPr>
          <w:lang w:val="en-GB"/>
        </w:rPr>
        <w:br w:type="page"/>
      </w:r>
    </w:p>
    <w:p w14:paraId="69CB7D07" w14:textId="6733EC8E" w:rsidR="00017BB5" w:rsidRDefault="00017BB5" w:rsidP="40B6CB60">
      <w:pPr>
        <w:pStyle w:val="berschrift2"/>
        <w:rPr>
          <w:lang w:val="en-GB"/>
        </w:rPr>
      </w:pPr>
      <w:r w:rsidRPr="40B6CB60">
        <w:rPr>
          <w:lang w:val="en-GB"/>
        </w:rPr>
        <w:lastRenderedPageBreak/>
        <w:t xml:space="preserve">The EESC highlights the key role of local authorities, especially in underdeveloped areas. It also calls for permanent implementation hubs in partner countries, co-funded by the EU and co-managed with civil society, which will support participatory budgets, SDG strategies, innovation and monitoring. In order to promote territorial cohesion, the EESC calls for incentives for urban-rural collaboration on issues such as climate adaptation, food, energy and mobility, backed by targeted rural funding, drawing on models such as the EU’s LEADER/CLLD approach. </w:t>
      </w:r>
      <w:r w:rsidR="446D9548" w:rsidRPr="40B6CB60">
        <w:rPr>
          <w:lang w:val="en-GB"/>
        </w:rPr>
        <w:t>Advocates permanent implementation hubs</w:t>
      </w:r>
      <w:r w:rsidR="2BE1F5D1" w:rsidRPr="40B6CB60">
        <w:rPr>
          <w:lang w:val="en-GB"/>
        </w:rPr>
        <w:t xml:space="preserve"> gathering all relevant sectors</w:t>
      </w:r>
      <w:r w:rsidR="446D9548" w:rsidRPr="40B6CB60">
        <w:rPr>
          <w:lang w:val="en-GB"/>
        </w:rPr>
        <w:t xml:space="preserve"> in partner countries to develop participatory budgets and localised strategies, strengthen innovation and cooperation and provide capacity building</w:t>
      </w:r>
      <w:r w:rsidR="2595F4BF" w:rsidRPr="40B6CB60">
        <w:rPr>
          <w:lang w:val="en-GB"/>
        </w:rPr>
        <w:t xml:space="preserve"> and support thematic projects across areas</w:t>
      </w:r>
      <w:r w:rsidR="446D9548" w:rsidRPr="40B6CB60">
        <w:rPr>
          <w:lang w:val="en-GB"/>
        </w:rPr>
        <w:t xml:space="preserve">. </w:t>
      </w:r>
      <w:r w:rsidR="2CA75FF6" w:rsidRPr="40B6CB60">
        <w:rPr>
          <w:lang w:val="en-GB"/>
        </w:rPr>
        <w:t>Nevertheless, t</w:t>
      </w:r>
      <w:r w:rsidR="40B6CB60" w:rsidRPr="40B6CB60">
        <w:rPr>
          <w:lang w:val="en-GB"/>
        </w:rPr>
        <w:t>he EESC emphasises the need to tailor participation mechanisms to the distinct realities of local urban and rural civil society: this includes regional forums, rural civil society incubators and simplified grants for grassroots actors.</w:t>
      </w:r>
    </w:p>
    <w:p w14:paraId="425002CC" w14:textId="7C0706A0" w:rsidR="008D1C4B" w:rsidRDefault="008D1C4B">
      <w:pPr>
        <w:rPr>
          <w:lang w:val="en-GB"/>
        </w:rPr>
      </w:pPr>
    </w:p>
    <w:p w14:paraId="5AC2C4D0" w14:textId="682D66DC" w:rsidR="008D1C4B" w:rsidRDefault="00017BB5">
      <w:pPr>
        <w:pStyle w:val="berschrift2"/>
        <w:rPr>
          <w:lang w:val="en-GB"/>
        </w:rPr>
      </w:pPr>
      <w:r>
        <w:rPr>
          <w:lang w:val="en-GB"/>
        </w:rPr>
        <w:t xml:space="preserve">The EESC welcomes the Arab Recovery and Reconstruction Plan for Gaza presented on 4 March 2025 and calls on the Commission to align EU funding with it and advocate for Palestinian civil society to be included as full partners in designing, implementing provisions and independent ‘shadow reporting’ on any obstruction of aid. </w:t>
      </w:r>
    </w:p>
    <w:p w14:paraId="7066BD58" w14:textId="77777777" w:rsidR="008D1C4B" w:rsidRDefault="008D1C4B">
      <w:pPr>
        <w:rPr>
          <w:lang w:val="en-GB"/>
        </w:rPr>
      </w:pPr>
    </w:p>
    <w:p w14:paraId="172CDCF8" w14:textId="41FCD270" w:rsidR="008D1C4B" w:rsidRDefault="00017BB5">
      <w:pPr>
        <w:pStyle w:val="berschrift2"/>
        <w:rPr>
          <w:lang w:val="en-GB"/>
        </w:rPr>
      </w:pPr>
      <w:r>
        <w:rPr>
          <w:lang w:val="en-GB"/>
        </w:rPr>
        <w:t xml:space="preserve">The role of culture in the Mediterranean region is central and may provide the basis for strategic cooperation. This includes the preservation of cultural heritage, climate crisis mitigation, post-conflict reconstruction, job creation and innovation in creative industries bringing about economic growth and social cohesion, investments in skills and creative business, and strong regional cooperation among museum, universities and festivals. The EESC highlights that the Pact should build upon the Naples Process for cultural collaboration in Europe and develop joint strategies to protect and enhance culture as a common good for the region and an important tool for EU external relations. Moreover, it supports the launch of a corresponding EU-Mediterranean Cultural Fund. </w:t>
      </w:r>
    </w:p>
    <w:p w14:paraId="7168CF8D" w14:textId="77777777" w:rsidR="008D1C4B" w:rsidRDefault="008D1C4B">
      <w:pPr>
        <w:pStyle w:val="berschrift2"/>
        <w:numPr>
          <w:ilvl w:val="0"/>
          <w:numId w:val="0"/>
        </w:numPr>
        <w:rPr>
          <w:lang w:val="en-GB"/>
        </w:rPr>
      </w:pPr>
    </w:p>
    <w:p w14:paraId="245D39BE" w14:textId="5F0F4B86" w:rsidR="008D1C4B" w:rsidRDefault="00017BB5" w:rsidP="40B6CB60">
      <w:pPr>
        <w:pStyle w:val="berschrift2"/>
        <w:keepNext/>
        <w:numPr>
          <w:ilvl w:val="0"/>
          <w:numId w:val="0"/>
        </w:numPr>
        <w:rPr>
          <w:b/>
          <w:bCs/>
          <w:lang w:val="en-GB"/>
        </w:rPr>
      </w:pPr>
      <w:r w:rsidRPr="40B6CB60">
        <w:rPr>
          <w:b/>
          <w:bCs/>
          <w:lang w:val="en-GB"/>
        </w:rPr>
        <w:t>Education</w:t>
      </w:r>
      <w:r w:rsidR="0B4D32A2" w:rsidRPr="40B6CB60">
        <w:rPr>
          <w:b/>
          <w:bCs/>
          <w:lang w:val="en-GB"/>
        </w:rPr>
        <w:t>,</w:t>
      </w:r>
      <w:r w:rsidR="408C8A77" w:rsidRPr="40B6CB60">
        <w:rPr>
          <w:b/>
          <w:bCs/>
          <w:lang w:val="en-GB"/>
        </w:rPr>
        <w:t xml:space="preserve"> training and employment</w:t>
      </w:r>
    </w:p>
    <w:p w14:paraId="62265FD7" w14:textId="18D98A90" w:rsidR="008D1C4B" w:rsidRDefault="008D1C4B">
      <w:pPr>
        <w:pStyle w:val="berschrift2"/>
        <w:keepNext/>
        <w:numPr>
          <w:ilvl w:val="0"/>
          <w:numId w:val="0"/>
        </w:numPr>
        <w:rPr>
          <w:lang w:val="en-GB"/>
        </w:rPr>
      </w:pPr>
    </w:p>
    <w:p w14:paraId="20445FBB" w14:textId="0B4947CB" w:rsidR="00017BB5" w:rsidRDefault="00017BB5" w:rsidP="40B6CB60">
      <w:pPr>
        <w:pStyle w:val="berschrift2"/>
        <w:rPr>
          <w:lang w:val="en-GB"/>
        </w:rPr>
      </w:pPr>
      <w:r w:rsidRPr="40B6CB60">
        <w:rPr>
          <w:lang w:val="en-GB"/>
        </w:rPr>
        <w:t xml:space="preserve">The EESC emphasises the crucial role of capacity building and civic education to be integrated into formal education systems. It also calls for comprehensive programmes that equip both civil society and local authorities with accountability tools, building on successful initiatives like the </w:t>
      </w:r>
      <w:hyperlink r:id="rId40">
        <w:r w:rsidRPr="40B6CB60">
          <w:rPr>
            <w:rStyle w:val="Hyperlink"/>
            <w:lang w:val="en-GB"/>
          </w:rPr>
          <w:t>Civil Society Facility for the Mediterranean</w:t>
        </w:r>
      </w:hyperlink>
      <w:r w:rsidRPr="40B6CB60">
        <w:rPr>
          <w:lang w:val="en-GB"/>
        </w:rPr>
        <w:t xml:space="preserve"> to ensure long-term impact. The EESC highlights the need for modular, multilingual training that is accessible and targets marginalised communities, combining online learning, field mentoring and peer exchanges.</w:t>
      </w:r>
    </w:p>
    <w:p w14:paraId="7E861B1A" w14:textId="17DC1ADB" w:rsidR="40B6CB60" w:rsidRDefault="40B6CB60" w:rsidP="003125EA">
      <w:pPr>
        <w:rPr>
          <w:lang w:val="en-GB"/>
        </w:rPr>
      </w:pPr>
    </w:p>
    <w:p w14:paraId="1C15CC05" w14:textId="1CAC58C6" w:rsidR="144E453C" w:rsidRDefault="144E453C" w:rsidP="40B6CB60">
      <w:pPr>
        <w:pStyle w:val="berschrift2"/>
        <w:rPr>
          <w:lang w:val="en-GB"/>
        </w:rPr>
      </w:pPr>
      <w:r w:rsidRPr="40B6CB60">
        <w:rPr>
          <w:lang w:val="en-GB"/>
        </w:rPr>
        <w:t>The Mediterranean region faces disproportionally high unemployment rates, especially among women and young people. The high proportion of undeclared work weakens working conditions and social protection. It is imperative that the Pact include horizontal measures for the empowerment of women facilitating their inclusion in the job market and preventing discrimination, harassment and mistreatment of any kind while unleashing their potential through upskilling and training. The measures should also encourage women to take up leading positions in politics, business and the civil sector so that they act as role models.</w:t>
      </w:r>
    </w:p>
    <w:p w14:paraId="44095674" w14:textId="79ADF2E9" w:rsidR="008D1C4B" w:rsidRDefault="008D1C4B">
      <w:pPr>
        <w:rPr>
          <w:lang w:val="en-GB"/>
        </w:rPr>
      </w:pPr>
    </w:p>
    <w:p w14:paraId="5997988A" w14:textId="141E18D2" w:rsidR="008D1C4B" w:rsidRDefault="00017BB5">
      <w:pPr>
        <w:pStyle w:val="berschrift2"/>
        <w:rPr>
          <w:lang w:val="en-GB"/>
        </w:rPr>
      </w:pPr>
      <w:r>
        <w:rPr>
          <w:lang w:val="en-GB"/>
        </w:rPr>
        <w:lastRenderedPageBreak/>
        <w:t>The EESC calls for cooperation on education under the Pact to extend beyond higher education. It stresses the need for targeted support for youth-focused capacity building and vocational education which reinforce digital skills and literacy, along with training for young people not in employment, education or training (NEETs), women and people with disabilities, ensuring equitable access to opportunities.</w:t>
      </w:r>
    </w:p>
    <w:p w14:paraId="2B2B741C" w14:textId="7FD674FA" w:rsidR="008D1C4B" w:rsidRDefault="008D1C4B">
      <w:pPr>
        <w:pStyle w:val="berschrift2"/>
        <w:numPr>
          <w:ilvl w:val="0"/>
          <w:numId w:val="0"/>
        </w:numPr>
        <w:rPr>
          <w:lang w:val="en-GB"/>
        </w:rPr>
      </w:pPr>
    </w:p>
    <w:p w14:paraId="40495DEE" w14:textId="34D4A41C" w:rsidR="008D1C4B" w:rsidRDefault="00017BB5">
      <w:pPr>
        <w:pStyle w:val="berschrift2"/>
        <w:rPr>
          <w:lang w:val="en-GB"/>
        </w:rPr>
      </w:pPr>
      <w:r>
        <w:rPr>
          <w:lang w:val="en-GB"/>
        </w:rPr>
        <w:t xml:space="preserve">The EESC supports investments in digital literacy which take into account the varying needs of different age groups. It also highlights the continued need for implementing recommendations on effective digital transition mechanisms; this includes training initiatives on digital skills, courses in line with the </w:t>
      </w:r>
      <w:hyperlink r:id="rId41" w:history="1">
        <w:r>
          <w:rPr>
            <w:rStyle w:val="Hyperlink"/>
            <w:lang w:val="en-GB"/>
          </w:rPr>
          <w:t>European Training Foundation</w:t>
        </w:r>
      </w:hyperlink>
      <w:r>
        <w:rPr>
          <w:lang w:val="en-GB"/>
        </w:rPr>
        <w:t xml:space="preserve"> guidelines on digital literacy in the face of disinformation, and digital infrastructure and cooperation projects run by bodies such as the UfM.</w:t>
      </w:r>
    </w:p>
    <w:p w14:paraId="45CCA77A" w14:textId="77777777" w:rsidR="008D1C4B" w:rsidRDefault="008D1C4B">
      <w:pPr>
        <w:rPr>
          <w:lang w:val="en-GB"/>
        </w:rPr>
      </w:pPr>
    </w:p>
    <w:p w14:paraId="28525417" w14:textId="70A4F73F" w:rsidR="008D1C4B" w:rsidRDefault="00017BB5">
      <w:pPr>
        <w:pStyle w:val="berschrift2"/>
        <w:rPr>
          <w:lang w:val="en-GB"/>
        </w:rPr>
      </w:pPr>
      <w:r w:rsidRPr="40B6CB60">
        <w:rPr>
          <w:lang w:val="en-GB"/>
        </w:rPr>
        <w:t xml:space="preserve">Non-formal education plays a crucial role in the Mediterranean region, particularly for youth development, </w:t>
      </w:r>
      <w:r w:rsidR="6A42A6DD" w:rsidRPr="40B6CB60">
        <w:rPr>
          <w:lang w:val="en-GB"/>
        </w:rPr>
        <w:t xml:space="preserve">skill-building, </w:t>
      </w:r>
      <w:r w:rsidRPr="40B6CB60">
        <w:rPr>
          <w:lang w:val="en-GB"/>
        </w:rPr>
        <w:t xml:space="preserve">social inclusion and lifelong learning, and so continuous support fort educational activities outside traditional schooling should be provided. </w:t>
      </w:r>
    </w:p>
    <w:p w14:paraId="48221624" w14:textId="5D2B0E31" w:rsidR="008D1C4B" w:rsidRDefault="008D1C4B">
      <w:pPr>
        <w:rPr>
          <w:lang w:val="en-GB"/>
        </w:rPr>
      </w:pPr>
    </w:p>
    <w:p w14:paraId="21CEFE66" w14:textId="131EF5EC" w:rsidR="008D1C4B" w:rsidRDefault="00017BB5">
      <w:pPr>
        <w:pStyle w:val="berschrift2"/>
        <w:rPr>
          <w:lang w:val="en-GB"/>
        </w:rPr>
      </w:pPr>
      <w:r>
        <w:rPr>
          <w:lang w:val="en-GB"/>
        </w:rPr>
        <w:t>The EESC stresses the importance of reinforcing current structures in the field of higher education, such as the Mediterranean Universities Union (</w:t>
      </w:r>
      <w:hyperlink r:id="rId42" w:history="1">
        <w:r>
          <w:rPr>
            <w:rStyle w:val="Hyperlink"/>
            <w:lang w:val="en-GB"/>
          </w:rPr>
          <w:t>UNIMED</w:t>
        </w:r>
      </w:hyperlink>
      <w:r>
        <w:rPr>
          <w:lang w:val="en-GB"/>
        </w:rPr>
        <w:t xml:space="preserve">) and the two Euro-Mediterranean universities (in </w:t>
      </w:r>
      <w:hyperlink r:id="rId43" w:history="1">
        <w:r>
          <w:rPr>
            <w:rStyle w:val="Hyperlink"/>
            <w:lang w:val="en-GB"/>
          </w:rPr>
          <w:t>Morocco</w:t>
        </w:r>
      </w:hyperlink>
      <w:r>
        <w:rPr>
          <w:lang w:val="en-GB"/>
        </w:rPr>
        <w:t xml:space="preserve"> and </w:t>
      </w:r>
      <w:hyperlink r:id="rId44" w:history="1">
        <w:r>
          <w:rPr>
            <w:rStyle w:val="Hyperlink"/>
            <w:lang w:val="en-GB"/>
          </w:rPr>
          <w:t>Slovenia</w:t>
        </w:r>
      </w:hyperlink>
      <w:r>
        <w:rPr>
          <w:lang w:val="en-GB"/>
        </w:rPr>
        <w:t>) and suggests that cooperation should be expanded. The EESC advocates supporting the expansion of UNIMED to all Euro-Mediterranean countries and creating financial tools to assist in this enlargement and support the rotation capacities of students and researchers. Introducing Mediterranean Youth Ambassadors would enhance systematic exchanges between school- and university-level CSOs.</w:t>
      </w:r>
    </w:p>
    <w:p w14:paraId="5B3BE5DE" w14:textId="77777777" w:rsidR="008D1C4B" w:rsidRDefault="008D1C4B">
      <w:pPr>
        <w:rPr>
          <w:lang w:val="en-GB"/>
        </w:rPr>
      </w:pPr>
    </w:p>
    <w:p w14:paraId="5B3BE5E5" w14:textId="7BC3DBB7" w:rsidR="008D1C4B" w:rsidRDefault="00017BB5">
      <w:pPr>
        <w:jc w:val="center"/>
        <w:rPr>
          <w:lang w:val="en-GB"/>
        </w:rPr>
      </w:pPr>
      <w:r>
        <w:rPr>
          <w:lang w:val="en-GB"/>
        </w:rPr>
        <w:t>_____________</w:t>
      </w:r>
    </w:p>
    <w:p w14:paraId="5A2CBBB6" w14:textId="77777777" w:rsidR="008D1C4B" w:rsidRDefault="00017BB5">
      <w:pPr>
        <w:spacing w:line="240" w:lineRule="auto"/>
        <w:jc w:val="left"/>
      </w:pPr>
      <w:r>
        <w:rPr>
          <w:b/>
        </w:rPr>
        <w:t>N.B.:</w:t>
      </w:r>
      <w:r>
        <w:tab/>
        <w:t>Annex overleaf.</w:t>
      </w:r>
    </w:p>
    <w:p w14:paraId="012A0C7D" w14:textId="77777777" w:rsidR="008D1C4B" w:rsidRDefault="00017BB5">
      <w:pPr>
        <w:spacing w:line="240" w:lineRule="auto"/>
        <w:jc w:val="left"/>
        <w:rPr>
          <w:lang w:val="en-GB"/>
        </w:rPr>
      </w:pPr>
      <w:r>
        <w:rPr>
          <w:lang w:val="en-GB"/>
        </w:rPr>
        <w:br w:type="page"/>
      </w:r>
    </w:p>
    <w:p w14:paraId="452DC2F2" w14:textId="77777777" w:rsidR="008D1C4B" w:rsidRDefault="00017BB5">
      <w:pPr>
        <w:spacing w:line="240" w:lineRule="auto"/>
        <w:jc w:val="center"/>
        <w:rPr>
          <w:b/>
          <w:color w:val="000000" w:themeColor="text1"/>
          <w:sz w:val="24"/>
          <w:szCs w:val="24"/>
          <w:u w:val="single"/>
        </w:rPr>
      </w:pPr>
      <w:r>
        <w:rPr>
          <w:b/>
          <w:color w:val="000000" w:themeColor="text1"/>
          <w:sz w:val="24"/>
          <w:szCs w:val="24"/>
          <w:u w:val="single"/>
        </w:rPr>
        <w:lastRenderedPageBreak/>
        <w:t>ANNEX</w:t>
      </w:r>
    </w:p>
    <w:p w14:paraId="079C85DA" w14:textId="77777777" w:rsidR="008D1C4B" w:rsidRDefault="008D1C4B">
      <w:pPr>
        <w:spacing w:line="240" w:lineRule="auto"/>
        <w:rPr>
          <w:b/>
          <w:color w:val="000000" w:themeColor="text1"/>
          <w:sz w:val="24"/>
          <w:szCs w:val="24"/>
          <w:u w:val="single"/>
        </w:rPr>
      </w:pPr>
    </w:p>
    <w:p w14:paraId="1AC7A329" w14:textId="77777777" w:rsidR="008D1C4B" w:rsidRDefault="00017BB5">
      <w:pPr>
        <w:pStyle w:val="berschrift1"/>
        <w:numPr>
          <w:ilvl w:val="0"/>
          <w:numId w:val="0"/>
        </w:numPr>
        <w:rPr>
          <w:b/>
          <w:lang w:val="en-GB"/>
        </w:rPr>
      </w:pPr>
      <w:r>
        <w:rPr>
          <w:b/>
          <w:lang w:val="en-GB"/>
        </w:rPr>
        <w:t xml:space="preserve">Selection of relevant EESC opinions: </w:t>
      </w:r>
    </w:p>
    <w:p w14:paraId="77CB20C0" w14:textId="77777777" w:rsidR="008D1C4B" w:rsidRDefault="008D1C4B">
      <w:pPr>
        <w:keepNext/>
        <w:rPr>
          <w:bCs/>
          <w:lang w:val="en-GB"/>
        </w:rPr>
      </w:pPr>
    </w:p>
    <w:p w14:paraId="46B4632E" w14:textId="77777777" w:rsidR="008D1C4B" w:rsidRDefault="00017BB5">
      <w:pPr>
        <w:pStyle w:val="berschrift1"/>
        <w:numPr>
          <w:ilvl w:val="0"/>
          <w:numId w:val="80"/>
        </w:numPr>
        <w:rPr>
          <w:b/>
          <w:lang w:val="en-GB"/>
        </w:rPr>
      </w:pPr>
      <w:r>
        <w:rPr>
          <w:b/>
          <w:lang w:val="en-GB"/>
        </w:rPr>
        <w:t xml:space="preserve">Conclusions and recommendations of EESC preliminary draft opinion REX/604 (to be adopted by the EESC) on </w:t>
      </w:r>
      <w:hyperlink r:id="rId45" w:history="1">
        <w:r>
          <w:rPr>
            <w:rStyle w:val="Hyperlink"/>
            <w:b/>
            <w:i/>
          </w:rPr>
          <w:t>Boosting sustainable growth and quality jobs in Euromed: promoting entrepreneurship and tapping the potential of women and young people</w:t>
        </w:r>
      </w:hyperlink>
    </w:p>
    <w:p w14:paraId="114DB840" w14:textId="77777777" w:rsidR="008D1C4B" w:rsidRDefault="008D1C4B">
      <w:pPr>
        <w:rPr>
          <w:lang w:val="en-GB"/>
        </w:rPr>
      </w:pPr>
    </w:p>
    <w:p w14:paraId="6DA22F3C" w14:textId="77777777" w:rsidR="008D1C4B" w:rsidRDefault="00017BB5">
      <w:pPr>
        <w:pStyle w:val="berschrift2"/>
        <w:numPr>
          <w:ilvl w:val="1"/>
          <w:numId w:val="80"/>
        </w:numPr>
        <w:rPr>
          <w:lang w:val="en-GB"/>
        </w:rPr>
      </w:pPr>
      <w:r>
        <w:t>The objective of this own-initiative EESC opinion is to map out potential ways to foster entrepreneurship and job creation in the Euromed region, paying specific attention to tapping the potential of women and young people. The aim is to provide input for the development of the Pact for the Mediterranean and to boost more inclusive and resilient growth and overall prosperity across the region.</w:t>
      </w:r>
    </w:p>
    <w:p w14:paraId="01FB15A6" w14:textId="77777777" w:rsidR="008D1C4B" w:rsidRDefault="008D1C4B"/>
    <w:p w14:paraId="187A36BB" w14:textId="77777777" w:rsidR="008D1C4B" w:rsidRDefault="00017BB5">
      <w:pPr>
        <w:pStyle w:val="berschrift2"/>
        <w:numPr>
          <w:ilvl w:val="1"/>
          <w:numId w:val="80"/>
        </w:numPr>
      </w:pPr>
      <w:r>
        <w:t xml:space="preserve">Traditional gender roles and social norms still restrict women’s economic and social participation in many parts of the region. The EESC considers it important to identify and remove gender-related structural obstacles related to education, </w:t>
      </w:r>
      <w:proofErr w:type="spellStart"/>
      <w:r>
        <w:t>labour</w:t>
      </w:r>
      <w:proofErr w:type="spellEnd"/>
      <w:r>
        <w:t xml:space="preserve"> markets, and entrepreneurship. The EESC also calls for awareness to be raised of the benefits of diversity and gender equality in the economy and society, making use of role models and communicating on the achievements of female entrepreneurs. </w:t>
      </w:r>
    </w:p>
    <w:p w14:paraId="23926AF8" w14:textId="77777777" w:rsidR="008D1C4B" w:rsidRDefault="008D1C4B"/>
    <w:p w14:paraId="431E7E11" w14:textId="77777777" w:rsidR="008D1C4B" w:rsidRDefault="00017BB5">
      <w:pPr>
        <w:pStyle w:val="berschrift2"/>
        <w:numPr>
          <w:ilvl w:val="1"/>
          <w:numId w:val="80"/>
        </w:numPr>
      </w:pPr>
      <w:r>
        <w:t xml:space="preserve">The EESC highlights that young people could emerge as one of the most valuable assets of the countries of the Middle East and North Africa (MENA). To </w:t>
      </w:r>
      <w:proofErr w:type="spellStart"/>
      <w:r>
        <w:t>realise</w:t>
      </w:r>
      <w:proofErr w:type="spellEnd"/>
      <w:r>
        <w:t xml:space="preserve"> their potential, they should be given the opportunity for education and skills development, from basic education to vocational training and higher education, also covering solid entrepreneurial and citizenship skills. More investment is needed in youth mobility and student exchange </w:t>
      </w:r>
      <w:proofErr w:type="spellStart"/>
      <w:r>
        <w:t>programmes</w:t>
      </w:r>
      <w:proofErr w:type="spellEnd"/>
      <w:r>
        <w:t xml:space="preserve">, including through efficient university cooperation. </w:t>
      </w:r>
    </w:p>
    <w:p w14:paraId="03D72114" w14:textId="77777777" w:rsidR="008D1C4B" w:rsidRDefault="008D1C4B"/>
    <w:p w14:paraId="6F1CBA01" w14:textId="77777777" w:rsidR="008D1C4B" w:rsidRDefault="00017BB5">
      <w:pPr>
        <w:pStyle w:val="berschrift2"/>
        <w:numPr>
          <w:ilvl w:val="1"/>
          <w:numId w:val="80"/>
        </w:numPr>
      </w:pPr>
      <w:r>
        <w:t>Girls and women should be encouraged to study science, technology, engineering, and mathematics (STEM) subjects and to acquire skills in digital technologies and financial literacy, to enhance their opportunities for entrepreneurship and leadership. To overcome regional disparities and geographic isolation, the EESC also considers it important to use online and mobile learning to provide people in remote areas with access to education and training.</w:t>
      </w:r>
    </w:p>
    <w:p w14:paraId="3C18ABFA" w14:textId="77777777" w:rsidR="008D1C4B" w:rsidRDefault="008D1C4B"/>
    <w:p w14:paraId="198A7A27" w14:textId="77777777" w:rsidR="008D1C4B" w:rsidRDefault="00017BB5">
      <w:pPr>
        <w:pStyle w:val="berschrift2"/>
        <w:numPr>
          <w:ilvl w:val="1"/>
          <w:numId w:val="80"/>
        </w:numPr>
      </w:pPr>
      <w:r>
        <w:t>To give young people the prospect of a positive future in the region, it is vital to improve their working opportunities and conditions. The EESC also considers it crucial to enhance the quality of working conditions for women, including by preventing discrimination and harassment. Furthermore, it is vital to unleash their potential for leadership in politics, business, and the third sector.</w:t>
      </w:r>
    </w:p>
    <w:p w14:paraId="707CE5F5" w14:textId="77777777" w:rsidR="008D1C4B" w:rsidRDefault="008D1C4B"/>
    <w:p w14:paraId="028EE643" w14:textId="77777777" w:rsidR="008D1C4B" w:rsidRDefault="00017BB5">
      <w:pPr>
        <w:pStyle w:val="berschrift2"/>
        <w:numPr>
          <w:ilvl w:val="1"/>
          <w:numId w:val="80"/>
        </w:numPr>
      </w:pPr>
      <w:r>
        <w:t>The EESC highlights the urgent need to provide women and young people with the full range of possibilities for entrepreneurship. This requires proper access to finance, together with access to electricity and digital infrastructure, land, water and other natural resources, and legally enabled and secured ownership. Networking and collaboration opportunities, including access to innovation ecosystems and entrepreneurial hubs, also need to be ensured.</w:t>
      </w:r>
    </w:p>
    <w:p w14:paraId="3F244E5D" w14:textId="77777777" w:rsidR="008D1C4B" w:rsidRDefault="008D1C4B"/>
    <w:p w14:paraId="6EDF1E33" w14:textId="77777777" w:rsidR="008D1C4B" w:rsidRDefault="00017BB5">
      <w:pPr>
        <w:pStyle w:val="berschrift2"/>
        <w:numPr>
          <w:ilvl w:val="1"/>
          <w:numId w:val="80"/>
        </w:numPr>
      </w:pPr>
      <w:r>
        <w:lastRenderedPageBreak/>
        <w:t xml:space="preserve">The EESC stresses the importance of the rule of law, considering that legal certainty and predictability are crucial for running any business in any country. Serious efforts need to be made to advance anti-corruption measures and the implementation of international </w:t>
      </w:r>
      <w:proofErr w:type="spellStart"/>
      <w:r>
        <w:t>labour</w:t>
      </w:r>
      <w:proofErr w:type="spellEnd"/>
      <w:r>
        <w:t xml:space="preserve"> and human rights conventions.</w:t>
      </w:r>
    </w:p>
    <w:p w14:paraId="00968843" w14:textId="77777777" w:rsidR="008D1C4B" w:rsidRDefault="008D1C4B"/>
    <w:p w14:paraId="29F61E06" w14:textId="77777777" w:rsidR="008D1C4B" w:rsidRDefault="00017BB5">
      <w:pPr>
        <w:pStyle w:val="berschrift2"/>
        <w:numPr>
          <w:ilvl w:val="1"/>
          <w:numId w:val="80"/>
        </w:numPr>
      </w:pPr>
      <w:r>
        <w:t xml:space="preserve">Besides new entrepreneurs, established SMEs need a supportive operating environment. The EESC highlights that </w:t>
      </w:r>
      <w:proofErr w:type="spellStart"/>
      <w:r>
        <w:t>favourable</w:t>
      </w:r>
      <w:proofErr w:type="spellEnd"/>
      <w:r>
        <w:t xml:space="preserve"> investment conditions and new trade opportunities to reach wider markets play a central role in helping these enterprises grow and succeed in the Euromed region. To benefit from support measures, SMEs need to be brought out of the ‘grey’, informal sector and be registered as part of the formal economy.</w:t>
      </w:r>
    </w:p>
    <w:p w14:paraId="61EAA20C" w14:textId="77777777" w:rsidR="008D1C4B" w:rsidRDefault="008D1C4B"/>
    <w:p w14:paraId="015791D9" w14:textId="77777777" w:rsidR="008D1C4B" w:rsidRDefault="00017BB5">
      <w:pPr>
        <w:pStyle w:val="berschrift2"/>
        <w:numPr>
          <w:ilvl w:val="1"/>
          <w:numId w:val="80"/>
        </w:numPr>
      </w:pPr>
      <w:r>
        <w:t>In addition, the EESC highlights specific fields with growing potential for entrepreneurship, which should be assessed and promoted in the context of the Mediterranean partnerships. These include, for example, sustainable farming, production of renewable energy and the development of the digital economy, as well as creative sectors, traditional crafts and liberal professions.</w:t>
      </w:r>
    </w:p>
    <w:p w14:paraId="1782E7C8" w14:textId="77777777" w:rsidR="008D1C4B" w:rsidRDefault="008D1C4B"/>
    <w:p w14:paraId="1402B51C" w14:textId="77777777" w:rsidR="008D1C4B" w:rsidRDefault="00017BB5">
      <w:pPr>
        <w:pStyle w:val="berschrift2"/>
        <w:numPr>
          <w:ilvl w:val="1"/>
          <w:numId w:val="80"/>
        </w:numPr>
      </w:pPr>
      <w:r>
        <w:rPr>
          <w:rStyle w:val="berschrift2Zchn"/>
        </w:rPr>
        <w:t>The EESC stresses the importance of projects promoting market connectivity across the Mediterranean. Renewable energy is a promising field for collaboration that requires the connection of the energy markets and grids across the Mediterranean; therefore, implementation of relevant projects contributing to this should be a priority</w:t>
      </w:r>
      <w:r>
        <w:t>.</w:t>
      </w:r>
    </w:p>
    <w:p w14:paraId="46EA9CCB" w14:textId="77777777" w:rsidR="008D1C4B" w:rsidRDefault="008D1C4B">
      <w:pPr>
        <w:rPr>
          <w:lang w:val="en-GB"/>
        </w:rPr>
      </w:pPr>
    </w:p>
    <w:p w14:paraId="318E00FC" w14:textId="77777777" w:rsidR="008D1C4B" w:rsidRDefault="00017BB5">
      <w:pPr>
        <w:pStyle w:val="berschrift1"/>
        <w:rPr>
          <w:b/>
          <w:lang w:val="en-GB"/>
        </w:rPr>
      </w:pPr>
      <w:r>
        <w:rPr>
          <w:b/>
          <w:lang w:val="en-GB"/>
        </w:rPr>
        <w:t xml:space="preserve">Conclusions and recommendations of EESC opinion SOC/824 on </w:t>
      </w:r>
      <w:hyperlink r:id="rId46" w:history="1">
        <w:r>
          <w:rPr>
            <w:rStyle w:val="Hyperlink"/>
            <w:i/>
          </w:rPr>
          <w:t xml:space="preserve">Enhancing legal and </w:t>
        </w:r>
        <w:proofErr w:type="spellStart"/>
        <w:r>
          <w:rPr>
            <w:rStyle w:val="Hyperlink"/>
            <w:i/>
          </w:rPr>
          <w:t>organised</w:t>
        </w:r>
        <w:proofErr w:type="spellEnd"/>
        <w:r>
          <w:rPr>
            <w:rStyle w:val="Hyperlink"/>
            <w:i/>
          </w:rPr>
          <w:t xml:space="preserve"> </w:t>
        </w:r>
        <w:proofErr w:type="spellStart"/>
        <w:r>
          <w:rPr>
            <w:rStyle w:val="Hyperlink"/>
            <w:i/>
          </w:rPr>
          <w:t>labour</w:t>
        </w:r>
        <w:proofErr w:type="spellEnd"/>
        <w:r>
          <w:rPr>
            <w:rStyle w:val="Hyperlink"/>
            <w:i/>
          </w:rPr>
          <w:t xml:space="preserve"> migration to the EU</w:t>
        </w:r>
      </w:hyperlink>
    </w:p>
    <w:p w14:paraId="2FC88EA0" w14:textId="77777777" w:rsidR="008D1C4B" w:rsidRDefault="008D1C4B">
      <w:pPr>
        <w:rPr>
          <w:lang w:val="en-GB"/>
        </w:rPr>
      </w:pPr>
    </w:p>
    <w:p w14:paraId="3C146A1D" w14:textId="77777777" w:rsidR="008D1C4B" w:rsidRDefault="00017BB5">
      <w:pPr>
        <w:pStyle w:val="berschrift2"/>
        <w:numPr>
          <w:ilvl w:val="1"/>
          <w:numId w:val="79"/>
        </w:numPr>
        <w:rPr>
          <w:lang w:val="en-GB"/>
        </w:rPr>
      </w:pPr>
      <w:r>
        <w:t xml:space="preserve">The EESC underlines that the promotion of legal and </w:t>
      </w:r>
      <w:proofErr w:type="spellStart"/>
      <w:r>
        <w:t>organised</w:t>
      </w:r>
      <w:proofErr w:type="spellEnd"/>
      <w:r>
        <w:t xml:space="preserve"> </w:t>
      </w:r>
      <w:proofErr w:type="spellStart"/>
      <w:r>
        <w:t>labour</w:t>
      </w:r>
      <w:proofErr w:type="spellEnd"/>
      <w:r>
        <w:t xml:space="preserve"> migration to the EU and related EU policies and instruments must be based on human rights, the rule of law, the integration of third-country nationals (TCNs) into the </w:t>
      </w:r>
      <w:proofErr w:type="spellStart"/>
      <w:r>
        <w:t>labour</w:t>
      </w:r>
      <w:proofErr w:type="spellEnd"/>
      <w:r>
        <w:t xml:space="preserve"> market and their role in meeting the EU’s </w:t>
      </w:r>
      <w:proofErr w:type="spellStart"/>
      <w:r>
        <w:t>labour</w:t>
      </w:r>
      <w:proofErr w:type="spellEnd"/>
      <w:r>
        <w:t xml:space="preserve"> and skills needs, respect for the EU’s common values and compliance with binding international legal instruments relevant to migration and human and </w:t>
      </w:r>
      <w:proofErr w:type="spellStart"/>
      <w:r>
        <w:t>labour</w:t>
      </w:r>
      <w:proofErr w:type="spellEnd"/>
      <w:r>
        <w:t xml:space="preserve"> rights</w:t>
      </w:r>
      <w:r>
        <w:rPr>
          <w:rStyle w:val="Funotenzeichen"/>
        </w:rPr>
        <w:footnoteReference w:id="7"/>
      </w:r>
      <w:r>
        <w:t>.</w:t>
      </w:r>
    </w:p>
    <w:p w14:paraId="7637BA24" w14:textId="77777777" w:rsidR="008D1C4B" w:rsidRDefault="008D1C4B"/>
    <w:p w14:paraId="52ECEE97" w14:textId="77777777" w:rsidR="008D1C4B" w:rsidRDefault="00017BB5">
      <w:pPr>
        <w:pStyle w:val="berschrift2"/>
        <w:numPr>
          <w:ilvl w:val="1"/>
          <w:numId w:val="79"/>
        </w:numPr>
      </w:pPr>
      <w:r>
        <w:t>The EESC calls for a balanced approach between the EU and the countries of origin (</w:t>
      </w:r>
      <w:proofErr w:type="spellStart"/>
      <w:r>
        <w:t>CoOs</w:t>
      </w:r>
      <w:proofErr w:type="spellEnd"/>
      <w:r>
        <w:t xml:space="preserve">) in all current and future migration frameworks and stresses the importance of mitigating the risk of </w:t>
      </w:r>
      <w:r>
        <w:rPr>
          <w:b/>
          <w:bCs/>
        </w:rPr>
        <w:t>brain drain</w:t>
      </w:r>
      <w:r>
        <w:t xml:space="preserve"> by creating enabling conditions for economic growth and decent jobs in </w:t>
      </w:r>
      <w:proofErr w:type="spellStart"/>
      <w:r>
        <w:t>CoOs</w:t>
      </w:r>
      <w:proofErr w:type="spellEnd"/>
      <w:r>
        <w:t xml:space="preserve">, including through the role played by the EU’s cohesion policy. The EESC calls for the </w:t>
      </w:r>
      <w:proofErr w:type="spellStart"/>
      <w:r>
        <w:t>institutionalised</w:t>
      </w:r>
      <w:proofErr w:type="spellEnd"/>
      <w:r>
        <w:t xml:space="preserve"> involvement of social partners on both sides, in line with national circumstances and practices, in order to identify opportunities, risks and challenges for domestic </w:t>
      </w:r>
      <w:proofErr w:type="spellStart"/>
      <w:r>
        <w:t>labour</w:t>
      </w:r>
      <w:proofErr w:type="spellEnd"/>
      <w:r>
        <w:t xml:space="preserve"> markets, and for them to become part of a robust monitoring framework for all bilateral </w:t>
      </w:r>
      <w:proofErr w:type="spellStart"/>
      <w:r>
        <w:t>labour</w:t>
      </w:r>
      <w:proofErr w:type="spellEnd"/>
      <w:r>
        <w:t xml:space="preserve"> migration agreements. </w:t>
      </w:r>
    </w:p>
    <w:p w14:paraId="6689E5E7" w14:textId="77777777" w:rsidR="008D1C4B" w:rsidRDefault="008D1C4B"/>
    <w:p w14:paraId="5345C0F5" w14:textId="77777777" w:rsidR="008D1C4B" w:rsidRDefault="00017BB5">
      <w:pPr>
        <w:pStyle w:val="berschrift3"/>
        <w:numPr>
          <w:ilvl w:val="2"/>
          <w:numId w:val="79"/>
        </w:numPr>
      </w:pPr>
      <w:r>
        <w:t xml:space="preserve">The introduction of pre and post-departure training, with social and professional integration and skills development </w:t>
      </w:r>
      <w:proofErr w:type="spellStart"/>
      <w:r>
        <w:t>programmes</w:t>
      </w:r>
      <w:proofErr w:type="spellEnd"/>
      <w:r>
        <w:t xml:space="preserve"> in </w:t>
      </w:r>
      <w:proofErr w:type="spellStart"/>
      <w:r>
        <w:t>CoOs</w:t>
      </w:r>
      <w:proofErr w:type="spellEnd"/>
      <w:r>
        <w:t xml:space="preserve"> accommodating a certain percentage of workers staying in their home countries in order to promote social and economic development, can be an effective way to mitigate the risk of brain drain. Such trainings should be a feature of the EU’s Talent </w:t>
      </w:r>
      <w:r>
        <w:lastRenderedPageBreak/>
        <w:t>Partnerships (TP) initiative and mobility schemes. The EESC highlights the TP between Italy and Egypt.</w:t>
      </w:r>
    </w:p>
    <w:p w14:paraId="36086261" w14:textId="77777777" w:rsidR="008D1C4B" w:rsidRDefault="008D1C4B"/>
    <w:p w14:paraId="7AB2E1E0" w14:textId="77777777" w:rsidR="008D1C4B" w:rsidRDefault="00017BB5">
      <w:pPr>
        <w:pStyle w:val="berschrift3"/>
        <w:numPr>
          <w:ilvl w:val="2"/>
          <w:numId w:val="79"/>
        </w:numPr>
      </w:pPr>
      <w:r>
        <w:t xml:space="preserve">The EESC calls for increased support for training </w:t>
      </w:r>
      <w:proofErr w:type="spellStart"/>
      <w:r>
        <w:t>centres</w:t>
      </w:r>
      <w:proofErr w:type="spellEnd"/>
      <w:r>
        <w:t xml:space="preserve"> in </w:t>
      </w:r>
      <w:proofErr w:type="spellStart"/>
      <w:r>
        <w:t>CoOs</w:t>
      </w:r>
      <w:proofErr w:type="spellEnd"/>
      <w:r>
        <w:t xml:space="preserve"> to deliver training aligned with </w:t>
      </w:r>
      <w:proofErr w:type="spellStart"/>
      <w:r>
        <w:t>labour</w:t>
      </w:r>
      <w:proofErr w:type="spellEnd"/>
      <w:r>
        <w:t xml:space="preserve"> market needs benefiting domestic and EU </w:t>
      </w:r>
      <w:proofErr w:type="spellStart"/>
      <w:r>
        <w:t>labour</w:t>
      </w:r>
      <w:proofErr w:type="spellEnd"/>
      <w:r>
        <w:t xml:space="preserve"> markets. To ensure sustainable development benefits and avoid ad hoc measures, such trainings should be integrated into national education systems. Recruitment also needs to take into account </w:t>
      </w:r>
      <w:proofErr w:type="spellStart"/>
      <w:r>
        <w:t>marginalised</w:t>
      </w:r>
      <w:proofErr w:type="spellEnd"/>
      <w:r>
        <w:t xml:space="preserve"> groups such as young people not in employment, education or training (NEETs), which can alleviate pressure on </w:t>
      </w:r>
      <w:proofErr w:type="spellStart"/>
      <w:r>
        <w:t>CoOs</w:t>
      </w:r>
      <w:proofErr w:type="spellEnd"/>
      <w:r>
        <w:t xml:space="preserve"> while meeting EU </w:t>
      </w:r>
      <w:proofErr w:type="spellStart"/>
      <w:r>
        <w:t>labour</w:t>
      </w:r>
      <w:proofErr w:type="spellEnd"/>
      <w:r>
        <w:t xml:space="preserve"> market needs effectively.</w:t>
      </w:r>
    </w:p>
    <w:p w14:paraId="3B9048E2" w14:textId="77777777" w:rsidR="008D1C4B" w:rsidRDefault="008D1C4B"/>
    <w:p w14:paraId="2948DF58" w14:textId="77777777" w:rsidR="008D1C4B" w:rsidRDefault="00017BB5">
      <w:pPr>
        <w:pStyle w:val="berschrift2"/>
        <w:numPr>
          <w:ilvl w:val="1"/>
          <w:numId w:val="79"/>
        </w:numPr>
      </w:pPr>
      <w:r>
        <w:t>A functioning reintegration system must be part of effective ‘brain circulation’ schemes. Circular migration</w:t>
      </w:r>
      <w:r>
        <w:rPr>
          <w:rStyle w:val="Funotenzeichen"/>
        </w:rPr>
        <w:footnoteReference w:id="8"/>
      </w:r>
      <w:r>
        <w:t xml:space="preserve"> </w:t>
      </w:r>
      <w:proofErr w:type="spellStart"/>
      <w:r>
        <w:t>programmes</w:t>
      </w:r>
      <w:proofErr w:type="spellEnd"/>
      <w:r>
        <w:t xml:space="preserve"> have to secure the rights of migrant workers in the countries of destination (</w:t>
      </w:r>
      <w:proofErr w:type="spellStart"/>
      <w:r>
        <w:t>CoDs</w:t>
      </w:r>
      <w:proofErr w:type="spellEnd"/>
      <w:r>
        <w:t>), taking into account the recently revised EU Single Permit Directive.</w:t>
      </w:r>
    </w:p>
    <w:p w14:paraId="6BACF341" w14:textId="77777777" w:rsidR="008D1C4B" w:rsidRDefault="008D1C4B"/>
    <w:p w14:paraId="64FCFEF8" w14:textId="77777777" w:rsidR="008D1C4B" w:rsidRDefault="00017BB5">
      <w:pPr>
        <w:pStyle w:val="berschrift2"/>
        <w:numPr>
          <w:ilvl w:val="1"/>
          <w:numId w:val="79"/>
        </w:numPr>
      </w:pPr>
      <w:r>
        <w:t xml:space="preserve">It is essential to promote equal rights for migrant workers from third countries across all skill levels. Measures should enhance their protection throughout the migration cycle, including accessible pre-departure and post-arrival information, orientation and training, and legal access for complaints and redress. Rights such as freedom of association, collective bargaining and access to healthcare, housing, education and training in the </w:t>
      </w:r>
      <w:proofErr w:type="spellStart"/>
      <w:r>
        <w:t>CoD</w:t>
      </w:r>
      <w:proofErr w:type="spellEnd"/>
      <w:r>
        <w:t>, must be ensured. Employers must also receive adequate information when recruiting TCNs.</w:t>
      </w:r>
    </w:p>
    <w:p w14:paraId="58CE61C2" w14:textId="77777777" w:rsidR="008D1C4B" w:rsidRDefault="008D1C4B"/>
    <w:p w14:paraId="00893E60" w14:textId="77777777" w:rsidR="008D1C4B" w:rsidRDefault="00017BB5">
      <w:pPr>
        <w:pStyle w:val="berschrift2"/>
        <w:numPr>
          <w:ilvl w:val="1"/>
          <w:numId w:val="79"/>
        </w:numPr>
      </w:pPr>
      <w:r>
        <w:t xml:space="preserve">International skills and mobility partnerships can strengthen domestic </w:t>
      </w:r>
      <w:proofErr w:type="spellStart"/>
      <w:r>
        <w:t>labour</w:t>
      </w:r>
      <w:proofErr w:type="spellEnd"/>
      <w:r>
        <w:t xml:space="preserve"> markets, matching </w:t>
      </w:r>
      <w:proofErr w:type="spellStart"/>
      <w:r>
        <w:t>labour</w:t>
      </w:r>
      <w:proofErr w:type="spellEnd"/>
      <w:r>
        <w:t xml:space="preserve"> supply and demand, transferring skills at all levels and </w:t>
      </w:r>
      <w:proofErr w:type="spellStart"/>
      <w:r>
        <w:t>maximising</w:t>
      </w:r>
      <w:proofErr w:type="spellEnd"/>
      <w:r>
        <w:t xml:space="preserve"> ‘brain gain’, while addressing ‘brain drain’ and increasing competitiveness and growth for </w:t>
      </w:r>
      <w:proofErr w:type="spellStart"/>
      <w:r>
        <w:t>CoOs</w:t>
      </w:r>
      <w:proofErr w:type="spellEnd"/>
      <w:r>
        <w:t xml:space="preserve"> and </w:t>
      </w:r>
      <w:proofErr w:type="spellStart"/>
      <w:r>
        <w:t>CoDs</w:t>
      </w:r>
      <w:proofErr w:type="spellEnd"/>
      <w:r>
        <w:t>.</w:t>
      </w:r>
    </w:p>
    <w:p w14:paraId="2C2A95C2" w14:textId="77777777" w:rsidR="008D1C4B" w:rsidRDefault="008D1C4B"/>
    <w:p w14:paraId="78C005BF" w14:textId="77777777" w:rsidR="008D1C4B" w:rsidRDefault="00017BB5">
      <w:pPr>
        <w:pStyle w:val="berschrift3"/>
        <w:numPr>
          <w:ilvl w:val="2"/>
          <w:numId w:val="79"/>
        </w:numPr>
      </w:pPr>
      <w:r>
        <w:t>The EESC points out that, at present, a common framework and transparency in the negotiations for the Talent Partnerships</w:t>
      </w:r>
      <w:r>
        <w:rPr>
          <w:rStyle w:val="Funotenzeichen"/>
        </w:rPr>
        <w:footnoteReference w:id="9"/>
      </w:r>
      <w:r>
        <w:t xml:space="preserve"> (TPs) is lacking. Subsequently, the EESC calls on the Commission to present an action plan outlining the next steps for the TPs, lessons learned from ongoing and past projects and policies to enhance coherence and facilitate smooth mobility. It also underlines the importance of robust, clear and binding identification, selection and assessment criteria that support human and </w:t>
      </w:r>
      <w:proofErr w:type="spellStart"/>
      <w:r>
        <w:t>labour</w:t>
      </w:r>
      <w:proofErr w:type="spellEnd"/>
      <w:r>
        <w:t xml:space="preserve"> rights in the partner countries for current and future TPs. </w:t>
      </w:r>
    </w:p>
    <w:p w14:paraId="79A966A8" w14:textId="77777777" w:rsidR="008D1C4B" w:rsidRDefault="008D1C4B"/>
    <w:p w14:paraId="72D443C6" w14:textId="77777777" w:rsidR="008D1C4B" w:rsidRDefault="00017BB5">
      <w:pPr>
        <w:pStyle w:val="berschrift2"/>
        <w:numPr>
          <w:ilvl w:val="1"/>
          <w:numId w:val="79"/>
        </w:numPr>
      </w:pPr>
      <w:r>
        <w:t>The EESC welcomes the Communication on the Union of Skills</w:t>
      </w:r>
      <w:r>
        <w:rPr>
          <w:rStyle w:val="Funotenzeichen"/>
        </w:rPr>
        <w:footnoteReference w:id="10"/>
      </w:r>
      <w:r>
        <w:t xml:space="preserve">, especially the launch of Multipurpose Legal Gateway Offices and the commitment to improve recognition of the qualifications of TCNs. The EESC urges the Commission to seize the opportunity to address all skill levels in the proposed presentation of the Visa Strategy and the revision of the Action Plan on Integration and Inclusion. </w:t>
      </w:r>
    </w:p>
    <w:p w14:paraId="5438EFCD" w14:textId="77777777" w:rsidR="008D1C4B" w:rsidRDefault="008D1C4B"/>
    <w:p w14:paraId="27546277" w14:textId="77777777" w:rsidR="008D1C4B" w:rsidRDefault="00017BB5">
      <w:pPr>
        <w:pStyle w:val="berschrift2"/>
        <w:numPr>
          <w:ilvl w:val="1"/>
          <w:numId w:val="79"/>
        </w:numPr>
      </w:pPr>
      <w:r>
        <w:lastRenderedPageBreak/>
        <w:t>To ensure that migrant workers are recruited fairly and ethically, procedures should be in line with the ILO General Principles and Operational Guidelines for Fair Recruitment</w:t>
      </w:r>
      <w:r>
        <w:rPr>
          <w:rStyle w:val="Funotenzeichen"/>
        </w:rPr>
        <w:footnoteReference w:id="11"/>
      </w:r>
      <w:r>
        <w:t xml:space="preserve"> and the Fair Recruitment Initiative</w:t>
      </w:r>
      <w:r>
        <w:rPr>
          <w:rStyle w:val="Funotenzeichen"/>
        </w:rPr>
        <w:footnoteReference w:id="12"/>
      </w:r>
      <w:r>
        <w:t>. The EESC suggests assessing the need to strengthen the due diligence and joint liability mechanisms of private employment and recruitment agencies and notes that members of the World Employment Confederation subscribe to a code of conduct</w:t>
      </w:r>
      <w:r>
        <w:rPr>
          <w:rStyle w:val="Funotenzeichen"/>
        </w:rPr>
        <w:footnoteReference w:id="13"/>
      </w:r>
      <w:r>
        <w:t xml:space="preserve"> that promotes ethical and professional standards in employment services. The EESC calls for strong protection for vulnerable groups (e.g. women, young workers, workers with disabilities) and suggests assessing the need for specific measures for fraud-sensitive sectors and sectors with a high risk of </w:t>
      </w:r>
      <w:proofErr w:type="spellStart"/>
      <w:r>
        <w:t>labour</w:t>
      </w:r>
      <w:proofErr w:type="spellEnd"/>
      <w:r>
        <w:t xml:space="preserve"> exploitation.</w:t>
      </w:r>
    </w:p>
    <w:p w14:paraId="6B5244A5" w14:textId="77777777" w:rsidR="008D1C4B" w:rsidRDefault="008D1C4B"/>
    <w:p w14:paraId="4E2070D7" w14:textId="77777777" w:rsidR="008D1C4B" w:rsidRDefault="00017BB5">
      <w:pPr>
        <w:pStyle w:val="berschrift2"/>
        <w:numPr>
          <w:ilvl w:val="1"/>
          <w:numId w:val="79"/>
        </w:numPr>
      </w:pPr>
      <w:r>
        <w:t xml:space="preserve">The EU needs to </w:t>
      </w:r>
      <w:proofErr w:type="spellStart"/>
      <w:r>
        <w:t>mobilise</w:t>
      </w:r>
      <w:proofErr w:type="spellEnd"/>
      <w:r>
        <w:t xml:space="preserve"> all available </w:t>
      </w:r>
      <w:proofErr w:type="spellStart"/>
      <w:r>
        <w:t>labour</w:t>
      </w:r>
      <w:proofErr w:type="spellEnd"/>
      <w:r>
        <w:t xml:space="preserve">, while enhancing migration policy to attract and retain skilled workers in a complementary way. The EESC calls for </w:t>
      </w:r>
      <w:proofErr w:type="spellStart"/>
      <w:r>
        <w:t>prioritising</w:t>
      </w:r>
      <w:proofErr w:type="spellEnd"/>
      <w:r>
        <w:t xml:space="preserve"> the activation of the EU’s domestic </w:t>
      </w:r>
      <w:proofErr w:type="spellStart"/>
      <w:r>
        <w:t>labour</w:t>
      </w:r>
      <w:proofErr w:type="spellEnd"/>
      <w:r>
        <w:t xml:space="preserve"> force to meet long-term </w:t>
      </w:r>
      <w:proofErr w:type="spellStart"/>
      <w:r>
        <w:t>labour</w:t>
      </w:r>
      <w:proofErr w:type="spellEnd"/>
      <w:r>
        <w:t xml:space="preserve"> market needs and shortages, focusing on under-</w:t>
      </w:r>
      <w:proofErr w:type="spellStart"/>
      <w:r>
        <w:t>mobilised</w:t>
      </w:r>
      <w:proofErr w:type="spellEnd"/>
      <w:r>
        <w:t xml:space="preserve"> groups such as young people, people with disabilities, women, refugees and migrants, while </w:t>
      </w:r>
      <w:proofErr w:type="spellStart"/>
      <w:r>
        <w:t>recognising</w:t>
      </w:r>
      <w:proofErr w:type="spellEnd"/>
      <w:r>
        <w:t xml:space="preserve"> that in specific cases the interests of companies to fill urgent vacancies with migrant workers must be respected.</w:t>
      </w:r>
    </w:p>
    <w:p w14:paraId="4D95CE88" w14:textId="77777777" w:rsidR="008D1C4B" w:rsidRDefault="008D1C4B">
      <w:pPr>
        <w:rPr>
          <w:lang w:val="en-GB"/>
        </w:rPr>
      </w:pPr>
    </w:p>
    <w:p w14:paraId="07211CDD" w14:textId="77777777" w:rsidR="008D1C4B" w:rsidRDefault="00017BB5">
      <w:pPr>
        <w:pStyle w:val="berschrift1"/>
        <w:rPr>
          <w:b/>
          <w:lang w:val="en-GB"/>
        </w:rPr>
      </w:pPr>
      <w:r>
        <w:rPr>
          <w:b/>
          <w:lang w:val="en-GB"/>
        </w:rPr>
        <w:t xml:space="preserve">Conclusions and recommendations of EESC opinion REX/585 on </w:t>
      </w:r>
      <w:hyperlink r:id="rId47" w:history="1">
        <w:r>
          <w:rPr>
            <w:rStyle w:val="Hyperlink"/>
            <w:b/>
            <w:i/>
          </w:rPr>
          <w:t>Water Politics: Empowering Youth, Women, and Indigenous and Local Communities</w:t>
        </w:r>
      </w:hyperlink>
    </w:p>
    <w:p w14:paraId="1C5CFB84" w14:textId="77777777" w:rsidR="008D1C4B" w:rsidRDefault="008D1C4B">
      <w:pPr>
        <w:rPr>
          <w:lang w:val="en-GB"/>
        </w:rPr>
      </w:pPr>
    </w:p>
    <w:p w14:paraId="3629B764" w14:textId="77777777" w:rsidR="008D1C4B" w:rsidRDefault="00017BB5">
      <w:pPr>
        <w:pStyle w:val="berschrift2"/>
      </w:pPr>
      <w:r>
        <w:t>Following up on the EESC opinion on blue diplomacy</w:t>
      </w:r>
      <w:r>
        <w:rPr>
          <w:rStyle w:val="Funotenzeichen"/>
        </w:rPr>
        <w:footnoteReference w:id="14"/>
      </w:r>
      <w:r>
        <w:t>, this document zooms in on young people, women, and indigenous and local communities (including migrants and people with disabilities), as these population groups are some of the most vulnerable to water stress. On the other hand, they have a large untapped potential for contributing to sustainable water management, for turning water into an instrument of peace and stability, and, thus, contributing to blue diplomacy.</w:t>
      </w:r>
    </w:p>
    <w:p w14:paraId="796D5942" w14:textId="77777777" w:rsidR="008D1C4B" w:rsidRDefault="008D1C4B">
      <w:pPr>
        <w:ind w:left="567" w:hanging="567"/>
      </w:pPr>
    </w:p>
    <w:p w14:paraId="73062253" w14:textId="77777777" w:rsidR="008D1C4B" w:rsidRDefault="00017BB5">
      <w:pPr>
        <w:pStyle w:val="berschrift2"/>
      </w:pPr>
      <w:r>
        <w:t>Inspired by the call for a global Europe that leverages the power of partnerships</w:t>
      </w:r>
      <w:r>
        <w:rPr>
          <w:rStyle w:val="Funotenzeichen"/>
        </w:rPr>
        <w:footnoteReference w:id="15"/>
      </w:r>
      <w:r>
        <w:t xml:space="preserve"> and welcoming the appointment of EU Commissioner for Environment, Water Resilience and a Competitive Circular Economy, the EESC calls on the EU to pay due attention to these groups in its external relations and international cooperation and suggests a </w:t>
      </w:r>
      <w:r>
        <w:rPr>
          <w:b/>
          <w:bCs/>
          <w:i/>
          <w:iCs/>
        </w:rPr>
        <w:t xml:space="preserve">lighthouse partnership </w:t>
      </w:r>
      <w:proofErr w:type="spellStart"/>
      <w:r>
        <w:rPr>
          <w:b/>
          <w:bCs/>
          <w:i/>
          <w:iCs/>
        </w:rPr>
        <w:t>programme</w:t>
      </w:r>
      <w:proofErr w:type="spellEnd"/>
      <w:r>
        <w:rPr>
          <w:b/>
          <w:bCs/>
          <w:i/>
          <w:iCs/>
        </w:rPr>
        <w:t xml:space="preserve"> for addressing how to empower them in an integrated manner</w:t>
      </w:r>
      <w:r>
        <w:t>, as described in greater detail in point 4.4 below.</w:t>
      </w:r>
    </w:p>
    <w:p w14:paraId="4D5FB2FA" w14:textId="77777777" w:rsidR="008D1C4B" w:rsidRDefault="008D1C4B"/>
    <w:p w14:paraId="6B61FF27" w14:textId="77777777" w:rsidR="008D1C4B" w:rsidRDefault="00017BB5">
      <w:pPr>
        <w:pStyle w:val="berschrift2"/>
      </w:pPr>
      <w:r>
        <w:t xml:space="preserve">Access to clean water, education, employment and participation in policymaking are key elements of empowerment. Better access to water, sanitation and hygiene (WASH) services is crucial, as it frees up time for education and vocational training and opens up more diverse options for employment and the ability to contribute to water management and policies. New technologies coupled with indigenous knowledge – used and applied in a respectful manner – and adequate </w:t>
      </w:r>
      <w:r>
        <w:lastRenderedPageBreak/>
        <w:t xml:space="preserve">focused funding are necessary enablers of empowerment, while international human rights, </w:t>
      </w:r>
      <w:proofErr w:type="spellStart"/>
      <w:r>
        <w:t>labour</w:t>
      </w:r>
      <w:proofErr w:type="spellEnd"/>
      <w:r>
        <w:t>, anti-corruption and environmental conventions provide the legal framework for this. Information campaigns on water issues also contribute to empowerment.</w:t>
      </w:r>
    </w:p>
    <w:p w14:paraId="29866F4F" w14:textId="77777777" w:rsidR="008D1C4B" w:rsidRDefault="008D1C4B">
      <w:pPr>
        <w:pStyle w:val="Listenabsatz"/>
        <w:ind w:left="0"/>
      </w:pPr>
    </w:p>
    <w:p w14:paraId="2568F228" w14:textId="77777777" w:rsidR="008D1C4B" w:rsidRDefault="00017BB5">
      <w:pPr>
        <w:pStyle w:val="berschrift2"/>
      </w:pPr>
      <w:r>
        <w:t>Youth empowerment requires a positive outlook for the future in terms of education and employment, starting from primary education, and extending to vocational training and higher education. Besides water-related competences, young people should be provided with general civic, citizenship and entrepreneurial skills, so that they can contribute to water management, employment and policymaking, as today’s drivers of change and future decision-makers</w:t>
      </w:r>
      <w:r>
        <w:rPr>
          <w:rStyle w:val="Funotenzeichen"/>
        </w:rPr>
        <w:footnoteReference w:id="16"/>
      </w:r>
      <w:r>
        <w:t>. In some communities, such as indigenous ones, young people are tasked with leadership by their communities and lessons can be drawn from their experience.</w:t>
      </w:r>
    </w:p>
    <w:p w14:paraId="461EB4CF" w14:textId="77777777" w:rsidR="008D1C4B" w:rsidRDefault="008D1C4B">
      <w:pPr>
        <w:pStyle w:val="Listenabsatz"/>
        <w:ind w:left="0"/>
      </w:pPr>
    </w:p>
    <w:p w14:paraId="230B3F98" w14:textId="77777777" w:rsidR="008D1C4B" w:rsidRDefault="00017BB5">
      <w:pPr>
        <w:pStyle w:val="berschrift2"/>
      </w:pPr>
      <w:r>
        <w:t xml:space="preserve">Proper WASH services are fundamental for women’s empowerment, considering that in most of the heavily water-stressed areas, women and young girls are burdened with finding solutions at the expense of their education, training, employment opportunities and personal development. Fully-fledged gender equality in education, work, authorities and entrepreneurship is another vital factor. Due attention needs to be paid to decent working conditions, including the prevention of discrimination and harassment. To enable women’s entrepreneurship, it is necessary to provide equal access to infrastructure, land and finance and to establish corruption-free business conditions. Women should also be encouraged and supported to hold leading positions in politics and business, and in any </w:t>
      </w:r>
      <w:proofErr w:type="spellStart"/>
      <w:r>
        <w:t>organisations</w:t>
      </w:r>
      <w:proofErr w:type="spellEnd"/>
      <w:r>
        <w:t xml:space="preserve"> contributing to water management and blue diplomacy.</w:t>
      </w:r>
    </w:p>
    <w:p w14:paraId="01936E42" w14:textId="77777777" w:rsidR="008D1C4B" w:rsidRDefault="008D1C4B">
      <w:pPr>
        <w:pStyle w:val="Listenabsatz"/>
        <w:ind w:left="0"/>
      </w:pPr>
    </w:p>
    <w:p w14:paraId="0FF98AC2" w14:textId="77777777" w:rsidR="008D1C4B" w:rsidRDefault="00017BB5">
      <w:pPr>
        <w:pStyle w:val="berschrift2"/>
      </w:pPr>
      <w:r>
        <w:t xml:space="preserve">Concrete platforms for meaningful dialogue between indigenous groups and national or local governments are necessary, alongside a more proactive, systematic involvement of indigenous people in international cooperation processes. Local communities must be provided with access to infrastructure, information, education and training, while local-level civil society </w:t>
      </w:r>
      <w:proofErr w:type="spellStart"/>
      <w:r>
        <w:t>organisations</w:t>
      </w:r>
      <w:proofErr w:type="spellEnd"/>
      <w:r>
        <w:t xml:space="preserve"> (CSOs) should be involved in local policymaking processes, engaging and empowering the indigenous groups</w:t>
      </w:r>
      <w:r>
        <w:rPr>
          <w:rStyle w:val="Funotenzeichen"/>
        </w:rPr>
        <w:footnoteReference w:id="17"/>
      </w:r>
      <w:r>
        <w:t>.</w:t>
      </w:r>
    </w:p>
    <w:p w14:paraId="734CF177" w14:textId="77777777" w:rsidR="008D1C4B" w:rsidRDefault="008D1C4B">
      <w:pPr>
        <w:pStyle w:val="Listenabsatz"/>
        <w:ind w:left="0"/>
      </w:pPr>
    </w:p>
    <w:p w14:paraId="69D86863" w14:textId="77777777" w:rsidR="008D1C4B" w:rsidRDefault="00017BB5">
      <w:pPr>
        <w:pStyle w:val="berschrift2"/>
      </w:pPr>
      <w:r>
        <w:t>Blue and digital technologies are instrumental for improving water management and access to clean water and sanitation. Due to the critical nature of – and interconnections between – water, energy and digital systems, infrastructure needs to be developed in its entirety. Source protection, wetlands preservation</w:t>
      </w:r>
      <w:r>
        <w:rPr>
          <w:rStyle w:val="Funotenzeichen"/>
        </w:rPr>
        <w:footnoteReference w:id="18"/>
      </w:r>
      <w:r>
        <w:t>, prevention and control of pollution, and bio-contamination are vital for sustainable water management. Many indigenous groups, continue to apply strong ethics of water stewardship and their engagement is critical for meeting growing water challenges.</w:t>
      </w:r>
    </w:p>
    <w:p w14:paraId="2E2993D4" w14:textId="77777777" w:rsidR="008D1C4B" w:rsidRDefault="008D1C4B">
      <w:pPr>
        <w:pStyle w:val="Listenabsatz"/>
        <w:ind w:left="0"/>
      </w:pPr>
    </w:p>
    <w:p w14:paraId="0C18FB25" w14:textId="77777777" w:rsidR="008D1C4B" w:rsidRDefault="00017BB5">
      <w:pPr>
        <w:pStyle w:val="berschrift2"/>
      </w:pPr>
      <w:r>
        <w:t xml:space="preserve">Meaningful partnership and funding are critical in the development of infrastructure, education and general capacity building. Both EU funds and national donors’ </w:t>
      </w:r>
      <w:proofErr w:type="spellStart"/>
      <w:r>
        <w:t>programmes</w:t>
      </w:r>
      <w:proofErr w:type="spellEnd"/>
      <w:r>
        <w:t xml:space="preserve"> play a crucial role here and coordination is vital to create synergies and make the most of the allocated resources. It is important to exchange good practices and to provide incentives for donors’ programs to stay </w:t>
      </w:r>
      <w:r>
        <w:lastRenderedPageBreak/>
        <w:t>in the water sector, and to also encompass rivers, lakes and other wetland ecosystems, as these are critical water resources. It is also necessary to map and monitor the use of funds and to ensure that funding is effective and supports the empowerment of vulnerable groups.</w:t>
      </w:r>
    </w:p>
    <w:p w14:paraId="356766BA" w14:textId="77777777" w:rsidR="008D1C4B" w:rsidRDefault="008D1C4B">
      <w:pPr>
        <w:pStyle w:val="berschrift2"/>
        <w:numPr>
          <w:ilvl w:val="0"/>
          <w:numId w:val="0"/>
        </w:numPr>
        <w:rPr>
          <w:lang w:val="en-GB"/>
        </w:rPr>
      </w:pPr>
    </w:p>
    <w:p w14:paraId="5ADCAE75" w14:textId="77777777" w:rsidR="008D1C4B" w:rsidRDefault="00017BB5">
      <w:pPr>
        <w:pStyle w:val="berschrift1"/>
        <w:rPr>
          <w:b/>
          <w:i/>
          <w:lang w:val="en-GB"/>
        </w:rPr>
      </w:pPr>
      <w:r>
        <w:rPr>
          <w:b/>
          <w:lang w:val="en-GB"/>
        </w:rPr>
        <w:t xml:space="preserve">Conclusions and recommendations of REX/583 on </w:t>
      </w:r>
      <w:hyperlink r:id="rId48" w:history="1">
        <w:r>
          <w:rPr>
            <w:rStyle w:val="Hyperlink"/>
            <w:b/>
            <w:i/>
          </w:rPr>
          <w:t>Youth Involvement in social and civil dialogue in the Mediterranean region</w:t>
        </w:r>
      </w:hyperlink>
    </w:p>
    <w:p w14:paraId="5F1DA3E1" w14:textId="77777777" w:rsidR="008D1C4B" w:rsidRDefault="008D1C4B">
      <w:pPr>
        <w:rPr>
          <w:lang w:val="en-GB"/>
        </w:rPr>
      </w:pPr>
    </w:p>
    <w:p w14:paraId="0F24E5BA" w14:textId="77777777" w:rsidR="008D1C4B" w:rsidRDefault="00017BB5">
      <w:pPr>
        <w:pStyle w:val="berschrift2"/>
        <w:rPr>
          <w:lang w:val="en-GB"/>
        </w:rPr>
      </w:pPr>
      <w:r>
        <w:rPr>
          <w:lang w:val="en-GB"/>
        </w:rPr>
        <w:t>This opinion was drawn up together with youth representatives. The EESC recommends involving young people in all stages of the policy-making process, from decision-making to the implementation and evaluation of policies</w:t>
      </w:r>
      <w:r>
        <w:rPr>
          <w:color w:val="000000"/>
          <w:lang w:val="en-GB"/>
        </w:rPr>
        <w:t xml:space="preserve">. </w:t>
      </w:r>
      <w:r>
        <w:rPr>
          <w:lang w:val="en-GB"/>
        </w:rPr>
        <w:t>It is vital to implement robust monitoring, feedback and accountability mechanisms at all stages.</w:t>
      </w:r>
    </w:p>
    <w:p w14:paraId="158DD522" w14:textId="77777777" w:rsidR="008D1C4B" w:rsidRDefault="008D1C4B">
      <w:pPr>
        <w:outlineLvl w:val="1"/>
        <w:rPr>
          <w:lang w:val="en-GB"/>
        </w:rPr>
      </w:pPr>
    </w:p>
    <w:p w14:paraId="7D36348B" w14:textId="77777777" w:rsidR="008D1C4B" w:rsidRDefault="00017BB5">
      <w:pPr>
        <w:pStyle w:val="berschrift2"/>
        <w:rPr>
          <w:lang w:val="en-GB"/>
        </w:rPr>
      </w:pPr>
      <w:r>
        <w:rPr>
          <w:lang w:val="en-GB"/>
        </w:rPr>
        <w:t>Social and civil dialogue processes are a cornerstone of democratic participation. However, civil society organisations (CSOs), youth groups, employers’ and workers’ organisations face difficulties in effectively taking part in decision-making processes. Freedom of association, freedom of speech and, more generally, the capacity for entities representing workers and civil society to defend their rights and express their demands are limited in many MENA</w:t>
      </w:r>
      <w:r>
        <w:rPr>
          <w:sz w:val="24"/>
          <w:szCs w:val="24"/>
          <w:vertAlign w:val="superscript"/>
          <w:lang w:val="en-GB"/>
        </w:rPr>
        <w:footnoteReference w:id="19"/>
      </w:r>
      <w:r>
        <w:rPr>
          <w:lang w:val="en-GB"/>
        </w:rPr>
        <w:t xml:space="preserve"> countries. There is a need to support democratic processes that go beyond elections, creating meaningful participatory mechanisms characterised by civic freedom, transparency, accessibility to information and opportunities for all. </w:t>
      </w:r>
    </w:p>
    <w:p w14:paraId="238AA55E" w14:textId="77777777" w:rsidR="008D1C4B" w:rsidRDefault="008D1C4B">
      <w:pPr>
        <w:ind w:left="567" w:hanging="567"/>
        <w:outlineLvl w:val="1"/>
        <w:rPr>
          <w:lang w:val="en-GB"/>
        </w:rPr>
      </w:pPr>
    </w:p>
    <w:p w14:paraId="18F6DE25" w14:textId="77777777" w:rsidR="008D1C4B" w:rsidRDefault="00017BB5">
      <w:pPr>
        <w:pStyle w:val="berschrift2"/>
        <w:rPr>
          <w:lang w:val="en-GB"/>
        </w:rPr>
      </w:pPr>
      <w:r>
        <w:rPr>
          <w:lang w:val="en-GB"/>
        </w:rPr>
        <w:t>The experiences and circumstances of young people and youth-led organisations in the MENA region vary greatly. Mono-dimensional definitions of youth must be discarded by recognising the specific features of various youth groups and adopting an intersectional approach to avoid overlooking the geographical and socio-political diversity of young people.</w:t>
      </w:r>
    </w:p>
    <w:p w14:paraId="51B4E07F" w14:textId="77777777" w:rsidR="008D1C4B" w:rsidRDefault="008D1C4B">
      <w:pPr>
        <w:outlineLvl w:val="1"/>
        <w:rPr>
          <w:lang w:val="en-GB"/>
        </w:rPr>
      </w:pPr>
    </w:p>
    <w:p w14:paraId="231544AD" w14:textId="77777777" w:rsidR="008D1C4B" w:rsidRDefault="00017BB5">
      <w:pPr>
        <w:pStyle w:val="berschrift2"/>
        <w:rPr>
          <w:lang w:val="en-GB"/>
        </w:rPr>
      </w:pPr>
      <w:r>
        <w:rPr>
          <w:lang w:val="en-GB"/>
        </w:rPr>
        <w:t>The socio-economic situation of young people in the Mediterranean region (henceforth referred to as ‘the region’) is characterised by high levels of unemployment, atypical and informal employment, as well as low wages, a lack of quality jobs and high shares of youth who are not in employment, education or training (NEETs). The EESC emphasises the necessity to reform both the labour market and the education systems to address those issues.</w:t>
      </w:r>
    </w:p>
    <w:p w14:paraId="01F860D7" w14:textId="77777777" w:rsidR="008D1C4B" w:rsidRDefault="008D1C4B">
      <w:pPr>
        <w:rPr>
          <w:lang w:val="en-GB"/>
        </w:rPr>
      </w:pPr>
    </w:p>
    <w:p w14:paraId="30A7D03A" w14:textId="77777777" w:rsidR="008D1C4B" w:rsidRDefault="00017BB5">
      <w:pPr>
        <w:pStyle w:val="berschrift2"/>
        <w:rPr>
          <w:lang w:val="en-GB"/>
        </w:rPr>
      </w:pPr>
      <w:r>
        <w:rPr>
          <w:lang w:val="en-GB"/>
        </w:rPr>
        <w:t>Groups coming from vulnerable backgrounds face additional challenges in terms of representation, access to opportunities, the labour market and other areas. The EESC stresses the need to design support programmes that reach out to these groups.</w:t>
      </w:r>
    </w:p>
    <w:p w14:paraId="30EC1CC9" w14:textId="77777777" w:rsidR="008D1C4B" w:rsidRDefault="008D1C4B">
      <w:pPr>
        <w:outlineLvl w:val="1"/>
        <w:rPr>
          <w:lang w:val="en-GB"/>
        </w:rPr>
      </w:pPr>
    </w:p>
    <w:p w14:paraId="6D192215" w14:textId="77777777" w:rsidR="008D1C4B" w:rsidRDefault="00017BB5">
      <w:pPr>
        <w:pStyle w:val="berschrift2"/>
        <w:rPr>
          <w:lang w:val="en-GB"/>
        </w:rPr>
      </w:pPr>
      <w:r>
        <w:rPr>
          <w:lang w:val="en-GB"/>
        </w:rPr>
        <w:t>The EESC notes that education systems should more strongly promote civic engagement through participatory processes and create supportive ecosystems for the acquisition of appropriate skill sets (e.g. political and digital literacy) enabling young people to engage confidently in institutional processes. Civil society and social partner organisations should further support young people by providing capacity-building workshops, making it easier for them to connect with resources and opportunities for involvement.</w:t>
      </w:r>
    </w:p>
    <w:p w14:paraId="783D8260" w14:textId="77777777" w:rsidR="008D1C4B" w:rsidRDefault="008D1C4B">
      <w:pPr>
        <w:rPr>
          <w:lang w:val="en-GB"/>
        </w:rPr>
      </w:pPr>
    </w:p>
    <w:p w14:paraId="6ABF9BBA" w14:textId="77777777" w:rsidR="008D1C4B" w:rsidRDefault="00017BB5">
      <w:pPr>
        <w:pStyle w:val="berschrift2"/>
        <w:rPr>
          <w:lang w:val="en-GB"/>
        </w:rPr>
      </w:pPr>
      <w:r>
        <w:rPr>
          <w:lang w:val="en-GB"/>
        </w:rPr>
        <w:lastRenderedPageBreak/>
        <w:t>Adequate research on youth is an important prerequisite for identifying challenges and including their interests in participatory processes, for which relevant data is needed. The EESC underlines the importance of research activities focusing on young people’s involvement in the labour market, education, participatory processes and community life. Cooperation between educational institutions, academia, the business sector and CSOs including social partners must be strengthened, putting the active involvement of young people at the centre.</w:t>
      </w:r>
    </w:p>
    <w:p w14:paraId="53C61C57" w14:textId="77777777" w:rsidR="008D1C4B" w:rsidRDefault="008D1C4B">
      <w:pPr>
        <w:ind w:left="567" w:hanging="567"/>
        <w:rPr>
          <w:lang w:val="en-GB"/>
        </w:rPr>
      </w:pPr>
    </w:p>
    <w:p w14:paraId="723A136A" w14:textId="77777777" w:rsidR="008D1C4B" w:rsidRDefault="00017BB5">
      <w:pPr>
        <w:pStyle w:val="berschrift2"/>
        <w:rPr>
          <w:lang w:val="en-GB"/>
        </w:rPr>
      </w:pPr>
      <w:r>
        <w:rPr>
          <w:lang w:val="en-GB"/>
        </w:rPr>
        <w:t>Countries in the region are often characterised by an absence of sufficient frameworks for an effective social dialogue. The EESC emphasises the necessity to reinforce tripartite and bipartite social dialogue, particularly through the comprehensive implementation of the pivotal ILO Conventions on social dialogue.</w:t>
      </w:r>
    </w:p>
    <w:p w14:paraId="3907B33B" w14:textId="77777777" w:rsidR="008D1C4B" w:rsidRDefault="008D1C4B">
      <w:pPr>
        <w:rPr>
          <w:lang w:val="en-GB"/>
        </w:rPr>
      </w:pPr>
    </w:p>
    <w:p w14:paraId="7773C3A9" w14:textId="77777777" w:rsidR="008D1C4B" w:rsidRDefault="00017BB5">
      <w:pPr>
        <w:pStyle w:val="berschrift2"/>
        <w:rPr>
          <w:lang w:val="en-GB"/>
        </w:rPr>
      </w:pPr>
      <w:r>
        <w:rPr>
          <w:lang w:val="en-GB"/>
        </w:rPr>
        <w:t>The EESC underlines the benefits of youth action plans, which could serve as roadmaps, with specific actions and tools for more inclusive organisational frameworks for youth participation in social partner organisations. Encouraging young workers to take part in collective bargaining and establishing youth-oriented representative structures at company level is an effective way of structurally embedding youth participation in social dialogue structures. The EESC highlights the Youth Trust Councils (YTC) in Austria.</w:t>
      </w:r>
    </w:p>
    <w:p w14:paraId="2F261372" w14:textId="77777777" w:rsidR="008D1C4B" w:rsidRDefault="008D1C4B">
      <w:pPr>
        <w:ind w:left="567" w:hanging="567"/>
        <w:outlineLvl w:val="1"/>
        <w:rPr>
          <w:lang w:val="en-GB"/>
        </w:rPr>
      </w:pPr>
    </w:p>
    <w:p w14:paraId="62C4C95D" w14:textId="77777777" w:rsidR="008D1C4B" w:rsidRDefault="00017BB5">
      <w:pPr>
        <w:pStyle w:val="berschrift2"/>
        <w:rPr>
          <w:lang w:val="en-GB"/>
        </w:rPr>
      </w:pPr>
      <w:r>
        <w:rPr>
          <w:lang w:val="en-GB"/>
        </w:rPr>
        <w:t xml:space="preserve">The EESC calls on the European Commission to support a third phase of the </w:t>
      </w:r>
      <w:proofErr w:type="spellStart"/>
      <w:r>
        <w:rPr>
          <w:lang w:val="en-GB"/>
        </w:rPr>
        <w:t>SOLiD</w:t>
      </w:r>
      <w:proofErr w:type="spellEnd"/>
      <w:r>
        <w:rPr>
          <w:iCs/>
          <w:sz w:val="24"/>
          <w:szCs w:val="24"/>
          <w:vertAlign w:val="superscript"/>
          <w:lang w:val="en-GB"/>
        </w:rPr>
        <w:footnoteReference w:id="20"/>
      </w:r>
      <w:r>
        <w:rPr>
          <w:lang w:val="en-GB"/>
        </w:rPr>
        <w:t xml:space="preserve"> project to ensure that the instruments developed are sustainably implemented. Moreover, this phase should be used to draw up a Youth Charter analogous to the existing Women’s Charter, while also examining the establishment of youth-focused consultative mechanisms.</w:t>
      </w:r>
    </w:p>
    <w:p w14:paraId="326DE388" w14:textId="77777777" w:rsidR="008D1C4B" w:rsidRDefault="008D1C4B">
      <w:pPr>
        <w:ind w:left="567" w:hanging="567"/>
        <w:rPr>
          <w:lang w:val="en-GB"/>
        </w:rPr>
      </w:pPr>
    </w:p>
    <w:p w14:paraId="3CBE9DB7" w14:textId="77777777" w:rsidR="008D1C4B" w:rsidRDefault="00017BB5">
      <w:pPr>
        <w:pStyle w:val="berschrift2"/>
        <w:rPr>
          <w:lang w:val="en-GB"/>
        </w:rPr>
      </w:pPr>
      <w:r>
        <w:rPr>
          <w:lang w:val="en-GB"/>
        </w:rPr>
        <w:t>Civil dialogue should become more inclusive by engaging diverse groups – including women, minorities and vulnerable communities –through targeted financial support, as well as through more effective and interactive dialogue mechanisms facilitated by professional moderators and co-designed in collaboration with young people.</w:t>
      </w:r>
    </w:p>
    <w:p w14:paraId="77B54FFE" w14:textId="77777777" w:rsidR="008D1C4B" w:rsidRDefault="008D1C4B">
      <w:pPr>
        <w:rPr>
          <w:lang w:val="en-GB"/>
        </w:rPr>
      </w:pPr>
    </w:p>
    <w:p w14:paraId="01CAAD4D" w14:textId="77777777" w:rsidR="008D1C4B" w:rsidRDefault="00017BB5">
      <w:pPr>
        <w:pStyle w:val="berschrift2"/>
        <w:rPr>
          <w:lang w:val="en-GB"/>
        </w:rPr>
      </w:pPr>
      <w:r>
        <w:rPr>
          <w:lang w:val="en-GB"/>
        </w:rPr>
        <w:t>The representation of youth organisations and youth councils in discussions with state authorities should be increased by recognising youth workers as key players in consultation processes and providing them with the necessary space and resources to contribute effectively. It is important to develop youth strategies that strengthen the legitimacy of youth involvement in civil dialogue, establish youth councils in countries where they do not exist, and increase youth budgets at all territorial levels, especially at the local level.</w:t>
      </w:r>
    </w:p>
    <w:p w14:paraId="57671759" w14:textId="77777777" w:rsidR="008D1C4B" w:rsidRDefault="008D1C4B">
      <w:pPr>
        <w:rPr>
          <w:lang w:val="en-GB"/>
        </w:rPr>
      </w:pPr>
    </w:p>
    <w:p w14:paraId="28F789E7" w14:textId="77777777" w:rsidR="008D1C4B" w:rsidRDefault="00017BB5">
      <w:pPr>
        <w:pStyle w:val="berschrift2"/>
        <w:rPr>
          <w:lang w:val="en-GB"/>
        </w:rPr>
      </w:pPr>
      <w:r>
        <w:rPr>
          <w:lang w:val="en-GB"/>
        </w:rPr>
        <w:t>Transparency and equal opportunities in civil dialogue should be prioritised by establishing clear selection criteria for youth participants and ensuring that both recognised youth associations and grassroots movements have a fair chance to engage. It is crucial to develop common standards and a comprehensive regulatory framework that includes dedicated support structures, such as teams and contact points, to ensure that youth involvement in dialogue processes is organised and consistent.</w:t>
      </w:r>
    </w:p>
    <w:p w14:paraId="3B7221DC" w14:textId="77777777" w:rsidR="008D1C4B" w:rsidRDefault="008D1C4B">
      <w:pPr>
        <w:rPr>
          <w:lang w:val="en-GB"/>
        </w:rPr>
      </w:pPr>
    </w:p>
    <w:p w14:paraId="2489BE94" w14:textId="77777777" w:rsidR="008D1C4B" w:rsidRDefault="00017BB5">
      <w:pPr>
        <w:pStyle w:val="berschrift2"/>
        <w:rPr>
          <w:lang w:val="en-GB"/>
        </w:rPr>
      </w:pPr>
      <w:r>
        <w:rPr>
          <w:lang w:val="en-GB"/>
        </w:rPr>
        <w:lastRenderedPageBreak/>
        <w:t>Youth-led structures must become more interconnected to foster regional cooperation and ensure a greater exchange of ideas and opportunities among heterogeneous groups. The EESC calls on public institutions to secure funding for the support of regional youth networks and youth spaces. Complementarily, it is important to strengthen youth organisations’ involvement in the EU’s external relations by promoting cooperation with EU delegations and by streamlining visa application procedures for young people in mobility programmes.</w:t>
      </w:r>
    </w:p>
    <w:p w14:paraId="5360FC72" w14:textId="77777777" w:rsidR="008D1C4B" w:rsidRDefault="008D1C4B">
      <w:pPr>
        <w:rPr>
          <w:lang w:val="en-GB"/>
        </w:rPr>
      </w:pPr>
    </w:p>
    <w:p w14:paraId="4AC18299" w14:textId="77777777" w:rsidR="008D1C4B" w:rsidRDefault="008D1C4B">
      <w:pPr>
        <w:rPr>
          <w:lang w:val="en-GB"/>
        </w:rPr>
      </w:pPr>
    </w:p>
    <w:p w14:paraId="7CBBF19C" w14:textId="77777777" w:rsidR="008D1C4B" w:rsidRDefault="008D1C4B">
      <w:pPr>
        <w:rPr>
          <w:lang w:val="en-GB"/>
        </w:rPr>
      </w:pPr>
    </w:p>
    <w:p w14:paraId="5130D931" w14:textId="77777777" w:rsidR="008D1C4B" w:rsidRDefault="00017BB5">
      <w:pPr>
        <w:pStyle w:val="berschrift1"/>
        <w:rPr>
          <w:b/>
          <w:i/>
          <w:lang w:val="en-GB"/>
        </w:rPr>
      </w:pPr>
      <w:r>
        <w:rPr>
          <w:b/>
          <w:lang w:val="en-GB"/>
        </w:rPr>
        <w:t xml:space="preserve">Conclusions and recommendations of REX/555 on </w:t>
      </w:r>
      <w:hyperlink r:id="rId49" w:history="1">
        <w:r>
          <w:rPr>
            <w:rStyle w:val="Hyperlink"/>
            <w:b/>
            <w:i/>
          </w:rPr>
          <w:t>Energy policies and strategies in the Euro-Mediterranean region</w:t>
        </w:r>
      </w:hyperlink>
    </w:p>
    <w:p w14:paraId="5A091FD0" w14:textId="77777777" w:rsidR="008D1C4B" w:rsidRDefault="008D1C4B">
      <w:pPr>
        <w:rPr>
          <w:b/>
          <w:kern w:val="28"/>
          <w:lang w:val="en-GB"/>
        </w:rPr>
      </w:pPr>
    </w:p>
    <w:p w14:paraId="2B1667CC" w14:textId="77777777" w:rsidR="008D1C4B" w:rsidRDefault="00017BB5">
      <w:pPr>
        <w:pStyle w:val="berschrift2"/>
        <w:rPr>
          <w:lang w:val="en-GB"/>
        </w:rPr>
      </w:pPr>
      <w:r>
        <w:rPr>
          <w:lang w:val="en-GB"/>
        </w:rPr>
        <w:t>The EESC considers that the Mediterranean region will be disproportionally affected by climate change. As the energy sector is the largest contributor to greenhouse gas emissions, the energy transition to zero carbon is of key importance.</w:t>
      </w:r>
    </w:p>
    <w:p w14:paraId="1598D2E8" w14:textId="77777777" w:rsidR="008D1C4B" w:rsidRDefault="008D1C4B">
      <w:pPr>
        <w:rPr>
          <w:lang w:val="en-GB"/>
        </w:rPr>
      </w:pPr>
    </w:p>
    <w:p w14:paraId="22DFC0EF" w14:textId="77777777" w:rsidR="008D1C4B" w:rsidRDefault="00017BB5">
      <w:pPr>
        <w:pStyle w:val="berschrift2"/>
        <w:rPr>
          <w:lang w:val="en-GB"/>
        </w:rPr>
      </w:pPr>
      <w:r>
        <w:rPr>
          <w:lang w:val="en-GB"/>
        </w:rPr>
        <w:t>The EESC underlines that the Southern and Eastern Mediterranean countries are not moving towards decarbonization at the same speed as the EU. The EU Green Deal could serve as inspiration and foster cooperation between the Northern and Southern shore of the Mediterranean.</w:t>
      </w:r>
    </w:p>
    <w:p w14:paraId="7CF96291" w14:textId="77777777" w:rsidR="008D1C4B" w:rsidRDefault="008D1C4B">
      <w:pPr>
        <w:rPr>
          <w:lang w:val="en-GB"/>
        </w:rPr>
      </w:pPr>
    </w:p>
    <w:p w14:paraId="06475B67" w14:textId="77777777" w:rsidR="008D1C4B" w:rsidRDefault="00017BB5">
      <w:pPr>
        <w:pStyle w:val="berschrift2"/>
        <w:rPr>
          <w:lang w:val="en-GB"/>
        </w:rPr>
      </w:pPr>
      <w:r>
        <w:rPr>
          <w:lang w:val="en-GB"/>
        </w:rPr>
        <w:t>The EESC reminds that the Mediterranean is endowed with significant renewable energy sources, especially regarding solar and wind power. These sources represent unparalleled opportunities for energy security and cooperation across the region.</w:t>
      </w:r>
    </w:p>
    <w:p w14:paraId="7A8A224E" w14:textId="77777777" w:rsidR="008D1C4B" w:rsidRDefault="008D1C4B">
      <w:pPr>
        <w:rPr>
          <w:lang w:val="en-GB"/>
        </w:rPr>
      </w:pPr>
    </w:p>
    <w:p w14:paraId="20530AC4" w14:textId="77777777" w:rsidR="008D1C4B" w:rsidRDefault="00017BB5">
      <w:pPr>
        <w:pStyle w:val="berschrift2"/>
        <w:rPr>
          <w:lang w:val="en-GB"/>
        </w:rPr>
      </w:pPr>
      <w:r>
        <w:rPr>
          <w:lang w:val="en-GB"/>
        </w:rPr>
        <w:t>The EESC stresses that the shifting from fossil-based energy to renewable energy has geographical, economic and social consequences that should be mitigated by the European Union.</w:t>
      </w:r>
    </w:p>
    <w:p w14:paraId="2CD0C191" w14:textId="77777777" w:rsidR="008D1C4B" w:rsidRDefault="008D1C4B">
      <w:pPr>
        <w:rPr>
          <w:lang w:val="en-GB"/>
        </w:rPr>
      </w:pPr>
    </w:p>
    <w:p w14:paraId="5F9EB2A3" w14:textId="77777777" w:rsidR="008D1C4B" w:rsidRDefault="00017BB5">
      <w:pPr>
        <w:pStyle w:val="berschrift2"/>
        <w:rPr>
          <w:lang w:val="en-GB"/>
        </w:rPr>
      </w:pPr>
      <w:r>
        <w:rPr>
          <w:lang w:val="en-GB"/>
        </w:rPr>
        <w:t>The EESC insists that energy interconnections are crucial for developing and integrated energy system in the Euro-Mediterranean region, given the energy complementarities between the North and the South.</w:t>
      </w:r>
    </w:p>
    <w:p w14:paraId="663804AF" w14:textId="77777777" w:rsidR="008D1C4B" w:rsidRDefault="008D1C4B">
      <w:pPr>
        <w:rPr>
          <w:lang w:val="en-GB"/>
        </w:rPr>
      </w:pPr>
    </w:p>
    <w:p w14:paraId="0E1895E1" w14:textId="25CD2D09" w:rsidR="008D1C4B" w:rsidRDefault="00017BB5">
      <w:pPr>
        <w:pStyle w:val="berschrift2"/>
        <w:rPr>
          <w:lang w:val="en-GB"/>
        </w:rPr>
      </w:pPr>
      <w:r>
        <w:rPr>
          <w:lang w:val="en-GB"/>
        </w:rPr>
        <w:t>The EESC estimates that micro-, small and medium-sized enterprises could constitute an essential part of a new European energy strategy for the Euro-Mediterranean region.</w:t>
      </w:r>
    </w:p>
    <w:p w14:paraId="603A8638" w14:textId="77777777" w:rsidR="008D1C4B" w:rsidRDefault="008D1C4B">
      <w:pPr>
        <w:rPr>
          <w:lang w:val="en-GB"/>
        </w:rPr>
      </w:pPr>
    </w:p>
    <w:p w14:paraId="403BF600" w14:textId="77777777" w:rsidR="008D1C4B" w:rsidRDefault="00017BB5">
      <w:pPr>
        <w:pStyle w:val="berschrift1"/>
        <w:rPr>
          <w:b/>
          <w:i/>
          <w:lang w:val="en-GB"/>
        </w:rPr>
      </w:pPr>
      <w:r>
        <w:rPr>
          <w:b/>
          <w:lang w:val="en-GB"/>
        </w:rPr>
        <w:t xml:space="preserve">Conclusions and recommendations of REX/549 on </w:t>
      </w:r>
      <w:hyperlink r:id="rId50" w:history="1">
        <w:r>
          <w:rPr>
            <w:rStyle w:val="Hyperlink"/>
            <w:b/>
            <w:i/>
          </w:rPr>
          <w:t>Digital transition in the Euro-Mediterranean region</w:t>
        </w:r>
      </w:hyperlink>
    </w:p>
    <w:p w14:paraId="575927CE" w14:textId="77777777" w:rsidR="008D1C4B" w:rsidRDefault="008D1C4B">
      <w:pPr>
        <w:rPr>
          <w:lang w:val="en-GB"/>
        </w:rPr>
      </w:pPr>
    </w:p>
    <w:p w14:paraId="1258E075" w14:textId="77777777" w:rsidR="008D1C4B" w:rsidRDefault="00017BB5">
      <w:pPr>
        <w:pStyle w:val="berschrift2"/>
        <w:numPr>
          <w:ilvl w:val="1"/>
          <w:numId w:val="79"/>
        </w:numPr>
        <w:spacing w:line="280" w:lineRule="auto"/>
        <w:rPr>
          <w:lang w:val="en-GB"/>
        </w:rPr>
      </w:pPr>
      <w:r>
        <w:rPr>
          <w:lang w:val="en-GB"/>
        </w:rPr>
        <w:t xml:space="preserve">The digital transition is revolutionising every aspect of life with significant gains in terms of efficiency and enabling users to achieve more fulfilling lives. It is regarded as a pillar of resilience in the post-COVID-19 period, and has accelerated exponentially since the beginning of the pandemic, notably with the EU's actions in the digital field which the COVID-19 mitigation strategy has shown to be effective. </w:t>
      </w:r>
    </w:p>
    <w:p w14:paraId="76A79B14" w14:textId="77777777" w:rsidR="008D1C4B" w:rsidRDefault="008D1C4B">
      <w:pPr>
        <w:spacing w:line="280" w:lineRule="auto"/>
        <w:rPr>
          <w:lang w:val="en-GB"/>
        </w:rPr>
      </w:pPr>
    </w:p>
    <w:p w14:paraId="16F53F69" w14:textId="77777777" w:rsidR="008D1C4B" w:rsidRDefault="00017BB5">
      <w:pPr>
        <w:pStyle w:val="berschrift2"/>
        <w:numPr>
          <w:ilvl w:val="1"/>
          <w:numId w:val="79"/>
        </w:numPr>
        <w:spacing w:line="280" w:lineRule="auto"/>
        <w:rPr>
          <w:lang w:val="en-GB"/>
        </w:rPr>
      </w:pPr>
      <w:r>
        <w:rPr>
          <w:lang w:val="en-GB"/>
        </w:rPr>
        <w:lastRenderedPageBreak/>
        <w:t>The benefits of digitalisation are well-known in specific sectors such as e-education, e-health, e</w:t>
      </w:r>
      <w:r>
        <w:rPr>
          <w:lang w:val="en-GB"/>
        </w:rPr>
        <w:noBreakHyphen/>
        <w:t>government, agri-business, e-justice and e-banking. Many governments in the Mediterranean region are promoting these sectors, but the effort is not homogeneous across the region and may lead to an even deeper digital divide among countries. Provision of infrastructure to support these technologies is therefore crucial.</w:t>
      </w:r>
    </w:p>
    <w:p w14:paraId="598E5D69" w14:textId="77777777" w:rsidR="008D1C4B" w:rsidRDefault="008D1C4B">
      <w:pPr>
        <w:spacing w:line="280" w:lineRule="auto"/>
        <w:rPr>
          <w:lang w:val="en-GB"/>
        </w:rPr>
      </w:pPr>
    </w:p>
    <w:p w14:paraId="45A25CD0" w14:textId="77777777" w:rsidR="008D1C4B" w:rsidRDefault="00017BB5">
      <w:pPr>
        <w:pStyle w:val="berschrift2"/>
        <w:numPr>
          <w:ilvl w:val="1"/>
          <w:numId w:val="79"/>
        </w:numPr>
        <w:spacing w:line="280" w:lineRule="auto"/>
        <w:rPr>
          <w:lang w:val="en-GB"/>
        </w:rPr>
      </w:pPr>
      <w:r>
        <w:rPr>
          <w:lang w:val="en-GB"/>
        </w:rPr>
        <w:t>The digital divide in terms of access and usage exists not only between different Mediterranean countries, but also within countries in the region, with rural and remote areas, informal workers, women and the elderly worsen off. Thus in order not to exacerbate existing inequalities, efforts to close the digital gap are essential both at the regional and national level.</w:t>
      </w:r>
    </w:p>
    <w:p w14:paraId="00CF5EF9" w14:textId="77777777" w:rsidR="008D1C4B" w:rsidRDefault="008D1C4B">
      <w:pPr>
        <w:spacing w:line="280" w:lineRule="auto"/>
        <w:rPr>
          <w:lang w:val="en-GB"/>
        </w:rPr>
      </w:pPr>
    </w:p>
    <w:p w14:paraId="2E7B2DE8" w14:textId="77777777" w:rsidR="008D1C4B" w:rsidRDefault="00017BB5">
      <w:pPr>
        <w:pStyle w:val="berschrift2"/>
        <w:numPr>
          <w:ilvl w:val="1"/>
          <w:numId w:val="79"/>
        </w:numPr>
        <w:spacing w:line="280" w:lineRule="auto"/>
        <w:rPr>
          <w:lang w:val="en-GB"/>
        </w:rPr>
      </w:pPr>
      <w:r>
        <w:rPr>
          <w:lang w:val="en-GB"/>
        </w:rPr>
        <w:t>Digital connectivity is becoming a right for every human being. The UN Secretary-General's Roadmap for Digital Cooperation has already produced a set of targets for 2030. In contrast, the "right to disconnect" is a debated issue and a reality in a number of European countries.</w:t>
      </w:r>
    </w:p>
    <w:p w14:paraId="469CE0A5" w14:textId="77777777" w:rsidR="008D1C4B" w:rsidRDefault="008D1C4B">
      <w:pPr>
        <w:spacing w:line="280" w:lineRule="auto"/>
        <w:rPr>
          <w:lang w:val="en-GB"/>
        </w:rPr>
      </w:pPr>
    </w:p>
    <w:p w14:paraId="0B62E43D" w14:textId="77777777" w:rsidR="008D1C4B" w:rsidRDefault="00017BB5">
      <w:pPr>
        <w:pStyle w:val="berschrift2"/>
        <w:numPr>
          <w:ilvl w:val="1"/>
          <w:numId w:val="79"/>
        </w:numPr>
        <w:spacing w:line="280" w:lineRule="auto"/>
        <w:rPr>
          <w:lang w:val="en-GB"/>
        </w:rPr>
      </w:pPr>
      <w:r>
        <w:rPr>
          <w:lang w:val="en-GB"/>
        </w:rPr>
        <w:t xml:space="preserve">Digital skills are essential and therefore should be integrated into the training programmes aimed at young people in the region, given the very high youth unemployment rates. An effective labour market policy in the region will aim to make young people not only technology users but also technology producers. Both employment and entrepreneurship in this field are very promising career paths. </w:t>
      </w:r>
    </w:p>
    <w:p w14:paraId="6BDA9C20" w14:textId="77777777" w:rsidR="008D1C4B" w:rsidRDefault="008D1C4B">
      <w:pPr>
        <w:pStyle w:val="berschrift2"/>
        <w:numPr>
          <w:ilvl w:val="0"/>
          <w:numId w:val="0"/>
        </w:numPr>
        <w:spacing w:line="280" w:lineRule="auto"/>
        <w:rPr>
          <w:lang w:val="en-GB"/>
        </w:rPr>
      </w:pPr>
    </w:p>
    <w:p w14:paraId="3CA458A8" w14:textId="77777777" w:rsidR="008D1C4B" w:rsidRDefault="00017BB5">
      <w:pPr>
        <w:pStyle w:val="berschrift2"/>
        <w:numPr>
          <w:ilvl w:val="1"/>
          <w:numId w:val="79"/>
        </w:numPr>
        <w:spacing w:line="280" w:lineRule="auto"/>
        <w:rPr>
          <w:lang w:val="en-GB"/>
        </w:rPr>
      </w:pPr>
      <w:r>
        <w:rPr>
          <w:lang w:val="en-GB"/>
        </w:rPr>
        <w:t>A solid legal framework is necessary to protect users from digital risks such as cybersecurity attacks, and to ensure data protection mechanisms respect human rights on digital privacy. The cyber security index provided by the International Telecommunication Union (</w:t>
      </w:r>
      <w:hyperlink r:id="rId51" w:history="1">
        <w:r>
          <w:rPr>
            <w:rStyle w:val="Hyperlink"/>
            <w:lang w:val="en-GB"/>
          </w:rPr>
          <w:t>ITU</w:t>
        </w:r>
      </w:hyperlink>
      <w:r>
        <w:rPr>
          <w:lang w:val="en-GB"/>
        </w:rPr>
        <w:t xml:space="preserve">) measures the commitment of countries to cybersecurity at a global level. The index shows, in general, higher security levels in the northern Mediterranean region, whereas Egypt outperforms among the southern Mediterranean countries. </w:t>
      </w:r>
    </w:p>
    <w:p w14:paraId="07EA0791" w14:textId="77777777" w:rsidR="008D1C4B" w:rsidRDefault="008D1C4B">
      <w:pPr>
        <w:pStyle w:val="berschrift2"/>
        <w:numPr>
          <w:ilvl w:val="0"/>
          <w:numId w:val="0"/>
        </w:numPr>
        <w:spacing w:line="280" w:lineRule="auto"/>
        <w:rPr>
          <w:lang w:val="en-GB"/>
        </w:rPr>
      </w:pPr>
    </w:p>
    <w:p w14:paraId="3830F3AF" w14:textId="77777777" w:rsidR="008D1C4B" w:rsidRDefault="00017BB5">
      <w:pPr>
        <w:pStyle w:val="berschrift2"/>
        <w:numPr>
          <w:ilvl w:val="1"/>
          <w:numId w:val="79"/>
        </w:numPr>
        <w:spacing w:line="280" w:lineRule="auto"/>
        <w:rPr>
          <w:lang w:val="en-GB"/>
        </w:rPr>
      </w:pPr>
      <w:r>
        <w:rPr>
          <w:lang w:val="en-GB"/>
        </w:rPr>
        <w:t xml:space="preserve">It is also needed to ensure a fair and competitive digital market in light of digital giants. There is a significant gap within the digital legal framework of the countries in the northern and southern Mediterranean. One can highlight the lack of an independent authority in charge of promoting the digital transition in the southern Mediterranean region. </w:t>
      </w:r>
    </w:p>
    <w:p w14:paraId="49014848" w14:textId="77777777" w:rsidR="008D1C4B" w:rsidRDefault="008D1C4B">
      <w:pPr>
        <w:spacing w:line="280" w:lineRule="auto"/>
        <w:rPr>
          <w:lang w:val="en-GB"/>
        </w:rPr>
      </w:pPr>
    </w:p>
    <w:p w14:paraId="513EC57A" w14:textId="77777777" w:rsidR="008D1C4B" w:rsidRDefault="00017BB5">
      <w:pPr>
        <w:pStyle w:val="berschrift2"/>
        <w:numPr>
          <w:ilvl w:val="1"/>
          <w:numId w:val="79"/>
        </w:numPr>
        <w:spacing w:line="280" w:lineRule="auto"/>
        <w:rPr>
          <w:lang w:val="en-GB"/>
        </w:rPr>
      </w:pPr>
      <w:r>
        <w:rPr>
          <w:lang w:val="en-GB"/>
        </w:rPr>
        <w:t>The EESC explicitly emphasises that the UN Human Rights Conventions and the ILO Core Conventions must be ambitiously implemented in all states of the Mediterranean region so that the digital transition can genuinely contribute to prosperous ecological, economic and social development.</w:t>
      </w:r>
    </w:p>
    <w:p w14:paraId="702AB28F" w14:textId="77777777" w:rsidR="008D1C4B" w:rsidRDefault="008D1C4B">
      <w:pPr>
        <w:rPr>
          <w:lang w:val="en-GB"/>
        </w:rPr>
      </w:pPr>
    </w:p>
    <w:p w14:paraId="3110FE9A" w14:textId="77777777" w:rsidR="008D1C4B" w:rsidRDefault="00017BB5">
      <w:pPr>
        <w:pStyle w:val="berschrift1"/>
        <w:rPr>
          <w:b/>
          <w:i/>
          <w:lang w:val="en-GB"/>
        </w:rPr>
      </w:pPr>
      <w:r>
        <w:rPr>
          <w:b/>
          <w:lang w:val="en-GB"/>
        </w:rPr>
        <w:t xml:space="preserve">Conclusions and recommendations of REX/548 on </w:t>
      </w:r>
      <w:hyperlink r:id="rId52" w:history="1">
        <w:r>
          <w:rPr>
            <w:rStyle w:val="Hyperlink"/>
            <w:b/>
            <w:i/>
          </w:rPr>
          <w:t>Cultural diplomacy as a vector of EU external relations. New partnerships and role of CSO</w:t>
        </w:r>
      </w:hyperlink>
    </w:p>
    <w:p w14:paraId="74042E16" w14:textId="77777777" w:rsidR="008D1C4B" w:rsidRDefault="008D1C4B">
      <w:pPr>
        <w:rPr>
          <w:lang w:val="en-GB"/>
        </w:rPr>
      </w:pPr>
    </w:p>
    <w:p w14:paraId="5F690185" w14:textId="77777777" w:rsidR="008D1C4B" w:rsidRDefault="00017BB5">
      <w:pPr>
        <w:pStyle w:val="berschrift2"/>
        <w:rPr>
          <w:rFonts w:eastAsia="Calibri"/>
          <w:lang w:val="en-GB"/>
        </w:rPr>
      </w:pPr>
      <w:r>
        <w:rPr>
          <w:lang w:val="en-GB"/>
        </w:rPr>
        <w:t>Culture is inclusive. Culture is a form of capital that enables us to illuminate both our path in Europe and the image we project across the world. At a time when war has returned to the European continent, with devastating destruction, tearing apart human lives and places, we need cultural relations to be more than ever a tool for dialogue, peace and the future. Making it a key and strategic vehicle of the European Union's foreign policy, as repeatedly called for in many documents and important initiatives over the last 17 years, must now become a real priority.</w:t>
      </w:r>
    </w:p>
    <w:p w14:paraId="5A6C2B26" w14:textId="77777777" w:rsidR="008D1C4B" w:rsidRDefault="008D1C4B">
      <w:pPr>
        <w:rPr>
          <w:rFonts w:eastAsia="Calibri"/>
          <w:lang w:val="en-GB"/>
        </w:rPr>
      </w:pPr>
    </w:p>
    <w:p w14:paraId="02C036DC" w14:textId="77777777" w:rsidR="008D1C4B" w:rsidRDefault="00017BB5">
      <w:pPr>
        <w:pStyle w:val="berschrift2"/>
        <w:rPr>
          <w:rFonts w:eastAsia="Calibri"/>
          <w:lang w:val="en-GB"/>
        </w:rPr>
      </w:pPr>
      <w:r>
        <w:rPr>
          <w:lang w:val="en-GB"/>
        </w:rPr>
        <w:t xml:space="preserve">On the basis of the European Commission's 2016 communication, the many decisions and guidelines of the Council and the recommendations of the European Parliament, it is now time to adopt </w:t>
      </w:r>
      <w:r>
        <w:rPr>
          <w:b/>
          <w:lang w:val="en-GB"/>
        </w:rPr>
        <w:t>a fully-fledged multiannual strategic action plan</w:t>
      </w:r>
      <w:r>
        <w:rPr>
          <w:lang w:val="en-GB"/>
        </w:rPr>
        <w:t xml:space="preserve"> which, under the coordination of the EU External Action Service, will create real synergy with the different policies and structures of the European Commission and the Member States, and provide a platform for effective interconnection with wider entities in terms of both the territorial authorities involved and the many private and institutional players, which are already productively engaged. A plan backed up by the necessary funding.</w:t>
      </w:r>
    </w:p>
    <w:p w14:paraId="23055889" w14:textId="77777777" w:rsidR="008D1C4B" w:rsidRDefault="008D1C4B">
      <w:pPr>
        <w:rPr>
          <w:rFonts w:eastAsia="Calibri"/>
          <w:lang w:val="en-GB"/>
        </w:rPr>
      </w:pPr>
    </w:p>
    <w:p w14:paraId="1F22459B" w14:textId="77777777" w:rsidR="008D1C4B" w:rsidRDefault="00017BB5">
      <w:pPr>
        <w:pStyle w:val="berschrift2"/>
        <w:rPr>
          <w:rFonts w:eastAsia="Calibri"/>
          <w:lang w:val="en-GB"/>
        </w:rPr>
      </w:pPr>
      <w:r>
        <w:rPr>
          <w:lang w:val="en-GB"/>
        </w:rPr>
        <w:t xml:space="preserve">In the meantime, </w:t>
      </w:r>
      <w:r>
        <w:rPr>
          <w:b/>
          <w:lang w:val="en-GB"/>
        </w:rPr>
        <w:t>action needs to be stepped up immediately</w:t>
      </w:r>
      <w:r>
        <w:rPr>
          <w:lang w:val="en-GB"/>
        </w:rPr>
        <w:t xml:space="preserve"> to protect, restore and rebuild heritage in areas hit by natural disasters, crises and conflicts, increasing the training of local players and the capacity-building of local institutions and civil society organisations. More ambitious measures should be undertaken in the field of the </w:t>
      </w:r>
      <w:r>
        <w:rPr>
          <w:b/>
          <w:lang w:val="en-GB"/>
        </w:rPr>
        <w:t>creative industries</w:t>
      </w:r>
      <w:r>
        <w:rPr>
          <w:lang w:val="en-GB"/>
        </w:rPr>
        <w:t xml:space="preserve">. Significant </w:t>
      </w:r>
      <w:r>
        <w:rPr>
          <w:b/>
          <w:lang w:val="en-GB"/>
        </w:rPr>
        <w:t>pilot projects</w:t>
      </w:r>
      <w:r>
        <w:rPr>
          <w:lang w:val="en-GB"/>
        </w:rPr>
        <w:t xml:space="preserve"> should be launched in areas such as the Western Balkans, the Mediterranean and the Middle East, Africa and Ukraine.</w:t>
      </w:r>
    </w:p>
    <w:p w14:paraId="00D520E2" w14:textId="77777777" w:rsidR="008D1C4B" w:rsidRDefault="008D1C4B">
      <w:pPr>
        <w:pStyle w:val="berschrift2"/>
        <w:numPr>
          <w:ilvl w:val="0"/>
          <w:numId w:val="0"/>
        </w:numPr>
        <w:rPr>
          <w:rFonts w:eastAsia="Calibri"/>
          <w:lang w:val="en-GB"/>
        </w:rPr>
      </w:pPr>
    </w:p>
    <w:p w14:paraId="0B5B1BDA" w14:textId="77777777" w:rsidR="008D1C4B" w:rsidRDefault="00017BB5">
      <w:pPr>
        <w:pStyle w:val="berschrift2"/>
        <w:rPr>
          <w:rFonts w:eastAsia="Calibri"/>
          <w:lang w:val="en-GB"/>
        </w:rPr>
      </w:pPr>
      <w:r>
        <w:rPr>
          <w:lang w:val="en-GB"/>
        </w:rPr>
        <w:t xml:space="preserve">A mapping exercise is also needed, covering the wide range of actions and initiatives already in place led by the European institutions and organisations, individual States, and the many civil society organisations in the Member States, as well as those established by the various international partnerships, with a view to creating an </w:t>
      </w:r>
      <w:r>
        <w:rPr>
          <w:b/>
          <w:lang w:val="en-GB"/>
        </w:rPr>
        <w:t>EU platform for international cultural relations</w:t>
      </w:r>
      <w:r>
        <w:rPr>
          <w:lang w:val="en-GB"/>
        </w:rPr>
        <w:t>.</w:t>
      </w:r>
    </w:p>
    <w:p w14:paraId="414831F2" w14:textId="77777777" w:rsidR="008D1C4B" w:rsidRDefault="008D1C4B">
      <w:pPr>
        <w:rPr>
          <w:rFonts w:eastAsia="Calibri"/>
          <w:lang w:val="en-GB"/>
        </w:rPr>
      </w:pPr>
    </w:p>
    <w:p w14:paraId="09B0D54A" w14:textId="77777777" w:rsidR="008D1C4B" w:rsidRDefault="00017BB5">
      <w:pPr>
        <w:pStyle w:val="berschrift2"/>
        <w:rPr>
          <w:rFonts w:eastAsia="Calibri"/>
          <w:lang w:val="en-GB"/>
        </w:rPr>
      </w:pPr>
      <w:r>
        <w:rPr>
          <w:lang w:val="en-GB"/>
        </w:rPr>
        <w:t xml:space="preserve">A </w:t>
      </w:r>
      <w:r>
        <w:rPr>
          <w:b/>
          <w:lang w:val="en-GB"/>
        </w:rPr>
        <w:t>significant dedicated structure within the EEAS</w:t>
      </w:r>
      <w:r>
        <w:rPr>
          <w:lang w:val="en-GB"/>
        </w:rPr>
        <w:t xml:space="preserve"> is needed, centred around an </w:t>
      </w:r>
      <w:r>
        <w:rPr>
          <w:b/>
          <w:lang w:val="en-GB"/>
        </w:rPr>
        <w:t>"EU Special Envoy for Cultural Relations"</w:t>
      </w:r>
      <w:r>
        <w:rPr>
          <w:lang w:val="en-GB"/>
        </w:rPr>
        <w:t>, which would develop an overall political direction, be equipped with the necessary budget and be capable of networking with the Member States and different organisations, as well as providing instruments and small-scale financial allocations to the EU delegations, for developing initiatives in their respective countries.</w:t>
      </w:r>
    </w:p>
    <w:p w14:paraId="5FF334DF" w14:textId="77777777" w:rsidR="008D1C4B" w:rsidRDefault="008D1C4B">
      <w:pPr>
        <w:rPr>
          <w:lang w:val="en-GB"/>
        </w:rPr>
      </w:pPr>
    </w:p>
    <w:p w14:paraId="104049AC" w14:textId="77777777" w:rsidR="008D1C4B" w:rsidRDefault="00017BB5">
      <w:pPr>
        <w:pStyle w:val="berschrift1"/>
        <w:rPr>
          <w:b/>
          <w:lang w:val="en-GB"/>
        </w:rPr>
      </w:pPr>
      <w:r>
        <w:rPr>
          <w:b/>
          <w:lang w:val="en-GB"/>
        </w:rPr>
        <w:t>Conclusions and recommendations of REX/538 on Trade relations between the EU and its Southern Mediterranean partners and their potential impact on sustainable development (information report)</w:t>
      </w:r>
    </w:p>
    <w:p w14:paraId="0D570C3A" w14:textId="77777777" w:rsidR="008D1C4B" w:rsidRDefault="008D1C4B">
      <w:pPr>
        <w:rPr>
          <w:lang w:val="en-GB"/>
        </w:rPr>
      </w:pPr>
    </w:p>
    <w:p w14:paraId="5F7CBE26" w14:textId="77777777" w:rsidR="008D1C4B" w:rsidRDefault="00017BB5">
      <w:pPr>
        <w:pStyle w:val="berschrift2"/>
        <w:numPr>
          <w:ilvl w:val="1"/>
          <w:numId w:val="79"/>
        </w:numPr>
      </w:pPr>
      <w:r>
        <w:t xml:space="preserve">The EESC highlights the potential of Euro-Mediterranean trade to contribute to sustainable development in the Euro-Mediterranean area and consequently encourages and supports the </w:t>
      </w:r>
      <w:proofErr w:type="spellStart"/>
      <w:r>
        <w:t>modernisation</w:t>
      </w:r>
      <w:proofErr w:type="spellEnd"/>
      <w:r>
        <w:t xml:space="preserve"> and extension of the bilateral Free Trade Agreements included in the eight Euro-Mediterranean Association Agreements. The EESC considers that the post-COVID-19 recovery provides a momentum for such a </w:t>
      </w:r>
      <w:proofErr w:type="spellStart"/>
      <w:r>
        <w:t>modernisation</w:t>
      </w:r>
      <w:proofErr w:type="spellEnd"/>
      <w:r>
        <w:t xml:space="preserve">, especially as regards </w:t>
      </w:r>
      <w:proofErr w:type="spellStart"/>
      <w:r>
        <w:t>capitalising</w:t>
      </w:r>
      <w:proofErr w:type="spellEnd"/>
      <w:r>
        <w:t xml:space="preserve"> on the potential benefits of a reconfiguration of global value chains in </w:t>
      </w:r>
      <w:proofErr w:type="spellStart"/>
      <w:r>
        <w:t>favour</w:t>
      </w:r>
      <w:proofErr w:type="spellEnd"/>
      <w:r>
        <w:t xml:space="preserve"> of the Euro-Mediterranean area and in line with the new EU trade policy. In that context, the EESC thinks that a fresh impetus is necessary to relaunch the negotiations on Deep and Comprehensive Free Trade Agreements (DCFTAs) with Morocco and Tunisia, as well as discussions with Egypt and Jordan.</w:t>
      </w:r>
    </w:p>
    <w:p w14:paraId="4F9790AB" w14:textId="77777777" w:rsidR="008D1C4B" w:rsidRDefault="008D1C4B">
      <w:pPr>
        <w:pStyle w:val="berschrift2"/>
        <w:numPr>
          <w:ilvl w:val="0"/>
          <w:numId w:val="0"/>
        </w:numPr>
        <w:rPr>
          <w:lang w:val="en-GB"/>
        </w:rPr>
      </w:pPr>
    </w:p>
    <w:p w14:paraId="0495DA4C" w14:textId="77777777" w:rsidR="008D1C4B" w:rsidRDefault="00017BB5">
      <w:pPr>
        <w:pStyle w:val="berschrift2"/>
        <w:numPr>
          <w:ilvl w:val="1"/>
          <w:numId w:val="79"/>
        </w:numPr>
        <w:rPr>
          <w:lang w:val="en-GB"/>
        </w:rPr>
      </w:pPr>
      <w:r>
        <w:rPr>
          <w:lang w:val="en-GB"/>
        </w:rPr>
        <w:t xml:space="preserve">The EESC stresses that, as a matter of priority, this modernisation should include ambitious Trade and Sustainable Development (TSD) chapters to strengthen the commitments of the parties regarding the protection of the environment, human rights, labour rights and conditions, as well </w:t>
      </w:r>
      <w:r>
        <w:rPr>
          <w:lang w:val="en-GB"/>
        </w:rPr>
        <w:lastRenderedPageBreak/>
        <w:t>as consumer interests. In particular, the most disadvantaged and discriminated groups must be safeguarded: women, children, LGBTIQ+ people, ethnic and religious minorities, disabled people, asylum seekers, and persons who migrate. Human rights clauses should appear in all trade agreements with the Euro-Mediterranean countries guaranteeing respect for core ILO conventions. Nonetheless, further efforts should be made to combat human trafficking and to abolish the death penalty.</w:t>
      </w:r>
    </w:p>
    <w:p w14:paraId="03E457DA" w14:textId="77777777" w:rsidR="008D1C4B" w:rsidRDefault="008D1C4B">
      <w:pPr>
        <w:pStyle w:val="berschrift2"/>
        <w:numPr>
          <w:ilvl w:val="0"/>
          <w:numId w:val="0"/>
        </w:numPr>
        <w:rPr>
          <w:lang w:val="en-GB"/>
        </w:rPr>
      </w:pPr>
    </w:p>
    <w:p w14:paraId="6A0AE92F" w14:textId="77777777" w:rsidR="008D1C4B" w:rsidRDefault="00017BB5">
      <w:pPr>
        <w:pStyle w:val="berschrift2"/>
        <w:numPr>
          <w:ilvl w:val="1"/>
          <w:numId w:val="79"/>
        </w:numPr>
        <w:rPr>
          <w:lang w:val="en-GB"/>
        </w:rPr>
      </w:pPr>
      <w:r>
        <w:rPr>
          <w:lang w:val="en-GB"/>
        </w:rPr>
        <w:t xml:space="preserve">Considering the strong negative impact of the COVID-19 pandemic on socio-economic and sustainable development, as well as the decline of trade as a consequence of the pandemic in the Euro-Mediterranean area and its subsequent impact on businesses, households and food security, the EESC believes that action is required to reinvigorate Euro-Mediterranean trade, discourage resurgent protectionist tendencies and remove restrictive trade barriers that can impact sustainable development in the Euro-Mediterranean area. The EESC stresses the need to support a sustainable post-COVID-19 recovery in the Euro-Mediterranean area with an appropriate trade policy that fosters green growth and the digital transition as the pillars of such a recovery. It also suggests integrating the current EU approach, facilitating the export of COVID-19 vaccines as a fundamental component of this post-COVID-19 trade policy towards the Southern Neighbourhood. </w:t>
      </w:r>
    </w:p>
    <w:p w14:paraId="3FA0A99C" w14:textId="77777777" w:rsidR="008D1C4B" w:rsidRDefault="008D1C4B">
      <w:pPr>
        <w:pStyle w:val="berschrift2"/>
        <w:numPr>
          <w:ilvl w:val="0"/>
          <w:numId w:val="0"/>
        </w:numPr>
        <w:rPr>
          <w:lang w:val="en-GB"/>
        </w:rPr>
      </w:pPr>
    </w:p>
    <w:p w14:paraId="119790FA" w14:textId="77777777" w:rsidR="008D1C4B" w:rsidRDefault="00017BB5">
      <w:pPr>
        <w:pStyle w:val="berschrift2"/>
        <w:numPr>
          <w:ilvl w:val="1"/>
          <w:numId w:val="79"/>
        </w:numPr>
        <w:rPr>
          <w:lang w:val="en-GB"/>
        </w:rPr>
      </w:pPr>
      <w:r>
        <w:rPr>
          <w:lang w:val="en-GB"/>
        </w:rPr>
        <w:t>The EESC considers that the consultation and inclusion of organised civil society and the social partners in trade policymaking, implementation and monitoring in the Euro-Mediterranean area is crucial to ensure that the trade provisions of the Association Agreements incorporate and pursue strong commitments to human rights and standards, labour and environmental rights, as well as their full implementation. In that regard, the EESC stresses the importance of establishing Domestic Advisory Groups (DAGs) to empower civil society in Southern Mediterranean partner countries, and of providing them with the necessary resources to fulfil their mandate. These consultations should pay particular attention to the concerns of MSMEs when negotiating future trade deals, as they will need to be supported in the area of the digital and green transitions.</w:t>
      </w:r>
    </w:p>
    <w:p w14:paraId="7EA18F59" w14:textId="77777777" w:rsidR="008D1C4B" w:rsidRDefault="008D1C4B">
      <w:pPr>
        <w:pStyle w:val="berschrift2"/>
        <w:numPr>
          <w:ilvl w:val="0"/>
          <w:numId w:val="0"/>
        </w:numPr>
        <w:rPr>
          <w:lang w:val="en-GB"/>
        </w:rPr>
      </w:pPr>
    </w:p>
    <w:p w14:paraId="170542F2" w14:textId="77777777" w:rsidR="008D1C4B" w:rsidRDefault="00017BB5">
      <w:pPr>
        <w:pStyle w:val="berschrift2"/>
        <w:numPr>
          <w:ilvl w:val="1"/>
          <w:numId w:val="79"/>
        </w:numPr>
        <w:rPr>
          <w:lang w:val="en-GB"/>
        </w:rPr>
      </w:pPr>
      <w:r>
        <w:rPr>
          <w:lang w:val="en-GB"/>
        </w:rPr>
        <w:t xml:space="preserve">The EESC considers that the involvement of civil society in shaping, monitoring and evaluating the implementation of FTAs is crucial when putting forward sustainability issues, notably through the Domestic Advisory Groups, with an extended mandate on all aspects of FTAs, especially on human rights, labour and environmental standards and rights, as well as consumer interests. Accordingly, the EESC points to the emphasis placed by the </w:t>
      </w:r>
      <w:r>
        <w:rPr>
          <w:i/>
          <w:lang w:val="en-GB"/>
        </w:rPr>
        <w:t>Joint Communication on a Renewed partnership with the Southern Neighbourhood – A new Agenda for the Mediterranean</w:t>
      </w:r>
      <w:r>
        <w:rPr>
          <w:lang w:val="en-GB"/>
        </w:rPr>
        <w:t xml:space="preserve"> on the essential role played by trade unions and business organisations in the design of policies and social dialogue, and the need to support and promote them so that they can carry out their work in the best possible conditions.</w:t>
      </w:r>
    </w:p>
    <w:p w14:paraId="3FE5E9E6" w14:textId="77777777" w:rsidR="008D1C4B" w:rsidRDefault="008D1C4B">
      <w:pPr>
        <w:rPr>
          <w:lang w:val="en-GB"/>
        </w:rPr>
      </w:pPr>
    </w:p>
    <w:p w14:paraId="724AE7EE" w14:textId="77777777" w:rsidR="008D1C4B" w:rsidRDefault="00017BB5">
      <w:pPr>
        <w:pStyle w:val="berschrift1"/>
        <w:rPr>
          <w:b/>
          <w:i/>
          <w:lang w:val="en-GB"/>
        </w:rPr>
      </w:pPr>
      <w:r>
        <w:rPr>
          <w:b/>
          <w:lang w:val="en-GB"/>
        </w:rPr>
        <w:t xml:space="preserve">Conclusions of REX/537 on </w:t>
      </w:r>
      <w:hyperlink r:id="rId53" w:history="1">
        <w:r>
          <w:rPr>
            <w:rStyle w:val="Hyperlink"/>
            <w:i/>
          </w:rPr>
          <w:t>COVID-19: The role of civil society in the reconstruction and resilience of the Euro-Mediterranean region</w:t>
        </w:r>
      </w:hyperlink>
    </w:p>
    <w:p w14:paraId="3EB08B53" w14:textId="77777777" w:rsidR="008D1C4B" w:rsidRDefault="008D1C4B">
      <w:pPr>
        <w:rPr>
          <w:lang w:val="en-GB"/>
        </w:rPr>
      </w:pPr>
    </w:p>
    <w:p w14:paraId="15DDBE5B" w14:textId="77777777" w:rsidR="008D1C4B" w:rsidRDefault="00017BB5">
      <w:pPr>
        <w:pStyle w:val="berschrift2"/>
        <w:rPr>
          <w:lang w:val="en-GB"/>
        </w:rPr>
      </w:pPr>
      <w:r>
        <w:t>Civil society worldwide responded immediately to the pandemic, working on the front line and providing assistance and help to the population. In the Euro-Mediterranean area, too, the role of civil society has been crucial in mitigating the adverse effects of COVID-19.</w:t>
      </w:r>
    </w:p>
    <w:p w14:paraId="76DC5C4E" w14:textId="77777777" w:rsidR="008D1C4B" w:rsidRDefault="008D1C4B">
      <w:pPr>
        <w:rPr>
          <w:color w:val="000000"/>
        </w:rPr>
      </w:pPr>
    </w:p>
    <w:p w14:paraId="7ECE25D3" w14:textId="77777777" w:rsidR="008D1C4B" w:rsidRDefault="00017BB5">
      <w:pPr>
        <w:pStyle w:val="berschrift2"/>
      </w:pPr>
      <w:r>
        <w:lastRenderedPageBreak/>
        <w:t xml:space="preserve">Civil society </w:t>
      </w:r>
      <w:proofErr w:type="spellStart"/>
      <w:r>
        <w:t>organisations</w:t>
      </w:r>
      <w:proofErr w:type="spellEnd"/>
      <w:r>
        <w:t xml:space="preserve"> in the Euro-Mediterranean region have backed up government action by providing essential services and healthcare; they have distributed personal protective equipment and helped to disseminate vital information, especially in remote areas. Their work has also been of paramount importance in cushioning the impact of the pandemic on the most vulnerable sections of society, such as women, young people, immigrants and those with disabilities. </w:t>
      </w:r>
    </w:p>
    <w:p w14:paraId="458E1BD8" w14:textId="77777777" w:rsidR="008D1C4B" w:rsidRDefault="008D1C4B">
      <w:pPr>
        <w:rPr>
          <w:color w:val="000000"/>
        </w:rPr>
      </w:pPr>
    </w:p>
    <w:p w14:paraId="77CF019C" w14:textId="77777777" w:rsidR="008D1C4B" w:rsidRDefault="00017BB5">
      <w:pPr>
        <w:pStyle w:val="berschrift2"/>
      </w:pPr>
      <w:r>
        <w:t xml:space="preserve">Civil society's active involvement has buttressed solidarity in the Euro-Mediterranean region; many civil society </w:t>
      </w:r>
      <w:proofErr w:type="spellStart"/>
      <w:r>
        <w:t>organisations</w:t>
      </w:r>
      <w:proofErr w:type="spellEnd"/>
      <w:r>
        <w:t xml:space="preserve"> in the Southern </w:t>
      </w:r>
      <w:proofErr w:type="spellStart"/>
      <w:r>
        <w:t>Neighbourhood</w:t>
      </w:r>
      <w:proofErr w:type="spellEnd"/>
      <w:r>
        <w:t xml:space="preserve"> have played a part in setting up civic solidarity groups, experimenting with innovative methodologies and stepping up their online information and coordination work.</w:t>
      </w:r>
    </w:p>
    <w:p w14:paraId="5B7DBD33" w14:textId="77777777" w:rsidR="008D1C4B" w:rsidRDefault="008D1C4B">
      <w:pPr>
        <w:rPr>
          <w:rFonts w:eastAsia="Calibri"/>
          <w:color w:val="000000"/>
        </w:rPr>
      </w:pPr>
    </w:p>
    <w:p w14:paraId="01D02D5D" w14:textId="77777777" w:rsidR="008D1C4B" w:rsidRDefault="00017BB5">
      <w:pPr>
        <w:pStyle w:val="berschrift2"/>
        <w:rPr>
          <w:rFonts w:eastAsia="Calibri"/>
        </w:rPr>
      </w:pPr>
      <w:r>
        <w:t xml:space="preserve">The EESC firmly believes that a fair and equitable economic and social recovery is only possible through the involvement of the social partners and civil society </w:t>
      </w:r>
      <w:proofErr w:type="spellStart"/>
      <w:r>
        <w:t>organisations</w:t>
      </w:r>
      <w:proofErr w:type="spellEnd"/>
      <w:r>
        <w:t>, the private sector and, in particular, SMEs. The recovery of the Mediterranean area and the development of sustainable and resilient socio-economic models must be guided by principles such as respect for the rule of law, the protection of democratic values and social and human rights, the implementation of ILO core conventions, and a shared commitment to attaining the sustainable development and climate neutrality goals.</w:t>
      </w:r>
    </w:p>
    <w:p w14:paraId="2A69087A" w14:textId="77777777" w:rsidR="008D1C4B" w:rsidRDefault="008D1C4B">
      <w:pPr>
        <w:rPr>
          <w:rFonts w:eastAsia="Calibri"/>
          <w:color w:val="000000"/>
        </w:rPr>
      </w:pPr>
    </w:p>
    <w:p w14:paraId="1A76F2F0" w14:textId="77777777" w:rsidR="008D1C4B" w:rsidRDefault="00017BB5">
      <w:pPr>
        <w:pStyle w:val="berschrift2"/>
        <w:rPr>
          <w:rFonts w:eastAsia="Calibri"/>
          <w:kern w:val="28"/>
        </w:rPr>
      </w:pPr>
      <w:r>
        <w:t>The EESC welcomes the adoption of the new Agenda for the Mediterranean and underscores the need for all measures in support of the recovery to serve the dual aims of development and improving the quality of life of the region's people.</w:t>
      </w:r>
    </w:p>
    <w:p w14:paraId="605297A9" w14:textId="77777777" w:rsidR="008D1C4B" w:rsidRDefault="008D1C4B">
      <w:pPr>
        <w:rPr>
          <w:rFonts w:eastAsia="Calibri"/>
          <w:color w:val="000000"/>
        </w:rPr>
      </w:pPr>
    </w:p>
    <w:p w14:paraId="5B910A41" w14:textId="77777777" w:rsidR="008D1C4B" w:rsidRDefault="00017BB5">
      <w:pPr>
        <w:pStyle w:val="berschrift2"/>
        <w:rPr>
          <w:rFonts w:eastAsia="Calibri"/>
        </w:rPr>
      </w:pPr>
      <w:r>
        <w:t>A number of social, political, environmental, geopolitical and immigration challenges are currently concentrated in the Mediterranean that are key challenges not just for Europe but for the world as a whole. The EESC believes that the area's growing multidimensional challenges can only be grappled with through renewed and effective multilateralism supported by the European Union.</w:t>
      </w:r>
    </w:p>
    <w:p w14:paraId="664353FA" w14:textId="77777777" w:rsidR="008D1C4B" w:rsidRDefault="008D1C4B">
      <w:pPr>
        <w:rPr>
          <w:rFonts w:eastAsia="Calibri"/>
        </w:rPr>
      </w:pPr>
    </w:p>
    <w:p w14:paraId="3FF97B08" w14:textId="77777777" w:rsidR="008D1C4B" w:rsidRDefault="00017BB5">
      <w:pPr>
        <w:pStyle w:val="berschrift2"/>
        <w:rPr>
          <w:rFonts w:eastAsia="Calibri"/>
          <w:kern w:val="28"/>
        </w:rPr>
      </w:pPr>
      <w:r>
        <w:t xml:space="preserve">The impact of climate change is also affecting the Mediterranean area in the form of desertification, water scarcity and rising temperatures. The current crisis has cast into relief the need to strengthen common resilience and open up new cooperation initiatives on the environment and </w:t>
      </w:r>
      <w:proofErr w:type="spellStart"/>
      <w:r>
        <w:t>digitalisation</w:t>
      </w:r>
      <w:proofErr w:type="spellEnd"/>
      <w:r>
        <w:t xml:space="preserve">. The EESC considers it useful, not least given the increasing civil society awareness and through greater stakeholder participation, to extend and reinforce initiatives such as </w:t>
      </w:r>
      <w:proofErr w:type="spellStart"/>
      <w:r>
        <w:t>WestMED</w:t>
      </w:r>
      <w:proofErr w:type="spellEnd"/>
      <w:r>
        <w:t xml:space="preserve"> so that they help achieve the climate and environment goals through blue economy models targeting job creation and the protection of the ecosystem and diversity.</w:t>
      </w:r>
    </w:p>
    <w:p w14:paraId="60F1BA3F" w14:textId="77777777" w:rsidR="008D1C4B" w:rsidRDefault="008D1C4B">
      <w:pPr>
        <w:rPr>
          <w:rFonts w:eastAsia="Calibri"/>
        </w:rPr>
      </w:pPr>
    </w:p>
    <w:p w14:paraId="3482E2A5" w14:textId="77777777" w:rsidR="008D1C4B" w:rsidRDefault="00017BB5">
      <w:pPr>
        <w:pStyle w:val="berschrift2"/>
        <w:rPr>
          <w:kern w:val="28"/>
        </w:rPr>
      </w:pPr>
      <w:r>
        <w:t xml:space="preserve">Ten years on from the Arab Spring, the European Union has renewed its cooperation strategy with its Mediterranean </w:t>
      </w:r>
      <w:proofErr w:type="spellStart"/>
      <w:r>
        <w:t>neighbourhood</w:t>
      </w:r>
      <w:proofErr w:type="spellEnd"/>
      <w:r>
        <w:t>. In this connection, the EESC sees the new Agenda for the Mediterranean as a key instrument for the social and economic recovery of the region following the COVID-19 crisis. The renewed partnership commitment must be tightly bound not only to economic and social challenges, but also to environmental, demographic and immigration ones, while fully respecting the Union's progress and founding values. The situation of health systems has proven fragile in many parts of the region, and the pandemic crisis is an important test that could also impinge on political stability.</w:t>
      </w:r>
    </w:p>
    <w:p w14:paraId="1C3DB307" w14:textId="77777777" w:rsidR="008D1C4B" w:rsidRDefault="008D1C4B">
      <w:pPr>
        <w:rPr>
          <w:rFonts w:eastAsia="Calibri"/>
          <w:color w:val="000000"/>
        </w:rPr>
      </w:pPr>
    </w:p>
    <w:p w14:paraId="0609DA47" w14:textId="77777777" w:rsidR="008D1C4B" w:rsidRDefault="00017BB5">
      <w:pPr>
        <w:pStyle w:val="berschrift2"/>
      </w:pPr>
      <w:r>
        <w:t xml:space="preserve">The Mediterranean area's recovery and reconstruction </w:t>
      </w:r>
      <w:proofErr w:type="spellStart"/>
      <w:r>
        <w:t>programmes</w:t>
      </w:r>
      <w:proofErr w:type="spellEnd"/>
      <w:r>
        <w:t xml:space="preserve"> should put particular weight on the swift recovery of the tourism sector and especially of small- and medium-sized enterprises that employ more than half of the employees in the EU. A lingering impact of the crisis, including structural unemployment – especially of the young and women – would have serious social consequences.</w:t>
      </w:r>
    </w:p>
    <w:p w14:paraId="43079B40" w14:textId="77777777" w:rsidR="008D1C4B" w:rsidRDefault="008D1C4B">
      <w:pPr>
        <w:rPr>
          <w:rFonts w:eastAsia="Calibri"/>
          <w:color w:val="000000"/>
        </w:rPr>
      </w:pPr>
    </w:p>
    <w:p w14:paraId="15DBCEB4" w14:textId="77777777" w:rsidR="008D1C4B" w:rsidRDefault="00017BB5">
      <w:pPr>
        <w:pStyle w:val="berschrift2"/>
        <w:rPr>
          <w:rFonts w:eastAsia="Calibri"/>
        </w:rPr>
      </w:pPr>
      <w:r>
        <w:t xml:space="preserve">The development of the human capital of the workforce is particularly important for the sustainable development of the EU's Mediterranean partners. Especially in the tourism sector, staff training should be promoted. Moreover, the EESC notes that the problem of the "brain drain" from the southern partner countries to the highly developed </w:t>
      </w:r>
      <w:proofErr w:type="spellStart"/>
      <w:r>
        <w:t>industrialised</w:t>
      </w:r>
      <w:proofErr w:type="spellEnd"/>
      <w:r>
        <w:t xml:space="preserve"> countries is a major obstacle, particularly to the digital transformation of their economies. The Member States of the European Union should therefore facilitate short- and medium-term work permits in the EU for both self-employed workers and employees, especially in the IT sector. Furthermore, the Commission should support the implementation of digital projects in partner countries so that IT technicians in particular find good employment opportunities in their home countries.</w:t>
      </w:r>
    </w:p>
    <w:p w14:paraId="2C958ACF" w14:textId="77777777" w:rsidR="008D1C4B" w:rsidRDefault="008D1C4B"/>
    <w:p w14:paraId="7FFB029C" w14:textId="77777777" w:rsidR="008D1C4B" w:rsidRDefault="00017BB5">
      <w:pPr>
        <w:pStyle w:val="berschrift2"/>
        <w:rPr>
          <w:rFonts w:eastAsia="Calibri"/>
          <w:kern w:val="28"/>
        </w:rPr>
      </w:pPr>
      <w:r>
        <w:t xml:space="preserve">The EU will make use of existing cooperation instruments and </w:t>
      </w:r>
      <w:proofErr w:type="spellStart"/>
      <w:r>
        <w:t>programmes</w:t>
      </w:r>
      <w:proofErr w:type="spellEnd"/>
      <w:r>
        <w:t xml:space="preserve"> to strengthen its dialogue with the Southern </w:t>
      </w:r>
      <w:proofErr w:type="spellStart"/>
      <w:r>
        <w:t>Neighbourhood</w:t>
      </w:r>
      <w:proofErr w:type="spellEnd"/>
      <w:r>
        <w:t xml:space="preserve">. The European Economic and Social Committee recommends the broadest possible involvement of civil society </w:t>
      </w:r>
      <w:proofErr w:type="spellStart"/>
      <w:r>
        <w:t>organisations</w:t>
      </w:r>
      <w:proofErr w:type="spellEnd"/>
      <w:r>
        <w:t xml:space="preserve">, through inclusive social and civil dialogue at all levels that takes into account the specific characteristics and roles of the various players involved and that </w:t>
      </w:r>
      <w:proofErr w:type="spellStart"/>
      <w:r>
        <w:t>emphasises</w:t>
      </w:r>
      <w:proofErr w:type="spellEnd"/>
      <w:r>
        <w:t xml:space="preserve"> their contribution to the design and implementation of the policies and measures needed to manage the impact of the current changes and crises, starting with the effects of climate change.</w:t>
      </w:r>
    </w:p>
    <w:p w14:paraId="5BA00B96" w14:textId="77777777" w:rsidR="008D1C4B" w:rsidRDefault="008D1C4B"/>
    <w:p w14:paraId="25E96F82" w14:textId="77777777" w:rsidR="008D1C4B" w:rsidRDefault="00017BB5">
      <w:pPr>
        <w:pStyle w:val="berschrift2"/>
      </w:pPr>
      <w:r>
        <w:t xml:space="preserve">It is estimated that many countries in the Southern </w:t>
      </w:r>
      <w:proofErr w:type="spellStart"/>
      <w:r>
        <w:t>Neighbourhood</w:t>
      </w:r>
      <w:proofErr w:type="spellEnd"/>
      <w:r>
        <w:t xml:space="preserve"> will experience a fall in GDP per capita and have major challenges in confronting the growing social, economic and poverty risks. Economic and financial reconstruction plans are therefore needed, with measures in them that can also address the problems accounting for growing social insecurity.</w:t>
      </w:r>
    </w:p>
    <w:p w14:paraId="076784EE" w14:textId="77777777" w:rsidR="008D1C4B" w:rsidRDefault="008D1C4B">
      <w:pPr>
        <w:rPr>
          <w:rFonts w:eastAsia="Calibri"/>
          <w:color w:val="000000"/>
        </w:rPr>
      </w:pPr>
    </w:p>
    <w:p w14:paraId="29634281" w14:textId="77777777" w:rsidR="008D1C4B" w:rsidRDefault="00017BB5">
      <w:pPr>
        <w:pStyle w:val="berschrift2"/>
        <w:rPr>
          <w:rFonts w:eastAsia="Calibri"/>
        </w:rPr>
      </w:pPr>
      <w:r>
        <w:t xml:space="preserve">The economic recovery of many countries in the Mediterranean </w:t>
      </w:r>
      <w:proofErr w:type="spellStart"/>
      <w:r>
        <w:t>neighbourhood</w:t>
      </w:r>
      <w:proofErr w:type="spellEnd"/>
      <w:r>
        <w:t xml:space="preserve"> very much hinges on the effectiveness of a proper vaccination campaign, and the EESC accordingly recommends the strengthening of COVAX, and the maximum logistical and supply support from the European institutions, also through bilateral agreements. The EESC stresses that it is particularly important to support partner countries south of the Mediterranean in establishing self-determined production facilities for vaccines and medical products in their countries. In this context, it reiterates its call for the release of patents on vaccines and medical products to combat pandemics to be seriously discussed.</w:t>
      </w:r>
    </w:p>
    <w:p w14:paraId="5FFB1080" w14:textId="77777777" w:rsidR="008D1C4B" w:rsidRDefault="008D1C4B">
      <w:pPr>
        <w:rPr>
          <w:rFonts w:eastAsia="Calibri"/>
          <w:color w:val="000000"/>
        </w:rPr>
      </w:pPr>
    </w:p>
    <w:p w14:paraId="3DB4DCD6" w14:textId="77777777" w:rsidR="008D1C4B" w:rsidRDefault="00017BB5">
      <w:pPr>
        <w:pStyle w:val="berschrift2"/>
        <w:rPr>
          <w:rFonts w:eastAsia="Calibri"/>
        </w:rPr>
      </w:pPr>
      <w:r>
        <w:t xml:space="preserve">The EESC believes that the active involvement of civil society in the post-COVID-19 recovery will be instrumental in reaching goals such as improving people's quality of life and developing a new model of sustainable development. It therefore calls on the European institutions, using the partnership with the Southern </w:t>
      </w:r>
      <w:proofErr w:type="spellStart"/>
      <w:r>
        <w:t>Neighbourhood</w:t>
      </w:r>
      <w:proofErr w:type="spellEnd"/>
      <w:r>
        <w:t xml:space="preserve">, to further strengthen all instruments for involving civil society </w:t>
      </w:r>
      <w:proofErr w:type="spellStart"/>
      <w:r>
        <w:t>organisations</w:t>
      </w:r>
      <w:proofErr w:type="spellEnd"/>
      <w:r>
        <w:t>.</w:t>
      </w:r>
    </w:p>
    <w:p w14:paraId="5E88CB84" w14:textId="77777777" w:rsidR="008D1C4B" w:rsidRDefault="008D1C4B">
      <w:pPr>
        <w:rPr>
          <w:rFonts w:eastAsia="Calibri"/>
          <w:color w:val="000000"/>
        </w:rPr>
      </w:pPr>
    </w:p>
    <w:p w14:paraId="40F4759F" w14:textId="77777777" w:rsidR="008D1C4B" w:rsidRDefault="00017BB5">
      <w:pPr>
        <w:pStyle w:val="berschrift2"/>
      </w:pPr>
      <w:r>
        <w:lastRenderedPageBreak/>
        <w:t xml:space="preserve">Civil society </w:t>
      </w:r>
      <w:proofErr w:type="spellStart"/>
      <w:r>
        <w:t>organisations</w:t>
      </w:r>
      <w:proofErr w:type="spellEnd"/>
      <w:r>
        <w:t xml:space="preserve"> have been at the vanguard of supporting the health and social response to the pandemic and their hands-on involvement has helped palliate the social and health fallout on the population. However, as the EESC has already pointed out, their ability to respond to society's needs is shaped by the reality that resources are often limited and can fluctuate. The EESC is convinced of the need to strengthen support mechanisms for civil society </w:t>
      </w:r>
      <w:proofErr w:type="spellStart"/>
      <w:r>
        <w:t>organisations</w:t>
      </w:r>
      <w:proofErr w:type="spellEnd"/>
      <w:r>
        <w:t>, partly so as to better protect the most vulnerable groups afflicted particularly badly by the pandemic, such as young people, women, migrants and people with disabilities.</w:t>
      </w:r>
    </w:p>
    <w:p w14:paraId="7D513976" w14:textId="77777777" w:rsidR="008D1C4B" w:rsidRDefault="008D1C4B">
      <w:pPr>
        <w:rPr>
          <w:rFonts w:eastAsia="Calibri"/>
          <w:color w:val="000000"/>
        </w:rPr>
      </w:pPr>
    </w:p>
    <w:p w14:paraId="301668DE" w14:textId="77777777" w:rsidR="008D1C4B" w:rsidRDefault="00017BB5">
      <w:pPr>
        <w:pStyle w:val="berschrift2"/>
        <w:rPr>
          <w:rFonts w:eastAsia="Calibri"/>
        </w:rPr>
      </w:pPr>
      <w:r>
        <w:t xml:space="preserve">The EESC calls for further action by the European institutions in support of peace, democracies and respect for human rights in conflict areas in the Mediterranean </w:t>
      </w:r>
      <w:proofErr w:type="spellStart"/>
      <w:r>
        <w:t>neighbourhood</w:t>
      </w:r>
      <w:proofErr w:type="spellEnd"/>
      <w:r>
        <w:t>. The conditions experienced by the populations in conflict areas have further deteriorated because of the pandemic and vigorous efforts are required to ensure a complete peace plan.</w:t>
      </w:r>
    </w:p>
    <w:p w14:paraId="66C1D002" w14:textId="77777777" w:rsidR="008D1C4B" w:rsidRDefault="008D1C4B">
      <w:pPr>
        <w:rPr>
          <w:rFonts w:eastAsia="Calibri"/>
          <w:color w:val="000000"/>
        </w:rPr>
      </w:pPr>
    </w:p>
    <w:p w14:paraId="3455C1E1" w14:textId="77777777" w:rsidR="008D1C4B" w:rsidRDefault="00017BB5">
      <w:pPr>
        <w:pStyle w:val="berschrift2"/>
      </w:pPr>
      <w:r>
        <w:t xml:space="preserve">In view of the certainly difficult recovery from the pandemic crisis, the ongoing trade negotiations between the EU and Morocco and Tunisia, as well as the upcoming negotiations with Jordan, are becoming more important. The EU should take greater account of existing asymmetries and adequately accommodate its southern trading partners. The EESC calls for better involvement of civil society </w:t>
      </w:r>
      <w:proofErr w:type="spellStart"/>
      <w:r>
        <w:t>organisations</w:t>
      </w:r>
      <w:proofErr w:type="spellEnd"/>
      <w:r>
        <w:t xml:space="preserve"> and social partners in the negotiation processes and for a formal anchoring in the Treaties to enable them to make positive contributions to the trade relations between the partner countries, in particular, to ensure the implementation of the mandatory sustainability chapters of the upcoming trade agreements.</w:t>
      </w:r>
    </w:p>
    <w:p w14:paraId="58FBB6D1" w14:textId="77777777" w:rsidR="008D1C4B" w:rsidRDefault="008D1C4B"/>
    <w:p w14:paraId="4BA16736" w14:textId="77777777" w:rsidR="008D1C4B" w:rsidRDefault="00017BB5">
      <w:pPr>
        <w:pStyle w:val="berschrift2"/>
      </w:pPr>
      <w:r>
        <w:t>In addition, the EESC suggests that the CSOs and social partners be given responsibility not only for the sustainability chapters but also for the entire scope of trade and investment agreements as part of their formally structured involvement.</w:t>
      </w:r>
    </w:p>
    <w:p w14:paraId="0A01630E" w14:textId="77777777" w:rsidR="008D1C4B" w:rsidRDefault="008D1C4B"/>
    <w:p w14:paraId="7241BACB" w14:textId="77777777" w:rsidR="008D1C4B" w:rsidRDefault="00017BB5">
      <w:pPr>
        <w:pStyle w:val="berschrift2"/>
        <w:rPr>
          <w:rFonts w:eastAsia="Calibri"/>
        </w:rPr>
      </w:pPr>
      <w:r>
        <w:rPr>
          <w:rFonts w:eastAsia="Calibri"/>
        </w:rPr>
        <w:t>The EESC reiterates its view that the EU should target part of its Aid for Trade funds to support CSO participation and capacity building in sustainable trade and investment efforts.</w:t>
      </w:r>
    </w:p>
    <w:p w14:paraId="5EA7EC1D" w14:textId="77777777" w:rsidR="008D1C4B" w:rsidRDefault="008D1C4B">
      <w:pPr>
        <w:rPr>
          <w:rFonts w:eastAsia="Calibri"/>
          <w:color w:val="000000"/>
        </w:rPr>
      </w:pPr>
    </w:p>
    <w:p w14:paraId="6B1A03CD" w14:textId="77777777" w:rsidR="008D1C4B" w:rsidRDefault="00017BB5">
      <w:pPr>
        <w:pStyle w:val="berschrift2"/>
      </w:pPr>
      <w:r>
        <w:t>The EESC has already called in the past for digital skills to be bolstered on both sides of the Mediterranean. Following the adoption of the new strategy for the Mediterranean and with a view to post-pandemic reconstruction, the EESC points to the need to boost investment in digital infrastructure and support the digital transformation of SMEs as drivers of employment and social development, including through the involvement of the social partners, acknowledging the potential of collective bargaining and social dialogue at the various levels.</w:t>
      </w:r>
    </w:p>
    <w:p w14:paraId="6010C58F" w14:textId="77777777" w:rsidR="008D1C4B" w:rsidRDefault="008D1C4B">
      <w:pPr>
        <w:rPr>
          <w:lang w:val="en-GB"/>
        </w:rPr>
      </w:pPr>
    </w:p>
    <w:p w14:paraId="7E77E2FA" w14:textId="77777777" w:rsidR="008D1C4B" w:rsidRDefault="00017BB5">
      <w:pPr>
        <w:pStyle w:val="berschrift1"/>
        <w:rPr>
          <w:b/>
          <w:i/>
          <w:lang w:val="en-GB"/>
        </w:rPr>
      </w:pPr>
      <w:r>
        <w:rPr>
          <w:b/>
          <w:lang w:val="en-GB"/>
        </w:rPr>
        <w:t xml:space="preserve">Conclusions and recommendations of REX/526 on </w:t>
      </w:r>
      <w:hyperlink r:id="rId54" w:history="1">
        <w:r>
          <w:rPr>
            <w:rStyle w:val="Hyperlink"/>
            <w:i/>
          </w:rPr>
          <w:t>Sustainable development in the Mediterranean region (information report)</w:t>
        </w:r>
      </w:hyperlink>
    </w:p>
    <w:p w14:paraId="584B7D77" w14:textId="77777777" w:rsidR="008D1C4B" w:rsidRDefault="008D1C4B">
      <w:pPr>
        <w:rPr>
          <w:lang w:val="en-GB"/>
        </w:rPr>
      </w:pPr>
    </w:p>
    <w:p w14:paraId="631926C1" w14:textId="77777777" w:rsidR="008D1C4B" w:rsidRDefault="00017BB5">
      <w:pPr>
        <w:pStyle w:val="berschrift2"/>
      </w:pPr>
      <w:r>
        <w:rPr>
          <w:shd w:val="clear" w:color="auto" w:fill="FFFFFF"/>
        </w:rPr>
        <w:t>The Fifth Assessment Report from the International Panel on Climate Change (IPPC, 2013) highlights the Mediterranean as one of the most vulnerable regions in the world to the impacts of global warming.</w:t>
      </w:r>
      <w:r>
        <w:t xml:space="preserve"> Southern Mediterranean countries suffer from high unemployment rates, especially among young people and women. Significant differences in development levels and standard of living between countries, together with conflicts in the region, which already have a negative impact on lives and development, </w:t>
      </w:r>
      <w:proofErr w:type="spellStart"/>
      <w:r>
        <w:t>emphasise</w:t>
      </w:r>
      <w:proofErr w:type="spellEnd"/>
      <w:r>
        <w:t xml:space="preserve"> challenges to the sustainable future of the Mediterranean area. New challenges are arising from COVID-19, mainly concerning the </w:t>
      </w:r>
      <w:r>
        <w:lastRenderedPageBreak/>
        <w:t xml:space="preserve">economic and social situation. Sustainable development and the implementation of green economy policies are therefore important for the region to drive sustained and equitable socio-economic development. </w:t>
      </w:r>
    </w:p>
    <w:p w14:paraId="56F0A2DD" w14:textId="77777777" w:rsidR="008D1C4B" w:rsidRDefault="008D1C4B"/>
    <w:p w14:paraId="68A4CF93" w14:textId="77777777" w:rsidR="008D1C4B" w:rsidRDefault="00017BB5">
      <w:pPr>
        <w:pStyle w:val="berschrift2"/>
      </w:pPr>
      <w:r>
        <w:t xml:space="preserve">The green economy and sustainable development are </w:t>
      </w:r>
      <w:proofErr w:type="spellStart"/>
      <w:r>
        <w:t>recognised</w:t>
      </w:r>
      <w:proofErr w:type="spellEnd"/>
      <w:r>
        <w:t xml:space="preserve"> as priorities in many Mediterranean countries. However, knowledge, capacities, resources and will from most decision makers are insufficient to enable their practical implementation and much more needs to be done to enhance integrated rather than sectoral policies. There is also an urgent need to create the right conditions for a sustainable blue economy and effective sea governance. </w:t>
      </w:r>
    </w:p>
    <w:p w14:paraId="15BC2BB2" w14:textId="77777777" w:rsidR="008D1C4B" w:rsidRDefault="008D1C4B"/>
    <w:p w14:paraId="6EE517B7" w14:textId="77777777" w:rsidR="008D1C4B" w:rsidRDefault="00017BB5">
      <w:pPr>
        <w:pStyle w:val="berschrift2"/>
      </w:pPr>
      <w:r>
        <w:t xml:space="preserve">The Mediterranean region is very diverse. Investing in human capital is essential for the sustainable development of countries. Such investment also contributes to stability, security and peace – major preconditions for sustainable development as stipulated by SDG target 16 (peace, justice and strong institutions). Youth education and training are a major challenge and represent a strong instrument to resist divisions and prevent </w:t>
      </w:r>
      <w:proofErr w:type="spellStart"/>
      <w:r>
        <w:t>radicalisation</w:t>
      </w:r>
      <w:proofErr w:type="spellEnd"/>
      <w:r>
        <w:t xml:space="preserve">. Equal rights and opportunities for women should be guaranteed as a contribution to inclusive development and equal access to the world of work. COVID-19 induced poverty is an additional burden with a still unclear level of impact on development. </w:t>
      </w:r>
    </w:p>
    <w:p w14:paraId="65CBAF54" w14:textId="77777777" w:rsidR="008D1C4B" w:rsidRDefault="008D1C4B"/>
    <w:p w14:paraId="5212206D" w14:textId="77777777" w:rsidR="008D1C4B" w:rsidRDefault="00017BB5">
      <w:pPr>
        <w:pStyle w:val="berschrift2"/>
      </w:pPr>
      <w:r>
        <w:rPr>
          <w:lang w:eastAsia="hr-HR"/>
        </w:rPr>
        <w:t xml:space="preserve">The transition to a low-carbon energy and resource-efficient economy could have a profound effect not only on the climate but will also </w:t>
      </w:r>
      <w:r>
        <w:t xml:space="preserve">have benefits for health, education, gender and deforestation. </w:t>
      </w:r>
      <w:r>
        <w:rPr>
          <w:lang w:eastAsia="hr-HR"/>
        </w:rPr>
        <w:t xml:space="preserve">This creates the need for a "just transition" that takes into account the social impact on workers and communities of transitioning to a low-carbon economy. </w:t>
      </w:r>
      <w:r>
        <w:t xml:space="preserve">The EESC points to the importance of nurturing entrepreneurial attitudes and digital skills. </w:t>
      </w:r>
      <w:r>
        <w:rPr>
          <w:lang w:eastAsia="hr-HR"/>
        </w:rPr>
        <w:t>The effort should be collective and include companies, national governments and a range of stakeholders.</w:t>
      </w:r>
      <w:r>
        <w:t xml:space="preserve"> The economic crisis triggered by the COVID-19 pandemic has shown how important it is to have local production that society can rely on.</w:t>
      </w:r>
    </w:p>
    <w:p w14:paraId="1C72D98E" w14:textId="77777777" w:rsidR="008D1C4B" w:rsidRDefault="008D1C4B"/>
    <w:p w14:paraId="7D10DBE6" w14:textId="77777777" w:rsidR="008D1C4B" w:rsidRDefault="00017BB5">
      <w:pPr>
        <w:pStyle w:val="berschrift2"/>
      </w:pPr>
      <w:r>
        <w:t xml:space="preserve">Precautions and physical distancing have intensively affected the way education is delivered, pointing to the inevitability of using modern technologies. Many students do not have the means to pay for an internet subscription or purchase laptops, so necessary resources to students in need in order to guarantee a successful online learning experience should be provided by ministries of education or through other channels. </w:t>
      </w:r>
    </w:p>
    <w:p w14:paraId="0AD0F30E" w14:textId="77777777" w:rsidR="008D1C4B" w:rsidRDefault="008D1C4B"/>
    <w:p w14:paraId="0D09142A" w14:textId="77777777" w:rsidR="008D1C4B" w:rsidRDefault="00017BB5">
      <w:pPr>
        <w:pStyle w:val="berschrift2"/>
      </w:pPr>
      <w:r>
        <w:t xml:space="preserve">Public infrastructure and public services should be preserved, as they have proven to be the most vital in this crisis. Also, the role of CSOs and many volunteers in helping people, vulnerable groups and communities in need should be </w:t>
      </w:r>
      <w:proofErr w:type="spellStart"/>
      <w:r>
        <w:t>recognised</w:t>
      </w:r>
      <w:proofErr w:type="spellEnd"/>
      <w:r>
        <w:t xml:space="preserve"> by decision-makers. The post-pandemic economic recovery must be environmentally and socially acceptable to respond to a much deeper, climate crisis. </w:t>
      </w:r>
    </w:p>
    <w:p w14:paraId="30574BF3" w14:textId="77777777" w:rsidR="008D1C4B" w:rsidRDefault="008D1C4B"/>
    <w:p w14:paraId="20098810" w14:textId="77777777" w:rsidR="008D1C4B" w:rsidRDefault="00017BB5">
      <w:pPr>
        <w:pStyle w:val="berschrift2"/>
      </w:pPr>
      <w:r>
        <w:t>Strengthening governance and development of relevant policies both play an important role in the achievement of many of the SDGs. Implementation of the 2030 Agenda requires an integrated approach rather than goal-by-goal or target-by-target efforts.</w:t>
      </w:r>
    </w:p>
    <w:p w14:paraId="28B59F09" w14:textId="77777777" w:rsidR="008D1C4B" w:rsidRDefault="008D1C4B"/>
    <w:p w14:paraId="5AA2F236" w14:textId="77777777" w:rsidR="008D1C4B" w:rsidRDefault="00017BB5">
      <w:pPr>
        <w:pStyle w:val="berschrift2"/>
      </w:pPr>
      <w:r>
        <w:rPr>
          <w:shd w:val="clear" w:color="auto" w:fill="FFFFFF"/>
          <w:lang w:eastAsia="en-GB"/>
        </w:rPr>
        <w:t xml:space="preserve">The 2030 Agenda is a universal, collective responsibility that covers all levels. To address policy challenges in a complex and interconnected world, policy coherence will be an important element </w:t>
      </w:r>
      <w:r>
        <w:rPr>
          <w:shd w:val="clear" w:color="auto" w:fill="FFFFFF"/>
          <w:lang w:eastAsia="en-GB"/>
        </w:rPr>
        <w:lastRenderedPageBreak/>
        <w:t xml:space="preserve">to reconcile and deliver economic, social and environmental transformations needed to achieve SDGs. </w:t>
      </w:r>
      <w:r>
        <w:rPr>
          <w:shd w:val="clear" w:color="auto" w:fill="FFFFFF"/>
        </w:rPr>
        <w:t xml:space="preserve">Integrated and coherent policies, supported by strong institutional mechanisms, can contribute to the transformation towards sustainable societies. </w:t>
      </w:r>
    </w:p>
    <w:p w14:paraId="3832E892" w14:textId="77777777" w:rsidR="008D1C4B" w:rsidRDefault="008D1C4B"/>
    <w:p w14:paraId="1410F28C" w14:textId="77777777" w:rsidR="008D1C4B" w:rsidRDefault="00017BB5">
      <w:pPr>
        <w:pStyle w:val="berschrift2"/>
      </w:pPr>
      <w:r>
        <w:t xml:space="preserve">"Leave no one behind" is a core principle of the SDGs – equity, human rights and gender equality are central to all the goals. Governments must ensure an enabling environment in which civil society engagement is possible and in which it can operate freely. </w:t>
      </w:r>
    </w:p>
    <w:p w14:paraId="69359F9A" w14:textId="77777777" w:rsidR="008D1C4B" w:rsidRDefault="008D1C4B"/>
    <w:p w14:paraId="4938C05F" w14:textId="77777777" w:rsidR="008D1C4B" w:rsidRDefault="00017BB5">
      <w:pPr>
        <w:pStyle w:val="berschrift2"/>
      </w:pPr>
      <w:r>
        <w:t>Culture constitutes another important aspect of sustainable development as mentioned in SDG target 4.7 (culture's contribution to sustainable development) or target 11.4 (need to safeguard the world's cultural and natural heritage).</w:t>
      </w:r>
    </w:p>
    <w:p w14:paraId="2138C5CB" w14:textId="77777777" w:rsidR="008D1C4B" w:rsidRDefault="008D1C4B"/>
    <w:p w14:paraId="1A08C8F3" w14:textId="77777777" w:rsidR="008D1C4B" w:rsidRDefault="00017BB5">
      <w:pPr>
        <w:pStyle w:val="berschrift2"/>
      </w:pPr>
      <w:r>
        <w:rPr>
          <w:lang w:eastAsia="hr-HR"/>
        </w:rPr>
        <w:t xml:space="preserve">In the process of transformation, there are risks, but also exceptional opportunities. It is important to link business opportunities with the development of sustainable solutions. </w:t>
      </w:r>
      <w:r>
        <w:t>Some priority areas are: climate change prevention, climate change adaptation, the circular economy, pollution prevention, sustainable use of water and marine resources, and healthy ecosystems.</w:t>
      </w:r>
    </w:p>
    <w:p w14:paraId="5E11E1B3" w14:textId="77777777" w:rsidR="008D1C4B" w:rsidRDefault="008D1C4B"/>
    <w:p w14:paraId="6F0C7E8B" w14:textId="77777777" w:rsidR="008D1C4B" w:rsidRDefault="00017BB5">
      <w:pPr>
        <w:pStyle w:val="berschrift2"/>
      </w:pPr>
      <w:r>
        <w:rPr>
          <w:lang w:eastAsia="hr-HR"/>
        </w:rPr>
        <w:t xml:space="preserve">Solidarity, the fight against inequality, a </w:t>
      </w:r>
      <w:r>
        <w:t>just society</w:t>
      </w:r>
      <w:r>
        <w:rPr>
          <w:lang w:eastAsia="hr-HR"/>
        </w:rPr>
        <w:t xml:space="preserve"> and protection of human rights should be high on the agenda of governments, as this is the only way that democratic and prosperous societies can be built in which young people will remain. The role of c</w:t>
      </w:r>
      <w:r>
        <w:rPr>
          <w:spacing w:val="8"/>
        </w:rPr>
        <w:t>ivil society as an implementer makes civic space essential to achieving the 2030 Agenda through a bottom-up approach.</w:t>
      </w:r>
    </w:p>
    <w:p w14:paraId="4D5F97A0" w14:textId="77777777" w:rsidR="008D1C4B" w:rsidRDefault="008D1C4B"/>
    <w:p w14:paraId="6748BC26" w14:textId="77777777" w:rsidR="008D1C4B" w:rsidRDefault="00017BB5">
      <w:pPr>
        <w:pStyle w:val="berschrift2"/>
      </w:pPr>
      <w:r>
        <w:rPr>
          <w:shd w:val="clear" w:color="auto" w:fill="FFFFFF"/>
        </w:rPr>
        <w:t xml:space="preserve">Regional cooperation, information exchange and policy coherence are fundamental and critical for achieving SDGs. This regional cooperation within the Mediterranean region should include the development of clean fuels like hydrogen. </w:t>
      </w:r>
      <w:r>
        <w:t xml:space="preserve">Greater efforts are needed to leverage private finance to implement the SDGs, mainly by creating a proactive business environment, under the rule of law and political stability. Assistance for eastern and southern countries should be provided through EU development aid and </w:t>
      </w:r>
      <w:proofErr w:type="spellStart"/>
      <w:r>
        <w:t>programmes</w:t>
      </w:r>
      <w:proofErr w:type="spellEnd"/>
      <w:r>
        <w:t>, both bilateral and regional, in order to address climate and environmental challenges, pressure on resources (with a focus on the pressure on water resources), inequalities and to strengthen governance, fight against corruption and ensure freedom of the media.</w:t>
      </w:r>
    </w:p>
    <w:p w14:paraId="6C66F4A3" w14:textId="77777777" w:rsidR="008D1C4B" w:rsidRDefault="008D1C4B">
      <w:pPr>
        <w:jc w:val="left"/>
        <w:rPr>
          <w:lang w:val="en-GB"/>
        </w:rPr>
      </w:pPr>
    </w:p>
    <w:p w14:paraId="23D0ED39" w14:textId="77777777" w:rsidR="008D1C4B" w:rsidRDefault="008D1C4B">
      <w:pPr>
        <w:jc w:val="center"/>
        <w:rPr>
          <w:lang w:val="en-GB"/>
        </w:rPr>
      </w:pPr>
    </w:p>
    <w:sectPr w:rsidR="008D1C4B">
      <w:headerReference w:type="even" r:id="rId55"/>
      <w:headerReference w:type="default" r:id="rId56"/>
      <w:footerReference w:type="even" r:id="rId57"/>
      <w:footerReference w:type="default" r:id="rId58"/>
      <w:headerReference w:type="first" r:id="rId59"/>
      <w:footerReference w:type="first" r:id="rId6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F91E8" w14:textId="77777777" w:rsidR="00FE2FFE" w:rsidRDefault="00FE2FFE">
      <w:r>
        <w:separator/>
      </w:r>
    </w:p>
  </w:endnote>
  <w:endnote w:type="continuationSeparator" w:id="0">
    <w:p w14:paraId="3B576B37" w14:textId="77777777" w:rsidR="00FE2FFE" w:rsidRDefault="00FE2FFE">
      <w:r>
        <w:continuationSeparator/>
      </w:r>
    </w:p>
  </w:endnote>
  <w:endnote w:type="continuationNotice" w:id="1">
    <w:p w14:paraId="0B519769" w14:textId="77777777" w:rsidR="00FE2FFE" w:rsidRDefault="00FE2F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FB21" w14:textId="77777777" w:rsidR="00255D1A" w:rsidRDefault="00255D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E5EE" w14:textId="27267914" w:rsidR="00255D1A" w:rsidRDefault="00255D1A">
    <w:pPr>
      <w:pStyle w:val="Fuzeile"/>
    </w:pPr>
    <w:r>
      <w:t xml:space="preserve">REX/606 – EESC-2025-01275-00-00-APA-TRA (EN) </w:t>
    </w:r>
    <w:r>
      <w:fldChar w:fldCharType="begin"/>
    </w:r>
    <w:r>
      <w:instrText xml:space="preserve"> PAGE  \* Arabic  \* MERGEFORMAT </w:instrText>
    </w:r>
    <w:r>
      <w:fldChar w:fldCharType="separate"/>
    </w:r>
    <w:r w:rsidR="00D213C8">
      <w:rPr>
        <w:noProof/>
      </w:rPr>
      <w:t>1</w:t>
    </w:r>
    <w:r>
      <w:fldChar w:fldCharType="end"/>
    </w:r>
    <w:r>
      <w:t>/</w:t>
    </w:r>
    <w:r>
      <w:fldChar w:fldCharType="begin"/>
    </w:r>
    <w:r>
      <w:instrText xml:space="preserve"> NUMPAGES </w:instrText>
    </w:r>
    <w:r>
      <w:fldChar w:fldCharType="separate"/>
    </w:r>
    <w:r w:rsidR="00D213C8">
      <w:rPr>
        <w:noProof/>
      </w:rP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3CEE" w14:textId="77777777" w:rsidR="00255D1A" w:rsidRDefault="00255D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712D" w14:textId="77777777" w:rsidR="00255D1A" w:rsidRDefault="00255D1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46B0" w14:textId="06160D34" w:rsidR="00255D1A" w:rsidRDefault="00255D1A">
    <w:pPr>
      <w:pStyle w:val="Fuzeile"/>
    </w:pPr>
    <w:r>
      <w:t xml:space="preserve">REX/606 – EESC-2025-01275-00-00-APA-TRA (EN) </w:t>
    </w:r>
    <w:r>
      <w:fldChar w:fldCharType="begin"/>
    </w:r>
    <w:r>
      <w:instrText xml:space="preserve"> PAGE  \* Arabic  \* MERGEFORMAT </w:instrText>
    </w:r>
    <w:r>
      <w:fldChar w:fldCharType="separate"/>
    </w:r>
    <w:r w:rsidR="00D213C8">
      <w:rPr>
        <w:noProof/>
      </w:rPr>
      <w:t>21</w:t>
    </w:r>
    <w:r>
      <w:fldChar w:fldCharType="end"/>
    </w:r>
    <w:r>
      <w:t>/</w:t>
    </w:r>
    <w:r>
      <w:fldChar w:fldCharType="begin"/>
    </w:r>
    <w:r>
      <w:instrText xml:space="preserve"> NUMPAGES </w:instrText>
    </w:r>
    <w:r>
      <w:fldChar w:fldCharType="separate"/>
    </w:r>
    <w:r w:rsidR="00D213C8">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4AC2" w14:textId="77777777" w:rsidR="00255D1A" w:rsidRDefault="00255D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EE5CB" w14:textId="77777777" w:rsidR="00FE2FFE" w:rsidRDefault="00FE2FFE">
      <w:r>
        <w:separator/>
      </w:r>
    </w:p>
  </w:footnote>
  <w:footnote w:type="continuationSeparator" w:id="0">
    <w:p w14:paraId="60A7A9A5" w14:textId="77777777" w:rsidR="00FE2FFE" w:rsidRDefault="00FE2FFE">
      <w:r>
        <w:continuationSeparator/>
      </w:r>
    </w:p>
  </w:footnote>
  <w:footnote w:type="continuationNotice" w:id="1">
    <w:p w14:paraId="5147BD15" w14:textId="77777777" w:rsidR="00FE2FFE" w:rsidRDefault="00FE2FFE">
      <w:pPr>
        <w:spacing w:line="240" w:lineRule="auto"/>
      </w:pPr>
    </w:p>
  </w:footnote>
  <w:footnote w:id="2">
    <w:p w14:paraId="7C6A3DE0" w14:textId="2C76AC37" w:rsidR="000744F0" w:rsidRPr="003125EA" w:rsidRDefault="000744F0">
      <w:pPr>
        <w:pStyle w:val="Funotentext"/>
        <w:rPr>
          <w:lang w:val="de-DE"/>
        </w:rPr>
      </w:pPr>
      <w:r>
        <w:rPr>
          <w:rStyle w:val="Funotenzeichen"/>
        </w:rPr>
        <w:footnoteRef/>
      </w:r>
      <w:r>
        <w:t xml:space="preserve"> </w:t>
      </w:r>
      <w:r w:rsidR="00A80978">
        <w:tab/>
      </w:r>
      <w:hyperlink r:id="rId1" w:history="1">
        <w:r w:rsidRPr="00156FA8">
          <w:rPr>
            <w:rStyle w:val="Hyperlink"/>
          </w:rPr>
          <w:t xml:space="preserve">EESC </w:t>
        </w:r>
        <w:r w:rsidRPr="00156FA8">
          <w:rPr>
            <w:rStyle w:val="Hyperlink"/>
            <w:lang w:val="de-DE"/>
          </w:rPr>
          <w:t>SOC/824</w:t>
        </w:r>
      </w:hyperlink>
    </w:p>
  </w:footnote>
  <w:footnote w:id="3">
    <w:p w14:paraId="38F7038F" w14:textId="6E6B26FF" w:rsidR="000744F0" w:rsidRPr="003125EA" w:rsidRDefault="000744F0">
      <w:pPr>
        <w:pStyle w:val="Funotentext"/>
        <w:rPr>
          <w:lang w:val="de-DE"/>
        </w:rPr>
      </w:pPr>
      <w:r>
        <w:rPr>
          <w:rStyle w:val="Funotenzeichen"/>
        </w:rPr>
        <w:footnoteRef/>
      </w:r>
      <w:r>
        <w:t xml:space="preserve"> </w:t>
      </w:r>
      <w:r w:rsidR="00A80978">
        <w:tab/>
      </w:r>
      <w:hyperlink r:id="rId2" w:history="1">
        <w:r w:rsidRPr="00156FA8">
          <w:rPr>
            <w:rStyle w:val="Hyperlink"/>
            <w:lang w:val="de-DE"/>
          </w:rPr>
          <w:t>EESC REX/604</w:t>
        </w:r>
      </w:hyperlink>
    </w:p>
  </w:footnote>
  <w:footnote w:id="4">
    <w:p w14:paraId="712E6FCA" w14:textId="7C254839" w:rsidR="00A80978" w:rsidRPr="003125EA" w:rsidRDefault="00A80978">
      <w:pPr>
        <w:pStyle w:val="Funotentext"/>
        <w:rPr>
          <w:lang w:val="de-DE"/>
        </w:rPr>
      </w:pPr>
      <w:r>
        <w:rPr>
          <w:rStyle w:val="Funotenzeichen"/>
        </w:rPr>
        <w:footnoteRef/>
      </w:r>
      <w:r>
        <w:t xml:space="preserve"> </w:t>
      </w:r>
      <w:r>
        <w:rPr>
          <w:lang w:val="de-DE"/>
        </w:rPr>
        <w:tab/>
      </w:r>
      <w:hyperlink r:id="rId3" w:history="1">
        <w:r w:rsidRPr="00156FA8">
          <w:rPr>
            <w:rStyle w:val="Hyperlink"/>
            <w:lang w:val="de-DE"/>
          </w:rPr>
          <w:t>EESC REX/583</w:t>
        </w:r>
      </w:hyperlink>
      <w:r w:rsidRPr="00A80978">
        <w:rPr>
          <w:lang w:val="de-DE"/>
        </w:rPr>
        <w:t xml:space="preserve"> </w:t>
      </w:r>
    </w:p>
  </w:footnote>
  <w:footnote w:id="5">
    <w:p w14:paraId="0F4EEFBB" w14:textId="1CD10B34" w:rsidR="00255D1A" w:rsidRDefault="00255D1A">
      <w:pPr>
        <w:pStyle w:val="Funotentext"/>
      </w:pPr>
      <w:r>
        <w:rPr>
          <w:rStyle w:val="Funotenzeichen"/>
        </w:rPr>
        <w:footnoteRef/>
      </w:r>
      <w:r>
        <w:tab/>
      </w:r>
      <w:hyperlink r:id="rId4" w:history="1">
        <w:r>
          <w:rPr>
            <w:rStyle w:val="Hyperlink"/>
          </w:rPr>
          <w:t>Mission letter from Ursula von der Leyen to the Commissioner for the Mediterranean</w:t>
        </w:r>
      </w:hyperlink>
      <w:r>
        <w:t xml:space="preserve">, </w:t>
      </w:r>
      <w:hyperlink r:id="rId5" w:history="1">
        <w:r>
          <w:rPr>
            <w:rStyle w:val="Hyperlink"/>
          </w:rPr>
          <w:t xml:space="preserve">speech by Commissioner </w:t>
        </w:r>
        <w:proofErr w:type="spellStart"/>
        <w:r>
          <w:rPr>
            <w:rStyle w:val="Hyperlink"/>
          </w:rPr>
          <w:t>Dubravka</w:t>
        </w:r>
        <w:proofErr w:type="spellEnd"/>
        <w:r>
          <w:rPr>
            <w:rStyle w:val="Hyperlink"/>
          </w:rPr>
          <w:t xml:space="preserve"> </w:t>
        </w:r>
        <w:proofErr w:type="spellStart"/>
        <w:r>
          <w:rPr>
            <w:rStyle w:val="Hyperlink"/>
          </w:rPr>
          <w:t>Šuica</w:t>
        </w:r>
        <w:proofErr w:type="spellEnd"/>
        <w:r>
          <w:rPr>
            <w:rStyle w:val="Hyperlink"/>
          </w:rPr>
          <w:t xml:space="preserve"> at the Forum on the Future of the Mediterranean</w:t>
        </w:r>
      </w:hyperlink>
      <w:r>
        <w:t xml:space="preserve">, </w:t>
      </w:r>
      <w:proofErr w:type="spellStart"/>
      <w:r>
        <w:t>Ms</w:t>
      </w:r>
      <w:proofErr w:type="spellEnd"/>
      <w:r>
        <w:t> </w:t>
      </w:r>
      <w:proofErr w:type="spellStart"/>
      <w:r>
        <w:t>Šuica’s</w:t>
      </w:r>
      <w:proofErr w:type="spellEnd"/>
      <w:r>
        <w:t xml:space="preserve"> </w:t>
      </w:r>
      <w:hyperlink r:id="rId6" w:history="1">
        <w:r>
          <w:rPr>
            <w:rStyle w:val="Hyperlink"/>
          </w:rPr>
          <w:t>keynote speech</w:t>
        </w:r>
      </w:hyperlink>
      <w:r>
        <w:t xml:space="preserve"> for the EPP Group Study Days panel and the scoping paper </w:t>
      </w:r>
      <w:r w:rsidRPr="40B6CB60">
        <w:rPr>
          <w:i/>
          <w:iCs/>
        </w:rPr>
        <w:t>Towards the New Pact for the Mediterranean.</w:t>
      </w:r>
    </w:p>
  </w:footnote>
  <w:footnote w:id="6">
    <w:p w14:paraId="0FD34EB0" w14:textId="50295F78" w:rsidR="000744F0" w:rsidRPr="003125EA" w:rsidRDefault="000744F0">
      <w:pPr>
        <w:pStyle w:val="Funotentext"/>
      </w:pPr>
      <w:r>
        <w:rPr>
          <w:rStyle w:val="Funotenzeichen"/>
        </w:rPr>
        <w:footnoteRef/>
      </w:r>
      <w:r>
        <w:t xml:space="preserve"> </w:t>
      </w:r>
      <w:r w:rsidRPr="003125EA">
        <w:tab/>
      </w:r>
      <w:hyperlink r:id="rId7" w:history="1">
        <w:r w:rsidRPr="003125EA">
          <w:rPr>
            <w:rStyle w:val="Hyperlink"/>
          </w:rPr>
          <w:t>REX/604</w:t>
        </w:r>
      </w:hyperlink>
      <w:r w:rsidRPr="003125EA">
        <w:t xml:space="preserve">, </w:t>
      </w:r>
      <w:hyperlink r:id="rId8" w:history="1">
        <w:r w:rsidRPr="003125EA">
          <w:rPr>
            <w:rStyle w:val="Hyperlink"/>
          </w:rPr>
          <w:t>SOC/824</w:t>
        </w:r>
      </w:hyperlink>
      <w:r w:rsidRPr="003125EA">
        <w:t xml:space="preserve">, </w:t>
      </w:r>
      <w:hyperlink r:id="rId9" w:history="1">
        <w:r w:rsidRPr="003125EA">
          <w:rPr>
            <w:rStyle w:val="Hyperlink"/>
          </w:rPr>
          <w:t>REX/585</w:t>
        </w:r>
      </w:hyperlink>
      <w:r w:rsidRPr="003125EA">
        <w:t xml:space="preserve">, </w:t>
      </w:r>
      <w:hyperlink r:id="rId10" w:history="1">
        <w:r w:rsidRPr="003125EA">
          <w:rPr>
            <w:rStyle w:val="Hyperlink"/>
          </w:rPr>
          <w:t>REX/583</w:t>
        </w:r>
      </w:hyperlink>
      <w:r w:rsidRPr="003125EA">
        <w:t xml:space="preserve">, </w:t>
      </w:r>
      <w:hyperlink r:id="rId11" w:history="1">
        <w:r w:rsidRPr="003125EA">
          <w:rPr>
            <w:rStyle w:val="Hyperlink"/>
          </w:rPr>
          <w:t>REX/555</w:t>
        </w:r>
      </w:hyperlink>
      <w:r w:rsidRPr="003125EA">
        <w:t xml:space="preserve">, </w:t>
      </w:r>
      <w:hyperlink r:id="rId12" w:history="1">
        <w:r w:rsidRPr="003125EA">
          <w:rPr>
            <w:rStyle w:val="Hyperlink"/>
          </w:rPr>
          <w:t>REX/549</w:t>
        </w:r>
      </w:hyperlink>
      <w:r w:rsidRPr="003125EA">
        <w:t xml:space="preserve">, </w:t>
      </w:r>
      <w:hyperlink r:id="rId13" w:history="1">
        <w:r w:rsidRPr="003125EA">
          <w:rPr>
            <w:rStyle w:val="Hyperlink"/>
          </w:rPr>
          <w:t>REX/548</w:t>
        </w:r>
      </w:hyperlink>
      <w:r w:rsidRPr="003125EA">
        <w:t xml:space="preserve">, </w:t>
      </w:r>
      <w:hyperlink r:id="rId14" w:history="1">
        <w:r w:rsidRPr="003125EA">
          <w:rPr>
            <w:rStyle w:val="Hyperlink"/>
          </w:rPr>
          <w:t>REX/537</w:t>
        </w:r>
      </w:hyperlink>
      <w:r w:rsidRPr="003125EA">
        <w:t xml:space="preserve">, </w:t>
      </w:r>
      <w:hyperlink r:id="rId15" w:history="1">
        <w:r w:rsidRPr="003125EA">
          <w:rPr>
            <w:rStyle w:val="Hyperlink"/>
          </w:rPr>
          <w:t>REX/526</w:t>
        </w:r>
      </w:hyperlink>
      <w:bookmarkStart w:id="3" w:name="_GoBack"/>
      <w:bookmarkEnd w:id="3"/>
    </w:p>
  </w:footnote>
  <w:footnote w:id="7">
    <w:p w14:paraId="44C41490" w14:textId="77777777" w:rsidR="00255D1A" w:rsidRDefault="00255D1A">
      <w:pPr>
        <w:pStyle w:val="Funotentext"/>
      </w:pPr>
      <w:r>
        <w:rPr>
          <w:rStyle w:val="Funotenzeichen"/>
        </w:rPr>
        <w:footnoteRef/>
      </w:r>
      <w:r>
        <w:t xml:space="preserve"> </w:t>
      </w:r>
      <w:r>
        <w:tab/>
      </w:r>
      <w:hyperlink r:id="rId16" w:history="1">
        <w:r>
          <w:rPr>
            <w:rStyle w:val="Hyperlink"/>
          </w:rPr>
          <w:t>IMPROVING HUMAN RIGHTS-BASED GOVERNANCE OF INTERNATIONAL MIGRATION</w:t>
        </w:r>
      </w:hyperlink>
      <w:r>
        <w:t xml:space="preserve"> (see page 15).</w:t>
      </w:r>
    </w:p>
  </w:footnote>
  <w:footnote w:id="8">
    <w:p w14:paraId="3155C230" w14:textId="77777777" w:rsidR="00255D1A" w:rsidRDefault="00255D1A">
      <w:pPr>
        <w:pStyle w:val="Funotentext"/>
      </w:pPr>
      <w:r>
        <w:rPr>
          <w:rStyle w:val="Funotenzeichen"/>
        </w:rPr>
        <w:footnoteRef/>
      </w:r>
      <w:r>
        <w:t xml:space="preserve"> </w:t>
      </w:r>
      <w:r>
        <w:tab/>
      </w:r>
      <w:hyperlink r:id="rId17" w:anchor=":~:text=Definition(s),between%20two%20or%20more%20countries" w:history="1">
        <w:r>
          <w:rPr>
            <w:rStyle w:val="Hyperlink"/>
          </w:rPr>
          <w:t>Definition of circular migration</w:t>
        </w:r>
      </w:hyperlink>
      <w:r>
        <w:t>.</w:t>
      </w:r>
    </w:p>
  </w:footnote>
  <w:footnote w:id="9">
    <w:p w14:paraId="4207782A" w14:textId="77777777" w:rsidR="00255D1A" w:rsidRDefault="00255D1A">
      <w:pPr>
        <w:pStyle w:val="Funotentext"/>
      </w:pPr>
      <w:r>
        <w:rPr>
          <w:rStyle w:val="Funotenzeichen"/>
        </w:rPr>
        <w:footnoteRef/>
      </w:r>
      <w:r>
        <w:t xml:space="preserve"> </w:t>
      </w:r>
      <w:r>
        <w:tab/>
      </w:r>
      <w:hyperlink r:id="rId18" w:history="1">
        <w:r>
          <w:rPr>
            <w:rStyle w:val="Hyperlink"/>
          </w:rPr>
          <w:t>EC Talent Partnerships</w:t>
        </w:r>
      </w:hyperlink>
      <w:r>
        <w:t>.</w:t>
      </w:r>
    </w:p>
  </w:footnote>
  <w:footnote w:id="10">
    <w:p w14:paraId="3399BD19" w14:textId="77777777" w:rsidR="00255D1A" w:rsidRDefault="00255D1A">
      <w:pPr>
        <w:pStyle w:val="Funotentext"/>
      </w:pPr>
      <w:r>
        <w:rPr>
          <w:rStyle w:val="Funotenzeichen"/>
        </w:rPr>
        <w:footnoteRef/>
      </w:r>
      <w:r>
        <w:t xml:space="preserve"> </w:t>
      </w:r>
      <w:r>
        <w:tab/>
      </w:r>
      <w:hyperlink r:id="rId19" w:history="1">
        <w:proofErr w:type="gramStart"/>
        <w:r>
          <w:rPr>
            <w:rStyle w:val="Hyperlink"/>
          </w:rPr>
          <w:t>COM(</w:t>
        </w:r>
        <w:proofErr w:type="gramEnd"/>
        <w:r>
          <w:rPr>
            <w:rStyle w:val="Hyperlink"/>
          </w:rPr>
          <w:t>2025) 90 final</w:t>
        </w:r>
      </w:hyperlink>
      <w:r>
        <w:t>.</w:t>
      </w:r>
    </w:p>
  </w:footnote>
  <w:footnote w:id="11">
    <w:p w14:paraId="2BF839C1" w14:textId="77777777" w:rsidR="00255D1A" w:rsidRDefault="00255D1A">
      <w:pPr>
        <w:pStyle w:val="Funotentext"/>
      </w:pPr>
      <w:r>
        <w:rPr>
          <w:rStyle w:val="Funotenzeichen"/>
        </w:rPr>
        <w:footnoteRef/>
      </w:r>
      <w:r>
        <w:t xml:space="preserve"> </w:t>
      </w:r>
      <w:r>
        <w:tab/>
      </w:r>
      <w:hyperlink r:id="rId20" w:history="1">
        <w:r>
          <w:rPr>
            <w:rStyle w:val="Hyperlink"/>
          </w:rPr>
          <w:t>ILO General principles and operational guidelines for fair recruitment</w:t>
        </w:r>
      </w:hyperlink>
      <w:r>
        <w:t>.</w:t>
      </w:r>
    </w:p>
  </w:footnote>
  <w:footnote w:id="12">
    <w:p w14:paraId="6CCC7A80" w14:textId="77777777" w:rsidR="00255D1A" w:rsidRDefault="00255D1A">
      <w:pPr>
        <w:pStyle w:val="Funotentext"/>
      </w:pPr>
      <w:r>
        <w:rPr>
          <w:rStyle w:val="Funotenzeichen"/>
        </w:rPr>
        <w:footnoteRef/>
      </w:r>
      <w:r>
        <w:t xml:space="preserve"> </w:t>
      </w:r>
      <w:r>
        <w:tab/>
      </w:r>
      <w:hyperlink r:id="rId21" w:history="1">
        <w:r>
          <w:rPr>
            <w:rStyle w:val="Hyperlink"/>
          </w:rPr>
          <w:t>ILO Fair Recruitment Initiative</w:t>
        </w:r>
      </w:hyperlink>
      <w:r>
        <w:t>.</w:t>
      </w:r>
    </w:p>
  </w:footnote>
  <w:footnote w:id="13">
    <w:p w14:paraId="7B847516" w14:textId="77777777" w:rsidR="00255D1A" w:rsidRDefault="00255D1A">
      <w:pPr>
        <w:pStyle w:val="Funotentext"/>
      </w:pPr>
      <w:r>
        <w:rPr>
          <w:rStyle w:val="Funotenzeichen"/>
        </w:rPr>
        <w:footnoteRef/>
      </w:r>
      <w:r>
        <w:t xml:space="preserve"> </w:t>
      </w:r>
      <w:r>
        <w:tab/>
      </w:r>
      <w:hyperlink r:id="rId22" w:history="1">
        <w:r>
          <w:rPr>
            <w:rStyle w:val="Hyperlink"/>
          </w:rPr>
          <w:t>World Employment Confederation Code of Conduct</w:t>
        </w:r>
      </w:hyperlink>
      <w:r>
        <w:t>.</w:t>
      </w:r>
    </w:p>
  </w:footnote>
  <w:footnote w:id="14">
    <w:p w14:paraId="238CBF1C" w14:textId="77777777" w:rsidR="00255D1A" w:rsidRDefault="00255D1A">
      <w:pPr>
        <w:pStyle w:val="Funotentext"/>
        <w:rPr>
          <w:lang w:val="fi-FI"/>
        </w:rPr>
      </w:pPr>
      <w:r>
        <w:rPr>
          <w:rStyle w:val="Funotenzeichen"/>
        </w:rPr>
        <w:footnoteRef/>
      </w:r>
      <w:r>
        <w:rPr>
          <w:lang w:val="fi-FI"/>
        </w:rPr>
        <w:t xml:space="preserve"> </w:t>
      </w:r>
      <w:r>
        <w:rPr>
          <w:lang w:val="fi-FI"/>
        </w:rPr>
        <w:tab/>
        <w:t xml:space="preserve">OJ C, C/2023/862, 8.12.2023, ELI: </w:t>
      </w:r>
      <w:hyperlink r:id="rId23" w:history="1">
        <w:r>
          <w:rPr>
            <w:rStyle w:val="Hyperlink"/>
            <w:lang w:val="fi-FI"/>
          </w:rPr>
          <w:t>http://data.europa.eu/eli/C/2023/862/oj</w:t>
        </w:r>
      </w:hyperlink>
      <w:r>
        <w:rPr>
          <w:lang w:val="fi-FI"/>
        </w:rPr>
        <w:t>.</w:t>
      </w:r>
    </w:p>
  </w:footnote>
  <w:footnote w:id="15">
    <w:p w14:paraId="698C6139" w14:textId="77777777" w:rsidR="00255D1A" w:rsidRDefault="00255D1A">
      <w:pPr>
        <w:pStyle w:val="Funotentext"/>
      </w:pPr>
      <w:r>
        <w:rPr>
          <w:rStyle w:val="Funotenzeichen"/>
        </w:rPr>
        <w:footnoteRef/>
      </w:r>
      <w:r>
        <w:t xml:space="preserve"> </w:t>
      </w:r>
      <w:r>
        <w:tab/>
      </w:r>
      <w:proofErr w:type="spellStart"/>
      <w:r>
        <w:t>Ms</w:t>
      </w:r>
      <w:proofErr w:type="spellEnd"/>
      <w:r>
        <w:t xml:space="preserve"> von der </w:t>
      </w:r>
      <w:proofErr w:type="spellStart"/>
      <w:r>
        <w:t>Leyen</w:t>
      </w:r>
      <w:proofErr w:type="spellEnd"/>
      <w:r>
        <w:t xml:space="preserve"> Political Guidelines, July 2024.</w:t>
      </w:r>
    </w:p>
  </w:footnote>
  <w:footnote w:id="16">
    <w:p w14:paraId="497AAF8F" w14:textId="450BCC21" w:rsidR="00255D1A" w:rsidRDefault="00255D1A">
      <w:pPr>
        <w:pStyle w:val="Funotentext"/>
      </w:pPr>
      <w:r>
        <w:rPr>
          <w:rStyle w:val="Funotenzeichen"/>
        </w:rPr>
        <w:footnoteRef/>
      </w:r>
      <w:r>
        <w:t xml:space="preserve"> </w:t>
      </w:r>
      <w:r>
        <w:tab/>
        <w:t xml:space="preserve">For example, European Citizens’ Initiative for a Water-Smart and Resilient Europe: </w:t>
      </w:r>
      <w:hyperlink r:id="rId24" w:history="1">
        <w:r>
          <w:rPr>
            <w:rStyle w:val="Hyperlink"/>
          </w:rPr>
          <w:t>https://citizens-initiative.europa.eu/initiatives/details/2024/000010_en</w:t>
        </w:r>
      </w:hyperlink>
      <w:r>
        <w:t>.</w:t>
      </w:r>
    </w:p>
  </w:footnote>
  <w:footnote w:id="17">
    <w:p w14:paraId="02ADD15A" w14:textId="77777777" w:rsidR="00255D1A" w:rsidRDefault="00255D1A">
      <w:pPr>
        <w:pStyle w:val="Funotentext"/>
      </w:pPr>
      <w:r>
        <w:rPr>
          <w:rStyle w:val="Funotenzeichen"/>
        </w:rPr>
        <w:footnoteRef/>
      </w:r>
      <w:r>
        <w:t xml:space="preserve"> </w:t>
      </w:r>
      <w:r>
        <w:tab/>
        <w:t xml:space="preserve">UWASNET in Uganda is a good example - </w:t>
      </w:r>
      <w:hyperlink r:id="rId25" w:history="1">
        <w:r>
          <w:rPr>
            <w:rStyle w:val="Hyperlink"/>
          </w:rPr>
          <w:t>https://uwasnet.org/</w:t>
        </w:r>
      </w:hyperlink>
      <w:r>
        <w:t>.</w:t>
      </w:r>
    </w:p>
  </w:footnote>
  <w:footnote w:id="18">
    <w:p w14:paraId="61451959" w14:textId="70A2EF3E" w:rsidR="00255D1A" w:rsidRDefault="00255D1A">
      <w:pPr>
        <w:pStyle w:val="Funotentext"/>
      </w:pPr>
      <w:r>
        <w:rPr>
          <w:rStyle w:val="Funotenzeichen"/>
        </w:rPr>
        <w:footnoteRef/>
      </w:r>
      <w:r>
        <w:t xml:space="preserve"> </w:t>
      </w:r>
      <w:r>
        <w:tab/>
        <w:t xml:space="preserve">The Convention on Wetlands, created in 1971 and joined by 172 countries across the world, also contributes to vulnerable groups empowerment: </w:t>
      </w:r>
      <w:hyperlink r:id="rId26" w:history="1">
        <w:r>
          <w:rPr>
            <w:rStyle w:val="Hyperlink"/>
          </w:rPr>
          <w:t>https://www.ramsar.org/news/empowering-women-restoring-wetlands-go-hand-hand</w:t>
        </w:r>
      </w:hyperlink>
      <w:r>
        <w:t>.</w:t>
      </w:r>
    </w:p>
  </w:footnote>
  <w:footnote w:id="19">
    <w:p w14:paraId="32EA5941" w14:textId="77777777" w:rsidR="00255D1A" w:rsidRDefault="00255D1A">
      <w:pPr>
        <w:ind w:left="567" w:hanging="567"/>
        <w:rPr>
          <w:sz w:val="16"/>
          <w:szCs w:val="16"/>
          <w:lang w:val="en-GB"/>
        </w:rPr>
      </w:pPr>
      <w:r>
        <w:rPr>
          <w:rStyle w:val="Funotenzeichen"/>
          <w:szCs w:val="24"/>
        </w:rPr>
        <w:footnoteRef/>
      </w:r>
      <w:r>
        <w:rPr>
          <w:sz w:val="18"/>
          <w:szCs w:val="18"/>
        </w:rPr>
        <w:tab/>
      </w:r>
      <w:r>
        <w:rPr>
          <w:bCs/>
          <w:sz w:val="16"/>
          <w:szCs w:val="16"/>
          <w:shd w:val="clear" w:color="auto" w:fill="FFFFFF"/>
          <w:lang w:val="en-GB"/>
        </w:rPr>
        <w:t>Middle East and North Africa.</w:t>
      </w:r>
    </w:p>
  </w:footnote>
  <w:footnote w:id="20">
    <w:p w14:paraId="636EEEFF" w14:textId="77777777" w:rsidR="00255D1A" w:rsidRDefault="00255D1A">
      <w:pPr>
        <w:pStyle w:val="Funotentext"/>
        <w:rPr>
          <w:lang w:val="en-GB"/>
        </w:rPr>
      </w:pPr>
      <w:r>
        <w:rPr>
          <w:rStyle w:val="Funotenzeichen"/>
          <w:szCs w:val="24"/>
          <w:lang w:val="en-GB"/>
        </w:rPr>
        <w:footnoteRef/>
      </w:r>
      <w:r>
        <w:rPr>
          <w:szCs w:val="16"/>
          <w:lang w:val="en-GB"/>
        </w:rPr>
        <w:tab/>
      </w:r>
      <w:hyperlink r:id="rId27" w:history="1">
        <w:r>
          <w:rPr>
            <w:rStyle w:val="Hyperlink"/>
            <w:lang w:val="en-GB"/>
          </w:rPr>
          <w:t>https://solidmed.eu/en</w:t>
        </w:r>
      </w:hyperlink>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3A5D" w14:textId="77777777" w:rsidR="00255D1A" w:rsidRDefault="00255D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A02D" w14:textId="2CC61AAF" w:rsidR="00255D1A" w:rsidRDefault="00255D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7C48" w14:textId="77777777" w:rsidR="00255D1A" w:rsidRDefault="00255D1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0372" w14:textId="77777777" w:rsidR="00255D1A" w:rsidRDefault="00255D1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F1D5" w14:textId="1170211E" w:rsidR="00255D1A" w:rsidRDefault="00255D1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EE21" w14:textId="77777777" w:rsidR="00255D1A" w:rsidRDefault="00255D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8AC6454"/>
    <w:lvl w:ilvl="0">
      <w:start w:val="1"/>
      <w:numFmt w:val="decimal"/>
      <w:pStyle w:val="berschrift1"/>
      <w:lvlText w:val="%1."/>
      <w:legacy w:legacy="1" w:legacySpace="0" w:legacyIndent="0"/>
      <w:lvlJc w:val="left"/>
      <w:rPr>
        <w:b w:val="0"/>
        <w:bCs w:val="0"/>
        <w:i w:val="0"/>
        <w:iCs/>
      </w:r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8804E7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927B31"/>
    <w:multiLevelType w:val="hybridMultilevel"/>
    <w:tmpl w:val="CBA643FA"/>
    <w:lvl w:ilvl="0" w:tplc="3E6037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7">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8">
    <w:abstractNumId w:val="0"/>
    <w:lvlOverride w:ilvl="0">
      <w:lvl w:ilvl="0">
        <w:start w:val="1"/>
        <w:numFmt w:val="decimal"/>
        <w:pStyle w:val="berschrift1"/>
        <w:lvlText w:val="%1."/>
        <w:legacy w:legacy="1" w:legacySpace="0" w:legacyIndent="0"/>
        <w:lvlJc w:val="left"/>
        <w:rPr>
          <w:b w:val="0"/>
        </w:rPr>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9">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0">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1">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5">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6">
    <w:abstractNumId w:val="0"/>
    <w:lvlOverride w:ilvl="0">
      <w:lvl w:ilvl="0">
        <w:start w:val="1"/>
        <w:numFmt w:val="decimal"/>
        <w:pStyle w:val="berschrift1"/>
        <w:lvlText w:val="%1."/>
        <w:legacy w:legacy="1" w:legacySpace="0" w:legacyIndent="0"/>
        <w:lvlJc w:val="left"/>
        <w:rPr>
          <w:b w:val="0"/>
        </w:rPr>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7">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8">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19">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0">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1">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5">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6">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7">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8">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29">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0">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1">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5">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6">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7">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8">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39">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0">
    <w:abstractNumId w:val="0"/>
    <w:lvlOverride w:ilvl="0">
      <w:lvl w:ilvl="0">
        <w:start w:val="1"/>
        <w:numFmt w:val="decimal"/>
        <w:pStyle w:val="berschrift1"/>
        <w:lvlText w:val="%1."/>
        <w:legacy w:legacy="1" w:legacySpace="0" w:legacyIndent="0"/>
        <w:lvlJc w:val="left"/>
        <w:rPr>
          <w:b w:val="0"/>
        </w:rPr>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1">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5">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6">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7">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8">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49">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0">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1">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5">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6">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7">
    <w:abstractNumId w:val="0"/>
    <w:lvlOverride w:ilvl="0">
      <w:lvl w:ilvl="0">
        <w:start w:val="1"/>
        <w:numFmt w:val="decimal"/>
        <w:pStyle w:val="berschrift1"/>
        <w:lvlText w:val="%1."/>
        <w:legacy w:legacy="1" w:legacySpace="0" w:legacyIndent="0"/>
        <w:lvlJc w:val="left"/>
        <w:rPr>
          <w:b w:val="0"/>
        </w:rPr>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8">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59">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0">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1">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2">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3">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4">
    <w:abstractNumId w:val="0"/>
    <w:lvlOverride w:ilvl="0">
      <w:lvl w:ilvl="0">
        <w:start w:val="1"/>
        <w:numFmt w:val="decimal"/>
        <w:pStyle w:val="berschrift1"/>
        <w:lvlText w:val="%1."/>
        <w:legacy w:legacy="1" w:legacySpace="0" w:legacyIndent="0"/>
        <w:lvlJc w:val="left"/>
      </w:lvl>
    </w:lvlOverride>
    <w:lvlOverride w:ilvl="1">
      <w:lvl w:ilvl="1">
        <w:start w:val="1"/>
        <w:numFmt w:val="decimal"/>
        <w:pStyle w:val="berschrift2"/>
        <w:lvlText w:val="%1.%2"/>
        <w:legacy w:legacy="1" w:legacySpace="144" w:legacyIndent="0"/>
        <w:lvlJc w:val="left"/>
      </w:lvl>
    </w:lvlOverride>
    <w:lvlOverride w:ilvl="2">
      <w:lvl w:ilvl="2">
        <w:start w:val="1"/>
        <w:numFmt w:val="decimal"/>
        <w:pStyle w:val="berschrift3"/>
        <w:lvlText w:val="%1.%2.%3"/>
        <w:legacy w:legacy="1" w:legacySpace="144" w:legacyIndent="0"/>
        <w:lvlJc w:val="left"/>
      </w:lvl>
    </w:lvlOverride>
    <w:lvlOverride w:ilvl="3">
      <w:lvl w:ilvl="3">
        <w:start w:val="1"/>
        <w:numFmt w:val="decimal"/>
        <w:pStyle w:val="berschrift4"/>
        <w:lvlText w:val="%1.%2.%3.%4"/>
        <w:legacy w:legacy="1" w:legacySpace="144" w:legacyIndent="0"/>
        <w:lvlJc w:val="left"/>
      </w:lvl>
    </w:lvlOverride>
    <w:lvlOverride w:ilvl="4">
      <w:lvl w:ilvl="4">
        <w:start w:val="1"/>
        <w:numFmt w:val="decimal"/>
        <w:pStyle w:val="berschrift5"/>
        <w:lvlText w:val="%1.%2.%3.%4.%5"/>
        <w:legacy w:legacy="1" w:legacySpace="144" w:legacyIndent="0"/>
        <w:lvlJc w:val="left"/>
      </w:lvl>
    </w:lvlOverride>
    <w:lvlOverride w:ilvl="5">
      <w:lvl w:ilvl="5">
        <w:start w:val="1"/>
        <w:numFmt w:val="decimal"/>
        <w:pStyle w:val="berschrift6"/>
        <w:lvlText w:val="%1.%2.%3.%4.%5.%6"/>
        <w:legacy w:legacy="1" w:legacySpace="144" w:legacyIndent="0"/>
        <w:lvlJc w:val="left"/>
      </w:lvl>
    </w:lvlOverride>
    <w:lvlOverride w:ilvl="6">
      <w:lvl w:ilvl="6">
        <w:start w:val="1"/>
        <w:numFmt w:val="decimal"/>
        <w:pStyle w:val="berschrift7"/>
        <w:lvlText w:val="%1.%2.%3.%4.%5.%6.%7"/>
        <w:legacy w:legacy="1" w:legacySpace="144" w:legacyIndent="0"/>
        <w:lvlJc w:val="left"/>
      </w:lvl>
    </w:lvlOverride>
    <w:lvlOverride w:ilvl="7">
      <w:lvl w:ilvl="7">
        <w:start w:val="1"/>
        <w:numFmt w:val="decimal"/>
        <w:pStyle w:val="berschrift8"/>
        <w:lvlText w:val="%1.%2.%3.%4.%5.%6.%7.%8"/>
        <w:legacy w:legacy="1" w:legacySpace="144" w:legacyIndent="0"/>
        <w:lvlJc w:val="left"/>
      </w:lvl>
    </w:lvlOverride>
    <w:lvlOverride w:ilvl="8">
      <w:lvl w:ilvl="8">
        <w:start w:val="1"/>
        <w:numFmt w:val="decimal"/>
        <w:pStyle w:val="berschrift9"/>
        <w:lvlText w:val="%1.%2.%3.%4.%5.%6.%7.%8.%9"/>
        <w:legacy w:legacy="1" w:legacySpace="144" w:legacyIndent="0"/>
        <w:lvlJc w:val="left"/>
      </w:lvl>
    </w:lvlOverride>
  </w:num>
  <w:num w:numId="65">
    <w:abstractNumId w:val="3"/>
  </w:num>
  <w:num w:numId="66">
    <w:abstractNumId w:val="0"/>
  </w:num>
  <w:num w:numId="67">
    <w:abstractNumId w:val="0"/>
  </w:num>
  <w:num w:numId="68">
    <w:abstractNumId w:val="0"/>
  </w:num>
  <w:num w:numId="69">
    <w:abstractNumId w:val="0"/>
  </w:num>
  <w:num w:numId="70">
    <w:abstractNumId w:val="0"/>
  </w:num>
  <w:num w:numId="71">
    <w:abstractNumId w:val="4"/>
  </w:num>
  <w:num w:numId="72">
    <w:abstractNumId w:val="2"/>
  </w:num>
  <w:num w:numId="73">
    <w:abstractNumId w:val="1"/>
  </w:num>
  <w:num w:numId="74">
    <w:abstractNumId w:val="0"/>
    <w:lvlOverride w:ilvl="0">
      <w:startOverride w:val="1"/>
    </w:lvlOverride>
    <w:lvlOverride w:ilvl="1">
      <w:startOverride w:val="21"/>
    </w:lvlOverride>
  </w:num>
  <w:num w:numId="75">
    <w:abstractNumId w:val="0"/>
    <w:lvlOverride w:ilvl="0">
      <w:startOverride w:val="1"/>
    </w:lvlOverride>
    <w:lvlOverride w:ilvl="1">
      <w:startOverride w:val="23"/>
    </w:lvlOverride>
  </w:num>
  <w:num w:numId="76">
    <w:abstractNumId w:val="0"/>
    <w:lvlOverride w:ilvl="0">
      <w:startOverride w:val="1"/>
    </w:lvlOverride>
    <w:lvlOverride w:ilvl="1">
      <w:startOverride w:val="22"/>
    </w:lvlOverride>
  </w:num>
  <w:num w:numId="77">
    <w:abstractNumId w:val="0"/>
  </w:num>
  <w:num w:numId="78">
    <w:abstractNumId w:val="0"/>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ctiveWritingStyle w:appName="MSWord" w:lang="fi-FI" w:vendorID="64" w:dllVersion="409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de-DE"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nl-B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A40"/>
    <w:rsid w:val="00011D33"/>
    <w:rsid w:val="00013001"/>
    <w:rsid w:val="00015C19"/>
    <w:rsid w:val="00017BB5"/>
    <w:rsid w:val="00020E6E"/>
    <w:rsid w:val="000250B9"/>
    <w:rsid w:val="00031A4B"/>
    <w:rsid w:val="00033913"/>
    <w:rsid w:val="00033E5B"/>
    <w:rsid w:val="000357A8"/>
    <w:rsid w:val="000430A6"/>
    <w:rsid w:val="00044923"/>
    <w:rsid w:val="00050142"/>
    <w:rsid w:val="00051189"/>
    <w:rsid w:val="0005249C"/>
    <w:rsid w:val="00052E73"/>
    <w:rsid w:val="00052F86"/>
    <w:rsid w:val="000534A5"/>
    <w:rsid w:val="000548BD"/>
    <w:rsid w:val="0005680D"/>
    <w:rsid w:val="00060C8C"/>
    <w:rsid w:val="00063FB4"/>
    <w:rsid w:val="000668F8"/>
    <w:rsid w:val="0006793E"/>
    <w:rsid w:val="00072E0F"/>
    <w:rsid w:val="000735E5"/>
    <w:rsid w:val="000737D5"/>
    <w:rsid w:val="0007392F"/>
    <w:rsid w:val="000744F0"/>
    <w:rsid w:val="00087B39"/>
    <w:rsid w:val="00096502"/>
    <w:rsid w:val="000A49BB"/>
    <w:rsid w:val="000B39E1"/>
    <w:rsid w:val="000B5C64"/>
    <w:rsid w:val="000C3441"/>
    <w:rsid w:val="000C3EB9"/>
    <w:rsid w:val="000C741C"/>
    <w:rsid w:val="000C7F53"/>
    <w:rsid w:val="000D0339"/>
    <w:rsid w:val="000D18EE"/>
    <w:rsid w:val="000D1B63"/>
    <w:rsid w:val="000D29A6"/>
    <w:rsid w:val="000D2F8E"/>
    <w:rsid w:val="000E26E2"/>
    <w:rsid w:val="000F17A2"/>
    <w:rsid w:val="000F196B"/>
    <w:rsid w:val="000F203A"/>
    <w:rsid w:val="000F296C"/>
    <w:rsid w:val="00105361"/>
    <w:rsid w:val="00106CBD"/>
    <w:rsid w:val="001101F8"/>
    <w:rsid w:val="0011206F"/>
    <w:rsid w:val="001137FE"/>
    <w:rsid w:val="0011656A"/>
    <w:rsid w:val="0012220C"/>
    <w:rsid w:val="00130C42"/>
    <w:rsid w:val="0013664F"/>
    <w:rsid w:val="00136EA3"/>
    <w:rsid w:val="00137575"/>
    <w:rsid w:val="0013780B"/>
    <w:rsid w:val="001415AE"/>
    <w:rsid w:val="00144231"/>
    <w:rsid w:val="00145DDE"/>
    <w:rsid w:val="00150434"/>
    <w:rsid w:val="00155721"/>
    <w:rsid w:val="001563F2"/>
    <w:rsid w:val="0015678B"/>
    <w:rsid w:val="00156FA8"/>
    <w:rsid w:val="00157F15"/>
    <w:rsid w:val="0016503F"/>
    <w:rsid w:val="0016674F"/>
    <w:rsid w:val="00167CA0"/>
    <w:rsid w:val="0017120D"/>
    <w:rsid w:val="001714F6"/>
    <w:rsid w:val="00174BC4"/>
    <w:rsid w:val="0017592C"/>
    <w:rsid w:val="00176168"/>
    <w:rsid w:val="00177158"/>
    <w:rsid w:val="001808A5"/>
    <w:rsid w:val="00184FD4"/>
    <w:rsid w:val="001851CB"/>
    <w:rsid w:val="00186788"/>
    <w:rsid w:val="00186B04"/>
    <w:rsid w:val="00186F1E"/>
    <w:rsid w:val="00190836"/>
    <w:rsid w:val="00193930"/>
    <w:rsid w:val="001963A5"/>
    <w:rsid w:val="00196F1E"/>
    <w:rsid w:val="00197FCA"/>
    <w:rsid w:val="001A1623"/>
    <w:rsid w:val="001A27DB"/>
    <w:rsid w:val="001A30DD"/>
    <w:rsid w:val="001A6852"/>
    <w:rsid w:val="001B286A"/>
    <w:rsid w:val="001B2D02"/>
    <w:rsid w:val="001B3647"/>
    <w:rsid w:val="001B77FA"/>
    <w:rsid w:val="001C0ABE"/>
    <w:rsid w:val="001C1408"/>
    <w:rsid w:val="001C5852"/>
    <w:rsid w:val="001D0D87"/>
    <w:rsid w:val="001D45F0"/>
    <w:rsid w:val="001E4A33"/>
    <w:rsid w:val="001E5C27"/>
    <w:rsid w:val="001F17E2"/>
    <w:rsid w:val="001F18A0"/>
    <w:rsid w:val="001F4076"/>
    <w:rsid w:val="001F602B"/>
    <w:rsid w:val="001F6AC8"/>
    <w:rsid w:val="00201C05"/>
    <w:rsid w:val="00202CAD"/>
    <w:rsid w:val="002037D5"/>
    <w:rsid w:val="00206F90"/>
    <w:rsid w:val="00212B03"/>
    <w:rsid w:val="002131AE"/>
    <w:rsid w:val="00215C10"/>
    <w:rsid w:val="00215C2D"/>
    <w:rsid w:val="002228C3"/>
    <w:rsid w:val="002252C4"/>
    <w:rsid w:val="0023183E"/>
    <w:rsid w:val="00232CC1"/>
    <w:rsid w:val="00235138"/>
    <w:rsid w:val="0023687C"/>
    <w:rsid w:val="00236F4B"/>
    <w:rsid w:val="00240622"/>
    <w:rsid w:val="00240CB9"/>
    <w:rsid w:val="00241802"/>
    <w:rsid w:val="00243E36"/>
    <w:rsid w:val="0024540B"/>
    <w:rsid w:val="00245EF4"/>
    <w:rsid w:val="00245FAF"/>
    <w:rsid w:val="0024786D"/>
    <w:rsid w:val="00250E11"/>
    <w:rsid w:val="00251383"/>
    <w:rsid w:val="002522C9"/>
    <w:rsid w:val="00252A21"/>
    <w:rsid w:val="00253E4F"/>
    <w:rsid w:val="002542E4"/>
    <w:rsid w:val="00255D1A"/>
    <w:rsid w:val="00260B65"/>
    <w:rsid w:val="00261053"/>
    <w:rsid w:val="00262FDE"/>
    <w:rsid w:val="00263629"/>
    <w:rsid w:val="002658C6"/>
    <w:rsid w:val="0027072E"/>
    <w:rsid w:val="0027339A"/>
    <w:rsid w:val="00274502"/>
    <w:rsid w:val="002769BD"/>
    <w:rsid w:val="00276A75"/>
    <w:rsid w:val="002809EA"/>
    <w:rsid w:val="00282595"/>
    <w:rsid w:val="002837FF"/>
    <w:rsid w:val="00284962"/>
    <w:rsid w:val="00285A44"/>
    <w:rsid w:val="00286677"/>
    <w:rsid w:val="00287B0E"/>
    <w:rsid w:val="00290518"/>
    <w:rsid w:val="002A0B53"/>
    <w:rsid w:val="002A0EEF"/>
    <w:rsid w:val="002A76F9"/>
    <w:rsid w:val="002B2DF7"/>
    <w:rsid w:val="002B3DF1"/>
    <w:rsid w:val="002B469E"/>
    <w:rsid w:val="002B6B5E"/>
    <w:rsid w:val="002C1DB1"/>
    <w:rsid w:val="002C1E3B"/>
    <w:rsid w:val="002C3BF4"/>
    <w:rsid w:val="002C5B4E"/>
    <w:rsid w:val="002C7098"/>
    <w:rsid w:val="002C7213"/>
    <w:rsid w:val="002C749F"/>
    <w:rsid w:val="002D0742"/>
    <w:rsid w:val="002D09AD"/>
    <w:rsid w:val="002E0560"/>
    <w:rsid w:val="002E2141"/>
    <w:rsid w:val="002E4173"/>
    <w:rsid w:val="002E7B33"/>
    <w:rsid w:val="002F059B"/>
    <w:rsid w:val="002F0952"/>
    <w:rsid w:val="002F5B0B"/>
    <w:rsid w:val="00300924"/>
    <w:rsid w:val="0030596E"/>
    <w:rsid w:val="003065DA"/>
    <w:rsid w:val="003073C3"/>
    <w:rsid w:val="003125EA"/>
    <w:rsid w:val="00313427"/>
    <w:rsid w:val="0031397F"/>
    <w:rsid w:val="0031445F"/>
    <w:rsid w:val="00317873"/>
    <w:rsid w:val="00323057"/>
    <w:rsid w:val="00323637"/>
    <w:rsid w:val="00324E8A"/>
    <w:rsid w:val="00325C4A"/>
    <w:rsid w:val="00331D87"/>
    <w:rsid w:val="00332850"/>
    <w:rsid w:val="00332DA6"/>
    <w:rsid w:val="00334478"/>
    <w:rsid w:val="003346B4"/>
    <w:rsid w:val="00334AE6"/>
    <w:rsid w:val="00334EE3"/>
    <w:rsid w:val="003365D0"/>
    <w:rsid w:val="00340F0E"/>
    <w:rsid w:val="003423F2"/>
    <w:rsid w:val="00342D4A"/>
    <w:rsid w:val="00343175"/>
    <w:rsid w:val="003439AB"/>
    <w:rsid w:val="0035034C"/>
    <w:rsid w:val="00352AB1"/>
    <w:rsid w:val="00354695"/>
    <w:rsid w:val="0035549B"/>
    <w:rsid w:val="00363CD0"/>
    <w:rsid w:val="00365B84"/>
    <w:rsid w:val="00367738"/>
    <w:rsid w:val="00373804"/>
    <w:rsid w:val="003755C8"/>
    <w:rsid w:val="00375687"/>
    <w:rsid w:val="00380AE0"/>
    <w:rsid w:val="00383324"/>
    <w:rsid w:val="00387A75"/>
    <w:rsid w:val="003904FD"/>
    <w:rsid w:val="00392331"/>
    <w:rsid w:val="00394254"/>
    <w:rsid w:val="003A46CF"/>
    <w:rsid w:val="003A7F3F"/>
    <w:rsid w:val="003B0669"/>
    <w:rsid w:val="003B0C32"/>
    <w:rsid w:val="003B3451"/>
    <w:rsid w:val="003C107C"/>
    <w:rsid w:val="003C10AD"/>
    <w:rsid w:val="003C2BFB"/>
    <w:rsid w:val="003C2E45"/>
    <w:rsid w:val="003C436B"/>
    <w:rsid w:val="003C5337"/>
    <w:rsid w:val="003C5E05"/>
    <w:rsid w:val="003C5F92"/>
    <w:rsid w:val="003D27BD"/>
    <w:rsid w:val="003D3B8C"/>
    <w:rsid w:val="003D7A8C"/>
    <w:rsid w:val="003D7C00"/>
    <w:rsid w:val="003E1BD4"/>
    <w:rsid w:val="003E2D16"/>
    <w:rsid w:val="003E4AAC"/>
    <w:rsid w:val="003E56E5"/>
    <w:rsid w:val="003E7E60"/>
    <w:rsid w:val="003F00D4"/>
    <w:rsid w:val="003F2209"/>
    <w:rsid w:val="003F3D39"/>
    <w:rsid w:val="003F646A"/>
    <w:rsid w:val="003F6761"/>
    <w:rsid w:val="003F6A0A"/>
    <w:rsid w:val="004024F5"/>
    <w:rsid w:val="00402DE1"/>
    <w:rsid w:val="00403D8B"/>
    <w:rsid w:val="00404105"/>
    <w:rsid w:val="00405204"/>
    <w:rsid w:val="004058F1"/>
    <w:rsid w:val="00407E7D"/>
    <w:rsid w:val="00407E95"/>
    <w:rsid w:val="0041283D"/>
    <w:rsid w:val="00413AB4"/>
    <w:rsid w:val="00421373"/>
    <w:rsid w:val="00421FB7"/>
    <w:rsid w:val="0042763B"/>
    <w:rsid w:val="0043024C"/>
    <w:rsid w:val="00436706"/>
    <w:rsid w:val="00440569"/>
    <w:rsid w:val="00443D38"/>
    <w:rsid w:val="00445681"/>
    <w:rsid w:val="00450E7A"/>
    <w:rsid w:val="00456AF8"/>
    <w:rsid w:val="00466663"/>
    <w:rsid w:val="00470B15"/>
    <w:rsid w:val="00475869"/>
    <w:rsid w:val="00475A77"/>
    <w:rsid w:val="0048601C"/>
    <w:rsid w:val="004866A9"/>
    <w:rsid w:val="0048754F"/>
    <w:rsid w:val="004920D5"/>
    <w:rsid w:val="00492774"/>
    <w:rsid w:val="00493D37"/>
    <w:rsid w:val="00494040"/>
    <w:rsid w:val="00496D7A"/>
    <w:rsid w:val="004A012B"/>
    <w:rsid w:val="004A31BC"/>
    <w:rsid w:val="004A3F1A"/>
    <w:rsid w:val="004A3F45"/>
    <w:rsid w:val="004A5738"/>
    <w:rsid w:val="004B1AFA"/>
    <w:rsid w:val="004B7088"/>
    <w:rsid w:val="004C1C12"/>
    <w:rsid w:val="004C4D12"/>
    <w:rsid w:val="004C5B76"/>
    <w:rsid w:val="004C5C2F"/>
    <w:rsid w:val="004C6B01"/>
    <w:rsid w:val="004D02CD"/>
    <w:rsid w:val="004D0B24"/>
    <w:rsid w:val="004D0C7E"/>
    <w:rsid w:val="004D155F"/>
    <w:rsid w:val="004D4B90"/>
    <w:rsid w:val="004D5C18"/>
    <w:rsid w:val="004D63CE"/>
    <w:rsid w:val="004D6B95"/>
    <w:rsid w:val="004D7F41"/>
    <w:rsid w:val="004E03A2"/>
    <w:rsid w:val="004E317E"/>
    <w:rsid w:val="004E3954"/>
    <w:rsid w:val="004E556F"/>
    <w:rsid w:val="004E5856"/>
    <w:rsid w:val="004F2330"/>
    <w:rsid w:val="004F53C6"/>
    <w:rsid w:val="004F55C6"/>
    <w:rsid w:val="004F69DB"/>
    <w:rsid w:val="004F6A2E"/>
    <w:rsid w:val="004F6B87"/>
    <w:rsid w:val="00501A20"/>
    <w:rsid w:val="00501C2D"/>
    <w:rsid w:val="00501EA7"/>
    <w:rsid w:val="00502637"/>
    <w:rsid w:val="00505120"/>
    <w:rsid w:val="00510613"/>
    <w:rsid w:val="00511140"/>
    <w:rsid w:val="005127C1"/>
    <w:rsid w:val="00513CFE"/>
    <w:rsid w:val="00513F57"/>
    <w:rsid w:val="0051476F"/>
    <w:rsid w:val="0052231E"/>
    <w:rsid w:val="00523B6A"/>
    <w:rsid w:val="005259E6"/>
    <w:rsid w:val="00525F6C"/>
    <w:rsid w:val="0052782E"/>
    <w:rsid w:val="00533C04"/>
    <w:rsid w:val="00546AB4"/>
    <w:rsid w:val="005514E5"/>
    <w:rsid w:val="00557B40"/>
    <w:rsid w:val="00557F72"/>
    <w:rsid w:val="00563C84"/>
    <w:rsid w:val="00564596"/>
    <w:rsid w:val="00565317"/>
    <w:rsid w:val="0056725E"/>
    <w:rsid w:val="005733B3"/>
    <w:rsid w:val="005753CC"/>
    <w:rsid w:val="005761EA"/>
    <w:rsid w:val="005762F6"/>
    <w:rsid w:val="0058321A"/>
    <w:rsid w:val="005837FE"/>
    <w:rsid w:val="00584FBE"/>
    <w:rsid w:val="00585483"/>
    <w:rsid w:val="00585566"/>
    <w:rsid w:val="00587378"/>
    <w:rsid w:val="00587C05"/>
    <w:rsid w:val="00590AAB"/>
    <w:rsid w:val="005933E3"/>
    <w:rsid w:val="005938C3"/>
    <w:rsid w:val="0059468C"/>
    <w:rsid w:val="00595125"/>
    <w:rsid w:val="00596F21"/>
    <w:rsid w:val="005B1CDD"/>
    <w:rsid w:val="005B1E19"/>
    <w:rsid w:val="005B55FC"/>
    <w:rsid w:val="005B752F"/>
    <w:rsid w:val="005C0169"/>
    <w:rsid w:val="005C2D5E"/>
    <w:rsid w:val="005C3B81"/>
    <w:rsid w:val="005C650C"/>
    <w:rsid w:val="005D086C"/>
    <w:rsid w:val="005D11D3"/>
    <w:rsid w:val="005D2396"/>
    <w:rsid w:val="005D489A"/>
    <w:rsid w:val="005D4E1F"/>
    <w:rsid w:val="005D4FB3"/>
    <w:rsid w:val="005D53E4"/>
    <w:rsid w:val="005D5EF8"/>
    <w:rsid w:val="005E2F07"/>
    <w:rsid w:val="005E2FEA"/>
    <w:rsid w:val="005E38DF"/>
    <w:rsid w:val="005E3B3E"/>
    <w:rsid w:val="005E748B"/>
    <w:rsid w:val="005F314B"/>
    <w:rsid w:val="005F41A0"/>
    <w:rsid w:val="005F486B"/>
    <w:rsid w:val="006004C4"/>
    <w:rsid w:val="006016BD"/>
    <w:rsid w:val="00611AF2"/>
    <w:rsid w:val="0061212B"/>
    <w:rsid w:val="006127AF"/>
    <w:rsid w:val="006131C2"/>
    <w:rsid w:val="00613A98"/>
    <w:rsid w:val="00615FB2"/>
    <w:rsid w:val="006178CD"/>
    <w:rsid w:val="00617BD1"/>
    <w:rsid w:val="00617CE8"/>
    <w:rsid w:val="006228AF"/>
    <w:rsid w:val="006277EA"/>
    <w:rsid w:val="006278A0"/>
    <w:rsid w:val="0063095F"/>
    <w:rsid w:val="00631CBD"/>
    <w:rsid w:val="0063704F"/>
    <w:rsid w:val="00641B1F"/>
    <w:rsid w:val="00644430"/>
    <w:rsid w:val="00646AC2"/>
    <w:rsid w:val="00650390"/>
    <w:rsid w:val="00651482"/>
    <w:rsid w:val="006520A8"/>
    <w:rsid w:val="0065362A"/>
    <w:rsid w:val="0065440C"/>
    <w:rsid w:val="00654DAB"/>
    <w:rsid w:val="0065791F"/>
    <w:rsid w:val="006579DF"/>
    <w:rsid w:val="00661E1C"/>
    <w:rsid w:val="0066204A"/>
    <w:rsid w:val="00662817"/>
    <w:rsid w:val="00662E21"/>
    <w:rsid w:val="00662F74"/>
    <w:rsid w:val="00663290"/>
    <w:rsid w:val="00670E3C"/>
    <w:rsid w:val="006738A3"/>
    <w:rsid w:val="006748D7"/>
    <w:rsid w:val="00677F57"/>
    <w:rsid w:val="00681088"/>
    <w:rsid w:val="00684485"/>
    <w:rsid w:val="0069519D"/>
    <w:rsid w:val="0069577E"/>
    <w:rsid w:val="0069634B"/>
    <w:rsid w:val="00696623"/>
    <w:rsid w:val="006A0154"/>
    <w:rsid w:val="006A04E9"/>
    <w:rsid w:val="006A4A03"/>
    <w:rsid w:val="006A610D"/>
    <w:rsid w:val="006A6282"/>
    <w:rsid w:val="006A7543"/>
    <w:rsid w:val="006A76A0"/>
    <w:rsid w:val="006B725C"/>
    <w:rsid w:val="006C06B4"/>
    <w:rsid w:val="006C273D"/>
    <w:rsid w:val="006C27B9"/>
    <w:rsid w:val="006C5C4F"/>
    <w:rsid w:val="006C6282"/>
    <w:rsid w:val="006C762A"/>
    <w:rsid w:val="006C76EA"/>
    <w:rsid w:val="006D3D72"/>
    <w:rsid w:val="006D5FF9"/>
    <w:rsid w:val="006D6B9A"/>
    <w:rsid w:val="006E0772"/>
    <w:rsid w:val="006E0F86"/>
    <w:rsid w:val="006E1B99"/>
    <w:rsid w:val="006F0B15"/>
    <w:rsid w:val="006F0DCC"/>
    <w:rsid w:val="006F2D51"/>
    <w:rsid w:val="006F447C"/>
    <w:rsid w:val="006F7BFE"/>
    <w:rsid w:val="007020A0"/>
    <w:rsid w:val="00703D24"/>
    <w:rsid w:val="00703DF9"/>
    <w:rsid w:val="007048EB"/>
    <w:rsid w:val="00704FBB"/>
    <w:rsid w:val="0070726A"/>
    <w:rsid w:val="0071226B"/>
    <w:rsid w:val="007129BC"/>
    <w:rsid w:val="00717040"/>
    <w:rsid w:val="00724958"/>
    <w:rsid w:val="00732C3A"/>
    <w:rsid w:val="007364BF"/>
    <w:rsid w:val="00741377"/>
    <w:rsid w:val="00742277"/>
    <w:rsid w:val="00746E64"/>
    <w:rsid w:val="007515D8"/>
    <w:rsid w:val="007532AB"/>
    <w:rsid w:val="00756FFC"/>
    <w:rsid w:val="007622A7"/>
    <w:rsid w:val="00762E31"/>
    <w:rsid w:val="00765073"/>
    <w:rsid w:val="00770ACA"/>
    <w:rsid w:val="0077504E"/>
    <w:rsid w:val="007750A2"/>
    <w:rsid w:val="007754A8"/>
    <w:rsid w:val="007817D6"/>
    <w:rsid w:val="00781996"/>
    <w:rsid w:val="00781E1C"/>
    <w:rsid w:val="00787912"/>
    <w:rsid w:val="0079177A"/>
    <w:rsid w:val="00794836"/>
    <w:rsid w:val="007948D5"/>
    <w:rsid w:val="007976E7"/>
    <w:rsid w:val="007A15C9"/>
    <w:rsid w:val="007A4923"/>
    <w:rsid w:val="007A6676"/>
    <w:rsid w:val="007B7FF5"/>
    <w:rsid w:val="007C3FC6"/>
    <w:rsid w:val="007D2CE9"/>
    <w:rsid w:val="007D4FED"/>
    <w:rsid w:val="007D54C2"/>
    <w:rsid w:val="007D63A4"/>
    <w:rsid w:val="007D69DA"/>
    <w:rsid w:val="007D6D25"/>
    <w:rsid w:val="007D70B1"/>
    <w:rsid w:val="007D7140"/>
    <w:rsid w:val="007E1C73"/>
    <w:rsid w:val="007E1CDB"/>
    <w:rsid w:val="007E408C"/>
    <w:rsid w:val="007E50BF"/>
    <w:rsid w:val="007E6FB0"/>
    <w:rsid w:val="007E7E21"/>
    <w:rsid w:val="007F0460"/>
    <w:rsid w:val="007F0DA2"/>
    <w:rsid w:val="007F1441"/>
    <w:rsid w:val="007F3939"/>
    <w:rsid w:val="007F39CE"/>
    <w:rsid w:val="007F5E0D"/>
    <w:rsid w:val="00801085"/>
    <w:rsid w:val="00801A89"/>
    <w:rsid w:val="00804457"/>
    <w:rsid w:val="00805376"/>
    <w:rsid w:val="00812061"/>
    <w:rsid w:val="00812138"/>
    <w:rsid w:val="00814703"/>
    <w:rsid w:val="008151F2"/>
    <w:rsid w:val="0081777A"/>
    <w:rsid w:val="008210E0"/>
    <w:rsid w:val="00824079"/>
    <w:rsid w:val="00825549"/>
    <w:rsid w:val="0082622B"/>
    <w:rsid w:val="008278B6"/>
    <w:rsid w:val="00831F0A"/>
    <w:rsid w:val="008328EC"/>
    <w:rsid w:val="00833A78"/>
    <w:rsid w:val="00841E46"/>
    <w:rsid w:val="008427C9"/>
    <w:rsid w:val="0084585F"/>
    <w:rsid w:val="0084709A"/>
    <w:rsid w:val="00853E53"/>
    <w:rsid w:val="0085535C"/>
    <w:rsid w:val="0085550B"/>
    <w:rsid w:val="00862683"/>
    <w:rsid w:val="00863E08"/>
    <w:rsid w:val="00864D76"/>
    <w:rsid w:val="008656C9"/>
    <w:rsid w:val="0086711C"/>
    <w:rsid w:val="00867535"/>
    <w:rsid w:val="00875869"/>
    <w:rsid w:val="00875C5B"/>
    <w:rsid w:val="0088041C"/>
    <w:rsid w:val="00883C5F"/>
    <w:rsid w:val="0089102A"/>
    <w:rsid w:val="00891C7D"/>
    <w:rsid w:val="00892477"/>
    <w:rsid w:val="00892FA7"/>
    <w:rsid w:val="00893A95"/>
    <w:rsid w:val="00893C17"/>
    <w:rsid w:val="00894E35"/>
    <w:rsid w:val="00895469"/>
    <w:rsid w:val="00896A9C"/>
    <w:rsid w:val="008A3301"/>
    <w:rsid w:val="008A4DF1"/>
    <w:rsid w:val="008A5636"/>
    <w:rsid w:val="008A6076"/>
    <w:rsid w:val="008A78DB"/>
    <w:rsid w:val="008B125E"/>
    <w:rsid w:val="008B20EB"/>
    <w:rsid w:val="008B241C"/>
    <w:rsid w:val="008B408B"/>
    <w:rsid w:val="008B4CD9"/>
    <w:rsid w:val="008B4F11"/>
    <w:rsid w:val="008B5167"/>
    <w:rsid w:val="008B551E"/>
    <w:rsid w:val="008B5640"/>
    <w:rsid w:val="008C2362"/>
    <w:rsid w:val="008C3049"/>
    <w:rsid w:val="008C4695"/>
    <w:rsid w:val="008C4B6D"/>
    <w:rsid w:val="008C658A"/>
    <w:rsid w:val="008C74D9"/>
    <w:rsid w:val="008D0D04"/>
    <w:rsid w:val="008D14CB"/>
    <w:rsid w:val="008D1C4B"/>
    <w:rsid w:val="008D2871"/>
    <w:rsid w:val="008D47AB"/>
    <w:rsid w:val="008D4AE9"/>
    <w:rsid w:val="008D5CF3"/>
    <w:rsid w:val="008D64BB"/>
    <w:rsid w:val="008D7D39"/>
    <w:rsid w:val="008E0E7C"/>
    <w:rsid w:val="008E4574"/>
    <w:rsid w:val="008F1D24"/>
    <w:rsid w:val="008F1D82"/>
    <w:rsid w:val="008F4016"/>
    <w:rsid w:val="008F42FE"/>
    <w:rsid w:val="008F4A00"/>
    <w:rsid w:val="008F5402"/>
    <w:rsid w:val="008F639F"/>
    <w:rsid w:val="008F782E"/>
    <w:rsid w:val="0090053A"/>
    <w:rsid w:val="00900B5A"/>
    <w:rsid w:val="00901C2A"/>
    <w:rsid w:val="009023AC"/>
    <w:rsid w:val="00903891"/>
    <w:rsid w:val="00904A31"/>
    <w:rsid w:val="00904C16"/>
    <w:rsid w:val="00905BB0"/>
    <w:rsid w:val="00906AAC"/>
    <w:rsid w:val="009118C7"/>
    <w:rsid w:val="00914CE4"/>
    <w:rsid w:val="00914D2A"/>
    <w:rsid w:val="00917A63"/>
    <w:rsid w:val="00920BA1"/>
    <w:rsid w:val="00921700"/>
    <w:rsid w:val="009225B6"/>
    <w:rsid w:val="00923E26"/>
    <w:rsid w:val="00925397"/>
    <w:rsid w:val="00933A21"/>
    <w:rsid w:val="00933C85"/>
    <w:rsid w:val="00934C10"/>
    <w:rsid w:val="0093662A"/>
    <w:rsid w:val="0094060C"/>
    <w:rsid w:val="00942C4B"/>
    <w:rsid w:val="00944196"/>
    <w:rsid w:val="0095303D"/>
    <w:rsid w:val="009606A5"/>
    <w:rsid w:val="00962F1F"/>
    <w:rsid w:val="00965304"/>
    <w:rsid w:val="00971293"/>
    <w:rsid w:val="00971D3B"/>
    <w:rsid w:val="00973A3B"/>
    <w:rsid w:val="00980288"/>
    <w:rsid w:val="00983EAE"/>
    <w:rsid w:val="00985C1F"/>
    <w:rsid w:val="0098760B"/>
    <w:rsid w:val="0098777B"/>
    <w:rsid w:val="00994980"/>
    <w:rsid w:val="009A11DD"/>
    <w:rsid w:val="009B233A"/>
    <w:rsid w:val="009B30AA"/>
    <w:rsid w:val="009B5217"/>
    <w:rsid w:val="009B7F90"/>
    <w:rsid w:val="009C3685"/>
    <w:rsid w:val="009C3DF2"/>
    <w:rsid w:val="009C48DE"/>
    <w:rsid w:val="009C560C"/>
    <w:rsid w:val="009C6E4E"/>
    <w:rsid w:val="009D5E06"/>
    <w:rsid w:val="009D60D9"/>
    <w:rsid w:val="009E006D"/>
    <w:rsid w:val="009E1E1E"/>
    <w:rsid w:val="009E33E3"/>
    <w:rsid w:val="009E7F16"/>
    <w:rsid w:val="009F1E65"/>
    <w:rsid w:val="009F27F8"/>
    <w:rsid w:val="009F5052"/>
    <w:rsid w:val="00A03083"/>
    <w:rsid w:val="00A04C85"/>
    <w:rsid w:val="00A100F0"/>
    <w:rsid w:val="00A10B6D"/>
    <w:rsid w:val="00A156E6"/>
    <w:rsid w:val="00A157E9"/>
    <w:rsid w:val="00A177C5"/>
    <w:rsid w:val="00A244EE"/>
    <w:rsid w:val="00A24E15"/>
    <w:rsid w:val="00A27D86"/>
    <w:rsid w:val="00A30A3D"/>
    <w:rsid w:val="00A33151"/>
    <w:rsid w:val="00A36970"/>
    <w:rsid w:val="00A41398"/>
    <w:rsid w:val="00A41EB4"/>
    <w:rsid w:val="00A44BFF"/>
    <w:rsid w:val="00A44CE9"/>
    <w:rsid w:val="00A45381"/>
    <w:rsid w:val="00A457B5"/>
    <w:rsid w:val="00A501E3"/>
    <w:rsid w:val="00A50F0C"/>
    <w:rsid w:val="00A54EEF"/>
    <w:rsid w:val="00A56441"/>
    <w:rsid w:val="00A5797F"/>
    <w:rsid w:val="00A608D0"/>
    <w:rsid w:val="00A70D75"/>
    <w:rsid w:val="00A736DD"/>
    <w:rsid w:val="00A76D17"/>
    <w:rsid w:val="00A772DD"/>
    <w:rsid w:val="00A779E1"/>
    <w:rsid w:val="00A80978"/>
    <w:rsid w:val="00A81D09"/>
    <w:rsid w:val="00A81F96"/>
    <w:rsid w:val="00A82869"/>
    <w:rsid w:val="00A83A86"/>
    <w:rsid w:val="00A8758C"/>
    <w:rsid w:val="00AA127E"/>
    <w:rsid w:val="00AA19AE"/>
    <w:rsid w:val="00AA2807"/>
    <w:rsid w:val="00AA423D"/>
    <w:rsid w:val="00AA5AF6"/>
    <w:rsid w:val="00AA6840"/>
    <w:rsid w:val="00AA6A95"/>
    <w:rsid w:val="00AB10DE"/>
    <w:rsid w:val="00AB358A"/>
    <w:rsid w:val="00AB3668"/>
    <w:rsid w:val="00AB5ED7"/>
    <w:rsid w:val="00AB6987"/>
    <w:rsid w:val="00AB6F33"/>
    <w:rsid w:val="00AC0789"/>
    <w:rsid w:val="00AC0B4C"/>
    <w:rsid w:val="00AC7015"/>
    <w:rsid w:val="00AD08B3"/>
    <w:rsid w:val="00AD0AEE"/>
    <w:rsid w:val="00AD0BB5"/>
    <w:rsid w:val="00AD49E3"/>
    <w:rsid w:val="00AD4B4F"/>
    <w:rsid w:val="00AF0616"/>
    <w:rsid w:val="00AF0E28"/>
    <w:rsid w:val="00AF6F9B"/>
    <w:rsid w:val="00B01409"/>
    <w:rsid w:val="00B03C5D"/>
    <w:rsid w:val="00B04531"/>
    <w:rsid w:val="00B04623"/>
    <w:rsid w:val="00B10DBD"/>
    <w:rsid w:val="00B11D08"/>
    <w:rsid w:val="00B15629"/>
    <w:rsid w:val="00B161E8"/>
    <w:rsid w:val="00B169FA"/>
    <w:rsid w:val="00B2372C"/>
    <w:rsid w:val="00B23AC0"/>
    <w:rsid w:val="00B2596A"/>
    <w:rsid w:val="00B25DF9"/>
    <w:rsid w:val="00B305C6"/>
    <w:rsid w:val="00B32835"/>
    <w:rsid w:val="00B32F70"/>
    <w:rsid w:val="00B331F1"/>
    <w:rsid w:val="00B366B6"/>
    <w:rsid w:val="00B36911"/>
    <w:rsid w:val="00B373D0"/>
    <w:rsid w:val="00B421EA"/>
    <w:rsid w:val="00B4301F"/>
    <w:rsid w:val="00B43AAA"/>
    <w:rsid w:val="00B50F25"/>
    <w:rsid w:val="00B53139"/>
    <w:rsid w:val="00B54423"/>
    <w:rsid w:val="00B562CE"/>
    <w:rsid w:val="00B6265E"/>
    <w:rsid w:val="00B62DE2"/>
    <w:rsid w:val="00B642E1"/>
    <w:rsid w:val="00B665AA"/>
    <w:rsid w:val="00B70ACE"/>
    <w:rsid w:val="00B71C48"/>
    <w:rsid w:val="00B72F87"/>
    <w:rsid w:val="00B74417"/>
    <w:rsid w:val="00B76D97"/>
    <w:rsid w:val="00B77246"/>
    <w:rsid w:val="00B80D6C"/>
    <w:rsid w:val="00B8182E"/>
    <w:rsid w:val="00B821CD"/>
    <w:rsid w:val="00B866CD"/>
    <w:rsid w:val="00B8797E"/>
    <w:rsid w:val="00B93034"/>
    <w:rsid w:val="00B93A81"/>
    <w:rsid w:val="00B97C5D"/>
    <w:rsid w:val="00BA0977"/>
    <w:rsid w:val="00BA1290"/>
    <w:rsid w:val="00BA5D7B"/>
    <w:rsid w:val="00BB2792"/>
    <w:rsid w:val="00BB76BF"/>
    <w:rsid w:val="00BC1AD1"/>
    <w:rsid w:val="00BC1D82"/>
    <w:rsid w:val="00BC4A58"/>
    <w:rsid w:val="00BC613B"/>
    <w:rsid w:val="00BC61FC"/>
    <w:rsid w:val="00BD4B4A"/>
    <w:rsid w:val="00BD51D9"/>
    <w:rsid w:val="00BD55E4"/>
    <w:rsid w:val="00BD64E2"/>
    <w:rsid w:val="00BD73DD"/>
    <w:rsid w:val="00BE4956"/>
    <w:rsid w:val="00BE4995"/>
    <w:rsid w:val="00BE571D"/>
    <w:rsid w:val="00BE68AF"/>
    <w:rsid w:val="00BE7A33"/>
    <w:rsid w:val="00BF389D"/>
    <w:rsid w:val="00BF429A"/>
    <w:rsid w:val="00BF62BE"/>
    <w:rsid w:val="00C07126"/>
    <w:rsid w:val="00C07194"/>
    <w:rsid w:val="00C12A51"/>
    <w:rsid w:val="00C16853"/>
    <w:rsid w:val="00C22E8D"/>
    <w:rsid w:val="00C263F0"/>
    <w:rsid w:val="00C33D41"/>
    <w:rsid w:val="00C34CC0"/>
    <w:rsid w:val="00C356F7"/>
    <w:rsid w:val="00C36E63"/>
    <w:rsid w:val="00C40AFD"/>
    <w:rsid w:val="00C40D79"/>
    <w:rsid w:val="00C41E20"/>
    <w:rsid w:val="00C423DD"/>
    <w:rsid w:val="00C42E3E"/>
    <w:rsid w:val="00C45296"/>
    <w:rsid w:val="00C51C13"/>
    <w:rsid w:val="00C525A5"/>
    <w:rsid w:val="00C5300F"/>
    <w:rsid w:val="00C54594"/>
    <w:rsid w:val="00C66AB7"/>
    <w:rsid w:val="00C66CE0"/>
    <w:rsid w:val="00C71BED"/>
    <w:rsid w:val="00C737B2"/>
    <w:rsid w:val="00C75D84"/>
    <w:rsid w:val="00C81B53"/>
    <w:rsid w:val="00C82AD2"/>
    <w:rsid w:val="00C854B5"/>
    <w:rsid w:val="00C8649F"/>
    <w:rsid w:val="00C87F02"/>
    <w:rsid w:val="00C90D20"/>
    <w:rsid w:val="00C90FB6"/>
    <w:rsid w:val="00C9220E"/>
    <w:rsid w:val="00C932BD"/>
    <w:rsid w:val="00C93429"/>
    <w:rsid w:val="00CA16C5"/>
    <w:rsid w:val="00CA415A"/>
    <w:rsid w:val="00CA59C8"/>
    <w:rsid w:val="00CA7A35"/>
    <w:rsid w:val="00CB1536"/>
    <w:rsid w:val="00CB42E6"/>
    <w:rsid w:val="00CB7FB8"/>
    <w:rsid w:val="00CC1F71"/>
    <w:rsid w:val="00CC48E4"/>
    <w:rsid w:val="00CC5588"/>
    <w:rsid w:val="00CC5EB3"/>
    <w:rsid w:val="00CC7C22"/>
    <w:rsid w:val="00CD0E7B"/>
    <w:rsid w:val="00CD2ABD"/>
    <w:rsid w:val="00CD4024"/>
    <w:rsid w:val="00CD4617"/>
    <w:rsid w:val="00CD4855"/>
    <w:rsid w:val="00CE3307"/>
    <w:rsid w:val="00CE60F3"/>
    <w:rsid w:val="00CE62BD"/>
    <w:rsid w:val="00CE6D43"/>
    <w:rsid w:val="00CE7888"/>
    <w:rsid w:val="00CF0D94"/>
    <w:rsid w:val="00CF5877"/>
    <w:rsid w:val="00CF5A7F"/>
    <w:rsid w:val="00CF793B"/>
    <w:rsid w:val="00D040D6"/>
    <w:rsid w:val="00D10E1C"/>
    <w:rsid w:val="00D161A3"/>
    <w:rsid w:val="00D213C8"/>
    <w:rsid w:val="00D22E49"/>
    <w:rsid w:val="00D231FB"/>
    <w:rsid w:val="00D23716"/>
    <w:rsid w:val="00D25ED8"/>
    <w:rsid w:val="00D267C5"/>
    <w:rsid w:val="00D26F96"/>
    <w:rsid w:val="00D27F8F"/>
    <w:rsid w:val="00D30E76"/>
    <w:rsid w:val="00D316B8"/>
    <w:rsid w:val="00D31A91"/>
    <w:rsid w:val="00D31CFC"/>
    <w:rsid w:val="00D3255D"/>
    <w:rsid w:val="00D340C3"/>
    <w:rsid w:val="00D35062"/>
    <w:rsid w:val="00D363FA"/>
    <w:rsid w:val="00D409CD"/>
    <w:rsid w:val="00D423D4"/>
    <w:rsid w:val="00D42CAF"/>
    <w:rsid w:val="00D513C6"/>
    <w:rsid w:val="00D5310F"/>
    <w:rsid w:val="00D601EF"/>
    <w:rsid w:val="00D61533"/>
    <w:rsid w:val="00D62FF3"/>
    <w:rsid w:val="00D63B2F"/>
    <w:rsid w:val="00D70747"/>
    <w:rsid w:val="00D7261D"/>
    <w:rsid w:val="00D73FEC"/>
    <w:rsid w:val="00D755FC"/>
    <w:rsid w:val="00D76B6D"/>
    <w:rsid w:val="00D845CC"/>
    <w:rsid w:val="00D84D07"/>
    <w:rsid w:val="00D8526A"/>
    <w:rsid w:val="00D8705F"/>
    <w:rsid w:val="00D90E91"/>
    <w:rsid w:val="00D9383A"/>
    <w:rsid w:val="00DB5D1D"/>
    <w:rsid w:val="00DB60E1"/>
    <w:rsid w:val="00DC0215"/>
    <w:rsid w:val="00DC1347"/>
    <w:rsid w:val="00DC39F1"/>
    <w:rsid w:val="00DD2922"/>
    <w:rsid w:val="00DD5640"/>
    <w:rsid w:val="00DD6AA5"/>
    <w:rsid w:val="00DE4B35"/>
    <w:rsid w:val="00DF19C1"/>
    <w:rsid w:val="00DF54CA"/>
    <w:rsid w:val="00DF56C9"/>
    <w:rsid w:val="00DF5B64"/>
    <w:rsid w:val="00E0244A"/>
    <w:rsid w:val="00E02794"/>
    <w:rsid w:val="00E036ED"/>
    <w:rsid w:val="00E043E3"/>
    <w:rsid w:val="00E0505B"/>
    <w:rsid w:val="00E11280"/>
    <w:rsid w:val="00E12359"/>
    <w:rsid w:val="00E152FF"/>
    <w:rsid w:val="00E21948"/>
    <w:rsid w:val="00E2461B"/>
    <w:rsid w:val="00E24886"/>
    <w:rsid w:val="00E276FB"/>
    <w:rsid w:val="00E32595"/>
    <w:rsid w:val="00E32DC6"/>
    <w:rsid w:val="00E33A74"/>
    <w:rsid w:val="00E36C1C"/>
    <w:rsid w:val="00E3722F"/>
    <w:rsid w:val="00E4030B"/>
    <w:rsid w:val="00E4038F"/>
    <w:rsid w:val="00E41D56"/>
    <w:rsid w:val="00E457DF"/>
    <w:rsid w:val="00E46642"/>
    <w:rsid w:val="00E46A12"/>
    <w:rsid w:val="00E50B73"/>
    <w:rsid w:val="00E5139A"/>
    <w:rsid w:val="00E523B3"/>
    <w:rsid w:val="00E5413D"/>
    <w:rsid w:val="00E57977"/>
    <w:rsid w:val="00E635D7"/>
    <w:rsid w:val="00E64E71"/>
    <w:rsid w:val="00E70576"/>
    <w:rsid w:val="00E71DED"/>
    <w:rsid w:val="00E739B2"/>
    <w:rsid w:val="00E76E7D"/>
    <w:rsid w:val="00E81568"/>
    <w:rsid w:val="00E82642"/>
    <w:rsid w:val="00E831E5"/>
    <w:rsid w:val="00E83943"/>
    <w:rsid w:val="00E83954"/>
    <w:rsid w:val="00E86506"/>
    <w:rsid w:val="00E91730"/>
    <w:rsid w:val="00E92E24"/>
    <w:rsid w:val="00E96F04"/>
    <w:rsid w:val="00E97AEC"/>
    <w:rsid w:val="00EA023A"/>
    <w:rsid w:val="00EA0FF7"/>
    <w:rsid w:val="00EA20FE"/>
    <w:rsid w:val="00EB491E"/>
    <w:rsid w:val="00EB681B"/>
    <w:rsid w:val="00EB7E39"/>
    <w:rsid w:val="00EC4FAD"/>
    <w:rsid w:val="00ED4B21"/>
    <w:rsid w:val="00ED4B95"/>
    <w:rsid w:val="00EE3CFA"/>
    <w:rsid w:val="00EE635E"/>
    <w:rsid w:val="00EE69E4"/>
    <w:rsid w:val="00EF02E1"/>
    <w:rsid w:val="00EF1B8F"/>
    <w:rsid w:val="00EF2A7F"/>
    <w:rsid w:val="00EF5781"/>
    <w:rsid w:val="00EF615D"/>
    <w:rsid w:val="00EF6C90"/>
    <w:rsid w:val="00EF7E90"/>
    <w:rsid w:val="00F002B6"/>
    <w:rsid w:val="00F00EB0"/>
    <w:rsid w:val="00F10AFE"/>
    <w:rsid w:val="00F15C6C"/>
    <w:rsid w:val="00F17173"/>
    <w:rsid w:val="00F17B32"/>
    <w:rsid w:val="00F201CD"/>
    <w:rsid w:val="00F20987"/>
    <w:rsid w:val="00F2156D"/>
    <w:rsid w:val="00F22339"/>
    <w:rsid w:val="00F224DC"/>
    <w:rsid w:val="00F2577E"/>
    <w:rsid w:val="00F2687F"/>
    <w:rsid w:val="00F26A5E"/>
    <w:rsid w:val="00F27F29"/>
    <w:rsid w:val="00F32AF9"/>
    <w:rsid w:val="00F32D54"/>
    <w:rsid w:val="00F330D1"/>
    <w:rsid w:val="00F333A3"/>
    <w:rsid w:val="00F36C54"/>
    <w:rsid w:val="00F418EA"/>
    <w:rsid w:val="00F41A29"/>
    <w:rsid w:val="00F43521"/>
    <w:rsid w:val="00F44225"/>
    <w:rsid w:val="00F44C1C"/>
    <w:rsid w:val="00F4576B"/>
    <w:rsid w:val="00F518DF"/>
    <w:rsid w:val="00F544DB"/>
    <w:rsid w:val="00F57995"/>
    <w:rsid w:val="00F648EA"/>
    <w:rsid w:val="00F6502E"/>
    <w:rsid w:val="00F65663"/>
    <w:rsid w:val="00F7162B"/>
    <w:rsid w:val="00F71650"/>
    <w:rsid w:val="00F74C65"/>
    <w:rsid w:val="00F75147"/>
    <w:rsid w:val="00F756C0"/>
    <w:rsid w:val="00F75A40"/>
    <w:rsid w:val="00F77637"/>
    <w:rsid w:val="00F836B4"/>
    <w:rsid w:val="00F8435D"/>
    <w:rsid w:val="00F862E5"/>
    <w:rsid w:val="00F879E6"/>
    <w:rsid w:val="00F87DD0"/>
    <w:rsid w:val="00F920CC"/>
    <w:rsid w:val="00F93360"/>
    <w:rsid w:val="00F93FE4"/>
    <w:rsid w:val="00F9609D"/>
    <w:rsid w:val="00F97E4E"/>
    <w:rsid w:val="00FA08C1"/>
    <w:rsid w:val="00FA1A40"/>
    <w:rsid w:val="00FA217B"/>
    <w:rsid w:val="00FB0BC5"/>
    <w:rsid w:val="00FB0BCC"/>
    <w:rsid w:val="00FB1165"/>
    <w:rsid w:val="00FB3EA7"/>
    <w:rsid w:val="00FC0183"/>
    <w:rsid w:val="00FC0CDB"/>
    <w:rsid w:val="00FC0FE5"/>
    <w:rsid w:val="00FC65BB"/>
    <w:rsid w:val="00FD1ABC"/>
    <w:rsid w:val="00FD2C75"/>
    <w:rsid w:val="00FD697C"/>
    <w:rsid w:val="00FD7DDF"/>
    <w:rsid w:val="00FE2FFE"/>
    <w:rsid w:val="00FE4C92"/>
    <w:rsid w:val="00FE7898"/>
    <w:rsid w:val="00FF0FAA"/>
    <w:rsid w:val="00FF3086"/>
    <w:rsid w:val="00FF3759"/>
    <w:rsid w:val="00FF4396"/>
    <w:rsid w:val="00FF5C2A"/>
    <w:rsid w:val="01570A24"/>
    <w:rsid w:val="028D94A0"/>
    <w:rsid w:val="0334A3B4"/>
    <w:rsid w:val="03385EDC"/>
    <w:rsid w:val="038B886F"/>
    <w:rsid w:val="03A32A13"/>
    <w:rsid w:val="04C4209C"/>
    <w:rsid w:val="0527F6BF"/>
    <w:rsid w:val="05472D76"/>
    <w:rsid w:val="054D3C08"/>
    <w:rsid w:val="062E6DD7"/>
    <w:rsid w:val="0702F7F3"/>
    <w:rsid w:val="081B5C54"/>
    <w:rsid w:val="084184CA"/>
    <w:rsid w:val="0860A9D8"/>
    <w:rsid w:val="08D7201A"/>
    <w:rsid w:val="0A6CB1B4"/>
    <w:rsid w:val="0AA43B20"/>
    <w:rsid w:val="0B3E2CC5"/>
    <w:rsid w:val="0B4D32A2"/>
    <w:rsid w:val="0D0450BD"/>
    <w:rsid w:val="0DF9E173"/>
    <w:rsid w:val="0E232FD4"/>
    <w:rsid w:val="0E6E9F4F"/>
    <w:rsid w:val="0E74FEC5"/>
    <w:rsid w:val="0FB51A9C"/>
    <w:rsid w:val="10F6C3E9"/>
    <w:rsid w:val="1106CC91"/>
    <w:rsid w:val="12171E02"/>
    <w:rsid w:val="12501BE3"/>
    <w:rsid w:val="1272F3BF"/>
    <w:rsid w:val="14171595"/>
    <w:rsid w:val="144CB821"/>
    <w:rsid w:val="144E453C"/>
    <w:rsid w:val="14EF6FAD"/>
    <w:rsid w:val="157AD5C7"/>
    <w:rsid w:val="165E1DD3"/>
    <w:rsid w:val="166704FE"/>
    <w:rsid w:val="16A210AB"/>
    <w:rsid w:val="174EF3F6"/>
    <w:rsid w:val="17DDE25D"/>
    <w:rsid w:val="18439DEF"/>
    <w:rsid w:val="18643C5B"/>
    <w:rsid w:val="1979BCD8"/>
    <w:rsid w:val="19931DE3"/>
    <w:rsid w:val="19BDB9BA"/>
    <w:rsid w:val="1ADC1C3B"/>
    <w:rsid w:val="1BC5F68B"/>
    <w:rsid w:val="1C4FD7EA"/>
    <w:rsid w:val="1C56452B"/>
    <w:rsid w:val="1CBD7849"/>
    <w:rsid w:val="1D584B5A"/>
    <w:rsid w:val="1E50AB67"/>
    <w:rsid w:val="1ED44B17"/>
    <w:rsid w:val="1F413105"/>
    <w:rsid w:val="21BEB20A"/>
    <w:rsid w:val="21BFD1ED"/>
    <w:rsid w:val="221BA3B0"/>
    <w:rsid w:val="22E0CB55"/>
    <w:rsid w:val="2382D5B9"/>
    <w:rsid w:val="2595F4BF"/>
    <w:rsid w:val="26A3EF2D"/>
    <w:rsid w:val="2737E2D2"/>
    <w:rsid w:val="27F6396D"/>
    <w:rsid w:val="28F1F3A0"/>
    <w:rsid w:val="29357303"/>
    <w:rsid w:val="29A86477"/>
    <w:rsid w:val="2A398511"/>
    <w:rsid w:val="2B05EFC7"/>
    <w:rsid w:val="2BE1F5D1"/>
    <w:rsid w:val="2C1BB3D3"/>
    <w:rsid w:val="2CA75FF6"/>
    <w:rsid w:val="2D7EA4B5"/>
    <w:rsid w:val="2DCF6659"/>
    <w:rsid w:val="2DD815D0"/>
    <w:rsid w:val="2E685624"/>
    <w:rsid w:val="2F5415AA"/>
    <w:rsid w:val="306E6F2F"/>
    <w:rsid w:val="31A5FC31"/>
    <w:rsid w:val="31DF9080"/>
    <w:rsid w:val="31E92097"/>
    <w:rsid w:val="33497A9F"/>
    <w:rsid w:val="33B93512"/>
    <w:rsid w:val="3712E296"/>
    <w:rsid w:val="3743B6D1"/>
    <w:rsid w:val="3895F38E"/>
    <w:rsid w:val="3CAE0E13"/>
    <w:rsid w:val="3CCCEAF2"/>
    <w:rsid w:val="3DD3873C"/>
    <w:rsid w:val="3DFD8985"/>
    <w:rsid w:val="3EB4184A"/>
    <w:rsid w:val="3EEFDA69"/>
    <w:rsid w:val="4020B2CB"/>
    <w:rsid w:val="408C8A77"/>
    <w:rsid w:val="40B6CB60"/>
    <w:rsid w:val="40B95B3C"/>
    <w:rsid w:val="416761C6"/>
    <w:rsid w:val="41B8199A"/>
    <w:rsid w:val="41B9DC5D"/>
    <w:rsid w:val="422453E5"/>
    <w:rsid w:val="42638221"/>
    <w:rsid w:val="426BCDDC"/>
    <w:rsid w:val="432C208C"/>
    <w:rsid w:val="439C57E6"/>
    <w:rsid w:val="446D9548"/>
    <w:rsid w:val="44C2D63A"/>
    <w:rsid w:val="44EC060A"/>
    <w:rsid w:val="455C311D"/>
    <w:rsid w:val="459FC722"/>
    <w:rsid w:val="45BF78B9"/>
    <w:rsid w:val="462019B2"/>
    <w:rsid w:val="466F1F71"/>
    <w:rsid w:val="4740ACCE"/>
    <w:rsid w:val="48C2B0E5"/>
    <w:rsid w:val="49D37721"/>
    <w:rsid w:val="4A707398"/>
    <w:rsid w:val="4AAB2D33"/>
    <w:rsid w:val="4CC7D8CB"/>
    <w:rsid w:val="4CE2E7A0"/>
    <w:rsid w:val="4D0E872F"/>
    <w:rsid w:val="4D4F85CC"/>
    <w:rsid w:val="4D689912"/>
    <w:rsid w:val="4DA176F5"/>
    <w:rsid w:val="4DC64E44"/>
    <w:rsid w:val="4E64CE53"/>
    <w:rsid w:val="4E8CAC4E"/>
    <w:rsid w:val="4EAF17B1"/>
    <w:rsid w:val="4EF51FA9"/>
    <w:rsid w:val="4F336F1B"/>
    <w:rsid w:val="50796B07"/>
    <w:rsid w:val="524BC322"/>
    <w:rsid w:val="5258665C"/>
    <w:rsid w:val="53D9396C"/>
    <w:rsid w:val="541365A2"/>
    <w:rsid w:val="58C53F07"/>
    <w:rsid w:val="59673E81"/>
    <w:rsid w:val="597EA22C"/>
    <w:rsid w:val="5987F4DF"/>
    <w:rsid w:val="5A3AACCD"/>
    <w:rsid w:val="5AA02819"/>
    <w:rsid w:val="5B7C7B03"/>
    <w:rsid w:val="5F808106"/>
    <w:rsid w:val="5FB57A05"/>
    <w:rsid w:val="61E69820"/>
    <w:rsid w:val="62644DDC"/>
    <w:rsid w:val="63AF05AE"/>
    <w:rsid w:val="646B4ADC"/>
    <w:rsid w:val="64AE6DF1"/>
    <w:rsid w:val="665B805B"/>
    <w:rsid w:val="68D3FF38"/>
    <w:rsid w:val="69016B44"/>
    <w:rsid w:val="69AF22CB"/>
    <w:rsid w:val="6A42A6DD"/>
    <w:rsid w:val="6C7BAB5D"/>
    <w:rsid w:val="6F923E9A"/>
    <w:rsid w:val="70A1B978"/>
    <w:rsid w:val="715194A2"/>
    <w:rsid w:val="71FF51FF"/>
    <w:rsid w:val="744CEA06"/>
    <w:rsid w:val="756DE7D9"/>
    <w:rsid w:val="758D2501"/>
    <w:rsid w:val="779985D9"/>
    <w:rsid w:val="78362A7F"/>
    <w:rsid w:val="7A8E84B2"/>
    <w:rsid w:val="7B5E97D5"/>
    <w:rsid w:val="7C871C91"/>
    <w:rsid w:val="7CE7D97B"/>
    <w:rsid w:val="7DB2A0CE"/>
    <w:rsid w:val="7E1AEBAE"/>
    <w:rsid w:val="7FBC961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47AB"/>
    <w:pPr>
      <w:spacing w:line="288" w:lineRule="auto"/>
      <w:jc w:val="both"/>
    </w:pPr>
    <w:rPr>
      <w:lang w:val="en-US" w:eastAsia="en-US" w:bidi="ar-SA"/>
    </w:rPr>
  </w:style>
  <w:style w:type="paragraph" w:styleId="berschrift1">
    <w:name w:val="heading 1"/>
    <w:basedOn w:val="Standard"/>
    <w:next w:val="Standard"/>
    <w:link w:val="berschrift1Zchn"/>
    <w:qFormat/>
    <w:rsid w:val="008D47AB"/>
    <w:pPr>
      <w:numPr>
        <w:numId w:val="1"/>
      </w:numPr>
      <w:ind w:left="567" w:hanging="567"/>
      <w:outlineLvl w:val="0"/>
    </w:pPr>
    <w:rPr>
      <w:kern w:val="28"/>
    </w:rPr>
  </w:style>
  <w:style w:type="paragraph" w:styleId="berschrift2">
    <w:name w:val="heading 2"/>
    <w:basedOn w:val="Standard"/>
    <w:next w:val="Standard"/>
    <w:link w:val="berschrift2Zchn"/>
    <w:qFormat/>
    <w:rsid w:val="008D47AB"/>
    <w:pPr>
      <w:numPr>
        <w:ilvl w:val="1"/>
        <w:numId w:val="1"/>
      </w:numPr>
      <w:ind w:left="567" w:hanging="567"/>
      <w:outlineLvl w:val="1"/>
    </w:pPr>
  </w:style>
  <w:style w:type="paragraph" w:styleId="berschrift3">
    <w:name w:val="heading 3"/>
    <w:basedOn w:val="Standard"/>
    <w:next w:val="Standard"/>
    <w:link w:val="berschrift3Zchn"/>
    <w:qFormat/>
    <w:rsid w:val="008D47AB"/>
    <w:pPr>
      <w:numPr>
        <w:ilvl w:val="2"/>
        <w:numId w:val="1"/>
      </w:numPr>
      <w:ind w:left="567" w:hanging="567"/>
      <w:outlineLvl w:val="2"/>
    </w:pPr>
  </w:style>
  <w:style w:type="paragraph" w:styleId="berschrift4">
    <w:name w:val="heading 4"/>
    <w:basedOn w:val="Standard"/>
    <w:next w:val="Standard"/>
    <w:link w:val="berschrift4Zchn"/>
    <w:qFormat/>
    <w:rsid w:val="008D47AB"/>
    <w:pPr>
      <w:numPr>
        <w:ilvl w:val="3"/>
        <w:numId w:val="1"/>
      </w:numPr>
      <w:ind w:left="567" w:hanging="567"/>
      <w:outlineLvl w:val="3"/>
    </w:pPr>
  </w:style>
  <w:style w:type="paragraph" w:styleId="berschrift5">
    <w:name w:val="heading 5"/>
    <w:basedOn w:val="Standard"/>
    <w:next w:val="Standard"/>
    <w:link w:val="berschrift5Zchn"/>
    <w:qFormat/>
    <w:rsid w:val="008D47AB"/>
    <w:pPr>
      <w:numPr>
        <w:ilvl w:val="4"/>
        <w:numId w:val="1"/>
      </w:numPr>
      <w:ind w:left="567" w:hanging="567"/>
      <w:outlineLvl w:val="4"/>
    </w:pPr>
  </w:style>
  <w:style w:type="paragraph" w:styleId="berschrift6">
    <w:name w:val="heading 6"/>
    <w:basedOn w:val="Standard"/>
    <w:next w:val="Standard"/>
    <w:link w:val="berschrift6Zchn"/>
    <w:qFormat/>
    <w:rsid w:val="008D47AB"/>
    <w:pPr>
      <w:numPr>
        <w:ilvl w:val="5"/>
        <w:numId w:val="1"/>
      </w:numPr>
      <w:ind w:left="567" w:hanging="567"/>
      <w:outlineLvl w:val="5"/>
    </w:pPr>
  </w:style>
  <w:style w:type="paragraph" w:styleId="berschrift7">
    <w:name w:val="heading 7"/>
    <w:basedOn w:val="Standard"/>
    <w:next w:val="Standard"/>
    <w:link w:val="berschrift7Zchn"/>
    <w:qFormat/>
    <w:rsid w:val="008D47AB"/>
    <w:pPr>
      <w:numPr>
        <w:ilvl w:val="6"/>
        <w:numId w:val="1"/>
      </w:numPr>
      <w:ind w:left="567" w:hanging="567"/>
      <w:outlineLvl w:val="6"/>
    </w:pPr>
  </w:style>
  <w:style w:type="paragraph" w:styleId="berschrift8">
    <w:name w:val="heading 8"/>
    <w:basedOn w:val="Standard"/>
    <w:next w:val="Standard"/>
    <w:link w:val="berschrift8Zchn"/>
    <w:qFormat/>
    <w:rsid w:val="008D47AB"/>
    <w:pPr>
      <w:numPr>
        <w:ilvl w:val="7"/>
        <w:numId w:val="1"/>
      </w:numPr>
      <w:ind w:left="567" w:hanging="567"/>
      <w:outlineLvl w:val="7"/>
    </w:pPr>
  </w:style>
  <w:style w:type="paragraph" w:styleId="berschrift9">
    <w:name w:val="heading 9"/>
    <w:basedOn w:val="Standard"/>
    <w:next w:val="Standard"/>
    <w:link w:val="berschrift9Zchn"/>
    <w:qFormat/>
    <w:rsid w:val="008D47AB"/>
    <w:pPr>
      <w:numPr>
        <w:ilvl w:val="8"/>
        <w:numId w:val="1"/>
      </w:numPr>
      <w:ind w:left="567" w:hanging="567"/>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B54423"/>
    <w:rPr>
      <w:kern w:val="28"/>
      <w:lang w:val="en-US" w:eastAsia="en-US" w:bidi="ar-SA"/>
    </w:rPr>
  </w:style>
  <w:style w:type="character" w:customStyle="1" w:styleId="berschrift2Zchn">
    <w:name w:val="Überschrift 2 Zchn"/>
    <w:basedOn w:val="Absatz-Standardschriftart"/>
    <w:link w:val="berschrift2"/>
    <w:locked/>
    <w:rsid w:val="00B54423"/>
    <w:rPr>
      <w:lang w:val="en-US" w:eastAsia="en-US" w:bidi="ar-SA"/>
    </w:rPr>
  </w:style>
  <w:style w:type="character" w:customStyle="1" w:styleId="berschrift3Zchn">
    <w:name w:val="Überschrift 3 Zchn"/>
    <w:basedOn w:val="Absatz-Standardschriftart"/>
    <w:link w:val="berschrift3"/>
    <w:locked/>
    <w:rsid w:val="00CB1536"/>
    <w:rPr>
      <w:lang w:val="en-US" w:eastAsia="en-US" w:bidi="ar-SA"/>
    </w:rPr>
  </w:style>
  <w:style w:type="character" w:customStyle="1" w:styleId="berschrift4Zchn">
    <w:name w:val="Überschrift 4 Zchn"/>
    <w:basedOn w:val="Absatz-Standardschriftart"/>
    <w:link w:val="berschrift4"/>
    <w:locked/>
    <w:rsid w:val="00CB1536"/>
    <w:rPr>
      <w:lang w:val="en-US" w:eastAsia="en-US" w:bidi="ar-SA"/>
    </w:rPr>
  </w:style>
  <w:style w:type="character" w:customStyle="1" w:styleId="berschrift5Zchn">
    <w:name w:val="Überschrift 5 Zchn"/>
    <w:basedOn w:val="Absatz-Standardschriftart"/>
    <w:link w:val="berschrift5"/>
    <w:locked/>
    <w:rsid w:val="00CB1536"/>
    <w:rPr>
      <w:lang w:val="en-US" w:eastAsia="en-US" w:bidi="ar-SA"/>
    </w:rPr>
  </w:style>
  <w:style w:type="character" w:customStyle="1" w:styleId="berschrift6Zchn">
    <w:name w:val="Überschrift 6 Zchn"/>
    <w:basedOn w:val="Absatz-Standardschriftart"/>
    <w:link w:val="berschrift6"/>
    <w:locked/>
    <w:rsid w:val="00CB1536"/>
    <w:rPr>
      <w:lang w:val="en-US" w:eastAsia="en-US" w:bidi="ar-SA"/>
    </w:rPr>
  </w:style>
  <w:style w:type="character" w:customStyle="1" w:styleId="berschrift7Zchn">
    <w:name w:val="Überschrift 7 Zchn"/>
    <w:basedOn w:val="Absatz-Standardschriftart"/>
    <w:link w:val="berschrift7"/>
    <w:locked/>
    <w:rsid w:val="00CB1536"/>
    <w:rPr>
      <w:lang w:val="en-US" w:eastAsia="en-US" w:bidi="ar-SA"/>
    </w:rPr>
  </w:style>
  <w:style w:type="character" w:customStyle="1" w:styleId="berschrift8Zchn">
    <w:name w:val="Überschrift 8 Zchn"/>
    <w:basedOn w:val="Absatz-Standardschriftart"/>
    <w:link w:val="berschrift8"/>
    <w:locked/>
    <w:rsid w:val="00CB1536"/>
    <w:rPr>
      <w:lang w:val="en-US" w:eastAsia="en-US" w:bidi="ar-SA"/>
    </w:rPr>
  </w:style>
  <w:style w:type="character" w:customStyle="1" w:styleId="berschrift9Zchn">
    <w:name w:val="Überschrift 9 Zchn"/>
    <w:basedOn w:val="Absatz-Standardschriftart"/>
    <w:link w:val="berschrift9"/>
    <w:locked/>
    <w:rsid w:val="00CB1536"/>
    <w:rPr>
      <w:lang w:val="en-US" w:eastAsia="en-US" w:bidi="ar-SA"/>
    </w:rPr>
  </w:style>
  <w:style w:type="paragraph" w:styleId="Fuzeile">
    <w:name w:val="footer"/>
    <w:basedOn w:val="Standard"/>
    <w:link w:val="FuzeileZchn"/>
    <w:qFormat/>
    <w:rsid w:val="008D47AB"/>
  </w:style>
  <w:style w:type="character" w:customStyle="1" w:styleId="FuzeileZchn">
    <w:name w:val="Fußzeile Zchn"/>
    <w:basedOn w:val="Absatz-Standardschriftart"/>
    <w:link w:val="Fuzeile"/>
    <w:locked/>
    <w:rsid w:val="00CB1536"/>
    <w:rPr>
      <w:lang w:val="en-US" w:eastAsia="en-US" w:bidi="ar-SA"/>
    </w:rPr>
  </w:style>
  <w:style w:type="paragraph" w:styleId="Funotentext">
    <w:name w:val="footnote text"/>
    <w:basedOn w:val="Standard"/>
    <w:link w:val="FunotentextZchn"/>
    <w:uiPriority w:val="99"/>
    <w:qFormat/>
    <w:rsid w:val="008D47AB"/>
    <w:pPr>
      <w:keepLines/>
      <w:spacing w:after="60" w:line="240" w:lineRule="auto"/>
      <w:ind w:left="567" w:hanging="567"/>
    </w:pPr>
    <w:rPr>
      <w:sz w:val="16"/>
    </w:rPr>
  </w:style>
  <w:style w:type="character" w:customStyle="1" w:styleId="FunotentextZchn">
    <w:name w:val="Fußnotentext Zchn"/>
    <w:basedOn w:val="Absatz-Standardschriftart"/>
    <w:link w:val="Funotentext"/>
    <w:uiPriority w:val="99"/>
    <w:locked/>
    <w:rsid w:val="00CB1536"/>
    <w:rPr>
      <w:sz w:val="16"/>
      <w:lang w:val="en-US" w:eastAsia="en-US" w:bidi="ar-SA"/>
    </w:rPr>
  </w:style>
  <w:style w:type="paragraph" w:styleId="Kopfzeile">
    <w:name w:val="header"/>
    <w:basedOn w:val="Standard"/>
    <w:link w:val="KopfzeileZchn"/>
    <w:qFormat/>
    <w:rsid w:val="008D47AB"/>
  </w:style>
  <w:style w:type="character" w:customStyle="1" w:styleId="KopfzeileZchn">
    <w:name w:val="Kopfzeile Zchn"/>
    <w:basedOn w:val="Absatz-Standardschriftart"/>
    <w:link w:val="Kopfzeile"/>
    <w:locked/>
    <w:rsid w:val="00CB1536"/>
    <w:rPr>
      <w:lang w:val="en-US" w:eastAsia="en-US" w:bidi="ar-SA"/>
    </w:rPr>
  </w:style>
  <w:style w:type="character" w:styleId="Hyperlink">
    <w:name w:val="Hyperlink"/>
    <w:basedOn w:val="Absatz-Standardschriftart"/>
    <w:uiPriority w:val="99"/>
    <w:rsid w:val="00934C10"/>
    <w:rPr>
      <w:color w:val="0000FF"/>
      <w:u w:val="single"/>
    </w:rPr>
  </w:style>
  <w:style w:type="character" w:styleId="Funotenzeichen">
    <w:name w:val="footnote reference"/>
    <w:aliases w:val="Footnote symbol"/>
    <w:basedOn w:val="Absatz-Standardschriftart"/>
    <w:uiPriority w:val="99"/>
    <w:unhideWhenUsed/>
    <w:qFormat/>
    <w:rsid w:val="008D47AB"/>
    <w:rPr>
      <w:sz w:val="24"/>
      <w:vertAlign w:val="superscript"/>
    </w:rPr>
  </w:style>
  <w:style w:type="character" w:styleId="BesuchterLink">
    <w:name w:val="FollowedHyperlink"/>
    <w:basedOn w:val="Absatz-Standardschriftart"/>
    <w:uiPriority w:val="99"/>
    <w:rsid w:val="00934C10"/>
    <w:rPr>
      <w:color w:val="800080"/>
      <w:u w:val="single"/>
    </w:rPr>
  </w:style>
  <w:style w:type="paragraph" w:customStyle="1" w:styleId="LOGO">
    <w:name w:val="LOGO"/>
    <w:basedOn w:val="Standard"/>
    <w:uiPriority w:val="99"/>
    <w:rsid w:val="00934C10"/>
    <w:pPr>
      <w:jc w:val="center"/>
    </w:pPr>
    <w:rPr>
      <w:rFonts w:ascii="Arial" w:hAnsi="Arial" w:cs="Arial"/>
      <w:b/>
      <w:bCs/>
      <w:i/>
      <w:iCs/>
      <w:sz w:val="20"/>
    </w:rPr>
  </w:style>
  <w:style w:type="paragraph" w:styleId="berarbeitung">
    <w:name w:val="Revision"/>
    <w:hidden/>
    <w:uiPriority w:val="99"/>
    <w:semiHidden/>
    <w:rsid w:val="00B2372C"/>
  </w:style>
  <w:style w:type="paragraph" w:customStyle="1" w:styleId="quotes">
    <w:name w:val="quotes"/>
    <w:basedOn w:val="Standard"/>
    <w:next w:val="Standard"/>
    <w:rsid w:val="008D47AB"/>
    <w:pPr>
      <w:ind w:left="720"/>
    </w:pPr>
    <w:rPr>
      <w:i/>
    </w:rPr>
  </w:style>
  <w:style w:type="paragraph" w:styleId="Listenabsatz">
    <w:name w:val="List Paragraph"/>
    <w:basedOn w:val="Standard"/>
    <w:uiPriority w:val="34"/>
    <w:qFormat/>
    <w:rsid w:val="006277EA"/>
    <w:pPr>
      <w:ind w:left="720"/>
      <w:contextualSpacing/>
    </w:p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lang w:val="en-US" w:eastAsia="en-US" w:bidi="ar-SA"/>
    </w:rPr>
  </w:style>
  <w:style w:type="character" w:styleId="Kommentarzeichen">
    <w:name w:val="annotation reference"/>
    <w:basedOn w:val="Absatz-Standardschriftart"/>
    <w:semiHidden/>
    <w:unhideWhenUsed/>
    <w:rPr>
      <w:sz w:val="16"/>
      <w:szCs w:val="16"/>
    </w:rPr>
  </w:style>
  <w:style w:type="paragraph" w:styleId="Sprechblasentext">
    <w:name w:val="Balloon Text"/>
    <w:basedOn w:val="Standard"/>
    <w:link w:val="SprechblasentextZchn"/>
    <w:uiPriority w:val="99"/>
    <w:semiHidden/>
    <w:unhideWhenUsed/>
    <w:rsid w:val="00BE571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68F8"/>
    <w:rPr>
      <w:rFonts w:ascii="Segoe UI" w:hAnsi="Segoe UI" w:cs="Segoe UI"/>
      <w:sz w:val="18"/>
      <w:szCs w:val="18"/>
      <w:lang w:val="en-US" w:eastAsia="en-US" w:bidi="ar-SA"/>
    </w:rPr>
  </w:style>
  <w:style w:type="paragraph" w:styleId="Kommentarthema">
    <w:name w:val="annotation subject"/>
    <w:basedOn w:val="Kommentartext"/>
    <w:next w:val="Kommentartext"/>
    <w:link w:val="KommentarthemaZchn"/>
    <w:uiPriority w:val="99"/>
    <w:semiHidden/>
    <w:unhideWhenUsed/>
    <w:rsid w:val="00186788"/>
    <w:rPr>
      <w:b/>
      <w:bCs/>
    </w:rPr>
  </w:style>
  <w:style w:type="character" w:customStyle="1" w:styleId="KommentarthemaZchn">
    <w:name w:val="Kommentarthema Zchn"/>
    <w:basedOn w:val="KommentartextZchn"/>
    <w:link w:val="Kommentarthema"/>
    <w:uiPriority w:val="99"/>
    <w:semiHidden/>
    <w:rsid w:val="00186788"/>
    <w:rPr>
      <w:b/>
      <w:bCs/>
      <w:sz w:val="20"/>
      <w:szCs w:val="20"/>
      <w:lang w:val="en-US" w:eastAsia="en-US" w:bidi="ar-SA"/>
    </w:rPr>
  </w:style>
  <w:style w:type="character" w:customStyle="1" w:styleId="UnresolvedMention1">
    <w:name w:val="Unresolved Mention1"/>
    <w:basedOn w:val="Absatz-Standardschriftart"/>
    <w:uiPriority w:val="99"/>
    <w:semiHidden/>
    <w:unhideWhenUsed/>
    <w:rsid w:val="00BE571D"/>
    <w:rPr>
      <w:color w:val="605E5C"/>
      <w:shd w:val="clear" w:color="auto" w:fill="E1DFDD"/>
    </w:rPr>
  </w:style>
  <w:style w:type="character" w:customStyle="1" w:styleId="UnresolvedMention2">
    <w:name w:val="Unresolved Mention2"/>
    <w:basedOn w:val="Absatz-Standardschriftart"/>
    <w:uiPriority w:val="99"/>
    <w:semiHidden/>
    <w:unhideWhenUsed/>
    <w:rsid w:val="00BE5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499">
      <w:bodyDiv w:val="1"/>
      <w:marLeft w:val="0"/>
      <w:marRight w:val="0"/>
      <w:marTop w:val="0"/>
      <w:marBottom w:val="0"/>
      <w:divBdr>
        <w:top w:val="none" w:sz="0" w:space="0" w:color="auto"/>
        <w:left w:val="none" w:sz="0" w:space="0" w:color="auto"/>
        <w:bottom w:val="none" w:sz="0" w:space="0" w:color="auto"/>
        <w:right w:val="none" w:sz="0" w:space="0" w:color="auto"/>
      </w:divBdr>
      <w:divsChild>
        <w:div w:id="530269732">
          <w:marLeft w:val="0"/>
          <w:marRight w:val="0"/>
          <w:marTop w:val="0"/>
          <w:marBottom w:val="0"/>
          <w:divBdr>
            <w:top w:val="none" w:sz="0" w:space="0" w:color="auto"/>
            <w:left w:val="none" w:sz="0" w:space="0" w:color="auto"/>
            <w:bottom w:val="none" w:sz="0" w:space="0" w:color="auto"/>
            <w:right w:val="none" w:sz="0" w:space="0" w:color="auto"/>
          </w:divBdr>
          <w:divsChild>
            <w:div w:id="67314711">
              <w:marLeft w:val="0"/>
              <w:marRight w:val="0"/>
              <w:marTop w:val="0"/>
              <w:marBottom w:val="0"/>
              <w:divBdr>
                <w:top w:val="none" w:sz="0" w:space="0" w:color="auto"/>
                <w:left w:val="none" w:sz="0" w:space="0" w:color="auto"/>
                <w:bottom w:val="none" w:sz="0" w:space="0" w:color="auto"/>
                <w:right w:val="none" w:sz="0" w:space="0" w:color="auto"/>
              </w:divBdr>
              <w:divsChild>
                <w:div w:id="1723090562">
                  <w:marLeft w:val="0"/>
                  <w:marRight w:val="0"/>
                  <w:marTop w:val="0"/>
                  <w:marBottom w:val="0"/>
                  <w:divBdr>
                    <w:top w:val="none" w:sz="0" w:space="0" w:color="auto"/>
                    <w:left w:val="none" w:sz="0" w:space="0" w:color="auto"/>
                    <w:bottom w:val="none" w:sz="0" w:space="0" w:color="auto"/>
                    <w:right w:val="none" w:sz="0" w:space="0" w:color="auto"/>
                  </w:divBdr>
                  <w:divsChild>
                    <w:div w:id="930041874">
                      <w:marLeft w:val="0"/>
                      <w:marRight w:val="0"/>
                      <w:marTop w:val="0"/>
                      <w:marBottom w:val="0"/>
                      <w:divBdr>
                        <w:top w:val="none" w:sz="0" w:space="0" w:color="auto"/>
                        <w:left w:val="none" w:sz="0" w:space="0" w:color="auto"/>
                        <w:bottom w:val="none" w:sz="0" w:space="0" w:color="auto"/>
                        <w:right w:val="none" w:sz="0" w:space="0" w:color="auto"/>
                      </w:divBdr>
                      <w:divsChild>
                        <w:div w:id="591207157">
                          <w:marLeft w:val="0"/>
                          <w:marRight w:val="0"/>
                          <w:marTop w:val="0"/>
                          <w:marBottom w:val="0"/>
                          <w:divBdr>
                            <w:top w:val="none" w:sz="0" w:space="0" w:color="auto"/>
                            <w:left w:val="none" w:sz="0" w:space="0" w:color="auto"/>
                            <w:bottom w:val="none" w:sz="0" w:space="0" w:color="auto"/>
                            <w:right w:val="none" w:sz="0" w:space="0" w:color="auto"/>
                          </w:divBdr>
                          <w:divsChild>
                            <w:div w:id="592251005">
                              <w:marLeft w:val="0"/>
                              <w:marRight w:val="0"/>
                              <w:marTop w:val="0"/>
                              <w:marBottom w:val="0"/>
                              <w:divBdr>
                                <w:top w:val="none" w:sz="0" w:space="0" w:color="auto"/>
                                <w:left w:val="none" w:sz="0" w:space="0" w:color="auto"/>
                                <w:bottom w:val="none" w:sz="0" w:space="0" w:color="auto"/>
                                <w:right w:val="none" w:sz="0" w:space="0" w:color="auto"/>
                              </w:divBdr>
                              <w:divsChild>
                                <w:div w:id="779177937">
                                  <w:marLeft w:val="0"/>
                                  <w:marRight w:val="0"/>
                                  <w:marTop w:val="0"/>
                                  <w:marBottom w:val="0"/>
                                  <w:divBdr>
                                    <w:top w:val="none" w:sz="0" w:space="0" w:color="auto"/>
                                    <w:left w:val="none" w:sz="0" w:space="0" w:color="auto"/>
                                    <w:bottom w:val="none" w:sz="0" w:space="0" w:color="auto"/>
                                    <w:right w:val="none" w:sz="0" w:space="0" w:color="auto"/>
                                  </w:divBdr>
                                  <w:divsChild>
                                    <w:div w:id="9853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49697">
      <w:bodyDiv w:val="1"/>
      <w:marLeft w:val="0"/>
      <w:marRight w:val="0"/>
      <w:marTop w:val="0"/>
      <w:marBottom w:val="0"/>
      <w:divBdr>
        <w:top w:val="none" w:sz="0" w:space="0" w:color="auto"/>
        <w:left w:val="none" w:sz="0" w:space="0" w:color="auto"/>
        <w:bottom w:val="none" w:sz="0" w:space="0" w:color="auto"/>
        <w:right w:val="none" w:sz="0" w:space="0" w:color="auto"/>
      </w:divBdr>
      <w:divsChild>
        <w:div w:id="332030089">
          <w:marLeft w:val="0"/>
          <w:marRight w:val="0"/>
          <w:marTop w:val="0"/>
          <w:marBottom w:val="0"/>
          <w:divBdr>
            <w:top w:val="none" w:sz="0" w:space="0" w:color="auto"/>
            <w:left w:val="none" w:sz="0" w:space="0" w:color="auto"/>
            <w:bottom w:val="none" w:sz="0" w:space="0" w:color="auto"/>
            <w:right w:val="none" w:sz="0" w:space="0" w:color="auto"/>
          </w:divBdr>
          <w:divsChild>
            <w:div w:id="684938770">
              <w:marLeft w:val="0"/>
              <w:marRight w:val="0"/>
              <w:marTop w:val="0"/>
              <w:marBottom w:val="0"/>
              <w:divBdr>
                <w:top w:val="none" w:sz="0" w:space="0" w:color="auto"/>
                <w:left w:val="none" w:sz="0" w:space="0" w:color="auto"/>
                <w:bottom w:val="none" w:sz="0" w:space="0" w:color="auto"/>
                <w:right w:val="none" w:sz="0" w:space="0" w:color="auto"/>
              </w:divBdr>
              <w:divsChild>
                <w:div w:id="1409304539">
                  <w:marLeft w:val="0"/>
                  <w:marRight w:val="0"/>
                  <w:marTop w:val="0"/>
                  <w:marBottom w:val="0"/>
                  <w:divBdr>
                    <w:top w:val="none" w:sz="0" w:space="0" w:color="auto"/>
                    <w:left w:val="none" w:sz="0" w:space="0" w:color="auto"/>
                    <w:bottom w:val="none" w:sz="0" w:space="0" w:color="auto"/>
                    <w:right w:val="none" w:sz="0" w:space="0" w:color="auto"/>
                  </w:divBdr>
                  <w:divsChild>
                    <w:div w:id="2082437417">
                      <w:marLeft w:val="0"/>
                      <w:marRight w:val="0"/>
                      <w:marTop w:val="0"/>
                      <w:marBottom w:val="0"/>
                      <w:divBdr>
                        <w:top w:val="none" w:sz="0" w:space="0" w:color="auto"/>
                        <w:left w:val="none" w:sz="0" w:space="0" w:color="auto"/>
                        <w:bottom w:val="none" w:sz="0" w:space="0" w:color="auto"/>
                        <w:right w:val="none" w:sz="0" w:space="0" w:color="auto"/>
                      </w:divBdr>
                      <w:divsChild>
                        <w:div w:id="1519806378">
                          <w:marLeft w:val="0"/>
                          <w:marRight w:val="0"/>
                          <w:marTop w:val="0"/>
                          <w:marBottom w:val="0"/>
                          <w:divBdr>
                            <w:top w:val="none" w:sz="0" w:space="0" w:color="auto"/>
                            <w:left w:val="none" w:sz="0" w:space="0" w:color="auto"/>
                            <w:bottom w:val="none" w:sz="0" w:space="0" w:color="auto"/>
                            <w:right w:val="none" w:sz="0" w:space="0" w:color="auto"/>
                          </w:divBdr>
                          <w:divsChild>
                            <w:div w:id="304160362">
                              <w:marLeft w:val="0"/>
                              <w:marRight w:val="0"/>
                              <w:marTop w:val="0"/>
                              <w:marBottom w:val="0"/>
                              <w:divBdr>
                                <w:top w:val="none" w:sz="0" w:space="0" w:color="auto"/>
                                <w:left w:val="none" w:sz="0" w:space="0" w:color="auto"/>
                                <w:bottom w:val="none" w:sz="0" w:space="0" w:color="auto"/>
                                <w:right w:val="none" w:sz="0" w:space="0" w:color="auto"/>
                              </w:divBdr>
                              <w:divsChild>
                                <w:div w:id="877201075">
                                  <w:marLeft w:val="0"/>
                                  <w:marRight w:val="0"/>
                                  <w:marTop w:val="0"/>
                                  <w:marBottom w:val="0"/>
                                  <w:divBdr>
                                    <w:top w:val="none" w:sz="0" w:space="0" w:color="auto"/>
                                    <w:left w:val="none" w:sz="0" w:space="0" w:color="auto"/>
                                    <w:bottom w:val="none" w:sz="0" w:space="0" w:color="auto"/>
                                    <w:right w:val="none" w:sz="0" w:space="0" w:color="auto"/>
                                  </w:divBdr>
                                  <w:divsChild>
                                    <w:div w:id="12925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1727684938">
          <w:marLeft w:val="0"/>
          <w:marRight w:val="0"/>
          <w:marTop w:val="0"/>
          <w:marBottom w:val="0"/>
          <w:divBdr>
            <w:top w:val="none" w:sz="0" w:space="0" w:color="auto"/>
            <w:left w:val="none" w:sz="0" w:space="0" w:color="auto"/>
            <w:bottom w:val="none" w:sz="0" w:space="0" w:color="auto"/>
            <w:right w:val="none" w:sz="0" w:space="0" w:color="auto"/>
          </w:divBdr>
          <w:divsChild>
            <w:div w:id="314578621">
              <w:marLeft w:val="0"/>
              <w:marRight w:val="0"/>
              <w:marTop w:val="0"/>
              <w:marBottom w:val="0"/>
              <w:divBdr>
                <w:top w:val="none" w:sz="0" w:space="0" w:color="auto"/>
                <w:left w:val="none" w:sz="0" w:space="0" w:color="auto"/>
                <w:bottom w:val="none" w:sz="0" w:space="0" w:color="auto"/>
                <w:right w:val="none" w:sz="0" w:space="0" w:color="auto"/>
              </w:divBdr>
              <w:divsChild>
                <w:div w:id="881944504">
                  <w:marLeft w:val="0"/>
                  <w:marRight w:val="0"/>
                  <w:marTop w:val="0"/>
                  <w:marBottom w:val="0"/>
                  <w:divBdr>
                    <w:top w:val="none" w:sz="0" w:space="0" w:color="auto"/>
                    <w:left w:val="none" w:sz="0" w:space="0" w:color="auto"/>
                    <w:bottom w:val="none" w:sz="0" w:space="0" w:color="auto"/>
                    <w:right w:val="none" w:sz="0" w:space="0" w:color="auto"/>
                  </w:divBdr>
                  <w:divsChild>
                    <w:div w:id="1797989353">
                      <w:marLeft w:val="0"/>
                      <w:marRight w:val="0"/>
                      <w:marTop w:val="0"/>
                      <w:marBottom w:val="0"/>
                      <w:divBdr>
                        <w:top w:val="none" w:sz="0" w:space="0" w:color="auto"/>
                        <w:left w:val="none" w:sz="0" w:space="0" w:color="auto"/>
                        <w:bottom w:val="none" w:sz="0" w:space="0" w:color="auto"/>
                        <w:right w:val="none" w:sz="0" w:space="0" w:color="auto"/>
                      </w:divBdr>
                      <w:divsChild>
                        <w:div w:id="1950619132">
                          <w:marLeft w:val="0"/>
                          <w:marRight w:val="0"/>
                          <w:marTop w:val="0"/>
                          <w:marBottom w:val="0"/>
                          <w:divBdr>
                            <w:top w:val="none" w:sz="0" w:space="0" w:color="auto"/>
                            <w:left w:val="none" w:sz="0" w:space="0" w:color="auto"/>
                            <w:bottom w:val="none" w:sz="0" w:space="0" w:color="auto"/>
                            <w:right w:val="none" w:sz="0" w:space="0" w:color="auto"/>
                          </w:divBdr>
                          <w:divsChild>
                            <w:div w:id="1070929281">
                              <w:marLeft w:val="0"/>
                              <w:marRight w:val="0"/>
                              <w:marTop w:val="0"/>
                              <w:marBottom w:val="0"/>
                              <w:divBdr>
                                <w:top w:val="none" w:sz="0" w:space="0" w:color="auto"/>
                                <w:left w:val="none" w:sz="0" w:space="0" w:color="auto"/>
                                <w:bottom w:val="none" w:sz="0" w:space="0" w:color="auto"/>
                                <w:right w:val="none" w:sz="0" w:space="0" w:color="auto"/>
                              </w:divBdr>
                              <w:divsChild>
                                <w:div w:id="1367677215">
                                  <w:marLeft w:val="0"/>
                                  <w:marRight w:val="0"/>
                                  <w:marTop w:val="0"/>
                                  <w:marBottom w:val="0"/>
                                  <w:divBdr>
                                    <w:top w:val="none" w:sz="0" w:space="0" w:color="auto"/>
                                    <w:left w:val="none" w:sz="0" w:space="0" w:color="auto"/>
                                    <w:bottom w:val="none" w:sz="0" w:space="0" w:color="auto"/>
                                    <w:right w:val="none" w:sz="0" w:space="0" w:color="auto"/>
                                  </w:divBdr>
                                  <w:divsChild>
                                    <w:div w:id="5881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336212">
      <w:bodyDiv w:val="1"/>
      <w:marLeft w:val="0"/>
      <w:marRight w:val="0"/>
      <w:marTop w:val="0"/>
      <w:marBottom w:val="0"/>
      <w:divBdr>
        <w:top w:val="none" w:sz="0" w:space="0" w:color="auto"/>
        <w:left w:val="none" w:sz="0" w:space="0" w:color="auto"/>
        <w:bottom w:val="none" w:sz="0" w:space="0" w:color="auto"/>
        <w:right w:val="none" w:sz="0" w:space="0" w:color="auto"/>
      </w:divBdr>
      <w:divsChild>
        <w:div w:id="1453749276">
          <w:marLeft w:val="0"/>
          <w:marRight w:val="0"/>
          <w:marTop w:val="0"/>
          <w:marBottom w:val="0"/>
          <w:divBdr>
            <w:top w:val="none" w:sz="0" w:space="0" w:color="auto"/>
            <w:left w:val="none" w:sz="0" w:space="0" w:color="auto"/>
            <w:bottom w:val="none" w:sz="0" w:space="0" w:color="auto"/>
            <w:right w:val="none" w:sz="0" w:space="0" w:color="auto"/>
          </w:divBdr>
          <w:divsChild>
            <w:div w:id="1560243700">
              <w:marLeft w:val="0"/>
              <w:marRight w:val="0"/>
              <w:marTop w:val="0"/>
              <w:marBottom w:val="0"/>
              <w:divBdr>
                <w:top w:val="none" w:sz="0" w:space="0" w:color="auto"/>
                <w:left w:val="none" w:sz="0" w:space="0" w:color="auto"/>
                <w:bottom w:val="none" w:sz="0" w:space="0" w:color="auto"/>
                <w:right w:val="none" w:sz="0" w:space="0" w:color="auto"/>
              </w:divBdr>
              <w:divsChild>
                <w:div w:id="1164323245">
                  <w:marLeft w:val="0"/>
                  <w:marRight w:val="0"/>
                  <w:marTop w:val="0"/>
                  <w:marBottom w:val="0"/>
                  <w:divBdr>
                    <w:top w:val="none" w:sz="0" w:space="0" w:color="auto"/>
                    <w:left w:val="none" w:sz="0" w:space="0" w:color="auto"/>
                    <w:bottom w:val="none" w:sz="0" w:space="0" w:color="auto"/>
                    <w:right w:val="none" w:sz="0" w:space="0" w:color="auto"/>
                  </w:divBdr>
                  <w:divsChild>
                    <w:div w:id="751122504">
                      <w:marLeft w:val="0"/>
                      <w:marRight w:val="0"/>
                      <w:marTop w:val="0"/>
                      <w:marBottom w:val="0"/>
                      <w:divBdr>
                        <w:top w:val="none" w:sz="0" w:space="0" w:color="auto"/>
                        <w:left w:val="none" w:sz="0" w:space="0" w:color="auto"/>
                        <w:bottom w:val="none" w:sz="0" w:space="0" w:color="auto"/>
                        <w:right w:val="none" w:sz="0" w:space="0" w:color="auto"/>
                      </w:divBdr>
                      <w:divsChild>
                        <w:div w:id="1233127776">
                          <w:marLeft w:val="0"/>
                          <w:marRight w:val="0"/>
                          <w:marTop w:val="0"/>
                          <w:marBottom w:val="0"/>
                          <w:divBdr>
                            <w:top w:val="none" w:sz="0" w:space="0" w:color="auto"/>
                            <w:left w:val="none" w:sz="0" w:space="0" w:color="auto"/>
                            <w:bottom w:val="none" w:sz="0" w:space="0" w:color="auto"/>
                            <w:right w:val="none" w:sz="0" w:space="0" w:color="auto"/>
                          </w:divBdr>
                          <w:divsChild>
                            <w:div w:id="172302460">
                              <w:marLeft w:val="0"/>
                              <w:marRight w:val="0"/>
                              <w:marTop w:val="0"/>
                              <w:marBottom w:val="0"/>
                              <w:divBdr>
                                <w:top w:val="none" w:sz="0" w:space="0" w:color="auto"/>
                                <w:left w:val="none" w:sz="0" w:space="0" w:color="auto"/>
                                <w:bottom w:val="none" w:sz="0" w:space="0" w:color="auto"/>
                                <w:right w:val="none" w:sz="0" w:space="0" w:color="auto"/>
                              </w:divBdr>
                              <w:divsChild>
                                <w:div w:id="1949458949">
                                  <w:marLeft w:val="0"/>
                                  <w:marRight w:val="0"/>
                                  <w:marTop w:val="0"/>
                                  <w:marBottom w:val="0"/>
                                  <w:divBdr>
                                    <w:top w:val="none" w:sz="0" w:space="0" w:color="auto"/>
                                    <w:left w:val="none" w:sz="0" w:space="0" w:color="auto"/>
                                    <w:bottom w:val="none" w:sz="0" w:space="0" w:color="auto"/>
                                    <w:right w:val="none" w:sz="0" w:space="0" w:color="auto"/>
                                  </w:divBdr>
                                  <w:divsChild>
                                    <w:div w:id="7750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4126">
      <w:bodyDiv w:val="1"/>
      <w:marLeft w:val="0"/>
      <w:marRight w:val="0"/>
      <w:marTop w:val="0"/>
      <w:marBottom w:val="0"/>
      <w:divBdr>
        <w:top w:val="none" w:sz="0" w:space="0" w:color="auto"/>
        <w:left w:val="none" w:sz="0" w:space="0" w:color="auto"/>
        <w:bottom w:val="none" w:sz="0" w:space="0" w:color="auto"/>
        <w:right w:val="none" w:sz="0" w:space="0" w:color="auto"/>
      </w:divBdr>
      <w:divsChild>
        <w:div w:id="943998111">
          <w:marLeft w:val="0"/>
          <w:marRight w:val="0"/>
          <w:marTop w:val="0"/>
          <w:marBottom w:val="0"/>
          <w:divBdr>
            <w:top w:val="none" w:sz="0" w:space="0" w:color="auto"/>
            <w:left w:val="none" w:sz="0" w:space="0" w:color="auto"/>
            <w:bottom w:val="none" w:sz="0" w:space="0" w:color="auto"/>
            <w:right w:val="none" w:sz="0" w:space="0" w:color="auto"/>
          </w:divBdr>
          <w:divsChild>
            <w:div w:id="296028882">
              <w:marLeft w:val="0"/>
              <w:marRight w:val="0"/>
              <w:marTop w:val="0"/>
              <w:marBottom w:val="0"/>
              <w:divBdr>
                <w:top w:val="none" w:sz="0" w:space="0" w:color="auto"/>
                <w:left w:val="none" w:sz="0" w:space="0" w:color="auto"/>
                <w:bottom w:val="none" w:sz="0" w:space="0" w:color="auto"/>
                <w:right w:val="none" w:sz="0" w:space="0" w:color="auto"/>
              </w:divBdr>
              <w:divsChild>
                <w:div w:id="993140181">
                  <w:marLeft w:val="0"/>
                  <w:marRight w:val="0"/>
                  <w:marTop w:val="0"/>
                  <w:marBottom w:val="0"/>
                  <w:divBdr>
                    <w:top w:val="none" w:sz="0" w:space="0" w:color="auto"/>
                    <w:left w:val="none" w:sz="0" w:space="0" w:color="auto"/>
                    <w:bottom w:val="none" w:sz="0" w:space="0" w:color="auto"/>
                    <w:right w:val="none" w:sz="0" w:space="0" w:color="auto"/>
                  </w:divBdr>
                  <w:divsChild>
                    <w:div w:id="2024479130">
                      <w:marLeft w:val="0"/>
                      <w:marRight w:val="0"/>
                      <w:marTop w:val="0"/>
                      <w:marBottom w:val="0"/>
                      <w:divBdr>
                        <w:top w:val="none" w:sz="0" w:space="0" w:color="auto"/>
                        <w:left w:val="none" w:sz="0" w:space="0" w:color="auto"/>
                        <w:bottom w:val="none" w:sz="0" w:space="0" w:color="auto"/>
                        <w:right w:val="none" w:sz="0" w:space="0" w:color="auto"/>
                      </w:divBdr>
                      <w:divsChild>
                        <w:div w:id="2094890279">
                          <w:marLeft w:val="0"/>
                          <w:marRight w:val="0"/>
                          <w:marTop w:val="0"/>
                          <w:marBottom w:val="0"/>
                          <w:divBdr>
                            <w:top w:val="none" w:sz="0" w:space="0" w:color="auto"/>
                            <w:left w:val="none" w:sz="0" w:space="0" w:color="auto"/>
                            <w:bottom w:val="none" w:sz="0" w:space="0" w:color="auto"/>
                            <w:right w:val="none" w:sz="0" w:space="0" w:color="auto"/>
                          </w:divBdr>
                          <w:divsChild>
                            <w:div w:id="1384598276">
                              <w:marLeft w:val="0"/>
                              <w:marRight w:val="0"/>
                              <w:marTop w:val="0"/>
                              <w:marBottom w:val="0"/>
                              <w:divBdr>
                                <w:top w:val="none" w:sz="0" w:space="0" w:color="auto"/>
                                <w:left w:val="none" w:sz="0" w:space="0" w:color="auto"/>
                                <w:bottom w:val="none" w:sz="0" w:space="0" w:color="auto"/>
                                <w:right w:val="none" w:sz="0" w:space="0" w:color="auto"/>
                              </w:divBdr>
                              <w:divsChild>
                                <w:div w:id="1472211880">
                                  <w:marLeft w:val="0"/>
                                  <w:marRight w:val="0"/>
                                  <w:marTop w:val="0"/>
                                  <w:marBottom w:val="0"/>
                                  <w:divBdr>
                                    <w:top w:val="none" w:sz="0" w:space="0" w:color="auto"/>
                                    <w:left w:val="none" w:sz="0" w:space="0" w:color="auto"/>
                                    <w:bottom w:val="none" w:sz="0" w:space="0" w:color="auto"/>
                                    <w:right w:val="none" w:sz="0" w:space="0" w:color="auto"/>
                                  </w:divBdr>
                                  <w:divsChild>
                                    <w:div w:id="1438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10984">
      <w:bodyDiv w:val="1"/>
      <w:marLeft w:val="0"/>
      <w:marRight w:val="0"/>
      <w:marTop w:val="0"/>
      <w:marBottom w:val="0"/>
      <w:divBdr>
        <w:top w:val="none" w:sz="0" w:space="0" w:color="auto"/>
        <w:left w:val="none" w:sz="0" w:space="0" w:color="auto"/>
        <w:bottom w:val="none" w:sz="0" w:space="0" w:color="auto"/>
        <w:right w:val="none" w:sz="0" w:space="0" w:color="auto"/>
      </w:divBdr>
      <w:divsChild>
        <w:div w:id="584995382">
          <w:marLeft w:val="0"/>
          <w:marRight w:val="0"/>
          <w:marTop w:val="0"/>
          <w:marBottom w:val="0"/>
          <w:divBdr>
            <w:top w:val="none" w:sz="0" w:space="0" w:color="auto"/>
            <w:left w:val="none" w:sz="0" w:space="0" w:color="auto"/>
            <w:bottom w:val="none" w:sz="0" w:space="0" w:color="auto"/>
            <w:right w:val="none" w:sz="0" w:space="0" w:color="auto"/>
          </w:divBdr>
          <w:divsChild>
            <w:div w:id="1912884210">
              <w:marLeft w:val="0"/>
              <w:marRight w:val="0"/>
              <w:marTop w:val="0"/>
              <w:marBottom w:val="0"/>
              <w:divBdr>
                <w:top w:val="none" w:sz="0" w:space="0" w:color="auto"/>
                <w:left w:val="none" w:sz="0" w:space="0" w:color="auto"/>
                <w:bottom w:val="none" w:sz="0" w:space="0" w:color="auto"/>
                <w:right w:val="none" w:sz="0" w:space="0" w:color="auto"/>
              </w:divBdr>
              <w:divsChild>
                <w:div w:id="2071882786">
                  <w:marLeft w:val="0"/>
                  <w:marRight w:val="0"/>
                  <w:marTop w:val="0"/>
                  <w:marBottom w:val="0"/>
                  <w:divBdr>
                    <w:top w:val="none" w:sz="0" w:space="0" w:color="auto"/>
                    <w:left w:val="none" w:sz="0" w:space="0" w:color="auto"/>
                    <w:bottom w:val="none" w:sz="0" w:space="0" w:color="auto"/>
                    <w:right w:val="none" w:sz="0" w:space="0" w:color="auto"/>
                  </w:divBdr>
                  <w:divsChild>
                    <w:div w:id="1163740351">
                      <w:marLeft w:val="0"/>
                      <w:marRight w:val="0"/>
                      <w:marTop w:val="0"/>
                      <w:marBottom w:val="0"/>
                      <w:divBdr>
                        <w:top w:val="none" w:sz="0" w:space="0" w:color="auto"/>
                        <w:left w:val="none" w:sz="0" w:space="0" w:color="auto"/>
                        <w:bottom w:val="none" w:sz="0" w:space="0" w:color="auto"/>
                        <w:right w:val="none" w:sz="0" w:space="0" w:color="auto"/>
                      </w:divBdr>
                      <w:divsChild>
                        <w:div w:id="365983667">
                          <w:marLeft w:val="0"/>
                          <w:marRight w:val="0"/>
                          <w:marTop w:val="0"/>
                          <w:marBottom w:val="0"/>
                          <w:divBdr>
                            <w:top w:val="none" w:sz="0" w:space="0" w:color="auto"/>
                            <w:left w:val="none" w:sz="0" w:space="0" w:color="auto"/>
                            <w:bottom w:val="none" w:sz="0" w:space="0" w:color="auto"/>
                            <w:right w:val="none" w:sz="0" w:space="0" w:color="auto"/>
                          </w:divBdr>
                          <w:divsChild>
                            <w:div w:id="398136959">
                              <w:marLeft w:val="0"/>
                              <w:marRight w:val="0"/>
                              <w:marTop w:val="0"/>
                              <w:marBottom w:val="0"/>
                              <w:divBdr>
                                <w:top w:val="none" w:sz="0" w:space="0" w:color="auto"/>
                                <w:left w:val="none" w:sz="0" w:space="0" w:color="auto"/>
                                <w:bottom w:val="none" w:sz="0" w:space="0" w:color="auto"/>
                                <w:right w:val="none" w:sz="0" w:space="0" w:color="auto"/>
                              </w:divBdr>
                              <w:divsChild>
                                <w:div w:id="766929114">
                                  <w:marLeft w:val="0"/>
                                  <w:marRight w:val="0"/>
                                  <w:marTop w:val="0"/>
                                  <w:marBottom w:val="0"/>
                                  <w:divBdr>
                                    <w:top w:val="none" w:sz="0" w:space="0" w:color="auto"/>
                                    <w:left w:val="none" w:sz="0" w:space="0" w:color="auto"/>
                                    <w:bottom w:val="none" w:sz="0" w:space="0" w:color="auto"/>
                                    <w:right w:val="none" w:sz="0" w:space="0" w:color="auto"/>
                                  </w:divBdr>
                                  <w:divsChild>
                                    <w:div w:id="9369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150415">
      <w:bodyDiv w:val="1"/>
      <w:marLeft w:val="0"/>
      <w:marRight w:val="0"/>
      <w:marTop w:val="0"/>
      <w:marBottom w:val="0"/>
      <w:divBdr>
        <w:top w:val="none" w:sz="0" w:space="0" w:color="auto"/>
        <w:left w:val="none" w:sz="0" w:space="0" w:color="auto"/>
        <w:bottom w:val="none" w:sz="0" w:space="0" w:color="auto"/>
        <w:right w:val="none" w:sz="0" w:space="0" w:color="auto"/>
      </w:divBdr>
      <w:divsChild>
        <w:div w:id="1878198260">
          <w:marLeft w:val="0"/>
          <w:marRight w:val="0"/>
          <w:marTop w:val="0"/>
          <w:marBottom w:val="0"/>
          <w:divBdr>
            <w:top w:val="none" w:sz="0" w:space="0" w:color="auto"/>
            <w:left w:val="none" w:sz="0" w:space="0" w:color="auto"/>
            <w:bottom w:val="none" w:sz="0" w:space="0" w:color="auto"/>
            <w:right w:val="none" w:sz="0" w:space="0" w:color="auto"/>
          </w:divBdr>
          <w:divsChild>
            <w:div w:id="164102530">
              <w:marLeft w:val="0"/>
              <w:marRight w:val="0"/>
              <w:marTop w:val="0"/>
              <w:marBottom w:val="0"/>
              <w:divBdr>
                <w:top w:val="none" w:sz="0" w:space="0" w:color="auto"/>
                <w:left w:val="none" w:sz="0" w:space="0" w:color="auto"/>
                <w:bottom w:val="none" w:sz="0" w:space="0" w:color="auto"/>
                <w:right w:val="none" w:sz="0" w:space="0" w:color="auto"/>
              </w:divBdr>
              <w:divsChild>
                <w:div w:id="1064640561">
                  <w:marLeft w:val="0"/>
                  <w:marRight w:val="0"/>
                  <w:marTop w:val="0"/>
                  <w:marBottom w:val="0"/>
                  <w:divBdr>
                    <w:top w:val="none" w:sz="0" w:space="0" w:color="auto"/>
                    <w:left w:val="none" w:sz="0" w:space="0" w:color="auto"/>
                    <w:bottom w:val="none" w:sz="0" w:space="0" w:color="auto"/>
                    <w:right w:val="none" w:sz="0" w:space="0" w:color="auto"/>
                  </w:divBdr>
                  <w:divsChild>
                    <w:div w:id="1435438696">
                      <w:marLeft w:val="0"/>
                      <w:marRight w:val="0"/>
                      <w:marTop w:val="0"/>
                      <w:marBottom w:val="0"/>
                      <w:divBdr>
                        <w:top w:val="none" w:sz="0" w:space="0" w:color="auto"/>
                        <w:left w:val="none" w:sz="0" w:space="0" w:color="auto"/>
                        <w:bottom w:val="none" w:sz="0" w:space="0" w:color="auto"/>
                        <w:right w:val="none" w:sz="0" w:space="0" w:color="auto"/>
                      </w:divBdr>
                      <w:divsChild>
                        <w:div w:id="2072145676">
                          <w:marLeft w:val="0"/>
                          <w:marRight w:val="0"/>
                          <w:marTop w:val="0"/>
                          <w:marBottom w:val="0"/>
                          <w:divBdr>
                            <w:top w:val="none" w:sz="0" w:space="0" w:color="auto"/>
                            <w:left w:val="none" w:sz="0" w:space="0" w:color="auto"/>
                            <w:bottom w:val="none" w:sz="0" w:space="0" w:color="auto"/>
                            <w:right w:val="none" w:sz="0" w:space="0" w:color="auto"/>
                          </w:divBdr>
                          <w:divsChild>
                            <w:div w:id="2062824702">
                              <w:marLeft w:val="0"/>
                              <w:marRight w:val="0"/>
                              <w:marTop w:val="0"/>
                              <w:marBottom w:val="0"/>
                              <w:divBdr>
                                <w:top w:val="none" w:sz="0" w:space="0" w:color="auto"/>
                                <w:left w:val="none" w:sz="0" w:space="0" w:color="auto"/>
                                <w:bottom w:val="none" w:sz="0" w:space="0" w:color="auto"/>
                                <w:right w:val="none" w:sz="0" w:space="0" w:color="auto"/>
                              </w:divBdr>
                              <w:divsChild>
                                <w:div w:id="326517935">
                                  <w:marLeft w:val="0"/>
                                  <w:marRight w:val="0"/>
                                  <w:marTop w:val="0"/>
                                  <w:marBottom w:val="0"/>
                                  <w:divBdr>
                                    <w:top w:val="none" w:sz="0" w:space="0" w:color="auto"/>
                                    <w:left w:val="none" w:sz="0" w:space="0" w:color="auto"/>
                                    <w:bottom w:val="none" w:sz="0" w:space="0" w:color="auto"/>
                                    <w:right w:val="none" w:sz="0" w:space="0" w:color="auto"/>
                                  </w:divBdr>
                                  <w:divsChild>
                                    <w:div w:id="1240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922657">
      <w:bodyDiv w:val="1"/>
      <w:marLeft w:val="0"/>
      <w:marRight w:val="0"/>
      <w:marTop w:val="0"/>
      <w:marBottom w:val="0"/>
      <w:divBdr>
        <w:top w:val="none" w:sz="0" w:space="0" w:color="auto"/>
        <w:left w:val="none" w:sz="0" w:space="0" w:color="auto"/>
        <w:bottom w:val="none" w:sz="0" w:space="0" w:color="auto"/>
        <w:right w:val="none" w:sz="0" w:space="0" w:color="auto"/>
      </w:divBdr>
      <w:divsChild>
        <w:div w:id="1209226370">
          <w:marLeft w:val="0"/>
          <w:marRight w:val="0"/>
          <w:marTop w:val="0"/>
          <w:marBottom w:val="0"/>
          <w:divBdr>
            <w:top w:val="none" w:sz="0" w:space="0" w:color="auto"/>
            <w:left w:val="none" w:sz="0" w:space="0" w:color="auto"/>
            <w:bottom w:val="none" w:sz="0" w:space="0" w:color="auto"/>
            <w:right w:val="none" w:sz="0" w:space="0" w:color="auto"/>
          </w:divBdr>
          <w:divsChild>
            <w:div w:id="275530061">
              <w:marLeft w:val="0"/>
              <w:marRight w:val="0"/>
              <w:marTop w:val="0"/>
              <w:marBottom w:val="0"/>
              <w:divBdr>
                <w:top w:val="none" w:sz="0" w:space="0" w:color="auto"/>
                <w:left w:val="none" w:sz="0" w:space="0" w:color="auto"/>
                <w:bottom w:val="none" w:sz="0" w:space="0" w:color="auto"/>
                <w:right w:val="none" w:sz="0" w:space="0" w:color="auto"/>
              </w:divBdr>
              <w:divsChild>
                <w:div w:id="1545749763">
                  <w:marLeft w:val="0"/>
                  <w:marRight w:val="0"/>
                  <w:marTop w:val="0"/>
                  <w:marBottom w:val="0"/>
                  <w:divBdr>
                    <w:top w:val="none" w:sz="0" w:space="0" w:color="auto"/>
                    <w:left w:val="none" w:sz="0" w:space="0" w:color="auto"/>
                    <w:bottom w:val="none" w:sz="0" w:space="0" w:color="auto"/>
                    <w:right w:val="none" w:sz="0" w:space="0" w:color="auto"/>
                  </w:divBdr>
                  <w:divsChild>
                    <w:div w:id="134302958">
                      <w:marLeft w:val="0"/>
                      <w:marRight w:val="0"/>
                      <w:marTop w:val="0"/>
                      <w:marBottom w:val="0"/>
                      <w:divBdr>
                        <w:top w:val="none" w:sz="0" w:space="0" w:color="auto"/>
                        <w:left w:val="none" w:sz="0" w:space="0" w:color="auto"/>
                        <w:bottom w:val="none" w:sz="0" w:space="0" w:color="auto"/>
                        <w:right w:val="none" w:sz="0" w:space="0" w:color="auto"/>
                      </w:divBdr>
                      <w:divsChild>
                        <w:div w:id="870990529">
                          <w:marLeft w:val="0"/>
                          <w:marRight w:val="0"/>
                          <w:marTop w:val="0"/>
                          <w:marBottom w:val="0"/>
                          <w:divBdr>
                            <w:top w:val="none" w:sz="0" w:space="0" w:color="auto"/>
                            <w:left w:val="none" w:sz="0" w:space="0" w:color="auto"/>
                            <w:bottom w:val="none" w:sz="0" w:space="0" w:color="auto"/>
                            <w:right w:val="none" w:sz="0" w:space="0" w:color="auto"/>
                          </w:divBdr>
                          <w:divsChild>
                            <w:div w:id="1830748521">
                              <w:marLeft w:val="0"/>
                              <w:marRight w:val="0"/>
                              <w:marTop w:val="0"/>
                              <w:marBottom w:val="0"/>
                              <w:divBdr>
                                <w:top w:val="none" w:sz="0" w:space="0" w:color="auto"/>
                                <w:left w:val="none" w:sz="0" w:space="0" w:color="auto"/>
                                <w:bottom w:val="none" w:sz="0" w:space="0" w:color="auto"/>
                                <w:right w:val="none" w:sz="0" w:space="0" w:color="auto"/>
                              </w:divBdr>
                              <w:divsChild>
                                <w:div w:id="1712918468">
                                  <w:marLeft w:val="0"/>
                                  <w:marRight w:val="0"/>
                                  <w:marTop w:val="0"/>
                                  <w:marBottom w:val="0"/>
                                  <w:divBdr>
                                    <w:top w:val="none" w:sz="0" w:space="0" w:color="auto"/>
                                    <w:left w:val="none" w:sz="0" w:space="0" w:color="auto"/>
                                    <w:bottom w:val="none" w:sz="0" w:space="0" w:color="auto"/>
                                    <w:right w:val="none" w:sz="0" w:space="0" w:color="auto"/>
                                  </w:divBdr>
                                  <w:divsChild>
                                    <w:div w:id="11666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317863">
      <w:bodyDiv w:val="1"/>
      <w:marLeft w:val="0"/>
      <w:marRight w:val="0"/>
      <w:marTop w:val="0"/>
      <w:marBottom w:val="0"/>
      <w:divBdr>
        <w:top w:val="none" w:sz="0" w:space="0" w:color="auto"/>
        <w:left w:val="none" w:sz="0" w:space="0" w:color="auto"/>
        <w:bottom w:val="none" w:sz="0" w:space="0" w:color="auto"/>
        <w:right w:val="none" w:sz="0" w:space="0" w:color="auto"/>
      </w:divBdr>
    </w:div>
    <w:div w:id="561601506">
      <w:bodyDiv w:val="1"/>
      <w:marLeft w:val="0"/>
      <w:marRight w:val="0"/>
      <w:marTop w:val="0"/>
      <w:marBottom w:val="0"/>
      <w:divBdr>
        <w:top w:val="none" w:sz="0" w:space="0" w:color="auto"/>
        <w:left w:val="none" w:sz="0" w:space="0" w:color="auto"/>
        <w:bottom w:val="none" w:sz="0" w:space="0" w:color="auto"/>
        <w:right w:val="none" w:sz="0" w:space="0" w:color="auto"/>
      </w:divBdr>
      <w:divsChild>
        <w:div w:id="90198493">
          <w:marLeft w:val="0"/>
          <w:marRight w:val="0"/>
          <w:marTop w:val="0"/>
          <w:marBottom w:val="0"/>
          <w:divBdr>
            <w:top w:val="none" w:sz="0" w:space="0" w:color="auto"/>
            <w:left w:val="none" w:sz="0" w:space="0" w:color="auto"/>
            <w:bottom w:val="none" w:sz="0" w:space="0" w:color="auto"/>
            <w:right w:val="none" w:sz="0" w:space="0" w:color="auto"/>
          </w:divBdr>
          <w:divsChild>
            <w:div w:id="1515149402">
              <w:marLeft w:val="0"/>
              <w:marRight w:val="0"/>
              <w:marTop w:val="0"/>
              <w:marBottom w:val="0"/>
              <w:divBdr>
                <w:top w:val="none" w:sz="0" w:space="0" w:color="auto"/>
                <w:left w:val="none" w:sz="0" w:space="0" w:color="auto"/>
                <w:bottom w:val="none" w:sz="0" w:space="0" w:color="auto"/>
                <w:right w:val="none" w:sz="0" w:space="0" w:color="auto"/>
              </w:divBdr>
              <w:divsChild>
                <w:div w:id="929587689">
                  <w:marLeft w:val="0"/>
                  <w:marRight w:val="0"/>
                  <w:marTop w:val="0"/>
                  <w:marBottom w:val="0"/>
                  <w:divBdr>
                    <w:top w:val="none" w:sz="0" w:space="0" w:color="auto"/>
                    <w:left w:val="none" w:sz="0" w:space="0" w:color="auto"/>
                    <w:bottom w:val="none" w:sz="0" w:space="0" w:color="auto"/>
                    <w:right w:val="none" w:sz="0" w:space="0" w:color="auto"/>
                  </w:divBdr>
                  <w:divsChild>
                    <w:div w:id="1051079545">
                      <w:marLeft w:val="0"/>
                      <w:marRight w:val="0"/>
                      <w:marTop w:val="0"/>
                      <w:marBottom w:val="0"/>
                      <w:divBdr>
                        <w:top w:val="none" w:sz="0" w:space="0" w:color="auto"/>
                        <w:left w:val="none" w:sz="0" w:space="0" w:color="auto"/>
                        <w:bottom w:val="none" w:sz="0" w:space="0" w:color="auto"/>
                        <w:right w:val="none" w:sz="0" w:space="0" w:color="auto"/>
                      </w:divBdr>
                      <w:divsChild>
                        <w:div w:id="1025667892">
                          <w:marLeft w:val="0"/>
                          <w:marRight w:val="0"/>
                          <w:marTop w:val="0"/>
                          <w:marBottom w:val="0"/>
                          <w:divBdr>
                            <w:top w:val="none" w:sz="0" w:space="0" w:color="auto"/>
                            <w:left w:val="none" w:sz="0" w:space="0" w:color="auto"/>
                            <w:bottom w:val="none" w:sz="0" w:space="0" w:color="auto"/>
                            <w:right w:val="none" w:sz="0" w:space="0" w:color="auto"/>
                          </w:divBdr>
                          <w:divsChild>
                            <w:div w:id="2100367566">
                              <w:marLeft w:val="0"/>
                              <w:marRight w:val="0"/>
                              <w:marTop w:val="0"/>
                              <w:marBottom w:val="0"/>
                              <w:divBdr>
                                <w:top w:val="none" w:sz="0" w:space="0" w:color="auto"/>
                                <w:left w:val="none" w:sz="0" w:space="0" w:color="auto"/>
                                <w:bottom w:val="none" w:sz="0" w:space="0" w:color="auto"/>
                                <w:right w:val="none" w:sz="0" w:space="0" w:color="auto"/>
                              </w:divBdr>
                              <w:divsChild>
                                <w:div w:id="1383167151">
                                  <w:marLeft w:val="0"/>
                                  <w:marRight w:val="0"/>
                                  <w:marTop w:val="0"/>
                                  <w:marBottom w:val="0"/>
                                  <w:divBdr>
                                    <w:top w:val="none" w:sz="0" w:space="0" w:color="auto"/>
                                    <w:left w:val="none" w:sz="0" w:space="0" w:color="auto"/>
                                    <w:bottom w:val="none" w:sz="0" w:space="0" w:color="auto"/>
                                    <w:right w:val="none" w:sz="0" w:space="0" w:color="auto"/>
                                  </w:divBdr>
                                  <w:divsChild>
                                    <w:div w:id="9032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695082418">
      <w:bodyDiv w:val="1"/>
      <w:marLeft w:val="0"/>
      <w:marRight w:val="0"/>
      <w:marTop w:val="0"/>
      <w:marBottom w:val="0"/>
      <w:divBdr>
        <w:top w:val="none" w:sz="0" w:space="0" w:color="auto"/>
        <w:left w:val="none" w:sz="0" w:space="0" w:color="auto"/>
        <w:bottom w:val="none" w:sz="0" w:space="0" w:color="auto"/>
        <w:right w:val="none" w:sz="0" w:space="0" w:color="auto"/>
      </w:divBdr>
      <w:divsChild>
        <w:div w:id="572592751">
          <w:marLeft w:val="0"/>
          <w:marRight w:val="0"/>
          <w:marTop w:val="0"/>
          <w:marBottom w:val="0"/>
          <w:divBdr>
            <w:top w:val="none" w:sz="0" w:space="0" w:color="auto"/>
            <w:left w:val="none" w:sz="0" w:space="0" w:color="auto"/>
            <w:bottom w:val="none" w:sz="0" w:space="0" w:color="auto"/>
            <w:right w:val="none" w:sz="0" w:space="0" w:color="auto"/>
          </w:divBdr>
          <w:divsChild>
            <w:div w:id="1252816385">
              <w:marLeft w:val="0"/>
              <w:marRight w:val="0"/>
              <w:marTop w:val="0"/>
              <w:marBottom w:val="0"/>
              <w:divBdr>
                <w:top w:val="none" w:sz="0" w:space="0" w:color="auto"/>
                <w:left w:val="none" w:sz="0" w:space="0" w:color="auto"/>
                <w:bottom w:val="none" w:sz="0" w:space="0" w:color="auto"/>
                <w:right w:val="none" w:sz="0" w:space="0" w:color="auto"/>
              </w:divBdr>
              <w:divsChild>
                <w:div w:id="674766111">
                  <w:marLeft w:val="0"/>
                  <w:marRight w:val="0"/>
                  <w:marTop w:val="0"/>
                  <w:marBottom w:val="0"/>
                  <w:divBdr>
                    <w:top w:val="none" w:sz="0" w:space="0" w:color="auto"/>
                    <w:left w:val="none" w:sz="0" w:space="0" w:color="auto"/>
                    <w:bottom w:val="none" w:sz="0" w:space="0" w:color="auto"/>
                    <w:right w:val="none" w:sz="0" w:space="0" w:color="auto"/>
                  </w:divBdr>
                  <w:divsChild>
                    <w:div w:id="1068267206">
                      <w:marLeft w:val="0"/>
                      <w:marRight w:val="0"/>
                      <w:marTop w:val="0"/>
                      <w:marBottom w:val="0"/>
                      <w:divBdr>
                        <w:top w:val="none" w:sz="0" w:space="0" w:color="auto"/>
                        <w:left w:val="none" w:sz="0" w:space="0" w:color="auto"/>
                        <w:bottom w:val="none" w:sz="0" w:space="0" w:color="auto"/>
                        <w:right w:val="none" w:sz="0" w:space="0" w:color="auto"/>
                      </w:divBdr>
                      <w:divsChild>
                        <w:div w:id="429737330">
                          <w:marLeft w:val="0"/>
                          <w:marRight w:val="0"/>
                          <w:marTop w:val="0"/>
                          <w:marBottom w:val="0"/>
                          <w:divBdr>
                            <w:top w:val="none" w:sz="0" w:space="0" w:color="auto"/>
                            <w:left w:val="none" w:sz="0" w:space="0" w:color="auto"/>
                            <w:bottom w:val="none" w:sz="0" w:space="0" w:color="auto"/>
                            <w:right w:val="none" w:sz="0" w:space="0" w:color="auto"/>
                          </w:divBdr>
                          <w:divsChild>
                            <w:div w:id="1406679578">
                              <w:marLeft w:val="0"/>
                              <w:marRight w:val="0"/>
                              <w:marTop w:val="0"/>
                              <w:marBottom w:val="0"/>
                              <w:divBdr>
                                <w:top w:val="none" w:sz="0" w:space="0" w:color="auto"/>
                                <w:left w:val="none" w:sz="0" w:space="0" w:color="auto"/>
                                <w:bottom w:val="none" w:sz="0" w:space="0" w:color="auto"/>
                                <w:right w:val="none" w:sz="0" w:space="0" w:color="auto"/>
                              </w:divBdr>
                              <w:divsChild>
                                <w:div w:id="468865739">
                                  <w:marLeft w:val="0"/>
                                  <w:marRight w:val="0"/>
                                  <w:marTop w:val="0"/>
                                  <w:marBottom w:val="0"/>
                                  <w:divBdr>
                                    <w:top w:val="none" w:sz="0" w:space="0" w:color="auto"/>
                                    <w:left w:val="none" w:sz="0" w:space="0" w:color="auto"/>
                                    <w:bottom w:val="none" w:sz="0" w:space="0" w:color="auto"/>
                                    <w:right w:val="none" w:sz="0" w:space="0" w:color="auto"/>
                                  </w:divBdr>
                                  <w:divsChild>
                                    <w:div w:id="17597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114569">
      <w:bodyDiv w:val="1"/>
      <w:marLeft w:val="0"/>
      <w:marRight w:val="0"/>
      <w:marTop w:val="0"/>
      <w:marBottom w:val="0"/>
      <w:divBdr>
        <w:top w:val="none" w:sz="0" w:space="0" w:color="auto"/>
        <w:left w:val="none" w:sz="0" w:space="0" w:color="auto"/>
        <w:bottom w:val="none" w:sz="0" w:space="0" w:color="auto"/>
        <w:right w:val="none" w:sz="0" w:space="0" w:color="auto"/>
      </w:divBdr>
      <w:divsChild>
        <w:div w:id="664750090">
          <w:marLeft w:val="0"/>
          <w:marRight w:val="0"/>
          <w:marTop w:val="0"/>
          <w:marBottom w:val="0"/>
          <w:divBdr>
            <w:top w:val="none" w:sz="0" w:space="0" w:color="auto"/>
            <w:left w:val="none" w:sz="0" w:space="0" w:color="auto"/>
            <w:bottom w:val="none" w:sz="0" w:space="0" w:color="auto"/>
            <w:right w:val="none" w:sz="0" w:space="0" w:color="auto"/>
          </w:divBdr>
          <w:divsChild>
            <w:div w:id="1193492132">
              <w:marLeft w:val="0"/>
              <w:marRight w:val="0"/>
              <w:marTop w:val="0"/>
              <w:marBottom w:val="0"/>
              <w:divBdr>
                <w:top w:val="none" w:sz="0" w:space="0" w:color="auto"/>
                <w:left w:val="none" w:sz="0" w:space="0" w:color="auto"/>
                <w:bottom w:val="none" w:sz="0" w:space="0" w:color="auto"/>
                <w:right w:val="none" w:sz="0" w:space="0" w:color="auto"/>
              </w:divBdr>
              <w:divsChild>
                <w:div w:id="211581168">
                  <w:marLeft w:val="0"/>
                  <w:marRight w:val="0"/>
                  <w:marTop w:val="0"/>
                  <w:marBottom w:val="0"/>
                  <w:divBdr>
                    <w:top w:val="none" w:sz="0" w:space="0" w:color="auto"/>
                    <w:left w:val="none" w:sz="0" w:space="0" w:color="auto"/>
                    <w:bottom w:val="none" w:sz="0" w:space="0" w:color="auto"/>
                    <w:right w:val="none" w:sz="0" w:space="0" w:color="auto"/>
                  </w:divBdr>
                  <w:divsChild>
                    <w:div w:id="707410875">
                      <w:marLeft w:val="0"/>
                      <w:marRight w:val="0"/>
                      <w:marTop w:val="0"/>
                      <w:marBottom w:val="0"/>
                      <w:divBdr>
                        <w:top w:val="none" w:sz="0" w:space="0" w:color="auto"/>
                        <w:left w:val="none" w:sz="0" w:space="0" w:color="auto"/>
                        <w:bottom w:val="none" w:sz="0" w:space="0" w:color="auto"/>
                        <w:right w:val="none" w:sz="0" w:space="0" w:color="auto"/>
                      </w:divBdr>
                      <w:divsChild>
                        <w:div w:id="1591084704">
                          <w:marLeft w:val="0"/>
                          <w:marRight w:val="0"/>
                          <w:marTop w:val="0"/>
                          <w:marBottom w:val="0"/>
                          <w:divBdr>
                            <w:top w:val="none" w:sz="0" w:space="0" w:color="auto"/>
                            <w:left w:val="none" w:sz="0" w:space="0" w:color="auto"/>
                            <w:bottom w:val="none" w:sz="0" w:space="0" w:color="auto"/>
                            <w:right w:val="none" w:sz="0" w:space="0" w:color="auto"/>
                          </w:divBdr>
                          <w:divsChild>
                            <w:div w:id="1041856639">
                              <w:marLeft w:val="0"/>
                              <w:marRight w:val="0"/>
                              <w:marTop w:val="0"/>
                              <w:marBottom w:val="0"/>
                              <w:divBdr>
                                <w:top w:val="none" w:sz="0" w:space="0" w:color="auto"/>
                                <w:left w:val="none" w:sz="0" w:space="0" w:color="auto"/>
                                <w:bottom w:val="none" w:sz="0" w:space="0" w:color="auto"/>
                                <w:right w:val="none" w:sz="0" w:space="0" w:color="auto"/>
                              </w:divBdr>
                              <w:divsChild>
                                <w:div w:id="97068079">
                                  <w:marLeft w:val="0"/>
                                  <w:marRight w:val="0"/>
                                  <w:marTop w:val="0"/>
                                  <w:marBottom w:val="0"/>
                                  <w:divBdr>
                                    <w:top w:val="none" w:sz="0" w:space="0" w:color="auto"/>
                                    <w:left w:val="none" w:sz="0" w:space="0" w:color="auto"/>
                                    <w:bottom w:val="none" w:sz="0" w:space="0" w:color="auto"/>
                                    <w:right w:val="none" w:sz="0" w:space="0" w:color="auto"/>
                                  </w:divBdr>
                                  <w:divsChild>
                                    <w:div w:id="6945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463969">
      <w:bodyDiv w:val="1"/>
      <w:marLeft w:val="0"/>
      <w:marRight w:val="0"/>
      <w:marTop w:val="0"/>
      <w:marBottom w:val="0"/>
      <w:divBdr>
        <w:top w:val="none" w:sz="0" w:space="0" w:color="auto"/>
        <w:left w:val="none" w:sz="0" w:space="0" w:color="auto"/>
        <w:bottom w:val="none" w:sz="0" w:space="0" w:color="auto"/>
        <w:right w:val="none" w:sz="0" w:space="0" w:color="auto"/>
      </w:divBdr>
      <w:divsChild>
        <w:div w:id="1917280972">
          <w:marLeft w:val="0"/>
          <w:marRight w:val="0"/>
          <w:marTop w:val="0"/>
          <w:marBottom w:val="0"/>
          <w:divBdr>
            <w:top w:val="none" w:sz="0" w:space="0" w:color="auto"/>
            <w:left w:val="none" w:sz="0" w:space="0" w:color="auto"/>
            <w:bottom w:val="none" w:sz="0" w:space="0" w:color="auto"/>
            <w:right w:val="none" w:sz="0" w:space="0" w:color="auto"/>
          </w:divBdr>
          <w:divsChild>
            <w:div w:id="1945842284">
              <w:marLeft w:val="0"/>
              <w:marRight w:val="0"/>
              <w:marTop w:val="0"/>
              <w:marBottom w:val="0"/>
              <w:divBdr>
                <w:top w:val="none" w:sz="0" w:space="0" w:color="auto"/>
                <w:left w:val="none" w:sz="0" w:space="0" w:color="auto"/>
                <w:bottom w:val="none" w:sz="0" w:space="0" w:color="auto"/>
                <w:right w:val="none" w:sz="0" w:space="0" w:color="auto"/>
              </w:divBdr>
              <w:divsChild>
                <w:div w:id="1149060080">
                  <w:marLeft w:val="0"/>
                  <w:marRight w:val="0"/>
                  <w:marTop w:val="0"/>
                  <w:marBottom w:val="0"/>
                  <w:divBdr>
                    <w:top w:val="none" w:sz="0" w:space="0" w:color="auto"/>
                    <w:left w:val="none" w:sz="0" w:space="0" w:color="auto"/>
                    <w:bottom w:val="none" w:sz="0" w:space="0" w:color="auto"/>
                    <w:right w:val="none" w:sz="0" w:space="0" w:color="auto"/>
                  </w:divBdr>
                  <w:divsChild>
                    <w:div w:id="643006054">
                      <w:marLeft w:val="0"/>
                      <w:marRight w:val="0"/>
                      <w:marTop w:val="0"/>
                      <w:marBottom w:val="0"/>
                      <w:divBdr>
                        <w:top w:val="none" w:sz="0" w:space="0" w:color="auto"/>
                        <w:left w:val="none" w:sz="0" w:space="0" w:color="auto"/>
                        <w:bottom w:val="none" w:sz="0" w:space="0" w:color="auto"/>
                        <w:right w:val="none" w:sz="0" w:space="0" w:color="auto"/>
                      </w:divBdr>
                      <w:divsChild>
                        <w:div w:id="1762337792">
                          <w:marLeft w:val="0"/>
                          <w:marRight w:val="0"/>
                          <w:marTop w:val="0"/>
                          <w:marBottom w:val="0"/>
                          <w:divBdr>
                            <w:top w:val="none" w:sz="0" w:space="0" w:color="auto"/>
                            <w:left w:val="none" w:sz="0" w:space="0" w:color="auto"/>
                            <w:bottom w:val="none" w:sz="0" w:space="0" w:color="auto"/>
                            <w:right w:val="none" w:sz="0" w:space="0" w:color="auto"/>
                          </w:divBdr>
                          <w:divsChild>
                            <w:div w:id="257837734">
                              <w:marLeft w:val="0"/>
                              <w:marRight w:val="0"/>
                              <w:marTop w:val="0"/>
                              <w:marBottom w:val="0"/>
                              <w:divBdr>
                                <w:top w:val="none" w:sz="0" w:space="0" w:color="auto"/>
                                <w:left w:val="none" w:sz="0" w:space="0" w:color="auto"/>
                                <w:bottom w:val="none" w:sz="0" w:space="0" w:color="auto"/>
                                <w:right w:val="none" w:sz="0" w:space="0" w:color="auto"/>
                              </w:divBdr>
                              <w:divsChild>
                                <w:div w:id="1395927050">
                                  <w:marLeft w:val="0"/>
                                  <w:marRight w:val="0"/>
                                  <w:marTop w:val="0"/>
                                  <w:marBottom w:val="0"/>
                                  <w:divBdr>
                                    <w:top w:val="none" w:sz="0" w:space="0" w:color="auto"/>
                                    <w:left w:val="none" w:sz="0" w:space="0" w:color="auto"/>
                                    <w:bottom w:val="none" w:sz="0" w:space="0" w:color="auto"/>
                                    <w:right w:val="none" w:sz="0" w:space="0" w:color="auto"/>
                                  </w:divBdr>
                                  <w:divsChild>
                                    <w:div w:id="17899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988687">
      <w:bodyDiv w:val="1"/>
      <w:marLeft w:val="0"/>
      <w:marRight w:val="0"/>
      <w:marTop w:val="0"/>
      <w:marBottom w:val="0"/>
      <w:divBdr>
        <w:top w:val="none" w:sz="0" w:space="0" w:color="auto"/>
        <w:left w:val="none" w:sz="0" w:space="0" w:color="auto"/>
        <w:bottom w:val="none" w:sz="0" w:space="0" w:color="auto"/>
        <w:right w:val="none" w:sz="0" w:space="0" w:color="auto"/>
      </w:divBdr>
    </w:div>
    <w:div w:id="1435709047">
      <w:bodyDiv w:val="1"/>
      <w:marLeft w:val="0"/>
      <w:marRight w:val="0"/>
      <w:marTop w:val="0"/>
      <w:marBottom w:val="0"/>
      <w:divBdr>
        <w:top w:val="none" w:sz="0" w:space="0" w:color="auto"/>
        <w:left w:val="none" w:sz="0" w:space="0" w:color="auto"/>
        <w:bottom w:val="none" w:sz="0" w:space="0" w:color="auto"/>
        <w:right w:val="none" w:sz="0" w:space="0" w:color="auto"/>
      </w:divBdr>
    </w:div>
    <w:div w:id="1612710097">
      <w:bodyDiv w:val="1"/>
      <w:marLeft w:val="0"/>
      <w:marRight w:val="0"/>
      <w:marTop w:val="0"/>
      <w:marBottom w:val="0"/>
      <w:divBdr>
        <w:top w:val="none" w:sz="0" w:space="0" w:color="auto"/>
        <w:left w:val="none" w:sz="0" w:space="0" w:color="auto"/>
        <w:bottom w:val="none" w:sz="0" w:space="0" w:color="auto"/>
        <w:right w:val="none" w:sz="0" w:space="0" w:color="auto"/>
      </w:divBdr>
    </w:div>
    <w:div w:id="1628047866">
      <w:bodyDiv w:val="1"/>
      <w:marLeft w:val="0"/>
      <w:marRight w:val="0"/>
      <w:marTop w:val="0"/>
      <w:marBottom w:val="0"/>
      <w:divBdr>
        <w:top w:val="none" w:sz="0" w:space="0" w:color="auto"/>
        <w:left w:val="none" w:sz="0" w:space="0" w:color="auto"/>
        <w:bottom w:val="none" w:sz="0" w:space="0" w:color="auto"/>
        <w:right w:val="none" w:sz="0" w:space="0" w:color="auto"/>
      </w:divBdr>
    </w:div>
    <w:div w:id="1946426661">
      <w:bodyDiv w:val="1"/>
      <w:marLeft w:val="0"/>
      <w:marRight w:val="0"/>
      <w:marTop w:val="0"/>
      <w:marBottom w:val="0"/>
      <w:divBdr>
        <w:top w:val="none" w:sz="0" w:space="0" w:color="auto"/>
        <w:left w:val="none" w:sz="0" w:space="0" w:color="auto"/>
        <w:bottom w:val="none" w:sz="0" w:space="0" w:color="auto"/>
        <w:right w:val="none" w:sz="0" w:space="0" w:color="auto"/>
      </w:divBdr>
    </w:div>
    <w:div w:id="1955668772">
      <w:bodyDiv w:val="1"/>
      <w:marLeft w:val="0"/>
      <w:marRight w:val="0"/>
      <w:marTop w:val="0"/>
      <w:marBottom w:val="0"/>
      <w:divBdr>
        <w:top w:val="none" w:sz="0" w:space="0" w:color="auto"/>
        <w:left w:val="none" w:sz="0" w:space="0" w:color="auto"/>
        <w:bottom w:val="none" w:sz="0" w:space="0" w:color="auto"/>
        <w:right w:val="none" w:sz="0" w:space="0" w:color="auto"/>
      </w:divBdr>
      <w:divsChild>
        <w:div w:id="1814057733">
          <w:marLeft w:val="-300"/>
          <w:marRight w:val="-300"/>
          <w:marTop w:val="0"/>
          <w:marBottom w:val="0"/>
          <w:divBdr>
            <w:top w:val="none" w:sz="0" w:space="0" w:color="auto"/>
            <w:left w:val="none" w:sz="0" w:space="0" w:color="auto"/>
            <w:bottom w:val="none" w:sz="0" w:space="0" w:color="auto"/>
            <w:right w:val="none" w:sz="0" w:space="0" w:color="auto"/>
          </w:divBdr>
          <w:divsChild>
            <w:div w:id="1532497694">
              <w:marLeft w:val="0"/>
              <w:marRight w:val="0"/>
              <w:marTop w:val="0"/>
              <w:marBottom w:val="0"/>
              <w:divBdr>
                <w:top w:val="none" w:sz="0" w:space="0" w:color="auto"/>
                <w:left w:val="none" w:sz="0" w:space="0" w:color="auto"/>
                <w:bottom w:val="none" w:sz="0" w:space="0" w:color="auto"/>
                <w:right w:val="none" w:sz="0" w:space="0" w:color="auto"/>
              </w:divBdr>
              <w:divsChild>
                <w:div w:id="272833614">
                  <w:marLeft w:val="0"/>
                  <w:marRight w:val="0"/>
                  <w:marTop w:val="0"/>
                  <w:marBottom w:val="0"/>
                  <w:divBdr>
                    <w:top w:val="none" w:sz="0" w:space="0" w:color="auto"/>
                    <w:left w:val="none" w:sz="0" w:space="0" w:color="auto"/>
                    <w:bottom w:val="none" w:sz="0" w:space="0" w:color="auto"/>
                    <w:right w:val="none" w:sz="0" w:space="0" w:color="auto"/>
                  </w:divBdr>
                  <w:divsChild>
                    <w:div w:id="1331714508">
                      <w:marLeft w:val="0"/>
                      <w:marRight w:val="0"/>
                      <w:marTop w:val="0"/>
                      <w:marBottom w:val="0"/>
                      <w:divBdr>
                        <w:top w:val="none" w:sz="0" w:space="0" w:color="auto"/>
                        <w:left w:val="none" w:sz="0" w:space="0" w:color="auto"/>
                        <w:bottom w:val="none" w:sz="0" w:space="0" w:color="auto"/>
                        <w:right w:val="none" w:sz="0" w:space="0" w:color="auto"/>
                      </w:divBdr>
                      <w:divsChild>
                        <w:div w:id="1882983800">
                          <w:marLeft w:val="0"/>
                          <w:marRight w:val="0"/>
                          <w:marTop w:val="0"/>
                          <w:marBottom w:val="0"/>
                          <w:divBdr>
                            <w:top w:val="none" w:sz="0" w:space="0" w:color="auto"/>
                            <w:left w:val="none" w:sz="0" w:space="0" w:color="auto"/>
                            <w:bottom w:val="none" w:sz="0" w:space="0" w:color="auto"/>
                            <w:right w:val="none" w:sz="0" w:space="0" w:color="auto"/>
                          </w:divBdr>
                          <w:divsChild>
                            <w:div w:id="133646617">
                              <w:marLeft w:val="0"/>
                              <w:marRight w:val="0"/>
                              <w:marTop w:val="0"/>
                              <w:marBottom w:val="0"/>
                              <w:divBdr>
                                <w:top w:val="none" w:sz="0" w:space="0" w:color="auto"/>
                                <w:left w:val="none" w:sz="0" w:space="0" w:color="auto"/>
                                <w:bottom w:val="none" w:sz="0" w:space="0" w:color="auto"/>
                                <w:right w:val="none" w:sz="0" w:space="0" w:color="auto"/>
                              </w:divBdr>
                              <w:divsChild>
                                <w:div w:id="496000000">
                                  <w:marLeft w:val="0"/>
                                  <w:marRight w:val="0"/>
                                  <w:marTop w:val="0"/>
                                  <w:marBottom w:val="0"/>
                                  <w:divBdr>
                                    <w:top w:val="none" w:sz="0" w:space="0" w:color="auto"/>
                                    <w:left w:val="none" w:sz="0" w:space="0" w:color="auto"/>
                                    <w:bottom w:val="none" w:sz="0" w:space="0" w:color="auto"/>
                                    <w:right w:val="none" w:sz="0" w:space="0" w:color="auto"/>
                                  </w:divBdr>
                                  <w:divsChild>
                                    <w:div w:id="1611476549">
                                      <w:marLeft w:val="0"/>
                                      <w:marRight w:val="0"/>
                                      <w:marTop w:val="60"/>
                                      <w:marBottom w:val="300"/>
                                      <w:divBdr>
                                        <w:top w:val="none" w:sz="0" w:space="0" w:color="auto"/>
                                        <w:left w:val="none" w:sz="0" w:space="0" w:color="auto"/>
                                        <w:bottom w:val="none" w:sz="0" w:space="0" w:color="auto"/>
                                        <w:right w:val="none" w:sz="0" w:space="0" w:color="auto"/>
                                      </w:divBdr>
                                      <w:divsChild>
                                        <w:div w:id="931283068">
                                          <w:marLeft w:val="0"/>
                                          <w:marRight w:val="0"/>
                                          <w:marTop w:val="0"/>
                                          <w:marBottom w:val="0"/>
                                          <w:divBdr>
                                            <w:top w:val="none" w:sz="0" w:space="0" w:color="auto"/>
                                            <w:left w:val="none" w:sz="0" w:space="0" w:color="auto"/>
                                            <w:bottom w:val="none" w:sz="0" w:space="0" w:color="auto"/>
                                            <w:right w:val="none" w:sz="0" w:space="0" w:color="auto"/>
                                          </w:divBdr>
                                          <w:divsChild>
                                            <w:div w:id="1387603588">
                                              <w:marLeft w:val="0"/>
                                              <w:marRight w:val="0"/>
                                              <w:marTop w:val="0"/>
                                              <w:marBottom w:val="0"/>
                                              <w:divBdr>
                                                <w:top w:val="none" w:sz="0" w:space="0" w:color="auto"/>
                                                <w:left w:val="none" w:sz="0" w:space="0" w:color="auto"/>
                                                <w:bottom w:val="none" w:sz="0" w:space="0" w:color="auto"/>
                                                <w:right w:val="none" w:sz="0" w:space="0" w:color="auto"/>
                                              </w:divBdr>
                                              <w:divsChild>
                                                <w:div w:id="1226992406">
                                                  <w:marLeft w:val="0"/>
                                                  <w:marRight w:val="0"/>
                                                  <w:marTop w:val="0"/>
                                                  <w:marBottom w:val="0"/>
                                                  <w:divBdr>
                                                    <w:top w:val="none" w:sz="0" w:space="0" w:color="auto"/>
                                                    <w:left w:val="none" w:sz="0" w:space="0" w:color="auto"/>
                                                    <w:bottom w:val="none" w:sz="0" w:space="0" w:color="auto"/>
                                                    <w:right w:val="none" w:sz="0" w:space="0" w:color="auto"/>
                                                  </w:divBdr>
                                                  <w:divsChild>
                                                    <w:div w:id="1772237436">
                                                      <w:marLeft w:val="0"/>
                                                      <w:marRight w:val="0"/>
                                                      <w:marTop w:val="0"/>
                                                      <w:marBottom w:val="0"/>
                                                      <w:divBdr>
                                                        <w:top w:val="none" w:sz="0" w:space="0" w:color="auto"/>
                                                        <w:left w:val="none" w:sz="0" w:space="0" w:color="auto"/>
                                                        <w:bottom w:val="none" w:sz="0" w:space="0" w:color="auto"/>
                                                        <w:right w:val="none" w:sz="0" w:space="0" w:color="auto"/>
                                                      </w:divBdr>
                                                      <w:divsChild>
                                                        <w:div w:id="732773436">
                                                          <w:marLeft w:val="0"/>
                                                          <w:marRight w:val="0"/>
                                                          <w:marTop w:val="0"/>
                                                          <w:marBottom w:val="0"/>
                                                          <w:divBdr>
                                                            <w:top w:val="none" w:sz="0" w:space="0" w:color="auto"/>
                                                            <w:left w:val="none" w:sz="0" w:space="0" w:color="auto"/>
                                                            <w:bottom w:val="none" w:sz="0" w:space="0" w:color="auto"/>
                                                            <w:right w:val="none" w:sz="0" w:space="0" w:color="auto"/>
                                                          </w:divBdr>
                                                          <w:divsChild>
                                                            <w:div w:id="2127844309">
                                                              <w:marLeft w:val="0"/>
                                                              <w:marRight w:val="0"/>
                                                              <w:marTop w:val="0"/>
                                                              <w:marBottom w:val="0"/>
                                                              <w:divBdr>
                                                                <w:top w:val="none" w:sz="0" w:space="0" w:color="auto"/>
                                                                <w:left w:val="none" w:sz="0" w:space="0" w:color="auto"/>
                                                                <w:bottom w:val="none" w:sz="0" w:space="0" w:color="auto"/>
                                                                <w:right w:val="none" w:sz="0" w:space="0" w:color="auto"/>
                                                              </w:divBdr>
                                                              <w:divsChild>
                                                                <w:div w:id="1003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059994">
          <w:marLeft w:val="0"/>
          <w:marRight w:val="0"/>
          <w:marTop w:val="0"/>
          <w:marBottom w:val="0"/>
          <w:divBdr>
            <w:top w:val="none" w:sz="0" w:space="0" w:color="auto"/>
            <w:left w:val="none" w:sz="0" w:space="0" w:color="auto"/>
            <w:bottom w:val="none" w:sz="0" w:space="0" w:color="auto"/>
            <w:right w:val="none" w:sz="0" w:space="0" w:color="auto"/>
          </w:divBdr>
        </w:div>
      </w:divsChild>
    </w:div>
    <w:div w:id="2092845755">
      <w:bodyDiv w:val="1"/>
      <w:marLeft w:val="0"/>
      <w:marRight w:val="0"/>
      <w:marTop w:val="0"/>
      <w:marBottom w:val="0"/>
      <w:divBdr>
        <w:top w:val="none" w:sz="0" w:space="0" w:color="auto"/>
        <w:left w:val="none" w:sz="0" w:space="0" w:color="auto"/>
        <w:bottom w:val="none" w:sz="0" w:space="0" w:color="auto"/>
        <w:right w:val="none" w:sz="0" w:space="0" w:color="auto"/>
      </w:divBdr>
      <w:divsChild>
        <w:div w:id="1188715476">
          <w:marLeft w:val="0"/>
          <w:marRight w:val="0"/>
          <w:marTop w:val="0"/>
          <w:marBottom w:val="0"/>
          <w:divBdr>
            <w:top w:val="none" w:sz="0" w:space="0" w:color="auto"/>
            <w:left w:val="none" w:sz="0" w:space="0" w:color="auto"/>
            <w:bottom w:val="none" w:sz="0" w:space="0" w:color="auto"/>
            <w:right w:val="none" w:sz="0" w:space="0" w:color="auto"/>
          </w:divBdr>
          <w:divsChild>
            <w:div w:id="2139688793">
              <w:marLeft w:val="0"/>
              <w:marRight w:val="0"/>
              <w:marTop w:val="0"/>
              <w:marBottom w:val="0"/>
              <w:divBdr>
                <w:top w:val="none" w:sz="0" w:space="0" w:color="auto"/>
                <w:left w:val="none" w:sz="0" w:space="0" w:color="auto"/>
                <w:bottom w:val="none" w:sz="0" w:space="0" w:color="auto"/>
                <w:right w:val="none" w:sz="0" w:space="0" w:color="auto"/>
              </w:divBdr>
              <w:divsChild>
                <w:div w:id="859204439">
                  <w:marLeft w:val="0"/>
                  <w:marRight w:val="0"/>
                  <w:marTop w:val="0"/>
                  <w:marBottom w:val="0"/>
                  <w:divBdr>
                    <w:top w:val="none" w:sz="0" w:space="0" w:color="auto"/>
                    <w:left w:val="none" w:sz="0" w:space="0" w:color="auto"/>
                    <w:bottom w:val="none" w:sz="0" w:space="0" w:color="auto"/>
                    <w:right w:val="none" w:sz="0" w:space="0" w:color="auto"/>
                  </w:divBdr>
                  <w:divsChild>
                    <w:div w:id="1869416803">
                      <w:marLeft w:val="0"/>
                      <w:marRight w:val="0"/>
                      <w:marTop w:val="0"/>
                      <w:marBottom w:val="0"/>
                      <w:divBdr>
                        <w:top w:val="none" w:sz="0" w:space="0" w:color="auto"/>
                        <w:left w:val="none" w:sz="0" w:space="0" w:color="auto"/>
                        <w:bottom w:val="none" w:sz="0" w:space="0" w:color="auto"/>
                        <w:right w:val="none" w:sz="0" w:space="0" w:color="auto"/>
                      </w:divBdr>
                      <w:divsChild>
                        <w:div w:id="679702145">
                          <w:marLeft w:val="0"/>
                          <w:marRight w:val="0"/>
                          <w:marTop w:val="0"/>
                          <w:marBottom w:val="0"/>
                          <w:divBdr>
                            <w:top w:val="none" w:sz="0" w:space="0" w:color="auto"/>
                            <w:left w:val="none" w:sz="0" w:space="0" w:color="auto"/>
                            <w:bottom w:val="none" w:sz="0" w:space="0" w:color="auto"/>
                            <w:right w:val="none" w:sz="0" w:space="0" w:color="auto"/>
                          </w:divBdr>
                          <w:divsChild>
                            <w:div w:id="2030837933">
                              <w:marLeft w:val="0"/>
                              <w:marRight w:val="0"/>
                              <w:marTop w:val="0"/>
                              <w:marBottom w:val="0"/>
                              <w:divBdr>
                                <w:top w:val="none" w:sz="0" w:space="0" w:color="auto"/>
                                <w:left w:val="none" w:sz="0" w:space="0" w:color="auto"/>
                                <w:bottom w:val="none" w:sz="0" w:space="0" w:color="auto"/>
                                <w:right w:val="none" w:sz="0" w:space="0" w:color="auto"/>
                              </w:divBdr>
                              <w:divsChild>
                                <w:div w:id="1187400639">
                                  <w:marLeft w:val="0"/>
                                  <w:marRight w:val="0"/>
                                  <w:marTop w:val="0"/>
                                  <w:marBottom w:val="0"/>
                                  <w:divBdr>
                                    <w:top w:val="none" w:sz="0" w:space="0" w:color="auto"/>
                                    <w:left w:val="none" w:sz="0" w:space="0" w:color="auto"/>
                                    <w:bottom w:val="none" w:sz="0" w:space="0" w:color="auto"/>
                                    <w:right w:val="none" w:sz="0" w:space="0" w:color="auto"/>
                                  </w:divBdr>
                                  <w:divsChild>
                                    <w:div w:id="1584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Berger@eesc.europa.eu" TargetMode="External"/><Relationship Id="rId18" Type="http://schemas.openxmlformats.org/officeDocument/2006/relationships/header" Target="header3.xml"/><Relationship Id="rId26" Type="http://schemas.openxmlformats.org/officeDocument/2006/relationships/hyperlink" Target="https://eeas.europa.eu/sites/default/files/joint_communication_renewed_partnership_southern_neighbourhood.pdf" TargetMode="External"/><Relationship Id="rId39" Type="http://schemas.openxmlformats.org/officeDocument/2006/relationships/hyperlink" Target="https://hub.balkancsd.net/about" TargetMode="External"/><Relationship Id="rId21" Type="http://schemas.openxmlformats.org/officeDocument/2006/relationships/hyperlink" Target="https://www.eesc.europa.eu/en/sections-other-bodies/other/all-domestic-and-joint-advisory-groups-dags" TargetMode="External"/><Relationship Id="rId34" Type="http://schemas.openxmlformats.org/officeDocument/2006/relationships/hyperlink" Target="https://international-partnerships.ec.europa.eu/policies/team-europe-initiatives_en" TargetMode="External"/><Relationship Id="rId42" Type="http://schemas.openxmlformats.org/officeDocument/2006/relationships/hyperlink" Target="https://www.uni-med.net/" TargetMode="External"/><Relationship Id="rId47" Type="http://schemas.openxmlformats.org/officeDocument/2006/relationships/hyperlink" Target="https://www.eesc.europa.eu/en/our-work/opinions-information-reports/opinions/water-politics-empowering-youth-women-and-indigenous-and-local-communities" TargetMode="External"/><Relationship Id="rId50" Type="http://schemas.openxmlformats.org/officeDocument/2006/relationships/hyperlink" Target="https://www.eesc.europa.eu/en/our-work/opinions-information-reports/opinions/digital-transition-euro-mediterranean-region" TargetMode="External"/><Relationship Id="rId55"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edocs.unep.org/bitstream/handle/20.500.11822/7097/mssd_2016_2025_eng.pdf" TargetMode="External"/><Relationship Id="rId11" Type="http://schemas.openxmlformats.org/officeDocument/2006/relationships/endnotes" Target="endnotes.xml"/><Relationship Id="rId24" Type="http://schemas.openxmlformats.org/officeDocument/2006/relationships/hyperlink" Target="https://hub.balkancsd.net/about" TargetMode="External"/><Relationship Id="rId32" Type="http://schemas.openxmlformats.org/officeDocument/2006/relationships/hyperlink" Target="https://commission.europa.eu/strategy-and-policy/priorities-2019-2024/stronger-europe-world/global-gateway_en" TargetMode="External"/><Relationship Id="rId37" Type="http://schemas.openxmlformats.org/officeDocument/2006/relationships/hyperlink" Target="https://www.interregnextmed.eu/" TargetMode="External"/><Relationship Id="rId40" Type="http://schemas.openxmlformats.org/officeDocument/2006/relationships/hyperlink" Target="https://meddialogue.eu/about-the-csfm/" TargetMode="External"/><Relationship Id="rId45" Type="http://schemas.openxmlformats.org/officeDocument/2006/relationships/hyperlink" Target="https://www.eesc.europa.eu/en/our-work/opinions-information-reports/opinions/boosting-sustainable-growth-and-quality-jobs-euromed-promoting-entrepreneurship-and-tapping-potential-women-and-young" TargetMode="External"/><Relationship Id="rId53" Type="http://schemas.openxmlformats.org/officeDocument/2006/relationships/hyperlink" Target="https://www.eesc.europa.eu/en/our-work/opinions-information-reports/opinions/covid-19-role-civil-society-reconstruction-and-resilience-euro-mediterranean-region" TargetMode="External"/><Relationship Id="rId58"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interregnextmed.eu/" TargetMode="External"/><Relationship Id="rId27" Type="http://schemas.openxmlformats.org/officeDocument/2006/relationships/hyperlink" Target="https://eeas.europa.eu/sites/default/files/joint_staff_working_document_renewed_partnership_southern_neighbourhood.pdf" TargetMode="External"/><Relationship Id="rId30" Type="http://schemas.openxmlformats.org/officeDocument/2006/relationships/hyperlink" Target="https://www.medyouthcouncil.com/" TargetMode="External"/><Relationship Id="rId35" Type="http://schemas.openxmlformats.org/officeDocument/2006/relationships/hyperlink" Target="https://eap-csf.eu/" TargetMode="External"/><Relationship Id="rId43" Type="http://schemas.openxmlformats.org/officeDocument/2006/relationships/hyperlink" Target="https://ueuromed.org/" TargetMode="External"/><Relationship Id="rId48" Type="http://schemas.openxmlformats.org/officeDocument/2006/relationships/hyperlink" Target="https://www.eesc.europa.eu/en/our-work/opinions-information-reports/opinions/youth-involvement-social-and-civil-dialogue-mediterranean-region" TargetMode="Externa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https://www.itu.int/en/ITU-D/Cybersecurity/Pages/global-cybersecurity-index.aspx"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s://cultura.gov.it/medculture-home-en" TargetMode="External"/><Relationship Id="rId33" Type="http://schemas.openxmlformats.org/officeDocument/2006/relationships/hyperlink" Target="https://www.eesc.europa.eu/en/sections-other-bodies/other/all-domestic-and-joint-advisory-groups-dags" TargetMode="External"/><Relationship Id="rId38" Type="http://schemas.openxmlformats.org/officeDocument/2006/relationships/hyperlink" Target="https://westernbalkansfund.org/about-us/" TargetMode="External"/><Relationship Id="rId46" Type="http://schemas.openxmlformats.org/officeDocument/2006/relationships/hyperlink" Target="https://www.eesc.europa.eu/en/our-work/opinions-information-reports/opinions/enhancing-legal-and-organised-labour-migration-eu" TargetMode="External"/><Relationship Id="rId59" Type="http://schemas.openxmlformats.org/officeDocument/2006/relationships/header" Target="header6.xml"/><Relationship Id="rId20" Type="http://schemas.openxmlformats.org/officeDocument/2006/relationships/hyperlink" Target="https://www.medyouthcouncil.com/" TargetMode="External"/><Relationship Id="rId41" Type="http://schemas.openxmlformats.org/officeDocument/2006/relationships/hyperlink" Target="https://www.etf.europa.eu/en" TargetMode="External"/><Relationship Id="rId54" Type="http://schemas.openxmlformats.org/officeDocument/2006/relationships/hyperlink" Target="https://www.eesc.europa.eu/en/our-work/opinions-information-reports/information-reports/sustainable-development-mediterranean-region-information-repor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esternbalkansfund.org/about-us/" TargetMode="External"/><Relationship Id="rId28" Type="http://schemas.openxmlformats.org/officeDocument/2006/relationships/hyperlink" Target="https://www.eesc.europa.eu/en/our-work/opinions-information-reports/opinions/renewed-partnership-southern-neighbourhood-new-agenda-mediterranean" TargetMode="External"/><Relationship Id="rId36" Type="http://schemas.openxmlformats.org/officeDocument/2006/relationships/hyperlink" Target="https://youth.europa.eu/eu-youth-dialogue_en" TargetMode="External"/><Relationship Id="rId49" Type="http://schemas.openxmlformats.org/officeDocument/2006/relationships/hyperlink" Target="https://www.eesc.europa.eu/en/our-work/opinions-information-reports/opinions/energy-policies-and-strategies-euro-mediterranean-region" TargetMode="External"/><Relationship Id="rId57" Type="http://schemas.openxmlformats.org/officeDocument/2006/relationships/footer" Target="footer4.xml"/><Relationship Id="rId10" Type="http://schemas.openxmlformats.org/officeDocument/2006/relationships/footnotes" Target="footnotes.xml"/><Relationship Id="rId31" Type="http://schemas.openxmlformats.org/officeDocument/2006/relationships/hyperlink" Target="https://www.ebsomed.eu/" TargetMode="External"/><Relationship Id="rId44" Type="http://schemas.openxmlformats.org/officeDocument/2006/relationships/hyperlink" Target="https://emuni.si/" TargetMode="External"/><Relationship Id="rId52" Type="http://schemas.openxmlformats.org/officeDocument/2006/relationships/hyperlink" Target="https://www.eesc.europa.eu/en/our-work/opinions-information-reports/opinions/cultural-diplomacy-vector-eu-external-relations-new-partnerships-and-role-cso"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n/our-work/opinions-information-reports/opinions/enhancing-legal-and-organised-labour-migration-eu" TargetMode="External"/><Relationship Id="rId13" Type="http://schemas.openxmlformats.org/officeDocument/2006/relationships/hyperlink" Target="https://www.eesc.europa.eu/en/our-work/opinions-information-reports/opinions/cultural-diplomacy-vector-eu-external-relations-new-partnerships-and-role-cso" TargetMode="External"/><Relationship Id="rId18" Type="http://schemas.openxmlformats.org/officeDocument/2006/relationships/hyperlink" Target="https://home-affairs.ec.europa.eu/policies/migration-and-asylum/legal-migration-resettlement-and-integration/talent-partnerships_en" TargetMode="External"/><Relationship Id="rId26" Type="http://schemas.openxmlformats.org/officeDocument/2006/relationships/hyperlink" Target="https://www.ramsar.org/news/empowering-women-restoring-wetlands-go-hand-hand" TargetMode="External"/><Relationship Id="rId3" Type="http://schemas.openxmlformats.org/officeDocument/2006/relationships/hyperlink" Target="https://www.eesc.europa.eu/en/our-work/opinions-information-reports/opinions/youth-involvement-social-and-civil-dialogue-mediterranean-region" TargetMode="External"/><Relationship Id="rId21" Type="http://schemas.openxmlformats.org/officeDocument/2006/relationships/hyperlink" Target="https://www.ilo.org/topics-and-sectors/fair-recruitment/fair-recruitment-initiative" TargetMode="External"/><Relationship Id="rId7" Type="http://schemas.openxmlformats.org/officeDocument/2006/relationships/hyperlink" Target="https://www.eesc.europa.eu/en/our-work/opinions-information-reports/opinions/boosting-sustainable-growth-and-quality-jobs-euromed-promoting-entrepreneurship-and-tapping-potential-women-and-young" TargetMode="External"/><Relationship Id="rId12" Type="http://schemas.openxmlformats.org/officeDocument/2006/relationships/hyperlink" Target="https://www.eesc.europa.eu/en/our-work/opinions-information-reports/opinions/digital-transition-euro-mediterranean-region" TargetMode="External"/><Relationship Id="rId17" Type="http://schemas.openxmlformats.org/officeDocument/2006/relationships/hyperlink" Target="https://home-affairs.ec.europa.eu/networks/european-migration-network-emn/emn-asylum-and-migration-glossary/glossary/circular-migration_en" TargetMode="External"/><Relationship Id="rId25" Type="http://schemas.openxmlformats.org/officeDocument/2006/relationships/hyperlink" Target="https://uwasnet.org/" TargetMode="External"/><Relationship Id="rId2" Type="http://schemas.openxmlformats.org/officeDocument/2006/relationships/hyperlink" Target="https://www.eesc.europa.eu/en/our-work/opinions-information-reports/opinions/boosting-sustainable-growth-and-quality-jobs-euromed-promoting-entrepreneurship-and-tapping-potential-women-and-young" TargetMode="External"/><Relationship Id="rId16" Type="http://schemas.openxmlformats.org/officeDocument/2006/relationships/hyperlink" Target="https://www.ohchr.org/sites/default/files/Documents/Issues/Migration/MigrationHR_improvingHR_Report.pdf" TargetMode="External"/><Relationship Id="rId20" Type="http://schemas.openxmlformats.org/officeDocument/2006/relationships/hyperlink" Target="https://www.ilo.org/sites/default/files/wcmsp5/groups/public/@ed_protect/@protrav/@migrant/documents/publication/wcms_703485.pdf" TargetMode="External"/><Relationship Id="rId1" Type="http://schemas.openxmlformats.org/officeDocument/2006/relationships/hyperlink" Target="https://www.eesc.europa.eu/en/our-work/opinions-information-reports/opinions/enhancing-legal-and-organised-labour-migration-eu" TargetMode="External"/><Relationship Id="rId6" Type="http://schemas.openxmlformats.org/officeDocument/2006/relationships/hyperlink" Target="https://ec.europa.eu/commission/presscorner/detail/en/speech_24_4921" TargetMode="External"/><Relationship Id="rId11" Type="http://schemas.openxmlformats.org/officeDocument/2006/relationships/hyperlink" Target="https://www.eesc.europa.eu/en/our-work/opinions-information-reports/opinions/energy-policies-and-strategies-euro-mediterranean-region" TargetMode="External"/><Relationship Id="rId24" Type="http://schemas.openxmlformats.org/officeDocument/2006/relationships/hyperlink" Target="https://citizens-initiative.europa.eu/initiatives/details/2024/000010_en" TargetMode="External"/><Relationship Id="rId5" Type="http://schemas.openxmlformats.org/officeDocument/2006/relationships/hyperlink" Target="https://ec.europa.eu/commission/presscorner/detail/en/speech_25_974" TargetMode="External"/><Relationship Id="rId15" Type="http://schemas.openxmlformats.org/officeDocument/2006/relationships/hyperlink" Target="https://www.eesc.europa.eu/en/our-work/opinions-information-reports/information-reports/sustainable-development-mediterranean-region-information-report" TargetMode="External"/><Relationship Id="rId23" Type="http://schemas.openxmlformats.org/officeDocument/2006/relationships/hyperlink" Target="http://data.europa.eu/eli/C/2023/862/oj" TargetMode="External"/><Relationship Id="rId10" Type="http://schemas.openxmlformats.org/officeDocument/2006/relationships/hyperlink" Target="https://www.eesc.europa.eu/en/our-work/opinions-information-reports/opinions/youth-involvement-social-and-civil-dialogue-mediterranean-region" TargetMode="External"/><Relationship Id="rId19" Type="http://schemas.openxmlformats.org/officeDocument/2006/relationships/hyperlink" Target="https://eur-lex.europa.eu/legal-content/EN/TXT/?uri=celex:52025DC0090" TargetMode="External"/><Relationship Id="rId4" Type="http://schemas.openxmlformats.org/officeDocument/2006/relationships/hyperlink" Target="https://www.statewatch.org/media/4610/eu-com-mission-letter-suica-09-24.pdf" TargetMode="External"/><Relationship Id="rId9" Type="http://schemas.openxmlformats.org/officeDocument/2006/relationships/hyperlink" Target="https://www.eesc.europa.eu/en/our-work/opinions-information-reports/opinions/water-politics-empowering-youth-women-and-indigenous-and-local-communities" TargetMode="External"/><Relationship Id="rId14" Type="http://schemas.openxmlformats.org/officeDocument/2006/relationships/hyperlink" Target="https://www.eesc.europa.eu/en/our-work/opinions-information-reports/opinions/covid-19-role-civil-society-reconstruction-and-resilience-euro-mediterranean-region" TargetMode="External"/><Relationship Id="rId22" Type="http://schemas.openxmlformats.org/officeDocument/2006/relationships/hyperlink" Target="https://wecglobal.org/world-employment-confederation-global/code-of-conduct-2/" TargetMode="External"/><Relationship Id="rId27" Type="http://schemas.openxmlformats.org/officeDocument/2006/relationships/hyperlink" Target="https://solidmed.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A6WAAD5KZT2Q-293470456-6824</_dlc_DocId>
    <_dlc_DocIdUrl xmlns="1a33af13-4045-4f88-9d7b-618e30f79918">
      <Url>http://dm/eesc/2025/_layouts/15/DocIdRedir.aspx?ID=A6WAAD5KZT2Q-293470456-6824</Url>
      <Description>A6WAAD5KZT2Q-293470456-6824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APA</TermName>
          <TermId xmlns="http://schemas.microsoft.com/office/infopath/2007/PartnerControls">51e7c348-311d-42d5-8c77-ec17e88062a9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2025-06-12T12:00:00+00:00</ProductionDate>
    <FicheYear xmlns="1a33af13-4045-4f88-9d7b-618e30f79918">2025</FicheYear>
    <DocumentNumber xmlns="aa382cf6-584e-4bd2-bd73-0bac1a20efcb">1275</DocumentNumber>
    <DossierNumber xmlns="1a33af13-4045-4f88-9d7b-618e30f79918">606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2025-06-16T12:00:00+00:00</MeetingDate>
    <TaxCatchAll xmlns="1a33af13-4045-4f88-9d7b-618e30f79918">
      <Value>13</Value>
      <Value>214</Value>
      <Value>8</Value>
      <Value>6</Value>
      <Value>5</Value>
      <Value>2</Value>
      <Value>1</Value>
      <Value>85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PAVIĆ-ROGOŠIĆ &amp; WAGNSONNER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5665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REX/606</TermName>
          <TermId xmlns="http://schemas.microsoft.com/office/infopath/2007/PartnerControls">83ece1e6-00dd-471c-960b-0bc60a4fe06c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865B-8038-4020-8FFF-BDE4A6D684B9}">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sharepoint/v3/fields"/>
    <ds:schemaRef ds:uri="1a33af13-4045-4f88-9d7b-618e30f79918"/>
    <ds:schemaRef ds:uri="http://schemas.microsoft.com/office/infopath/2007/PartnerControls"/>
    <ds:schemaRef ds:uri="aa382cf6-584e-4bd2-bd73-0bac1a20efcb"/>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102D9E8-C94D-41FC-BC14-560764E3A5AD}">
  <ds:schemaRefs>
    <ds:schemaRef ds:uri="http://schemas.microsoft.com/sharepoint/events"/>
  </ds:schemaRefs>
</ds:datastoreItem>
</file>

<file path=customXml/itemProps3.xml><?xml version="1.0" encoding="utf-8"?>
<ds:datastoreItem xmlns:ds="http://schemas.openxmlformats.org/officeDocument/2006/customXml" ds:itemID="{D6FD82FB-ABAB-4041-B7B5-9DDE0EDC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aa382cf6-584e-4bd2-bd73-0bac1a20e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CDB16-ED96-4427-8A4C-095235510210}">
  <ds:schemaRefs>
    <ds:schemaRef ds:uri="http://schemas.microsoft.com/sharepoint/v3/contenttype/forms"/>
  </ds:schemaRefs>
</ds:datastoreItem>
</file>

<file path=customXml/itemProps5.xml><?xml version="1.0" encoding="utf-8"?>
<ds:datastoreItem xmlns:ds="http://schemas.openxmlformats.org/officeDocument/2006/customXml" ds:itemID="{F18F0F1B-B5FA-4B9A-8088-49975F97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11295</Words>
  <Characters>71160</Characters>
  <Application>Microsoft Office Word</Application>
  <DocSecurity>0</DocSecurity>
  <Lines>593</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 new Pact for the Mediterranean</vt:lpstr>
      <vt:lpstr>A new Pact for the Mediterranean</vt:lpstr>
    </vt:vector>
  </TitlesOfParts>
  <Company>CESE-CdR</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Pact for the Mediterranean</dc:title>
  <dc:subject>Preliminary draft opinion</dc:subject>
  <dc:creator>Tomas Vocasek</dc:creator>
  <cp:keywords>EESC-2025-01275-00-00-APA-TRA-EN</cp:keywords>
  <dc:description>Rapporteur: - PAVIĆ-ROGOŠIĆ &amp; WAGNSONNER Original language: - EN Date of document: - 12/06/2025 Date of meeting: - 16/06/2025 External documents: -  Administrator responsible: - M. BERGER Andreas</dc:description>
  <cp:lastModifiedBy>Wagnsonner, Thomas</cp:lastModifiedBy>
  <cp:revision>2</cp:revision>
  <cp:lastPrinted>2016-01-26T08:31:00Z</cp:lastPrinted>
  <dcterms:created xsi:type="dcterms:W3CDTF">2025-06-17T12:44:00Z</dcterms:created>
  <dcterms:modified xsi:type="dcterms:W3CDTF">2025-06-17T12:44:00Z</dcterms:modified>
  <cp:category>REX/606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12/06/2025, 22/05/2025, 12/04/2024, 17/05/2022, 04/11/2015, 27/10/2015, 19/10/2015, 09/10/2015, 05/10/2015, 05/10/2015, 26/08/2015, 26/08/2015, 25/08/2015</vt:lpwstr>
  </property>
  <property fmtid="{D5CDD505-2E9C-101B-9397-08002B2CF9AE}" pid="4" name="Pref_Time">
    <vt:lpwstr>16:15:40, 17:10:57, 12:08:09, 12:59:17, 12/10/07, 14:44:02, 16/04/16, 14:09:30, 16:24:55, 16:04:02, 08:56:14, 07:27:56, 17:31:53</vt:lpwstr>
  </property>
  <property fmtid="{D5CDD505-2E9C-101B-9397-08002B2CF9AE}" pid="5" name="Pref_User">
    <vt:lpwstr>pacup, pacup, enied, enied, ssex, enied, amett, tvoc, mreg, mreg, amett, enied, ssex</vt:lpwstr>
  </property>
  <property fmtid="{D5CDD505-2E9C-101B-9397-08002B2CF9AE}" pid="6" name="Pref_FileName">
    <vt:lpwstr>EESC-2025-01275-00-00-APA-ORI.docx, EESC-2025-01275-00-00-DT-ORI.docx, COR-EESC-2024-01326-00-00-ADMIN-ORI.docx, COR-EESC-2022-02586-00-00-ADMIN-ORI.docx, EESC-2015-05408-00-00-PA-CRR-EN.docx, EESC-2015-05408-00-01-APA-ORI.docx, EESC-2015-04319-00-00-TCD-</vt:lpwstr>
  </property>
  <property fmtid="{D5CDD505-2E9C-101B-9397-08002B2CF9AE}" pid="7" name="ContentTypeId">
    <vt:lpwstr>0x010100EA97B91038054C99906057A708A1480A00FD26272E6D350E4BA98D090F484731A0</vt:lpwstr>
  </property>
  <property fmtid="{D5CDD505-2E9C-101B-9397-08002B2CF9AE}" pid="8" name="_dlc_DocIdItemGuid">
    <vt:lpwstr>b73fdb63-4143-4769-a510-b318adfd7667</vt:lpwstr>
  </property>
  <property fmtid="{D5CDD505-2E9C-101B-9397-08002B2CF9AE}" pid="9" name="AvailableTranslations">
    <vt:lpwstr>5;#EN|f2175f21-25d7-44a3-96da-d6a61b075e1b</vt:lpwstr>
  </property>
  <property fmtid="{D5CDD505-2E9C-101B-9397-08002B2CF9AE}" pid="10" name="DocumentType_0">
    <vt:lpwstr>APA|51e7c348-311d-42d5-8c77-ec17e88062a9</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1275</vt:i4>
  </property>
  <property fmtid="{D5CDD505-2E9C-101B-9397-08002B2CF9AE}" pid="14" name="FicheYear">
    <vt:i4>2025</vt:i4>
  </property>
  <property fmtid="{D5CDD505-2E9C-101B-9397-08002B2CF9AE}" pid="15" name="DocumentVersion">
    <vt:i4>0</vt:i4>
  </property>
  <property fmtid="{D5CDD505-2E9C-101B-9397-08002B2CF9AE}" pid="16" name="DossierNumber">
    <vt:i4>606</vt:i4>
  </property>
  <property fmtid="{D5CDD505-2E9C-101B-9397-08002B2CF9AE}" pid="17" name="DocumentStatus">
    <vt:lpwstr>13;#TRA|150d2a88-1431-44e6-a8ca-0bb753ab8672</vt:lpwstr>
  </property>
  <property fmtid="{D5CDD505-2E9C-101B-9397-08002B2CF9AE}" pid="18" name="DossierName">
    <vt:lpwstr>2;#REX|6820eaf5-116e-436b-ad9c-156f8a94c2a1</vt:lpwstr>
  </property>
  <property fmtid="{D5CDD505-2E9C-101B-9397-08002B2CF9AE}" pid="19" name="RequestingService">
    <vt:lpwstr>Relations extérieures</vt:lpwstr>
  </property>
  <property fmtid="{D5CDD505-2E9C-101B-9397-08002B2CF9AE}" pid="20" name="Confidentiality">
    <vt:lpwstr>6;#Internal|2451815e-8241-4bbf-a22e-1ab710712bf2</vt:lpwstr>
  </property>
  <property fmtid="{D5CDD505-2E9C-101B-9397-08002B2CF9AE}" pid="21" name="MeetingName_0">
    <vt:lpwstr>REX/606|83ece1e6-00dd-471c-960b-0bc60a4fe06c</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214;#REX/606|83ece1e6-00dd-471c-960b-0bc60a4fe06c</vt:lpwstr>
  </property>
  <property fmtid="{D5CDD505-2E9C-101B-9397-08002B2CF9AE}" pid="25" name="MeetingDate">
    <vt:filetime>2025-06-16T12:00:00Z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13;#TRA|150d2a88-1431-44e6-a8ca-0bb753ab8672;#214;#REX/606|83ece1e6-00dd-471c-960b-0bc60a4fe06c;#8;#Final|ea5e6674-7b27-4bac-b091-73adbb394efe;#6;#Internal|2451815e-8241-4bbf-a22e-1ab710712bf2;#5;#EN|f2175f21-25d7-44a3-96da-d6a61b075e1b;#2;#REX|6820eaf5-1</vt:lpwstr>
  </property>
  <property fmtid="{D5CDD505-2E9C-101B-9397-08002B2CF9AE}" pid="30" name="Rapporteur">
    <vt:lpwstr>PAVIĆ-ROGOŠIĆ &amp; WAGNSONNER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5665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85;#APA|51e7c348-311d-42d5-8c77-ec17e88062a9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