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D9C57" w14:textId="0AFAF18D" w:rsidR="0093302F" w:rsidRPr="008C5A3A" w:rsidRDefault="00AB55A4" w:rsidP="00855EC0">
      <w:pPr>
        <w:bidi/>
        <w:jc w:val="center"/>
        <w:rPr>
          <w:rtl/>
        </w:rPr>
      </w:pPr>
      <w:r>
        <w:rPr>
          <w:rFonts w:hint="cs"/>
          <w:noProof/>
          <w:rtl/>
        </w:rPr>
        <w:drawing>
          <wp:inline distT="0" distB="0" distL="0" distR="0" wp14:anchorId="3763585C" wp14:editId="09A5E8A4">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Pr>
          <w:rFonts w:hint="cs"/>
          <w:noProof/>
          <w:sz w:val="20"/>
          <w:rtl/>
        </w:rPr>
        <mc:AlternateContent>
          <mc:Choice Requires="wps">
            <w:drawing>
              <wp:anchor distT="0" distB="0" distL="114300" distR="114300" simplePos="0" relativeHeight="251659264" behindDoc="1" locked="0" layoutInCell="0" allowOverlap="1" wp14:anchorId="131133D6" wp14:editId="15FE4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974C5" w14:textId="77777777" w:rsidR="00DD1E82" w:rsidRDefault="00AB55A4">
                            <w:pPr>
                              <w:bidi/>
                              <w:jc w:val="center"/>
                              <w:rPr>
                                <w:rFonts w:ascii="Arial" w:hAnsi="Arial" w:cs="Arial"/>
                                <w:b/>
                                <w:bCs/>
                                <w:sz w:val="48"/>
                                <w:rtl/>
                              </w:rPr>
                            </w:pPr>
                            <w:r>
                              <w:rPr>
                                <w:rFonts w:ascii="Arial" w:hAnsi="Arial"/>
                                <w:b/>
                                <w:bCs/>
                                <w:sz w:val="48"/>
                                <w:szCs w:val="48"/>
                              </w:rPr>
                              <w: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33D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733974C5" w14:textId="77777777" w:rsidR="00DD1E82" w:rsidRDefault="00AB55A4">
                      <w:pPr>
                        <w:bidi/>
                        <w:jc w:val="center"/>
                        <w:rPr>
                          <w:rFonts w:ascii="Arial" w:hAnsi="Arial" w:cs="Arial"/>
                          <w:b/>
                          <w:bCs/>
                          <w:sz w:val="48"/>
                          <w:rtl/>
                        </w:rPr>
                      </w:pPr>
                      <w:r>
                        <w:rPr>
                          <w:rFonts w:ascii="Arial" w:hAnsi="Arial"/>
                          <w:b/>
                          <w:bCs/>
                          <w:sz w:val="48"/>
                          <w:szCs w:val="48"/>
                        </w:rPr>
                        <w:t>AR</w:t>
                      </w:r>
                    </w:p>
                  </w:txbxContent>
                </v:textbox>
                <w10:wrap anchorx="page" anchory="page"/>
              </v:shape>
            </w:pict>
          </mc:Fallback>
        </mc:AlternateContent>
      </w:r>
      <w:r>
        <w:rPr>
          <w:rFonts w:hint="cs"/>
          <w:noProof/>
          <w:sz w:val="20"/>
          <w:rtl/>
        </w:rPr>
        <mc:AlternateContent>
          <mc:Choice Requires="wps">
            <w:drawing>
              <wp:anchor distT="0" distB="0" distL="114300" distR="114300" simplePos="0" relativeHeight="251661312" behindDoc="1" locked="0" layoutInCell="0" allowOverlap="1" wp14:anchorId="3187B4B2" wp14:editId="1553D200">
                <wp:simplePos x="0" y="0"/>
                <wp:positionH relativeFrom="page">
                  <wp:posOffset>6769100</wp:posOffset>
                </wp:positionH>
                <wp:positionV relativeFrom="page">
                  <wp:posOffset>10081260</wp:posOffset>
                </wp:positionV>
                <wp:extent cx="647700" cy="396240"/>
                <wp:effectExtent l="0" t="3810" r="3175" b="0"/>
                <wp:wrapNone/>
                <wp:docPr id="2827154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2E5F9" w14:textId="77777777" w:rsidR="0093302F" w:rsidRDefault="0093302F" w:rsidP="0093302F">
                            <w:pPr>
                              <w:bidi/>
                              <w:jc w:val="center"/>
                              <w:rPr>
                                <w:rFonts w:ascii="Arial" w:hAnsi="Arial" w:cs="Arial"/>
                                <w:b/>
                                <w:bCs/>
                                <w:sz w:val="48"/>
                                <w:rtl/>
                              </w:rPr>
                            </w:pPr>
                            <w:r>
                              <w:rPr>
                                <w:rFonts w:ascii="Arial" w:hAnsi="Arial"/>
                                <w:b/>
                                <w:bCs/>
                                <w:sz w:val="48"/>
                                <w:szCs w:val="48"/>
                              </w:rPr>
                              <w: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7B4B2" id="_x0000_s1027" type="#_x0000_t202"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" o:allowincell="f" filled="f" stroked="f">
                <v:textbox>
                  <w:txbxContent>
                    <w:p w14:paraId="4B22E5F9" w14:textId="77777777" w:rsidR="0093302F" w:rsidRDefault="0093302F" w:rsidP="0093302F">
                      <w:pPr>
                        <w:bidi/>
                        <w:jc w:val="center"/>
                        <w:rPr>
                          <w:rFonts w:ascii="Arial" w:hAnsi="Arial" w:cs="Arial"/>
                          <w:b/>
                          <w:bCs/>
                          <w:sz w:val="48"/>
                          <w:rtl/>
                        </w:rPr>
                      </w:pPr>
                      <w:r>
                        <w:rPr>
                          <w:rFonts w:ascii="Arial" w:hAnsi="Arial"/>
                          <w:b/>
                          <w:bCs/>
                          <w:sz w:val="48"/>
                          <w:szCs w:val="48"/>
                        </w:rPr>
                        <w:t>AR</w:t>
                      </w:r>
                    </w:p>
                  </w:txbxContent>
                </v:textbox>
                <w10:wrap anchorx="page" anchory="page"/>
              </v:shape>
            </w:pict>
          </mc:Fallback>
        </mc:AlternateContent>
      </w:r>
    </w:p>
    <w:p w14:paraId="1E9367E2" w14:textId="77777777" w:rsidR="0093302F" w:rsidRPr="008C5A3A" w:rsidRDefault="0093302F" w:rsidP="0093302F">
      <w:pPr>
        <w:rPr>
          <w:lang w:val="en-GB"/>
        </w:rPr>
      </w:pPr>
    </w:p>
    <w:p w14:paraId="18051E5F" w14:textId="77777777" w:rsidR="0093302F" w:rsidRPr="008C5A3A" w:rsidRDefault="0093302F" w:rsidP="0093302F">
      <w:pPr>
        <w:bidi/>
        <w:jc w:val="right"/>
        <w:rPr>
          <w:b/>
          <w:rtl/>
        </w:rPr>
      </w:pPr>
      <w:r>
        <w:rPr>
          <w:b/>
          <w:bCs/>
        </w:rPr>
        <w:t>REX/597</w:t>
      </w:r>
    </w:p>
    <w:p w14:paraId="176AF11D" w14:textId="77777777" w:rsidR="0093302F" w:rsidRPr="008C5A3A" w:rsidRDefault="0093302F" w:rsidP="0093302F">
      <w:pPr>
        <w:bidi/>
        <w:jc w:val="right"/>
        <w:rPr>
          <w:rtl/>
        </w:rPr>
      </w:pPr>
      <w:r>
        <w:rPr>
          <w:rFonts w:hint="cs"/>
          <w:b/>
          <w:bCs/>
          <w:rtl/>
        </w:rPr>
        <w:t>الدبلوماسية الزرقاء والتعاون المائي</w:t>
      </w:r>
    </w:p>
    <w:p w14:paraId="7CB0ADC3" w14:textId="77777777" w:rsidR="0093302F" w:rsidRPr="008C5A3A" w:rsidRDefault="0093302F" w:rsidP="0093302F">
      <w:pPr>
        <w:rPr>
          <w:lang w:val="en-GB"/>
        </w:rPr>
      </w:pPr>
    </w:p>
    <w:p w14:paraId="210715F1" w14:textId="77777777" w:rsidR="0093302F" w:rsidRPr="008C5A3A" w:rsidRDefault="0093302F" w:rsidP="0093302F">
      <w:pPr>
        <w:rPr>
          <w:lang w:val="en-GB"/>
        </w:rPr>
      </w:pPr>
    </w:p>
    <w:p w14:paraId="27E17B05" w14:textId="77777777" w:rsidR="0093302F" w:rsidRPr="008C5A3A" w:rsidRDefault="0093302F" w:rsidP="0093302F">
      <w:pPr>
        <w:bidi/>
        <w:jc w:val="center"/>
        <w:rPr>
          <w:b/>
          <w:bCs/>
          <w:sz w:val="28"/>
          <w:szCs w:val="28"/>
          <w:rtl/>
        </w:rPr>
      </w:pPr>
      <w:r>
        <w:rPr>
          <w:rFonts w:hint="cs"/>
          <w:b/>
          <w:bCs/>
          <w:sz w:val="28"/>
          <w:szCs w:val="28"/>
          <w:rtl/>
        </w:rPr>
        <w:t>مشروع رأي أولي</w:t>
      </w:r>
    </w:p>
    <w:p w14:paraId="103938B3" w14:textId="77777777" w:rsidR="0093302F" w:rsidRPr="008C5A3A" w:rsidRDefault="0093302F" w:rsidP="0093302F">
      <w:pPr>
        <w:jc w:val="center"/>
        <w:rPr>
          <w:lang w:val="en-GB"/>
        </w:rPr>
      </w:pPr>
    </w:p>
    <w:p w14:paraId="7E40E23F" w14:textId="77777777" w:rsidR="0093302F" w:rsidRPr="008C5A3A" w:rsidRDefault="0093302F" w:rsidP="0093302F">
      <w:pPr>
        <w:bidi/>
        <w:jc w:val="center"/>
        <w:rPr>
          <w:rtl/>
        </w:rPr>
      </w:pPr>
      <w:r>
        <w:rPr>
          <w:rFonts w:hint="cs"/>
          <w:rtl/>
        </w:rPr>
        <w:t>قسم العلاقات الخارجية</w:t>
      </w:r>
    </w:p>
    <w:p w14:paraId="1A348612" w14:textId="77777777" w:rsidR="0093302F" w:rsidRPr="008C5A3A" w:rsidRDefault="0093302F" w:rsidP="0093302F">
      <w:pPr>
        <w:jc w:val="center"/>
        <w:rPr>
          <w:lang w:val="en-GB"/>
        </w:rPr>
      </w:pPr>
    </w:p>
    <w:p w14:paraId="6C082BB1" w14:textId="77777777" w:rsidR="0093302F" w:rsidRPr="008C5A3A" w:rsidRDefault="0093302F" w:rsidP="0093302F">
      <w:pPr>
        <w:bidi/>
        <w:jc w:val="center"/>
        <w:rPr>
          <w:b/>
          <w:rtl/>
        </w:rPr>
      </w:pPr>
      <w:r>
        <w:rPr>
          <w:rFonts w:hint="cs"/>
          <w:b/>
          <w:bCs/>
          <w:rtl/>
        </w:rPr>
        <w:t xml:space="preserve">الدبلوماسية الزرقاء والتعاون المائي - </w:t>
      </w:r>
      <w:r>
        <w:rPr>
          <w:rFonts w:hint="cs"/>
          <w:b/>
          <w:bCs/>
          <w:rtl/>
        </w:rPr>
        <w:br/>
        <w:t>حلول لتخفيف ضغوط الهجرة</w:t>
      </w:r>
      <w:r>
        <w:rPr>
          <w:rFonts w:hint="cs"/>
          <w:b/>
          <w:bCs/>
          <w:rtl/>
        </w:rPr>
        <w:noBreakHyphen/>
        <w:t>الناجمة عن تغير المناخ</w:t>
      </w:r>
    </w:p>
    <w:p w14:paraId="10810643" w14:textId="77777777" w:rsidR="0093302F" w:rsidRPr="008C5A3A" w:rsidRDefault="0093302F" w:rsidP="0093302F">
      <w:pPr>
        <w:bidi/>
        <w:jc w:val="center"/>
        <w:rPr>
          <w:b/>
          <w:rtl/>
        </w:rPr>
      </w:pPr>
      <w:r>
        <w:rPr>
          <w:rFonts w:hint="cs"/>
          <w:b/>
          <w:bCs/>
          <w:rtl/>
        </w:rPr>
        <w:t>(رأي بمبادرة خاصة)</w:t>
      </w:r>
    </w:p>
    <w:p w14:paraId="40D9ED77" w14:textId="77777777" w:rsidR="0093302F" w:rsidRPr="008C5A3A" w:rsidRDefault="0093302F" w:rsidP="0093302F">
      <w:pPr>
        <w:jc w:val="center"/>
        <w:rPr>
          <w:lang w:val="en-GB"/>
        </w:rPr>
      </w:pPr>
    </w:p>
    <w:tbl>
      <w:tblPr>
        <w:tblpPr w:leftFromText="181" w:rightFromText="181" w:tblpYSpec="bottom"/>
        <w:tblOverlap w:val="never"/>
        <w:bidiVisual/>
        <w:tblW w:w="0" w:type="auto"/>
        <w:tblLayout w:type="fixed"/>
        <w:tblLook w:val="04A0" w:firstRow="1" w:lastRow="0" w:firstColumn="1" w:lastColumn="0" w:noHBand="0" w:noVBand="1"/>
      </w:tblPr>
      <w:tblGrid>
        <w:gridCol w:w="3085"/>
        <w:gridCol w:w="6204"/>
      </w:tblGrid>
      <w:tr w:rsidR="0093302F" w:rsidRPr="008C5A3A" w14:paraId="24041A91" w14:textId="77777777" w:rsidTr="003F0EA7">
        <w:tc>
          <w:tcPr>
            <w:tcW w:w="9289" w:type="dxa"/>
            <w:gridSpan w:val="2"/>
          </w:tcPr>
          <w:p w14:paraId="0377BFC2" w14:textId="4DF9050A" w:rsidR="0093302F" w:rsidRPr="008C5A3A" w:rsidRDefault="0093302F" w:rsidP="003F0EA7">
            <w:pPr>
              <w:bidi/>
              <w:jc w:val="left"/>
              <w:rPr>
                <w:rtl/>
              </w:rPr>
            </w:pPr>
            <w:r>
              <w:rPr>
                <w:rFonts w:hint="cs"/>
                <w:rtl/>
              </w:rPr>
              <w:t>لعناية أعضاء القسم</w:t>
            </w:r>
          </w:p>
        </w:tc>
      </w:tr>
      <w:tr w:rsidR="0093302F" w:rsidRPr="008C5A3A" w14:paraId="4C916D72" w14:textId="77777777" w:rsidTr="003F0EA7">
        <w:tc>
          <w:tcPr>
            <w:tcW w:w="9289" w:type="dxa"/>
            <w:gridSpan w:val="2"/>
          </w:tcPr>
          <w:p w14:paraId="4C7C0325" w14:textId="77777777" w:rsidR="0093302F" w:rsidRPr="008C5A3A" w:rsidRDefault="0093302F" w:rsidP="003F0EA7">
            <w:pPr>
              <w:jc w:val="left"/>
              <w:rPr>
                <w:lang w:val="en-GB" w:eastAsia="en-GB" w:bidi="en-GB"/>
              </w:rPr>
            </w:pPr>
          </w:p>
        </w:tc>
      </w:tr>
      <w:tr w:rsidR="0093302F" w:rsidRPr="008C5A3A" w14:paraId="406EE0DC" w14:textId="77777777" w:rsidTr="003F0EA7">
        <w:tc>
          <w:tcPr>
            <w:tcW w:w="3085" w:type="dxa"/>
          </w:tcPr>
          <w:p w14:paraId="02208170" w14:textId="77777777" w:rsidR="0093302F" w:rsidRPr="008C5A3A" w:rsidRDefault="0093302F" w:rsidP="003F0EA7">
            <w:pPr>
              <w:bidi/>
              <w:jc w:val="left"/>
              <w:rPr>
                <w:rtl/>
              </w:rPr>
            </w:pPr>
            <w:r>
              <w:rPr>
                <w:rFonts w:hint="cs"/>
                <w:rtl/>
              </w:rPr>
              <w:t>اجتماع القسم</w:t>
            </w:r>
          </w:p>
        </w:tc>
        <w:tc>
          <w:tcPr>
            <w:tcW w:w="6204" w:type="dxa"/>
          </w:tcPr>
          <w:p w14:paraId="3412630E" w14:textId="5D11B202" w:rsidR="0093302F" w:rsidRPr="008C5A3A" w:rsidRDefault="0093302F" w:rsidP="003F0EA7">
            <w:pPr>
              <w:bidi/>
              <w:jc w:val="left"/>
              <w:rPr>
                <w:rtl/>
              </w:rPr>
            </w:pPr>
            <w:r>
              <w:rPr>
                <w:rFonts w:hint="cs"/>
                <w:rtl/>
              </w:rPr>
              <w:t>في 09/07/2025، الساعة 10:00 ص</w:t>
            </w:r>
          </w:p>
        </w:tc>
      </w:tr>
      <w:tr w:rsidR="0093302F" w:rsidRPr="008C5A3A" w14:paraId="58CF0934" w14:textId="77777777" w:rsidTr="003F0EA7">
        <w:tc>
          <w:tcPr>
            <w:tcW w:w="3085" w:type="dxa"/>
          </w:tcPr>
          <w:p w14:paraId="78B5416B" w14:textId="77777777" w:rsidR="0093302F" w:rsidRPr="008C5A3A" w:rsidDel="00906885" w:rsidRDefault="0093302F" w:rsidP="003F0EA7">
            <w:pPr>
              <w:bidi/>
              <w:jc w:val="left"/>
              <w:rPr>
                <w:b/>
                <w:bCs/>
                <w:rtl/>
              </w:rPr>
            </w:pPr>
            <w:r>
              <w:rPr>
                <w:rFonts w:hint="cs"/>
                <w:b/>
                <w:bCs/>
                <w:rtl/>
              </w:rPr>
              <w:t>الموعد النهائي لإجراء التعديلات</w:t>
            </w:r>
            <w:r>
              <w:rPr>
                <w:rFonts w:hint="cs"/>
                <w:rtl/>
              </w:rPr>
              <w:t xml:space="preserve"> </w:t>
            </w:r>
          </w:p>
        </w:tc>
        <w:tc>
          <w:tcPr>
            <w:tcW w:w="6204" w:type="dxa"/>
          </w:tcPr>
          <w:p w14:paraId="5C9B9C7B" w14:textId="6F7838D0" w:rsidR="0093302F" w:rsidRPr="008C5A3A" w:rsidDel="00906885" w:rsidRDefault="0093302F" w:rsidP="003F0EA7">
            <w:pPr>
              <w:bidi/>
              <w:jc w:val="left"/>
              <w:rPr>
                <w:b/>
                <w:bCs/>
                <w:rtl/>
              </w:rPr>
            </w:pPr>
            <w:r>
              <w:rPr>
                <w:rFonts w:hint="cs"/>
                <w:b/>
                <w:bCs/>
                <w:rtl/>
              </w:rPr>
              <w:t>في 04/07/2025، الساعة 10:00 ص</w:t>
            </w:r>
          </w:p>
        </w:tc>
      </w:tr>
      <w:tr w:rsidR="0093302F" w:rsidRPr="008C5A3A" w14:paraId="21F92A2F" w14:textId="77777777" w:rsidTr="003F0EA7">
        <w:tc>
          <w:tcPr>
            <w:tcW w:w="3085" w:type="dxa"/>
          </w:tcPr>
          <w:p w14:paraId="19A0E6A9" w14:textId="77777777" w:rsidR="0093302F" w:rsidRPr="008C5A3A" w:rsidRDefault="0093302F" w:rsidP="003F0EA7">
            <w:pPr>
              <w:bidi/>
              <w:jc w:val="left"/>
              <w:rPr>
                <w:rtl/>
              </w:rPr>
            </w:pPr>
            <w:r>
              <w:rPr>
                <w:rFonts w:hint="cs"/>
                <w:rtl/>
              </w:rPr>
              <w:t>مسؤول الاتصال</w:t>
            </w:r>
          </w:p>
        </w:tc>
        <w:tc>
          <w:tcPr>
            <w:tcW w:w="6204" w:type="dxa"/>
          </w:tcPr>
          <w:p w14:paraId="4CBDA1E8" w14:textId="77777777" w:rsidR="0093302F" w:rsidRPr="008C5A3A" w:rsidRDefault="00A54ED9" w:rsidP="003F0EA7">
            <w:pPr>
              <w:bidi/>
              <w:jc w:val="left"/>
              <w:rPr>
                <w:rtl/>
              </w:rPr>
            </w:pPr>
            <w:hyperlink r:id="rId12" w:history="1">
              <w:r w:rsidR="00E36EE5">
                <w:rPr>
                  <w:rStyle w:val="Hyperlink"/>
                </w:rPr>
                <w:t>Marie-Laurence.Drillon@eesc.europa.eu</w:t>
              </w:r>
            </w:hyperlink>
          </w:p>
        </w:tc>
      </w:tr>
      <w:tr w:rsidR="0093302F" w:rsidRPr="008C5A3A" w14:paraId="02B2F3F7" w14:textId="77777777" w:rsidTr="003F0EA7">
        <w:tc>
          <w:tcPr>
            <w:tcW w:w="3085" w:type="dxa"/>
          </w:tcPr>
          <w:p w14:paraId="6ED40BF0" w14:textId="77777777" w:rsidR="0093302F" w:rsidRPr="008C5A3A" w:rsidRDefault="0093302F" w:rsidP="003F0EA7">
            <w:pPr>
              <w:bidi/>
              <w:jc w:val="left"/>
              <w:rPr>
                <w:rtl/>
              </w:rPr>
            </w:pPr>
            <w:r>
              <w:rPr>
                <w:rFonts w:hint="cs"/>
                <w:rtl/>
              </w:rPr>
              <w:t>مساعد الإدارة</w:t>
            </w:r>
          </w:p>
        </w:tc>
        <w:tc>
          <w:tcPr>
            <w:tcW w:w="6204" w:type="dxa"/>
          </w:tcPr>
          <w:p w14:paraId="57DADF3C" w14:textId="77777777" w:rsidR="0093302F" w:rsidRPr="008C5A3A" w:rsidRDefault="0093302F" w:rsidP="003F0EA7">
            <w:pPr>
              <w:bidi/>
              <w:jc w:val="left"/>
              <w:rPr>
                <w:rtl/>
              </w:rPr>
            </w:pPr>
            <w:r>
              <w:rPr>
                <w:rFonts w:hint="cs"/>
                <w:rtl/>
              </w:rPr>
              <w:t xml:space="preserve">ماري لورانس </w:t>
            </w:r>
            <w:proofErr w:type="spellStart"/>
            <w:r>
              <w:rPr>
                <w:rFonts w:hint="cs"/>
                <w:rtl/>
              </w:rPr>
              <w:t>دريلون</w:t>
            </w:r>
            <w:proofErr w:type="spellEnd"/>
          </w:p>
        </w:tc>
      </w:tr>
      <w:tr w:rsidR="0093302F" w:rsidRPr="008C5A3A" w14:paraId="5195D452" w14:textId="77777777" w:rsidTr="003F0EA7">
        <w:tc>
          <w:tcPr>
            <w:tcW w:w="3085" w:type="dxa"/>
          </w:tcPr>
          <w:p w14:paraId="2646052D" w14:textId="77777777" w:rsidR="0093302F" w:rsidRPr="008C5A3A" w:rsidRDefault="0093302F" w:rsidP="003F0EA7">
            <w:pPr>
              <w:bidi/>
              <w:jc w:val="left"/>
              <w:rPr>
                <w:rtl/>
              </w:rPr>
            </w:pPr>
            <w:r>
              <w:rPr>
                <w:rFonts w:hint="cs"/>
                <w:rtl/>
              </w:rPr>
              <w:t>تاريخ الوثيقة</w:t>
            </w:r>
          </w:p>
        </w:tc>
        <w:tc>
          <w:tcPr>
            <w:tcW w:w="6204" w:type="dxa"/>
          </w:tcPr>
          <w:p w14:paraId="67415CE6" w14:textId="3AE86884" w:rsidR="0093302F" w:rsidRPr="008C5A3A" w:rsidRDefault="004948D9" w:rsidP="003F0EA7">
            <w:pPr>
              <w:bidi/>
              <w:jc w:val="left"/>
              <w:rPr>
                <w:rtl/>
              </w:rPr>
            </w:pPr>
            <w:r>
              <w:rPr>
                <w:rFonts w:hint="cs"/>
                <w:rtl/>
              </w:rPr>
              <w:t>13/6/2025</w:t>
            </w:r>
          </w:p>
        </w:tc>
      </w:tr>
    </w:tbl>
    <w:p w14:paraId="64C149E8" w14:textId="77777777" w:rsidR="00DD1E82" w:rsidRPr="008C5A3A" w:rsidRDefault="00AB55A4">
      <w:pPr>
        <w:bidi/>
        <w:jc w:val="center"/>
        <w:rPr>
          <w:rtl/>
        </w:rPr>
      </w:pPr>
      <w:r>
        <w:rPr>
          <w:rFonts w:hint="cs"/>
          <w:rtl/>
        </w:rPr>
        <w:t xml:space="preserve">المقرر: </w:t>
      </w:r>
      <w:r>
        <w:rPr>
          <w:rFonts w:hint="cs"/>
          <w:b/>
          <w:bCs/>
          <w:rtl/>
        </w:rPr>
        <w:t xml:space="preserve">ميلينا </w:t>
      </w:r>
      <w:proofErr w:type="spellStart"/>
      <w:r>
        <w:rPr>
          <w:rFonts w:hint="cs"/>
          <w:b/>
          <w:bCs/>
          <w:rtl/>
        </w:rPr>
        <w:t>أنجيلوفا</w:t>
      </w:r>
      <w:proofErr w:type="spellEnd"/>
    </w:p>
    <w:p w14:paraId="663D33AD" w14:textId="77777777" w:rsidR="00DD1E82" w:rsidRPr="008C5A3A" w:rsidRDefault="00AB55A4">
      <w:pPr>
        <w:bidi/>
        <w:jc w:val="center"/>
        <w:rPr>
          <w:rtl/>
        </w:rPr>
      </w:pPr>
      <w:r>
        <w:rPr>
          <w:rFonts w:hint="cs"/>
          <w:rtl/>
        </w:rPr>
        <w:t xml:space="preserve">المقرر المشارك: </w:t>
      </w:r>
      <w:proofErr w:type="spellStart"/>
      <w:r>
        <w:rPr>
          <w:rFonts w:hint="cs"/>
          <w:b/>
          <w:bCs/>
          <w:rtl/>
        </w:rPr>
        <w:t>يوانيس</w:t>
      </w:r>
      <w:proofErr w:type="spellEnd"/>
      <w:r>
        <w:rPr>
          <w:rFonts w:hint="cs"/>
          <w:b/>
          <w:bCs/>
          <w:rtl/>
        </w:rPr>
        <w:t xml:space="preserve"> </w:t>
      </w:r>
      <w:proofErr w:type="spellStart"/>
      <w:r>
        <w:rPr>
          <w:rFonts w:hint="cs"/>
          <w:b/>
          <w:bCs/>
          <w:rtl/>
        </w:rPr>
        <w:t>فارداكاستانيس</w:t>
      </w:r>
      <w:proofErr w:type="spellEnd"/>
    </w:p>
    <w:p w14:paraId="54F4715A" w14:textId="77777777" w:rsidR="00DD1E82" w:rsidRPr="008C5A3A" w:rsidRDefault="00DD1E82">
      <w:pPr>
        <w:rPr>
          <w:lang w:val="en-GB"/>
        </w:rPr>
      </w:pPr>
    </w:p>
    <w:p w14:paraId="40AD6D0D" w14:textId="77777777" w:rsidR="00DD1E82" w:rsidRPr="008C5A3A" w:rsidRDefault="00DD1E82">
      <w:pPr>
        <w:rPr>
          <w:lang w:val="en-GB"/>
        </w:rPr>
      </w:pPr>
    </w:p>
    <w:p w14:paraId="07015661" w14:textId="77777777" w:rsidR="00DD1E82" w:rsidRPr="008C5A3A" w:rsidRDefault="00DD1E82">
      <w:pPr>
        <w:rPr>
          <w:lang w:val="en-GB"/>
        </w:rPr>
        <w:sectPr w:rsidR="00DD1E82" w:rsidRPr="008C5A3A" w:rsidSect="004948D9">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bidiVisual/>
        <w:tblW w:w="0" w:type="auto"/>
        <w:tblLook w:val="04A0" w:firstRow="1" w:lastRow="0" w:firstColumn="1" w:lastColumn="0" w:noHBand="0" w:noVBand="1"/>
      </w:tblPr>
      <w:tblGrid>
        <w:gridCol w:w="3032"/>
        <w:gridCol w:w="6041"/>
      </w:tblGrid>
      <w:tr w:rsidR="00DD1E82" w:rsidRPr="008C5A3A" w14:paraId="16298763" w14:textId="77777777">
        <w:tc>
          <w:tcPr>
            <w:tcW w:w="3032" w:type="dxa"/>
          </w:tcPr>
          <w:p w14:paraId="595B7817" w14:textId="77777777" w:rsidR="00DD1E82" w:rsidRPr="008C5A3A" w:rsidRDefault="00AB55A4">
            <w:pPr>
              <w:bidi/>
              <w:rPr>
                <w:rtl/>
              </w:rPr>
            </w:pPr>
            <w:r>
              <w:rPr>
                <w:rFonts w:hint="cs"/>
                <w:rtl/>
              </w:rPr>
              <w:lastRenderedPageBreak/>
              <w:t>فريق الدراسة</w:t>
            </w:r>
          </w:p>
        </w:tc>
        <w:tc>
          <w:tcPr>
            <w:tcW w:w="6041" w:type="dxa"/>
          </w:tcPr>
          <w:p w14:paraId="251AF4AE" w14:textId="77777777" w:rsidR="00DD1E82" w:rsidRPr="008C5A3A" w:rsidRDefault="00AB55A4">
            <w:pPr>
              <w:bidi/>
              <w:jc w:val="left"/>
              <w:rPr>
                <w:rtl/>
              </w:rPr>
            </w:pPr>
            <w:r>
              <w:rPr>
                <w:rFonts w:hint="cs"/>
                <w:rtl/>
              </w:rPr>
              <w:t>الدبلوماسية الزرقاء والمياه - الهجرة الناجمة عن تغير المناخ</w:t>
            </w:r>
          </w:p>
        </w:tc>
      </w:tr>
      <w:tr w:rsidR="00DD1E82" w:rsidRPr="008C5A3A" w14:paraId="3E91CEB3" w14:textId="77777777">
        <w:tc>
          <w:tcPr>
            <w:tcW w:w="3032" w:type="dxa"/>
          </w:tcPr>
          <w:p w14:paraId="523BA214" w14:textId="77777777" w:rsidR="00DD1E82" w:rsidRPr="008C5A3A" w:rsidRDefault="00DD1E82">
            <w:pPr>
              <w:rPr>
                <w:lang w:val="en-GB"/>
              </w:rPr>
            </w:pPr>
          </w:p>
        </w:tc>
        <w:tc>
          <w:tcPr>
            <w:tcW w:w="6041" w:type="dxa"/>
          </w:tcPr>
          <w:p w14:paraId="54C5AD2F" w14:textId="77777777" w:rsidR="00DD1E82" w:rsidRPr="008C5A3A" w:rsidRDefault="00DD1E82">
            <w:pPr>
              <w:jc w:val="left"/>
              <w:rPr>
                <w:lang w:val="en-GB"/>
              </w:rPr>
            </w:pPr>
          </w:p>
        </w:tc>
      </w:tr>
      <w:tr w:rsidR="00DD1E82" w:rsidRPr="008C5A3A" w14:paraId="4E08EEAA" w14:textId="77777777">
        <w:tc>
          <w:tcPr>
            <w:tcW w:w="3032" w:type="dxa"/>
          </w:tcPr>
          <w:p w14:paraId="7AB36EB5" w14:textId="77777777" w:rsidR="00DD1E82" w:rsidRPr="008C5A3A" w:rsidRDefault="00AB55A4">
            <w:pPr>
              <w:bidi/>
              <w:rPr>
                <w:rtl/>
              </w:rPr>
            </w:pPr>
            <w:r>
              <w:rPr>
                <w:rFonts w:hint="cs"/>
                <w:rtl/>
              </w:rPr>
              <w:t>الرئيس</w:t>
            </w:r>
          </w:p>
        </w:tc>
        <w:tc>
          <w:tcPr>
            <w:tcW w:w="6041" w:type="dxa"/>
          </w:tcPr>
          <w:p w14:paraId="50AB131C" w14:textId="77777777" w:rsidR="00DD1E82" w:rsidRPr="008C5A3A" w:rsidRDefault="00AB55A4">
            <w:pPr>
              <w:bidi/>
              <w:jc w:val="left"/>
              <w:rPr>
                <w:rtl/>
              </w:rPr>
            </w:pPr>
            <w:r>
              <w:rPr>
                <w:rFonts w:hint="cs"/>
                <w:rtl/>
              </w:rPr>
              <w:t xml:space="preserve">توماس </w:t>
            </w:r>
            <w:proofErr w:type="spellStart"/>
            <w:r>
              <w:rPr>
                <w:rFonts w:hint="cs"/>
                <w:rtl/>
              </w:rPr>
              <w:t>واغنسونر</w:t>
            </w:r>
            <w:proofErr w:type="spellEnd"/>
            <w:r>
              <w:rPr>
                <w:rFonts w:hint="cs"/>
                <w:rtl/>
              </w:rPr>
              <w:t xml:space="preserve"> (النمسا، المجموعة 2)</w:t>
            </w:r>
          </w:p>
        </w:tc>
      </w:tr>
      <w:tr w:rsidR="00DD1E82" w:rsidRPr="008C5A3A" w14:paraId="0A6326E7" w14:textId="77777777">
        <w:tc>
          <w:tcPr>
            <w:tcW w:w="3032" w:type="dxa"/>
          </w:tcPr>
          <w:p w14:paraId="47B8D343" w14:textId="77777777" w:rsidR="00DD1E82" w:rsidRPr="008C5A3A" w:rsidRDefault="00AB55A4">
            <w:pPr>
              <w:bidi/>
              <w:rPr>
                <w:rtl/>
              </w:rPr>
            </w:pPr>
            <w:r>
              <w:rPr>
                <w:rFonts w:hint="cs"/>
                <w:rtl/>
              </w:rPr>
              <w:t>المقرر</w:t>
            </w:r>
          </w:p>
        </w:tc>
        <w:tc>
          <w:tcPr>
            <w:tcW w:w="6041" w:type="dxa"/>
          </w:tcPr>
          <w:p w14:paraId="188D9393" w14:textId="77777777" w:rsidR="00DD1E82" w:rsidRPr="008C5A3A" w:rsidRDefault="00AB55A4">
            <w:pPr>
              <w:bidi/>
              <w:jc w:val="left"/>
              <w:rPr>
                <w:rtl/>
              </w:rPr>
            </w:pPr>
            <w:r>
              <w:rPr>
                <w:rFonts w:hint="cs"/>
                <w:rtl/>
              </w:rPr>
              <w:t xml:space="preserve">ميلينا </w:t>
            </w:r>
            <w:proofErr w:type="spellStart"/>
            <w:r>
              <w:rPr>
                <w:rFonts w:hint="cs"/>
                <w:rtl/>
              </w:rPr>
              <w:t>أنجيلوفا</w:t>
            </w:r>
            <w:proofErr w:type="spellEnd"/>
            <w:r>
              <w:rPr>
                <w:rFonts w:hint="cs"/>
                <w:rtl/>
              </w:rPr>
              <w:t xml:space="preserve"> (بلغاريا، المجموعة 1)</w:t>
            </w:r>
          </w:p>
        </w:tc>
      </w:tr>
      <w:tr w:rsidR="00DD1E82" w:rsidRPr="008C5A3A" w14:paraId="5200AA94" w14:textId="77777777">
        <w:tc>
          <w:tcPr>
            <w:tcW w:w="3032" w:type="dxa"/>
          </w:tcPr>
          <w:p w14:paraId="18D81DBF" w14:textId="77777777" w:rsidR="00DD1E82" w:rsidRPr="008C5A3A" w:rsidRDefault="00AB55A4">
            <w:pPr>
              <w:bidi/>
              <w:rPr>
                <w:rtl/>
              </w:rPr>
            </w:pPr>
            <w:r>
              <w:rPr>
                <w:rFonts w:hint="cs"/>
                <w:rtl/>
              </w:rPr>
              <w:t>المقرر المشارك</w:t>
            </w:r>
          </w:p>
        </w:tc>
        <w:tc>
          <w:tcPr>
            <w:tcW w:w="6041" w:type="dxa"/>
          </w:tcPr>
          <w:p w14:paraId="35F9FA36" w14:textId="77777777" w:rsidR="00DD1E82" w:rsidRPr="008C5A3A" w:rsidRDefault="00AB55A4">
            <w:pPr>
              <w:bidi/>
              <w:jc w:val="left"/>
              <w:rPr>
                <w:rtl/>
              </w:rPr>
            </w:pPr>
            <w:proofErr w:type="spellStart"/>
            <w:r>
              <w:rPr>
                <w:rFonts w:hint="cs"/>
                <w:rtl/>
              </w:rPr>
              <w:t>يوانيس</w:t>
            </w:r>
            <w:proofErr w:type="spellEnd"/>
            <w:r>
              <w:rPr>
                <w:rFonts w:hint="cs"/>
                <w:rtl/>
              </w:rPr>
              <w:t xml:space="preserve"> </w:t>
            </w:r>
            <w:proofErr w:type="spellStart"/>
            <w:r>
              <w:rPr>
                <w:rFonts w:hint="cs"/>
                <w:rtl/>
              </w:rPr>
              <w:t>فارداكاستانيس</w:t>
            </w:r>
            <w:proofErr w:type="spellEnd"/>
            <w:r>
              <w:rPr>
                <w:rFonts w:hint="cs"/>
                <w:rtl/>
              </w:rPr>
              <w:t xml:space="preserve"> (اليونان، المجموعة 3)</w:t>
            </w:r>
          </w:p>
        </w:tc>
      </w:tr>
      <w:tr w:rsidR="00DD1E82" w:rsidRPr="008C5A3A" w14:paraId="575B71A4" w14:textId="77777777">
        <w:tc>
          <w:tcPr>
            <w:tcW w:w="3032" w:type="dxa"/>
          </w:tcPr>
          <w:p w14:paraId="7E9CDC1C" w14:textId="77777777" w:rsidR="00DD1E82" w:rsidRPr="008C5A3A" w:rsidRDefault="00DD1E82">
            <w:pPr>
              <w:rPr>
                <w:lang w:val="en-GB"/>
              </w:rPr>
            </w:pPr>
          </w:p>
        </w:tc>
        <w:tc>
          <w:tcPr>
            <w:tcW w:w="6041" w:type="dxa"/>
          </w:tcPr>
          <w:p w14:paraId="62B51109" w14:textId="77777777" w:rsidR="00DD1E82" w:rsidRPr="008C5A3A" w:rsidRDefault="00DD1E82">
            <w:pPr>
              <w:jc w:val="left"/>
              <w:rPr>
                <w:lang w:val="en-GB"/>
              </w:rPr>
            </w:pPr>
          </w:p>
        </w:tc>
      </w:tr>
      <w:tr w:rsidR="00DD1E82" w:rsidRPr="008C5A3A" w14:paraId="7BD57CB0" w14:textId="77777777">
        <w:tc>
          <w:tcPr>
            <w:tcW w:w="3032" w:type="dxa"/>
          </w:tcPr>
          <w:p w14:paraId="6A238594" w14:textId="77777777" w:rsidR="00DD1E82" w:rsidRPr="008C5A3A" w:rsidRDefault="00AB55A4">
            <w:pPr>
              <w:bidi/>
              <w:rPr>
                <w:rtl/>
              </w:rPr>
            </w:pPr>
            <w:r>
              <w:rPr>
                <w:rFonts w:hint="cs"/>
                <w:rtl/>
              </w:rPr>
              <w:t>الأعضاء</w:t>
            </w:r>
          </w:p>
        </w:tc>
        <w:tc>
          <w:tcPr>
            <w:tcW w:w="6041" w:type="dxa"/>
          </w:tcPr>
          <w:p w14:paraId="6FC87945" w14:textId="77777777" w:rsidR="00DD1E82" w:rsidRPr="001F75D8" w:rsidRDefault="00AB55A4">
            <w:pPr>
              <w:bidi/>
              <w:jc w:val="left"/>
              <w:rPr>
                <w:rtl/>
              </w:rPr>
            </w:pPr>
            <w:r>
              <w:rPr>
                <w:rFonts w:hint="cs"/>
                <w:rtl/>
              </w:rPr>
              <w:t xml:space="preserve">هيلينا دي فيليب </w:t>
            </w:r>
            <w:proofErr w:type="spellStart"/>
            <w:r>
              <w:rPr>
                <w:rFonts w:hint="cs"/>
                <w:rtl/>
              </w:rPr>
              <w:t>ليتونين</w:t>
            </w:r>
            <w:proofErr w:type="spellEnd"/>
            <w:r>
              <w:rPr>
                <w:rFonts w:hint="cs"/>
                <w:rtl/>
              </w:rPr>
              <w:t xml:space="preserve"> (إسبانيا، المجموعة 1)</w:t>
            </w:r>
          </w:p>
          <w:p w14:paraId="78E14B97" w14:textId="77777777" w:rsidR="00DD1E82" w:rsidRPr="001F75D8" w:rsidRDefault="00AB55A4">
            <w:pPr>
              <w:bidi/>
              <w:jc w:val="left"/>
              <w:rPr>
                <w:rtl/>
              </w:rPr>
            </w:pPr>
            <w:r>
              <w:rPr>
                <w:rFonts w:hint="cs"/>
                <w:rtl/>
              </w:rPr>
              <w:t xml:space="preserve">كاترينا </w:t>
            </w:r>
            <w:proofErr w:type="spellStart"/>
            <w:r>
              <w:rPr>
                <w:rFonts w:hint="cs"/>
                <w:rtl/>
              </w:rPr>
              <w:t>ليتانيه</w:t>
            </w:r>
            <w:proofErr w:type="spellEnd"/>
            <w:r>
              <w:rPr>
                <w:rFonts w:hint="cs"/>
                <w:rtl/>
              </w:rPr>
              <w:t xml:space="preserve"> (لاتفيا، المجموعة 3)</w:t>
            </w:r>
          </w:p>
          <w:p w14:paraId="761DE5E6" w14:textId="77777777" w:rsidR="00DD1E82" w:rsidRPr="001F75D8" w:rsidRDefault="00AB55A4">
            <w:pPr>
              <w:bidi/>
              <w:jc w:val="left"/>
              <w:rPr>
                <w:rtl/>
              </w:rPr>
            </w:pPr>
            <w:proofErr w:type="spellStart"/>
            <w:r>
              <w:rPr>
                <w:rFonts w:hint="cs"/>
                <w:rtl/>
              </w:rPr>
              <w:t>كشيشتوف</w:t>
            </w:r>
            <w:proofErr w:type="spellEnd"/>
            <w:r>
              <w:rPr>
                <w:rFonts w:hint="cs"/>
                <w:rtl/>
              </w:rPr>
              <w:t xml:space="preserve"> </w:t>
            </w:r>
            <w:proofErr w:type="spellStart"/>
            <w:r>
              <w:rPr>
                <w:rFonts w:hint="cs"/>
                <w:rtl/>
              </w:rPr>
              <w:t>أوستروفسكي</w:t>
            </w:r>
            <w:proofErr w:type="spellEnd"/>
            <w:r>
              <w:rPr>
                <w:rFonts w:hint="cs"/>
                <w:rtl/>
              </w:rPr>
              <w:t xml:space="preserve"> (بولندا، المجموعة 1)</w:t>
            </w:r>
          </w:p>
          <w:p w14:paraId="7409A71B" w14:textId="77777777" w:rsidR="00DD1E82" w:rsidRPr="001F75D8" w:rsidRDefault="00AB55A4">
            <w:pPr>
              <w:bidi/>
              <w:jc w:val="left"/>
              <w:rPr>
                <w:rtl/>
              </w:rPr>
            </w:pPr>
            <w:proofErr w:type="spellStart"/>
            <w:r>
              <w:rPr>
                <w:rFonts w:hint="cs"/>
                <w:rtl/>
              </w:rPr>
              <w:t>أنجيلو</w:t>
            </w:r>
            <w:proofErr w:type="spellEnd"/>
            <w:r>
              <w:rPr>
                <w:rFonts w:hint="cs"/>
                <w:rtl/>
              </w:rPr>
              <w:t xml:space="preserve"> </w:t>
            </w:r>
            <w:proofErr w:type="spellStart"/>
            <w:r>
              <w:rPr>
                <w:rFonts w:hint="cs"/>
                <w:rtl/>
              </w:rPr>
              <w:t>باليارا</w:t>
            </w:r>
            <w:proofErr w:type="spellEnd"/>
            <w:r>
              <w:rPr>
                <w:rFonts w:hint="cs"/>
                <w:rtl/>
              </w:rPr>
              <w:t xml:space="preserve"> (إيطاليا، المجموعة 2)</w:t>
            </w:r>
          </w:p>
          <w:p w14:paraId="315CAF12" w14:textId="77777777" w:rsidR="00DD1E82" w:rsidRPr="001F75D8" w:rsidRDefault="00AB55A4">
            <w:pPr>
              <w:bidi/>
              <w:jc w:val="left"/>
              <w:rPr>
                <w:rtl/>
              </w:rPr>
            </w:pPr>
            <w:r>
              <w:rPr>
                <w:rFonts w:hint="cs"/>
                <w:rtl/>
              </w:rPr>
              <w:t xml:space="preserve">بنجامين </w:t>
            </w:r>
            <w:proofErr w:type="spellStart"/>
            <w:r>
              <w:rPr>
                <w:rFonts w:hint="cs"/>
                <w:rtl/>
              </w:rPr>
              <w:t>ريزو</w:t>
            </w:r>
            <w:proofErr w:type="spellEnd"/>
            <w:r>
              <w:rPr>
                <w:rFonts w:hint="cs"/>
                <w:rtl/>
              </w:rPr>
              <w:t xml:space="preserve"> (مالطا، المجموعة 3)</w:t>
            </w:r>
          </w:p>
          <w:p w14:paraId="4BB50D8B" w14:textId="77777777" w:rsidR="00DD1E82" w:rsidRPr="008C5A3A" w:rsidRDefault="00AB55A4">
            <w:pPr>
              <w:bidi/>
              <w:jc w:val="left"/>
              <w:rPr>
                <w:rtl/>
              </w:rPr>
            </w:pPr>
            <w:proofErr w:type="spellStart"/>
            <w:r>
              <w:rPr>
                <w:rFonts w:hint="cs"/>
                <w:rtl/>
              </w:rPr>
              <w:t>أوزليم</w:t>
            </w:r>
            <w:proofErr w:type="spellEnd"/>
            <w:r>
              <w:rPr>
                <w:rFonts w:hint="cs"/>
                <w:rtl/>
              </w:rPr>
              <w:t xml:space="preserve"> </w:t>
            </w:r>
            <w:proofErr w:type="spellStart"/>
            <w:r>
              <w:rPr>
                <w:rFonts w:hint="cs"/>
                <w:rtl/>
              </w:rPr>
              <w:t>يلدريم</w:t>
            </w:r>
            <w:proofErr w:type="spellEnd"/>
            <w:r>
              <w:rPr>
                <w:rFonts w:hint="cs"/>
                <w:rtl/>
              </w:rPr>
              <w:t xml:space="preserve"> (فرنسا، المجموعة 2)</w:t>
            </w:r>
          </w:p>
        </w:tc>
      </w:tr>
    </w:tbl>
    <w:p w14:paraId="481D5B0E" w14:textId="77777777" w:rsidR="00DD1E82" w:rsidRPr="008C5A3A" w:rsidRDefault="00DD1E82">
      <w:pPr>
        <w:rPr>
          <w:lang w:val="en-GB"/>
        </w:rPr>
      </w:pPr>
    </w:p>
    <w:tbl>
      <w:tblPr>
        <w:bidiVisual/>
        <w:tblW w:w="0" w:type="auto"/>
        <w:tblLook w:val="04A0" w:firstRow="1" w:lastRow="0" w:firstColumn="1" w:lastColumn="0" w:noHBand="0" w:noVBand="1"/>
      </w:tblPr>
      <w:tblGrid>
        <w:gridCol w:w="3055"/>
        <w:gridCol w:w="6018"/>
      </w:tblGrid>
      <w:tr w:rsidR="00DD1E82" w:rsidRPr="008C5A3A" w14:paraId="69689428" w14:textId="77777777">
        <w:trPr>
          <w:trHeight w:val="251"/>
        </w:trPr>
        <w:tc>
          <w:tcPr>
            <w:tcW w:w="3055" w:type="dxa"/>
          </w:tcPr>
          <w:p w14:paraId="293B1050" w14:textId="77777777" w:rsidR="00DD1E82" w:rsidRPr="008C5A3A" w:rsidRDefault="00AB55A4">
            <w:pPr>
              <w:bidi/>
              <w:jc w:val="left"/>
              <w:rPr>
                <w:rtl/>
              </w:rPr>
            </w:pPr>
            <w:r>
              <w:rPr>
                <w:rFonts w:hint="cs"/>
                <w:rtl/>
              </w:rPr>
              <w:t>المستشارون</w:t>
            </w:r>
          </w:p>
        </w:tc>
        <w:tc>
          <w:tcPr>
            <w:tcW w:w="6018" w:type="dxa"/>
          </w:tcPr>
          <w:p w14:paraId="59ED99F0" w14:textId="0BDBB6AB" w:rsidR="00DD1E82" w:rsidRPr="008C5A3A" w:rsidRDefault="00AB55A4">
            <w:pPr>
              <w:bidi/>
              <w:jc w:val="left"/>
              <w:rPr>
                <w:rtl/>
              </w:rPr>
            </w:pPr>
            <w:proofErr w:type="spellStart"/>
            <w:r>
              <w:rPr>
                <w:rFonts w:hint="cs"/>
                <w:rtl/>
              </w:rPr>
              <w:t>يوانيس</w:t>
            </w:r>
            <w:proofErr w:type="spellEnd"/>
            <w:r>
              <w:rPr>
                <w:rFonts w:hint="cs"/>
                <w:rtl/>
              </w:rPr>
              <w:t xml:space="preserve"> </w:t>
            </w:r>
            <w:proofErr w:type="spellStart"/>
            <w:r>
              <w:rPr>
                <w:rFonts w:hint="cs"/>
                <w:rtl/>
              </w:rPr>
              <w:t>باباذيموس</w:t>
            </w:r>
            <w:proofErr w:type="spellEnd"/>
            <w:r>
              <w:rPr>
                <w:rFonts w:hint="cs"/>
                <w:rtl/>
              </w:rPr>
              <w:t xml:space="preserve"> (مستشار المقرر، المجموعة 1)</w:t>
            </w:r>
          </w:p>
          <w:p w14:paraId="0B3773F7" w14:textId="788C5D61" w:rsidR="00DD1E82" w:rsidRPr="008C5A3A" w:rsidRDefault="00AB55A4">
            <w:pPr>
              <w:bidi/>
              <w:jc w:val="left"/>
              <w:rPr>
                <w:rtl/>
              </w:rPr>
            </w:pPr>
            <w:proofErr w:type="spellStart"/>
            <w:r>
              <w:rPr>
                <w:rFonts w:hint="cs"/>
                <w:rtl/>
              </w:rPr>
              <w:t>يوانيس</w:t>
            </w:r>
            <w:proofErr w:type="spellEnd"/>
            <w:r>
              <w:rPr>
                <w:rFonts w:hint="cs"/>
                <w:rtl/>
              </w:rPr>
              <w:t xml:space="preserve"> ن. </w:t>
            </w:r>
            <w:proofErr w:type="spellStart"/>
            <w:r>
              <w:rPr>
                <w:rFonts w:hint="cs"/>
                <w:rtl/>
              </w:rPr>
              <w:t>غريغورياديس</w:t>
            </w:r>
            <w:proofErr w:type="spellEnd"/>
            <w:r>
              <w:rPr>
                <w:rFonts w:hint="cs"/>
                <w:rtl/>
              </w:rPr>
              <w:t xml:space="preserve"> (مستشار المقرر المشارك، المجموعة 3)</w:t>
            </w:r>
          </w:p>
        </w:tc>
      </w:tr>
      <w:tr w:rsidR="00DD1E82" w:rsidRPr="008C5A3A" w14:paraId="4FD7E60C" w14:textId="77777777">
        <w:trPr>
          <w:trHeight w:val="251"/>
        </w:trPr>
        <w:tc>
          <w:tcPr>
            <w:tcW w:w="3055" w:type="dxa"/>
          </w:tcPr>
          <w:p w14:paraId="6C08C308" w14:textId="77777777" w:rsidR="00DD1E82" w:rsidRPr="008C5A3A" w:rsidRDefault="00DD1E82">
            <w:pPr>
              <w:jc w:val="left"/>
              <w:rPr>
                <w:lang w:val="en-GB"/>
              </w:rPr>
            </w:pPr>
          </w:p>
        </w:tc>
        <w:tc>
          <w:tcPr>
            <w:tcW w:w="6018" w:type="dxa"/>
          </w:tcPr>
          <w:p w14:paraId="272EF774" w14:textId="77777777" w:rsidR="00DD1E82" w:rsidRPr="008C5A3A" w:rsidRDefault="00DD1E82">
            <w:pPr>
              <w:jc w:val="left"/>
              <w:rPr>
                <w:lang w:val="en-GB"/>
              </w:rPr>
            </w:pPr>
          </w:p>
        </w:tc>
      </w:tr>
      <w:tr w:rsidR="00DD1E82" w:rsidRPr="008C5A3A" w14:paraId="09DB58AE" w14:textId="77777777">
        <w:tc>
          <w:tcPr>
            <w:tcW w:w="3055" w:type="dxa"/>
          </w:tcPr>
          <w:p w14:paraId="28A12A16" w14:textId="77777777" w:rsidR="00DD1E82" w:rsidRPr="008C5A3A" w:rsidRDefault="00AB55A4">
            <w:pPr>
              <w:bidi/>
              <w:jc w:val="left"/>
              <w:rPr>
                <w:rtl/>
              </w:rPr>
            </w:pPr>
            <w:r>
              <w:rPr>
                <w:rFonts w:hint="cs"/>
                <w:rtl/>
              </w:rPr>
              <w:t>قرار الجمعية العمومية</w:t>
            </w:r>
          </w:p>
        </w:tc>
        <w:tc>
          <w:tcPr>
            <w:tcW w:w="6018" w:type="dxa"/>
          </w:tcPr>
          <w:p w14:paraId="49D84BA8" w14:textId="77777777" w:rsidR="00DD1E82" w:rsidRPr="008C5A3A" w:rsidRDefault="00AB55A4">
            <w:pPr>
              <w:bidi/>
              <w:jc w:val="left"/>
              <w:rPr>
                <w:rtl/>
              </w:rPr>
            </w:pPr>
            <w:r>
              <w:rPr>
                <w:rFonts w:hint="cs"/>
                <w:rtl/>
              </w:rPr>
              <w:t>22/1/2025</w:t>
            </w:r>
          </w:p>
        </w:tc>
      </w:tr>
      <w:tr w:rsidR="00DD1E82" w:rsidRPr="008C5A3A" w14:paraId="1CAB73DA" w14:textId="77777777">
        <w:tc>
          <w:tcPr>
            <w:tcW w:w="3055" w:type="dxa"/>
          </w:tcPr>
          <w:p w14:paraId="3EE5CD39" w14:textId="77777777" w:rsidR="00DD1E82" w:rsidRPr="008C5A3A" w:rsidRDefault="00AB55A4">
            <w:pPr>
              <w:bidi/>
              <w:jc w:val="left"/>
              <w:rPr>
                <w:rtl/>
              </w:rPr>
            </w:pPr>
            <w:r>
              <w:rPr>
                <w:rFonts w:hint="cs"/>
                <w:rtl/>
              </w:rPr>
              <w:t>الأسس القانونية</w:t>
            </w:r>
          </w:p>
        </w:tc>
        <w:tc>
          <w:tcPr>
            <w:tcW w:w="6018" w:type="dxa"/>
          </w:tcPr>
          <w:p w14:paraId="10FEDE86" w14:textId="77777777" w:rsidR="00DD1E82" w:rsidRPr="008C5A3A" w:rsidRDefault="00AB55A4">
            <w:pPr>
              <w:bidi/>
              <w:jc w:val="left"/>
              <w:rPr>
                <w:rtl/>
              </w:rPr>
            </w:pPr>
            <w:r>
              <w:rPr>
                <w:rFonts w:hint="cs"/>
                <w:rtl/>
              </w:rPr>
              <w:t>القاعدة 52(2) من النظام الداخلي</w:t>
            </w:r>
          </w:p>
        </w:tc>
      </w:tr>
      <w:tr w:rsidR="00DD1E82" w:rsidRPr="008C5A3A" w14:paraId="793571DD" w14:textId="77777777">
        <w:tc>
          <w:tcPr>
            <w:tcW w:w="3055" w:type="dxa"/>
          </w:tcPr>
          <w:p w14:paraId="78883C5F" w14:textId="77777777" w:rsidR="00DD1E82" w:rsidRPr="008C5A3A" w:rsidRDefault="00AB55A4">
            <w:pPr>
              <w:bidi/>
              <w:jc w:val="left"/>
              <w:rPr>
                <w:rtl/>
              </w:rPr>
            </w:pPr>
            <w:r>
              <w:rPr>
                <w:rFonts w:hint="cs"/>
                <w:rtl/>
              </w:rPr>
              <w:t>الإحالة</w:t>
            </w:r>
          </w:p>
        </w:tc>
        <w:tc>
          <w:tcPr>
            <w:tcW w:w="6018" w:type="dxa"/>
          </w:tcPr>
          <w:p w14:paraId="1D8101F9" w14:textId="77777777" w:rsidR="00DD1E82" w:rsidRPr="008C5A3A" w:rsidRDefault="00AB55A4">
            <w:pPr>
              <w:bidi/>
              <w:jc w:val="left"/>
              <w:rPr>
                <w:rtl/>
              </w:rPr>
            </w:pPr>
            <w:r>
              <w:rPr>
                <w:rFonts w:hint="cs"/>
                <w:rtl/>
              </w:rPr>
              <w:t>يوم/شهر/سنة</w:t>
            </w:r>
          </w:p>
        </w:tc>
      </w:tr>
      <w:tr w:rsidR="00DD1E82" w:rsidRPr="008C5A3A" w14:paraId="6A4EA617" w14:textId="77777777">
        <w:tc>
          <w:tcPr>
            <w:tcW w:w="3055" w:type="dxa"/>
          </w:tcPr>
          <w:p w14:paraId="125E2546" w14:textId="77777777" w:rsidR="00DD1E82" w:rsidRPr="008C5A3A" w:rsidRDefault="00AB55A4">
            <w:pPr>
              <w:bidi/>
              <w:jc w:val="left"/>
              <w:rPr>
                <w:rtl/>
              </w:rPr>
            </w:pPr>
            <w:r>
              <w:rPr>
                <w:rFonts w:hint="cs"/>
                <w:rtl/>
              </w:rPr>
              <w:t>الأسس القانونية</w:t>
            </w:r>
          </w:p>
        </w:tc>
        <w:tc>
          <w:tcPr>
            <w:tcW w:w="6018" w:type="dxa"/>
          </w:tcPr>
          <w:p w14:paraId="40C896D1" w14:textId="77777777" w:rsidR="00DD1E82" w:rsidRPr="008C5A3A" w:rsidRDefault="00AB55A4">
            <w:pPr>
              <w:bidi/>
              <w:jc w:val="left"/>
              <w:rPr>
                <w:rtl/>
              </w:rPr>
            </w:pPr>
            <w:r>
              <w:rPr>
                <w:rFonts w:hint="cs"/>
                <w:rtl/>
              </w:rPr>
              <w:t>المادة ... من المعاهدة المنظِّمة لعمل الاتحاد الأوروبي</w:t>
            </w:r>
          </w:p>
        </w:tc>
      </w:tr>
      <w:tr w:rsidR="00DD1E82" w:rsidRPr="008C5A3A" w14:paraId="5948527E" w14:textId="77777777">
        <w:tc>
          <w:tcPr>
            <w:tcW w:w="3055" w:type="dxa"/>
          </w:tcPr>
          <w:p w14:paraId="6646BC36" w14:textId="77777777" w:rsidR="00DD1E82" w:rsidRPr="008C5A3A" w:rsidRDefault="00AB55A4">
            <w:pPr>
              <w:bidi/>
              <w:jc w:val="left"/>
              <w:rPr>
                <w:rtl/>
              </w:rPr>
            </w:pPr>
            <w:r>
              <w:rPr>
                <w:rFonts w:hint="cs"/>
                <w:rtl/>
              </w:rPr>
              <w:t>القسم المسؤول</w:t>
            </w:r>
          </w:p>
        </w:tc>
        <w:tc>
          <w:tcPr>
            <w:tcW w:w="6018" w:type="dxa"/>
          </w:tcPr>
          <w:p w14:paraId="42AF471F" w14:textId="77777777" w:rsidR="00DD1E82" w:rsidRPr="008C5A3A" w:rsidRDefault="00AB55A4">
            <w:pPr>
              <w:bidi/>
              <w:jc w:val="left"/>
              <w:rPr>
                <w:rtl/>
              </w:rPr>
            </w:pPr>
            <w:r>
              <w:rPr>
                <w:rFonts w:hint="cs"/>
                <w:rtl/>
              </w:rPr>
              <w:t>…</w:t>
            </w:r>
          </w:p>
        </w:tc>
      </w:tr>
      <w:tr w:rsidR="00DD1E82" w:rsidRPr="008C5A3A" w14:paraId="4B4C14D1" w14:textId="77777777">
        <w:tc>
          <w:tcPr>
            <w:tcW w:w="3055" w:type="dxa"/>
          </w:tcPr>
          <w:p w14:paraId="46918AA2" w14:textId="77777777" w:rsidR="00DD1E82" w:rsidRPr="008C5A3A" w:rsidRDefault="00AB55A4">
            <w:pPr>
              <w:bidi/>
              <w:jc w:val="left"/>
              <w:rPr>
                <w:rtl/>
              </w:rPr>
            </w:pPr>
            <w:r>
              <w:rPr>
                <w:rFonts w:hint="cs"/>
                <w:rtl/>
              </w:rPr>
              <w:t>اُعتمِد في القسم</w:t>
            </w:r>
          </w:p>
        </w:tc>
        <w:tc>
          <w:tcPr>
            <w:tcW w:w="6018" w:type="dxa"/>
          </w:tcPr>
          <w:p w14:paraId="5880410A" w14:textId="77777777" w:rsidR="00DD1E82" w:rsidRPr="008C5A3A" w:rsidRDefault="00AB55A4">
            <w:pPr>
              <w:bidi/>
              <w:jc w:val="left"/>
              <w:rPr>
                <w:rtl/>
              </w:rPr>
            </w:pPr>
            <w:r>
              <w:rPr>
                <w:rFonts w:hint="cs"/>
                <w:rtl/>
              </w:rPr>
              <w:t>يوم/شهر/سنة</w:t>
            </w:r>
          </w:p>
        </w:tc>
      </w:tr>
      <w:tr w:rsidR="00DD1E82" w:rsidRPr="008C5A3A" w14:paraId="30AD7616" w14:textId="77777777">
        <w:tc>
          <w:tcPr>
            <w:tcW w:w="3055" w:type="dxa"/>
          </w:tcPr>
          <w:p w14:paraId="40C77D41" w14:textId="77777777" w:rsidR="00DD1E82" w:rsidRPr="008C5A3A" w:rsidRDefault="00AB55A4">
            <w:pPr>
              <w:bidi/>
              <w:jc w:val="left"/>
              <w:rPr>
                <w:rtl/>
              </w:rPr>
            </w:pPr>
            <w:r>
              <w:rPr>
                <w:rFonts w:hint="cs"/>
                <w:rtl/>
              </w:rPr>
              <w:t>نتيجة التصويت</w:t>
            </w:r>
            <w:r>
              <w:rPr>
                <w:rFonts w:hint="cs"/>
                <w:rtl/>
              </w:rPr>
              <w:br/>
              <w:t>(مؤيد/معارض/ممتنع)</w:t>
            </w:r>
          </w:p>
        </w:tc>
        <w:tc>
          <w:tcPr>
            <w:tcW w:w="6018" w:type="dxa"/>
            <w:vAlign w:val="bottom"/>
          </w:tcPr>
          <w:p w14:paraId="401CEC99" w14:textId="77777777" w:rsidR="00DD1E82" w:rsidRPr="008C5A3A" w:rsidRDefault="00AB55A4">
            <w:pPr>
              <w:bidi/>
              <w:jc w:val="left"/>
              <w:rPr>
                <w:rtl/>
              </w:rPr>
            </w:pPr>
            <w:r>
              <w:rPr>
                <w:rFonts w:hint="cs"/>
                <w:rtl/>
              </w:rPr>
              <w:t>…/…/…</w:t>
            </w:r>
          </w:p>
        </w:tc>
      </w:tr>
      <w:tr w:rsidR="00DD1E82" w:rsidRPr="008C5A3A" w14:paraId="6F31689D" w14:textId="77777777">
        <w:tc>
          <w:tcPr>
            <w:tcW w:w="3055" w:type="dxa"/>
          </w:tcPr>
          <w:p w14:paraId="0997EEEE" w14:textId="77777777" w:rsidR="00DD1E82" w:rsidRPr="008C5A3A" w:rsidRDefault="00AB55A4">
            <w:pPr>
              <w:bidi/>
              <w:jc w:val="left"/>
              <w:rPr>
                <w:rtl/>
              </w:rPr>
            </w:pPr>
            <w:r>
              <w:rPr>
                <w:rFonts w:hint="cs"/>
                <w:rtl/>
              </w:rPr>
              <w:t>اُعتمِد في الجمعية العمومية</w:t>
            </w:r>
          </w:p>
        </w:tc>
        <w:tc>
          <w:tcPr>
            <w:tcW w:w="6018" w:type="dxa"/>
          </w:tcPr>
          <w:p w14:paraId="24B5D822" w14:textId="77777777" w:rsidR="00DD1E82" w:rsidRPr="008C5A3A" w:rsidRDefault="00AB55A4">
            <w:pPr>
              <w:bidi/>
              <w:jc w:val="left"/>
              <w:rPr>
                <w:rtl/>
              </w:rPr>
            </w:pPr>
            <w:r>
              <w:rPr>
                <w:rFonts w:hint="cs"/>
                <w:rtl/>
              </w:rPr>
              <w:t>يوم/شهر/سنة</w:t>
            </w:r>
          </w:p>
        </w:tc>
      </w:tr>
      <w:tr w:rsidR="00DD1E82" w:rsidRPr="008C5A3A" w14:paraId="2A3DE22C" w14:textId="77777777">
        <w:trPr>
          <w:trHeight w:val="178"/>
        </w:trPr>
        <w:tc>
          <w:tcPr>
            <w:tcW w:w="3055" w:type="dxa"/>
          </w:tcPr>
          <w:p w14:paraId="55874E30" w14:textId="77777777" w:rsidR="00DD1E82" w:rsidRPr="008C5A3A" w:rsidRDefault="00AB55A4">
            <w:pPr>
              <w:bidi/>
              <w:jc w:val="left"/>
              <w:rPr>
                <w:rtl/>
              </w:rPr>
            </w:pPr>
            <w:r>
              <w:rPr>
                <w:rFonts w:hint="cs"/>
                <w:rtl/>
              </w:rPr>
              <w:t>رقم جلسة الجمعية العمومية</w:t>
            </w:r>
          </w:p>
        </w:tc>
        <w:tc>
          <w:tcPr>
            <w:tcW w:w="6018" w:type="dxa"/>
          </w:tcPr>
          <w:p w14:paraId="42CF6AB8" w14:textId="77777777" w:rsidR="00DD1E82" w:rsidRPr="008C5A3A" w:rsidRDefault="00AB55A4">
            <w:pPr>
              <w:bidi/>
              <w:jc w:val="left"/>
              <w:rPr>
                <w:rtl/>
              </w:rPr>
            </w:pPr>
            <w:r>
              <w:rPr>
                <w:rFonts w:hint="cs"/>
                <w:rtl/>
              </w:rPr>
              <w:t>…</w:t>
            </w:r>
          </w:p>
        </w:tc>
      </w:tr>
      <w:tr w:rsidR="00DD1E82" w:rsidRPr="008C5A3A" w14:paraId="53504B28" w14:textId="77777777">
        <w:tc>
          <w:tcPr>
            <w:tcW w:w="3055" w:type="dxa"/>
          </w:tcPr>
          <w:p w14:paraId="231A76D8" w14:textId="77777777" w:rsidR="00DD1E82" w:rsidRPr="008C5A3A" w:rsidRDefault="00AB55A4">
            <w:pPr>
              <w:bidi/>
              <w:jc w:val="left"/>
              <w:rPr>
                <w:rtl/>
              </w:rPr>
            </w:pPr>
            <w:r>
              <w:rPr>
                <w:rFonts w:hint="cs"/>
                <w:rtl/>
              </w:rPr>
              <w:t>نتيجة التصويت</w:t>
            </w:r>
            <w:r>
              <w:rPr>
                <w:rFonts w:hint="cs"/>
                <w:rtl/>
              </w:rPr>
              <w:br/>
              <w:t>(مؤيد/معارض/ممتنع)</w:t>
            </w:r>
          </w:p>
        </w:tc>
        <w:tc>
          <w:tcPr>
            <w:tcW w:w="6018" w:type="dxa"/>
            <w:vAlign w:val="bottom"/>
          </w:tcPr>
          <w:p w14:paraId="494E1389" w14:textId="77777777" w:rsidR="00DD1E82" w:rsidRPr="008C5A3A" w:rsidRDefault="00AB55A4">
            <w:pPr>
              <w:bidi/>
              <w:jc w:val="left"/>
              <w:rPr>
                <w:rtl/>
              </w:rPr>
            </w:pPr>
            <w:r>
              <w:rPr>
                <w:rFonts w:hint="cs"/>
                <w:rtl/>
              </w:rPr>
              <w:t>…/…/…</w:t>
            </w:r>
          </w:p>
        </w:tc>
      </w:tr>
    </w:tbl>
    <w:p w14:paraId="4A6015F2" w14:textId="77777777" w:rsidR="00DD1E82" w:rsidRPr="008C5A3A" w:rsidRDefault="00AB55A4">
      <w:pPr>
        <w:bidi/>
        <w:rPr>
          <w:rtl/>
        </w:rPr>
      </w:pPr>
      <w:r>
        <w:rPr>
          <w:rFonts w:hint="cs"/>
          <w:rtl/>
        </w:rPr>
        <w:br w:type="page"/>
      </w:r>
    </w:p>
    <w:p w14:paraId="6336CBA4" w14:textId="77777777" w:rsidR="00DD1E82" w:rsidRPr="008C5A3A" w:rsidRDefault="00AB55A4">
      <w:pPr>
        <w:pStyle w:val="Heading1"/>
        <w:bidi/>
        <w:rPr>
          <w:rtl/>
        </w:rPr>
      </w:pPr>
      <w:r>
        <w:rPr>
          <w:rFonts w:hint="cs"/>
          <w:b/>
          <w:bCs/>
          <w:rtl/>
        </w:rPr>
        <w:lastRenderedPageBreak/>
        <w:t>الاستنتاجات والتوصيات</w:t>
      </w:r>
    </w:p>
    <w:p w14:paraId="482F2D8A" w14:textId="77777777" w:rsidR="00DD1E82" w:rsidRPr="008C5A3A" w:rsidRDefault="00DD1E82">
      <w:pPr>
        <w:rPr>
          <w:highlight w:val="yellow"/>
          <w:lang w:val="en-GB"/>
        </w:rPr>
      </w:pPr>
    </w:p>
    <w:p w14:paraId="54F2F49A" w14:textId="714689BD" w:rsidR="00DD1E82" w:rsidRPr="008C5A3A" w:rsidRDefault="00AB55A4" w:rsidP="008C5A3A">
      <w:pPr>
        <w:pStyle w:val="Heading2"/>
        <w:bidi/>
        <w:rPr>
          <w:rtl/>
        </w:rPr>
      </w:pPr>
      <w:r>
        <w:rPr>
          <w:rFonts w:hint="cs"/>
          <w:rtl/>
        </w:rPr>
        <w:t>خلُصَت اللجنة الاقتصادية والاجتماعية الأوروبية (</w:t>
      </w:r>
      <w:r>
        <w:t>EESC</w:t>
      </w:r>
      <w:r>
        <w:rPr>
          <w:rFonts w:hint="cs"/>
          <w:rtl/>
        </w:rPr>
        <w:t>) إلى وجود قصور عام في الفهم، بالإضافة إلى التباس وسوء استخدام للمصطلحات عند تناول قضية التنقل البشري في سياق الكوارث وتغير المناخ والتدهور البيئي. وكان لهذا تأثير على جمع البيانات وجودتها. لذلك، توصي اللجنة الاقتصادية والاجتماعية الأوروبية باعتماد تعريف موحَّد على مستوى الاتحاد الأوروبي لمصطلح الهجرة الناجمة عن تغير المناخ.</w:t>
      </w:r>
    </w:p>
    <w:p w14:paraId="079EA040" w14:textId="77777777" w:rsidR="00DD1E82" w:rsidRPr="008C5A3A" w:rsidRDefault="00DD1E82">
      <w:pPr>
        <w:rPr>
          <w:lang w:val="en-GB"/>
        </w:rPr>
      </w:pPr>
    </w:p>
    <w:p w14:paraId="6B7664BB" w14:textId="5482195F" w:rsidR="00DD1E82" w:rsidRPr="008C5A3A" w:rsidRDefault="00AB55A4" w:rsidP="008C5A3A">
      <w:pPr>
        <w:pStyle w:val="Heading2"/>
        <w:bidi/>
        <w:rPr>
          <w:rtl/>
        </w:rPr>
      </w:pPr>
      <w:r>
        <w:rPr>
          <w:rFonts w:hint="cs"/>
          <w:rtl/>
        </w:rPr>
        <w:t>لا تتوفر بيانات عن عدد المهاجرين الذين يدخلون الاتحاد الأوروبي بعد أن غادروا بلدانهم الأصلية لأسباب تتعلق بالمناخ. ولسدِّ هذه الفجوة، توصي اللجنة بتشجيع وتمويل المزيد من البحوث والمشاريع، مع الاعتراف بتعقيد ظاهرة الهجرة وتعدد أبعادها، وبحث إمكانية تعديل بروتوكولات جمع البيانات الخاصة بالأشخاص الذين يدخلون بلدان المقصد.</w:t>
      </w:r>
    </w:p>
    <w:p w14:paraId="38033D97" w14:textId="77777777" w:rsidR="00DD1E82" w:rsidRPr="008C5A3A" w:rsidRDefault="00DD1E82">
      <w:pPr>
        <w:rPr>
          <w:lang w:val="en-GB"/>
        </w:rPr>
      </w:pPr>
    </w:p>
    <w:p w14:paraId="6F5E93A8" w14:textId="3A1F0295" w:rsidR="00DD1E82" w:rsidRPr="008C5A3A" w:rsidRDefault="00AB55A4" w:rsidP="008C5A3A">
      <w:pPr>
        <w:pStyle w:val="Heading2"/>
        <w:bidi/>
        <w:rPr>
          <w:rtl/>
        </w:rPr>
      </w:pPr>
      <w:r>
        <w:rPr>
          <w:rFonts w:hint="cs"/>
          <w:rtl/>
        </w:rPr>
        <w:t>على الرغم من عدم وجود تغيير في الإطار القانوني، إلا أن بعض المحاكم تطورت في تفسيرها للاعتراف بظاهرة الهجرة الناجمة عن تغير المناخ. وتدعو اللجنة الاقتصادية والاجتماعية الأوروبية إلى بذل الجهود لتشجيع الحوار بين الخبراء القانونيين والمتخصصين في شؤون الهجرة من أجل تبادل التفسيرات المختلفة للإطار القانوني داخل الدول الأعضاء وفيما بينها. علاوة على ذلك، تدعو اللجنة المفوضية الأوروبية إلى وضع خلاصة وافية للسوابق القضائية ذات الصلة، وتسلط الضوء على ضرورة تشجيع استخدام مجموعة الأدوات العملية بشأن الحماية الدولية للنازحين عبر الحدود في سياق تغير المناخ والكوارث.</w:t>
      </w:r>
    </w:p>
    <w:p w14:paraId="1A539104" w14:textId="77777777" w:rsidR="00DD1E82" w:rsidRPr="008C5A3A" w:rsidRDefault="00DD1E82">
      <w:pPr>
        <w:rPr>
          <w:lang w:val="en-GB"/>
        </w:rPr>
      </w:pPr>
    </w:p>
    <w:p w14:paraId="12EEF908" w14:textId="77777777" w:rsidR="00DD1E82" w:rsidRPr="008C5A3A" w:rsidRDefault="00AB55A4" w:rsidP="008C5A3A">
      <w:pPr>
        <w:pStyle w:val="Heading2"/>
        <w:bidi/>
        <w:rPr>
          <w:rtl/>
        </w:rPr>
      </w:pPr>
      <w:r>
        <w:rPr>
          <w:rFonts w:hint="cs"/>
          <w:rtl/>
        </w:rPr>
        <w:t>تَرى اللجنة الاقتصادية والاجتماعية الأوروبية وجود نقص في أوجه التناغم بين السياسات البيئية وسياسات الهجرة الحالية للاتحاد الأوروبي، أي الاتفاق الأخضر وميثاق الهجرة واللجوء. ولمعالجة هذا الوضع، تدعو اللجنة إلى بذل الجهود لتشجيع إيجاد أوجه تناغم بين السياسة البيئية وسياسة الهجرة للاتحاد الأوروبي من خلال دمج نهج الترابط بين العمل الإنساني والتنمية والسلام بشكل أكبر في سياسة التنقل المرتبط بالمناخ وإدماج مفهوم الهجرة كوسيلة للتكيف مع نهجها للتنقل المرتبط بالمناخ.</w:t>
      </w:r>
    </w:p>
    <w:p w14:paraId="74D472AF" w14:textId="77777777" w:rsidR="00DD1E82" w:rsidRPr="008C5A3A" w:rsidRDefault="00DD1E82" w:rsidP="008C5A3A">
      <w:pPr>
        <w:pStyle w:val="Heading2"/>
        <w:numPr>
          <w:ilvl w:val="0"/>
          <w:numId w:val="0"/>
        </w:numPr>
        <w:ind w:left="567"/>
        <w:rPr>
          <w:lang w:val="en-GB"/>
        </w:rPr>
      </w:pPr>
    </w:p>
    <w:p w14:paraId="1540880E" w14:textId="35A4D951" w:rsidR="00DD1E82" w:rsidRPr="008C5A3A" w:rsidRDefault="00AB55A4" w:rsidP="008C5A3A">
      <w:pPr>
        <w:pStyle w:val="Heading2"/>
        <w:bidi/>
        <w:rPr>
          <w:rtl/>
        </w:rPr>
      </w:pPr>
      <w:r>
        <w:rPr>
          <w:rFonts w:hint="cs"/>
          <w:rtl/>
        </w:rPr>
        <w:t>ترى اللجنة ضرورة تعزيز ربط السياسة البيئية مع العمل الإنساني في البلدان الشريكة. ومن ثمَّ، فإنها تدعو المفوضية الأوروبية إلى تعزيز تعاونها مع البلدان الشريكة، وتيسير الحصول على الأموال الدولية لدعم البلدان الشريكة في مجال القدرة على التكيف مع تغير المناخ والاستعداد له، والسعي للوفاء بالالتزامات التي تم التعهد بها.</w:t>
      </w:r>
    </w:p>
    <w:p w14:paraId="67B04AE3" w14:textId="77777777" w:rsidR="00DD1E82" w:rsidRPr="008C5A3A" w:rsidRDefault="00DD1E82" w:rsidP="008C5A3A">
      <w:pPr>
        <w:pStyle w:val="Heading2"/>
        <w:numPr>
          <w:ilvl w:val="0"/>
          <w:numId w:val="0"/>
        </w:numPr>
        <w:ind w:left="567"/>
        <w:rPr>
          <w:lang w:val="en-GB"/>
        </w:rPr>
      </w:pPr>
    </w:p>
    <w:p w14:paraId="7135E371" w14:textId="1031CB3A" w:rsidR="00DD1E82" w:rsidRPr="008C5A3A" w:rsidRDefault="00AB55A4" w:rsidP="008C5A3A">
      <w:pPr>
        <w:pStyle w:val="Heading2"/>
        <w:bidi/>
        <w:rPr>
          <w:rtl/>
        </w:rPr>
      </w:pPr>
      <w:r>
        <w:rPr>
          <w:rFonts w:hint="cs"/>
          <w:rtl/>
        </w:rPr>
        <w:t>تُشير اللجنة الاقتصادية والاجتماعية الأوروبية إلى أن النزوح لأسباب بيئية فقط لا يستوفي متطلبات منح اللجوء أو الحماية الدولية. ومع ذلك، يجب تعزيز الحماية القانونية للمهاجرين بسبب تغير المناخ. ولذلك، توصي اللجنة بتوسيع نطاق التوجيه المتعلق بالحماية المؤقتة ليشمل المهاجرين الفارين من البلدان المتضررة بشدة من الكوارث البيئية وتغير المناخ.</w:t>
      </w:r>
    </w:p>
    <w:p w14:paraId="3B63655B" w14:textId="77777777" w:rsidR="00DD1E82" w:rsidRPr="008C5A3A" w:rsidRDefault="00DD1E82">
      <w:pPr>
        <w:rPr>
          <w:lang w:val="en-GB"/>
        </w:rPr>
      </w:pPr>
    </w:p>
    <w:p w14:paraId="6F341EE9" w14:textId="0C0FF68C" w:rsidR="00DD1E82" w:rsidRPr="008C5A3A" w:rsidRDefault="002068C7">
      <w:pPr>
        <w:pStyle w:val="Heading1"/>
        <w:keepNext/>
        <w:bidi/>
        <w:rPr>
          <w:b/>
          <w:rtl/>
        </w:rPr>
      </w:pPr>
      <w:r>
        <w:rPr>
          <w:rFonts w:hint="cs"/>
          <w:b/>
          <w:bCs/>
          <w:rtl/>
        </w:rPr>
        <w:t>الهجرة الناجمة عن تغير المناخ - واقع يُنذر بالخطر</w:t>
      </w:r>
    </w:p>
    <w:p w14:paraId="3D92BC18" w14:textId="77777777" w:rsidR="00DD1E82" w:rsidRPr="008C5A3A" w:rsidRDefault="00DD1E82">
      <w:pPr>
        <w:keepNext/>
        <w:rPr>
          <w:lang w:val="en-GB"/>
        </w:rPr>
      </w:pPr>
    </w:p>
    <w:p w14:paraId="4146AA54" w14:textId="77777777" w:rsidR="00DD1E82" w:rsidRPr="008C5A3A" w:rsidRDefault="00AB55A4" w:rsidP="00855EC0">
      <w:pPr>
        <w:pStyle w:val="Heading2"/>
        <w:bidi/>
        <w:rPr>
          <w:rtl/>
        </w:rPr>
      </w:pPr>
      <w:r>
        <w:rPr>
          <w:rFonts w:hint="cs"/>
          <w:rtl/>
        </w:rPr>
        <w:t>باعتباره جهة فاعلة عالمية رائدة مؤيدة للبيئة وحقوق الإنسان</w:t>
      </w:r>
      <w:r>
        <w:rPr>
          <w:rFonts w:hint="cs"/>
          <w:rtl/>
        </w:rPr>
        <w:noBreakHyphen/>
        <w:t xml:space="preserve">، يسعى الاتحاد الأوروبي إلى معالجة القضايا المتعلقة بتغير المناخ والتدهور البيئي، لا سيما من خلال </w:t>
      </w:r>
      <w:proofErr w:type="spellStart"/>
      <w:r>
        <w:rPr>
          <w:rFonts w:hint="cs"/>
          <w:rtl/>
        </w:rPr>
        <w:t>ترؤسه</w:t>
      </w:r>
      <w:proofErr w:type="spellEnd"/>
      <w:r>
        <w:rPr>
          <w:rFonts w:hint="cs"/>
          <w:rtl/>
        </w:rPr>
        <w:t xml:space="preserve"> مؤخرًا المنتدى المعني بالنزوح الناتج عن الكوارث</w:t>
      </w:r>
      <w:r w:rsidRPr="008C5A3A">
        <w:rPr>
          <w:rStyle w:val="FootnoteReference"/>
          <w:lang w:val="en-GB"/>
        </w:rPr>
        <w:footnoteReference w:id="2"/>
      </w:r>
      <w:r>
        <w:rPr>
          <w:rFonts w:hint="cs"/>
          <w:rtl/>
        </w:rPr>
        <w:t>. غير أن اللجنة الاقتصادية والاجتماعية الأوروبية ترى فجوة مهمة في هذا الالتزام</w:t>
      </w:r>
      <w:r w:rsidRPr="008C5A3A">
        <w:rPr>
          <w:rStyle w:val="FootnoteReference"/>
          <w:lang w:val="en-GB"/>
        </w:rPr>
        <w:footnoteReference w:id="3"/>
      </w:r>
      <w:r>
        <w:rPr>
          <w:rFonts w:hint="cs"/>
          <w:rtl/>
        </w:rPr>
        <w:t xml:space="preserve">: فقضايا الهجرة الناجمة عن تغير المناخ والمهاجرون لأسباب بيئية مستبعدة من سياسات الاتحاد الأوروبي المتعلقة بتغير المناخ وإدارة الهجرة. واستنادًا إلى العمل السابق الذي اضطلعت به اللجنة </w:t>
      </w:r>
      <w:r>
        <w:rPr>
          <w:rFonts w:hint="cs"/>
          <w:rtl/>
        </w:rPr>
        <w:lastRenderedPageBreak/>
        <w:t>الاقتصادية والاجتماعية الأوروبية</w:t>
      </w:r>
      <w:r w:rsidRPr="008C5A3A">
        <w:rPr>
          <w:rStyle w:val="FootnoteReference"/>
          <w:lang w:val="en-GB"/>
        </w:rPr>
        <w:footnoteReference w:id="4"/>
      </w:r>
      <w:r>
        <w:rPr>
          <w:rFonts w:hint="cs"/>
          <w:rtl/>
        </w:rPr>
        <w:t>، يدعو هذا الرأي بمبادرة خاصة المفوضية الأوروبية إلى وضع استراتيجية استباقية شاملة ومتعددة الأوجه تؤكد على أهمية التآزر بين الأدلة العلمية واتخاذ القرارات</w:t>
      </w:r>
      <w:r>
        <w:rPr>
          <w:rFonts w:hint="cs"/>
          <w:rtl/>
        </w:rPr>
        <w:noBreakHyphen/>
        <w:t>وتنفيذ السياسات في سبيل سدِّ هذه الفجوة. ويكمن الأساس المنطقي وراء ذلك في رجاحة سيناريو حدوث أزمة هجرة كبيرة ناجمة عن تغير المناخ ستؤثر على الاتحاد الأوروبي خلال العقدين المقبلين.</w:t>
      </w:r>
    </w:p>
    <w:p w14:paraId="3822D2A7" w14:textId="77777777" w:rsidR="00DD1E82" w:rsidRPr="008C5A3A" w:rsidRDefault="00DD1E82">
      <w:pPr>
        <w:rPr>
          <w:lang w:val="en-GB"/>
        </w:rPr>
      </w:pPr>
    </w:p>
    <w:p w14:paraId="2AF82A82" w14:textId="3F5B85A2" w:rsidR="00DD1E82" w:rsidRPr="008C5A3A" w:rsidRDefault="00AB55A4">
      <w:pPr>
        <w:pStyle w:val="Heading3"/>
        <w:bidi/>
        <w:rPr>
          <w:rtl/>
        </w:rPr>
      </w:pPr>
      <w:r>
        <w:rPr>
          <w:rFonts w:hint="cs"/>
          <w:rtl/>
        </w:rPr>
        <w:t>لا يوجد تعريف متفق عليه عالميًّا للهجرة الناجمة عن تغير المناخ. وفي حين تركز بعض التعريفات على الدوافع البيئية للهجرة، تُبرز تعريفات أخرى الطابع المتعدد الأسباب لهذه الظاهرة أو تداعياتها القانونية والسياسية. ويستخدم هذا الرأي مصطلح "الهجرة الناجمة عن تغير المناخ" للتعبير عن ظاهرة الهجرة وليس النزوح الداخلي، وحقيقة أن البيانات المتوفرة لا تُمكِّن من التمييز بين ما إذا كانت الأحداث مرتبطة بتغير المناخ أو بالمناخ ذاته. وبذلك يتفق هذا الرأي مع مفهوم المنظمة الدولية للهجرة الذي يصف الهجرة بسبب تغير المناخ بأنها "تنقل شخص أو مجموعة أشخاص يضطرون، لأسباب تعود في الغالب إلى تغيرات مفاجئة أو تدريجية في البيئة بسبب تغير المناخ، إلى ترك أماكن إقامتهم المعتادة، أو يختارون القيام بذلك، سواء بشكل مؤقت أو دائم داخل الدولة أو عبر الحدود الدولية"</w:t>
      </w:r>
      <w:r w:rsidRPr="008C5A3A">
        <w:rPr>
          <w:rStyle w:val="FootnoteReference"/>
          <w:lang w:val="en-GB"/>
        </w:rPr>
        <w:footnoteReference w:id="5"/>
      </w:r>
      <w:r>
        <w:rPr>
          <w:rFonts w:hint="cs"/>
          <w:rtl/>
        </w:rPr>
        <w:t>.</w:t>
      </w:r>
    </w:p>
    <w:p w14:paraId="0B0DE6F3" w14:textId="77777777" w:rsidR="00DD1E82" w:rsidRPr="008C5A3A" w:rsidRDefault="00DD1E82">
      <w:pPr>
        <w:pStyle w:val="ListParagraph"/>
        <w:ind w:left="0"/>
        <w:rPr>
          <w:lang w:val="en-GB"/>
        </w:rPr>
      </w:pPr>
    </w:p>
    <w:p w14:paraId="2F61A024" w14:textId="77777777" w:rsidR="00DD1E82" w:rsidRPr="008C5A3A" w:rsidRDefault="00AB55A4">
      <w:pPr>
        <w:pStyle w:val="Heading3"/>
        <w:bidi/>
        <w:rPr>
          <w:rtl/>
        </w:rPr>
      </w:pPr>
      <w:r>
        <w:rPr>
          <w:rFonts w:hint="cs"/>
          <w:rtl/>
        </w:rPr>
        <w:t>ثمَّة إطار قانوني شامل على الصعيدين الدولي والأوروبي يتعلق بالهجرة والحماية الدولية. وعلى الرغم من أنه لا يذكر صراحة العوامل البيئية كأساس لمنح صفة اللاجئ أو الحماية الثانوية، إلا أن هناك أيضًا استجابة أوسع نطاقًا للهجرة الناجمة عن تغير المناخ</w:t>
      </w:r>
      <w:r w:rsidRPr="008C5A3A">
        <w:rPr>
          <w:rStyle w:val="FootnoteReference"/>
          <w:lang w:val="en-GB"/>
        </w:rPr>
        <w:footnoteReference w:id="6"/>
      </w:r>
      <w:r>
        <w:rPr>
          <w:rFonts w:hint="cs"/>
          <w:rtl/>
        </w:rPr>
        <w:t>. على مستوى الاتحاد الأوروبي، يمكن لآليات الحماية القائمة</w:t>
      </w:r>
      <w:r w:rsidRPr="008C5A3A">
        <w:rPr>
          <w:rStyle w:val="FootnoteReference"/>
          <w:lang w:val="en-GB"/>
        </w:rPr>
        <w:footnoteReference w:id="7"/>
      </w:r>
      <w:r>
        <w:rPr>
          <w:rFonts w:hint="cs"/>
          <w:rtl/>
        </w:rPr>
        <w:t xml:space="preserve"> أن توفر بدائل للحماية، رغم ما يشوبها من قصور فيما يتعلق بمنح الحماية للأشخاص النازحين لأسباب بيئية.</w:t>
      </w:r>
    </w:p>
    <w:p w14:paraId="2E22CEF1" w14:textId="77777777" w:rsidR="00DD1E82" w:rsidRPr="008C5A3A" w:rsidRDefault="00DD1E82">
      <w:pPr>
        <w:pStyle w:val="ListParagraph"/>
        <w:ind w:left="567" w:hanging="567"/>
        <w:rPr>
          <w:lang w:val="en-GB"/>
        </w:rPr>
      </w:pPr>
    </w:p>
    <w:p w14:paraId="0869C813" w14:textId="2ACBBACF" w:rsidR="00DD1E82" w:rsidRPr="008C5A3A" w:rsidRDefault="00AB55A4">
      <w:pPr>
        <w:pStyle w:val="Heading3"/>
        <w:bidi/>
        <w:rPr>
          <w:rtl/>
        </w:rPr>
      </w:pPr>
      <w:r>
        <w:rPr>
          <w:rFonts w:hint="cs"/>
          <w:rtl/>
        </w:rPr>
        <w:t>يمنح التعريف الحالي لمصطلح "لاجئ"</w:t>
      </w:r>
      <w:r w:rsidRPr="008C5A3A">
        <w:rPr>
          <w:rStyle w:val="FootnoteReference"/>
          <w:lang w:val="en-GB"/>
        </w:rPr>
        <w:footnoteReference w:id="8"/>
      </w:r>
      <w:r>
        <w:rPr>
          <w:rFonts w:hint="cs"/>
          <w:rtl/>
        </w:rPr>
        <w:t xml:space="preserve"> الحماية للأفراد الفارين من الاضطهاد على أساس العرق أو الدين أو الجنسية أو الانتماء إلى فئة اجتماعية معينة أو الرأي السياسي، ولكنه لا يشمل صراحةً الأفراد النازحين بسبب عوامل بيئية مثل تغير المناخ. ومن ثمَّ، فإن النازحين بسبب الأحداث المتعلقة بالمناخ غير مؤهلين عادةً للحصول على وضع اللاجئ بموجب الأطر القانونية القائمة. وعلى الرغم من ذلك، ثمَّة اعتراف متزايد بضرورة سدِّ هذه الفجوة</w:t>
      </w:r>
      <w:r w:rsidRPr="008C5A3A">
        <w:rPr>
          <w:rStyle w:val="FootnoteReference"/>
          <w:lang w:val="en-GB"/>
        </w:rPr>
        <w:footnoteReference w:id="9"/>
      </w:r>
      <w:r>
        <w:rPr>
          <w:rFonts w:hint="cs"/>
          <w:rtl/>
        </w:rPr>
        <w:t>. وأقر البرلمان الأوروبي</w:t>
      </w:r>
      <w:r w:rsidRPr="008C5A3A">
        <w:rPr>
          <w:rStyle w:val="FootnoteReference"/>
          <w:lang w:val="en-GB"/>
        </w:rPr>
        <w:footnoteReference w:id="10"/>
      </w:r>
      <w:r>
        <w:rPr>
          <w:rFonts w:hint="cs"/>
          <w:rtl/>
        </w:rPr>
        <w:t xml:space="preserve"> بعدم وجود تعريف واضح لمصطلح "لاجئين بسبب تغير المناخ" وعدم كفاية الحماية الحالية للأفراد النازحين بسبب العوامل البيئية. ورغم استمرار المناقشات، من الواضح أن دور تغير المناخ وتأثيره فيما يتعلق بالهجرة والنزوح يجب أن يُنظر إليه على أنه "عامل مضاعف للخطر" أو عامل مساهم.</w:t>
      </w:r>
    </w:p>
    <w:p w14:paraId="783C7E23" w14:textId="77777777" w:rsidR="00DD1E82" w:rsidRPr="008C5A3A" w:rsidRDefault="00DD1E82">
      <w:pPr>
        <w:pStyle w:val="ListParagraph"/>
        <w:ind w:left="0"/>
        <w:rPr>
          <w:lang w:val="en-GB"/>
        </w:rPr>
      </w:pPr>
    </w:p>
    <w:p w14:paraId="43BFFC3A" w14:textId="352276C9" w:rsidR="00DD1E82" w:rsidRPr="008C5A3A" w:rsidRDefault="00AB55A4">
      <w:pPr>
        <w:pStyle w:val="Heading3"/>
        <w:bidi/>
        <w:rPr>
          <w:rtl/>
        </w:rPr>
      </w:pPr>
      <w:r>
        <w:rPr>
          <w:rFonts w:hint="cs"/>
          <w:rtl/>
        </w:rPr>
        <w:t xml:space="preserve">تؤثر الهجرة الناجمة عن تغير المناخ بشكل غير متناسب على مناطق مثل جنوب الصحراء الكبرى في إفريقيا وأمريكا الجنوبية، وهي مناطق ساهمت بأقل قدر في الانبعاثات العالمية، لكنها تتحمل العبء الأكبر من التدهور البيئي. ومن شأن توسيع نطاق التعريف القانوني ليشمل اللاجئين بسبب تغير المناخ الاعتراف بهذه التفاوتات الهيكلية. غير أن الاعتراف القانوني وحده غير </w:t>
      </w:r>
      <w:r>
        <w:rPr>
          <w:rFonts w:hint="cs"/>
          <w:rtl/>
        </w:rPr>
        <w:lastRenderedPageBreak/>
        <w:t>كافٍ دون معالجة الأسباب الجذرية الكامنة (مثل الاستغلال البيئي التاريخي واختلال موازين القوى العالمية) التي تؤدي إلى الهشاشة المناخية (والمائية).</w:t>
      </w:r>
    </w:p>
    <w:p w14:paraId="373C0C1F" w14:textId="77777777" w:rsidR="00DD1E82" w:rsidRPr="008C5A3A" w:rsidRDefault="00DD1E82">
      <w:pPr>
        <w:pStyle w:val="ListParagraph"/>
        <w:ind w:hanging="720"/>
        <w:rPr>
          <w:lang w:val="en-GB"/>
        </w:rPr>
      </w:pPr>
    </w:p>
    <w:p w14:paraId="15A9CCF1" w14:textId="77777777" w:rsidR="00DD1E82" w:rsidRPr="008C5A3A" w:rsidRDefault="00AB55A4">
      <w:pPr>
        <w:pStyle w:val="Heading3"/>
        <w:bidi/>
        <w:rPr>
          <w:rtl/>
        </w:rPr>
      </w:pPr>
      <w:r>
        <w:rPr>
          <w:rFonts w:hint="cs"/>
          <w:rtl/>
        </w:rPr>
        <w:t xml:space="preserve">تدعو اللجنة الاقتصادية والاجتماعية الأوروبية المفوضية الأوروبية والدول الأعضاء إلى سرعة البدء في النظر في كيفية ترجمة ذلك ضمن الإطارين القانوني </w:t>
      </w:r>
      <w:proofErr w:type="spellStart"/>
      <w:r>
        <w:rPr>
          <w:rFonts w:hint="cs"/>
          <w:rtl/>
        </w:rPr>
        <w:t>والسياساتي</w:t>
      </w:r>
      <w:proofErr w:type="spellEnd"/>
      <w:r>
        <w:rPr>
          <w:rFonts w:hint="cs"/>
          <w:rtl/>
        </w:rPr>
        <w:t xml:space="preserve"> الأوروبي، بالاستفادة من الممارسات الجيدة</w:t>
      </w:r>
      <w:r w:rsidRPr="008C5A3A">
        <w:rPr>
          <w:rStyle w:val="FootnoteReference"/>
          <w:lang w:val="en-GB"/>
        </w:rPr>
        <w:footnoteReference w:id="11"/>
      </w:r>
      <w:r>
        <w:rPr>
          <w:rFonts w:hint="cs"/>
          <w:rtl/>
        </w:rPr>
        <w:t xml:space="preserve"> لبعض الدول الأعضاء التي تستحق الاقتداء بها والمزيد من تطويرها</w:t>
      </w:r>
      <w:r w:rsidRPr="008C5A3A">
        <w:rPr>
          <w:rStyle w:val="FootnoteReference"/>
          <w:lang w:val="en-GB"/>
        </w:rPr>
        <w:footnoteReference w:id="12"/>
      </w:r>
      <w:r>
        <w:rPr>
          <w:rFonts w:hint="cs"/>
          <w:rtl/>
        </w:rPr>
        <w:t>. في حالة إيطاليا، على سبيل المثال، ثمَّة أحكام عامة تمنع الإعادة في ظروف يمكن أن تشمل الكوارث البيئية، غير أن هذه الأحكام تفتقر إلى الوضوح من حيث تعريفها. وعلاوة على ذلك، ينبغي النظر في كيفية الاستفادة من أدوات مثل "وضع الحماية المؤقتة" المعمول به في الولايات المتحدة الأمريكية، الذي يشمل نطاقه الأشخاص المتضررين من الكوارث البيئية، في سياق الاتحاد الأوروبي.</w:t>
      </w:r>
    </w:p>
    <w:p w14:paraId="54C19CC9" w14:textId="77777777" w:rsidR="00DD1E82" w:rsidRPr="008C5A3A" w:rsidRDefault="00DD1E82">
      <w:pPr>
        <w:tabs>
          <w:tab w:val="left" w:pos="851"/>
        </w:tabs>
        <w:rPr>
          <w:lang w:val="en-GB"/>
        </w:rPr>
      </w:pPr>
    </w:p>
    <w:p w14:paraId="7602D751" w14:textId="56D7A6FE" w:rsidR="0054777C" w:rsidRPr="008C5A3A" w:rsidRDefault="00AB55A4" w:rsidP="00855EC0">
      <w:pPr>
        <w:pStyle w:val="Heading2"/>
        <w:bidi/>
        <w:rPr>
          <w:rtl/>
        </w:rPr>
      </w:pPr>
      <w:r>
        <w:rPr>
          <w:rFonts w:hint="cs"/>
          <w:rtl/>
        </w:rPr>
        <w:t xml:space="preserve">الهجرة الناجمة عن تغير المناخ ليست سيناريو افتراضيًّا لأسوأ الحالات؛ فهي تحدث بالفعل وقد تبلغ قريبًا مستويات غير مسبوقة ما لم يتم اتخاذ تدابير سياسية عاجلة. يُعدُّ التصحر في أفغانستان وباكستان أحد الأسباب الرئيسية لتزايد موجات الهجرة نحو أوروبا. وبالمثل، فإن انحسار البحيرات الدولية مثل بحيرة تشاد في منطقة الساحل وبحيرة </w:t>
      </w:r>
      <w:proofErr w:type="spellStart"/>
      <w:r>
        <w:rPr>
          <w:rFonts w:hint="cs"/>
          <w:rtl/>
        </w:rPr>
        <w:t>آرال</w:t>
      </w:r>
      <w:proofErr w:type="spellEnd"/>
      <w:r>
        <w:rPr>
          <w:rFonts w:hint="cs"/>
          <w:rtl/>
        </w:rPr>
        <w:t xml:space="preserve"> في آسيا الوسطى وانخفاض منسوب المياه في أحواض الأنهار مثل حوضي نهر النيل ونهر الكونغو في إفريقيا، يتسبب في كوارث بيئية ذات أبعاد تاريخية، وهو ما يحمل في طياته أيضًا خطر زعزعة العلاقات الدبلوماسية الإقليمية وإثارة النزاعات وموجات إضافية من الهجرة. تدعم الأدلة العلمية المستقاة من علم المناخ ودراسات الهجرة والنمذجة الاقتصادية الادعاء بأن تغير المناخ يؤدي إلى نزوح السكان في جميع أنحاء العالم</w:t>
      </w:r>
      <w:r w:rsidR="00DD41EC" w:rsidRPr="008C5A3A">
        <w:rPr>
          <w:rStyle w:val="FootnoteReference"/>
          <w:lang w:val="en-GB"/>
        </w:rPr>
        <w:footnoteReference w:id="13"/>
      </w:r>
      <w:r>
        <w:rPr>
          <w:rFonts w:hint="cs"/>
          <w:rtl/>
        </w:rPr>
        <w:t>. ومع ذلك، كثيرًا ما يتداخل مع عوامل أخرى (مثل الفقر والنزاع وقضايا الحوكمة)، ما يجعل من الصعب استبعاد المناخ كسبب وحيد للهجرة. على أي حال، الاتجاه واضح: كلما ساءت الظروف المناخية، سيضطر المزيد من الناس إلى التنقل. وقد يُضطر 1.2 مليار شخص - نحو عُشر سكان العالم - إلى النزوح بحلول عام 2050</w:t>
      </w:r>
      <w:r w:rsidR="00B54F60" w:rsidRPr="008C5A3A">
        <w:rPr>
          <w:rStyle w:val="FootnoteReference"/>
          <w:lang w:val="en-GB"/>
        </w:rPr>
        <w:footnoteReference w:id="14"/>
      </w:r>
      <w:r>
        <w:rPr>
          <w:rFonts w:hint="cs"/>
          <w:rtl/>
        </w:rPr>
        <w:t>.</w:t>
      </w:r>
    </w:p>
    <w:p w14:paraId="57E98212" w14:textId="77777777" w:rsidR="00DD1E82" w:rsidRPr="008C5A3A" w:rsidRDefault="00DD1E82">
      <w:pPr>
        <w:pStyle w:val="Heading1"/>
        <w:numPr>
          <w:ilvl w:val="0"/>
          <w:numId w:val="0"/>
        </w:numPr>
        <w:rPr>
          <w:kern w:val="0"/>
          <w:lang w:val="en-GB"/>
        </w:rPr>
      </w:pPr>
    </w:p>
    <w:p w14:paraId="342FD810" w14:textId="74132460" w:rsidR="00DD1E82" w:rsidRPr="008C5A3A" w:rsidRDefault="00AB55A4" w:rsidP="00855EC0">
      <w:pPr>
        <w:pStyle w:val="Heading2"/>
        <w:bidi/>
        <w:rPr>
          <w:rtl/>
        </w:rPr>
      </w:pPr>
      <w:r>
        <w:rPr>
          <w:rFonts w:hint="cs"/>
          <w:rtl/>
        </w:rPr>
        <w:t>في حين أنه يتم بالفعل جمع بيانات شاملة في الدول الأعضاء والدول المرشحة للعضوية عن تدفقات الهجرة الدولية من هذه الدول وإليها، إلا أن جمع البيانات المتعلقة بالهجرة الناجمة عن تغير المناخ لا يزال محدودًا. وفقًا لدراسات حديثة</w:t>
      </w:r>
      <w:r w:rsidRPr="008C5A3A">
        <w:rPr>
          <w:rStyle w:val="FootnoteReference"/>
          <w:lang w:val="en-GB"/>
        </w:rPr>
        <w:footnoteReference w:id="15"/>
      </w:r>
      <w:r>
        <w:rPr>
          <w:rFonts w:hint="cs"/>
          <w:rtl/>
        </w:rPr>
        <w:t>، نزح أكثر من 376 مليون شخص حول العالم قسرًا بسبب الفيضانات أو العواصف أو الزلازل أو موجات الجفاف منذ عام 2008، وشهد عام 2022 وحده نزوح 32.6 مليون شخص. منذ عام 2020، سُجلت زيادة سنوية في متوسط إجمالي عدد النازحين بسبب الكوارث، الذي ارتفع بنسبة 41% مقارنة بالعقد السابق. الاتجاه التصاعدي واضح على نحوٍ مثير للقلق. ومع اعتبار تغير المناخ العامل المحفز الرئيسي، من المتوقع أن يرتفع عدد "اللاجئين بسبب تغير المناخ". شهدت السنوات الأخيرة ارتفاعًا في عمليات عبور المهاجرين غير النظاميين إلى الاتحاد الأوروبي، حيث ساهمت عوامل مثل الاضطرابات الجيوسياسية وتغير المناخ في زيادة تدفقات الهجرة. وعلاوة على ذلك، تُعدُّ منطقتا البحر الأبيض المتوسط والشرق الأوسط وشمال إفريقيا أكثر عرضة لتأثيرات تغير المناخ، بما في ذلك شُح المياه والظواهر الجوية المتطرفة</w:t>
      </w:r>
      <w:r w:rsidR="00195BD5" w:rsidRPr="008C5A3A">
        <w:rPr>
          <w:rStyle w:val="FootnoteReference"/>
          <w:lang w:val="en-GB"/>
        </w:rPr>
        <w:footnoteReference w:id="16"/>
      </w:r>
      <w:r>
        <w:rPr>
          <w:rFonts w:hint="cs"/>
          <w:rtl/>
        </w:rPr>
        <w:t>. ومن هذا المنطلق، تقترح اللجنة الاقتصادية والاجتماعية الأوروبية أن تركز السياسات، بدلًا من التأكيد على احتمال أن تشكِّل الهجرة تهديدًا، على معالجة الأسباب الجذرية للنزوح وضمان الحماية القانونية للأشخاص المتضررين ودعم جهود التكيف مع تغيّر المناخ في المناطق الأكثر هشاشة.</w:t>
      </w:r>
    </w:p>
    <w:p w14:paraId="250CD5F9" w14:textId="77777777" w:rsidR="00DD1E82" w:rsidRPr="008C5A3A" w:rsidRDefault="00DD1E82">
      <w:pPr>
        <w:rPr>
          <w:lang w:val="en-GB"/>
        </w:rPr>
      </w:pPr>
    </w:p>
    <w:p w14:paraId="787986B9" w14:textId="3B8AC66B" w:rsidR="00DD1E82" w:rsidRPr="008C5A3A" w:rsidRDefault="00AB55A4" w:rsidP="00855EC0">
      <w:pPr>
        <w:pStyle w:val="Heading2"/>
        <w:bidi/>
        <w:rPr>
          <w:rtl/>
        </w:rPr>
      </w:pPr>
      <w:r>
        <w:rPr>
          <w:rFonts w:hint="cs"/>
          <w:rtl/>
        </w:rPr>
        <w:t>ينبغي إيلاء الاهتمام لفهم تأثير الأحداث البطيئة الظهور على قرارات الهجرة وأنماطها. ومن بين العديد من العوامل التي تهدد بالتأثير سلبًا على سبل عيش السكان خلال العقود المقبلة إزالة الغابات والتصحر وتدهور التربة وارتفاع منسوب سطح البحر وتآكل السواحل وتزايد عدد الصدمات المناخية التي يتعرض لها السكان. كما أن مراعاة عوامل مثل اتجاهات التوسع الحضري والنمو السكاني، خاصة في القارة الإفريقية، ينبغي أن يتيح تقييم الاتجاهات المستقبلية.</w:t>
      </w:r>
    </w:p>
    <w:p w14:paraId="69325C2B" w14:textId="77777777" w:rsidR="00DD1E82" w:rsidRPr="008C5A3A" w:rsidRDefault="00DD1E82">
      <w:pPr>
        <w:ind w:left="567" w:hanging="567"/>
        <w:rPr>
          <w:lang w:val="en-GB"/>
        </w:rPr>
      </w:pPr>
    </w:p>
    <w:p w14:paraId="4C06CC4A" w14:textId="77777777" w:rsidR="00DD1E82" w:rsidRPr="008C5A3A" w:rsidRDefault="00AB55A4">
      <w:pPr>
        <w:pStyle w:val="Heading1"/>
        <w:keepNext/>
        <w:bidi/>
        <w:rPr>
          <w:rtl/>
        </w:rPr>
      </w:pPr>
      <w:r>
        <w:rPr>
          <w:rFonts w:hint="cs"/>
          <w:b/>
          <w:bCs/>
          <w:rtl/>
        </w:rPr>
        <w:t>الإجهاد المائي والهجرة الناجمة عن تغير المناخ</w:t>
      </w:r>
    </w:p>
    <w:p w14:paraId="3BD81796" w14:textId="77777777" w:rsidR="00DD1E82" w:rsidRPr="008C5A3A" w:rsidRDefault="00DD1E82">
      <w:pPr>
        <w:keepNext/>
        <w:rPr>
          <w:lang w:val="en-GB"/>
        </w:rPr>
      </w:pPr>
    </w:p>
    <w:p w14:paraId="6C0DB420" w14:textId="55EADA13" w:rsidR="00DD1E82" w:rsidRPr="008C5A3A" w:rsidRDefault="00AB55A4">
      <w:pPr>
        <w:pStyle w:val="Heading2"/>
        <w:bidi/>
        <w:rPr>
          <w:rtl/>
        </w:rPr>
      </w:pPr>
      <w:r>
        <w:rPr>
          <w:rFonts w:hint="cs"/>
          <w:rtl/>
        </w:rPr>
        <w:t>يُسرِّع تغير المناخ من وتيرة أزمات المياه العالمية، ما يؤدي إلى تفاقم موجات الجفاف والفيضانات وشُح المياه بدرجات متفاوتة في جميع أنحاء العالم، وهو ما يزيد بدوره من ضغوط الهجرة. وبات شُح المياه وسوء إدارتها من الدوافع الرئيسية للنزوح، لا سيما في المناطق التي تعتمد بشكل كبير على الزراعة ومصايد الأسماك وحيث يؤدي التصحر إلى تعقيد الوصول إلى موارد مياه الشرب. وتُقر اللجنة الاقتصادية والاجتماعية الأوروبية بالحاجة الملحة إلى تبنِّي نهج شامل للدبلوماسية الزرقاء، من خلال دمج التعاون في مجال المياه ضمن السياسة الخارجية واستراتيجيات التنمية بهدف التخفيف من حدة النزوح القسري الناجم عن انعدام الأمن المائي المرتبط بتغير المناخ.</w:t>
      </w:r>
    </w:p>
    <w:p w14:paraId="64C41946" w14:textId="77777777" w:rsidR="00DD1E82" w:rsidRPr="008C5A3A" w:rsidRDefault="00DD1E82">
      <w:pPr>
        <w:ind w:left="567" w:hanging="567"/>
        <w:rPr>
          <w:lang w:val="en-GB"/>
        </w:rPr>
      </w:pPr>
    </w:p>
    <w:p w14:paraId="520A709D" w14:textId="77777777" w:rsidR="00DD1E82" w:rsidRPr="008C5A3A" w:rsidRDefault="00AB55A4">
      <w:pPr>
        <w:pStyle w:val="Heading3"/>
        <w:bidi/>
        <w:rPr>
          <w:rtl/>
        </w:rPr>
      </w:pPr>
      <w:r>
        <w:rPr>
          <w:rFonts w:hint="cs"/>
          <w:rtl/>
        </w:rPr>
        <w:t>تُشدد اللجنة على أن ترشيد واستدامة استخدام المياه يجب أن يكون عنصرًا محوريًّا في الدبلوماسية الزرقاء للاتحاد الأوروبي</w:t>
      </w:r>
      <w:r w:rsidRPr="008C5A3A">
        <w:rPr>
          <w:rStyle w:val="FootnoteReference"/>
          <w:lang w:val="en-GB"/>
        </w:rPr>
        <w:footnoteReference w:id="17"/>
      </w:r>
      <w:r>
        <w:rPr>
          <w:rFonts w:hint="cs"/>
          <w:rtl/>
        </w:rPr>
        <w:t xml:space="preserve"> من أجل تقليل الضغط على الموارد المائية والتخفيف من آثار موجات الجفاف المرتبطة بتغير المناخ وضمان توفر الموارد المائية للأجيال القادمة. وينبغي مواصلة إنماء التعاون الدولي وتعزيزه من خلال تبادل أفضل الممارسات والتكنولوجيات لترشيد استخدام المياه، وتسريع بناء شراكات أقوى مع بلدان منطقة البحر الأبيض المتوسط ومنطقة الشرق الأوسط وشمال إفريقيا - لا سيما فيما يتعلق بالترابط بين المياه والطاقة والغذاء والنظام البيئي.</w:t>
      </w:r>
    </w:p>
    <w:p w14:paraId="0E617DB6" w14:textId="77777777" w:rsidR="00DD1E82" w:rsidRPr="008C5A3A" w:rsidRDefault="00DD1E82">
      <w:pPr>
        <w:pStyle w:val="ListParagraph"/>
        <w:ind w:left="0"/>
        <w:rPr>
          <w:lang w:val="en-GB"/>
        </w:rPr>
      </w:pPr>
    </w:p>
    <w:p w14:paraId="4D206CC8" w14:textId="47BCBD78" w:rsidR="00DD1E82" w:rsidRPr="008C5A3A" w:rsidRDefault="00AB55A4">
      <w:pPr>
        <w:pStyle w:val="Heading3"/>
        <w:bidi/>
        <w:rPr>
          <w:rtl/>
        </w:rPr>
      </w:pPr>
      <w:r>
        <w:rPr>
          <w:rFonts w:hint="cs"/>
          <w:rtl/>
        </w:rPr>
        <w:t>وينبغي أن يتحول التركيز إلى الاستخدام المنصف والرشيد للمياه، مع ضمان أن يكون الأمن الغذائي المحلي والاستدامة البيئية على رأس الأولويات في الممارسات الزراعية. وينبغي إيلاء اهتمام خاص لانتشار الممارسات الزراعية المرشِّدة لاستهلاك المياه في جميع أنحاء الدول الأعضاء. كما يجب على الاتحاد الأوروبي أن يدرس كيف تُشكل سياساته التجارية ومتطلبات المستهلكين فيه أنماط استخدام المياه خارج حدوده. علاوة على ذلك، ينبغي توسيع نطاق تعريف الاتحاد الأوروبي لمفهوم "الدبلوماسية الزرقاء" ليشمل التأكيد على ضرورة أن تتضمن أيضًا "استخدام السياسة لخفض التوترات المرتبطة بالمياه واستخدام المياه لخفض التوترات السياسية، مع احترام مبادئ القانون الدولي"</w:t>
      </w:r>
      <w:r w:rsidRPr="008C5A3A">
        <w:rPr>
          <w:rStyle w:val="FootnoteReference"/>
          <w:lang w:val="en-GB"/>
        </w:rPr>
        <w:footnoteReference w:id="18"/>
      </w:r>
      <w:r>
        <w:rPr>
          <w:rFonts w:hint="cs"/>
          <w:rtl/>
        </w:rPr>
        <w:t>.</w:t>
      </w:r>
    </w:p>
    <w:p w14:paraId="69DC6F58" w14:textId="77777777" w:rsidR="00DD1E82" w:rsidRPr="008C5A3A" w:rsidRDefault="00DD1E82">
      <w:pPr>
        <w:rPr>
          <w:lang w:val="en-GB"/>
        </w:rPr>
      </w:pPr>
    </w:p>
    <w:p w14:paraId="48A88438" w14:textId="2DBCF7A0" w:rsidR="00DD1E82" w:rsidRPr="008C5A3A" w:rsidRDefault="00AB55A4">
      <w:pPr>
        <w:pStyle w:val="Heading2"/>
        <w:bidi/>
        <w:rPr>
          <w:rtl/>
        </w:rPr>
      </w:pPr>
      <w:r>
        <w:rPr>
          <w:rFonts w:hint="cs"/>
          <w:rtl/>
        </w:rPr>
        <w:t>تُثمن اللجنة الاقتصادية والاجتماعية الأوروبية التزام الاتحاد الأوروبي بالتميز في إدارة الموارد المائية عبر الحدود وتوسيع هذا الالتزام ليشمل المناطق التي تشهد أزمات مائية. إذ لا ينبغي النظر إلى التعاون العابر للحدود في مجال المياه من منظور فني بحت، بل ينبغي النظر إليه كفرصة لتعزيز السلام وتعزيز التنمية المستدامة وتحقيق الاستقرار الإقليمي. يمكن للاتحاد الأوروبي الاضطلاع بدور قيادي من خلال تشجيع الحوار وتبادل المعرفة بين المناطق التي تواجه تحديات عابرة للحدود.</w:t>
      </w:r>
    </w:p>
    <w:p w14:paraId="03E53EDA" w14:textId="77777777" w:rsidR="00DD1E82" w:rsidRPr="008C5A3A" w:rsidRDefault="00DD1E82">
      <w:pPr>
        <w:rPr>
          <w:lang w:val="en-GB"/>
        </w:rPr>
      </w:pPr>
    </w:p>
    <w:p w14:paraId="0CA8D0E5" w14:textId="77777777" w:rsidR="00DD1E82" w:rsidRPr="008C5A3A" w:rsidRDefault="00AB55A4">
      <w:pPr>
        <w:pStyle w:val="Heading3"/>
        <w:bidi/>
        <w:rPr>
          <w:rtl/>
        </w:rPr>
      </w:pPr>
      <w:r>
        <w:rPr>
          <w:rFonts w:hint="cs"/>
          <w:rtl/>
        </w:rPr>
        <w:t>تسلط اللجنة الاقتصادية والاجتماعية الأوروبية الضوء على إمكانات نهج خطط إدارة أحواض الأنهار</w:t>
      </w:r>
      <w:r w:rsidRPr="008C5A3A">
        <w:rPr>
          <w:rStyle w:val="FootnoteReference"/>
          <w:lang w:val="en-GB"/>
        </w:rPr>
        <w:footnoteReference w:id="19"/>
      </w:r>
      <w:r>
        <w:rPr>
          <w:rFonts w:hint="cs"/>
          <w:rtl/>
        </w:rPr>
        <w:t>، الذي يقوم على مراعاة النظام البيئي بأسره عند وضع استراتيجيات المياه وتعزيز الإدارة المتكاملة لأحواض الأنهار عبر الحدود الوطنية، ما يؤدي إلى نتائج أكثر استدامة وإنصافًا.</w:t>
      </w:r>
    </w:p>
    <w:p w14:paraId="36F9E0C9" w14:textId="77777777" w:rsidR="00DD1E82" w:rsidRPr="008C5A3A" w:rsidRDefault="00DD1E82">
      <w:pPr>
        <w:pStyle w:val="ListParagraph"/>
        <w:ind w:left="0"/>
        <w:rPr>
          <w:lang w:val="en-GB"/>
        </w:rPr>
      </w:pPr>
    </w:p>
    <w:p w14:paraId="2B315D6E" w14:textId="4BBE2C3E" w:rsidR="00DD1E82" w:rsidRPr="008C5A3A" w:rsidRDefault="00AB55A4">
      <w:pPr>
        <w:pStyle w:val="Heading3"/>
        <w:bidi/>
        <w:rPr>
          <w:rtl/>
        </w:rPr>
      </w:pPr>
      <w:r>
        <w:rPr>
          <w:rFonts w:hint="cs"/>
          <w:rtl/>
        </w:rPr>
        <w:t>يشارك الاتحاد الأوروبي في العديد من الاتفاقيات الدولية التي تركز على التعاون العابر للحدود في مجال المياه، مثل الاتفاقية المتعلقة بحماية واستخدام المجاري المائية العابرة للحدود والبحيرات الدولية لعام 1992. توفر هذه الاتفاقيات أطرًا قانونية قيّمة تُيسر التعاون بين البلدان التي تتقاسم الموارد المائية، وينبغي الاستفادة من إمكاناتها وتطويرها.</w:t>
      </w:r>
    </w:p>
    <w:p w14:paraId="1FDA19B5" w14:textId="77777777" w:rsidR="00DD1E82" w:rsidRPr="008C5A3A" w:rsidRDefault="00DD1E82">
      <w:pPr>
        <w:rPr>
          <w:lang w:val="en-GB"/>
        </w:rPr>
      </w:pPr>
    </w:p>
    <w:p w14:paraId="0D18F8F1" w14:textId="45747E1B" w:rsidR="00DD1E82" w:rsidRPr="008C5A3A" w:rsidRDefault="00AB55A4">
      <w:pPr>
        <w:pStyle w:val="Heading3"/>
        <w:bidi/>
        <w:rPr>
          <w:rtl/>
        </w:rPr>
      </w:pPr>
      <w:r>
        <w:rPr>
          <w:rFonts w:hint="cs"/>
          <w:rtl/>
        </w:rPr>
        <w:lastRenderedPageBreak/>
        <w:t>نفَّذ الاتحاد الأوروبي استراتيجيات إقليمية كلية مثل استراتيجية منطقة بحر البلطيق واستراتيجية منطقة الدانوب</w:t>
      </w:r>
      <w:r w:rsidR="000A0E63" w:rsidRPr="008C5A3A">
        <w:rPr>
          <w:rStyle w:val="FootnoteReference"/>
          <w:lang w:val="en-GB"/>
        </w:rPr>
        <w:footnoteReference w:id="20"/>
      </w:r>
      <w:r>
        <w:rPr>
          <w:rFonts w:hint="cs"/>
          <w:rtl/>
        </w:rPr>
        <w:t>، التي تهدف إلى معالجة التحديات المشتركة في مناطق جغرافية سياسية محددة. تعزز هذه الاستراتيجيات التعاون بين البلدان لتحسين جودة المياه وتعزيز تقديم الخدمات وإدارة الموارد بفعالية، وينبغي توسيع نطاقها لتشمل المزيد من المناطق.</w:t>
      </w:r>
    </w:p>
    <w:p w14:paraId="7C31AFD0" w14:textId="77777777" w:rsidR="00DD1E82" w:rsidRPr="008C5A3A" w:rsidRDefault="00DD1E82">
      <w:pPr>
        <w:pStyle w:val="ListParagraph"/>
        <w:ind w:left="0"/>
        <w:rPr>
          <w:lang w:val="en-GB"/>
        </w:rPr>
      </w:pPr>
    </w:p>
    <w:p w14:paraId="1932B9F9" w14:textId="2116A881" w:rsidR="00DD1E82" w:rsidRPr="008C5A3A" w:rsidRDefault="00AB55A4">
      <w:pPr>
        <w:pStyle w:val="Heading3"/>
        <w:bidi/>
        <w:rPr>
          <w:rtl/>
        </w:rPr>
      </w:pPr>
      <w:r>
        <w:rPr>
          <w:rFonts w:hint="cs"/>
          <w:rtl/>
        </w:rPr>
        <w:t>عززت الاتفاقيات الإقليمية مثل اتفاقية حماية نهر الدانوب واتفاقية نهر الراين إطار الحوكمة من خلال إنشاء هيئات مؤسسية دائمة تشرف على التنفيذ والامتثال ووضع السياسات المشترك</w:t>
      </w:r>
      <w:r w:rsidRPr="008C5A3A">
        <w:rPr>
          <w:rStyle w:val="FootnoteReference"/>
          <w:lang w:val="en-GB"/>
        </w:rPr>
        <w:footnoteReference w:id="21"/>
      </w:r>
      <w:r>
        <w:rPr>
          <w:rFonts w:hint="cs"/>
          <w:rtl/>
        </w:rPr>
        <w:t>.</w:t>
      </w:r>
    </w:p>
    <w:p w14:paraId="2C276FA2" w14:textId="77777777" w:rsidR="00DD1E82" w:rsidRPr="008C5A3A" w:rsidRDefault="00DD1E82">
      <w:pPr>
        <w:pStyle w:val="ListParagraph"/>
        <w:ind w:left="567" w:hanging="567"/>
        <w:rPr>
          <w:lang w:val="en-GB"/>
        </w:rPr>
      </w:pPr>
    </w:p>
    <w:p w14:paraId="7FF27257" w14:textId="77777777" w:rsidR="00DD1E82" w:rsidRPr="008C5A3A" w:rsidRDefault="00AB55A4">
      <w:pPr>
        <w:pStyle w:val="Heading2"/>
        <w:bidi/>
        <w:rPr>
          <w:rtl/>
        </w:rPr>
      </w:pPr>
      <w:r>
        <w:rPr>
          <w:rFonts w:hint="cs"/>
          <w:rtl/>
        </w:rPr>
        <w:t>تؤكد اللجنة الاقتصادية والاجتماعية الأوروبية على أنه بالنسبة للمناطق التي تعاني من شُح المياه، تؤكد تجربة الاتحاد الأوروبي ضرورة تضمين أطر ملزمة قانونًا تحدد حقوقًا ومسؤوليات واضحة للموارد المائية المشتركة، مع مواءمة السياسات الوطنية في إطار استراتيجيات على مستوى أحواض الأنهار. إذ يعزِّز تقنين عمل السلطات المشتركة لأحواض الأنهار وآليات حوكمة أصحاب المصلحة المتعددين المساءلة ويقلل من التوترات الجيوسياسية ويضمن الامتثال للمعايير المتفق عليها. وتُسهم البروتوكولات الشفافة والموحدة لمشاركة البيانات، إلى جانب عمليات الإخطار المسبق والتشاور بشأن مشاريع البنية التحتية للمياه، في الحدِّ من مخاطر الإجراءات الأحادية الجانب التي قد تؤدي إلى تفاقم الإجهاد المائي الحالي. وعلاوة على ذلك، يمكن أن يشكِّل إدخال آليات الاستثمار المشترك (سواءً من خلال الخزانات ذات التمويل المشترك أو عمليات نقل المياه بين الأحواض أو مبادرات منسَّقة لاستعادة النظام البيئي) حافزًا قويًّا للتعاون، لا سيما في المناطق التي تشهد توترات مائية سياسية مرتفعة.</w:t>
      </w:r>
    </w:p>
    <w:p w14:paraId="1319614E" w14:textId="77777777" w:rsidR="00DD1E82" w:rsidRPr="008C5A3A" w:rsidRDefault="00DD1E82">
      <w:pPr>
        <w:rPr>
          <w:lang w:val="en-GB"/>
        </w:rPr>
      </w:pPr>
    </w:p>
    <w:p w14:paraId="4FB69DD0" w14:textId="77777777" w:rsidR="00DD1E82" w:rsidRPr="008C5A3A" w:rsidRDefault="00AB55A4">
      <w:pPr>
        <w:pStyle w:val="Heading1"/>
        <w:keepNext/>
        <w:keepLines/>
        <w:bidi/>
        <w:rPr>
          <w:b/>
          <w:rtl/>
        </w:rPr>
      </w:pPr>
      <w:r>
        <w:rPr>
          <w:rFonts w:hint="cs"/>
          <w:b/>
          <w:bCs/>
          <w:rtl/>
        </w:rPr>
        <w:t>العوامل المسببة للهجرة الناجمة عن تغير المناخ</w:t>
      </w:r>
    </w:p>
    <w:p w14:paraId="2BD12269" w14:textId="77777777" w:rsidR="00DD1E82" w:rsidRPr="008C5A3A" w:rsidRDefault="00DD1E82">
      <w:pPr>
        <w:pStyle w:val="Heading1"/>
        <w:keepNext/>
        <w:keepLines/>
        <w:numPr>
          <w:ilvl w:val="0"/>
          <w:numId w:val="0"/>
        </w:numPr>
        <w:rPr>
          <w:kern w:val="0"/>
          <w:lang w:val="en-GB"/>
        </w:rPr>
      </w:pPr>
    </w:p>
    <w:p w14:paraId="1121D490" w14:textId="4D4D25EE" w:rsidR="00DD1E82" w:rsidRPr="008C5A3A" w:rsidRDefault="00AB55A4">
      <w:pPr>
        <w:pStyle w:val="Heading2"/>
        <w:bidi/>
        <w:rPr>
          <w:rtl/>
        </w:rPr>
      </w:pPr>
      <w:r>
        <w:rPr>
          <w:rFonts w:hint="cs"/>
          <w:rtl/>
        </w:rPr>
        <w:t>لتغير المناخ تبِعات يمكن أن تتخذ أشكالًا متعددة. ومن الأمثلة على ذلك الظروف المناخية القاسية وأزمات الصحة العامة الناجمة عن انتشار الأمراض المعدية وتدمير المنازل وسبل العيش نتيجة الفيضانات والتصحر، والمجاعة وسوء التغذية بسبب فشل المحاصيل الزراعية. وكثيرًا ما يُضطر السكان إلى الهجرة من المناطق الهشة اقتصاديًّا بحثًا عن مستوى معيشة أفضل. كما يشكل تهديدًا مضاعفًا للنزاعات والتفاوتات الاجتماعية والاقتصادية والتوترات، ما يؤدي إلى تصاعد النزاعات على الموارد الطبيعية. فمناطق مثل جنوب الصحراء الكبرى في إفريقيا وأمريكا الجنوبية ومنطقة الشرق الأوسط وشمال إفريقيا وآسيا الوسطى أكثر عرضة لهذه المخاطر.</w:t>
      </w:r>
    </w:p>
    <w:p w14:paraId="59E4578D" w14:textId="77777777" w:rsidR="00DD1E82" w:rsidRPr="008C5A3A" w:rsidRDefault="00DD1E82">
      <w:pPr>
        <w:rPr>
          <w:lang w:val="en-GB"/>
        </w:rPr>
      </w:pPr>
    </w:p>
    <w:p w14:paraId="27FFA1C1" w14:textId="77777777" w:rsidR="00DD1E82" w:rsidRPr="008C5A3A" w:rsidRDefault="00AB55A4">
      <w:pPr>
        <w:pStyle w:val="Heading2"/>
        <w:bidi/>
        <w:rPr>
          <w:rtl/>
        </w:rPr>
      </w:pPr>
      <w:r>
        <w:rPr>
          <w:rFonts w:hint="cs"/>
          <w:rtl/>
        </w:rPr>
        <w:t>قد تكون الهجرة الناجمة عن تغير المناخ</w:t>
      </w:r>
      <w:r>
        <w:rPr>
          <w:rFonts w:hint="cs"/>
          <w:rtl/>
        </w:rPr>
        <w:noBreakHyphen/>
        <w:t>مباشرة أو غير مباشرة. تحدث الهجرة المباشرة عندما تكون عوامل الطرد ناجمة مباشرة عن تغير المناخ، مثل الأعاصير أو الفيضانات أو موجات الجفاف. وتحدث الهجرة غير المباشرة عندما تخلف آثار تغير المناخ تداعيات خطيرة على الاقتصاد أو قد تتسبب في اضطرابات أو حروب على الموارد المحدودة، ما يدفع السكان إلى الهجرة بشكل غير مباشر نتيجة لهذه الأوضاع. وينتقل معظم المهاجرين بسبب تغير المناخ أولًا داخل بلدانهم (من المناطق الريفية إلى المناطق الحضرية). وعندما تفشل المراكز الحضرية في استيعابهم، فإنهم يهاجرون بين الأقاليم (مثل الهجرة من منطقة الساحل إلى شمال إفريقيا، أو من أفغانستان إلى تركيا). ومع استمرار قلة فرص العمل وتردِّي الظروف المعيشية، يحاولون عبور البحر الأبيض المتوسط أو البحث عن طرق أخرى للوصول إلى الاتحاد الأوروبي.</w:t>
      </w:r>
    </w:p>
    <w:p w14:paraId="14ED2150" w14:textId="77777777" w:rsidR="00DD1E82" w:rsidRPr="008C5A3A" w:rsidRDefault="00DD1E82">
      <w:pPr>
        <w:rPr>
          <w:lang w:val="en-GB"/>
        </w:rPr>
      </w:pPr>
    </w:p>
    <w:p w14:paraId="6823B661" w14:textId="77777777" w:rsidR="00DD1E82" w:rsidRPr="008C5A3A" w:rsidRDefault="00AB55A4">
      <w:pPr>
        <w:pStyle w:val="Heading2"/>
        <w:bidi/>
        <w:rPr>
          <w:rtl/>
        </w:rPr>
      </w:pPr>
      <w:r>
        <w:rPr>
          <w:rFonts w:hint="cs"/>
          <w:rtl/>
        </w:rPr>
        <w:t>تركز اللجنة الاقتصادية والاجتماعية الأوروبية أيضًا على الصلة بين التداعيات الاجتماعية والاقتصادية لتغير المناخ بدلًا من مجرد التركيز على التداعيات البيئية. وبالنظر إلى عدم وجود تعريف واضح لمصطلح "لاجئ بسبب تغير المناخ"، وأن اللاجئين بسبب تغير المناخ غير مشمولين باتفاقية الأمم المتحدة للاجئين لعام 1951، فإن اللجنة الاقتصادية والاجتماعية الأوروبية تشعر بالقلق من أن الظواهر المناخية المتطرفة والكوارث لا يمكن الاعتداد بها حاليًا كأسباب لطلب اللجوء أو الحصول على وضع اللاجئ، على الرغم من أن الهدف الثاني من الميثاق العالمي للهجرة لعام 2018 يُشير إلى تغير المناخ كسبب محتمل للهجرة. وفي حين أن الاتحاد الأوروبي لم يعترف رسميًّا بـ "اللاجئين بسبب تغير المناخ"، إلا أنه أعرب عن قلقه المتزايد واتخذ إجراءات لدعم وتعزيز القدرة على الصمود في تلك البلدان الأكثر عرضة لعوامل الإجهاد المرتبطة بالمناخ.</w:t>
      </w:r>
    </w:p>
    <w:p w14:paraId="3D18898B" w14:textId="77777777" w:rsidR="00DD1E82" w:rsidRPr="008C5A3A" w:rsidRDefault="00DD1E82">
      <w:pPr>
        <w:pStyle w:val="Heading1"/>
        <w:numPr>
          <w:ilvl w:val="0"/>
          <w:numId w:val="0"/>
        </w:numPr>
        <w:ind w:left="567" w:hanging="567"/>
        <w:rPr>
          <w:kern w:val="0"/>
          <w:lang w:val="en-GB"/>
        </w:rPr>
      </w:pPr>
    </w:p>
    <w:p w14:paraId="71617F52" w14:textId="77777777" w:rsidR="00DD1E82" w:rsidRPr="008C5A3A" w:rsidRDefault="00AB55A4">
      <w:pPr>
        <w:pStyle w:val="Heading2"/>
        <w:bidi/>
        <w:rPr>
          <w:rtl/>
        </w:rPr>
      </w:pPr>
      <w:r>
        <w:rPr>
          <w:rFonts w:hint="cs"/>
          <w:rtl/>
        </w:rPr>
        <w:t>في ضوء ذلك، تنص اتفاقية كمبالا</w:t>
      </w:r>
      <w:r w:rsidRPr="008C5A3A">
        <w:rPr>
          <w:rStyle w:val="FootnoteReference"/>
          <w:lang w:val="en-GB"/>
        </w:rPr>
        <w:footnoteReference w:id="22"/>
      </w:r>
      <w:r>
        <w:rPr>
          <w:rFonts w:hint="cs"/>
          <w:rtl/>
        </w:rPr>
        <w:t xml:space="preserve"> لحماية ومساعدة النازحين داخليًا في إفريقيا على أن "تتخذ الدول الأطراف تدابير لحماية ومساعدة الأشخاص النازحين داخليًا بسبب الكوارث الطبيعية أو الكوارث التي يتسبب فيها الإنسان، بما في ذلك تغير المناخ". وبالإضافة إلى ذلك، فإن ردود المفوضية السامية للأمم المتحدة لشؤون اللاجئين على </w:t>
      </w:r>
      <w:r>
        <w:rPr>
          <w:rFonts w:hint="cs"/>
          <w:i/>
          <w:iCs/>
          <w:rtl/>
        </w:rPr>
        <w:t xml:space="preserve">الاستبيان المتعلق بقرار مجلس حقوق الإنسان </w:t>
      </w:r>
      <w:r>
        <w:rPr>
          <w:i/>
          <w:iCs/>
        </w:rPr>
        <w:t>A/HRC/35/20</w:t>
      </w:r>
      <w:r>
        <w:rPr>
          <w:rFonts w:hint="cs"/>
          <w:i/>
          <w:iCs/>
          <w:rtl/>
        </w:rPr>
        <w:t xml:space="preserve"> بشأن حقوق الإنسان وتغير المناخ</w:t>
      </w:r>
      <w:r>
        <w:rPr>
          <w:rFonts w:hint="cs"/>
          <w:rtl/>
        </w:rPr>
        <w:t xml:space="preserve"> تقر بأنه "في ظل غياب حماية اللاجئين، ينبغي أن توفر للأشخاص الفارين من تغير المناخ أو الكوارث أشكالًا تكميلية من الحماية، كحد أدنى، في إطار الحماية المؤقتة، لا سيما عندما</w:t>
      </w:r>
      <w:r>
        <w:rPr>
          <w:rFonts w:hint="cs"/>
          <w:color w:val="000000"/>
          <w:sz w:val="23"/>
          <w:szCs w:val="23"/>
          <w:rtl/>
        </w:rPr>
        <w:t xml:space="preserve"> يشهد </w:t>
      </w:r>
      <w:r>
        <w:rPr>
          <w:rFonts w:hint="cs"/>
          <w:rtl/>
        </w:rPr>
        <w:t>البلد المضيف تدفقات كبيرة من الأشخاص أو عندما يكون الوضع في البلد الأصلي غير مستقر أو غير واضح"</w:t>
      </w:r>
      <w:r w:rsidRPr="008C5A3A">
        <w:rPr>
          <w:rStyle w:val="FootnoteReference"/>
          <w:lang w:val="en-GB"/>
        </w:rPr>
        <w:footnoteReference w:id="23"/>
      </w:r>
      <w:r>
        <w:rPr>
          <w:rFonts w:hint="cs"/>
          <w:rtl/>
        </w:rPr>
        <w:t>.</w:t>
      </w:r>
    </w:p>
    <w:p w14:paraId="56C3CCB9" w14:textId="77777777" w:rsidR="00DD1E82" w:rsidRPr="008C5A3A" w:rsidRDefault="00DD1E82">
      <w:pPr>
        <w:pStyle w:val="Heading1"/>
        <w:numPr>
          <w:ilvl w:val="0"/>
          <w:numId w:val="0"/>
        </w:numPr>
        <w:ind w:left="567" w:hanging="567"/>
        <w:rPr>
          <w:kern w:val="0"/>
          <w:lang w:val="en-GB"/>
        </w:rPr>
      </w:pPr>
    </w:p>
    <w:p w14:paraId="3091ACF3" w14:textId="77777777" w:rsidR="00DD1E82" w:rsidRPr="008C5A3A" w:rsidRDefault="00AB55A4">
      <w:pPr>
        <w:pStyle w:val="Heading1"/>
        <w:keepNext/>
        <w:bidi/>
        <w:rPr>
          <w:rtl/>
        </w:rPr>
      </w:pPr>
      <w:r>
        <w:rPr>
          <w:rFonts w:hint="cs"/>
          <w:b/>
          <w:bCs/>
          <w:rtl/>
        </w:rPr>
        <w:t>تضمين الدبلوماسية الزرقاء في السياسة الخارجية للاتحاد الأوروبي لمواجهة التحديات الراهنة المتعلقة بالمياه والمناخ</w:t>
      </w:r>
    </w:p>
    <w:p w14:paraId="5FA4B4A7" w14:textId="77777777" w:rsidR="00DD1E82" w:rsidRPr="008C5A3A" w:rsidRDefault="00DD1E82">
      <w:pPr>
        <w:keepNext/>
        <w:rPr>
          <w:lang w:val="en-GB"/>
        </w:rPr>
      </w:pPr>
    </w:p>
    <w:p w14:paraId="4CB3445B" w14:textId="77777777" w:rsidR="00DD1E82" w:rsidRPr="008C5A3A" w:rsidRDefault="00AB55A4">
      <w:pPr>
        <w:pStyle w:val="Heading2"/>
        <w:bidi/>
        <w:rPr>
          <w:rtl/>
        </w:rPr>
      </w:pPr>
      <w:r>
        <w:rPr>
          <w:rFonts w:hint="cs"/>
          <w:rtl/>
        </w:rPr>
        <w:t>يمكن أن يُسهم دمج الدبلوماسية الزرقاء في السياسة الخارجية للاتحاد الأوروبي في التغلب على تحديات المياه في مناطق مهمة مثل البحر الأبيض المتوسط ومنطقة الشرق الأوسط وشمال إفريقيا من خلال مواءمة أهداف إدارة المياه وحوكمتها مع السياسات القائمة مثل سياسة الجوار الأوروبية والاتحاد من أجل المتوسط، والأهم من ذلك، من خلال تضمين هذه الأهداف وترسيخها في أدوات السياسة الجديدة مثل الميثاق المستقبلي للبحر الأبيض المتوسط. وبوسع الاتحاد الأوروبي تعزيز الاستخدام المستدام للمياه من خلال اتفاقيات التجارة التي تشمل المعايير البيئية، والمساعدات الإنمائية للبنية التحتية للمياه وبناء القدرات، والشراكات البحثية حول الحلول المبتكرة مثل تحلية المياه والزراعة المقاومة لتغير المناخ. بالإضافة إلى ذلك، من شأن المشاركة في الحوارات الإقليمية تعزيز التعاون بشأن التحديات المائية المشتركة، ما يضمن استجابة أكثر تنسيقًا وفعالية.</w:t>
      </w:r>
    </w:p>
    <w:p w14:paraId="14524129" w14:textId="77777777" w:rsidR="00DD1E82" w:rsidRPr="008C5A3A" w:rsidRDefault="00DD1E82">
      <w:pPr>
        <w:ind w:left="567" w:hanging="567"/>
        <w:rPr>
          <w:lang w:val="en-GB"/>
        </w:rPr>
      </w:pPr>
    </w:p>
    <w:p w14:paraId="329A7D2A" w14:textId="7D4B1668" w:rsidR="00DD1E82" w:rsidRPr="008C5A3A" w:rsidRDefault="00AB55A4">
      <w:pPr>
        <w:pStyle w:val="Heading2"/>
        <w:bidi/>
        <w:rPr>
          <w:rtl/>
        </w:rPr>
      </w:pPr>
      <w:r>
        <w:rPr>
          <w:rFonts w:hint="cs"/>
          <w:rtl/>
        </w:rPr>
        <w:t xml:space="preserve">وفي هذا السياق، يجب أن تركز الدبلوماسية الزرقاء على التوزيع العادل للمياه وتقديم الخدمات وصون حق الإنسان في المياه والصرف الصحي، وحماية المياه والبُنى التحتية المائية في جميع الأوقات، بما في ذلك أثناء النزاعات المسلحة. فيما يتعلق التوزيع العادل للمياه، ينبغي أن تعزِّز السياسة الخارجية للاتحاد الأوروبي الجهود الدبلوماسية لدعم ترتيبات المياه على مستوى الحوض، وترتيبات المياه المقاومة للظروف المناخية، وآليات تعاونية لتقاسم المياه، بهدف الحد من التوترات بين الدول </w:t>
      </w:r>
      <w:proofErr w:type="spellStart"/>
      <w:r>
        <w:rPr>
          <w:rFonts w:hint="cs"/>
          <w:rtl/>
        </w:rPr>
        <w:t>المشاطئة</w:t>
      </w:r>
      <w:proofErr w:type="spellEnd"/>
      <w:r>
        <w:rPr>
          <w:rFonts w:hint="cs"/>
          <w:rtl/>
        </w:rPr>
        <w:t xml:space="preserve"> وتعزيز السلام.</w:t>
      </w:r>
    </w:p>
    <w:p w14:paraId="6BC081BB" w14:textId="77777777" w:rsidR="00DD1E82" w:rsidRPr="008C5A3A" w:rsidRDefault="00DD1E82">
      <w:pPr>
        <w:ind w:left="567" w:hanging="567"/>
        <w:rPr>
          <w:lang w:val="en-GB"/>
        </w:rPr>
      </w:pPr>
    </w:p>
    <w:p w14:paraId="533DDC18" w14:textId="77777777" w:rsidR="00DD1E82" w:rsidRPr="008C5A3A" w:rsidRDefault="00AB55A4">
      <w:pPr>
        <w:pStyle w:val="Heading2"/>
        <w:bidi/>
        <w:rPr>
          <w:rtl/>
        </w:rPr>
      </w:pPr>
      <w:r>
        <w:rPr>
          <w:rFonts w:hint="cs"/>
          <w:rtl/>
        </w:rPr>
        <w:t>تؤكد اللجنة الاقتصادية والاجتماعية الأوروبية أن تحسين كفاءة إدارة المياه واستخدامها في الزراعة يمثل أولوية قصوى. وتقتضي الحاجة إجراء المزيد من الأبحاث والاستثمار في التقنيات التي تُرشد استخدام المياه.</w:t>
      </w:r>
    </w:p>
    <w:p w14:paraId="0731539F" w14:textId="77777777" w:rsidR="00DD1E82" w:rsidRPr="008C5A3A" w:rsidRDefault="00DD1E82">
      <w:pPr>
        <w:ind w:left="567" w:hanging="567"/>
        <w:rPr>
          <w:lang w:val="en-GB"/>
        </w:rPr>
      </w:pPr>
    </w:p>
    <w:p w14:paraId="0A61B882" w14:textId="77777777" w:rsidR="00DD1E82" w:rsidRPr="008C5A3A" w:rsidRDefault="00AB55A4">
      <w:pPr>
        <w:pStyle w:val="Heading2"/>
        <w:bidi/>
        <w:rPr>
          <w:rtl/>
        </w:rPr>
      </w:pPr>
      <w:r>
        <w:rPr>
          <w:rFonts w:hint="cs"/>
          <w:rtl/>
        </w:rPr>
        <w:t>يجب أن تكون الدبلوماسية الزرقاء جزءًا لا يتجزأ من جهود واستراتيجيات الاتحاد الأوروبي لنزع فتيل النزاعات وحل النزاعات وبناء السلام. ويجب على الاتحاد الأوروبي مساءلة جميع الأطراف عن انتهاكات القانون الدولي الإنساني، مثل التدمير غير المتناسب والمتعمد لشبكات المياه. وينطبق ذلك على كافة الأصعدة في العالم، سواءً عند الحديث عن قصف منشآت المياه في أوكرانيا أو تدمير البنية التحتية في الأراضي الفلسطينية المحتلة. وعلاوة على ذلك، قد تُجري الدبلوماسية الزرقاء تقييمًا نقديًّا لكيفية مساهمة سياسات الاتحاد الأوروبي التجارية والإنمائية في انعدام الأمن المائي في مناطق أخرى، وربما أعطت الأولوية للنهج التعاونية القائمة على العدالة في إدارة المياه.</w:t>
      </w:r>
    </w:p>
    <w:p w14:paraId="61EFFA1D" w14:textId="77777777" w:rsidR="00DD1E82" w:rsidRPr="008C5A3A" w:rsidRDefault="00DD1E82">
      <w:pPr>
        <w:ind w:left="567" w:hanging="567"/>
        <w:rPr>
          <w:lang w:val="en-GB"/>
        </w:rPr>
      </w:pPr>
    </w:p>
    <w:p w14:paraId="4E5B0ECA" w14:textId="77777777" w:rsidR="00DD1E82" w:rsidRPr="008C5A3A" w:rsidRDefault="00AB55A4">
      <w:pPr>
        <w:pStyle w:val="Heading2"/>
        <w:bidi/>
        <w:rPr>
          <w:rtl/>
        </w:rPr>
      </w:pPr>
      <w:r>
        <w:rPr>
          <w:rFonts w:hint="cs"/>
          <w:rtl/>
        </w:rPr>
        <w:t>يرتبط الأمن المائي بشكل متزايد مع الاستقرار الدولي وتدفقات الهجرة ومنع النزاعات. ينبغي أن تتضمن السياسة الخارجية والأمنية المشتركة للاتحاد الأوروبي واستراتيجية البوابة العالمية صراحةً الدبلوماسية الزرقاء كركيزة لبناء القدرة على الصمود في المناطق الهشة التي تعاني من الإجهاد المائي للحدِّ من الهجرة الناجمة عن تغير المناخ. ويشمل ذلك ما يلي:</w:t>
      </w:r>
    </w:p>
    <w:p w14:paraId="16533693" w14:textId="77777777" w:rsidR="00DD1E82" w:rsidRPr="008C5A3A" w:rsidRDefault="00DD1E82">
      <w:pPr>
        <w:ind w:left="567" w:hanging="567"/>
        <w:rPr>
          <w:lang w:val="en-GB"/>
        </w:rPr>
      </w:pPr>
    </w:p>
    <w:p w14:paraId="11615B0E" w14:textId="77777777" w:rsidR="00DD1E82" w:rsidRPr="008C5A3A" w:rsidRDefault="00AB55A4">
      <w:pPr>
        <w:pStyle w:val="ListParagraph"/>
        <w:numPr>
          <w:ilvl w:val="0"/>
          <w:numId w:val="24"/>
        </w:numPr>
        <w:bidi/>
        <w:ind w:left="924" w:hanging="357"/>
        <w:rPr>
          <w:rtl/>
        </w:rPr>
      </w:pPr>
      <w:r>
        <w:rPr>
          <w:rFonts w:hint="cs"/>
          <w:rtl/>
        </w:rPr>
        <w:t xml:space="preserve">تضمين الدبلوماسية المائية في شراكات الاتحاد الأوروبي الاستراتيجية، لا سيما في إفريقيا والشرق الأوسط وآسيا الوسطى، حيث تعتبر أحواض الأنهار العابرة للحدود (مثل نهر النيل ودجلة والفرات والسند) نقاط توتر محتملة للنزاعات. يجب على </w:t>
      </w:r>
      <w:r>
        <w:rPr>
          <w:rFonts w:hint="cs"/>
          <w:rtl/>
        </w:rPr>
        <w:lastRenderedPageBreak/>
        <w:t>الاتحاد الأوروبي توسيع دوره كوسيط محايد في المفاوضات المتعلقة بالمياه، مستفيدًا من خبرته في إدارة الموارد المائية العابرة للحدود (مثل نهر الدانوب والراين) لتيسير عمليات الوساطة وحل النزاعات.</w:t>
      </w:r>
    </w:p>
    <w:p w14:paraId="5EEEDDA8" w14:textId="77777777" w:rsidR="00DD1E82" w:rsidRPr="008C5A3A" w:rsidRDefault="00AB55A4">
      <w:pPr>
        <w:pStyle w:val="ListParagraph"/>
        <w:numPr>
          <w:ilvl w:val="0"/>
          <w:numId w:val="24"/>
        </w:numPr>
        <w:bidi/>
        <w:ind w:left="924" w:hanging="357"/>
        <w:rPr>
          <w:rtl/>
        </w:rPr>
      </w:pPr>
      <w:r>
        <w:rPr>
          <w:rFonts w:hint="cs"/>
          <w:rtl/>
        </w:rPr>
        <w:t>دمج الأمن المائي في المرفق الأوروبي للسلام وآليات منع النزاعات التي يقودها الاتحاد الأوروبي. حيثما يؤدي شُح المياه إلى تفاقم عدم الاستقرار السياسي، ينبغي للاتحاد الأوروبي نشر أنظمة الإنذار المبكر المتعلقة بالمياه، وتبني التدخلات الدبلوماسية المائية وبرامج بناء القدرات في مجال إدارة الموارد المائية في الدول الهشة.</w:t>
      </w:r>
    </w:p>
    <w:p w14:paraId="0CBA715E" w14:textId="44A780CD" w:rsidR="00DD1E82" w:rsidRPr="008C5A3A" w:rsidRDefault="00AB55A4">
      <w:pPr>
        <w:pStyle w:val="ListParagraph"/>
        <w:numPr>
          <w:ilvl w:val="0"/>
          <w:numId w:val="24"/>
        </w:numPr>
        <w:bidi/>
        <w:ind w:left="924" w:hanging="357"/>
        <w:rPr>
          <w:rtl/>
        </w:rPr>
      </w:pPr>
      <w:r>
        <w:rPr>
          <w:rFonts w:hint="cs"/>
          <w:rtl/>
        </w:rPr>
        <w:t>تعزيز القدرة على الصمود المائي كاستراتيجية أمنية في إطار الترابط بين المناخ والأمن في الاتحاد الأوروبي. يجب أن تعترف الدائرة الأوروبية للشؤون الخارجية (</w:t>
      </w:r>
      <w:r>
        <w:t>EEAS</w:t>
      </w:r>
      <w:r>
        <w:rPr>
          <w:rFonts w:hint="cs"/>
          <w:rtl/>
        </w:rPr>
        <w:t>) صراحةً بالمخاطر المتعلقة بالمياه كجزء من سياسات الأمن المناخي، مع ضمان قيام بعثات الاتحاد الأوروبي بمراقبة الإجهاد المائي بشكل استباقي في المناطق المعرضة للنزاعات، ودمج عنصر الصمود المائي في بعثات تحقيق الاستقرار.</w:t>
      </w:r>
    </w:p>
    <w:p w14:paraId="679BD5DF" w14:textId="77777777" w:rsidR="00DD1E82" w:rsidRPr="008C5A3A" w:rsidRDefault="00AB55A4">
      <w:pPr>
        <w:pStyle w:val="ListParagraph"/>
        <w:numPr>
          <w:ilvl w:val="0"/>
          <w:numId w:val="24"/>
        </w:numPr>
        <w:bidi/>
        <w:ind w:left="924" w:hanging="357"/>
        <w:rPr>
          <w:rtl/>
        </w:rPr>
      </w:pPr>
      <w:r>
        <w:rPr>
          <w:rFonts w:hint="cs"/>
          <w:rtl/>
        </w:rPr>
        <w:t>استخدام السياسة التجارية كوسيلة لتشجيع الإدارة المستدامة للمياه، لا سيما في المناطق التي تساهم واردات الاتحاد الأوروبي فيها في إجهاد مائي من خلال التجارة الافتراضية للمياه (مثل الزراعة والمنسوجات). يجب أن تشمل التدابير الرئيسية الاستفادة من الاتفاقات التجارية وسياسات الاستثمار في الاتحاد الأوروبي لتعزيز الإدارة المستدامة للمياه، وتطبيق آليات العناية الواجبة لمنع استغلال المياه في سلاسل التوريد العالمية واستخدام الحوافز التجارية لمكافأة ممارسات الاستخدام الدائري للمياه وإعادة تدوير مياه الصرف الصحي.</w:t>
      </w:r>
    </w:p>
    <w:p w14:paraId="6068CB17" w14:textId="77777777" w:rsidR="00DD1E82" w:rsidRPr="008C5A3A" w:rsidRDefault="00DD1E82">
      <w:pPr>
        <w:rPr>
          <w:lang w:val="en-GB"/>
        </w:rPr>
      </w:pPr>
    </w:p>
    <w:p w14:paraId="2F440D98" w14:textId="77777777" w:rsidR="00DD1E82" w:rsidRPr="008C5A3A" w:rsidRDefault="00AB55A4">
      <w:pPr>
        <w:pStyle w:val="Heading1"/>
        <w:keepNext/>
        <w:bidi/>
        <w:rPr>
          <w:rtl/>
        </w:rPr>
      </w:pPr>
      <w:r>
        <w:rPr>
          <w:rFonts w:hint="cs"/>
          <w:b/>
          <w:bCs/>
          <w:rtl/>
        </w:rPr>
        <w:t>الاستفادة من إمكانات الدبلوماسية الزرقاء للحد من الهجرة الناجمة عن تغير المناخ</w:t>
      </w:r>
    </w:p>
    <w:p w14:paraId="60CA4AB2" w14:textId="77777777" w:rsidR="00DD1E82" w:rsidRPr="008C5A3A" w:rsidRDefault="00DD1E82">
      <w:pPr>
        <w:keepNext/>
        <w:keepLines/>
        <w:rPr>
          <w:lang w:val="en-GB"/>
        </w:rPr>
      </w:pPr>
    </w:p>
    <w:p w14:paraId="4BA07DA2" w14:textId="77777777" w:rsidR="00DD1E82" w:rsidRPr="008C5A3A" w:rsidRDefault="00AB55A4">
      <w:pPr>
        <w:pStyle w:val="Heading2"/>
        <w:bidi/>
        <w:rPr>
          <w:rtl/>
        </w:rPr>
      </w:pPr>
      <w:r>
        <w:rPr>
          <w:rFonts w:hint="cs"/>
          <w:rtl/>
        </w:rPr>
        <w:t>ترحب اللجنة الاقتصادية والاجتماعية الأوروبية بالتدابير السريعة التي اتخذتها المفوضية الأوروبية والبرلمان الأوروبي، وهي تعيين مفوض خاص لشؤون المياه وإعطاء استراتيجية الصمود المائي أولوية عالية لتعزيز القدرة التنافسية، والنهج الشامل الذي يتبناه البرلمان الأوروبي استجابةً للدعوة إلى اتفاق أزرق أوروبي</w:t>
      </w:r>
      <w:r w:rsidRPr="008C5A3A">
        <w:rPr>
          <w:rStyle w:val="FootnoteReference"/>
          <w:lang w:val="en-GB"/>
        </w:rPr>
        <w:footnoteReference w:id="24"/>
      </w:r>
      <w:r>
        <w:rPr>
          <w:rFonts w:hint="cs"/>
          <w:rtl/>
        </w:rPr>
        <w:t>. كما تسلط اللجنة الضوء على أهمية الدبلوماسية الزرقاء، لا سيما فيما يتعلق بالجهود الدولية الرامية إلى تعزيز التعاون الدولي في مجال المياه والإدارة المستدامة للموارد المائية كوسيلة لمنع النزاعات وتعزيز الاستقرار الإقليمي. فالماء مورد استراتيجي، وإدارته العادلة أمر بالغ الأهمية لضمان القدرة على التكيف مع تغيّر المناخ وضغوط الهجرة. ويجب على الاتحاد الأوروبي أن يضطلع بدور قيادي عالمي في تعزيز الحوكمة الدولية للمياه من خلال المشاركة الدبلوماسية وبناء القدرات والاستثمار في التعاون العابر للحدود في مجال المياه. وأعلنت اللجنة الاقتصادية والاجتماعية الأوروبية أن المياه ليست مجرد سلعة بل منفعة عامة ضرورية لحياة الإنسان. الوصول السهل والميسور التكلفة إلى المياه والصرف الصحي والنظافة الصحية للجميع أمر ضروري للصحة العامة والتنمية البشرية</w:t>
      </w:r>
      <w:r w:rsidR="000A0E63" w:rsidRPr="008C5A3A">
        <w:rPr>
          <w:rStyle w:val="FootnoteReference"/>
          <w:lang w:val="en-GB"/>
        </w:rPr>
        <w:footnoteReference w:id="25"/>
      </w:r>
      <w:r>
        <w:rPr>
          <w:rFonts w:hint="cs"/>
          <w:rtl/>
        </w:rPr>
        <w:t>.</w:t>
      </w:r>
    </w:p>
    <w:p w14:paraId="7257674C" w14:textId="77777777" w:rsidR="00DD1E82" w:rsidRPr="008C5A3A" w:rsidRDefault="00DD1E82">
      <w:pPr>
        <w:rPr>
          <w:lang w:val="en-GB"/>
        </w:rPr>
      </w:pPr>
    </w:p>
    <w:p w14:paraId="1E22C513" w14:textId="77777777" w:rsidR="00DD1E82" w:rsidRPr="008C5A3A" w:rsidRDefault="00AB55A4">
      <w:pPr>
        <w:pStyle w:val="Heading2"/>
        <w:bidi/>
        <w:rPr>
          <w:rtl/>
        </w:rPr>
      </w:pPr>
      <w:r>
        <w:rPr>
          <w:rFonts w:hint="cs"/>
          <w:rtl/>
        </w:rPr>
        <w:t xml:space="preserve">للرصد والتقييم الفعَّال لأثر الدبلوماسية الزرقاء ومبادرات التعاون في مجال المياه على الحدِّ من الهجرة الناجمة عن تغير المناخ، ينبغي على الاتحاد الأوروبي وضع أطر رصد شاملة تتضمن مؤشرات واضحة بشأن توفر المياه وجودتها والآثار الاجتماعية والاقتصادية لها. ومن شأن منصات مشاركة البيانات أن تعزز الشفافية، في حين تساعد تقييمات الأثر في تتبع اتجاهات الهجرة المرتبطة بمبادرات المياه. وتضمن مشاورات أصحاب المصلحة مع المجتمعات المحلية والحكومات والمنظمات غير الحكومية قابلية التكيف، وتوفر عمليات التدقيق المستقلة تقييمات موضوعية. ويمكن لمنظمات مثل </w:t>
      </w:r>
      <w:hyperlink r:id="rId19" w:history="1">
        <w:r>
          <w:rPr>
            <w:rStyle w:val="Hyperlink"/>
            <w:rFonts w:hint="cs"/>
            <w:rtl/>
          </w:rPr>
          <w:t>المركز الدولي لتطوير سياسات الهجرة</w:t>
        </w:r>
      </w:hyperlink>
      <w:r>
        <w:rPr>
          <w:rFonts w:hint="cs"/>
          <w:rtl/>
        </w:rPr>
        <w:t xml:space="preserve"> أن تساهم في ذلك من خلال إجراء بحوث الهجرة ووضع توصيات بشأن السياسات ودعم التعاون عبر الحدود لمعالجة مخاطر النزوح. وبسبيل الجمع بين هذه الآليات، يمكن للاتحاد الأوروبي تعزيز المساءلة وتحسين فعالية دبلوماسية المياه في الحدِّ من الهجرة الناجمة عن تغير المناخ.</w:t>
      </w:r>
    </w:p>
    <w:p w14:paraId="36EF241F" w14:textId="77777777" w:rsidR="00DD1E82" w:rsidRPr="008C5A3A" w:rsidRDefault="00DD1E82">
      <w:pPr>
        <w:pStyle w:val="ListParagraph"/>
        <w:ind w:left="0"/>
        <w:rPr>
          <w:lang w:val="en-GB"/>
        </w:rPr>
      </w:pPr>
    </w:p>
    <w:p w14:paraId="0F499846" w14:textId="77777777" w:rsidR="00DD1E82" w:rsidRPr="008C5A3A" w:rsidRDefault="00AB55A4">
      <w:pPr>
        <w:pStyle w:val="Heading2"/>
        <w:bidi/>
        <w:rPr>
          <w:rtl/>
        </w:rPr>
      </w:pPr>
      <w:r>
        <w:rPr>
          <w:rFonts w:hint="cs"/>
          <w:rtl/>
        </w:rPr>
        <w:t xml:space="preserve">الاتحاد الأوروبي هو أحد أكبر الجهات المانحة العالمية للمشاريع المتعلقة بالمياه، ومن شأن الدبلوماسية الزرقاء أن تزيد من مواءمة المساعدات الإنمائية مع الأهداف </w:t>
      </w:r>
      <w:proofErr w:type="spellStart"/>
      <w:r>
        <w:rPr>
          <w:rFonts w:hint="cs"/>
          <w:rtl/>
        </w:rPr>
        <w:t>الجيوستراتيجية</w:t>
      </w:r>
      <w:proofErr w:type="spellEnd"/>
      <w:r>
        <w:rPr>
          <w:rFonts w:hint="cs"/>
          <w:rtl/>
        </w:rPr>
        <w:t xml:space="preserve"> المتعلقة بالمياه. يتضمن ذلك ما يلي:</w:t>
      </w:r>
    </w:p>
    <w:p w14:paraId="15637532" w14:textId="77777777" w:rsidR="00DD1E82" w:rsidRPr="008C5A3A" w:rsidRDefault="00DD1E82">
      <w:pPr>
        <w:pStyle w:val="ListParagraph"/>
        <w:ind w:left="567"/>
        <w:rPr>
          <w:lang w:val="en-GB"/>
        </w:rPr>
      </w:pPr>
    </w:p>
    <w:p w14:paraId="2393C8BF" w14:textId="77777777" w:rsidR="00DD1E82" w:rsidRPr="008C5A3A" w:rsidRDefault="00AB55A4">
      <w:pPr>
        <w:pStyle w:val="ListParagraph"/>
        <w:numPr>
          <w:ilvl w:val="0"/>
          <w:numId w:val="24"/>
        </w:numPr>
        <w:bidi/>
        <w:ind w:left="924" w:hanging="357"/>
        <w:rPr>
          <w:rtl/>
        </w:rPr>
      </w:pPr>
      <w:r>
        <w:rPr>
          <w:rFonts w:hint="cs"/>
          <w:rtl/>
        </w:rPr>
        <w:t xml:space="preserve">استهداف المناطق التي تعاني من شُح المياه والمناطق الهشة في تمويل التنمية في الاتحاد الأوروبي. يجب أن يعطي الميثاق المستقبلي لمنطقة البحر الأبيض المتوسط وأداة الجوار والتنمية والتعاون الدولي (أوروبا العالمية) الأولوية للصمود المائي في مناطق العالم مثل منطقة الشرق الأوسط وشمال إفريقيا وجنوب الصحراء الكبرى في إفريقيا وجنوب آسيا حيث يؤدي </w:t>
      </w:r>
      <w:r>
        <w:rPr>
          <w:rFonts w:hint="cs"/>
          <w:rtl/>
        </w:rPr>
        <w:lastRenderedPageBreak/>
        <w:t>نقص المياه إلى الأزمات الإنسانية والهجرة والنزاع. يمكن أن يؤدي توسيع الاستثمارات في الإدارة المتكاملة للموارد المائية ومعاهدات المياه العابرة للحدود وبرامج التكيف مع تغير المناخ إلى منع تفاقم النزاعات حول المياه وتحولها إلى أزمات جيوسياسية.</w:t>
      </w:r>
    </w:p>
    <w:p w14:paraId="77890919" w14:textId="77777777" w:rsidR="00DD1E82" w:rsidRPr="008C5A3A" w:rsidRDefault="00AB55A4">
      <w:pPr>
        <w:pStyle w:val="ListParagraph"/>
        <w:numPr>
          <w:ilvl w:val="0"/>
          <w:numId w:val="24"/>
        </w:numPr>
        <w:bidi/>
        <w:ind w:left="924" w:hanging="357"/>
        <w:rPr>
          <w:rtl/>
        </w:rPr>
      </w:pPr>
      <w:r>
        <w:rPr>
          <w:rFonts w:hint="cs"/>
          <w:rtl/>
        </w:rPr>
        <w:t xml:space="preserve">مواءمة الدبلوماسية الزرقاء مع مشاريع تمويل المبادرات المناخية والتكيف مع تغير المناخ. وينبغي أن تضمن مساهمات الاتحاد الأوروبي في الصندوق الأخضر للمناخ وشراكات النقل العادل للطاقة أن يكون الأمن المائي عنصرًا محوريًّا في استراتيجيات التكيف مع تغير المناخ، لا سيما في المناطق المعرضة لموجات الجفاف والتصحر. ومن شأن الحلول القائمة على الطبيعة والمدعومة من الاتحاد الأوروبي، مثل استعادة الأراضي الرطبة وإدارة </w:t>
      </w:r>
      <w:proofErr w:type="spellStart"/>
      <w:r>
        <w:rPr>
          <w:rFonts w:hint="cs"/>
          <w:rtl/>
        </w:rPr>
        <w:t>مستجمعات</w:t>
      </w:r>
      <w:proofErr w:type="spellEnd"/>
      <w:r>
        <w:rPr>
          <w:rFonts w:hint="cs"/>
          <w:rtl/>
        </w:rPr>
        <w:t xml:space="preserve"> المياه وإعادة التشجير، أن تعزز توفر المياه مع تحقيق فوائد مشتركة للتنوع البيولوجي واحتجاز الكربون والاقتصادات المحلية.</w:t>
      </w:r>
    </w:p>
    <w:p w14:paraId="5F2EE962" w14:textId="77777777" w:rsidR="00DD1E82" w:rsidRPr="008C5A3A" w:rsidRDefault="00AB55A4">
      <w:pPr>
        <w:pStyle w:val="ListParagraph"/>
        <w:numPr>
          <w:ilvl w:val="0"/>
          <w:numId w:val="24"/>
        </w:numPr>
        <w:bidi/>
        <w:ind w:left="924" w:hanging="357"/>
        <w:rPr>
          <w:rtl/>
        </w:rPr>
      </w:pPr>
      <w:r>
        <w:rPr>
          <w:rFonts w:hint="cs"/>
          <w:rtl/>
        </w:rPr>
        <w:t>نظرًا للدور الريادي الذي يقوم به الاتحاد الأوروبي في الحوكمة البيئية المتعددة الأطراف، تتبلور دبلوماسية المياه العالمية بنشاط من خلال المنظمات الدولية ومنصات الحوكمة الدولية، بما في ذلك تعزيز مشاركة الاتحاد الأوروبي في دبلوماسية المياه العالمية من خلال الأمم المتحدة ومجموعة العشرين ومؤتمر الأطراف ومنظمة التجارة العالمية، وهو ما توِّج بإطلاق مبادرة عالمية بقيادة الاتحاد الأوروبي بشأن الصمود المائي، ووضع الاتحاد الأوروبي كرائد في المعايير الدولية للمياه وتوسيع الشراكات بين الاتحاد الأوروبي وإفريقيا والاتحاد الأوروبي وآسيا بشأن الإدارة العابرة للحدود للمياه. ومن خلال الاستفادة من القنوات الدبلوماسية في إفريقيا وآسيا، يمكن للاتحاد الأوروبي تعزيز الاتفاقات الثنائية بشأن الأنهار المشتركة، وتمويل البُنى التحتية المشتركة للمياه، وتسهيل جهود الوساطة في النزاعات حول نزاعات المياه العابرة للحدود.</w:t>
      </w:r>
    </w:p>
    <w:p w14:paraId="25BC449F" w14:textId="77777777" w:rsidR="00DD1E82" w:rsidRPr="008C5A3A" w:rsidRDefault="00DD1E82">
      <w:pPr>
        <w:rPr>
          <w:lang w:val="en-GB"/>
        </w:rPr>
      </w:pPr>
    </w:p>
    <w:p w14:paraId="42A15071" w14:textId="77777777" w:rsidR="00DD1E82" w:rsidRPr="008C5A3A" w:rsidRDefault="00AB55A4">
      <w:pPr>
        <w:pStyle w:val="Heading2"/>
        <w:bidi/>
        <w:rPr>
          <w:rtl/>
        </w:rPr>
      </w:pPr>
      <w:r>
        <w:rPr>
          <w:rFonts w:hint="cs"/>
          <w:rtl/>
        </w:rPr>
        <w:t>يجب أن تكون الدبلوماسية الزرقاء والتعاون المائي من الركائز الأساسية للسياسة الخارجية للاتحاد الأوروبي من أجل معالجة الأسباب الجذرية للهجرة الناجمة عن تغير المناخ. فبسبيل المشاركة الاستباقية والاستثمار في حلول المياه المستدامة وتعزيز الأطر القانونية، يمكن للاتحاد الأوروبي أن يقود الجهود العالمية للتخفيف من حدة أزمات المياه وضمان الاستقرار في المناطق المعرضة للخطر. ذلك أن اتباع نهج شامل ومنسق لن يخفف من ضغوط الهجرة فحسب، بل سيعزز أيضًا التنمية الاقتصادية والسلام في جميع أنحاء العالم.</w:t>
      </w:r>
    </w:p>
    <w:p w14:paraId="4197E03C" w14:textId="77777777" w:rsidR="00DD1E82" w:rsidRPr="008C5A3A" w:rsidRDefault="00DD1E82">
      <w:pPr>
        <w:ind w:left="567" w:hanging="567"/>
        <w:rPr>
          <w:lang w:val="en-GB"/>
        </w:rPr>
      </w:pPr>
    </w:p>
    <w:p w14:paraId="7A8227D3" w14:textId="77777777" w:rsidR="00DD1E82" w:rsidRPr="008C5A3A" w:rsidRDefault="00AB55A4">
      <w:pPr>
        <w:pStyle w:val="Heading2"/>
        <w:bidi/>
        <w:rPr>
          <w:rtl/>
        </w:rPr>
      </w:pPr>
      <w:r>
        <w:rPr>
          <w:rFonts w:hint="cs"/>
          <w:rtl/>
        </w:rPr>
        <w:t xml:space="preserve">للتواصل مع المجتمع المدني والشباب أهمية قصوى. ومن شأن التعاون مع مبادرات المواطنين الأوروبيين والجهات الفاعلة المحلية، والتركيز على الحلول الجذرية في البلدان الأكثر تأثرًا بضغوط الهجرة </w:t>
      </w:r>
      <w:r>
        <w:rPr>
          <w:rFonts w:hint="cs"/>
          <w:rtl/>
        </w:rPr>
        <w:noBreakHyphen/>
        <w:t>الناجمة عن تغير المناخ، أن يعزز فعالية أدوات الدبلوماسية الزرقاء ويكسبها مزيدًا من الشرعية.</w:t>
      </w:r>
    </w:p>
    <w:p w14:paraId="6E3EB52C" w14:textId="77777777" w:rsidR="00DD1E82" w:rsidRPr="008C5A3A" w:rsidRDefault="00DD1E82">
      <w:pPr>
        <w:rPr>
          <w:lang w:val="en-GB"/>
        </w:rPr>
      </w:pPr>
    </w:p>
    <w:p w14:paraId="76B94BFF" w14:textId="139CC1B9" w:rsidR="00DD1E82" w:rsidRPr="008C5A3A" w:rsidRDefault="00AB55A4" w:rsidP="00DB432B">
      <w:pPr>
        <w:pStyle w:val="Heading2"/>
        <w:bidi/>
        <w:rPr>
          <w:rtl/>
        </w:rPr>
      </w:pPr>
      <w:r>
        <w:rPr>
          <w:rFonts w:hint="cs"/>
          <w:rtl/>
        </w:rPr>
        <w:t>يتطلب وضع استراتيجية فعَّالة للدبلوماسية الزرقاء مشاركة منسقة من الحكومات والمنظمات الإقليمية (مثل الاتحاد من أجل المتوسط والاتحاد الإفريقي ورابطة دول جنوب شرق آسيا والسوق المشتركة لبلدان المخروط الجنوبي "</w:t>
      </w:r>
      <w:proofErr w:type="spellStart"/>
      <w:r>
        <w:rPr>
          <w:rFonts w:hint="cs"/>
          <w:rtl/>
        </w:rPr>
        <w:t>ميركوسور</w:t>
      </w:r>
      <w:proofErr w:type="spellEnd"/>
      <w:r>
        <w:rPr>
          <w:rFonts w:hint="cs"/>
          <w:rtl/>
        </w:rPr>
        <w:t xml:space="preserve">") ولجان أحواض الأنهار والمؤسسات العابرة للحدود (مثل اللجنة الدولية لحماية نهر الدانوب واللجنة الدولية لحماية نهر الراين ولجنة نهر </w:t>
      </w:r>
      <w:proofErr w:type="spellStart"/>
      <w:r>
        <w:rPr>
          <w:rFonts w:hint="cs"/>
          <w:rtl/>
        </w:rPr>
        <w:t>الميكونغ</w:t>
      </w:r>
      <w:proofErr w:type="spellEnd"/>
      <w:r>
        <w:rPr>
          <w:rFonts w:hint="cs"/>
          <w:rtl/>
        </w:rPr>
        <w:t xml:space="preserve"> وهيئة حوض نهر النيجر) والمؤسسات الأوروبية (مثل الدائرة الأوروبية للشؤون الخارجية والمفوضية الأوروبية والوكالة الأوروبية للبيئة) والمنظمات الدولية (مثل لجنة الأمم المتحدة المعنية بالموارد المائية والبنك الدولي وصندوق النقد الدولي ومنظمة الأمم المتحدة للتنمية الصناعية ومنظمة الأغذية والزراعة) والمنظمات غير الحكومية (مثل برنامج المعونة المائية "</w:t>
      </w:r>
      <w:r>
        <w:t>WaterAid</w:t>
      </w:r>
      <w:r>
        <w:rPr>
          <w:rFonts w:hint="cs"/>
          <w:rtl/>
        </w:rPr>
        <w:t>" والاتحاد الدولي لحفظ الطبيعة والموارد المائية ومعهد ستوكهولم الدولي للمياه) والجهات الفاعلة من القطاع الخاص (مثل الزراعة والطاقة والصناعات التحويلية) والمجتمعات المحلية، ما يضمن توافق حوكمة المياه مع القدرة على التكيف مع تغير المناخ والتجارة ومنع النزاعات (مثل وساطة الدائرة الأوروبية للشؤون الخارجية في حوض النيل ودعم الاتحاد الأوروبي لمنظمة حوض نهر السنغال) والتمويل (على سبيل المثال: أداة الجوار والتنمية والتعاون الدولي (أوروبا العالمية) والصندوق الأخضر للمناخ وشراكات التحول العادل للطاقة والبنك الدولي).</w:t>
      </w:r>
    </w:p>
    <w:p w14:paraId="3DA56EF2" w14:textId="77777777" w:rsidR="00DD1E82" w:rsidRPr="008C5A3A" w:rsidRDefault="00DD1E82">
      <w:pPr>
        <w:rPr>
          <w:lang w:val="en-GB"/>
        </w:rPr>
      </w:pPr>
    </w:p>
    <w:p w14:paraId="0E9E16C1" w14:textId="77777777" w:rsidR="00DD1E82" w:rsidRPr="008C5A3A" w:rsidRDefault="00AB55A4">
      <w:pPr>
        <w:pStyle w:val="Heading2"/>
        <w:bidi/>
        <w:rPr>
          <w:rtl/>
        </w:rPr>
      </w:pPr>
      <w:r>
        <w:rPr>
          <w:rFonts w:hint="cs"/>
          <w:rtl/>
        </w:rPr>
        <w:t>كثيرًا ما يشكل تعزيز المؤسسات والحوكمة حجر الأساس لتحقيق الأمن المائي - إذ إن أفضل القوانين أو التقنيات قد تفشل في غياب مؤسسات ذات كفاءة. ويقتضي اعتماد مبادئ الإدارة المتكاملة للموارد المائية (</w:t>
      </w:r>
      <w:r>
        <w:t>IWRM</w:t>
      </w:r>
      <w:r>
        <w:rPr>
          <w:rFonts w:hint="cs"/>
          <w:rtl/>
        </w:rPr>
        <w:t xml:space="preserve">) إدارة المياه بشكل شامل عبر القطاعات والنطاقات، مع الاعتراف بالترابط بين الأنهار وطبقات المياه الجوفية واستخدام الأراضي والنظم البيئية. ويدعو الهدف 6.5 من أهداف التنمية المستدامة للأمم المتحدة إلى الإدارة المتكاملة للموارد المائية على جميع المستويات، ولكن بالمعدلات الحالية سيفوت العالم هذا الهدف لعقود - وعلى المسار الحالي، لن تتحقق الإدارة المستدامة للمياه حتى عام 2049، أي بفارق كبير عن الموعد المستهدف في عام 2030. ولسدِّ هذه الفجوة، يجب على الحكومات توضيح الأدوار والمسؤوليات بين الوكالات (المياه، والزراعة، والطاقة، والبيئة) وإنشاء هيئات تنسيق قوية (مثل المجالس أو اللجان الوطنية المعنية بالمياه). </w:t>
      </w:r>
      <w:r>
        <w:rPr>
          <w:rFonts w:hint="cs"/>
          <w:rtl/>
        </w:rPr>
        <w:lastRenderedPageBreak/>
        <w:t>وغالبًا ما تنطوي الإصلاحات الناجحة على دمج الوكالات المتفرقة في مؤسسة رائدة واحدة للمياه أو إنشاء هيئات على مستوى أحواض الأنهار تتولى تنسيق التخطيط عبر المناطق المختلفة.</w:t>
      </w:r>
    </w:p>
    <w:p w14:paraId="61DB9F9C" w14:textId="77777777" w:rsidR="00DD1E82" w:rsidRPr="008C5A3A" w:rsidRDefault="00AB55A4">
      <w:pPr>
        <w:bidi/>
        <w:jc w:val="center"/>
        <w:rPr>
          <w:rtl/>
        </w:rPr>
      </w:pPr>
      <w:r>
        <w:rPr>
          <w:rFonts w:hint="cs"/>
          <w:rtl/>
        </w:rPr>
        <w:t>_____________</w:t>
      </w:r>
    </w:p>
    <w:sectPr w:rsidR="00DD1E82" w:rsidRPr="008C5A3A" w:rsidSect="004948D9">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A516" w14:textId="77777777" w:rsidR="00E36EE5" w:rsidRDefault="00E36EE5">
      <w:r>
        <w:separator/>
      </w:r>
    </w:p>
  </w:endnote>
  <w:endnote w:type="continuationSeparator" w:id="0">
    <w:p w14:paraId="1812513E" w14:textId="77777777" w:rsidR="00E36EE5" w:rsidRDefault="00E36EE5">
      <w:r>
        <w:continuationSeparator/>
      </w:r>
    </w:p>
  </w:endnote>
  <w:endnote w:type="continuationNotice" w:id="1">
    <w:p w14:paraId="10E9D0CE" w14:textId="77777777" w:rsidR="00E36EE5" w:rsidRDefault="00E36E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D29D" w14:textId="77777777" w:rsidR="004948D9" w:rsidRPr="004948D9" w:rsidRDefault="004948D9" w:rsidP="00494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AF42" w14:textId="0088B281" w:rsidR="00DD1E82" w:rsidRPr="004948D9" w:rsidRDefault="004948D9" w:rsidP="004948D9">
    <w:pPr>
      <w:pStyle w:val="Footer"/>
      <w:bidi/>
      <w:rPr>
        <w:rtl/>
      </w:rPr>
    </w:pPr>
    <w:r>
      <w:t xml:space="preserve">REX/597 – EESC-2025-00737-00-00-PA-TRA (AR) </w:t>
    </w:r>
    <w:r>
      <w:fldChar w:fldCharType="begin"/>
    </w:r>
    <w:r>
      <w:rPr>
        <w:rtl/>
      </w:rPr>
      <w:instrText xml:space="preserve"> </w:instrText>
    </w:r>
    <w:r>
      <w:instrText xml:space="preserve">PAGE  \* Arabic  \* MERGEFORMAT </w:instrText>
    </w:r>
    <w:r>
      <w:fldChar w:fldCharType="separate"/>
    </w:r>
    <w:r w:rsidR="004354D6">
      <w:rPr>
        <w:rFonts w:hint="cs"/>
        <w:rtl/>
      </w:rPr>
      <w:t>1</w:t>
    </w:r>
    <w:r>
      <w:fldChar w:fldCharType="end"/>
    </w:r>
    <w:r>
      <w:rPr>
        <w:rFonts w:hint="cs"/>
        <w:rtl/>
      </w:rPr>
      <w:t>/</w:t>
    </w:r>
    <w:r>
      <w:fldChar w:fldCharType="begin"/>
    </w:r>
    <w:r>
      <w:rPr>
        <w:rtl/>
      </w:rPr>
      <w:instrText xml:space="preserve"> </w:instrText>
    </w:r>
    <w:r>
      <w:instrText xml:space="preserve">NUMPAGES </w:instrText>
    </w:r>
    <w:r>
      <w:fldChar w:fldCharType="separate"/>
    </w:r>
    <w:r w:rsidR="004354D6">
      <w:rPr>
        <w:rFonts w:hint="cs"/>
        <w:rtl/>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95C5" w14:textId="77777777" w:rsidR="004948D9" w:rsidRPr="004948D9" w:rsidRDefault="004948D9" w:rsidP="004948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CA0D" w14:textId="77777777" w:rsidR="00DD1E82" w:rsidRPr="004948D9" w:rsidRDefault="00DD1E82" w:rsidP="004948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5C4C" w14:textId="09536B55" w:rsidR="00DD1E82" w:rsidRPr="004948D9" w:rsidRDefault="004948D9" w:rsidP="004948D9">
    <w:pPr>
      <w:pStyle w:val="Footer"/>
      <w:bidi/>
      <w:rPr>
        <w:rtl/>
      </w:rPr>
    </w:pPr>
    <w:r>
      <w:t xml:space="preserve">REX/597 – EESC-2025-00737-00-00-PA-TRA (AR) </w:t>
    </w:r>
    <w:r>
      <w:fldChar w:fldCharType="begin"/>
    </w:r>
    <w:r>
      <w:rPr>
        <w:rtl/>
      </w:rPr>
      <w:instrText xml:space="preserve"> </w:instrText>
    </w:r>
    <w:r>
      <w:instrText xml:space="preserve">PAGE  \* Arabic  \* MERGEFORMAT </w:instrText>
    </w:r>
    <w:r>
      <w:fldChar w:fldCharType="separate"/>
    </w:r>
    <w:r>
      <w:rPr>
        <w:rFonts w:hint="cs"/>
        <w:rtl/>
      </w:rPr>
      <w:t>12</w:t>
    </w:r>
    <w:r>
      <w:fldChar w:fldCharType="end"/>
    </w:r>
    <w:r>
      <w:rPr>
        <w:rFonts w:hint="cs"/>
        <w:rtl/>
      </w:rPr>
      <w:t>/</w:t>
    </w:r>
    <w:r>
      <w:fldChar w:fldCharType="begin"/>
    </w:r>
    <w:r>
      <w:rPr>
        <w:rtl/>
      </w:rPr>
      <w:instrText xml:space="preserve"> </w:instrText>
    </w:r>
    <w:r>
      <w:instrText xml:space="preserve">NUMPAGES </w:instrText>
    </w:r>
    <w:r>
      <w:fldChar w:fldCharType="separate"/>
    </w:r>
    <w:r>
      <w:rPr>
        <w:rFonts w:hint="cs"/>
        <w:rtl/>
      </w:rPr>
      <w:t>12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EF67" w14:textId="77777777" w:rsidR="00DD1E82" w:rsidRPr="004948D9" w:rsidRDefault="00DD1E82" w:rsidP="00494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73A49" w14:textId="77777777" w:rsidR="00E36EE5" w:rsidRDefault="00E36EE5">
      <w:r>
        <w:separator/>
      </w:r>
    </w:p>
  </w:footnote>
  <w:footnote w:type="continuationSeparator" w:id="0">
    <w:p w14:paraId="7BA666E8" w14:textId="77777777" w:rsidR="00E36EE5" w:rsidRDefault="00E36EE5">
      <w:r>
        <w:continuationSeparator/>
      </w:r>
    </w:p>
  </w:footnote>
  <w:footnote w:type="continuationNotice" w:id="1">
    <w:p w14:paraId="18275798" w14:textId="77777777" w:rsidR="00E36EE5" w:rsidRDefault="00E36EE5">
      <w:pPr>
        <w:spacing w:line="240" w:lineRule="auto"/>
      </w:pPr>
    </w:p>
  </w:footnote>
  <w:footnote w:id="2">
    <w:p w14:paraId="0168C051" w14:textId="7FC08230" w:rsidR="00DD1E82" w:rsidRPr="008C5A3A" w:rsidRDefault="00AB55A4">
      <w:pPr>
        <w:pStyle w:val="FootnoteText"/>
        <w:bidi/>
        <w:rPr>
          <w:rtl/>
        </w:rPr>
      </w:pPr>
      <w:r>
        <w:rPr>
          <w:rStyle w:val="FootnoteReference"/>
          <w:lang w:val="en-GB"/>
        </w:rPr>
        <w:footnoteRef/>
      </w:r>
      <w:r>
        <w:rPr>
          <w:rFonts w:hint="cs"/>
          <w:rtl/>
        </w:rPr>
        <w:tab/>
      </w:r>
      <w:hyperlink r:id="rId1" w:history="1">
        <w:r>
          <w:rPr>
            <w:rFonts w:hint="cs"/>
            <w:rtl/>
          </w:rPr>
          <w:t xml:space="preserve"> </w:t>
        </w:r>
        <w:r>
          <w:rPr>
            <w:rStyle w:val="Hyperlink"/>
          </w:rPr>
          <w:t>https://disasterdisplacement.org/what-we-do</w:t>
        </w:r>
        <w:r>
          <w:rPr>
            <w:rStyle w:val="Hyperlink"/>
            <w:rFonts w:hint="cs"/>
            <w:rtl/>
          </w:rPr>
          <w:t>/</w:t>
        </w:r>
      </w:hyperlink>
      <w:r>
        <w:rPr>
          <w:rFonts w:hint="cs"/>
          <w:rtl/>
        </w:rPr>
        <w:t xml:space="preserve">، وثيقة عمل موظفي المفوضية الأوروبية بعنوان </w:t>
      </w:r>
      <w:r>
        <w:rPr>
          <w:rFonts w:hint="cs"/>
          <w:i/>
          <w:iCs/>
          <w:rtl/>
        </w:rPr>
        <w:t>"معالجة قضايا النزوح والهجرة المرتبطة بالكوارث وتغير المناخ والتدهور البيئي"</w:t>
      </w:r>
      <w:r>
        <w:rPr>
          <w:rFonts w:hint="cs"/>
          <w:rtl/>
        </w:rPr>
        <w:t xml:space="preserve"> تموز/يوليو 2022.</w:t>
      </w:r>
    </w:p>
  </w:footnote>
  <w:footnote w:id="3">
    <w:p w14:paraId="2AA69481" w14:textId="5092D536" w:rsidR="00DD1E82" w:rsidRPr="008C5A3A" w:rsidRDefault="00AB55A4">
      <w:pPr>
        <w:pStyle w:val="FootnoteText"/>
        <w:bidi/>
        <w:rPr>
          <w:rtl/>
        </w:rPr>
      </w:pPr>
      <w:r>
        <w:rPr>
          <w:rStyle w:val="FootnoteReference"/>
          <w:lang w:val="en-GB"/>
        </w:rPr>
        <w:footnoteRef/>
      </w:r>
      <w:r>
        <w:rPr>
          <w:rFonts w:hint="cs"/>
          <w:rtl/>
        </w:rPr>
        <w:tab/>
        <w:t>تُعرب اللجنة الاقتصادية والاجتماعية الأوروبية عن تقديرها لمساهمات الاتحاد من أجل المتوسط ومركز جنيف للمياه ولجنة السياسات الاقتصادية (</w:t>
      </w:r>
      <w:r>
        <w:t>EPC</w:t>
      </w:r>
      <w:r>
        <w:rPr>
          <w:rFonts w:hint="cs"/>
          <w:rtl/>
        </w:rPr>
        <w:t>) ومشروع دعم المياه والبيئة (</w:t>
      </w:r>
      <w:r>
        <w:t>WES</w:t>
      </w:r>
      <w:r>
        <w:rPr>
          <w:rFonts w:hint="cs"/>
          <w:rtl/>
        </w:rPr>
        <w:t>) والعديد من أصحاب المصلحة الآخرين، الذين تمت الإشارة إليهم في هذا النص.</w:t>
      </w:r>
    </w:p>
  </w:footnote>
  <w:footnote w:id="4">
    <w:p w14:paraId="539BF1BB" w14:textId="30BE4D81" w:rsidR="00DD1E82" w:rsidRPr="008C5A3A" w:rsidRDefault="00AB55A4">
      <w:pPr>
        <w:pStyle w:val="FootnoteText"/>
        <w:bidi/>
        <w:rPr>
          <w:rtl/>
        </w:rPr>
      </w:pPr>
      <w:r>
        <w:rPr>
          <w:rStyle w:val="FootnoteReference"/>
          <w:lang w:val="en-GB"/>
        </w:rPr>
        <w:footnoteRef/>
      </w:r>
      <w:r>
        <w:rPr>
          <w:rFonts w:hint="cs"/>
          <w:rtl/>
        </w:rPr>
        <w:tab/>
      </w:r>
      <w:r>
        <w:t>CCMI/247 - Water resilience and the twin transition</w:t>
      </w:r>
      <w:r>
        <w:rPr>
          <w:rFonts w:hint="cs"/>
          <w:rtl/>
        </w:rPr>
        <w:t xml:space="preserve">: </w:t>
      </w:r>
      <w:r>
        <w:t>Industrial approaches addressing the relationship between water, digitalisation and decarbonisation; REX/585 - Water Politics</w:t>
      </w:r>
      <w:r>
        <w:rPr>
          <w:rFonts w:hint="cs"/>
          <w:rtl/>
        </w:rPr>
        <w:t xml:space="preserve">: </w:t>
      </w:r>
      <w:r>
        <w:t>Empowering Youth, Women, and Indigenous and Local Communities; CCMI/224 - Industrial and technological approaches and best practices supporting a water resilient society; CCMI/209 - Umbrella opinion on A call for an EU Blue Deal; REX/570</w:t>
      </w:r>
      <w:r>
        <w:rPr>
          <w:rFonts w:hint="cs"/>
          <w:rtl/>
        </w:rPr>
        <w:t xml:space="preserve"> - سياسة المياه: بين التصحر والتأمين - حان وقت الدبلوماسية الزرقاء؛ </w:t>
      </w:r>
      <w:r>
        <w:t>CCMI/208 - Water-intensive industries and water-efficient technologies; SOC/763 - Access to water: tackling water poverty and its implications for social policy; TEN/804 - Sustainable and resilient water infrastructures and distribution networks; NAT/891 - Sustainable water management and climate emergency: circular and other solutions for the EU agri-food system in a future ‘Blue Deal’; ECO/611 - The economics of an ‘EU Blue deal’; INT/1022 - Water efficient consumption and consumer awareness about their water footprint; NAT/878 - Integrated water management – revised lists of surface and groundwater pollutants; NAT/877 - Review of the Urban Wastewater Treatment Directive; and REX/583 - Youth Involvement in social and civil dialogue in the Mediterranean region</w:t>
      </w:r>
      <w:r>
        <w:rPr>
          <w:rFonts w:hint="cs"/>
          <w:rtl/>
        </w:rPr>
        <w:t>.</w:t>
      </w:r>
    </w:p>
  </w:footnote>
  <w:footnote w:id="5">
    <w:p w14:paraId="2095623F" w14:textId="77777777" w:rsidR="00DD1E82" w:rsidRPr="008C5A3A" w:rsidRDefault="00AB55A4">
      <w:pPr>
        <w:pStyle w:val="FootnoteText"/>
        <w:bidi/>
        <w:rPr>
          <w:rtl/>
        </w:rPr>
      </w:pPr>
      <w:r>
        <w:rPr>
          <w:rStyle w:val="FootnoteReference"/>
          <w:lang w:val="en-GB"/>
        </w:rPr>
        <w:footnoteRef/>
      </w:r>
      <w:r>
        <w:rPr>
          <w:rFonts w:hint="cs"/>
          <w:rtl/>
        </w:rPr>
        <w:tab/>
        <w:t>المنظمة الدولية للهجرة (2019)، مسرد مصطلحات الهجرة، ص 31.</w:t>
      </w:r>
    </w:p>
  </w:footnote>
  <w:footnote w:id="6">
    <w:p w14:paraId="1DE6DBD0" w14:textId="2C9A62C8" w:rsidR="00DD1E82" w:rsidRPr="008C5A3A" w:rsidRDefault="00AB55A4">
      <w:pPr>
        <w:pStyle w:val="FootnoteText"/>
        <w:bidi/>
        <w:rPr>
          <w:rtl/>
        </w:rPr>
      </w:pPr>
      <w:r>
        <w:rPr>
          <w:rStyle w:val="FootnoteReference"/>
          <w:lang w:val="en-GB"/>
        </w:rPr>
        <w:footnoteRef/>
      </w:r>
      <w:r>
        <w:rPr>
          <w:rFonts w:hint="cs"/>
          <w:rtl/>
        </w:rPr>
        <w:tab/>
        <w:t>انظر اتفاق كانكون لعام 2010، الاتفاق العالمي من أجل الهجرة الآمنة والمنظمة والنظامية.</w:t>
      </w:r>
    </w:p>
  </w:footnote>
  <w:footnote w:id="7">
    <w:p w14:paraId="3C8B74A2" w14:textId="77777777" w:rsidR="00DD1E82" w:rsidRPr="008C5A3A" w:rsidRDefault="00AB55A4">
      <w:pPr>
        <w:pStyle w:val="FootnoteText"/>
        <w:tabs>
          <w:tab w:val="left" w:pos="831"/>
        </w:tabs>
        <w:bidi/>
        <w:rPr>
          <w:rtl/>
        </w:rPr>
      </w:pPr>
      <w:r>
        <w:rPr>
          <w:rStyle w:val="FootnoteReference"/>
          <w:lang w:val="en-GB"/>
        </w:rPr>
        <w:footnoteRef/>
      </w:r>
      <w:r>
        <w:rPr>
          <w:rFonts w:hint="cs"/>
          <w:rtl/>
        </w:rPr>
        <w:tab/>
        <w:t>مثل توجيه التأهيل والتوجيه الخاص بالحماية المؤقتة، وكذلك الحماية من الإعادة القسرية في توجيه العودة.</w:t>
      </w:r>
    </w:p>
  </w:footnote>
  <w:footnote w:id="8">
    <w:p w14:paraId="4D063BEC" w14:textId="77777777" w:rsidR="00DD1E82" w:rsidRPr="008C5A3A" w:rsidRDefault="00AB55A4">
      <w:pPr>
        <w:pStyle w:val="FootnoteText"/>
        <w:bidi/>
        <w:rPr>
          <w:rtl/>
        </w:rPr>
      </w:pPr>
      <w:r>
        <w:rPr>
          <w:rStyle w:val="FootnoteReference"/>
          <w:lang w:val="en-GB"/>
        </w:rPr>
        <w:footnoteRef/>
      </w:r>
      <w:r>
        <w:rPr>
          <w:rFonts w:hint="cs"/>
          <w:rtl/>
        </w:rPr>
        <w:tab/>
        <w:t>اتفاقية اللاجئين لعام 1951.</w:t>
      </w:r>
    </w:p>
  </w:footnote>
  <w:footnote w:id="9">
    <w:p w14:paraId="0335BB1C" w14:textId="2C0A6783" w:rsidR="00DD1E82" w:rsidRPr="008C5A3A" w:rsidRDefault="00AB55A4">
      <w:pPr>
        <w:pStyle w:val="FootnoteText"/>
        <w:bidi/>
        <w:rPr>
          <w:rtl/>
        </w:rPr>
      </w:pPr>
      <w:r>
        <w:rPr>
          <w:rStyle w:val="FootnoteReference"/>
          <w:lang w:val="en-GB"/>
        </w:rPr>
        <w:footnoteRef/>
      </w:r>
      <w:r>
        <w:rPr>
          <w:rFonts w:hint="cs"/>
          <w:rtl/>
        </w:rPr>
        <w:tab/>
      </w:r>
      <w:hyperlink r:id="rId2" w:history="1">
        <w:r>
          <w:rPr>
            <w:rStyle w:val="Hyperlink"/>
          </w:rPr>
          <w:t>Addressing displacement and migration related to disasters, climate change and environmental degradation, Echo</w:t>
        </w:r>
      </w:hyperlink>
      <w:r>
        <w:rPr>
          <w:rFonts w:hint="cs"/>
          <w:rtl/>
        </w:rPr>
        <w:t>.</w:t>
      </w:r>
    </w:p>
  </w:footnote>
  <w:footnote w:id="10">
    <w:p w14:paraId="3F57C3A4" w14:textId="2631DFD6" w:rsidR="00DD1E82" w:rsidRPr="008C5A3A" w:rsidRDefault="00AB55A4">
      <w:pPr>
        <w:pStyle w:val="FootnoteText"/>
        <w:bidi/>
        <w:rPr>
          <w:rtl/>
        </w:rPr>
      </w:pPr>
      <w:r>
        <w:rPr>
          <w:rStyle w:val="FootnoteReference"/>
          <w:lang w:val="en-GB"/>
        </w:rPr>
        <w:footnoteRef/>
      </w:r>
      <w:r>
        <w:rPr>
          <w:rFonts w:hint="cs"/>
          <w:rtl/>
        </w:rPr>
        <w:tab/>
      </w:r>
      <w:hyperlink r:id="rId3" w:history="1">
        <w:r>
          <w:rPr>
            <w:rStyle w:val="Hyperlink"/>
          </w:rPr>
          <w:t>https://www.europarl.europa.eu/RegData/etudes/BRIE/2021/698753/EPRS_BRI(2021)698753_EN.pdf</w:t>
        </w:r>
      </w:hyperlink>
      <w:r>
        <w:rPr>
          <w:rFonts w:hint="cs"/>
          <w:rtl/>
        </w:rPr>
        <w:t>.</w:t>
      </w:r>
    </w:p>
  </w:footnote>
  <w:footnote w:id="11">
    <w:p w14:paraId="24F93356" w14:textId="6264E703" w:rsidR="00DD1E82" w:rsidRPr="008C5A3A" w:rsidRDefault="00AB55A4">
      <w:pPr>
        <w:pStyle w:val="FootnoteText"/>
        <w:bidi/>
        <w:rPr>
          <w:rtl/>
        </w:rPr>
      </w:pPr>
      <w:r>
        <w:rPr>
          <w:rStyle w:val="FootnoteReference"/>
          <w:lang w:val="en-GB"/>
        </w:rPr>
        <w:footnoteRef/>
      </w:r>
      <w:r>
        <w:rPr>
          <w:rFonts w:hint="cs"/>
          <w:rtl/>
        </w:rPr>
        <w:tab/>
      </w:r>
      <w:hyperlink r:id="rId4" w:history="1">
        <w:r>
          <w:rPr>
            <w:rStyle w:val="Hyperlink"/>
          </w:rPr>
          <w:t>Addressing displacement and migration related to disasters, climate change and environmental degradation, Echo</w:t>
        </w:r>
      </w:hyperlink>
      <w:r>
        <w:rPr>
          <w:rFonts w:hint="cs"/>
          <w:rtl/>
        </w:rPr>
        <w:t>.</w:t>
      </w:r>
    </w:p>
  </w:footnote>
  <w:footnote w:id="12">
    <w:p w14:paraId="07334309" w14:textId="53FF48DD" w:rsidR="00DD1E82" w:rsidRPr="008C5A3A" w:rsidRDefault="00AB55A4">
      <w:pPr>
        <w:pStyle w:val="FootnoteText"/>
        <w:bidi/>
        <w:rPr>
          <w:rtl/>
        </w:rPr>
      </w:pPr>
      <w:r>
        <w:rPr>
          <w:rStyle w:val="FootnoteReference"/>
          <w:lang w:val="en-GB"/>
        </w:rPr>
        <w:footnoteRef/>
      </w:r>
      <w:r>
        <w:rPr>
          <w:rFonts w:hint="cs"/>
          <w:rtl/>
        </w:rPr>
        <w:tab/>
      </w:r>
      <w:r>
        <w:t>EMN Inform 2023</w:t>
      </w:r>
      <w:r>
        <w:rPr>
          <w:rFonts w:hint="cs"/>
          <w:rtl/>
        </w:rPr>
        <w:t>.</w:t>
      </w:r>
    </w:p>
  </w:footnote>
  <w:footnote w:id="13">
    <w:p w14:paraId="549F6D1C" w14:textId="174F5D2E" w:rsidR="00DD41EC" w:rsidRPr="008C5A3A" w:rsidRDefault="00DD41EC" w:rsidP="00DD41EC">
      <w:pPr>
        <w:pStyle w:val="FootnoteText"/>
        <w:bidi/>
        <w:rPr>
          <w:rtl/>
        </w:rPr>
      </w:pPr>
      <w:r>
        <w:rPr>
          <w:rStyle w:val="FootnoteReference"/>
          <w:lang w:val="en-GB"/>
        </w:rPr>
        <w:footnoteRef/>
      </w:r>
      <w:r>
        <w:rPr>
          <w:rFonts w:hint="cs"/>
          <w:rtl/>
        </w:rPr>
        <w:tab/>
      </w:r>
      <w:hyperlink r:id="rId5" w:history="1">
        <w:r>
          <w:rPr>
            <w:rStyle w:val="Hyperlink"/>
          </w:rPr>
          <w:t>https://www.un.org/en/observances/desertification-day</w:t>
        </w:r>
      </w:hyperlink>
      <w:r>
        <w:rPr>
          <w:rFonts w:hint="cs"/>
          <w:rtl/>
        </w:rPr>
        <w:t>.</w:t>
      </w:r>
    </w:p>
  </w:footnote>
  <w:footnote w:id="14">
    <w:p w14:paraId="45797A27" w14:textId="25F40F7C" w:rsidR="00B54F60" w:rsidRPr="008C5A3A" w:rsidRDefault="00B54F60" w:rsidP="00B54F60">
      <w:pPr>
        <w:pStyle w:val="FootnoteText"/>
        <w:bidi/>
        <w:rPr>
          <w:rtl/>
        </w:rPr>
      </w:pPr>
      <w:r>
        <w:rPr>
          <w:rStyle w:val="FootnoteReference"/>
          <w:lang w:val="en-GB"/>
        </w:rPr>
        <w:footnoteRef/>
      </w:r>
      <w:r>
        <w:rPr>
          <w:rFonts w:hint="cs"/>
          <w:rtl/>
        </w:rPr>
        <w:tab/>
      </w:r>
      <w:hyperlink r:id="rId6" w:history="1">
        <w:r>
          <w:rPr>
            <w:rStyle w:val="Hyperlink"/>
          </w:rPr>
          <w:t>https://sdgs.un.org/partnerships/water-scarcity-and-human-immobility-identifying-internal-migration-patterns-driven</w:t>
        </w:r>
      </w:hyperlink>
      <w:r>
        <w:t xml:space="preserve">; REX/570; </w:t>
      </w:r>
      <w:hyperlink r:id="rId7" w:history="1">
        <w:r>
          <w:rPr>
            <w:rStyle w:val="Hyperlink"/>
          </w:rPr>
          <w:t>https://www.europarl.europa.eu/thinktank/en/document/EPRS_BRI(2021)698753</w:t>
        </w:r>
      </w:hyperlink>
      <w:r>
        <w:rPr>
          <w:rFonts w:hint="cs"/>
          <w:rtl/>
        </w:rPr>
        <w:t>.</w:t>
      </w:r>
    </w:p>
  </w:footnote>
  <w:footnote w:id="15">
    <w:p w14:paraId="7280952B" w14:textId="0FD9A3E4" w:rsidR="00DD1E82" w:rsidRPr="008C5A3A" w:rsidRDefault="00AB55A4">
      <w:pPr>
        <w:bidi/>
        <w:spacing w:after="60" w:line="259" w:lineRule="auto"/>
        <w:ind w:left="567" w:hanging="567"/>
        <w:rPr>
          <w:u w:val="single"/>
          <w:rtl/>
        </w:rPr>
      </w:pPr>
      <w:r>
        <w:rPr>
          <w:rStyle w:val="FootnoteReference"/>
          <w:lang w:val="en-GB"/>
        </w:rPr>
        <w:footnoteRef/>
      </w:r>
      <w:r>
        <w:rPr>
          <w:rFonts w:hint="cs"/>
          <w:rtl/>
        </w:rPr>
        <w:tab/>
      </w:r>
      <w:r>
        <w:rPr>
          <w:sz w:val="16"/>
          <w:szCs w:val="16"/>
        </w:rPr>
        <w:t>European Parliamentary Research Service (EPRS)</w:t>
      </w:r>
      <w:r>
        <w:rPr>
          <w:rFonts w:hint="cs"/>
          <w:sz w:val="16"/>
          <w:szCs w:val="16"/>
          <w:rtl/>
        </w:rPr>
        <w:t xml:space="preserve">, </w:t>
      </w:r>
      <w:r>
        <w:rPr>
          <w:i/>
          <w:iCs/>
          <w:sz w:val="16"/>
          <w:szCs w:val="16"/>
        </w:rPr>
        <w:t>The concept of ‘climate refugee’</w:t>
      </w:r>
      <w:r>
        <w:rPr>
          <w:rFonts w:hint="cs"/>
          <w:sz w:val="16"/>
          <w:szCs w:val="16"/>
          <w:rtl/>
        </w:rPr>
        <w:t xml:space="preserve">, </w:t>
      </w:r>
      <w:r>
        <w:rPr>
          <w:sz w:val="16"/>
          <w:szCs w:val="16"/>
        </w:rPr>
        <w:t>authors</w:t>
      </w:r>
      <w:r>
        <w:rPr>
          <w:rFonts w:hint="cs"/>
          <w:sz w:val="16"/>
          <w:szCs w:val="16"/>
          <w:rtl/>
        </w:rPr>
        <w:t xml:space="preserve">: </w:t>
      </w:r>
      <w:r>
        <w:rPr>
          <w:sz w:val="16"/>
          <w:szCs w:val="16"/>
        </w:rPr>
        <w:t>Joanna Apap with Sami James Harju; Graphics</w:t>
      </w:r>
      <w:r>
        <w:rPr>
          <w:rFonts w:hint="cs"/>
          <w:sz w:val="16"/>
          <w:szCs w:val="16"/>
          <w:rtl/>
        </w:rPr>
        <w:t xml:space="preserve">: </w:t>
      </w:r>
      <w:r>
        <w:rPr>
          <w:sz w:val="16"/>
          <w:szCs w:val="16"/>
        </w:rPr>
        <w:t>Stéphanie Pradier, Samy Chahri</w:t>
      </w:r>
      <w:r>
        <w:rPr>
          <w:rFonts w:hint="cs"/>
          <w:sz w:val="16"/>
          <w:szCs w:val="16"/>
          <w:rtl/>
        </w:rPr>
        <w:t xml:space="preserve">. </w:t>
      </w:r>
      <w:r>
        <w:rPr>
          <w:sz w:val="16"/>
          <w:szCs w:val="16"/>
        </w:rPr>
        <w:t>Members’ Research Service, PE 698.753 – October 2023</w:t>
      </w:r>
      <w:r>
        <w:rPr>
          <w:rFonts w:hint="cs"/>
          <w:sz w:val="16"/>
          <w:szCs w:val="16"/>
          <w:rtl/>
        </w:rPr>
        <w:t>.</w:t>
      </w:r>
    </w:p>
  </w:footnote>
  <w:footnote w:id="16">
    <w:p w14:paraId="1F54AC4E" w14:textId="5AE06F81" w:rsidR="00195BD5" w:rsidRPr="008C5A3A" w:rsidRDefault="00195BD5" w:rsidP="00195BD5">
      <w:pPr>
        <w:pStyle w:val="FootnoteText"/>
        <w:bidi/>
        <w:rPr>
          <w:rtl/>
        </w:rPr>
      </w:pPr>
      <w:r>
        <w:rPr>
          <w:rStyle w:val="FootnoteReference"/>
          <w:lang w:val="en-GB"/>
        </w:rPr>
        <w:footnoteRef/>
      </w:r>
      <w:r>
        <w:rPr>
          <w:rFonts w:hint="cs"/>
          <w:rtl/>
        </w:rPr>
        <w:tab/>
      </w:r>
      <w:hyperlink r:id="rId8" w:history="1">
        <w:r>
          <w:rPr>
            <w:rStyle w:val="Hyperlink"/>
          </w:rPr>
          <w:t>https://journals.ametsoc.org/view/journals/clim/33/14/JCLI-D-19-0910.1.xml</w:t>
        </w:r>
      </w:hyperlink>
      <w:r>
        <w:rPr>
          <w:rFonts w:hint="cs"/>
          <w:rtl/>
        </w:rPr>
        <w:t>.</w:t>
      </w:r>
    </w:p>
  </w:footnote>
  <w:footnote w:id="17">
    <w:p w14:paraId="6A5EB46E" w14:textId="59B417BF" w:rsidR="00DD1E82" w:rsidRPr="008C5A3A" w:rsidRDefault="00AB55A4">
      <w:pPr>
        <w:pStyle w:val="FootnoteText"/>
        <w:bidi/>
        <w:rPr>
          <w:rtl/>
        </w:rPr>
      </w:pPr>
      <w:r>
        <w:rPr>
          <w:rStyle w:val="FootnoteReference"/>
          <w:lang w:val="en-GB"/>
        </w:rPr>
        <w:footnoteRef/>
      </w:r>
      <w:r>
        <w:rPr>
          <w:rFonts w:hint="cs"/>
          <w:rtl/>
        </w:rPr>
        <w:tab/>
        <w:t>الزراعة هي من أكبر القطاعات استهلاكًا للموارد المياه العذبة. ووفقًا للوكالة الأوروبية للبيئة، الزراعة هي القطاع الأكثر استهلاكًا للمياه في الاتحاد الأوروبي، حيث تستهلك 59% من إمدادات المياه، مقارنة بـ 13% للمنازل والخدمات. وقد يؤدي ذلك إلى هدر كبير في المياه وتدهور بيئي كبير.</w:t>
      </w:r>
    </w:p>
  </w:footnote>
  <w:footnote w:id="18">
    <w:p w14:paraId="4E3CC5A3" w14:textId="0A9049A2" w:rsidR="00DD1E82" w:rsidRPr="008C5A3A" w:rsidRDefault="00AB55A4">
      <w:pPr>
        <w:pStyle w:val="FootnoteText"/>
        <w:tabs>
          <w:tab w:val="left" w:pos="655"/>
        </w:tabs>
        <w:bidi/>
        <w:rPr>
          <w:rtl/>
        </w:rPr>
      </w:pPr>
      <w:r>
        <w:rPr>
          <w:rStyle w:val="FootnoteReference"/>
          <w:lang w:val="en-GB"/>
        </w:rPr>
        <w:footnoteRef/>
      </w:r>
      <w:r>
        <w:rPr>
          <w:rFonts w:hint="cs"/>
          <w:rtl/>
        </w:rPr>
        <w:tab/>
        <w:t xml:space="preserve">اقتراح مركز جنيف للمياه، الذي يتوافق أيضًا مع النقطة 1.13 من رأي اللجنة الاقتصادية والاجتماعية الأوروبية </w:t>
      </w:r>
      <w:r>
        <w:t>REX/570</w:t>
      </w:r>
      <w:r>
        <w:rPr>
          <w:rFonts w:hint="cs"/>
          <w:rtl/>
        </w:rPr>
        <w:t>.</w:t>
      </w:r>
    </w:p>
  </w:footnote>
  <w:footnote w:id="19">
    <w:p w14:paraId="0C76EAB7" w14:textId="2CE80D78" w:rsidR="00DD1E82" w:rsidRPr="008C5A3A" w:rsidRDefault="00AB55A4">
      <w:pPr>
        <w:pStyle w:val="FootnoteText"/>
        <w:bidi/>
        <w:rPr>
          <w:rtl/>
        </w:rPr>
      </w:pPr>
      <w:r>
        <w:rPr>
          <w:rStyle w:val="FootnoteReference"/>
          <w:lang w:val="en-GB"/>
        </w:rPr>
        <w:footnoteRef/>
      </w:r>
      <w:r>
        <w:rPr>
          <w:rFonts w:hint="cs"/>
          <w:rtl/>
        </w:rPr>
        <w:tab/>
        <w:t>مضمَّنة في التوجيه الإطاري للمياه في الاتحاد الأوروبي.</w:t>
      </w:r>
    </w:p>
  </w:footnote>
  <w:footnote w:id="20">
    <w:p w14:paraId="4917228E" w14:textId="5C657343" w:rsidR="000A0E63" w:rsidRPr="008C5A3A" w:rsidRDefault="000A0E63">
      <w:pPr>
        <w:pStyle w:val="FootnoteText"/>
        <w:bidi/>
        <w:rPr>
          <w:rtl/>
        </w:rPr>
      </w:pPr>
      <w:r>
        <w:rPr>
          <w:rStyle w:val="FootnoteReference"/>
          <w:lang w:val="en-GB"/>
        </w:rPr>
        <w:footnoteRef/>
      </w:r>
      <w:r>
        <w:rPr>
          <w:rFonts w:hint="cs"/>
          <w:rtl/>
        </w:rPr>
        <w:tab/>
      </w:r>
      <w:hyperlink r:id="rId9" w:history="1">
        <w:r>
          <w:rPr>
            <w:rStyle w:val="Hyperlink"/>
          </w:rPr>
          <w:t>https://ec.europa.eu/regional_policy/policy/cooperation/macro-regional-strategies_en</w:t>
        </w:r>
      </w:hyperlink>
      <w:r>
        <w:rPr>
          <w:rFonts w:hint="cs"/>
          <w:rtl/>
        </w:rPr>
        <w:t>.</w:t>
      </w:r>
    </w:p>
  </w:footnote>
  <w:footnote w:id="21">
    <w:p w14:paraId="179584A5" w14:textId="23B4FCA5" w:rsidR="00DD1E82" w:rsidRPr="008C5A3A" w:rsidRDefault="00AB55A4">
      <w:pPr>
        <w:pStyle w:val="FootnoteText"/>
        <w:bidi/>
        <w:rPr>
          <w:rtl/>
        </w:rPr>
      </w:pPr>
      <w:r>
        <w:rPr>
          <w:rStyle w:val="FootnoteReference"/>
          <w:lang w:val="en-GB"/>
        </w:rPr>
        <w:footnoteRef/>
      </w:r>
      <w:r>
        <w:rPr>
          <w:rFonts w:hint="cs"/>
          <w:rtl/>
        </w:rPr>
        <w:tab/>
        <w:t>تُنسق اللجنة الدولية لحماية نهر الدانوب (</w:t>
      </w:r>
      <w:r>
        <w:t>ICPDR</w:t>
      </w:r>
      <w:r>
        <w:rPr>
          <w:rFonts w:hint="cs"/>
          <w:rtl/>
        </w:rPr>
        <w:t>)، على سبيل المثال، الجهود في 14 بلدًا، ما يضمن التنسيق على مستوى الحوض بأسره في مجالات مكافحة التلوث وإدارة مخاطر الفيضانات والمراقبة الهيدرولوجية. وبالمثل، كان للجنة الدولية لحماية نهر الراين (</w:t>
      </w:r>
      <w:r>
        <w:t>ICPR</w:t>
      </w:r>
      <w:r>
        <w:rPr>
          <w:rFonts w:hint="cs"/>
          <w:rtl/>
        </w:rPr>
        <w:t>) دور فعَّال في تعزيز التعاون بين دول المنبع والمصب، وخاصة في مجال الحد من التلوث وتنظيم استخدام المياه لأغراض صناعية والوقاية من الفيضانات من خلال الاستثمار العابر للحدود في البنية التحتية.</w:t>
      </w:r>
    </w:p>
  </w:footnote>
  <w:footnote w:id="22">
    <w:p w14:paraId="5E0E665C" w14:textId="714D0FF8" w:rsidR="00DD1E82" w:rsidRPr="008C5A3A" w:rsidRDefault="00AB55A4">
      <w:pPr>
        <w:pStyle w:val="FootnoteText"/>
        <w:bidi/>
        <w:rPr>
          <w:rtl/>
        </w:rPr>
      </w:pPr>
      <w:r>
        <w:rPr>
          <w:rStyle w:val="FootnoteReference"/>
          <w:lang w:val="en-GB"/>
        </w:rPr>
        <w:footnoteRef/>
      </w:r>
      <w:r>
        <w:rPr>
          <w:rFonts w:hint="cs"/>
          <w:rtl/>
        </w:rPr>
        <w:tab/>
        <w:t>الاتحاد الأفريقي (2009)، المادة الخامسة من اتفاقية الاتحاد الأفريقي لحماية ومساعدة النازحين داخليًا في أفريقيا (اتفاقية كمبالا). اُعتمدت في مؤتمر القمة الاستثنائي للاتحاد، كمبالا، أوغندا، في 23 تشرين الأول/أكتوبر 2009. دخلت حيز التنفيذ في 6 ديسمبر 2012. مقر الاتحاد الأفريقي، أديس أبابا، إثيوبيا.</w:t>
      </w:r>
    </w:p>
  </w:footnote>
  <w:footnote w:id="23">
    <w:p w14:paraId="6979CF01" w14:textId="346A889E" w:rsidR="00DD1E82" w:rsidRPr="008C5A3A" w:rsidRDefault="00AB55A4">
      <w:pPr>
        <w:pStyle w:val="FootnoteText"/>
        <w:bidi/>
        <w:rPr>
          <w:rtl/>
        </w:rPr>
      </w:pPr>
      <w:r>
        <w:rPr>
          <w:rStyle w:val="FootnoteReference"/>
          <w:lang w:val="en-GB"/>
        </w:rPr>
        <w:footnoteRef/>
      </w:r>
      <w:r>
        <w:rPr>
          <w:rFonts w:hint="cs"/>
          <w:rtl/>
        </w:rPr>
        <w:tab/>
      </w:r>
      <w:r>
        <w:t>EXCOM, Providing International Protection Including Through Complementary Forms of Protection, 2 June 2005, EC/55/SC/CRP.16, available at</w:t>
      </w:r>
      <w:r>
        <w:rPr>
          <w:rFonts w:hint="cs"/>
          <w:rtl/>
        </w:rPr>
        <w:t xml:space="preserve">: </w:t>
      </w:r>
      <w:hyperlink r:id="rId10" w:history="1">
        <w:r>
          <w:rPr>
            <w:rStyle w:val="Hyperlink"/>
          </w:rPr>
          <w:t>http://www.unhcr.org/refworld/docid/47fdfb49d.html</w:t>
        </w:r>
      </w:hyperlink>
      <w:r>
        <w:rPr>
          <w:rFonts w:hint="cs"/>
          <w:rtl/>
        </w:rPr>
        <w:t>.</w:t>
      </w:r>
    </w:p>
  </w:footnote>
  <w:footnote w:id="24">
    <w:p w14:paraId="010755AC" w14:textId="7607E20C" w:rsidR="00DD1E82" w:rsidRPr="008C5A3A" w:rsidRDefault="00AB55A4">
      <w:pPr>
        <w:bidi/>
        <w:ind w:left="567" w:hanging="567"/>
        <w:rPr>
          <w:sz w:val="16"/>
          <w:rtl/>
        </w:rPr>
      </w:pPr>
      <w:r>
        <w:rPr>
          <w:rStyle w:val="FootnoteReference"/>
          <w:lang w:val="en-GB"/>
        </w:rPr>
        <w:footnoteRef/>
      </w:r>
      <w:r>
        <w:rPr>
          <w:rFonts w:hint="cs"/>
          <w:rtl/>
        </w:rPr>
        <w:tab/>
      </w:r>
      <w:r>
        <w:rPr>
          <w:sz w:val="16"/>
          <w:szCs w:val="16"/>
        </w:rPr>
        <w:t>European Economic and Social Committee</w:t>
      </w:r>
      <w:r>
        <w:rPr>
          <w:rFonts w:hint="cs"/>
          <w:sz w:val="16"/>
          <w:szCs w:val="16"/>
          <w:rtl/>
        </w:rPr>
        <w:t xml:space="preserve">, </w:t>
      </w:r>
      <w:r>
        <w:rPr>
          <w:i/>
          <w:iCs/>
          <w:sz w:val="16"/>
          <w:szCs w:val="16"/>
        </w:rPr>
        <w:t>Declaration for an EU Blue Deal</w:t>
      </w:r>
      <w:r>
        <w:rPr>
          <w:rFonts w:hint="cs"/>
          <w:sz w:val="16"/>
          <w:szCs w:val="16"/>
          <w:rtl/>
        </w:rPr>
        <w:t xml:space="preserve">, </w:t>
      </w:r>
      <w:r>
        <w:rPr>
          <w:sz w:val="16"/>
          <w:szCs w:val="16"/>
        </w:rPr>
        <w:t>EESC-2023-81-EN, © European Union, 2023</w:t>
      </w:r>
      <w:r>
        <w:rPr>
          <w:rFonts w:hint="cs"/>
          <w:sz w:val="16"/>
          <w:szCs w:val="16"/>
          <w:rtl/>
        </w:rPr>
        <w:t>.</w:t>
      </w:r>
    </w:p>
  </w:footnote>
  <w:footnote w:id="25">
    <w:p w14:paraId="116E6813" w14:textId="2777DF98" w:rsidR="000A0E63" w:rsidRPr="008C5A3A" w:rsidRDefault="000A0E63">
      <w:pPr>
        <w:pStyle w:val="FootnoteText"/>
        <w:bidi/>
        <w:rPr>
          <w:rtl/>
        </w:rPr>
      </w:pPr>
      <w:r>
        <w:rPr>
          <w:rStyle w:val="FootnoteReference"/>
          <w:lang w:val="en-GB"/>
        </w:rPr>
        <w:footnoteRef/>
      </w:r>
      <w:r>
        <w:rPr>
          <w:rFonts w:hint="cs"/>
          <w:rtl/>
        </w:rPr>
        <w:tab/>
      </w:r>
      <w:r>
        <w:t>INT/1022</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1DCB" w14:textId="77777777" w:rsidR="004948D9" w:rsidRPr="004948D9" w:rsidRDefault="004948D9" w:rsidP="00494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E628" w14:textId="76D8211C" w:rsidR="004948D9" w:rsidRPr="004948D9" w:rsidRDefault="004948D9" w:rsidP="00494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A276" w14:textId="77777777" w:rsidR="004948D9" w:rsidRPr="004948D9" w:rsidRDefault="004948D9" w:rsidP="004948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1EE7A" w14:textId="77777777" w:rsidR="00DD1E82" w:rsidRPr="004948D9" w:rsidRDefault="00DD1E82" w:rsidP="004948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6F03" w14:textId="7D1D244F" w:rsidR="00DD1E82" w:rsidRPr="004948D9" w:rsidRDefault="00DD1E82" w:rsidP="004948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6618" w14:textId="77777777" w:rsidR="00DD1E82" w:rsidRPr="004948D9" w:rsidRDefault="00DD1E82" w:rsidP="00494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F544154"/>
    <w:lvl w:ilvl="0">
      <w:start w:val="1"/>
      <w:numFmt w:val="decimal"/>
      <w:pStyle w:val="Heading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51C246A"/>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CD4929"/>
    <w:multiLevelType w:val="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01E1347"/>
    <w:multiLevelType w:val="multilevel"/>
    <w:tmpl w:val="FFFFFFFF"/>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217CB0"/>
    <w:multiLevelType w:val="multilevel"/>
    <w:tmpl w:val="FFFFFFFF"/>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A099C"/>
    <w:multiLevelType w:val="multilevel"/>
    <w:tmpl w:val="DBD4D35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vertAlign w:val="superscrip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9F32B56"/>
    <w:multiLevelType w:val="multilevel"/>
    <w:tmpl w:val="FFFFFFFF"/>
    <w:lvl w:ilvl="0">
      <w:start w:val="1"/>
      <w:numFmt w:val="decimal"/>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FC27BFB"/>
    <w:multiLevelType w:val="multilevel"/>
    <w:tmpl w:val="FFFFFFFF"/>
    <w:lvl w:ilvl="0">
      <w:start w:val="1"/>
      <w:numFmt w:val="decimal"/>
      <w:lvlText w:val="%1."/>
      <w:lvlJc w:val="left"/>
      <w:rPr>
        <w:rFonts w:cs="Times New Roman" w:hint="default"/>
        <w:b w:val="0"/>
      </w:rPr>
    </w:lvl>
    <w:lvl w:ilvl="1">
      <w:numFmt w:val="bullet"/>
      <w:lvlText w:val="-"/>
      <w:lvlJc w:val="left"/>
      <w:rPr>
        <w:rFonts w:ascii="Calibri" w:eastAsia="Times New Roman" w:hAnsi="Calibri" w:hint="default"/>
        <w:b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8" w15:restartNumberingAfterBreak="0">
    <w:nsid w:val="382776BF"/>
    <w:multiLevelType w:val="hybridMultilevel"/>
    <w:tmpl w:val="FFFFFFFF"/>
    <w:lvl w:ilvl="0" w:tplc="7E54F48E">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8A71EA7"/>
    <w:multiLevelType w:val="hybridMultilevel"/>
    <w:tmpl w:val="FFFFFFFF"/>
    <w:lvl w:ilvl="0" w:tplc="7E54F48E">
      <w:numFmt w:val="bullet"/>
      <w:lvlText w:val="-"/>
      <w:lvlJc w:val="left"/>
      <w:pPr>
        <w:ind w:left="1080" w:hanging="72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464018A"/>
    <w:multiLevelType w:val="hybridMultilevel"/>
    <w:tmpl w:val="D5080E02"/>
    <w:lvl w:ilvl="0" w:tplc="9410B2EE">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5EB1B53"/>
    <w:multiLevelType w:val="hybridMultilevel"/>
    <w:tmpl w:val="0226DCF8"/>
    <w:lvl w:ilvl="0" w:tplc="88C44C18">
      <w:numFmt w:val="bullet"/>
      <w:lvlText w:val="-"/>
      <w:lvlJc w:val="left"/>
      <w:pPr>
        <w:ind w:left="1287" w:hanging="360"/>
      </w:pPr>
      <w:rPr>
        <w:rFonts w:ascii="Calibri" w:eastAsiaTheme="minorEastAsia"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E5C3599"/>
    <w:multiLevelType w:val="hybridMultilevel"/>
    <w:tmpl w:val="FFFFFFFF"/>
    <w:lvl w:ilvl="0" w:tplc="7E54F48E">
      <w:numFmt w:val="bullet"/>
      <w:lvlText w:val="-"/>
      <w:lvlJc w:val="left"/>
      <w:pPr>
        <w:ind w:left="720" w:hanging="360"/>
      </w:pPr>
      <w:rPr>
        <w:rFonts w:ascii="Calibri" w:eastAsia="Times New Roman" w:hAnsi="Calibri" w:hint="default"/>
      </w:rPr>
    </w:lvl>
    <w:lvl w:ilvl="1" w:tplc="8F041726">
      <w:numFmt w:val="bullet"/>
      <w:lvlText w:val=""/>
      <w:lvlJc w:val="left"/>
      <w:pPr>
        <w:ind w:left="1800" w:hanging="720"/>
      </w:pPr>
      <w:rPr>
        <w:rFonts w:ascii="Symbol" w:eastAsia="Times New Roman"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2C3736C"/>
    <w:multiLevelType w:val="hybridMultilevel"/>
    <w:tmpl w:val="680891B8"/>
    <w:lvl w:ilvl="0" w:tplc="F844F74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2EB66D4"/>
    <w:multiLevelType w:val="hybridMultilevel"/>
    <w:tmpl w:val="201672F4"/>
    <w:lvl w:ilvl="0" w:tplc="88C44C18">
      <w:numFmt w:val="bullet"/>
      <w:lvlText w:val="-"/>
      <w:lvlJc w:val="left"/>
      <w:pPr>
        <w:ind w:left="720" w:hanging="360"/>
      </w:pPr>
      <w:rPr>
        <w:rFonts w:ascii="Calibri" w:eastAsiaTheme="minorEastAsia"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79DE1F61"/>
    <w:multiLevelType w:val="multilevel"/>
    <w:tmpl w:val="B18E021E"/>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6"/>
  </w:num>
  <w:num w:numId="4">
    <w:abstractNumId w:val="2"/>
  </w:num>
  <w:num w:numId="5">
    <w:abstractNumId w:val="9"/>
  </w:num>
  <w:num w:numId="6">
    <w:abstractNumId w:val="8"/>
  </w:num>
  <w:num w:numId="7">
    <w:abstractNumId w:val="12"/>
  </w:num>
  <w:num w:numId="8">
    <w:abstractNumId w:val="7"/>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4"/>
  </w:num>
  <w:num w:numId="18">
    <w:abstractNumId w:val="14"/>
  </w:num>
  <w:num w:numId="19">
    <w:abstractNumId w:val="3"/>
  </w:num>
  <w:num w:numId="20">
    <w:abstractNumId w:val="1"/>
  </w:num>
  <w:num w:numId="21">
    <w:abstractNumId w:val="15"/>
  </w:num>
  <w:num w:numId="22">
    <w:abstractNumId w:val="11"/>
  </w:num>
  <w:num w:numId="23">
    <w:abstractNumId w:val="10"/>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8F"/>
    <w:rsid w:val="000012A5"/>
    <w:rsid w:val="00005AB9"/>
    <w:rsid w:val="00005EB9"/>
    <w:rsid w:val="00006E24"/>
    <w:rsid w:val="00007A40"/>
    <w:rsid w:val="00011D33"/>
    <w:rsid w:val="00014C57"/>
    <w:rsid w:val="00020E6E"/>
    <w:rsid w:val="00024122"/>
    <w:rsid w:val="000249F7"/>
    <w:rsid w:val="00031A4B"/>
    <w:rsid w:val="00032F8F"/>
    <w:rsid w:val="00033913"/>
    <w:rsid w:val="00033E5B"/>
    <w:rsid w:val="000357A8"/>
    <w:rsid w:val="000430A6"/>
    <w:rsid w:val="00044923"/>
    <w:rsid w:val="000505C9"/>
    <w:rsid w:val="0005249C"/>
    <w:rsid w:val="000534A5"/>
    <w:rsid w:val="0005607A"/>
    <w:rsid w:val="0005680D"/>
    <w:rsid w:val="00057D38"/>
    <w:rsid w:val="00063FB4"/>
    <w:rsid w:val="0006793E"/>
    <w:rsid w:val="000709E6"/>
    <w:rsid w:val="00071292"/>
    <w:rsid w:val="00072E0F"/>
    <w:rsid w:val="000735E5"/>
    <w:rsid w:val="0007392F"/>
    <w:rsid w:val="000873E9"/>
    <w:rsid w:val="00087B39"/>
    <w:rsid w:val="00094FDA"/>
    <w:rsid w:val="00096502"/>
    <w:rsid w:val="000A078A"/>
    <w:rsid w:val="000A0E63"/>
    <w:rsid w:val="000A49BB"/>
    <w:rsid w:val="000B7936"/>
    <w:rsid w:val="000C3441"/>
    <w:rsid w:val="000C689F"/>
    <w:rsid w:val="000C7F53"/>
    <w:rsid w:val="000D2F8E"/>
    <w:rsid w:val="000E4268"/>
    <w:rsid w:val="000F196B"/>
    <w:rsid w:val="000F5159"/>
    <w:rsid w:val="0010113D"/>
    <w:rsid w:val="00101F68"/>
    <w:rsid w:val="00105361"/>
    <w:rsid w:val="001101F8"/>
    <w:rsid w:val="001103E9"/>
    <w:rsid w:val="0011206F"/>
    <w:rsid w:val="0011656A"/>
    <w:rsid w:val="00116661"/>
    <w:rsid w:val="0012220C"/>
    <w:rsid w:val="00127A26"/>
    <w:rsid w:val="00131276"/>
    <w:rsid w:val="0013504B"/>
    <w:rsid w:val="0013664F"/>
    <w:rsid w:val="00136EA3"/>
    <w:rsid w:val="0013712E"/>
    <w:rsid w:val="00137575"/>
    <w:rsid w:val="00144231"/>
    <w:rsid w:val="00146DBB"/>
    <w:rsid w:val="00150434"/>
    <w:rsid w:val="001517DF"/>
    <w:rsid w:val="00155721"/>
    <w:rsid w:val="0015678B"/>
    <w:rsid w:val="0016503F"/>
    <w:rsid w:val="0016674F"/>
    <w:rsid w:val="00167CA0"/>
    <w:rsid w:val="0017120D"/>
    <w:rsid w:val="001714F6"/>
    <w:rsid w:val="00176168"/>
    <w:rsid w:val="00177158"/>
    <w:rsid w:val="001778F7"/>
    <w:rsid w:val="001808A5"/>
    <w:rsid w:val="00182222"/>
    <w:rsid w:val="00184FD4"/>
    <w:rsid w:val="00186B04"/>
    <w:rsid w:val="00186F1E"/>
    <w:rsid w:val="00190836"/>
    <w:rsid w:val="00193930"/>
    <w:rsid w:val="00195BD5"/>
    <w:rsid w:val="001963A5"/>
    <w:rsid w:val="00196F1E"/>
    <w:rsid w:val="00197FCA"/>
    <w:rsid w:val="001A27DB"/>
    <w:rsid w:val="001A6852"/>
    <w:rsid w:val="001B286A"/>
    <w:rsid w:val="001B2D02"/>
    <w:rsid w:val="001B30D4"/>
    <w:rsid w:val="001B3647"/>
    <w:rsid w:val="001B5BC3"/>
    <w:rsid w:val="001B611F"/>
    <w:rsid w:val="001B6506"/>
    <w:rsid w:val="001B77FA"/>
    <w:rsid w:val="001C0ABE"/>
    <w:rsid w:val="001C2B90"/>
    <w:rsid w:val="001C5852"/>
    <w:rsid w:val="001D0C58"/>
    <w:rsid w:val="001D45F0"/>
    <w:rsid w:val="001E4A33"/>
    <w:rsid w:val="001E5C27"/>
    <w:rsid w:val="001E70DC"/>
    <w:rsid w:val="001F602B"/>
    <w:rsid w:val="001F6AC8"/>
    <w:rsid w:val="001F75D8"/>
    <w:rsid w:val="002032D9"/>
    <w:rsid w:val="002037D5"/>
    <w:rsid w:val="002068C7"/>
    <w:rsid w:val="00206F90"/>
    <w:rsid w:val="00211EE0"/>
    <w:rsid w:val="00212B03"/>
    <w:rsid w:val="002131AE"/>
    <w:rsid w:val="00215C10"/>
    <w:rsid w:val="00215C2D"/>
    <w:rsid w:val="00216E29"/>
    <w:rsid w:val="00224D88"/>
    <w:rsid w:val="002252C4"/>
    <w:rsid w:val="00227A8F"/>
    <w:rsid w:val="0023183E"/>
    <w:rsid w:val="00235138"/>
    <w:rsid w:val="0023752F"/>
    <w:rsid w:val="00240622"/>
    <w:rsid w:val="00243E36"/>
    <w:rsid w:val="0024540B"/>
    <w:rsid w:val="00245EF4"/>
    <w:rsid w:val="00246147"/>
    <w:rsid w:val="00250E11"/>
    <w:rsid w:val="00251383"/>
    <w:rsid w:val="002522C9"/>
    <w:rsid w:val="00252A21"/>
    <w:rsid w:val="00253E4F"/>
    <w:rsid w:val="002542E4"/>
    <w:rsid w:val="00260AF3"/>
    <w:rsid w:val="00261053"/>
    <w:rsid w:val="00261165"/>
    <w:rsid w:val="00262FDE"/>
    <w:rsid w:val="00263629"/>
    <w:rsid w:val="00271EF3"/>
    <w:rsid w:val="00273705"/>
    <w:rsid w:val="002769BD"/>
    <w:rsid w:val="00276A75"/>
    <w:rsid w:val="002809EA"/>
    <w:rsid w:val="0028237C"/>
    <w:rsid w:val="00284962"/>
    <w:rsid w:val="00284FEC"/>
    <w:rsid w:val="00287B0E"/>
    <w:rsid w:val="002A0B53"/>
    <w:rsid w:val="002A0EEF"/>
    <w:rsid w:val="002A4A92"/>
    <w:rsid w:val="002A562C"/>
    <w:rsid w:val="002A643E"/>
    <w:rsid w:val="002A76F9"/>
    <w:rsid w:val="002B2DF7"/>
    <w:rsid w:val="002B38F8"/>
    <w:rsid w:val="002B6A29"/>
    <w:rsid w:val="002C1DB1"/>
    <w:rsid w:val="002C3BF4"/>
    <w:rsid w:val="002C749F"/>
    <w:rsid w:val="002D0742"/>
    <w:rsid w:val="002D42AC"/>
    <w:rsid w:val="002E7B33"/>
    <w:rsid w:val="002F059B"/>
    <w:rsid w:val="002F5B0B"/>
    <w:rsid w:val="00300924"/>
    <w:rsid w:val="00300F79"/>
    <w:rsid w:val="0030596E"/>
    <w:rsid w:val="003073C3"/>
    <w:rsid w:val="00321124"/>
    <w:rsid w:val="00323637"/>
    <w:rsid w:val="00324E8A"/>
    <w:rsid w:val="00331D87"/>
    <w:rsid w:val="00332850"/>
    <w:rsid w:val="00333E76"/>
    <w:rsid w:val="00334478"/>
    <w:rsid w:val="003346B4"/>
    <w:rsid w:val="00334AE6"/>
    <w:rsid w:val="003365D0"/>
    <w:rsid w:val="003423F2"/>
    <w:rsid w:val="00342D4A"/>
    <w:rsid w:val="003439AB"/>
    <w:rsid w:val="0035034C"/>
    <w:rsid w:val="00354695"/>
    <w:rsid w:val="0035549B"/>
    <w:rsid w:val="00355769"/>
    <w:rsid w:val="00363CD0"/>
    <w:rsid w:val="003755C8"/>
    <w:rsid w:val="00375687"/>
    <w:rsid w:val="00380AE0"/>
    <w:rsid w:val="00380F37"/>
    <w:rsid w:val="00383324"/>
    <w:rsid w:val="00387A75"/>
    <w:rsid w:val="003904FD"/>
    <w:rsid w:val="00394254"/>
    <w:rsid w:val="00394A32"/>
    <w:rsid w:val="003A6FB4"/>
    <w:rsid w:val="003A7BA4"/>
    <w:rsid w:val="003A7F3F"/>
    <w:rsid w:val="003B0C32"/>
    <w:rsid w:val="003B3451"/>
    <w:rsid w:val="003C2BFB"/>
    <w:rsid w:val="003C436B"/>
    <w:rsid w:val="003C5337"/>
    <w:rsid w:val="003C5F92"/>
    <w:rsid w:val="003D0D1E"/>
    <w:rsid w:val="003D1524"/>
    <w:rsid w:val="003D49CB"/>
    <w:rsid w:val="003D7A8C"/>
    <w:rsid w:val="003D7C00"/>
    <w:rsid w:val="003E114B"/>
    <w:rsid w:val="003E56E5"/>
    <w:rsid w:val="003E7E60"/>
    <w:rsid w:val="003F00D4"/>
    <w:rsid w:val="003F2209"/>
    <w:rsid w:val="003F3D39"/>
    <w:rsid w:val="003F49AB"/>
    <w:rsid w:val="003F646A"/>
    <w:rsid w:val="003F6761"/>
    <w:rsid w:val="003F6A0A"/>
    <w:rsid w:val="004024F5"/>
    <w:rsid w:val="00402DE1"/>
    <w:rsid w:val="00403D8B"/>
    <w:rsid w:val="00404968"/>
    <w:rsid w:val="004058F1"/>
    <w:rsid w:val="00407DF2"/>
    <w:rsid w:val="00407E7D"/>
    <w:rsid w:val="004111A1"/>
    <w:rsid w:val="0041283D"/>
    <w:rsid w:val="00413AB4"/>
    <w:rsid w:val="00421373"/>
    <w:rsid w:val="00421FB7"/>
    <w:rsid w:val="004235D0"/>
    <w:rsid w:val="0042763B"/>
    <w:rsid w:val="0043024C"/>
    <w:rsid w:val="00434F06"/>
    <w:rsid w:val="004354D6"/>
    <w:rsid w:val="00436706"/>
    <w:rsid w:val="004418C7"/>
    <w:rsid w:val="004426FB"/>
    <w:rsid w:val="00443D38"/>
    <w:rsid w:val="00443E2C"/>
    <w:rsid w:val="004474B6"/>
    <w:rsid w:val="00450E7A"/>
    <w:rsid w:val="00456AF8"/>
    <w:rsid w:val="00470B15"/>
    <w:rsid w:val="0047321C"/>
    <w:rsid w:val="00475869"/>
    <w:rsid w:val="00475A77"/>
    <w:rsid w:val="004866A9"/>
    <w:rsid w:val="004874F7"/>
    <w:rsid w:val="0048754F"/>
    <w:rsid w:val="00492774"/>
    <w:rsid w:val="00493D37"/>
    <w:rsid w:val="004948D9"/>
    <w:rsid w:val="00496D7A"/>
    <w:rsid w:val="004A1883"/>
    <w:rsid w:val="004A31BC"/>
    <w:rsid w:val="004A3F1A"/>
    <w:rsid w:val="004A3F45"/>
    <w:rsid w:val="004A5738"/>
    <w:rsid w:val="004B0002"/>
    <w:rsid w:val="004B1AFA"/>
    <w:rsid w:val="004B22E5"/>
    <w:rsid w:val="004B2B74"/>
    <w:rsid w:val="004B39B8"/>
    <w:rsid w:val="004B3CD3"/>
    <w:rsid w:val="004B4CDF"/>
    <w:rsid w:val="004B7088"/>
    <w:rsid w:val="004C4D12"/>
    <w:rsid w:val="004C5740"/>
    <w:rsid w:val="004C5B76"/>
    <w:rsid w:val="004D02CD"/>
    <w:rsid w:val="004D0B24"/>
    <w:rsid w:val="004D1FEE"/>
    <w:rsid w:val="004D4B90"/>
    <w:rsid w:val="004D6B95"/>
    <w:rsid w:val="004D7F41"/>
    <w:rsid w:val="004E03A2"/>
    <w:rsid w:val="004E060E"/>
    <w:rsid w:val="004E317E"/>
    <w:rsid w:val="004E3954"/>
    <w:rsid w:val="004E3961"/>
    <w:rsid w:val="004E5856"/>
    <w:rsid w:val="004F0B2A"/>
    <w:rsid w:val="004F1887"/>
    <w:rsid w:val="004F2330"/>
    <w:rsid w:val="004F53C6"/>
    <w:rsid w:val="004F55C6"/>
    <w:rsid w:val="004F69DB"/>
    <w:rsid w:val="004F6B87"/>
    <w:rsid w:val="00501A20"/>
    <w:rsid w:val="00501C2D"/>
    <w:rsid w:val="00502637"/>
    <w:rsid w:val="0050412F"/>
    <w:rsid w:val="00507E6B"/>
    <w:rsid w:val="00511140"/>
    <w:rsid w:val="00513CFE"/>
    <w:rsid w:val="005151E3"/>
    <w:rsid w:val="00523B6A"/>
    <w:rsid w:val="00524BDE"/>
    <w:rsid w:val="005252BE"/>
    <w:rsid w:val="00525F6C"/>
    <w:rsid w:val="00526938"/>
    <w:rsid w:val="00533C04"/>
    <w:rsid w:val="005405C8"/>
    <w:rsid w:val="00540847"/>
    <w:rsid w:val="00543046"/>
    <w:rsid w:val="00546AB4"/>
    <w:rsid w:val="0054777C"/>
    <w:rsid w:val="005514E5"/>
    <w:rsid w:val="00563988"/>
    <w:rsid w:val="00563C84"/>
    <w:rsid w:val="00566D50"/>
    <w:rsid w:val="005762F6"/>
    <w:rsid w:val="00580BAA"/>
    <w:rsid w:val="00584FBE"/>
    <w:rsid w:val="00585483"/>
    <w:rsid w:val="00587378"/>
    <w:rsid w:val="00587C05"/>
    <w:rsid w:val="00590AAB"/>
    <w:rsid w:val="005938C3"/>
    <w:rsid w:val="0059468C"/>
    <w:rsid w:val="00595125"/>
    <w:rsid w:val="00596F21"/>
    <w:rsid w:val="005A51D5"/>
    <w:rsid w:val="005B1CDD"/>
    <w:rsid w:val="005B1E19"/>
    <w:rsid w:val="005B55FC"/>
    <w:rsid w:val="005C0169"/>
    <w:rsid w:val="005C0BE8"/>
    <w:rsid w:val="005C2D5E"/>
    <w:rsid w:val="005C309B"/>
    <w:rsid w:val="005C3B81"/>
    <w:rsid w:val="005C650C"/>
    <w:rsid w:val="005D086C"/>
    <w:rsid w:val="005D11D3"/>
    <w:rsid w:val="005D1D5B"/>
    <w:rsid w:val="005D25B7"/>
    <w:rsid w:val="005D4E1F"/>
    <w:rsid w:val="005D4FB3"/>
    <w:rsid w:val="005E2F07"/>
    <w:rsid w:val="005E2FEA"/>
    <w:rsid w:val="005E57B6"/>
    <w:rsid w:val="005F314B"/>
    <w:rsid w:val="005F6602"/>
    <w:rsid w:val="00610D95"/>
    <w:rsid w:val="00611AF2"/>
    <w:rsid w:val="0061212B"/>
    <w:rsid w:val="006127AF"/>
    <w:rsid w:val="00613A98"/>
    <w:rsid w:val="00615489"/>
    <w:rsid w:val="00615FB2"/>
    <w:rsid w:val="00617BD1"/>
    <w:rsid w:val="00617CE8"/>
    <w:rsid w:val="00622E6D"/>
    <w:rsid w:val="0062517E"/>
    <w:rsid w:val="00626AF3"/>
    <w:rsid w:val="006278A0"/>
    <w:rsid w:val="0063095F"/>
    <w:rsid w:val="00631CBD"/>
    <w:rsid w:val="006341A3"/>
    <w:rsid w:val="006346E6"/>
    <w:rsid w:val="0063704F"/>
    <w:rsid w:val="00642310"/>
    <w:rsid w:val="00646AC2"/>
    <w:rsid w:val="00650390"/>
    <w:rsid w:val="00654DAB"/>
    <w:rsid w:val="006579DF"/>
    <w:rsid w:val="00661AA4"/>
    <w:rsid w:val="0066204A"/>
    <w:rsid w:val="00670E3C"/>
    <w:rsid w:val="0067644A"/>
    <w:rsid w:val="00677F57"/>
    <w:rsid w:val="00681088"/>
    <w:rsid w:val="00693625"/>
    <w:rsid w:val="0069577E"/>
    <w:rsid w:val="0069634B"/>
    <w:rsid w:val="00696623"/>
    <w:rsid w:val="006A04E9"/>
    <w:rsid w:val="006A0825"/>
    <w:rsid w:val="006A1F7C"/>
    <w:rsid w:val="006A4A03"/>
    <w:rsid w:val="006A7543"/>
    <w:rsid w:val="006B725C"/>
    <w:rsid w:val="006C273D"/>
    <w:rsid w:val="006C4469"/>
    <w:rsid w:val="006C5C4F"/>
    <w:rsid w:val="006C6282"/>
    <w:rsid w:val="006C6679"/>
    <w:rsid w:val="006C762A"/>
    <w:rsid w:val="006D5FF9"/>
    <w:rsid w:val="006E0772"/>
    <w:rsid w:val="006E0F86"/>
    <w:rsid w:val="006F0B15"/>
    <w:rsid w:val="006F0DCC"/>
    <w:rsid w:val="006F6743"/>
    <w:rsid w:val="00703DF9"/>
    <w:rsid w:val="007048EB"/>
    <w:rsid w:val="00704FBB"/>
    <w:rsid w:val="00705973"/>
    <w:rsid w:val="0070726A"/>
    <w:rsid w:val="0071226B"/>
    <w:rsid w:val="00717040"/>
    <w:rsid w:val="00723E39"/>
    <w:rsid w:val="00741377"/>
    <w:rsid w:val="00746E64"/>
    <w:rsid w:val="00752017"/>
    <w:rsid w:val="00752BBE"/>
    <w:rsid w:val="00752F12"/>
    <w:rsid w:val="00760915"/>
    <w:rsid w:val="007622A7"/>
    <w:rsid w:val="00770034"/>
    <w:rsid w:val="00770ACA"/>
    <w:rsid w:val="00771691"/>
    <w:rsid w:val="007750A2"/>
    <w:rsid w:val="00775B3C"/>
    <w:rsid w:val="007802CE"/>
    <w:rsid w:val="00781312"/>
    <w:rsid w:val="007817D6"/>
    <w:rsid w:val="00781996"/>
    <w:rsid w:val="00781E1C"/>
    <w:rsid w:val="0078334E"/>
    <w:rsid w:val="00787912"/>
    <w:rsid w:val="0079177A"/>
    <w:rsid w:val="00794836"/>
    <w:rsid w:val="007948D5"/>
    <w:rsid w:val="00795C52"/>
    <w:rsid w:val="00796CC8"/>
    <w:rsid w:val="007A15C9"/>
    <w:rsid w:val="007A6676"/>
    <w:rsid w:val="007A7296"/>
    <w:rsid w:val="007B7FF5"/>
    <w:rsid w:val="007C0033"/>
    <w:rsid w:val="007C3FC6"/>
    <w:rsid w:val="007C47E6"/>
    <w:rsid w:val="007D2CE9"/>
    <w:rsid w:val="007D4FED"/>
    <w:rsid w:val="007D54C2"/>
    <w:rsid w:val="007D6152"/>
    <w:rsid w:val="007D69DA"/>
    <w:rsid w:val="007D70B1"/>
    <w:rsid w:val="007D7140"/>
    <w:rsid w:val="007E1CDB"/>
    <w:rsid w:val="007E408C"/>
    <w:rsid w:val="007E4423"/>
    <w:rsid w:val="007E50BF"/>
    <w:rsid w:val="007E7E21"/>
    <w:rsid w:val="007F0460"/>
    <w:rsid w:val="007F0DA2"/>
    <w:rsid w:val="007F39CE"/>
    <w:rsid w:val="007F5E0D"/>
    <w:rsid w:val="007F6F44"/>
    <w:rsid w:val="00801085"/>
    <w:rsid w:val="00801A89"/>
    <w:rsid w:val="00804457"/>
    <w:rsid w:val="008055E9"/>
    <w:rsid w:val="00812061"/>
    <w:rsid w:val="00812138"/>
    <w:rsid w:val="0081419B"/>
    <w:rsid w:val="008151F2"/>
    <w:rsid w:val="0081777A"/>
    <w:rsid w:val="00820301"/>
    <w:rsid w:val="008210E0"/>
    <w:rsid w:val="00824079"/>
    <w:rsid w:val="00825BE6"/>
    <w:rsid w:val="00831F0A"/>
    <w:rsid w:val="008324D4"/>
    <w:rsid w:val="00833A78"/>
    <w:rsid w:val="008356A0"/>
    <w:rsid w:val="00841E46"/>
    <w:rsid w:val="008457CA"/>
    <w:rsid w:val="0084585F"/>
    <w:rsid w:val="008462E8"/>
    <w:rsid w:val="00847200"/>
    <w:rsid w:val="00853E53"/>
    <w:rsid w:val="0085535C"/>
    <w:rsid w:val="00855EC0"/>
    <w:rsid w:val="0086159A"/>
    <w:rsid w:val="00862048"/>
    <w:rsid w:val="00864D76"/>
    <w:rsid w:val="008656C9"/>
    <w:rsid w:val="0086711C"/>
    <w:rsid w:val="00867535"/>
    <w:rsid w:val="0087490B"/>
    <w:rsid w:val="00875C5B"/>
    <w:rsid w:val="008768BE"/>
    <w:rsid w:val="0088041C"/>
    <w:rsid w:val="00883C5F"/>
    <w:rsid w:val="00885844"/>
    <w:rsid w:val="0089102A"/>
    <w:rsid w:val="0089127E"/>
    <w:rsid w:val="00891C7D"/>
    <w:rsid w:val="00892FA7"/>
    <w:rsid w:val="00896684"/>
    <w:rsid w:val="008A3301"/>
    <w:rsid w:val="008A4DF1"/>
    <w:rsid w:val="008A5636"/>
    <w:rsid w:val="008B125E"/>
    <w:rsid w:val="008B241C"/>
    <w:rsid w:val="008B26F8"/>
    <w:rsid w:val="008B2F1C"/>
    <w:rsid w:val="008B408B"/>
    <w:rsid w:val="008B4F11"/>
    <w:rsid w:val="008B5167"/>
    <w:rsid w:val="008C2362"/>
    <w:rsid w:val="008C3049"/>
    <w:rsid w:val="008C5A3A"/>
    <w:rsid w:val="008C74D9"/>
    <w:rsid w:val="008D2871"/>
    <w:rsid w:val="008D41D7"/>
    <w:rsid w:val="008D4AE9"/>
    <w:rsid w:val="008D505B"/>
    <w:rsid w:val="008D5CF3"/>
    <w:rsid w:val="008D7D39"/>
    <w:rsid w:val="008E4574"/>
    <w:rsid w:val="008F101A"/>
    <w:rsid w:val="008F4016"/>
    <w:rsid w:val="008F42FE"/>
    <w:rsid w:val="008F4A00"/>
    <w:rsid w:val="008F5402"/>
    <w:rsid w:val="008F639F"/>
    <w:rsid w:val="0090053A"/>
    <w:rsid w:val="00901C2A"/>
    <w:rsid w:val="00901EE1"/>
    <w:rsid w:val="00904D28"/>
    <w:rsid w:val="009118C7"/>
    <w:rsid w:val="0091352B"/>
    <w:rsid w:val="00920BA1"/>
    <w:rsid w:val="009225B6"/>
    <w:rsid w:val="00925397"/>
    <w:rsid w:val="0093302F"/>
    <w:rsid w:val="00933A21"/>
    <w:rsid w:val="00933C85"/>
    <w:rsid w:val="00934C10"/>
    <w:rsid w:val="0093662A"/>
    <w:rsid w:val="00940426"/>
    <w:rsid w:val="0094060C"/>
    <w:rsid w:val="00941D3E"/>
    <w:rsid w:val="00942C4B"/>
    <w:rsid w:val="00944196"/>
    <w:rsid w:val="00945E05"/>
    <w:rsid w:val="00953478"/>
    <w:rsid w:val="009606A5"/>
    <w:rsid w:val="009627B5"/>
    <w:rsid w:val="00962F1F"/>
    <w:rsid w:val="00965304"/>
    <w:rsid w:val="009706FC"/>
    <w:rsid w:val="00971293"/>
    <w:rsid w:val="00973A3B"/>
    <w:rsid w:val="0097425E"/>
    <w:rsid w:val="00977B86"/>
    <w:rsid w:val="00983EAE"/>
    <w:rsid w:val="0098760B"/>
    <w:rsid w:val="00992909"/>
    <w:rsid w:val="009A11DD"/>
    <w:rsid w:val="009A2DED"/>
    <w:rsid w:val="009B30AA"/>
    <w:rsid w:val="009B5197"/>
    <w:rsid w:val="009B5217"/>
    <w:rsid w:val="009C05FC"/>
    <w:rsid w:val="009C3685"/>
    <w:rsid w:val="009C48DE"/>
    <w:rsid w:val="009C4953"/>
    <w:rsid w:val="009C5108"/>
    <w:rsid w:val="009D2095"/>
    <w:rsid w:val="009D60D9"/>
    <w:rsid w:val="009E1E1E"/>
    <w:rsid w:val="009E2CEB"/>
    <w:rsid w:val="009E33E3"/>
    <w:rsid w:val="009E7F16"/>
    <w:rsid w:val="009F1E65"/>
    <w:rsid w:val="009F27F8"/>
    <w:rsid w:val="009F36D7"/>
    <w:rsid w:val="009F5052"/>
    <w:rsid w:val="009F59BA"/>
    <w:rsid w:val="009F5CBF"/>
    <w:rsid w:val="00A01990"/>
    <w:rsid w:val="00A03083"/>
    <w:rsid w:val="00A04C85"/>
    <w:rsid w:val="00A100F0"/>
    <w:rsid w:val="00A104A6"/>
    <w:rsid w:val="00A156E6"/>
    <w:rsid w:val="00A16427"/>
    <w:rsid w:val="00A177C5"/>
    <w:rsid w:val="00A27D86"/>
    <w:rsid w:val="00A30A3D"/>
    <w:rsid w:val="00A311B7"/>
    <w:rsid w:val="00A33151"/>
    <w:rsid w:val="00A345D5"/>
    <w:rsid w:val="00A35CD3"/>
    <w:rsid w:val="00A366C4"/>
    <w:rsid w:val="00A36970"/>
    <w:rsid w:val="00A41EB4"/>
    <w:rsid w:val="00A44BFF"/>
    <w:rsid w:val="00A45381"/>
    <w:rsid w:val="00A457B5"/>
    <w:rsid w:val="00A474DD"/>
    <w:rsid w:val="00A47625"/>
    <w:rsid w:val="00A501E3"/>
    <w:rsid w:val="00A50F0C"/>
    <w:rsid w:val="00A54ED9"/>
    <w:rsid w:val="00A56441"/>
    <w:rsid w:val="00A63ABE"/>
    <w:rsid w:val="00A677C0"/>
    <w:rsid w:val="00A70994"/>
    <w:rsid w:val="00A718B6"/>
    <w:rsid w:val="00A736DD"/>
    <w:rsid w:val="00A76D17"/>
    <w:rsid w:val="00A82869"/>
    <w:rsid w:val="00A8758C"/>
    <w:rsid w:val="00A92728"/>
    <w:rsid w:val="00AA127E"/>
    <w:rsid w:val="00AA15BE"/>
    <w:rsid w:val="00AA19AE"/>
    <w:rsid w:val="00AA28DE"/>
    <w:rsid w:val="00AA423D"/>
    <w:rsid w:val="00AA6A95"/>
    <w:rsid w:val="00AB10DE"/>
    <w:rsid w:val="00AB358A"/>
    <w:rsid w:val="00AB3668"/>
    <w:rsid w:val="00AB55A4"/>
    <w:rsid w:val="00AB5ED7"/>
    <w:rsid w:val="00AC0B4C"/>
    <w:rsid w:val="00AC4458"/>
    <w:rsid w:val="00AC58D1"/>
    <w:rsid w:val="00AC760F"/>
    <w:rsid w:val="00AD0AEE"/>
    <w:rsid w:val="00AD2736"/>
    <w:rsid w:val="00AD49E3"/>
    <w:rsid w:val="00AD4B4F"/>
    <w:rsid w:val="00AE73E7"/>
    <w:rsid w:val="00AF0616"/>
    <w:rsid w:val="00AF0E28"/>
    <w:rsid w:val="00AF0E72"/>
    <w:rsid w:val="00AF3AFB"/>
    <w:rsid w:val="00AF6F9B"/>
    <w:rsid w:val="00B00724"/>
    <w:rsid w:val="00B01409"/>
    <w:rsid w:val="00B10050"/>
    <w:rsid w:val="00B10DBD"/>
    <w:rsid w:val="00B150FF"/>
    <w:rsid w:val="00B15629"/>
    <w:rsid w:val="00B17EA4"/>
    <w:rsid w:val="00B2372C"/>
    <w:rsid w:val="00B3233A"/>
    <w:rsid w:val="00B32F70"/>
    <w:rsid w:val="00B33717"/>
    <w:rsid w:val="00B373D0"/>
    <w:rsid w:val="00B43AAA"/>
    <w:rsid w:val="00B43FBB"/>
    <w:rsid w:val="00B44446"/>
    <w:rsid w:val="00B5053B"/>
    <w:rsid w:val="00B53139"/>
    <w:rsid w:val="00B54F60"/>
    <w:rsid w:val="00B562CE"/>
    <w:rsid w:val="00B62DE2"/>
    <w:rsid w:val="00B74417"/>
    <w:rsid w:val="00B765AB"/>
    <w:rsid w:val="00B77246"/>
    <w:rsid w:val="00B7788D"/>
    <w:rsid w:val="00B77BF3"/>
    <w:rsid w:val="00B8028F"/>
    <w:rsid w:val="00B866CD"/>
    <w:rsid w:val="00B93034"/>
    <w:rsid w:val="00B93A81"/>
    <w:rsid w:val="00B96C2A"/>
    <w:rsid w:val="00B97C5D"/>
    <w:rsid w:val="00BA1290"/>
    <w:rsid w:val="00BA1711"/>
    <w:rsid w:val="00BA27D9"/>
    <w:rsid w:val="00BB2792"/>
    <w:rsid w:val="00BB2FE7"/>
    <w:rsid w:val="00BB3C37"/>
    <w:rsid w:val="00BB72D6"/>
    <w:rsid w:val="00BB76BF"/>
    <w:rsid w:val="00BC16A7"/>
    <w:rsid w:val="00BC1AD1"/>
    <w:rsid w:val="00BC1D82"/>
    <w:rsid w:val="00BC2142"/>
    <w:rsid w:val="00BC4A58"/>
    <w:rsid w:val="00BC613B"/>
    <w:rsid w:val="00BD51D9"/>
    <w:rsid w:val="00BD64E2"/>
    <w:rsid w:val="00BE4995"/>
    <w:rsid w:val="00BF14F7"/>
    <w:rsid w:val="00BF429A"/>
    <w:rsid w:val="00BF4E63"/>
    <w:rsid w:val="00BF4EBB"/>
    <w:rsid w:val="00BF62BE"/>
    <w:rsid w:val="00C0043A"/>
    <w:rsid w:val="00C031D0"/>
    <w:rsid w:val="00C07126"/>
    <w:rsid w:val="00C0736A"/>
    <w:rsid w:val="00C12A51"/>
    <w:rsid w:val="00C16853"/>
    <w:rsid w:val="00C17D45"/>
    <w:rsid w:val="00C23C8E"/>
    <w:rsid w:val="00C25CF4"/>
    <w:rsid w:val="00C263F0"/>
    <w:rsid w:val="00C33D41"/>
    <w:rsid w:val="00C340D7"/>
    <w:rsid w:val="00C356F7"/>
    <w:rsid w:val="00C36E63"/>
    <w:rsid w:val="00C40116"/>
    <w:rsid w:val="00C40AFD"/>
    <w:rsid w:val="00C41E20"/>
    <w:rsid w:val="00C42E3E"/>
    <w:rsid w:val="00C51C13"/>
    <w:rsid w:val="00C525A5"/>
    <w:rsid w:val="00C5300F"/>
    <w:rsid w:val="00C54594"/>
    <w:rsid w:val="00C56B7A"/>
    <w:rsid w:val="00C66B46"/>
    <w:rsid w:val="00C66CE0"/>
    <w:rsid w:val="00C71BED"/>
    <w:rsid w:val="00C737B2"/>
    <w:rsid w:val="00C7465C"/>
    <w:rsid w:val="00C76407"/>
    <w:rsid w:val="00C76F54"/>
    <w:rsid w:val="00C81B53"/>
    <w:rsid w:val="00C82AD2"/>
    <w:rsid w:val="00C8664E"/>
    <w:rsid w:val="00C876C7"/>
    <w:rsid w:val="00C87F02"/>
    <w:rsid w:val="00C90FB6"/>
    <w:rsid w:val="00C9220E"/>
    <w:rsid w:val="00C92E95"/>
    <w:rsid w:val="00C932BD"/>
    <w:rsid w:val="00C93429"/>
    <w:rsid w:val="00CA16C5"/>
    <w:rsid w:val="00CA23EB"/>
    <w:rsid w:val="00CA3A4A"/>
    <w:rsid w:val="00CA415A"/>
    <w:rsid w:val="00CA7A35"/>
    <w:rsid w:val="00CB0695"/>
    <w:rsid w:val="00CB0F84"/>
    <w:rsid w:val="00CB1536"/>
    <w:rsid w:val="00CB7FB8"/>
    <w:rsid w:val="00CC1F71"/>
    <w:rsid w:val="00CC3021"/>
    <w:rsid w:val="00CC3A3F"/>
    <w:rsid w:val="00CC5588"/>
    <w:rsid w:val="00CC5EB3"/>
    <w:rsid w:val="00CC65C3"/>
    <w:rsid w:val="00CC6B9E"/>
    <w:rsid w:val="00CD0E7B"/>
    <w:rsid w:val="00CD2602"/>
    <w:rsid w:val="00CD2ABD"/>
    <w:rsid w:val="00CD3B66"/>
    <w:rsid w:val="00CD4024"/>
    <w:rsid w:val="00CD4617"/>
    <w:rsid w:val="00CD4855"/>
    <w:rsid w:val="00CD7528"/>
    <w:rsid w:val="00CE6D43"/>
    <w:rsid w:val="00CE7888"/>
    <w:rsid w:val="00CF24B4"/>
    <w:rsid w:val="00CF697E"/>
    <w:rsid w:val="00D03822"/>
    <w:rsid w:val="00D050CB"/>
    <w:rsid w:val="00D10E1C"/>
    <w:rsid w:val="00D161A3"/>
    <w:rsid w:val="00D22E49"/>
    <w:rsid w:val="00D23716"/>
    <w:rsid w:val="00D25ED8"/>
    <w:rsid w:val="00D27F8F"/>
    <w:rsid w:val="00D316B8"/>
    <w:rsid w:val="00D31CFC"/>
    <w:rsid w:val="00D3255D"/>
    <w:rsid w:val="00D340C3"/>
    <w:rsid w:val="00D353E2"/>
    <w:rsid w:val="00D409CD"/>
    <w:rsid w:val="00D423D4"/>
    <w:rsid w:val="00D42CAF"/>
    <w:rsid w:val="00D525F8"/>
    <w:rsid w:val="00D5310F"/>
    <w:rsid w:val="00D53B4D"/>
    <w:rsid w:val="00D56A20"/>
    <w:rsid w:val="00D601EF"/>
    <w:rsid w:val="00D61533"/>
    <w:rsid w:val="00D63B2F"/>
    <w:rsid w:val="00D646BE"/>
    <w:rsid w:val="00D6493F"/>
    <w:rsid w:val="00D66D36"/>
    <w:rsid w:val="00D70747"/>
    <w:rsid w:val="00D71B5E"/>
    <w:rsid w:val="00D7261D"/>
    <w:rsid w:val="00D755FC"/>
    <w:rsid w:val="00D76B6D"/>
    <w:rsid w:val="00D81A21"/>
    <w:rsid w:val="00D84D07"/>
    <w:rsid w:val="00D8526A"/>
    <w:rsid w:val="00D90E91"/>
    <w:rsid w:val="00D97D14"/>
    <w:rsid w:val="00DA0795"/>
    <w:rsid w:val="00DA41BB"/>
    <w:rsid w:val="00DB432B"/>
    <w:rsid w:val="00DB60E1"/>
    <w:rsid w:val="00DC1347"/>
    <w:rsid w:val="00DC14EF"/>
    <w:rsid w:val="00DC1D59"/>
    <w:rsid w:val="00DC39F1"/>
    <w:rsid w:val="00DC4271"/>
    <w:rsid w:val="00DC5705"/>
    <w:rsid w:val="00DD1E82"/>
    <w:rsid w:val="00DD2781"/>
    <w:rsid w:val="00DD41EC"/>
    <w:rsid w:val="00DD5640"/>
    <w:rsid w:val="00DE016D"/>
    <w:rsid w:val="00DE0EE5"/>
    <w:rsid w:val="00DE37D2"/>
    <w:rsid w:val="00DE4B35"/>
    <w:rsid w:val="00DF19C1"/>
    <w:rsid w:val="00DF2F60"/>
    <w:rsid w:val="00DF54CA"/>
    <w:rsid w:val="00DF56C9"/>
    <w:rsid w:val="00DF5B64"/>
    <w:rsid w:val="00E01170"/>
    <w:rsid w:val="00E0244A"/>
    <w:rsid w:val="00E02794"/>
    <w:rsid w:val="00E043E3"/>
    <w:rsid w:val="00E0505B"/>
    <w:rsid w:val="00E11280"/>
    <w:rsid w:val="00E12359"/>
    <w:rsid w:val="00E152FF"/>
    <w:rsid w:val="00E177F7"/>
    <w:rsid w:val="00E23C49"/>
    <w:rsid w:val="00E2461B"/>
    <w:rsid w:val="00E247A2"/>
    <w:rsid w:val="00E24886"/>
    <w:rsid w:val="00E2535A"/>
    <w:rsid w:val="00E276FB"/>
    <w:rsid w:val="00E32595"/>
    <w:rsid w:val="00E32DC6"/>
    <w:rsid w:val="00E33A74"/>
    <w:rsid w:val="00E36EE5"/>
    <w:rsid w:val="00E37F60"/>
    <w:rsid w:val="00E4030B"/>
    <w:rsid w:val="00E4062E"/>
    <w:rsid w:val="00E41D56"/>
    <w:rsid w:val="00E457DF"/>
    <w:rsid w:val="00E46642"/>
    <w:rsid w:val="00E50098"/>
    <w:rsid w:val="00E5139A"/>
    <w:rsid w:val="00E5413D"/>
    <w:rsid w:val="00E57977"/>
    <w:rsid w:val="00E600D0"/>
    <w:rsid w:val="00E61525"/>
    <w:rsid w:val="00E62CA5"/>
    <w:rsid w:val="00E635D7"/>
    <w:rsid w:val="00E64E71"/>
    <w:rsid w:val="00E70576"/>
    <w:rsid w:val="00E71DED"/>
    <w:rsid w:val="00E72057"/>
    <w:rsid w:val="00E77FA7"/>
    <w:rsid w:val="00E831E5"/>
    <w:rsid w:val="00E83954"/>
    <w:rsid w:val="00E86506"/>
    <w:rsid w:val="00E8734F"/>
    <w:rsid w:val="00E877BF"/>
    <w:rsid w:val="00E91730"/>
    <w:rsid w:val="00E92283"/>
    <w:rsid w:val="00E9580F"/>
    <w:rsid w:val="00E96F04"/>
    <w:rsid w:val="00E97AEC"/>
    <w:rsid w:val="00EA20FE"/>
    <w:rsid w:val="00EB32A0"/>
    <w:rsid w:val="00EB491E"/>
    <w:rsid w:val="00EB681B"/>
    <w:rsid w:val="00EC4FAD"/>
    <w:rsid w:val="00ED69AA"/>
    <w:rsid w:val="00EE3310"/>
    <w:rsid w:val="00EE3CFA"/>
    <w:rsid w:val="00EE4B2B"/>
    <w:rsid w:val="00EE69E4"/>
    <w:rsid w:val="00EF2A7F"/>
    <w:rsid w:val="00EF6075"/>
    <w:rsid w:val="00EF64F9"/>
    <w:rsid w:val="00EF7E90"/>
    <w:rsid w:val="00F002B6"/>
    <w:rsid w:val="00F01CCF"/>
    <w:rsid w:val="00F10AFE"/>
    <w:rsid w:val="00F15C6C"/>
    <w:rsid w:val="00F17173"/>
    <w:rsid w:val="00F20987"/>
    <w:rsid w:val="00F22339"/>
    <w:rsid w:val="00F224DC"/>
    <w:rsid w:val="00F2687F"/>
    <w:rsid w:val="00F26A5E"/>
    <w:rsid w:val="00F27F29"/>
    <w:rsid w:val="00F32D54"/>
    <w:rsid w:val="00F36C54"/>
    <w:rsid w:val="00F418EA"/>
    <w:rsid w:val="00F41A29"/>
    <w:rsid w:val="00F44C1C"/>
    <w:rsid w:val="00F47270"/>
    <w:rsid w:val="00F518DF"/>
    <w:rsid w:val="00F544DB"/>
    <w:rsid w:val="00F6112F"/>
    <w:rsid w:val="00F648EA"/>
    <w:rsid w:val="00F6502E"/>
    <w:rsid w:val="00F65663"/>
    <w:rsid w:val="00F70596"/>
    <w:rsid w:val="00F75147"/>
    <w:rsid w:val="00F756C0"/>
    <w:rsid w:val="00F75A40"/>
    <w:rsid w:val="00F77363"/>
    <w:rsid w:val="00F77637"/>
    <w:rsid w:val="00F82411"/>
    <w:rsid w:val="00F8259C"/>
    <w:rsid w:val="00F8435D"/>
    <w:rsid w:val="00F862E5"/>
    <w:rsid w:val="00F87ABD"/>
    <w:rsid w:val="00F87DD0"/>
    <w:rsid w:val="00F921A8"/>
    <w:rsid w:val="00F93360"/>
    <w:rsid w:val="00F93FE4"/>
    <w:rsid w:val="00F94E11"/>
    <w:rsid w:val="00F9544F"/>
    <w:rsid w:val="00F97E4E"/>
    <w:rsid w:val="00FA1A40"/>
    <w:rsid w:val="00FA217B"/>
    <w:rsid w:val="00FB08C4"/>
    <w:rsid w:val="00FB0BC5"/>
    <w:rsid w:val="00FB0BCC"/>
    <w:rsid w:val="00FB3EA7"/>
    <w:rsid w:val="00FB4452"/>
    <w:rsid w:val="00FC0FE5"/>
    <w:rsid w:val="00FD1ABC"/>
    <w:rsid w:val="00FD51A5"/>
    <w:rsid w:val="00FD7DDF"/>
    <w:rsid w:val="00FE10BF"/>
    <w:rsid w:val="00FE4C92"/>
    <w:rsid w:val="00FE7898"/>
    <w:rsid w:val="00FF0FAA"/>
    <w:rsid w:val="00FF33FE"/>
    <w:rsid w:val="00FF3759"/>
    <w:rsid w:val="00FF4396"/>
    <w:rsid w:val="03385EDC"/>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3B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OM"/>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C4"/>
    <w:pPr>
      <w:spacing w:line="288" w:lineRule="auto"/>
      <w:jc w:val="both"/>
    </w:pPr>
    <w:rPr>
      <w:lang w:val="en-US" w:eastAsia="en-US"/>
    </w:rPr>
  </w:style>
  <w:style w:type="paragraph" w:styleId="Heading1">
    <w:name w:val="heading 1"/>
    <w:basedOn w:val="Normal"/>
    <w:next w:val="Normal"/>
    <w:link w:val="Heading1Char"/>
    <w:qFormat/>
    <w:rsid w:val="00BF4E63"/>
    <w:pPr>
      <w:numPr>
        <w:numId w:val="1"/>
      </w:numPr>
      <w:ind w:left="567" w:hanging="567"/>
      <w:outlineLvl w:val="0"/>
    </w:pPr>
    <w:rPr>
      <w:kern w:val="28"/>
    </w:rPr>
  </w:style>
  <w:style w:type="paragraph" w:styleId="Heading2">
    <w:name w:val="heading 2"/>
    <w:basedOn w:val="Normal"/>
    <w:next w:val="Normal"/>
    <w:link w:val="Heading2Char"/>
    <w:qFormat/>
    <w:rsid w:val="00FB08C4"/>
    <w:pPr>
      <w:numPr>
        <w:ilvl w:val="1"/>
        <w:numId w:val="1"/>
      </w:numPr>
      <w:ind w:left="567" w:hanging="567"/>
      <w:outlineLvl w:val="1"/>
    </w:pPr>
  </w:style>
  <w:style w:type="paragraph" w:styleId="Heading3">
    <w:name w:val="heading 3"/>
    <w:basedOn w:val="Normal"/>
    <w:next w:val="Normal"/>
    <w:link w:val="Heading3Char"/>
    <w:qFormat/>
    <w:rsid w:val="00FB08C4"/>
    <w:pPr>
      <w:numPr>
        <w:ilvl w:val="2"/>
        <w:numId w:val="1"/>
      </w:numPr>
      <w:ind w:left="567" w:hanging="567"/>
      <w:outlineLvl w:val="2"/>
    </w:pPr>
  </w:style>
  <w:style w:type="paragraph" w:styleId="Heading4">
    <w:name w:val="heading 4"/>
    <w:basedOn w:val="Normal"/>
    <w:next w:val="Normal"/>
    <w:link w:val="Heading4Char"/>
    <w:qFormat/>
    <w:rsid w:val="00FB08C4"/>
    <w:pPr>
      <w:numPr>
        <w:ilvl w:val="3"/>
        <w:numId w:val="1"/>
      </w:numPr>
      <w:ind w:left="567" w:hanging="567"/>
      <w:outlineLvl w:val="3"/>
    </w:pPr>
  </w:style>
  <w:style w:type="paragraph" w:styleId="Heading5">
    <w:name w:val="heading 5"/>
    <w:basedOn w:val="Normal"/>
    <w:next w:val="Normal"/>
    <w:link w:val="Heading5Char"/>
    <w:qFormat/>
    <w:rsid w:val="00FB08C4"/>
    <w:pPr>
      <w:numPr>
        <w:ilvl w:val="4"/>
        <w:numId w:val="1"/>
      </w:numPr>
      <w:ind w:left="567" w:hanging="567"/>
      <w:outlineLvl w:val="4"/>
    </w:pPr>
  </w:style>
  <w:style w:type="paragraph" w:styleId="Heading6">
    <w:name w:val="heading 6"/>
    <w:basedOn w:val="Normal"/>
    <w:next w:val="Normal"/>
    <w:link w:val="Heading6Char"/>
    <w:qFormat/>
    <w:rsid w:val="00FB08C4"/>
    <w:pPr>
      <w:numPr>
        <w:ilvl w:val="5"/>
        <w:numId w:val="1"/>
      </w:numPr>
      <w:ind w:left="567" w:hanging="567"/>
      <w:outlineLvl w:val="5"/>
    </w:pPr>
  </w:style>
  <w:style w:type="paragraph" w:styleId="Heading7">
    <w:name w:val="heading 7"/>
    <w:basedOn w:val="Normal"/>
    <w:next w:val="Normal"/>
    <w:link w:val="Heading7Char"/>
    <w:qFormat/>
    <w:rsid w:val="00FB08C4"/>
    <w:pPr>
      <w:numPr>
        <w:ilvl w:val="6"/>
        <w:numId w:val="1"/>
      </w:numPr>
      <w:ind w:left="567" w:hanging="567"/>
      <w:outlineLvl w:val="6"/>
    </w:pPr>
  </w:style>
  <w:style w:type="paragraph" w:styleId="Heading8">
    <w:name w:val="heading 8"/>
    <w:basedOn w:val="Normal"/>
    <w:next w:val="Normal"/>
    <w:link w:val="Heading8Char"/>
    <w:qFormat/>
    <w:rsid w:val="00FB08C4"/>
    <w:pPr>
      <w:numPr>
        <w:ilvl w:val="7"/>
        <w:numId w:val="1"/>
      </w:numPr>
      <w:ind w:left="567" w:hanging="567"/>
      <w:outlineLvl w:val="7"/>
    </w:pPr>
  </w:style>
  <w:style w:type="paragraph" w:styleId="Heading9">
    <w:name w:val="heading 9"/>
    <w:basedOn w:val="Normal"/>
    <w:next w:val="Normal"/>
    <w:link w:val="Heading9Char"/>
    <w:qFormat/>
    <w:rsid w:val="00FB08C4"/>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n-US" w:eastAsia="en-US" w:bidi="ar-OM"/>
    </w:rPr>
  </w:style>
  <w:style w:type="character" w:customStyle="1" w:styleId="Heading2Char">
    <w:name w:val="Heading 2 Char"/>
    <w:basedOn w:val="DefaultParagraphFont"/>
    <w:link w:val="Heading2"/>
    <w:locked/>
    <w:rsid w:val="00CB1536"/>
    <w:rPr>
      <w:lang w:val="en-US" w:eastAsia="en-US" w:bidi="ar-OM"/>
    </w:rPr>
  </w:style>
  <w:style w:type="character" w:customStyle="1" w:styleId="Heading3Char">
    <w:name w:val="Heading 3 Char"/>
    <w:basedOn w:val="DefaultParagraphFont"/>
    <w:link w:val="Heading3"/>
    <w:locked/>
    <w:rsid w:val="00CB1536"/>
    <w:rPr>
      <w:lang w:val="en-US" w:eastAsia="en-US" w:bidi="ar-OM"/>
    </w:rPr>
  </w:style>
  <w:style w:type="character" w:customStyle="1" w:styleId="Heading4Char">
    <w:name w:val="Heading 4 Char"/>
    <w:basedOn w:val="DefaultParagraphFont"/>
    <w:link w:val="Heading4"/>
    <w:locked/>
    <w:rsid w:val="00CB1536"/>
    <w:rPr>
      <w:lang w:val="en-US" w:eastAsia="en-US" w:bidi="ar-OM"/>
    </w:rPr>
  </w:style>
  <w:style w:type="character" w:customStyle="1" w:styleId="Heading5Char">
    <w:name w:val="Heading 5 Char"/>
    <w:basedOn w:val="DefaultParagraphFont"/>
    <w:link w:val="Heading5"/>
    <w:locked/>
    <w:rsid w:val="00CB1536"/>
    <w:rPr>
      <w:lang w:val="en-US" w:eastAsia="en-US" w:bidi="ar-OM"/>
    </w:rPr>
  </w:style>
  <w:style w:type="character" w:customStyle="1" w:styleId="Heading6Char">
    <w:name w:val="Heading 6 Char"/>
    <w:basedOn w:val="DefaultParagraphFont"/>
    <w:link w:val="Heading6"/>
    <w:locked/>
    <w:rsid w:val="00CB1536"/>
    <w:rPr>
      <w:lang w:val="en-US" w:eastAsia="en-US" w:bidi="ar-OM"/>
    </w:rPr>
  </w:style>
  <w:style w:type="character" w:customStyle="1" w:styleId="Heading7Char">
    <w:name w:val="Heading 7 Char"/>
    <w:basedOn w:val="DefaultParagraphFont"/>
    <w:link w:val="Heading7"/>
    <w:locked/>
    <w:rsid w:val="00CB1536"/>
    <w:rPr>
      <w:lang w:val="en-US" w:eastAsia="en-US" w:bidi="ar-OM"/>
    </w:rPr>
  </w:style>
  <w:style w:type="character" w:customStyle="1" w:styleId="Heading8Char">
    <w:name w:val="Heading 8 Char"/>
    <w:basedOn w:val="DefaultParagraphFont"/>
    <w:link w:val="Heading8"/>
    <w:locked/>
    <w:rsid w:val="00CB1536"/>
    <w:rPr>
      <w:lang w:val="en-US" w:eastAsia="en-US" w:bidi="ar-OM"/>
    </w:rPr>
  </w:style>
  <w:style w:type="character" w:customStyle="1" w:styleId="Heading9Char">
    <w:name w:val="Heading 9 Char"/>
    <w:basedOn w:val="DefaultParagraphFont"/>
    <w:link w:val="Heading9"/>
    <w:locked/>
    <w:rsid w:val="00CB1536"/>
    <w:rPr>
      <w:lang w:val="en-US" w:eastAsia="en-US" w:bidi="ar-OM"/>
    </w:rPr>
  </w:style>
  <w:style w:type="paragraph" w:styleId="Footer">
    <w:name w:val="footer"/>
    <w:basedOn w:val="Normal"/>
    <w:link w:val="FooterChar"/>
    <w:qFormat/>
    <w:rsid w:val="00FB08C4"/>
  </w:style>
  <w:style w:type="character" w:customStyle="1" w:styleId="FooterChar">
    <w:name w:val="Footer Char"/>
    <w:basedOn w:val="DefaultParagraphFont"/>
    <w:link w:val="Footer"/>
    <w:locked/>
    <w:rsid w:val="00CB1536"/>
    <w:rPr>
      <w:lang w:val="en-US" w:eastAsia="en-US" w:bidi="ar-OM"/>
    </w:rPr>
  </w:style>
  <w:style w:type="paragraph" w:styleId="FootnoteText">
    <w:name w:val="footnote text"/>
    <w:basedOn w:val="Normal"/>
    <w:link w:val="FootnoteTextChar"/>
    <w:qFormat/>
    <w:rsid w:val="00FB08C4"/>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n-US" w:eastAsia="en-US" w:bidi="ar-OM"/>
    </w:rPr>
  </w:style>
  <w:style w:type="paragraph" w:styleId="Header">
    <w:name w:val="header"/>
    <w:basedOn w:val="Normal"/>
    <w:link w:val="HeaderChar"/>
    <w:qFormat/>
    <w:rsid w:val="00FB08C4"/>
  </w:style>
  <w:style w:type="character" w:customStyle="1" w:styleId="HeaderChar">
    <w:name w:val="Header Char"/>
    <w:basedOn w:val="DefaultParagraphFont"/>
    <w:link w:val="Header"/>
    <w:locked/>
    <w:rsid w:val="00CB1536"/>
    <w:rPr>
      <w:lang w:val="en-US" w:eastAsia="en-US" w:bidi="ar-OM"/>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unhideWhenUsed/>
    <w:qFormat/>
    <w:rsid w:val="00FB08C4"/>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character" w:customStyle="1" w:styleId="UnresolvedMention1">
    <w:name w:val="Unresolved Mention1"/>
    <w:basedOn w:val="DefaultParagraphFont"/>
    <w:uiPriority w:val="99"/>
    <w:semiHidden/>
    <w:unhideWhenUsed/>
    <w:rsid w:val="00543046"/>
    <w:rPr>
      <w:color w:val="605E5C"/>
      <w:shd w:val="clear" w:color="auto" w:fill="E1DFDD"/>
    </w:rPr>
  </w:style>
  <w:style w:type="paragraph" w:customStyle="1" w:styleId="quotes">
    <w:name w:val="quotes"/>
    <w:basedOn w:val="Normal"/>
    <w:next w:val="Normal"/>
    <w:rsid w:val="00FB08C4"/>
    <w:pPr>
      <w:ind w:left="720"/>
    </w:pPr>
    <w:rPr>
      <w:i/>
    </w:rPr>
  </w:style>
  <w:style w:type="paragraph" w:styleId="ListParagraph">
    <w:name w:val="List Paragraph"/>
    <w:basedOn w:val="Normal"/>
    <w:uiPriority w:val="34"/>
    <w:qFormat/>
    <w:rsid w:val="00E8734F"/>
    <w:pPr>
      <w:ind w:left="720"/>
      <w:contextualSpacing/>
    </w:pPr>
  </w:style>
  <w:style w:type="paragraph" w:styleId="EndnoteText">
    <w:name w:val="endnote text"/>
    <w:basedOn w:val="Normal"/>
    <w:link w:val="EndnoteTextChar"/>
    <w:uiPriority w:val="99"/>
    <w:semiHidden/>
    <w:unhideWhenUsed/>
    <w:rsid w:val="0028237C"/>
    <w:pPr>
      <w:spacing w:line="240" w:lineRule="auto"/>
    </w:pPr>
    <w:rPr>
      <w:sz w:val="20"/>
      <w:szCs w:val="20"/>
    </w:rPr>
  </w:style>
  <w:style w:type="character" w:customStyle="1" w:styleId="EndnoteTextChar">
    <w:name w:val="Endnote Text Char"/>
    <w:basedOn w:val="DefaultParagraphFont"/>
    <w:link w:val="EndnoteText"/>
    <w:uiPriority w:val="99"/>
    <w:semiHidden/>
    <w:rsid w:val="0028237C"/>
    <w:rPr>
      <w:sz w:val="20"/>
      <w:szCs w:val="20"/>
      <w:lang w:eastAsia="en-US" w:bidi="ar-OM"/>
    </w:rPr>
  </w:style>
  <w:style w:type="character" w:styleId="EndnoteReference">
    <w:name w:val="endnote reference"/>
    <w:basedOn w:val="DefaultParagraphFont"/>
    <w:uiPriority w:val="99"/>
    <w:semiHidden/>
    <w:unhideWhenUsed/>
    <w:rsid w:val="0028237C"/>
    <w:rPr>
      <w:vertAlign w:val="superscript"/>
    </w:rPr>
  </w:style>
  <w:style w:type="character" w:styleId="CommentReference">
    <w:name w:val="annotation reference"/>
    <w:basedOn w:val="DefaultParagraphFont"/>
    <w:semiHidden/>
    <w:unhideWhenUsed/>
    <w:rsid w:val="002068C7"/>
    <w:rPr>
      <w:sz w:val="16"/>
      <w:szCs w:val="16"/>
    </w:rPr>
  </w:style>
  <w:style w:type="paragraph" w:styleId="CommentText">
    <w:name w:val="annotation text"/>
    <w:basedOn w:val="Normal"/>
    <w:link w:val="CommentTextChar"/>
    <w:semiHidden/>
    <w:unhideWhenUsed/>
    <w:rsid w:val="002068C7"/>
    <w:pPr>
      <w:spacing w:line="240" w:lineRule="auto"/>
    </w:pPr>
    <w:rPr>
      <w:sz w:val="20"/>
      <w:szCs w:val="20"/>
    </w:rPr>
  </w:style>
  <w:style w:type="character" w:customStyle="1" w:styleId="CommentTextChar">
    <w:name w:val="Comment Text Char"/>
    <w:basedOn w:val="DefaultParagraphFont"/>
    <w:link w:val="CommentText"/>
    <w:semiHidden/>
    <w:rsid w:val="002068C7"/>
    <w:rPr>
      <w:sz w:val="20"/>
      <w:szCs w:val="20"/>
      <w:lang w:val="en-US" w:eastAsia="en-US" w:bidi="ar-OM"/>
    </w:rPr>
  </w:style>
  <w:style w:type="paragraph" w:styleId="CommentSubject">
    <w:name w:val="annotation subject"/>
    <w:basedOn w:val="CommentText"/>
    <w:next w:val="CommentText"/>
    <w:link w:val="CommentSubjectChar"/>
    <w:uiPriority w:val="99"/>
    <w:semiHidden/>
    <w:unhideWhenUsed/>
    <w:rsid w:val="002068C7"/>
    <w:rPr>
      <w:b/>
      <w:bCs/>
    </w:rPr>
  </w:style>
  <w:style w:type="character" w:customStyle="1" w:styleId="CommentSubjectChar">
    <w:name w:val="Comment Subject Char"/>
    <w:basedOn w:val="CommentTextChar"/>
    <w:link w:val="CommentSubject"/>
    <w:uiPriority w:val="99"/>
    <w:semiHidden/>
    <w:rsid w:val="002068C7"/>
    <w:rPr>
      <w:b/>
      <w:bCs/>
      <w:sz w:val="20"/>
      <w:szCs w:val="20"/>
      <w:lang w:val="en-US" w:eastAsia="en-US" w:bidi="ar-OM"/>
    </w:rPr>
  </w:style>
  <w:style w:type="paragraph" w:styleId="BalloonText">
    <w:name w:val="Balloon Text"/>
    <w:basedOn w:val="Normal"/>
    <w:link w:val="BalloonTextChar"/>
    <w:uiPriority w:val="99"/>
    <w:semiHidden/>
    <w:unhideWhenUsed/>
    <w:rsid w:val="002068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8C7"/>
    <w:rPr>
      <w:rFonts w:ascii="Segoe UI" w:hAnsi="Segoe UI" w:cs="Segoe UI"/>
      <w:sz w:val="18"/>
      <w:szCs w:val="18"/>
      <w:lang w:val="en-US" w:eastAsia="en-US" w:bidi="ar-OM"/>
    </w:rPr>
  </w:style>
  <w:style w:type="character" w:customStyle="1" w:styleId="UnresolvedMention2">
    <w:name w:val="Unresolved Mention2"/>
    <w:basedOn w:val="DefaultParagraphFont"/>
    <w:uiPriority w:val="99"/>
    <w:semiHidden/>
    <w:unhideWhenUsed/>
    <w:rsid w:val="00494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3692">
      <w:bodyDiv w:val="1"/>
      <w:marLeft w:val="0"/>
      <w:marRight w:val="0"/>
      <w:marTop w:val="0"/>
      <w:marBottom w:val="0"/>
      <w:divBdr>
        <w:top w:val="none" w:sz="0" w:space="0" w:color="auto"/>
        <w:left w:val="none" w:sz="0" w:space="0" w:color="auto"/>
        <w:bottom w:val="none" w:sz="0" w:space="0" w:color="auto"/>
        <w:right w:val="none" w:sz="0" w:space="0" w:color="auto"/>
      </w:divBdr>
      <w:divsChild>
        <w:div w:id="322315729">
          <w:marLeft w:val="0"/>
          <w:marRight w:val="0"/>
          <w:marTop w:val="0"/>
          <w:marBottom w:val="0"/>
          <w:divBdr>
            <w:top w:val="none" w:sz="0" w:space="0" w:color="auto"/>
            <w:left w:val="none" w:sz="0" w:space="0" w:color="auto"/>
            <w:bottom w:val="none" w:sz="0" w:space="0" w:color="auto"/>
            <w:right w:val="none" w:sz="0" w:space="0" w:color="auto"/>
          </w:divBdr>
        </w:div>
        <w:div w:id="1572544466">
          <w:marLeft w:val="0"/>
          <w:marRight w:val="0"/>
          <w:marTop w:val="0"/>
          <w:marBottom w:val="0"/>
          <w:divBdr>
            <w:top w:val="none" w:sz="0" w:space="0" w:color="auto"/>
            <w:left w:val="none" w:sz="0" w:space="0" w:color="auto"/>
            <w:bottom w:val="none" w:sz="0" w:space="0" w:color="auto"/>
            <w:right w:val="none" w:sz="0" w:space="0" w:color="auto"/>
          </w:divBdr>
        </w:div>
        <w:div w:id="1241597182">
          <w:marLeft w:val="0"/>
          <w:marRight w:val="0"/>
          <w:marTop w:val="0"/>
          <w:marBottom w:val="0"/>
          <w:divBdr>
            <w:top w:val="none" w:sz="0" w:space="0" w:color="auto"/>
            <w:left w:val="none" w:sz="0" w:space="0" w:color="auto"/>
            <w:bottom w:val="none" w:sz="0" w:space="0" w:color="auto"/>
            <w:right w:val="none" w:sz="0" w:space="0" w:color="auto"/>
          </w:divBdr>
        </w:div>
        <w:div w:id="1789278638">
          <w:marLeft w:val="0"/>
          <w:marRight w:val="0"/>
          <w:marTop w:val="0"/>
          <w:marBottom w:val="0"/>
          <w:divBdr>
            <w:top w:val="none" w:sz="0" w:space="0" w:color="auto"/>
            <w:left w:val="none" w:sz="0" w:space="0" w:color="auto"/>
            <w:bottom w:val="none" w:sz="0" w:space="0" w:color="auto"/>
            <w:right w:val="none" w:sz="0" w:space="0" w:color="auto"/>
          </w:divBdr>
        </w:div>
        <w:div w:id="1336105706">
          <w:marLeft w:val="0"/>
          <w:marRight w:val="0"/>
          <w:marTop w:val="0"/>
          <w:marBottom w:val="0"/>
          <w:divBdr>
            <w:top w:val="none" w:sz="0" w:space="0" w:color="auto"/>
            <w:left w:val="none" w:sz="0" w:space="0" w:color="auto"/>
            <w:bottom w:val="none" w:sz="0" w:space="0" w:color="auto"/>
            <w:right w:val="none" w:sz="0" w:space="0" w:color="auto"/>
          </w:divBdr>
        </w:div>
        <w:div w:id="1957324569">
          <w:marLeft w:val="0"/>
          <w:marRight w:val="0"/>
          <w:marTop w:val="0"/>
          <w:marBottom w:val="0"/>
          <w:divBdr>
            <w:top w:val="none" w:sz="0" w:space="0" w:color="auto"/>
            <w:left w:val="none" w:sz="0" w:space="0" w:color="auto"/>
            <w:bottom w:val="none" w:sz="0" w:space="0" w:color="auto"/>
            <w:right w:val="none" w:sz="0" w:space="0" w:color="auto"/>
          </w:divBdr>
        </w:div>
        <w:div w:id="1124692768">
          <w:marLeft w:val="0"/>
          <w:marRight w:val="0"/>
          <w:marTop w:val="0"/>
          <w:marBottom w:val="0"/>
          <w:divBdr>
            <w:top w:val="none" w:sz="0" w:space="0" w:color="auto"/>
            <w:left w:val="none" w:sz="0" w:space="0" w:color="auto"/>
            <w:bottom w:val="none" w:sz="0" w:space="0" w:color="auto"/>
            <w:right w:val="none" w:sz="0" w:space="0" w:color="auto"/>
          </w:divBdr>
        </w:div>
        <w:div w:id="883097777">
          <w:marLeft w:val="0"/>
          <w:marRight w:val="0"/>
          <w:marTop w:val="0"/>
          <w:marBottom w:val="0"/>
          <w:divBdr>
            <w:top w:val="none" w:sz="0" w:space="0" w:color="auto"/>
            <w:left w:val="none" w:sz="0" w:space="0" w:color="auto"/>
            <w:bottom w:val="none" w:sz="0" w:space="0" w:color="auto"/>
            <w:right w:val="none" w:sz="0" w:space="0" w:color="auto"/>
          </w:divBdr>
        </w:div>
      </w:divsChild>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255479144">
      <w:bodyDiv w:val="1"/>
      <w:marLeft w:val="0"/>
      <w:marRight w:val="0"/>
      <w:marTop w:val="0"/>
      <w:marBottom w:val="0"/>
      <w:divBdr>
        <w:top w:val="none" w:sz="0" w:space="0" w:color="auto"/>
        <w:left w:val="none" w:sz="0" w:space="0" w:color="auto"/>
        <w:bottom w:val="none" w:sz="0" w:space="0" w:color="auto"/>
        <w:right w:val="none" w:sz="0" w:space="0" w:color="auto"/>
      </w:divBdr>
      <w:divsChild>
        <w:div w:id="1688944870">
          <w:marLeft w:val="0"/>
          <w:marRight w:val="0"/>
          <w:marTop w:val="0"/>
          <w:marBottom w:val="0"/>
          <w:divBdr>
            <w:top w:val="none" w:sz="0" w:space="0" w:color="auto"/>
            <w:left w:val="none" w:sz="0" w:space="0" w:color="auto"/>
            <w:bottom w:val="none" w:sz="0" w:space="0" w:color="auto"/>
            <w:right w:val="none" w:sz="0" w:space="0" w:color="auto"/>
          </w:divBdr>
        </w:div>
        <w:div w:id="1186560746">
          <w:marLeft w:val="0"/>
          <w:marRight w:val="0"/>
          <w:marTop w:val="0"/>
          <w:marBottom w:val="0"/>
          <w:divBdr>
            <w:top w:val="none" w:sz="0" w:space="0" w:color="auto"/>
            <w:left w:val="none" w:sz="0" w:space="0" w:color="auto"/>
            <w:bottom w:val="none" w:sz="0" w:space="0" w:color="auto"/>
            <w:right w:val="none" w:sz="0" w:space="0" w:color="auto"/>
          </w:divBdr>
        </w:div>
        <w:div w:id="235483879">
          <w:marLeft w:val="0"/>
          <w:marRight w:val="0"/>
          <w:marTop w:val="0"/>
          <w:marBottom w:val="0"/>
          <w:divBdr>
            <w:top w:val="none" w:sz="0" w:space="0" w:color="auto"/>
            <w:left w:val="none" w:sz="0" w:space="0" w:color="auto"/>
            <w:bottom w:val="none" w:sz="0" w:space="0" w:color="auto"/>
            <w:right w:val="none" w:sz="0" w:space="0" w:color="auto"/>
          </w:divBdr>
        </w:div>
        <w:div w:id="1719433999">
          <w:marLeft w:val="0"/>
          <w:marRight w:val="0"/>
          <w:marTop w:val="0"/>
          <w:marBottom w:val="0"/>
          <w:divBdr>
            <w:top w:val="none" w:sz="0" w:space="0" w:color="auto"/>
            <w:left w:val="none" w:sz="0" w:space="0" w:color="auto"/>
            <w:bottom w:val="none" w:sz="0" w:space="0" w:color="auto"/>
            <w:right w:val="none" w:sz="0" w:space="0" w:color="auto"/>
          </w:divBdr>
        </w:div>
        <w:div w:id="545069757">
          <w:marLeft w:val="0"/>
          <w:marRight w:val="0"/>
          <w:marTop w:val="0"/>
          <w:marBottom w:val="0"/>
          <w:divBdr>
            <w:top w:val="none" w:sz="0" w:space="0" w:color="auto"/>
            <w:left w:val="none" w:sz="0" w:space="0" w:color="auto"/>
            <w:bottom w:val="none" w:sz="0" w:space="0" w:color="auto"/>
            <w:right w:val="none" w:sz="0" w:space="0" w:color="auto"/>
          </w:divBdr>
        </w:div>
        <w:div w:id="1202404084">
          <w:marLeft w:val="0"/>
          <w:marRight w:val="0"/>
          <w:marTop w:val="0"/>
          <w:marBottom w:val="0"/>
          <w:divBdr>
            <w:top w:val="none" w:sz="0" w:space="0" w:color="auto"/>
            <w:left w:val="none" w:sz="0" w:space="0" w:color="auto"/>
            <w:bottom w:val="none" w:sz="0" w:space="0" w:color="auto"/>
            <w:right w:val="none" w:sz="0" w:space="0" w:color="auto"/>
          </w:divBdr>
        </w:div>
        <w:div w:id="1269464434">
          <w:marLeft w:val="0"/>
          <w:marRight w:val="0"/>
          <w:marTop w:val="0"/>
          <w:marBottom w:val="0"/>
          <w:divBdr>
            <w:top w:val="none" w:sz="0" w:space="0" w:color="auto"/>
            <w:left w:val="none" w:sz="0" w:space="0" w:color="auto"/>
            <w:bottom w:val="none" w:sz="0" w:space="0" w:color="auto"/>
            <w:right w:val="none" w:sz="0" w:space="0" w:color="auto"/>
          </w:divBdr>
        </w:div>
        <w:div w:id="57481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Marie-Laurence.Drillon@eesc.europa.eu"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icmp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journals.ametsoc.org/view/journals/clim/33/14/JCLI-D-19-0910.1.xml" TargetMode="External"/><Relationship Id="rId3" Type="http://schemas.openxmlformats.org/officeDocument/2006/relationships/hyperlink" Target="https://www.europarl.europa.eu/RegData/etudes/BRIE/2021/698753/EPRS_BRI(2021)698753_EN.pdf" TargetMode="External"/><Relationship Id="rId7" Type="http://schemas.openxmlformats.org/officeDocument/2006/relationships/hyperlink" Target="https://www.europarl.europa.eu/thinktank/en/document/EPRS_BRI(2021)698753" TargetMode="External"/><Relationship Id="rId2" Type="http://schemas.openxmlformats.org/officeDocument/2006/relationships/hyperlink" Target="https://ec.europa.eu/echo/files/policies/sectoral/swd_2022_displacement_and_migration_related_to_disasters_climate_change_and_environmental_degradation.pdf" TargetMode="External"/><Relationship Id="rId1" Type="http://schemas.openxmlformats.org/officeDocument/2006/relationships/hyperlink" Target="https://disasterdisplacement.org/what-we-do/" TargetMode="External"/><Relationship Id="rId6" Type="http://schemas.openxmlformats.org/officeDocument/2006/relationships/hyperlink" Target="https://sdgs.un.org/partnerships/water-scarcity-and-human-immobility-identifying-internal-migration-patterns-driven" TargetMode="External"/><Relationship Id="rId5" Type="http://schemas.openxmlformats.org/officeDocument/2006/relationships/hyperlink" Target="https://www.un.org/en/observances/desertification-day" TargetMode="External"/><Relationship Id="rId10" Type="http://schemas.openxmlformats.org/officeDocument/2006/relationships/hyperlink" Target="http://www.unhcr.org/refworld/docid/47fdfb49d.html" TargetMode="External"/><Relationship Id="rId4" Type="http://schemas.openxmlformats.org/officeDocument/2006/relationships/hyperlink" Target="https://ec.europa.eu/echo/files/policies/sectoral/swd_2022_displacement_and_migration_related_to_disasters_climate_change_and_environmental_degradation.pdf" TargetMode="External"/><Relationship Id="rId9" Type="http://schemas.openxmlformats.org/officeDocument/2006/relationships/hyperlink" Target="https://ec.europa.eu/regional_policy/policy/cooperation/macro-regional-strateg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A6WAAD5KZT2Q-604569563-10978</_dlc_DocId>
    <_dlc_DocIdUrl xmlns="1a33af13-4045-4f88-9d7b-618e30f79918">
      <Url>http://dm/eesc/2025/_layouts/15/DocIdRedir.aspx?ID=A6WAAD5KZT2Q-604569563-10978</Url>
      <Description>A6WAAD5KZT2Q-604569563-10978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TermName>
          <TermId xmlns="http://schemas.microsoft.com/office/infopath/2007/PartnerControls">ef6fd07e-7d84-45ad-8a75-9a9414a8759c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2025-06-12T12:00:00+00:00</ProductionDate>
    <DocumentNumber xmlns="be3ca9a7-9286-4008-99ec-aebc20da9dc2">737</DocumentNumber>
    <FicheYea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2025-07-09T12:00:00+00:00</MeetingDate>
    <TaxCatchAll xmlns="1a33af13-4045-4f88-9d7b-618e30f79918">
      <Value>99</Value>
      <Value>55</Value>
      <Value>238</Value>
      <Value>15</Value>
      <Value>13</Value>
      <Value>12</Value>
      <Value>8</Value>
      <Value>5</Value>
      <Value>16</Value>
      <Value>40</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AR</TermName>
          <TermId xmlns="http://schemas.microsoft.com/office/infopath/2007/PartnerControls">ce4bbb69-0593-4176-a22c-3ff5e3148b74</TermId>
        </TermInfo>
      </Terms>
    </DocumentLanguage_0>
    <Rapporteur xmlns="1a33af13-4045-4f88-9d7b-618e30f79918">VARDAKASTANIS &amp; ANGELOVA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2490</FicheNumber>
    <OriginalSender xmlns="1a33af13-4045-4f88-9d7b-618e30f79918">
      <UserInfo>
        <DisplayName>Mette Ausra</DisplayName>
        <AccountId>46</AccountId>
        <AccountType/>
      </UserInfo>
    </OriginalSender>
    <DocumentPart xmlns="1a33af13-4045-4f88-9d7b-618e30f79918">0</DocumentPart>
    <AdoptionDate xmlns="1a33af13-4045-4f88-9d7b-618e30f79918" xsi:nil="true"/>
    <RequestingService xmlns="1a33af13-4045-4f88-9d7b-618e30f79918">Relations extérieures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c240c7b9-469b-4d95-ac60-67933f315822</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AR</TermName>
          <TermId xmlns="http://schemas.microsoft.com/office/infopath/2007/PartnerControls">ce4bbb69-0593-4176-a22c-3ff5e3148b74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1a33af13-4045-4f88-9d7b-618e30f79918">0</DocumentVersion>
    <DossierNumber xmlns="1a33af13-4045-4f88-9d7b-618e30f79918">597</DossierNumb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40B13D-311C-4DFD-B920-545B86CAC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af13-4045-4f88-9d7b-618e30f79918"/>
    <ds:schemaRef ds:uri="http://schemas.microsoft.com/sharepoint/v3/fields"/>
    <ds:schemaRef ds:uri="be3ca9a7-9286-4008-99ec-aebc20da9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63EED-BB6F-4532-9D7D-6B8964B1D899}">
  <ds:schemaRefs>
    <ds:schemaRef ds:uri="http://schemas.microsoft.com/sharepoint/v3/contenttype/forms"/>
  </ds:schemaRefs>
</ds:datastoreItem>
</file>

<file path=customXml/itemProps3.xml><?xml version="1.0" encoding="utf-8"?>
<ds:datastoreItem xmlns:ds="http://schemas.openxmlformats.org/officeDocument/2006/customXml" ds:itemID="{80CF446B-6CF9-49E3-987A-B6DDFADF29EB}">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be3ca9a7-9286-4008-99ec-aebc20da9dc2"/>
  </ds:schemaRefs>
</ds:datastoreItem>
</file>

<file path=customXml/itemProps4.xml><?xml version="1.0" encoding="utf-8"?>
<ds:datastoreItem xmlns:ds="http://schemas.openxmlformats.org/officeDocument/2006/customXml" ds:itemID="{6D64630C-F294-40FB-AAA7-C792B9A0A7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4258</Words>
  <Characters>24657</Characters>
  <Application>Microsoft Office Word</Application>
  <DocSecurity>0</DocSecurity>
  <Lines>465</Lines>
  <Paragraphs>136</Paragraphs>
  <ScaleCrop>false</ScaleCrop>
  <HeadingPairs>
    <vt:vector size="2" baseType="variant">
      <vt:variant>
        <vt:lpstr>Title</vt:lpstr>
      </vt:variant>
      <vt:variant>
        <vt:i4>1</vt:i4>
      </vt:variant>
    </vt:vector>
  </HeadingPairs>
  <TitlesOfParts>
    <vt:vector size="1" baseType="lpstr">
      <vt:lpstr>Blue Diplomacy and water cooperation</vt:lpstr>
    </vt:vector>
  </TitlesOfParts>
  <Manager/>
  <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الدبلوماسية الزرقاء والتعاون المائي</dc:title>
  <dc:subject>Draft opinion</dc:subject>
  <dc:creator/>
  <cp:keywords>EESC-2025-00737-00-00-PA-TRA-EN</cp:keywords>
  <dc:description>Rapporteur: - VARDAKASTANIS &amp; ANGELOVA Original language: - EN Date of document: - 03/06/2025 Date of meeting: - 09/07/2025 External documents: -  Administrator responsible: - Mme DRILLON Marie-Laurence Anne Elisabeth</dc:description>
  <cp:lastModifiedBy/>
  <cp:revision>1</cp:revision>
  <cp:lastPrinted>2016-01-26T08:31:00Z</cp:lastPrinted>
  <dcterms:created xsi:type="dcterms:W3CDTF">2025-06-16T09:44:00Z</dcterms:created>
  <dcterms:modified xsi:type="dcterms:W3CDTF">2025-06-16T09:44:00Z</dcterms:modified>
  <cp:category>REX/597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03/06/2025, 28/04/2025, 06/03/2025, 12/04/2024, 17/05/2022, 04/11/2015, 27/10/2015, 19/10/2015, 09/10/2015, 05/10/2015, 05/10/2015, 26/08/2015, 26/08/2015, 25/08/2015</vt:lpwstr>
  </property>
  <property fmtid="{D5CDD505-2E9C-101B-9397-08002B2CF9AE}" pid="4" name="Pref_Time">
    <vt:lpwstr>11:02:59, 14:47:13, 08:50:05, 12:08:09, 12:59:17, 12/10/07, 14:44:02, 16/04/16, 14:09:30, 16:24:55, 16:04:02, 08:56:14, 07:27:56, 17:31:53</vt:lpwstr>
  </property>
  <property fmtid="{D5CDD505-2E9C-101B-9397-08002B2CF9AE}" pid="5" name="Pref_User">
    <vt:lpwstr>pacup, amett, enied, enied, enied, ssex, enied, amett, tvoc, mreg, mreg, amett, enied, ssex</vt:lpwstr>
  </property>
  <property fmtid="{D5CDD505-2E9C-101B-9397-08002B2CF9AE}" pid="6" name="Pref_FileName">
    <vt:lpwstr>EESC-2025-00737-00-00-PA-ORI.docx, EESC-2025-00737-00-00-APA-ORI.docx, EESC-2025-00737-00-00-DT-ORI.docx, COR-EESC-2024-01326-00-00-ADMIN-ORI.docx, COR-EESC-2022-02586-00-00-ADMIN-ORI.docx, EESC-2015-05408-00-00-PA-CRR-EN.docx, EESC-2015-05408-00-01-APA-O</vt:lpwstr>
  </property>
  <property fmtid="{D5CDD505-2E9C-101B-9397-08002B2CF9AE}" pid="7" name="ContentTypeId">
    <vt:lpwstr>0x010100EA97B91038054C99906057A708A1480A006BB3B767F3CF4149BF520211D4A86BC0</vt:lpwstr>
  </property>
  <property fmtid="{D5CDD505-2E9C-101B-9397-08002B2CF9AE}" pid="8" name="_dlc_DocIdItemGuid">
    <vt:lpwstr>e71e5cd6-fb4d-408e-9c96-09b7bc5c5eff</vt:lpwstr>
  </property>
  <property fmtid="{D5CDD505-2E9C-101B-9397-08002B2CF9AE}" pid="9" name="AvailableTranslations">
    <vt:lpwstr>238;#AR|ce4bbb69-0593-4176-a22c-3ff5e3148b74;#12;#FR|d2afafd3-4c81-4f60-8f52-ee33f2f54ff3;#40;#DA|5d49c027-8956-412b-aa16-e85a0f96ad0e;#5;#EN|f2175f21-25d7-44a3-96da-d6a61b075e1b;#16;#ES|e7a6b05b-ae16-40c8-add9-68b64b03aeba</vt:lpwstr>
  </property>
  <property fmtid="{D5CDD505-2E9C-101B-9397-08002B2CF9AE}" pid="10" name="DocumentType_0">
    <vt:lpwstr>PA|ef6fd07e-7d84-45ad-8a75-9a9414a8759c</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737</vt:i4>
  </property>
  <property fmtid="{D5CDD505-2E9C-101B-9397-08002B2CF9AE}" pid="14" name="FicheYear">
    <vt:i4>2025</vt:i4>
  </property>
  <property fmtid="{D5CDD505-2E9C-101B-9397-08002B2CF9AE}" pid="15" name="DocumentVersion">
    <vt:i4>0</vt:i4>
  </property>
  <property fmtid="{D5CDD505-2E9C-101B-9397-08002B2CF9AE}" pid="16" name="DossierNumber">
    <vt:i4>597</vt:i4>
  </property>
  <property fmtid="{D5CDD505-2E9C-101B-9397-08002B2CF9AE}" pid="17" name="DocumentStatus">
    <vt:lpwstr>13;#TRA|150d2a88-1431-44e6-a8ca-0bb753ab8672</vt:lpwstr>
  </property>
  <property fmtid="{D5CDD505-2E9C-101B-9397-08002B2CF9AE}" pid="18" name="DossierName">
    <vt:lpwstr>2;#REX|6820eaf5-116e-436b-ad9c-156f8a94c2a1</vt:lpwstr>
  </property>
  <property fmtid="{D5CDD505-2E9C-101B-9397-08002B2CF9AE}" pid="19" name="RequestingService">
    <vt:lpwstr>Relations extérieures</vt:lpwstr>
  </property>
  <property fmtid="{D5CDD505-2E9C-101B-9397-08002B2CF9AE}" pid="20" name="Confidentiality">
    <vt:lpwstr>15;#Unrestricted|826e22d7-d029-4ec0-a450-0c28ff673572</vt:lpwstr>
  </property>
  <property fmtid="{D5CDD505-2E9C-101B-9397-08002B2CF9AE}" pid="21" name="MeetingName_0">
    <vt:lpwstr>REX|c240c7b9-469b-4d95-ac60-67933f315822</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55;#REX|c240c7b9-469b-4d95-ac60-67933f315822</vt:lpwstr>
  </property>
  <property fmtid="{D5CDD505-2E9C-101B-9397-08002B2CF9AE}" pid="25" name="MeetingDate">
    <vt:filetime>2025-07-09T12:00:00Z</vt:filetime>
  </property>
  <property fmtid="{D5CDD505-2E9C-101B-9397-08002B2CF9AE}" pid="26" name="AvailableTranslations_0">
    <vt:lpwstr>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15;#Unrestricted|826e22d7-d029-4ec0-a450-0c28ff673572;#99;#PA|ef6fd07e-7d84-45ad-8a75-9a9414a8759c;#13;#TRA|150d2a88-1431-44e6-a8ca-0bb753ab8672;#8;#Final|ea5e6674-7b27-4bac-b091-73adbb394efe;#5;#EN|f2175f21-25d7-44a3-96da-d6a61b075e1b;#55;#REX|c240c7b9-469b-4d95-ac60-67933f315822;#2;#REX|6820eaf5-116e-436b-ad9c-156f8a94c2a1;#1;#EESC|422833ec-8d7e-4e65-8e4e-8bed07ffb729</vt:lpwstr>
  </property>
  <property fmtid="{D5CDD505-2E9C-101B-9397-08002B2CF9AE}" pid="30" name="Rapporteur">
    <vt:lpwstr>VARDAKASTANIS &amp; ANGELOVA</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288143</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DocumentType">
    <vt:lpwstr>99;#PA|ef6fd07e-7d84-45ad-8a75-9a9414a8759c</vt:lpwstr>
  </property>
  <property fmtid="{D5CDD505-2E9C-101B-9397-08002B2CF9AE}" pid="38" name="DocumentLanguage">
    <vt:lpwstr>238;#AR|ce4bbb69-0593-4176-a22c-3ff5e3148b74</vt:lpwstr>
  </property>
  <property fmtid="{D5CDD505-2E9C-101B-9397-08002B2CF9AE}" pid="39" name="_docset_NoMedatataSyncRequired">
    <vt:lpwstr>False</vt:lpwstr>
  </property>
  <property fmtid="{D5CDD505-2E9C-101B-9397-08002B2CF9AE}" pid="40" name="_dlc_policyId">
    <vt:lpwstr>/sites/TRADEXT/Restricted/Translations</vt:lpwstr>
  </property>
  <property fmtid="{D5CDD505-2E9C-101B-9397-08002B2CF9AE}" pid="41" name="ItemRetentionFormula">
    <vt:lpwstr>&lt;formula id="Microsoft.Office.RecordsManagement.PolicyFeatures.Expiration.Formula.BuiltIn"&gt;&lt;number&gt;12&lt;/number&gt;&lt;property&gt;Created&lt;/property&gt;&lt;propertyId&gt;8c06beca-0777-48f7-91c7-6da68bc07b69&lt;/propertyId&gt;&lt;period&gt;months&lt;/period&gt;&lt;/formula&gt;</vt:lpwstr>
  </property>
  <property fmtid="{D5CDD505-2E9C-101B-9397-08002B2CF9AE}" pid="42" name="TestOrderFormCategory">
    <vt:lpwstr>, </vt:lpwstr>
  </property>
  <property fmtid="{D5CDD505-2E9C-101B-9397-08002B2CF9AE}" pid="43" name="WorkflowChangePath">
    <vt:lpwstr>8a869de1-d216-4e50-85dd-3c7dad689689,3;8a869de1-d216-4e50-85dd-3c7dad689689,3;8a869de1-d216-4e50-85dd-3c7dad689689,3;8a869de1-d216-4e50-85dd-3c7dad689689,3;8a869de1-d216-4e50-85dd-3c7dad689689,3;</vt:lpwstr>
  </property>
  <property fmtid="{D5CDD505-2E9C-101B-9397-08002B2CF9AE}" pid="44" name="DocumentLanguage_0">
    <vt:lpwstr>EN|f2175f21-25d7-44a3-96da-d6a61b075e1b</vt:lpwstr>
  </property>
</Properties>
</file>