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B776" w14:textId="77777777" w:rsidR="001C675B" w:rsidRDefault="001C675B">
      <w:pPr>
        <w:rPr>
          <w:lang w:val="sl-SI"/>
        </w:rPr>
      </w:pPr>
    </w:p>
    <w:p w14:paraId="45F97C91" w14:textId="3E309308" w:rsidR="00943E6A" w:rsidRPr="00943E6A" w:rsidRDefault="00943E6A" w:rsidP="00943E6A">
      <w:pPr>
        <w:jc w:val="right"/>
        <w:rPr>
          <w:sz w:val="24"/>
          <w:szCs w:val="24"/>
          <w:lang w:val="en-GB"/>
        </w:rPr>
      </w:pPr>
      <w:r w:rsidRPr="00943E6A">
        <w:rPr>
          <w:sz w:val="24"/>
          <w:szCs w:val="24"/>
          <w:lang w:val="en-GB"/>
        </w:rPr>
        <w:t xml:space="preserve">Brussels, </w:t>
      </w:r>
      <w:r w:rsidR="0037691A">
        <w:rPr>
          <w:sz w:val="24"/>
          <w:szCs w:val="24"/>
          <w:lang w:val="en-GB"/>
        </w:rPr>
        <w:t>3 June</w:t>
      </w:r>
      <w:r w:rsidRPr="00943E6A">
        <w:rPr>
          <w:sz w:val="24"/>
          <w:szCs w:val="24"/>
          <w:lang w:val="en-GB"/>
        </w:rPr>
        <w:t xml:space="preserve"> 2025</w:t>
      </w:r>
    </w:p>
    <w:p w14:paraId="0F2C92BB" w14:textId="77777777" w:rsidR="00943E6A" w:rsidRPr="00943E6A" w:rsidRDefault="00943E6A" w:rsidP="00943E6A">
      <w:pPr>
        <w:jc w:val="center"/>
        <w:rPr>
          <w:sz w:val="32"/>
          <w:szCs w:val="32"/>
          <w:lang w:val="en-GB"/>
        </w:rPr>
      </w:pPr>
    </w:p>
    <w:p w14:paraId="3C05D16C" w14:textId="77777777" w:rsidR="00943E6A" w:rsidRPr="00943E6A" w:rsidRDefault="00943E6A" w:rsidP="00943E6A">
      <w:pPr>
        <w:jc w:val="center"/>
        <w:rPr>
          <w:sz w:val="32"/>
          <w:szCs w:val="32"/>
          <w:lang w:val="en-GB"/>
        </w:rPr>
      </w:pPr>
    </w:p>
    <w:p w14:paraId="463FECA2" w14:textId="77777777" w:rsidR="00943E6A" w:rsidRPr="00943E6A" w:rsidRDefault="00943E6A" w:rsidP="00943E6A">
      <w:pPr>
        <w:overflowPunct w:val="0"/>
        <w:autoSpaceDE w:val="0"/>
        <w:autoSpaceDN w:val="0"/>
        <w:adjustRightInd w:val="0"/>
        <w:jc w:val="center"/>
        <w:textAlignment w:val="baseline"/>
        <w:rPr>
          <w:b/>
          <w:sz w:val="28"/>
          <w:szCs w:val="28"/>
          <w:lang w:val="en-GB"/>
        </w:rPr>
      </w:pPr>
      <w:r w:rsidRPr="00943E6A">
        <w:rPr>
          <w:b/>
          <w:sz w:val="28"/>
          <w:szCs w:val="28"/>
          <w:lang w:val="en-GB"/>
        </w:rPr>
        <w:t>20th EU-China Round Table</w:t>
      </w:r>
    </w:p>
    <w:p w14:paraId="1D65D8DF" w14:textId="77777777" w:rsidR="00943E6A" w:rsidRPr="00943E6A" w:rsidRDefault="00943E6A" w:rsidP="00943E6A">
      <w:pPr>
        <w:overflowPunct w:val="0"/>
        <w:autoSpaceDE w:val="0"/>
        <w:autoSpaceDN w:val="0"/>
        <w:adjustRightInd w:val="0"/>
        <w:jc w:val="center"/>
        <w:textAlignment w:val="baseline"/>
        <w:rPr>
          <w:b/>
          <w:sz w:val="28"/>
          <w:szCs w:val="28"/>
          <w:lang w:val="en-GB"/>
        </w:rPr>
      </w:pPr>
      <w:r w:rsidRPr="00943E6A">
        <w:rPr>
          <w:b/>
          <w:sz w:val="28"/>
          <w:szCs w:val="28"/>
          <w:lang w:val="en-GB"/>
        </w:rPr>
        <w:t>9-10 June 2025</w:t>
      </w:r>
    </w:p>
    <w:p w14:paraId="673DAA91" w14:textId="77777777" w:rsidR="00943E6A" w:rsidRPr="00943E6A" w:rsidRDefault="00943E6A" w:rsidP="00943E6A">
      <w:pPr>
        <w:overflowPunct w:val="0"/>
        <w:autoSpaceDE w:val="0"/>
        <w:autoSpaceDN w:val="0"/>
        <w:adjustRightInd w:val="0"/>
        <w:jc w:val="center"/>
        <w:textAlignment w:val="baseline"/>
        <w:rPr>
          <w:b/>
          <w:sz w:val="32"/>
          <w:szCs w:val="32"/>
          <w:lang w:val="en-GB"/>
        </w:rPr>
      </w:pPr>
      <w:r w:rsidRPr="00943E6A">
        <w:rPr>
          <w:b/>
          <w:sz w:val="28"/>
          <w:szCs w:val="28"/>
          <w:lang w:val="en-GB"/>
        </w:rPr>
        <w:t>Madrid, Spain</w:t>
      </w:r>
    </w:p>
    <w:p w14:paraId="43C5686C" w14:textId="77777777" w:rsidR="00943E6A" w:rsidRPr="00943E6A" w:rsidRDefault="00943E6A" w:rsidP="00943E6A">
      <w:pPr>
        <w:overflowPunct w:val="0"/>
        <w:autoSpaceDE w:val="0"/>
        <w:autoSpaceDN w:val="0"/>
        <w:adjustRightInd w:val="0"/>
        <w:jc w:val="center"/>
        <w:textAlignment w:val="baseline"/>
        <w:rPr>
          <w:sz w:val="32"/>
          <w:szCs w:val="32"/>
          <w:lang w:val="en-GB"/>
        </w:rPr>
      </w:pPr>
    </w:p>
    <w:p w14:paraId="50DDCA62" w14:textId="77777777" w:rsidR="00943E6A" w:rsidRPr="00943E6A" w:rsidRDefault="00943E6A" w:rsidP="00943E6A">
      <w:pPr>
        <w:overflowPunct w:val="0"/>
        <w:autoSpaceDE w:val="0"/>
        <w:autoSpaceDN w:val="0"/>
        <w:adjustRightInd w:val="0"/>
        <w:jc w:val="center"/>
        <w:textAlignment w:val="baseline"/>
        <w:rPr>
          <w:b/>
          <w:sz w:val="28"/>
          <w:szCs w:val="28"/>
          <w:lang w:val="en-GB"/>
        </w:rPr>
      </w:pPr>
      <w:r w:rsidRPr="00943E6A">
        <w:rPr>
          <w:b/>
          <w:sz w:val="28"/>
          <w:szCs w:val="28"/>
          <w:lang w:val="en-GB"/>
        </w:rPr>
        <w:t>The EU’s Global Gateway Strategy and China’s Belt and Road Initiative: bridging global investment and connectivity gaps</w:t>
      </w:r>
    </w:p>
    <w:p w14:paraId="67A9ECA3" w14:textId="77777777" w:rsidR="00943E6A" w:rsidRPr="00943E6A" w:rsidRDefault="00943E6A" w:rsidP="00943E6A">
      <w:pPr>
        <w:overflowPunct w:val="0"/>
        <w:autoSpaceDE w:val="0"/>
        <w:autoSpaceDN w:val="0"/>
        <w:adjustRightInd w:val="0"/>
        <w:jc w:val="center"/>
        <w:textAlignment w:val="baseline"/>
        <w:rPr>
          <w:sz w:val="32"/>
          <w:szCs w:val="32"/>
          <w:lang w:val="en-GB"/>
        </w:rPr>
      </w:pPr>
    </w:p>
    <w:p w14:paraId="7CE81DA6" w14:textId="77777777" w:rsidR="00943E6A" w:rsidRPr="00943E6A" w:rsidRDefault="00943E6A" w:rsidP="00943E6A">
      <w:pPr>
        <w:overflowPunct w:val="0"/>
        <w:autoSpaceDE w:val="0"/>
        <w:autoSpaceDN w:val="0"/>
        <w:adjustRightInd w:val="0"/>
        <w:jc w:val="center"/>
        <w:textAlignment w:val="baseline"/>
        <w:rPr>
          <w:sz w:val="32"/>
          <w:szCs w:val="32"/>
          <w:lang w:val="en-GB"/>
        </w:rPr>
      </w:pPr>
      <w:bookmarkStart w:id="0" w:name="_Hlk197448873"/>
      <w:r w:rsidRPr="00943E6A">
        <w:rPr>
          <w:sz w:val="32"/>
          <w:szCs w:val="32"/>
          <w:lang w:val="en-GB"/>
        </w:rPr>
        <w:t>_____________</w:t>
      </w:r>
    </w:p>
    <w:p w14:paraId="6FC673D8" w14:textId="77777777" w:rsidR="00943E6A" w:rsidRPr="00943E6A" w:rsidRDefault="00943E6A" w:rsidP="00943E6A">
      <w:pPr>
        <w:overflowPunct w:val="0"/>
        <w:autoSpaceDE w:val="0"/>
        <w:autoSpaceDN w:val="0"/>
        <w:adjustRightInd w:val="0"/>
        <w:jc w:val="center"/>
        <w:textAlignment w:val="baseline"/>
        <w:rPr>
          <w:sz w:val="32"/>
          <w:szCs w:val="32"/>
          <w:lang w:val="en-GB"/>
        </w:rPr>
      </w:pPr>
    </w:p>
    <w:bookmarkEnd w:id="0"/>
    <w:p w14:paraId="2B572021" w14:textId="77777777" w:rsidR="00943E6A" w:rsidRPr="00943E6A" w:rsidRDefault="00943E6A" w:rsidP="00943E6A">
      <w:pPr>
        <w:overflowPunct w:val="0"/>
        <w:autoSpaceDE w:val="0"/>
        <w:autoSpaceDN w:val="0"/>
        <w:adjustRightInd w:val="0"/>
        <w:jc w:val="center"/>
        <w:textAlignment w:val="baseline"/>
        <w:rPr>
          <w:sz w:val="24"/>
          <w:szCs w:val="24"/>
          <w:lang w:val="en-GB"/>
        </w:rPr>
      </w:pPr>
      <w:r w:rsidRPr="00943E6A">
        <w:rPr>
          <w:sz w:val="24"/>
          <w:szCs w:val="24"/>
          <w:lang w:val="en-GB"/>
        </w:rPr>
        <w:t xml:space="preserve">Rapporteur: </w:t>
      </w:r>
      <w:r w:rsidRPr="00943E6A">
        <w:rPr>
          <w:b/>
          <w:bCs/>
          <w:sz w:val="24"/>
          <w:szCs w:val="24"/>
          <w:lang w:val="en-GB"/>
        </w:rPr>
        <w:t>Stefano PALMIERI</w:t>
      </w:r>
      <w:r w:rsidRPr="00943E6A">
        <w:rPr>
          <w:sz w:val="24"/>
          <w:szCs w:val="24"/>
          <w:lang w:val="en-GB"/>
        </w:rPr>
        <w:t>, EESC member (Group II – Workers – Italy)</w:t>
      </w:r>
    </w:p>
    <w:p w14:paraId="487852CD" w14:textId="77777777" w:rsidR="00943E6A" w:rsidRPr="00943E6A" w:rsidRDefault="00943E6A" w:rsidP="00943E6A">
      <w:pPr>
        <w:overflowPunct w:val="0"/>
        <w:autoSpaceDE w:val="0"/>
        <w:autoSpaceDN w:val="0"/>
        <w:adjustRightInd w:val="0"/>
        <w:jc w:val="center"/>
        <w:textAlignment w:val="baseline"/>
        <w:rPr>
          <w:sz w:val="24"/>
          <w:szCs w:val="24"/>
          <w:lang w:val="en-GB"/>
        </w:rPr>
      </w:pPr>
      <w:r w:rsidRPr="00943E6A">
        <w:rPr>
          <w:sz w:val="24"/>
          <w:szCs w:val="24"/>
          <w:lang w:val="en-GB"/>
        </w:rPr>
        <w:t xml:space="preserve">Co-rapporteur: </w:t>
      </w:r>
      <w:r w:rsidRPr="00943E6A">
        <w:rPr>
          <w:b/>
          <w:bCs/>
          <w:sz w:val="24"/>
          <w:szCs w:val="24"/>
          <w:lang w:val="en-GB"/>
        </w:rPr>
        <w:t>Jacek KRAWCZYK</w:t>
      </w:r>
      <w:r w:rsidRPr="00943E6A">
        <w:rPr>
          <w:sz w:val="24"/>
          <w:szCs w:val="24"/>
          <w:lang w:val="en-GB"/>
        </w:rPr>
        <w:t>, EESC member (Group I – Employers – Poland)</w:t>
      </w:r>
    </w:p>
    <w:p w14:paraId="4B0D60E2" w14:textId="77777777" w:rsidR="00943E6A" w:rsidRPr="00943E6A" w:rsidRDefault="00943E6A" w:rsidP="00943E6A">
      <w:pPr>
        <w:overflowPunct w:val="0"/>
        <w:autoSpaceDE w:val="0"/>
        <w:autoSpaceDN w:val="0"/>
        <w:adjustRightInd w:val="0"/>
        <w:jc w:val="center"/>
        <w:textAlignment w:val="baseline"/>
        <w:rPr>
          <w:sz w:val="24"/>
          <w:szCs w:val="24"/>
          <w:lang w:val="en-GB"/>
        </w:rPr>
      </w:pPr>
    </w:p>
    <w:p w14:paraId="5B4A92D8" w14:textId="77777777" w:rsidR="00943E6A" w:rsidRPr="00943E6A" w:rsidRDefault="00943E6A" w:rsidP="00943E6A">
      <w:pPr>
        <w:overflowPunct w:val="0"/>
        <w:autoSpaceDE w:val="0"/>
        <w:autoSpaceDN w:val="0"/>
        <w:adjustRightInd w:val="0"/>
        <w:jc w:val="center"/>
        <w:textAlignment w:val="baseline"/>
        <w:rPr>
          <w:sz w:val="32"/>
          <w:szCs w:val="32"/>
          <w:lang w:val="en-GB"/>
        </w:rPr>
      </w:pPr>
      <w:r w:rsidRPr="00943E6A">
        <w:rPr>
          <w:sz w:val="32"/>
          <w:szCs w:val="32"/>
          <w:lang w:val="en-GB"/>
        </w:rPr>
        <w:t>_____________</w:t>
      </w:r>
    </w:p>
    <w:p w14:paraId="55E40479" w14:textId="77777777" w:rsidR="00943E6A" w:rsidRDefault="00943E6A">
      <w:pPr>
        <w:rPr>
          <w:lang w:val="sl-SI"/>
        </w:rPr>
      </w:pPr>
    </w:p>
    <w:p w14:paraId="50FBBC74" w14:textId="68856C40" w:rsidR="0037691A" w:rsidRDefault="0037691A">
      <w:pPr>
        <w:spacing w:after="160" w:line="278" w:lineRule="auto"/>
        <w:jc w:val="left"/>
        <w:rPr>
          <w:b/>
          <w:lang w:val="en-GB"/>
        </w:rPr>
      </w:pPr>
      <w:r>
        <w:rPr>
          <w:b/>
          <w:lang w:val="en-GB"/>
        </w:rPr>
        <w:br w:type="page"/>
      </w:r>
    </w:p>
    <w:p w14:paraId="531666BA" w14:textId="64799251" w:rsidR="00943E6A" w:rsidRPr="00943E6A" w:rsidRDefault="00943E6A" w:rsidP="00943E6A">
      <w:pPr>
        <w:pStyle w:val="Heading1"/>
        <w:rPr>
          <w:b/>
          <w:bCs/>
          <w:lang w:val="en-GB"/>
        </w:rPr>
      </w:pPr>
      <w:r w:rsidRPr="00943E6A">
        <w:rPr>
          <w:b/>
          <w:bCs/>
          <w:lang w:val="en-GB"/>
        </w:rPr>
        <w:lastRenderedPageBreak/>
        <w:t>Introduction</w:t>
      </w:r>
    </w:p>
    <w:p w14:paraId="1D6FD918" w14:textId="77777777" w:rsidR="00943E6A" w:rsidRPr="00943E6A" w:rsidRDefault="00943E6A" w:rsidP="00943E6A">
      <w:pPr>
        <w:rPr>
          <w:lang w:val="en-GB"/>
        </w:rPr>
      </w:pPr>
    </w:p>
    <w:p w14:paraId="66E83A4B" w14:textId="77777777" w:rsidR="00943E6A" w:rsidRPr="00943E6A" w:rsidRDefault="00943E6A" w:rsidP="00943E6A">
      <w:pPr>
        <w:pStyle w:val="Heading2"/>
        <w:rPr>
          <w:lang w:val="en-GB"/>
        </w:rPr>
      </w:pPr>
      <w:r w:rsidRPr="00943E6A">
        <w:rPr>
          <w:lang w:val="en-GB"/>
        </w:rPr>
        <w:t>The global infrastructure investment gap has been widening in recent years, even more so in the aftermath of the ‘</w:t>
      </w:r>
      <w:proofErr w:type="spellStart"/>
      <w:r w:rsidRPr="00943E6A">
        <w:rPr>
          <w:lang w:val="en-GB"/>
        </w:rPr>
        <w:t>polycrisis</w:t>
      </w:r>
      <w:proofErr w:type="spellEnd"/>
      <w:r w:rsidRPr="00943E6A">
        <w:rPr>
          <w:lang w:val="en-GB"/>
        </w:rPr>
        <w:t xml:space="preserve">’ caused by the pandemic, Russia’s unprovoked and </w:t>
      </w:r>
      <w:proofErr w:type="gramStart"/>
      <w:r w:rsidRPr="00943E6A">
        <w:rPr>
          <w:lang w:val="en-GB"/>
        </w:rPr>
        <w:t>unjustified  full</w:t>
      </w:r>
      <w:proofErr w:type="gramEnd"/>
      <w:r w:rsidRPr="00943E6A">
        <w:rPr>
          <w:lang w:val="en-GB"/>
        </w:rPr>
        <w:t xml:space="preserve">-scale war of aggression and the recent </w:t>
      </w:r>
      <w:proofErr w:type="gramStart"/>
      <w:r w:rsidRPr="00943E6A">
        <w:rPr>
          <w:lang w:val="en-GB"/>
        </w:rPr>
        <w:t>Israeli-Palestinian</w:t>
      </w:r>
      <w:proofErr w:type="gramEnd"/>
      <w:r w:rsidRPr="00943E6A">
        <w:rPr>
          <w:lang w:val="en-GB"/>
        </w:rPr>
        <w:t xml:space="preserve"> conflict.</w:t>
      </w:r>
    </w:p>
    <w:p w14:paraId="76114182" w14:textId="77777777" w:rsidR="00943E6A" w:rsidRPr="00943E6A" w:rsidRDefault="00943E6A" w:rsidP="00943E6A">
      <w:pPr>
        <w:rPr>
          <w:lang w:val="en-GB"/>
        </w:rPr>
      </w:pPr>
    </w:p>
    <w:p w14:paraId="0F0B1882" w14:textId="77777777" w:rsidR="00943E6A" w:rsidRPr="00943E6A" w:rsidRDefault="00943E6A" w:rsidP="00943E6A">
      <w:pPr>
        <w:pStyle w:val="Heading2"/>
        <w:rPr>
          <w:lang w:val="en-GB"/>
        </w:rPr>
      </w:pPr>
      <w:r w:rsidRPr="00943E6A">
        <w:rPr>
          <w:lang w:val="en-GB"/>
        </w:rPr>
        <w:t>As well as negatively affecting global connectivity, this underfunding represents an opportunity for the major global players present on the world stage to widen their geopolitical sphere of influence where infrastructure now represents the core policy.</w:t>
      </w:r>
    </w:p>
    <w:p w14:paraId="37B7E581" w14:textId="77777777" w:rsidR="00943E6A" w:rsidRPr="00943E6A" w:rsidRDefault="00943E6A" w:rsidP="00943E6A"/>
    <w:p w14:paraId="24EC5B22" w14:textId="77777777" w:rsidR="00943E6A" w:rsidRPr="00943E6A" w:rsidRDefault="00943E6A" w:rsidP="00943E6A">
      <w:pPr>
        <w:pStyle w:val="Heading2"/>
        <w:rPr>
          <w:lang w:val="en-GB"/>
        </w:rPr>
      </w:pPr>
      <w:r w:rsidRPr="00943E6A">
        <w:t>Over</w:t>
      </w:r>
      <w:r w:rsidRPr="00943E6A">
        <w:rPr>
          <w:lang w:val="en-GB"/>
        </w:rPr>
        <w:t xml:space="preserve"> the last decade, some countries have implemented a strategy whereby soft power and political influence are carefully applied via major investment programmes targeting partner countries, such as the Belt and Road Initiative (BRI) adopted by the People’s Republic of China (PRC) in 2013, the G7’s Partnership for Global Infrastructure and Investment (PGII), the UK’s Clean Green Initiative, and Japan’s Partnership for Quality. </w:t>
      </w:r>
    </w:p>
    <w:p w14:paraId="1A70F5F4" w14:textId="77777777" w:rsidR="00943E6A" w:rsidRPr="00943E6A" w:rsidRDefault="00943E6A" w:rsidP="00943E6A">
      <w:pPr>
        <w:rPr>
          <w:lang w:val="en-GB"/>
        </w:rPr>
      </w:pPr>
    </w:p>
    <w:p w14:paraId="7A9859DE" w14:textId="77777777" w:rsidR="00943E6A" w:rsidRPr="00943E6A" w:rsidRDefault="00943E6A" w:rsidP="00943E6A">
      <w:pPr>
        <w:pStyle w:val="Heading2"/>
        <w:rPr>
          <w:lang w:val="en-GB"/>
        </w:rPr>
      </w:pPr>
      <w:r w:rsidRPr="00943E6A">
        <w:rPr>
          <w:lang w:val="en-GB"/>
        </w:rPr>
        <w:t>In December 2021, the EU launched its own strategy, the Global Gateway Strategy (Global Gateway) with the aim of contributing to narrowing the global investment gap and supporting global connectivity through sustainable investments. The Global Gateway was in a way an EU response to a shifting balance in global infrastructure investment, and particularly to the BRI.</w:t>
      </w:r>
    </w:p>
    <w:p w14:paraId="41BC9DBF" w14:textId="77777777" w:rsidR="00943E6A" w:rsidRPr="00943E6A" w:rsidRDefault="00943E6A" w:rsidP="00943E6A">
      <w:pPr>
        <w:rPr>
          <w:lang w:val="en-GB"/>
        </w:rPr>
      </w:pPr>
    </w:p>
    <w:p w14:paraId="7BFC8B37" w14:textId="77777777" w:rsidR="00943E6A" w:rsidRPr="00943E6A" w:rsidRDefault="00943E6A" w:rsidP="00943E6A">
      <w:pPr>
        <w:pStyle w:val="Heading3"/>
        <w:rPr>
          <w:lang w:val="en-GB"/>
        </w:rPr>
      </w:pPr>
      <w:r w:rsidRPr="00943E6A">
        <w:rPr>
          <w:lang w:val="en-GB"/>
        </w:rPr>
        <w:t xml:space="preserve">Until at least 2019, some of the 27 EU Member States had implemented individual approaches to the BRI in terms of: </w:t>
      </w:r>
    </w:p>
    <w:p w14:paraId="2275AD3A" w14:textId="77777777" w:rsidR="00943E6A" w:rsidRPr="00943E6A" w:rsidRDefault="00943E6A" w:rsidP="00943E6A">
      <w:pPr>
        <w:rPr>
          <w:lang w:val="en-GB"/>
        </w:rPr>
      </w:pPr>
    </w:p>
    <w:p w14:paraId="17834172" w14:textId="77777777" w:rsidR="00943E6A" w:rsidRPr="00943E6A" w:rsidRDefault="00943E6A" w:rsidP="00943E6A">
      <w:pPr>
        <w:numPr>
          <w:ilvl w:val="0"/>
          <w:numId w:val="8"/>
        </w:numPr>
        <w:rPr>
          <w:lang w:val="en-GB"/>
        </w:rPr>
      </w:pPr>
      <w:r w:rsidRPr="00943E6A">
        <w:rPr>
          <w:b/>
          <w:i/>
          <w:u w:val="single"/>
          <w:lang w:val="en-GB"/>
        </w:rPr>
        <w:t>a shared vision of the initiative</w:t>
      </w:r>
      <w:r w:rsidRPr="00943E6A">
        <w:rPr>
          <w:lang w:val="en-GB"/>
        </w:rPr>
        <w:t>, with 18 EU Member States having signed memoranda of understanding with China</w:t>
      </w:r>
      <w:r w:rsidRPr="00943E6A">
        <w:rPr>
          <w:vertAlign w:val="superscript"/>
          <w:lang w:val="en-GB"/>
        </w:rPr>
        <w:footnoteReference w:id="1"/>
      </w:r>
      <w:r w:rsidRPr="00943E6A">
        <w:rPr>
          <w:lang w:val="en-GB"/>
        </w:rPr>
        <w:t xml:space="preserve"> and 20 having joined the BRI’s main financial instrument (the Asian Infrastructure Investment Bank (AIIB));</w:t>
      </w:r>
    </w:p>
    <w:p w14:paraId="21726ECF" w14:textId="77777777" w:rsidR="00943E6A" w:rsidRPr="00943E6A" w:rsidRDefault="00943E6A" w:rsidP="00943E6A">
      <w:pPr>
        <w:rPr>
          <w:lang w:val="en-GB"/>
        </w:rPr>
      </w:pPr>
    </w:p>
    <w:p w14:paraId="3E11BE1C" w14:textId="77777777" w:rsidR="00943E6A" w:rsidRPr="00943E6A" w:rsidRDefault="00943E6A" w:rsidP="00943E6A">
      <w:pPr>
        <w:numPr>
          <w:ilvl w:val="0"/>
          <w:numId w:val="8"/>
        </w:numPr>
        <w:rPr>
          <w:lang w:val="en-GB"/>
        </w:rPr>
      </w:pPr>
      <w:r w:rsidRPr="00943E6A">
        <w:rPr>
          <w:b/>
          <w:i/>
          <w:u w:val="single"/>
          <w:lang w:val="en-GB"/>
        </w:rPr>
        <w:t xml:space="preserve">its potential effects </w:t>
      </w:r>
      <w:proofErr w:type="gramStart"/>
      <w:r w:rsidRPr="00943E6A">
        <w:rPr>
          <w:b/>
          <w:i/>
          <w:u w:val="single"/>
          <w:lang w:val="en-GB"/>
        </w:rPr>
        <w:t>with regard to</w:t>
      </w:r>
      <w:proofErr w:type="gramEnd"/>
      <w:r w:rsidRPr="00943E6A">
        <w:rPr>
          <w:b/>
          <w:i/>
          <w:u w:val="single"/>
          <w:lang w:val="en-GB"/>
        </w:rPr>
        <w:t xml:space="preserve"> neighbourhood policies</w:t>
      </w:r>
      <w:r w:rsidRPr="00943E6A">
        <w:rPr>
          <w:lang w:val="en-GB"/>
        </w:rPr>
        <w:t xml:space="preserve"> (e.g. the effects of grouping 14+1 countries with 9 EU Member States</w:t>
      </w:r>
      <w:r w:rsidRPr="00943E6A">
        <w:rPr>
          <w:vertAlign w:val="superscript"/>
          <w:lang w:val="en-GB"/>
        </w:rPr>
        <w:footnoteReference w:id="2"/>
      </w:r>
      <w:r w:rsidRPr="00943E6A">
        <w:rPr>
          <w:lang w:val="en-GB"/>
        </w:rPr>
        <w:t xml:space="preserve">, </w:t>
      </w:r>
      <w:proofErr w:type="gramStart"/>
      <w:r w:rsidRPr="00943E6A">
        <w:rPr>
          <w:lang w:val="en-GB"/>
        </w:rPr>
        <w:t>in particular with</w:t>
      </w:r>
      <w:proofErr w:type="gramEnd"/>
      <w:r w:rsidRPr="00943E6A">
        <w:rPr>
          <w:lang w:val="en-GB"/>
        </w:rPr>
        <w:t xml:space="preserve"> the Balkan region) and </w:t>
      </w:r>
      <w:r w:rsidRPr="00943E6A">
        <w:rPr>
          <w:b/>
          <w:i/>
          <w:u w:val="single"/>
          <w:lang w:val="en-GB"/>
        </w:rPr>
        <w:t>established EU programmes</w:t>
      </w:r>
      <w:r w:rsidRPr="00943E6A">
        <w:rPr>
          <w:lang w:val="en-GB"/>
        </w:rPr>
        <w:t xml:space="preserve"> such as the trans-European Transport Network (TEN-T).</w:t>
      </w:r>
    </w:p>
    <w:p w14:paraId="49B719E1" w14:textId="77777777" w:rsidR="00943E6A" w:rsidRPr="00943E6A" w:rsidRDefault="00943E6A" w:rsidP="00943E6A">
      <w:pPr>
        <w:rPr>
          <w:lang w:val="en-GB"/>
        </w:rPr>
      </w:pPr>
    </w:p>
    <w:p w14:paraId="1068A130" w14:textId="77777777" w:rsidR="00943E6A" w:rsidRPr="00943E6A" w:rsidRDefault="00943E6A" w:rsidP="00943E6A">
      <w:pPr>
        <w:pStyle w:val="Heading3"/>
        <w:rPr>
          <w:lang w:val="en-GB"/>
        </w:rPr>
      </w:pPr>
      <w:r w:rsidRPr="00943E6A">
        <w:rPr>
          <w:lang w:val="en-GB"/>
        </w:rPr>
        <w:t xml:space="preserve">In 2019, the EU strategy towards China changed due to the shifts in geopolitical and economic competition. The Joint Communication of the European Commission and the High Representative for Foreign Affairs and Security Policy entitled </w:t>
      </w:r>
      <w:r w:rsidRPr="00943E6A">
        <w:rPr>
          <w:i/>
          <w:iCs/>
          <w:lang w:val="en-GB"/>
        </w:rPr>
        <w:t>EU-China – A strategic outlook</w:t>
      </w:r>
      <w:r w:rsidRPr="00943E6A">
        <w:rPr>
          <w:lang w:val="en-GB"/>
        </w:rPr>
        <w:t xml:space="preserve"> (JOIN(2019) 5 final) established a definitive shift from a vision of China as a ‘</w:t>
      </w:r>
      <w:r w:rsidRPr="00943E6A">
        <w:rPr>
          <w:b/>
          <w:i/>
          <w:lang w:val="en-GB"/>
        </w:rPr>
        <w:t>strategic partner</w:t>
      </w:r>
      <w:r w:rsidRPr="00943E6A">
        <w:rPr>
          <w:bCs/>
          <w:iCs/>
          <w:lang w:val="en-GB"/>
        </w:rPr>
        <w:t>’</w:t>
      </w:r>
      <w:r w:rsidRPr="00943E6A">
        <w:rPr>
          <w:lang w:val="en-GB"/>
        </w:rPr>
        <w:t xml:space="preserve"> to a differentiated framework in which it is perceived as ‘</w:t>
      </w:r>
      <w:r w:rsidRPr="00943E6A">
        <w:rPr>
          <w:b/>
          <w:i/>
          <w:lang w:val="en-GB"/>
        </w:rPr>
        <w:t>a cooperation partner, a negotiating partner, an economic competitor and a systemic rival</w:t>
      </w:r>
      <w:r w:rsidRPr="00943E6A">
        <w:rPr>
          <w:bCs/>
          <w:iCs/>
          <w:lang w:val="en-GB"/>
        </w:rPr>
        <w:t>’</w:t>
      </w:r>
      <w:r w:rsidRPr="00943E6A">
        <w:rPr>
          <w:lang w:val="en-GB"/>
        </w:rPr>
        <w:t xml:space="preserve">. This moment marks a key point in EU-China relations, with China starting to be perceived rather as a systemic rival, moving away from the role of partner. Three objectives were set: i) deepen the EU’s engagement with China to promote common interests at global level; (ii) seek more balanced and reciprocal economic </w:t>
      </w:r>
      <w:r w:rsidRPr="00943E6A">
        <w:rPr>
          <w:lang w:val="en-GB"/>
        </w:rPr>
        <w:lastRenderedPageBreak/>
        <w:t xml:space="preserve">relations; and (iii) strengthen the EU’s own domestic policies and industrial base. Ten actions were also established, to be implemented by means of </w:t>
      </w:r>
      <w:r w:rsidRPr="00943E6A">
        <w:rPr>
          <w:u w:val="single"/>
          <w:lang w:val="en-GB"/>
        </w:rPr>
        <w:t>a uniform approach by all 27 EU Member States</w:t>
      </w:r>
      <w:r w:rsidRPr="00943E6A">
        <w:rPr>
          <w:lang w:val="en-GB"/>
        </w:rPr>
        <w:t>. In this document, the EU called for a ‘</w:t>
      </w:r>
      <w:r w:rsidRPr="00943E6A">
        <w:rPr>
          <w:b/>
          <w:lang w:val="en-GB"/>
        </w:rPr>
        <w:t>One China Policy</w:t>
      </w:r>
      <w:r w:rsidRPr="00943E6A">
        <w:rPr>
          <w:bCs/>
          <w:lang w:val="en-GB"/>
        </w:rPr>
        <w:t>’</w:t>
      </w:r>
      <w:r w:rsidRPr="00943E6A">
        <w:rPr>
          <w:b/>
          <w:lang w:val="en-GB"/>
        </w:rPr>
        <w:t xml:space="preserve"> </w:t>
      </w:r>
      <w:r w:rsidRPr="00943E6A">
        <w:rPr>
          <w:bCs/>
          <w:lang w:val="en-GB"/>
        </w:rPr>
        <w:t>to be</w:t>
      </w:r>
      <w:r w:rsidRPr="00943E6A">
        <w:rPr>
          <w:b/>
          <w:lang w:val="en-GB"/>
        </w:rPr>
        <w:t xml:space="preserve"> </w:t>
      </w:r>
      <w:r w:rsidRPr="00943E6A">
        <w:rPr>
          <w:lang w:val="en-GB"/>
        </w:rPr>
        <w:t>adopted by the EU to be matched on the Chinese side by a ‘</w:t>
      </w:r>
      <w:r w:rsidRPr="00943E6A">
        <w:rPr>
          <w:b/>
          <w:lang w:val="en-GB"/>
        </w:rPr>
        <w:t>One Europe Policy</w:t>
      </w:r>
      <w:r w:rsidRPr="00943E6A">
        <w:rPr>
          <w:bCs/>
          <w:lang w:val="en-GB"/>
        </w:rPr>
        <w:t>’</w:t>
      </w:r>
      <w:r w:rsidRPr="00943E6A">
        <w:rPr>
          <w:lang w:val="en-GB"/>
        </w:rPr>
        <w:t>, without creating any divisions within the EU.</w:t>
      </w:r>
    </w:p>
    <w:p w14:paraId="18FC56C0" w14:textId="77777777" w:rsidR="00943E6A" w:rsidRPr="00943E6A" w:rsidRDefault="00943E6A" w:rsidP="00943E6A">
      <w:pPr>
        <w:rPr>
          <w:lang w:val="en-GB"/>
        </w:rPr>
      </w:pPr>
    </w:p>
    <w:p w14:paraId="2398D2F4" w14:textId="77777777" w:rsidR="00943E6A" w:rsidRPr="00943E6A" w:rsidRDefault="00943E6A" w:rsidP="00943E6A">
      <w:pPr>
        <w:pStyle w:val="Heading3"/>
        <w:rPr>
          <w:lang w:val="en-GB"/>
        </w:rPr>
      </w:pPr>
      <w:r w:rsidRPr="00943E6A">
        <w:rPr>
          <w:lang w:val="en-GB"/>
        </w:rPr>
        <w:t>This change of approach by the EU was reinforced in 2020-2022 by the consequences of the COVID-19 crisis (disruption of supply chains of goods and services, dependence on supplies of strategic products, etc.), the effects of Russia’s unjustified and unprovoked full-scale war of aggression against Ukraine (global food security, energy dependency, inflation, stagnation, influx of Ukrainian refugees) and a series of policies implemented by the PRC (countermeasures against EU human rights sanctions, trade measures against the single market and China’s position on the  unjustified, unprovoked full-scale Russian war of aggression against Ukraine that the EU perceives as political and diplomatic support to Russia).</w:t>
      </w:r>
    </w:p>
    <w:p w14:paraId="38E18DE4" w14:textId="77777777" w:rsidR="00943E6A" w:rsidRPr="00943E6A" w:rsidRDefault="00943E6A" w:rsidP="00943E6A">
      <w:pPr>
        <w:rPr>
          <w:lang w:val="en-GB"/>
        </w:rPr>
      </w:pPr>
    </w:p>
    <w:p w14:paraId="400D46F5" w14:textId="77777777" w:rsidR="00943E6A" w:rsidRPr="00943E6A" w:rsidRDefault="00943E6A" w:rsidP="00943E6A">
      <w:pPr>
        <w:pStyle w:val="Heading2"/>
        <w:rPr>
          <w:lang w:val="en-GB"/>
        </w:rPr>
      </w:pPr>
      <w:r w:rsidRPr="00943E6A">
        <w:rPr>
          <w:lang w:val="en-GB"/>
        </w:rPr>
        <w:t xml:space="preserve">It is in this context that the European Union – through the European Council (the Council) conclusions of 29 March 2022 – has promoted </w:t>
      </w:r>
      <w:r w:rsidRPr="00943E6A">
        <w:rPr>
          <w:b/>
          <w:i/>
          <w:lang w:val="en-GB"/>
        </w:rPr>
        <w:t>the principle of the European Union’s open strategic autonomy</w:t>
      </w:r>
      <w:r w:rsidRPr="00943E6A">
        <w:rPr>
          <w:lang w:val="en-GB"/>
        </w:rPr>
        <w:t xml:space="preserve">, with the aim of achieving a principle by which it reaffirms the commitment made at the Versailles Summit of 10 and 11 March 2022 to </w:t>
      </w:r>
      <w:r w:rsidRPr="00943E6A">
        <w:rPr>
          <w:iCs/>
          <w:lang w:val="en-GB"/>
        </w:rPr>
        <w:t>‘take more responsibility for the EU’s security and to take further decisive steps towards building our European sovereignty</w:t>
      </w:r>
      <w:r w:rsidRPr="00943E6A">
        <w:rPr>
          <w:i/>
          <w:lang w:val="en-GB"/>
        </w:rPr>
        <w:t xml:space="preserve">, </w:t>
      </w:r>
      <w:r w:rsidRPr="00943E6A">
        <w:rPr>
          <w:iCs/>
          <w:lang w:val="en-GB"/>
        </w:rPr>
        <w:t>reducing its dependencies and designing a new growth and investment model for 2030’</w:t>
      </w:r>
      <w:r w:rsidRPr="00943E6A">
        <w:rPr>
          <w:lang w:val="en-GB"/>
        </w:rPr>
        <w:t>, while striving to ‘</w:t>
      </w:r>
      <w:r w:rsidRPr="00943E6A">
        <w:rPr>
          <w:iCs/>
          <w:lang w:val="en-GB"/>
        </w:rPr>
        <w:t>achieve its economic and financial autonomy, while maintaining its openness, global cooperation with like-minded partners and their competitiveness, and reap the potential benefits thereof’</w:t>
      </w:r>
      <w:r w:rsidRPr="00943E6A">
        <w:rPr>
          <w:lang w:val="en-GB"/>
        </w:rPr>
        <w:t>.</w:t>
      </w:r>
    </w:p>
    <w:p w14:paraId="58680AC1" w14:textId="77777777" w:rsidR="00943E6A" w:rsidRPr="00943E6A" w:rsidRDefault="00943E6A" w:rsidP="00943E6A">
      <w:pPr>
        <w:rPr>
          <w:lang w:val="en-GB"/>
        </w:rPr>
      </w:pPr>
    </w:p>
    <w:p w14:paraId="2A718194" w14:textId="77777777" w:rsidR="00943E6A" w:rsidRPr="00943E6A" w:rsidRDefault="00943E6A" w:rsidP="00943E6A">
      <w:pPr>
        <w:pStyle w:val="Heading2"/>
        <w:rPr>
          <w:lang w:val="en-GB"/>
        </w:rPr>
      </w:pPr>
      <w:r w:rsidRPr="00943E6A">
        <w:rPr>
          <w:lang w:val="en-GB"/>
        </w:rPr>
        <w:t>According to the Council’s conclusions, the Global Gateway Initiative should also contribute to achieving the EU’s open strategic autonomy ‘</w:t>
      </w:r>
      <w:r w:rsidRPr="00943E6A">
        <w:rPr>
          <w:b/>
          <w:iCs/>
          <w:lang w:val="en-GB"/>
        </w:rPr>
        <w:t>by promoting democratic values and high standards, good governance and transparency</w:t>
      </w:r>
      <w:r w:rsidRPr="00943E6A">
        <w:rPr>
          <w:b/>
          <w:i/>
          <w:lang w:val="en-GB"/>
        </w:rPr>
        <w:t>’</w:t>
      </w:r>
      <w:r w:rsidRPr="00943E6A">
        <w:rPr>
          <w:lang w:val="en-GB"/>
        </w:rPr>
        <w:t xml:space="preserve"> and to ‘</w:t>
      </w:r>
      <w:r w:rsidRPr="00943E6A">
        <w:rPr>
          <w:b/>
          <w:iCs/>
          <w:lang w:val="en-GB"/>
        </w:rPr>
        <w:t xml:space="preserve">the use of the euro in development-related financial </w:t>
      </w:r>
      <w:proofErr w:type="gramStart"/>
      <w:r w:rsidRPr="00943E6A">
        <w:rPr>
          <w:b/>
          <w:iCs/>
          <w:lang w:val="en-GB"/>
        </w:rPr>
        <w:t>flows’</w:t>
      </w:r>
      <w:proofErr w:type="gramEnd"/>
      <w:r w:rsidRPr="00943E6A">
        <w:rPr>
          <w:lang w:val="en-GB"/>
        </w:rPr>
        <w:t>.</w:t>
      </w:r>
    </w:p>
    <w:p w14:paraId="07BBC610" w14:textId="77777777" w:rsidR="00943E6A" w:rsidRPr="00943E6A" w:rsidRDefault="00943E6A" w:rsidP="00943E6A">
      <w:pPr>
        <w:rPr>
          <w:lang w:val="en-GB"/>
        </w:rPr>
      </w:pPr>
    </w:p>
    <w:p w14:paraId="49AA08B6" w14:textId="77777777" w:rsidR="00943E6A" w:rsidRPr="00943E6A" w:rsidRDefault="00943E6A" w:rsidP="00943E6A">
      <w:pPr>
        <w:pStyle w:val="Heading1"/>
        <w:rPr>
          <w:b/>
          <w:bCs/>
          <w:lang w:val="en-GB"/>
        </w:rPr>
      </w:pPr>
      <w:r w:rsidRPr="00943E6A">
        <w:rPr>
          <w:b/>
          <w:bCs/>
          <w:lang w:val="en-GB"/>
        </w:rPr>
        <w:t xml:space="preserve">The European Union’s Global Gateway Strategy </w:t>
      </w:r>
    </w:p>
    <w:p w14:paraId="1B1D111A" w14:textId="77777777" w:rsidR="00943E6A" w:rsidRPr="00943E6A" w:rsidRDefault="00943E6A" w:rsidP="00943E6A">
      <w:pPr>
        <w:rPr>
          <w:lang w:val="en-GB"/>
        </w:rPr>
      </w:pPr>
    </w:p>
    <w:p w14:paraId="4525C3E6" w14:textId="77777777" w:rsidR="00943E6A" w:rsidRPr="00943E6A" w:rsidRDefault="00943E6A" w:rsidP="00943E6A">
      <w:pPr>
        <w:pStyle w:val="Heading2"/>
        <w:rPr>
          <w:lang w:val="en-GB"/>
        </w:rPr>
      </w:pPr>
      <w:r w:rsidRPr="00943E6A">
        <w:rPr>
          <w:lang w:val="en-GB"/>
        </w:rPr>
        <w:t>The Global Gateway stands for sustainable and trusted connections that work for people and the planet. It helps to tackle the most pressing global challenges, from fighting climate change, to improving health systems, and boosting competitiveness and the security of global supply chains.</w:t>
      </w:r>
    </w:p>
    <w:p w14:paraId="54D923E6" w14:textId="77777777" w:rsidR="00943E6A" w:rsidRPr="00943E6A" w:rsidRDefault="00943E6A" w:rsidP="00943E6A">
      <w:pPr>
        <w:rPr>
          <w:lang w:val="en-GB"/>
        </w:rPr>
      </w:pPr>
    </w:p>
    <w:p w14:paraId="29430420" w14:textId="4944EE48" w:rsidR="00943E6A" w:rsidRPr="00943E6A" w:rsidRDefault="00943E6A" w:rsidP="00943E6A">
      <w:pPr>
        <w:pStyle w:val="Heading2"/>
        <w:rPr>
          <w:lang w:val="en-GB"/>
        </w:rPr>
      </w:pPr>
      <w:r w:rsidRPr="00943E6A">
        <w:rPr>
          <w:lang w:val="en-GB"/>
        </w:rPr>
        <w:t>Between 2021 and 2023, the EU, individual Member States, the EIB and the EBRD mobilised investments worth EUR 179 billion in support of Global Gateway implementation. This included EUR 50 billion supported by the EU and EUR 129 billion mobilised by EU Member States, the EIB and the EBRD</w:t>
      </w:r>
      <w:r w:rsidRPr="00943E6A">
        <w:rPr>
          <w:vertAlign w:val="superscript"/>
        </w:rPr>
        <w:footnoteReference w:id="3"/>
      </w:r>
      <w:r w:rsidRPr="00943E6A">
        <w:rPr>
          <w:lang w:val="en-GB"/>
        </w:rPr>
        <w:t xml:space="preserve">. </w:t>
      </w:r>
    </w:p>
    <w:p w14:paraId="67562168" w14:textId="77777777" w:rsidR="00943E6A" w:rsidRPr="00943E6A" w:rsidRDefault="00943E6A" w:rsidP="00943E6A">
      <w:pPr>
        <w:rPr>
          <w:lang w:val="en-GB"/>
        </w:rPr>
      </w:pPr>
    </w:p>
    <w:p w14:paraId="6E4C7203" w14:textId="77777777" w:rsidR="00943E6A" w:rsidRPr="00943E6A" w:rsidRDefault="00943E6A" w:rsidP="00943E6A">
      <w:pPr>
        <w:pStyle w:val="Heading2"/>
        <w:rPr>
          <w:lang w:val="en-GB"/>
        </w:rPr>
      </w:pPr>
      <w:r w:rsidRPr="00943E6A">
        <w:rPr>
          <w:lang w:val="en-GB"/>
        </w:rPr>
        <w:t xml:space="preserve">As Ursula von der Leyen – President of the European Commission – said: ‘We will support smart investments in quality infrastructure, respecting the highest social and environmental standards, in line with the EU’s democratic values and international norms and standards. </w:t>
      </w:r>
      <w:bookmarkStart w:id="1" w:name="_Hlk199174222"/>
      <w:r w:rsidRPr="00943E6A">
        <w:rPr>
          <w:lang w:val="en-GB"/>
        </w:rPr>
        <w:t xml:space="preserve">The Global </w:t>
      </w:r>
      <w:r w:rsidRPr="00943E6A">
        <w:rPr>
          <w:lang w:val="en-GB"/>
        </w:rPr>
        <w:lastRenderedPageBreak/>
        <w:t>Gateway strategy is a template for how Europe can build more resilient connections with the world</w:t>
      </w:r>
      <w:bookmarkEnd w:id="1"/>
      <w:r w:rsidRPr="00943E6A">
        <w:rPr>
          <w:lang w:val="en-GB"/>
        </w:rPr>
        <w:t>.’</w:t>
      </w:r>
    </w:p>
    <w:p w14:paraId="05BED820" w14:textId="77777777" w:rsidR="00943E6A" w:rsidRPr="00943E6A" w:rsidRDefault="00943E6A" w:rsidP="00943E6A">
      <w:pPr>
        <w:rPr>
          <w:lang w:val="en-GB"/>
        </w:rPr>
      </w:pPr>
    </w:p>
    <w:p w14:paraId="057600FF" w14:textId="77777777" w:rsidR="00943E6A" w:rsidRPr="00943E6A" w:rsidRDefault="00943E6A" w:rsidP="00943E6A">
      <w:pPr>
        <w:pStyle w:val="Heading2"/>
        <w:rPr>
          <w:lang w:val="en-GB"/>
        </w:rPr>
      </w:pPr>
      <w:r w:rsidRPr="00943E6A">
        <w:rPr>
          <w:lang w:val="en-GB"/>
        </w:rPr>
        <w:t>Through the Global Gateway, the EU pledges to mobilise up to EUR 300 billion in investment between 2021 and 2027 to improve digital, energy and transport connection infrastructure, and to strengthen health, education and research systems worldwide.</w:t>
      </w:r>
    </w:p>
    <w:p w14:paraId="1B10E10C" w14:textId="77777777" w:rsidR="00943E6A" w:rsidRPr="00943E6A" w:rsidRDefault="00943E6A" w:rsidP="00943E6A">
      <w:pPr>
        <w:rPr>
          <w:lang w:val="en-GB"/>
        </w:rPr>
      </w:pPr>
    </w:p>
    <w:p w14:paraId="71965BDA" w14:textId="77777777" w:rsidR="00943E6A" w:rsidRPr="00943E6A" w:rsidRDefault="00943E6A" w:rsidP="00943E6A">
      <w:pPr>
        <w:pStyle w:val="Heading2"/>
        <w:rPr>
          <w:lang w:val="en-GB"/>
        </w:rPr>
      </w:pPr>
      <w:r w:rsidRPr="00943E6A">
        <w:rPr>
          <w:lang w:val="en-GB"/>
        </w:rPr>
        <w:t>The EU believes that the lack of investment in connectivity could hinder the recovery from the current crisis and preparedness for future emergencies (</w:t>
      </w:r>
      <w:proofErr w:type="spellStart"/>
      <w:r w:rsidRPr="00943E6A">
        <w:rPr>
          <w:lang w:val="en-GB"/>
        </w:rPr>
        <w:t>polycrises</w:t>
      </w:r>
      <w:proofErr w:type="spellEnd"/>
      <w:r w:rsidRPr="00943E6A">
        <w:rPr>
          <w:lang w:val="en-GB"/>
        </w:rPr>
        <w:t>). Moreover, the lack of infrastructure limits the economic potential of connectivity between the EU, Asia and other regions.</w:t>
      </w:r>
    </w:p>
    <w:p w14:paraId="304EB9E0" w14:textId="77777777" w:rsidR="00943E6A" w:rsidRPr="00943E6A" w:rsidRDefault="00943E6A" w:rsidP="00943E6A">
      <w:pPr>
        <w:rPr>
          <w:lang w:val="en-GB"/>
        </w:rPr>
      </w:pPr>
    </w:p>
    <w:p w14:paraId="573D8DA1" w14:textId="77777777" w:rsidR="00943E6A" w:rsidRPr="00943E6A" w:rsidRDefault="00943E6A" w:rsidP="00943E6A">
      <w:pPr>
        <w:pStyle w:val="Heading2"/>
        <w:rPr>
          <w:lang w:val="en-GB"/>
        </w:rPr>
      </w:pPr>
      <w:r w:rsidRPr="00943E6A">
        <w:rPr>
          <w:lang w:val="en-GB"/>
        </w:rPr>
        <w:t>The Global Gateway was created with the following objectives:</w:t>
      </w:r>
    </w:p>
    <w:p w14:paraId="6F6F4FB9" w14:textId="77777777" w:rsidR="00943E6A" w:rsidRPr="00943E6A" w:rsidRDefault="00943E6A" w:rsidP="00943E6A">
      <w:pPr>
        <w:numPr>
          <w:ilvl w:val="0"/>
          <w:numId w:val="2"/>
        </w:numPr>
        <w:rPr>
          <w:lang w:val="en-GB"/>
        </w:rPr>
      </w:pPr>
      <w:r w:rsidRPr="00943E6A">
        <w:rPr>
          <w:lang w:val="en-GB"/>
        </w:rPr>
        <w:t>offering a viable alternative to competing development and promoting the EU model of democratic values and high labour, environmental and human rights standards;</w:t>
      </w:r>
    </w:p>
    <w:p w14:paraId="1EF3A277" w14:textId="77777777" w:rsidR="00943E6A" w:rsidRPr="00943E6A" w:rsidRDefault="00943E6A" w:rsidP="00943E6A">
      <w:pPr>
        <w:numPr>
          <w:ilvl w:val="0"/>
          <w:numId w:val="2"/>
        </w:numPr>
        <w:rPr>
          <w:lang w:val="en-GB"/>
        </w:rPr>
      </w:pPr>
      <w:r w:rsidRPr="00943E6A">
        <w:rPr>
          <w:lang w:val="en-GB"/>
        </w:rPr>
        <w:t>securing new markets for EU goods and services while promoting equal partnerships and securing infrastructure that underpins the resilience of the global economy and supply chains;</w:t>
      </w:r>
    </w:p>
    <w:p w14:paraId="03AC78F7" w14:textId="77777777" w:rsidR="00943E6A" w:rsidRPr="00943E6A" w:rsidRDefault="00943E6A" w:rsidP="00943E6A">
      <w:pPr>
        <w:numPr>
          <w:ilvl w:val="0"/>
          <w:numId w:val="2"/>
        </w:numPr>
        <w:rPr>
          <w:lang w:val="en-GB"/>
        </w:rPr>
      </w:pPr>
      <w:r w:rsidRPr="00943E6A">
        <w:rPr>
          <w:lang w:val="en-GB"/>
        </w:rPr>
        <w:t>facilitating the achievement of global decarbonisation goals, which lie at the heart of the European Green Deal;</w:t>
      </w:r>
    </w:p>
    <w:p w14:paraId="0AA94505" w14:textId="77777777" w:rsidR="00943E6A" w:rsidRPr="00943E6A" w:rsidRDefault="00943E6A" w:rsidP="00943E6A">
      <w:pPr>
        <w:numPr>
          <w:ilvl w:val="0"/>
          <w:numId w:val="2"/>
        </w:numPr>
        <w:rPr>
          <w:lang w:val="en-GB"/>
        </w:rPr>
      </w:pPr>
      <w:r w:rsidRPr="00943E6A">
        <w:rPr>
          <w:lang w:val="en-GB"/>
        </w:rPr>
        <w:t xml:space="preserve">supporting the </w:t>
      </w:r>
      <w:r w:rsidRPr="00943E6A">
        <w:rPr>
          <w:i/>
          <w:lang w:val="en-GB"/>
        </w:rPr>
        <w:t>de facto</w:t>
      </w:r>
      <w:r w:rsidRPr="00943E6A">
        <w:rPr>
          <w:lang w:val="en-GB"/>
        </w:rPr>
        <w:t xml:space="preserve"> establishment and expansion of EU technical and commercial standards, as global standards, enhancing Europe’s open strategic autonomy ambitions; and</w:t>
      </w:r>
    </w:p>
    <w:p w14:paraId="1AC98784" w14:textId="77777777" w:rsidR="00943E6A" w:rsidRPr="00943E6A" w:rsidRDefault="00943E6A" w:rsidP="00943E6A">
      <w:pPr>
        <w:numPr>
          <w:ilvl w:val="0"/>
          <w:numId w:val="2"/>
        </w:numPr>
        <w:rPr>
          <w:lang w:val="en-GB"/>
        </w:rPr>
      </w:pPr>
      <w:r w:rsidRPr="00943E6A">
        <w:rPr>
          <w:lang w:val="en-GB"/>
        </w:rPr>
        <w:t>promoting good governance and transparency to the benefit of local communities, businesses and partners while also ensuring equal access to services, even for the most vulnerable communities.</w:t>
      </w:r>
    </w:p>
    <w:p w14:paraId="40609D5B" w14:textId="77777777" w:rsidR="00943E6A" w:rsidRPr="00943E6A" w:rsidRDefault="00943E6A" w:rsidP="00943E6A">
      <w:pPr>
        <w:rPr>
          <w:lang w:val="en-GB"/>
        </w:rPr>
      </w:pPr>
    </w:p>
    <w:p w14:paraId="5581940F" w14:textId="77777777" w:rsidR="00943E6A" w:rsidRPr="00943E6A" w:rsidRDefault="00943E6A" w:rsidP="00943E6A">
      <w:pPr>
        <w:pStyle w:val="Heading2"/>
        <w:rPr>
          <w:lang w:val="en-GB"/>
        </w:rPr>
      </w:pPr>
      <w:r w:rsidRPr="00943E6A">
        <w:rPr>
          <w:lang w:val="en-GB"/>
        </w:rPr>
        <w:t xml:space="preserve">In 2022, the Global Gateway made headway thanks to a series of major regional investment packages associated with it: the February 2022 Global Gateway Africa-Europe regional investment package, which pledges to mobilise up to EUR 150 billion in investments (with 11 strategic transport corridors facilitating mobility and trade within Africa and between Africa and Europe; measures to develop and strengthen regional and continent-wide value chains to optimise the African Continental Free Trade Area; the construction of the Cross River bridge at the </w:t>
      </w:r>
      <w:proofErr w:type="spellStart"/>
      <w:r w:rsidRPr="00943E6A">
        <w:rPr>
          <w:lang w:val="en-GB"/>
        </w:rPr>
        <w:t>Mfum-Ekok</w:t>
      </w:r>
      <w:proofErr w:type="spellEnd"/>
      <w:r w:rsidRPr="00943E6A">
        <w:rPr>
          <w:lang w:val="en-GB"/>
        </w:rPr>
        <w:t xml:space="preserve"> border crossing point between Cameroon and Nigeria, which will increase connectivity between the Economic Community of West African States and the Economic Community of Central African States); the EUR 10 billion Global Gateway investment package for the ASEAN region, and the Team Europe sustainable connectivity initiative linking the EU and ASEAN.</w:t>
      </w:r>
    </w:p>
    <w:p w14:paraId="6719E1C8" w14:textId="77777777" w:rsidR="00943E6A" w:rsidRPr="00943E6A" w:rsidRDefault="00943E6A" w:rsidP="00943E6A">
      <w:pPr>
        <w:rPr>
          <w:lang w:val="en-GB"/>
        </w:rPr>
      </w:pPr>
    </w:p>
    <w:p w14:paraId="66F7A9CB" w14:textId="77777777" w:rsidR="00943E6A" w:rsidRPr="00943E6A" w:rsidRDefault="00943E6A" w:rsidP="00943E6A">
      <w:pPr>
        <w:pStyle w:val="Heading2"/>
        <w:rPr>
          <w:lang w:val="en-GB"/>
        </w:rPr>
      </w:pPr>
      <w:r w:rsidRPr="00943E6A">
        <w:rPr>
          <w:lang w:val="en-GB"/>
        </w:rPr>
        <w:t>A further regional investment package for the Western Balkans was also announced in February 2022. The Commission pledged EUR 3.2 billion in investment to support 21 projects in the transport, digital, environmental sustainability and energy sectors. The plan will help close the development gap between the EU and the region and support the post-pandemic economic recovery</w:t>
      </w:r>
      <w:r w:rsidRPr="00943E6A">
        <w:rPr>
          <w:vertAlign w:val="superscript"/>
          <w:lang w:val="en-GB"/>
        </w:rPr>
        <w:footnoteReference w:id="4"/>
      </w:r>
      <w:r w:rsidRPr="00943E6A">
        <w:rPr>
          <w:lang w:val="en-GB"/>
        </w:rPr>
        <w:t>.</w:t>
      </w:r>
    </w:p>
    <w:p w14:paraId="4639BF6A" w14:textId="77777777" w:rsidR="00943E6A" w:rsidRPr="00943E6A" w:rsidRDefault="00943E6A" w:rsidP="00943E6A">
      <w:pPr>
        <w:rPr>
          <w:lang w:val="en-GB"/>
        </w:rPr>
      </w:pPr>
    </w:p>
    <w:p w14:paraId="30712A36" w14:textId="77777777" w:rsidR="00943E6A" w:rsidRPr="00943E6A" w:rsidRDefault="00943E6A" w:rsidP="00943E6A">
      <w:pPr>
        <w:pStyle w:val="Heading2"/>
        <w:rPr>
          <w:lang w:val="en-GB"/>
        </w:rPr>
      </w:pPr>
      <w:r w:rsidRPr="00943E6A">
        <w:rPr>
          <w:lang w:val="en-GB"/>
        </w:rPr>
        <w:t xml:space="preserve">At the end of 2022, a year on from the launch of the Global Gateway, the EU committed over EUR 9 billion in grants for key investments in Africa, Latin America, the Caribbean and the </w:t>
      </w:r>
      <w:r w:rsidRPr="00943E6A">
        <w:rPr>
          <w:lang w:val="en-GB"/>
        </w:rPr>
        <w:lastRenderedPageBreak/>
        <w:t>Pacific. The EU also approved an additional EUR 6.05 billion in financial guarantees to support 40 investment programmes in sub-Saharan Africa, Latin America and the Asia-Pacific region, which are expected to generate more than EUR 50 billion in investments in key sectors. In addition, the agreement signed in May 2022 between the EFSD+ and the EIB guaranteed EUR 26.7 billion of coverage for sovereign loans in areas such as clean energy and green infrastructure. In this respect, 34 projects for EUR 7.4 billion of investments have already been approved. Finally, as regards the Western Balkans and the south-eastern neighbouring countries, the EU and European financial institutions have so far mobilised EUR 14 billion of the EUR 77 billion they planned to have raised by 2027</w:t>
      </w:r>
      <w:r w:rsidRPr="00943E6A">
        <w:rPr>
          <w:vertAlign w:val="superscript"/>
          <w:lang w:val="en-GB"/>
        </w:rPr>
        <w:footnoteReference w:id="5"/>
      </w:r>
      <w:r w:rsidRPr="00943E6A">
        <w:rPr>
          <w:lang w:val="en-GB"/>
        </w:rPr>
        <w:t>.</w:t>
      </w:r>
    </w:p>
    <w:p w14:paraId="006D3841" w14:textId="77777777" w:rsidR="00943E6A" w:rsidRPr="00943E6A" w:rsidRDefault="00943E6A" w:rsidP="00943E6A">
      <w:pPr>
        <w:rPr>
          <w:lang w:val="en-GB"/>
        </w:rPr>
      </w:pPr>
    </w:p>
    <w:p w14:paraId="7913D8E5" w14:textId="7476229C" w:rsidR="00943E6A" w:rsidRPr="00943E6A" w:rsidRDefault="00943E6A" w:rsidP="00943E6A">
      <w:pPr>
        <w:pStyle w:val="Heading2"/>
        <w:rPr>
          <w:lang w:val="en-GB"/>
        </w:rPr>
      </w:pPr>
      <w:r w:rsidRPr="00943E6A">
        <w:rPr>
          <w:lang w:val="en-GB"/>
        </w:rPr>
        <w:t>One of the main projects</w:t>
      </w:r>
      <w:r w:rsidRPr="00943E6A">
        <w:rPr>
          <w:vertAlign w:val="superscript"/>
          <w:lang w:val="en-GB"/>
        </w:rPr>
        <w:footnoteReference w:id="6"/>
      </w:r>
      <w:r w:rsidRPr="00943E6A">
        <w:rPr>
          <w:lang w:val="en-GB"/>
        </w:rPr>
        <w:t xml:space="preserve"> under the umbrella of the Global Gateway which the EU Member States prioritised in 2023 and early 2024 is the establishment of bilateral partnerships with resource-rich countries, in particular in Sub-Saharan Africa and Latin America and the Caribbean, with the aim of helping these regions promote investments along the whole value chain of critical raw materials. The partner countries will then be supported to develop regional value chains, diversifying their economies and creating local added value.</w:t>
      </w:r>
    </w:p>
    <w:p w14:paraId="0974CDBF" w14:textId="77777777" w:rsidR="00943E6A" w:rsidRPr="00943E6A" w:rsidRDefault="00943E6A" w:rsidP="00943E6A">
      <w:pPr>
        <w:rPr>
          <w:lang w:val="en-GB"/>
        </w:rPr>
      </w:pPr>
    </w:p>
    <w:p w14:paraId="6105BD79" w14:textId="77777777" w:rsidR="00943E6A" w:rsidRDefault="00943E6A" w:rsidP="00943E6A">
      <w:pPr>
        <w:pStyle w:val="Heading2"/>
        <w:rPr>
          <w:lang w:val="en-GB"/>
        </w:rPr>
      </w:pPr>
      <w:r w:rsidRPr="00943E6A">
        <w:rPr>
          <w:lang w:val="en-GB"/>
        </w:rPr>
        <w:t xml:space="preserve">The current flagship project of the Global Gateway: the Trans-Caspian Transport Corridor - TCC (Middle Corridor) is going to connect Central Asia with Europe and to decrease dependency on Russia in this respect. A study prepared in 2023 at the request of the European Commission confirmed the feasibility of the proposed undertaking. It is even more desired now at this time of geopolitical uncertainty and reshuffling. Substantial investment funds have been already committed. </w:t>
      </w:r>
    </w:p>
    <w:p w14:paraId="3D87F889" w14:textId="77777777" w:rsidR="00943E6A" w:rsidRPr="00943E6A" w:rsidRDefault="00943E6A" w:rsidP="00943E6A">
      <w:pPr>
        <w:rPr>
          <w:lang w:val="en-GB"/>
        </w:rPr>
      </w:pPr>
    </w:p>
    <w:p w14:paraId="3442C7CA" w14:textId="5F61C0B6" w:rsidR="00943E6A" w:rsidRPr="00943E6A" w:rsidRDefault="00943E6A" w:rsidP="00943E6A">
      <w:pPr>
        <w:pStyle w:val="Heading2"/>
        <w:rPr>
          <w:lang w:val="en-GB"/>
        </w:rPr>
      </w:pPr>
      <w:r w:rsidRPr="00943E6A">
        <w:rPr>
          <w:lang w:val="en-GB"/>
        </w:rPr>
        <w:t>The European Union - Latin America and Caribbean Global Gateway Investment was also announced in July 2023 and is aimed at promoting joint value chains; it will foster innovation based on shared technology, create local added value and generate growth, jobs and social cohesion.</w:t>
      </w:r>
    </w:p>
    <w:p w14:paraId="54942247" w14:textId="77777777" w:rsidR="00943E6A" w:rsidRPr="00943E6A" w:rsidRDefault="00943E6A" w:rsidP="00943E6A">
      <w:pPr>
        <w:rPr>
          <w:lang w:val="en-GB"/>
        </w:rPr>
      </w:pPr>
    </w:p>
    <w:p w14:paraId="51F3DA11" w14:textId="77777777" w:rsidR="00943E6A" w:rsidRPr="009C1935" w:rsidRDefault="00943E6A" w:rsidP="00943E6A">
      <w:pPr>
        <w:pStyle w:val="Heading1"/>
        <w:rPr>
          <w:b/>
          <w:bCs/>
          <w:lang w:val="en-GB"/>
        </w:rPr>
      </w:pPr>
      <w:r w:rsidRPr="009C1935">
        <w:rPr>
          <w:b/>
          <w:bCs/>
          <w:lang w:val="en-GB"/>
        </w:rPr>
        <w:t xml:space="preserve">An assessment of the Global Gateway </w:t>
      </w:r>
    </w:p>
    <w:p w14:paraId="13019F49" w14:textId="77777777" w:rsidR="00943E6A" w:rsidRPr="00943E6A" w:rsidRDefault="00943E6A" w:rsidP="00943E6A">
      <w:pPr>
        <w:rPr>
          <w:lang w:val="en-GB"/>
        </w:rPr>
      </w:pPr>
    </w:p>
    <w:p w14:paraId="765F56E5" w14:textId="77777777" w:rsidR="00943E6A" w:rsidRDefault="00943E6A" w:rsidP="00943E6A">
      <w:pPr>
        <w:pStyle w:val="Heading2"/>
        <w:rPr>
          <w:lang w:val="en-GB"/>
        </w:rPr>
      </w:pPr>
      <w:r w:rsidRPr="00943E6A">
        <w:rPr>
          <w:lang w:val="en-GB"/>
        </w:rPr>
        <w:t xml:space="preserve">The EESC welcomed the launch of the Global Gateway as the strategy that will help to secure the EU’s open strategic autonomy. The EESC therefore believes that it will be possible to strengthen economic and political ties with partner countries, affirming its democratic and social principles and enabling the EU to compare effectively with China in global infrastructure investment and </w:t>
      </w:r>
      <w:r w:rsidRPr="00943E6A">
        <w:t xml:space="preserve">cooperate with the US and other G7 members under G7 PGII (Partnership for Global Infrastructure and Investment) </w:t>
      </w:r>
      <w:r w:rsidRPr="00943E6A">
        <w:rPr>
          <w:lang w:val="en-GB"/>
        </w:rPr>
        <w:t>on the provision of sustainable infrastructure worldwide.</w:t>
      </w:r>
    </w:p>
    <w:p w14:paraId="7D7A3525" w14:textId="77777777" w:rsidR="00943E6A" w:rsidRDefault="00943E6A" w:rsidP="00943E6A">
      <w:pPr>
        <w:pStyle w:val="Heading2"/>
        <w:numPr>
          <w:ilvl w:val="0"/>
          <w:numId w:val="0"/>
        </w:numPr>
        <w:ind w:left="567"/>
        <w:rPr>
          <w:lang w:val="en-GB"/>
        </w:rPr>
      </w:pPr>
    </w:p>
    <w:p w14:paraId="2F2EB759" w14:textId="42958774" w:rsidR="00943E6A" w:rsidRPr="00943E6A" w:rsidRDefault="00943E6A" w:rsidP="00943E6A">
      <w:pPr>
        <w:pStyle w:val="Heading2"/>
        <w:numPr>
          <w:ilvl w:val="0"/>
          <w:numId w:val="0"/>
        </w:numPr>
        <w:ind w:left="567"/>
        <w:rPr>
          <w:lang w:val="en-GB"/>
        </w:rPr>
      </w:pPr>
      <w:r w:rsidRPr="00943E6A">
        <w:rPr>
          <w:lang w:val="en-GB"/>
        </w:rPr>
        <w:t>In the current context, the EESC is of the view that the Global Gateway is becoming a tool for the political, economic and security stabilisation of the EU’s immediate neighbourhood, thereby strengthening Europe’s geopolitical position both in terms of addressing the root causes of migration to Europe and mitigating the political, economic, social and environmental risks.</w:t>
      </w:r>
    </w:p>
    <w:p w14:paraId="66EFFAA1" w14:textId="77777777" w:rsidR="00943E6A" w:rsidRPr="00943E6A" w:rsidRDefault="00943E6A" w:rsidP="00943E6A">
      <w:pPr>
        <w:rPr>
          <w:lang w:val="en-GB"/>
        </w:rPr>
      </w:pPr>
    </w:p>
    <w:p w14:paraId="1F6EEF9F" w14:textId="77777777" w:rsidR="00943E6A" w:rsidRPr="00943E6A" w:rsidRDefault="00943E6A" w:rsidP="00943E6A">
      <w:pPr>
        <w:pStyle w:val="Heading2"/>
        <w:rPr>
          <w:lang w:val="en-GB"/>
        </w:rPr>
      </w:pPr>
      <w:r w:rsidRPr="00943E6A">
        <w:rPr>
          <w:lang w:val="en-GB"/>
        </w:rPr>
        <w:lastRenderedPageBreak/>
        <w:t>The EESC believes that the Global Gateway initiative, which focuses on the promotion of democratic values, environmental sustainability, digital connectivity, and resilient supply chains and on limiting debt stress risks for partner countries, would appear to offer a more reliable opportunity for the development of global infrastructure than other alternatives. The EU’s funding model is a mix of grants, preferential loans and guarantees aimed at stimulating private sector investment, while the BRI focuses mainly on loans.</w:t>
      </w:r>
    </w:p>
    <w:p w14:paraId="7DEB6746" w14:textId="77777777" w:rsidR="00943E6A" w:rsidRPr="00943E6A" w:rsidRDefault="00943E6A" w:rsidP="00943E6A">
      <w:pPr>
        <w:rPr>
          <w:lang w:val="en-GB"/>
        </w:rPr>
      </w:pPr>
    </w:p>
    <w:p w14:paraId="4AE5D154" w14:textId="77777777" w:rsidR="00943E6A" w:rsidRPr="00943E6A" w:rsidRDefault="00943E6A" w:rsidP="00943E6A">
      <w:pPr>
        <w:pStyle w:val="Heading2"/>
        <w:rPr>
          <w:lang w:val="en-GB"/>
        </w:rPr>
      </w:pPr>
      <w:r w:rsidRPr="00943E6A">
        <w:rPr>
          <w:lang w:val="en-GB"/>
        </w:rPr>
        <w:t xml:space="preserve">In the EESC’s view, the Global Gateway will ensure greater strategic coordination between EU funds and those implemented by the 27 EU Member States, </w:t>
      </w:r>
      <w:r w:rsidRPr="00943E6A">
        <w:t>in the ‘Team Europe’ spirit.</w:t>
      </w:r>
      <w:r w:rsidRPr="00943E6A">
        <w:rPr>
          <w:lang w:val="en-GB"/>
        </w:rPr>
        <w:t xml:space="preserve"> This strategic coordination is performed by the EU itself in relation to certain strategic EU objectives</w:t>
      </w:r>
      <w:r w:rsidRPr="00943E6A">
        <w:rPr>
          <w:vertAlign w:val="superscript"/>
          <w:lang w:val="en-GB"/>
        </w:rPr>
        <w:footnoteReference w:id="7"/>
      </w:r>
      <w:r w:rsidRPr="00943E6A">
        <w:rPr>
          <w:lang w:val="en-GB"/>
        </w:rPr>
        <w:t>.</w:t>
      </w:r>
    </w:p>
    <w:p w14:paraId="246B2A13" w14:textId="77777777" w:rsidR="00943E6A" w:rsidRPr="00943E6A" w:rsidRDefault="00943E6A" w:rsidP="00943E6A">
      <w:pPr>
        <w:rPr>
          <w:lang w:val="en-GB"/>
        </w:rPr>
      </w:pPr>
    </w:p>
    <w:p w14:paraId="3E39E7DB" w14:textId="77777777" w:rsidR="00943E6A" w:rsidRPr="00943E6A" w:rsidRDefault="00943E6A" w:rsidP="00943E6A">
      <w:pPr>
        <w:pStyle w:val="Heading2"/>
        <w:rPr>
          <w:lang w:val="en-GB"/>
        </w:rPr>
      </w:pPr>
      <w:r w:rsidRPr="00943E6A">
        <w:rPr>
          <w:lang w:val="en-GB"/>
        </w:rPr>
        <w:t xml:space="preserve">The EESC emphasises that Global Gateway investment programmes must be based on an impact assessment aimed not only at highlighting geopolitical strategic considerations but also at ensuring democratic ownership of development initiatives in partner countries and the economic, social and environmental sustainability of the projects. The EESC points out that investment projects financed by the EIB must be subject to an economic, social and environmental impact assessment and monitoring. One of the criticisms directed at the Global Gateway project cycle by civil society is the absence of ex ante and ex post scrutiny of the impact these projects have on the jobs, industry and environment of the receiving countries. These evaluations are needed and crucial in order to prove that the project is delivering on its key objectives.  </w:t>
      </w:r>
    </w:p>
    <w:p w14:paraId="04F3263F" w14:textId="77777777" w:rsidR="00943E6A" w:rsidRDefault="00943E6A" w:rsidP="00943E6A">
      <w:pPr>
        <w:rPr>
          <w:lang w:val="en-GB"/>
        </w:rPr>
      </w:pPr>
    </w:p>
    <w:p w14:paraId="202B10C3" w14:textId="4D8297DB" w:rsidR="00943E6A" w:rsidRDefault="00943E6A" w:rsidP="00943E6A">
      <w:pPr>
        <w:pStyle w:val="Heading2"/>
        <w:rPr>
          <w:lang w:val="en-GB"/>
        </w:rPr>
      </w:pPr>
      <w:r w:rsidRPr="00943E6A">
        <w:rPr>
          <w:lang w:val="en-GB"/>
        </w:rPr>
        <w:t>In the EESC’s view, 360-degree impact assessments carried out for each project, respecting its democratic ownership and financial sustainability, both for the EU and for the countries concerned, will contribute to:</w:t>
      </w:r>
    </w:p>
    <w:p w14:paraId="2501044A" w14:textId="77777777" w:rsidR="009C1935" w:rsidRPr="009C1935" w:rsidRDefault="009C1935" w:rsidP="009C1935">
      <w:pPr>
        <w:rPr>
          <w:lang w:val="en-GB"/>
        </w:rPr>
      </w:pPr>
    </w:p>
    <w:p w14:paraId="3DD79070" w14:textId="77777777" w:rsidR="00943E6A" w:rsidRPr="00943E6A" w:rsidRDefault="00943E6A" w:rsidP="00943E6A">
      <w:pPr>
        <w:numPr>
          <w:ilvl w:val="0"/>
          <w:numId w:val="3"/>
        </w:numPr>
        <w:rPr>
          <w:lang w:val="en-GB"/>
        </w:rPr>
      </w:pPr>
      <w:r w:rsidRPr="00943E6A">
        <w:rPr>
          <w:lang w:val="en-GB"/>
        </w:rPr>
        <w:t>climate change mitigation;</w:t>
      </w:r>
    </w:p>
    <w:p w14:paraId="11CCDC5A" w14:textId="77777777" w:rsidR="00943E6A" w:rsidRPr="00943E6A" w:rsidRDefault="00943E6A" w:rsidP="00943E6A">
      <w:pPr>
        <w:numPr>
          <w:ilvl w:val="0"/>
          <w:numId w:val="3"/>
        </w:numPr>
        <w:rPr>
          <w:lang w:val="en-GB"/>
        </w:rPr>
      </w:pPr>
      <w:r w:rsidRPr="00943E6A">
        <w:rPr>
          <w:lang w:val="en-GB"/>
        </w:rPr>
        <w:t>environmental protection;</w:t>
      </w:r>
    </w:p>
    <w:p w14:paraId="7B2E1CFE" w14:textId="77777777" w:rsidR="00943E6A" w:rsidRPr="00943E6A" w:rsidRDefault="00943E6A" w:rsidP="00943E6A">
      <w:pPr>
        <w:numPr>
          <w:ilvl w:val="0"/>
          <w:numId w:val="3"/>
        </w:numPr>
        <w:rPr>
          <w:lang w:val="en-GB"/>
        </w:rPr>
      </w:pPr>
      <w:r w:rsidRPr="00943E6A">
        <w:rPr>
          <w:lang w:val="en-GB"/>
        </w:rPr>
        <w:t>the affirmation of human and labour rights; and</w:t>
      </w:r>
    </w:p>
    <w:p w14:paraId="331B343C" w14:textId="77777777" w:rsidR="00943E6A" w:rsidRPr="00943E6A" w:rsidRDefault="00943E6A" w:rsidP="00943E6A">
      <w:pPr>
        <w:numPr>
          <w:ilvl w:val="0"/>
          <w:numId w:val="3"/>
        </w:numPr>
        <w:rPr>
          <w:lang w:val="en-GB"/>
        </w:rPr>
      </w:pPr>
      <w:r w:rsidRPr="00943E6A">
        <w:rPr>
          <w:lang w:val="en-GB"/>
        </w:rPr>
        <w:t>financial sustainability.</w:t>
      </w:r>
    </w:p>
    <w:p w14:paraId="35AFB44B" w14:textId="77777777" w:rsidR="00943E6A" w:rsidRPr="00943E6A" w:rsidRDefault="00943E6A" w:rsidP="00943E6A">
      <w:pPr>
        <w:rPr>
          <w:lang w:val="en-GB"/>
        </w:rPr>
      </w:pPr>
    </w:p>
    <w:p w14:paraId="30A47A90" w14:textId="77777777" w:rsidR="00943E6A" w:rsidRPr="00943E6A" w:rsidRDefault="00943E6A" w:rsidP="00943E6A">
      <w:pPr>
        <w:pStyle w:val="Heading2"/>
        <w:rPr>
          <w:lang w:val="en-GB"/>
        </w:rPr>
      </w:pPr>
      <w:r w:rsidRPr="00943E6A">
        <w:rPr>
          <w:lang w:val="en-GB"/>
        </w:rPr>
        <w:t>The EESC therefore believes that certain information should be added to the portal for the Global Gateway-labelled projects</w:t>
      </w:r>
      <w:r w:rsidRPr="00943E6A">
        <w:rPr>
          <w:vertAlign w:val="superscript"/>
          <w:lang w:val="en-GB"/>
        </w:rPr>
        <w:footnoteReference w:id="8"/>
      </w:r>
      <w:r w:rsidRPr="00943E6A">
        <w:rPr>
          <w:lang w:val="en-GB"/>
        </w:rPr>
        <w:t>, including the relevant economic, social and environmental impact assessments of the financed projects.</w:t>
      </w:r>
    </w:p>
    <w:p w14:paraId="30FEAD92" w14:textId="77777777" w:rsidR="00943E6A" w:rsidRPr="00943E6A" w:rsidRDefault="00943E6A" w:rsidP="00943E6A">
      <w:pPr>
        <w:rPr>
          <w:lang w:val="en-GB"/>
        </w:rPr>
      </w:pPr>
    </w:p>
    <w:p w14:paraId="78481740" w14:textId="77777777" w:rsidR="00943E6A" w:rsidRDefault="00943E6A" w:rsidP="00943E6A">
      <w:pPr>
        <w:pStyle w:val="Heading2"/>
        <w:rPr>
          <w:lang w:val="en-GB"/>
        </w:rPr>
      </w:pPr>
      <w:r w:rsidRPr="00943E6A">
        <w:rPr>
          <w:lang w:val="en-GB"/>
        </w:rPr>
        <w:t xml:space="preserve">While welcoming the creation of the Team Europe Partnership Portal linked to the Global Gateway, the EESC would also like to see this portal provide information on investment opportunities. This would facilitate EU and local private sector investment and the involvement of all potential economic and social, public and private actors. </w:t>
      </w:r>
    </w:p>
    <w:p w14:paraId="20BF2D8A" w14:textId="77777777" w:rsidR="00943E6A" w:rsidRDefault="00943E6A" w:rsidP="00943E6A">
      <w:pPr>
        <w:pStyle w:val="Heading2"/>
        <w:numPr>
          <w:ilvl w:val="0"/>
          <w:numId w:val="0"/>
        </w:numPr>
        <w:ind w:left="567"/>
        <w:rPr>
          <w:lang w:val="en-GB"/>
        </w:rPr>
      </w:pPr>
    </w:p>
    <w:p w14:paraId="537CC213" w14:textId="4DD26B31" w:rsidR="00943E6A" w:rsidRDefault="00943E6A" w:rsidP="0037691A">
      <w:pPr>
        <w:pStyle w:val="Heading2"/>
        <w:rPr>
          <w:lang w:val="en-GB"/>
        </w:rPr>
      </w:pPr>
      <w:r w:rsidRPr="00943E6A">
        <w:rPr>
          <w:lang w:val="en-GB"/>
        </w:rPr>
        <w:t xml:space="preserve">Russia’s unprovoked and unjustified full-scale war of aggression has created uncertainty for the relevant European transport corridors, especially those that </w:t>
      </w:r>
      <w:proofErr w:type="gramStart"/>
      <w:r w:rsidRPr="00943E6A">
        <w:rPr>
          <w:lang w:val="en-GB"/>
        </w:rPr>
        <w:t>pass through</w:t>
      </w:r>
      <w:proofErr w:type="gramEnd"/>
      <w:r w:rsidRPr="00943E6A">
        <w:rPr>
          <w:lang w:val="en-GB"/>
        </w:rPr>
        <w:t xml:space="preserve"> Ukraine. Key routes, such as the China-Europe Railway Express, have been disrupted. Additionally, the Black </w:t>
      </w:r>
      <w:r w:rsidRPr="00943E6A">
        <w:rPr>
          <w:lang w:val="en-GB"/>
        </w:rPr>
        <w:lastRenderedPageBreak/>
        <w:t>Sea corridors (crucial for goods and energy supplies) have been interrupted due to the blockage of Ukrainian ports like Odessa. The EESC endorses the strategic importance of the Black Sea region, recently reaffirmed by the European Commission, and the crucial role that the Global Gateway can assume within this strategy</w:t>
      </w:r>
      <w:r w:rsidRPr="00943E6A">
        <w:rPr>
          <w:vertAlign w:val="superscript"/>
          <w:lang w:val="en-GB"/>
        </w:rPr>
        <w:footnoteReference w:id="9"/>
      </w:r>
      <w:r w:rsidRPr="00943E6A">
        <w:rPr>
          <w:lang w:val="en-GB"/>
        </w:rPr>
        <w:t>.</w:t>
      </w:r>
    </w:p>
    <w:p w14:paraId="23F64E57" w14:textId="77777777" w:rsidR="00051CFB" w:rsidRDefault="00051CFB" w:rsidP="00051CFB">
      <w:pPr>
        <w:rPr>
          <w:lang w:val="en-GB"/>
        </w:rPr>
      </w:pPr>
    </w:p>
    <w:p w14:paraId="0D736728" w14:textId="7045F34E" w:rsidR="00051CFB" w:rsidRPr="00051CFB" w:rsidRDefault="00051CFB" w:rsidP="00051CFB">
      <w:pPr>
        <w:pStyle w:val="Heading2"/>
        <w:rPr>
          <w:lang w:val="en-GB"/>
        </w:rPr>
      </w:pPr>
      <w:r w:rsidRPr="00051CFB">
        <w:rPr>
          <w:lang w:val="en-GB"/>
        </w:rPr>
        <w:t>The Global Gateway strategy is already being actively implemented in Ukraine, Moldova, South Caucasus and Central Asia. The Black Sea serves as a crucial connection between the EU and Central Asia, playing a pivotal role in enhancing connectivity and promoting trade. With strategic focus on the region, significant investments are underway to strengthen transport, energy and digital infrastructure to further improve trans-continental links between Europe and Asia and security of global supply chains</w:t>
      </w:r>
      <w:r>
        <w:rPr>
          <w:lang w:val="en-GB"/>
        </w:rPr>
        <w:t>.</w:t>
      </w:r>
    </w:p>
    <w:p w14:paraId="2CC1AC50" w14:textId="77777777" w:rsidR="00943E6A" w:rsidRPr="00943E6A" w:rsidRDefault="00943E6A" w:rsidP="00943E6A">
      <w:pPr>
        <w:rPr>
          <w:lang w:val="en-GB"/>
        </w:rPr>
      </w:pPr>
    </w:p>
    <w:p w14:paraId="1CFC55E7" w14:textId="77777777" w:rsidR="00943E6A" w:rsidRPr="00943E6A" w:rsidRDefault="00943E6A" w:rsidP="00943E6A">
      <w:pPr>
        <w:pStyle w:val="Heading1"/>
        <w:rPr>
          <w:b/>
          <w:bCs/>
          <w:lang w:val="en-GB"/>
        </w:rPr>
      </w:pPr>
      <w:r w:rsidRPr="00943E6A">
        <w:rPr>
          <w:b/>
          <w:bCs/>
          <w:lang w:val="en-GB"/>
        </w:rPr>
        <w:t xml:space="preserve">Belt and Road Initiative </w:t>
      </w:r>
    </w:p>
    <w:p w14:paraId="797FBADE" w14:textId="2F2ED9EA" w:rsidR="00943E6A" w:rsidRPr="00943E6A" w:rsidRDefault="00943E6A" w:rsidP="00943E6A">
      <w:pPr>
        <w:rPr>
          <w:lang w:val="en-GB"/>
        </w:rPr>
      </w:pPr>
      <w:r w:rsidRPr="00943E6A">
        <w:rPr>
          <w:b/>
          <w:bCs/>
          <w:lang w:val="en-GB"/>
        </w:rPr>
        <w:t xml:space="preserve"> </w:t>
      </w:r>
    </w:p>
    <w:p w14:paraId="3430DA39" w14:textId="77777777" w:rsidR="00943E6A" w:rsidRPr="00943E6A" w:rsidRDefault="00943E6A" w:rsidP="00943E6A">
      <w:pPr>
        <w:pStyle w:val="Heading2"/>
        <w:rPr>
          <w:lang w:val="en-GB"/>
        </w:rPr>
      </w:pPr>
      <w:r w:rsidRPr="00943E6A">
        <w:rPr>
          <w:lang w:val="en-GB"/>
        </w:rPr>
        <w:t>Since 2013, the BRI (according to PRC sources) has channelled some USD 962 billion into infrastructure construction (EUR 573 billion) and non-financial investment (EUR 389 billion) worldwide</w:t>
      </w:r>
      <w:r w:rsidRPr="00943E6A">
        <w:rPr>
          <w:vertAlign w:val="superscript"/>
          <w:lang w:val="en-GB"/>
        </w:rPr>
        <w:footnoteReference w:id="10"/>
      </w:r>
      <w:r w:rsidRPr="00943E6A">
        <w:rPr>
          <w:lang w:val="en-GB"/>
        </w:rPr>
        <w:t>.</w:t>
      </w:r>
    </w:p>
    <w:p w14:paraId="5130950C" w14:textId="77777777" w:rsidR="00943E6A" w:rsidRPr="00943E6A" w:rsidRDefault="00943E6A" w:rsidP="00943E6A">
      <w:pPr>
        <w:rPr>
          <w:lang w:val="en-GB"/>
        </w:rPr>
      </w:pPr>
    </w:p>
    <w:p w14:paraId="4FD2CD1E" w14:textId="77777777" w:rsidR="00943E6A" w:rsidRPr="00943E6A" w:rsidRDefault="00943E6A" w:rsidP="00943E6A">
      <w:pPr>
        <w:pStyle w:val="Heading2"/>
        <w:rPr>
          <w:lang w:val="en-GB"/>
        </w:rPr>
      </w:pPr>
      <w:r w:rsidRPr="00943E6A">
        <w:rPr>
          <w:lang w:val="en-GB"/>
        </w:rPr>
        <w:t>The stated aims of the BRI include coordinating development strategies and increasing connections between participating countries through the construction of infrastructure, such as railways, motorways, ports and pipelines, and promoting commercial, financial and people-to-people exchanges. More than 200 cooperation documents have been signed under the BRI, with 151 countries and 32 international organisations.</w:t>
      </w:r>
    </w:p>
    <w:p w14:paraId="6513D6FB" w14:textId="77777777" w:rsidR="00943E6A" w:rsidRPr="00943E6A" w:rsidRDefault="00943E6A" w:rsidP="00943E6A">
      <w:pPr>
        <w:rPr>
          <w:lang w:val="en-GB"/>
        </w:rPr>
      </w:pPr>
    </w:p>
    <w:p w14:paraId="452B4847" w14:textId="77777777" w:rsidR="00943E6A" w:rsidRPr="00943E6A" w:rsidRDefault="00943E6A" w:rsidP="00943E6A">
      <w:pPr>
        <w:pStyle w:val="Heading2"/>
        <w:rPr>
          <w:lang w:val="en-GB"/>
        </w:rPr>
      </w:pPr>
      <w:r w:rsidRPr="00943E6A">
        <w:rPr>
          <w:lang w:val="en-GB"/>
        </w:rPr>
        <w:t>Via the construction of infrastructure abroad, the BRI fulfils a number of objectives:</w:t>
      </w:r>
    </w:p>
    <w:p w14:paraId="2880B79E" w14:textId="77777777" w:rsidR="00943E6A" w:rsidRPr="00943E6A" w:rsidRDefault="00943E6A" w:rsidP="00943E6A">
      <w:pPr>
        <w:numPr>
          <w:ilvl w:val="0"/>
          <w:numId w:val="4"/>
        </w:numPr>
        <w:rPr>
          <w:lang w:val="en-GB"/>
        </w:rPr>
      </w:pPr>
      <w:r w:rsidRPr="00943E6A">
        <w:rPr>
          <w:lang w:val="en-GB"/>
        </w:rPr>
        <w:t>supporting exports (17.1% of GDP in 2022) and ensuring the absorption of Chinese manufacturing overproduction not absorbed by domestic demand in sectors such as iron and steel, aluminium, cement, coal, glass and paper.</w:t>
      </w:r>
    </w:p>
    <w:p w14:paraId="6D10EA7C" w14:textId="77777777" w:rsidR="00943E6A" w:rsidRPr="00943E6A" w:rsidRDefault="00943E6A" w:rsidP="00943E6A">
      <w:pPr>
        <w:numPr>
          <w:ilvl w:val="0"/>
          <w:numId w:val="4"/>
        </w:numPr>
        <w:rPr>
          <w:lang w:val="en-GB"/>
        </w:rPr>
      </w:pPr>
      <w:r w:rsidRPr="00943E6A">
        <w:rPr>
          <w:lang w:val="en-GB"/>
        </w:rPr>
        <w:t>ensuring better access to communication routes and international trade for western regions (such as Yunnan and Xinjiang, which are distant from maritime traffic) through the construction of transport infrastructure in Central Asia and South-East Asia.</w:t>
      </w:r>
    </w:p>
    <w:p w14:paraId="3D0078D4" w14:textId="77777777" w:rsidR="00943E6A" w:rsidRPr="00943E6A" w:rsidRDefault="00943E6A" w:rsidP="00943E6A">
      <w:pPr>
        <w:numPr>
          <w:ilvl w:val="0"/>
          <w:numId w:val="4"/>
        </w:numPr>
        <w:rPr>
          <w:lang w:val="en-GB"/>
        </w:rPr>
      </w:pPr>
      <w:r w:rsidRPr="00943E6A">
        <w:rPr>
          <w:lang w:val="en-GB"/>
        </w:rPr>
        <w:t xml:space="preserve">increasing China’s global influence and challenging – through the Asian Infrastructure Investment Bank – the dominant role of institutions such as the World Bank and the Asian Development Bank. </w:t>
      </w:r>
    </w:p>
    <w:p w14:paraId="56283881" w14:textId="77777777" w:rsidR="00943E6A" w:rsidRPr="00943E6A" w:rsidRDefault="00943E6A" w:rsidP="00943E6A">
      <w:pPr>
        <w:numPr>
          <w:ilvl w:val="0"/>
          <w:numId w:val="4"/>
        </w:numPr>
        <w:rPr>
          <w:lang w:val="en-GB"/>
        </w:rPr>
      </w:pPr>
      <w:r w:rsidRPr="00943E6A">
        <w:rPr>
          <w:lang w:val="en-GB"/>
        </w:rPr>
        <w:t>by promoting Chinese trade and investment abroad, the BRI can be an important tool for stimulating the role of the Chinese currency, the Renminbi, as an international currency.</w:t>
      </w:r>
    </w:p>
    <w:p w14:paraId="600C7E62" w14:textId="77777777" w:rsidR="00943E6A" w:rsidRPr="00943E6A" w:rsidRDefault="00943E6A" w:rsidP="00943E6A">
      <w:pPr>
        <w:numPr>
          <w:ilvl w:val="0"/>
          <w:numId w:val="4"/>
        </w:numPr>
        <w:rPr>
          <w:lang w:val="en-GB"/>
        </w:rPr>
      </w:pPr>
      <w:r w:rsidRPr="00943E6A">
        <w:rPr>
          <w:lang w:val="en-GB"/>
        </w:rPr>
        <w:t>the construction of new logistics infrastructure could enable China to obtain part of its energy supply from alternative channels to the route through the Strait of Malacca, via which an estimated 80% of Chinese oil imports arrive.</w:t>
      </w:r>
    </w:p>
    <w:p w14:paraId="5A59676B" w14:textId="77777777" w:rsidR="00943E6A" w:rsidRPr="00943E6A" w:rsidRDefault="00943E6A" w:rsidP="00943E6A">
      <w:pPr>
        <w:rPr>
          <w:lang w:val="en-GB"/>
        </w:rPr>
      </w:pPr>
    </w:p>
    <w:p w14:paraId="32E14A57" w14:textId="77777777" w:rsidR="00943E6A" w:rsidRPr="00943E6A" w:rsidRDefault="00943E6A" w:rsidP="00943E6A">
      <w:pPr>
        <w:pStyle w:val="Heading2"/>
        <w:rPr>
          <w:lang w:val="en-GB"/>
        </w:rPr>
      </w:pPr>
      <w:r w:rsidRPr="00943E6A">
        <w:rPr>
          <w:lang w:val="en-GB"/>
        </w:rPr>
        <w:t xml:space="preserve">In recent years, the BRI has slowed down in terms of both the number of new projects and the value of the contracts signed. In 2022, China concluded 5 514 new contracts (-743 compared to </w:t>
      </w:r>
      <w:r w:rsidRPr="00943E6A">
        <w:rPr>
          <w:lang w:val="en-GB"/>
        </w:rPr>
        <w:lastRenderedPageBreak/>
        <w:t>2021) with a total value of USD 130 billion (-3.3%)</w:t>
      </w:r>
      <w:r w:rsidRPr="00943E6A">
        <w:rPr>
          <w:vertAlign w:val="superscript"/>
          <w:lang w:val="en-GB"/>
        </w:rPr>
        <w:footnoteReference w:id="11"/>
      </w:r>
      <w:r w:rsidRPr="00943E6A">
        <w:rPr>
          <w:lang w:val="en-GB"/>
        </w:rPr>
        <w:t>. It is plausible that this slowdown may be linked to factors such as greater caution on the part of Chinese developers and investors over the feasibility of and financial return on investments, and less willingness among partner countries to take out new debt to finance BRI projects.</w:t>
      </w:r>
    </w:p>
    <w:p w14:paraId="07EDB69D" w14:textId="77777777" w:rsidR="00943E6A" w:rsidRPr="00943E6A" w:rsidRDefault="00943E6A" w:rsidP="00943E6A">
      <w:pPr>
        <w:rPr>
          <w:lang w:val="en-GB"/>
        </w:rPr>
      </w:pPr>
    </w:p>
    <w:p w14:paraId="458351B1" w14:textId="77777777" w:rsidR="00943E6A" w:rsidRPr="00943E6A" w:rsidRDefault="00943E6A" w:rsidP="00943E6A">
      <w:pPr>
        <w:pStyle w:val="Heading2"/>
        <w:rPr>
          <w:lang w:val="en-GB"/>
        </w:rPr>
      </w:pPr>
      <w:r w:rsidRPr="00943E6A">
        <w:rPr>
          <w:lang w:val="en-GB"/>
        </w:rPr>
        <w:t>Several partner countries have encountered construction shortcomings in the infrastructure financed under the BRI, calling into question the quality of the projects covered by the initiative</w:t>
      </w:r>
      <w:r w:rsidRPr="00943E6A">
        <w:rPr>
          <w:vertAlign w:val="superscript"/>
          <w:lang w:val="en-GB"/>
        </w:rPr>
        <w:footnoteReference w:id="12"/>
      </w:r>
      <w:r w:rsidRPr="00943E6A">
        <w:rPr>
          <w:lang w:val="en-GB"/>
        </w:rPr>
        <w:t>. At the same time, some projects have been suspended or cancelled due to concerns related to excessive debt, high prices and instances of corruption</w:t>
      </w:r>
      <w:r w:rsidRPr="00943E6A">
        <w:rPr>
          <w:vertAlign w:val="superscript"/>
          <w:lang w:val="en-GB"/>
        </w:rPr>
        <w:footnoteReference w:id="13"/>
      </w:r>
      <w:r w:rsidRPr="00943E6A">
        <w:rPr>
          <w:lang w:val="en-GB"/>
        </w:rPr>
        <w:t>. In addition, the implementation of a number of projects has contributed significantly to financial instability in certain partner countries. In the case of Montenegro, where 25% of public debt is owed to China, debts contracted to finance BRI-related infrastructure projects are often considered to be the trigger for the country’s unsustainable debt</w:t>
      </w:r>
      <w:r w:rsidRPr="00943E6A">
        <w:rPr>
          <w:vertAlign w:val="superscript"/>
          <w:lang w:val="en-GB"/>
        </w:rPr>
        <w:footnoteReference w:id="14"/>
      </w:r>
      <w:r w:rsidRPr="00943E6A">
        <w:rPr>
          <w:lang w:val="en-GB"/>
        </w:rPr>
        <w:t>.</w:t>
      </w:r>
    </w:p>
    <w:p w14:paraId="59E1D707" w14:textId="77777777" w:rsidR="00943E6A" w:rsidRPr="00943E6A" w:rsidRDefault="00943E6A" w:rsidP="00943E6A">
      <w:pPr>
        <w:rPr>
          <w:lang w:val="en-GB"/>
        </w:rPr>
      </w:pPr>
    </w:p>
    <w:p w14:paraId="48031EAE" w14:textId="77777777" w:rsidR="00943E6A" w:rsidRPr="00943E6A" w:rsidRDefault="00943E6A" w:rsidP="00943E6A">
      <w:pPr>
        <w:pStyle w:val="Heading2"/>
        <w:rPr>
          <w:lang w:val="en-GB"/>
        </w:rPr>
      </w:pPr>
      <w:r w:rsidRPr="00943E6A">
        <w:rPr>
          <w:lang w:val="en-GB"/>
        </w:rPr>
        <w:t>The initiative has been criticised for a lack of transparency regarding: the environmental standards of its projects</w:t>
      </w:r>
      <w:r w:rsidRPr="00943E6A">
        <w:rPr>
          <w:vertAlign w:val="superscript"/>
          <w:lang w:val="en-GB"/>
        </w:rPr>
        <w:footnoteReference w:id="15"/>
      </w:r>
      <w:r w:rsidRPr="00943E6A">
        <w:rPr>
          <w:lang w:val="en-GB"/>
        </w:rPr>
        <w:t xml:space="preserve">, tendering, procurement, contract-awarding, actual investment figures, etc. Moreover, Chinese companies involved in the implementation of such projects have often favoured Chinese labour (bypassing national regulations on labour law and health and safety at work) over local workers (EBI-financed project in Croatia), preventing partner countries from taking advantage of projects to employ part of their workforce and benefit from the transfer of skills. </w:t>
      </w:r>
    </w:p>
    <w:p w14:paraId="3ABCCBB5" w14:textId="77777777" w:rsidR="00943E6A" w:rsidRPr="00943E6A" w:rsidRDefault="00943E6A" w:rsidP="00943E6A">
      <w:pPr>
        <w:rPr>
          <w:lang w:val="en-GB"/>
        </w:rPr>
      </w:pPr>
    </w:p>
    <w:p w14:paraId="77DFB811" w14:textId="77777777" w:rsidR="00943E6A" w:rsidRPr="00943E6A" w:rsidRDefault="00943E6A" w:rsidP="00943E6A">
      <w:pPr>
        <w:pStyle w:val="Heading2"/>
        <w:rPr>
          <w:lang w:val="en-GB"/>
        </w:rPr>
      </w:pPr>
      <w:r w:rsidRPr="00943E6A">
        <w:rPr>
          <w:lang w:val="en-GB"/>
        </w:rPr>
        <w:t>During the third BRI Forum for International Cooperation held in October 2023, it was reiterated that, although the BRI has evolved, it remains essential for the overall strategy of the PRC. In the coming years, the BRI will focus on eight key objectives for fostering high</w:t>
      </w:r>
      <w:r w:rsidRPr="00943E6A">
        <w:rPr>
          <w:lang w:val="en-GB"/>
        </w:rPr>
        <w:noBreakHyphen/>
        <w:t>quality growth</w:t>
      </w:r>
      <w:r w:rsidRPr="00943E6A">
        <w:rPr>
          <w:vertAlign w:val="superscript"/>
          <w:lang w:val="en-GB"/>
        </w:rPr>
        <w:footnoteReference w:id="16"/>
      </w:r>
      <w:r w:rsidRPr="00943E6A">
        <w:rPr>
          <w:lang w:val="en-GB"/>
        </w:rPr>
        <w:t>. These include: i) the expansion of the China-Europe Railway Express; ii) participation in the Trans-Caspian Corridor; iii) new China trade areas; iv) more access to foreign investment; v) financing for innovative projects; vi) sustainable development; vii) cultural and scientific training and exchanges; and viii) promoting integrity and strengthening the BRI’s institutions.</w:t>
      </w:r>
    </w:p>
    <w:p w14:paraId="5CA551CB" w14:textId="77777777" w:rsidR="00943E6A" w:rsidRPr="00943E6A" w:rsidRDefault="00943E6A" w:rsidP="00943E6A">
      <w:pPr>
        <w:rPr>
          <w:lang w:val="en-GB"/>
        </w:rPr>
      </w:pPr>
    </w:p>
    <w:p w14:paraId="4D3FCF0F" w14:textId="77777777" w:rsidR="00943E6A" w:rsidRPr="00943E6A" w:rsidRDefault="00943E6A" w:rsidP="00943E6A">
      <w:pPr>
        <w:pStyle w:val="Heading1"/>
        <w:rPr>
          <w:b/>
          <w:bCs/>
          <w:lang w:val="en-GB"/>
        </w:rPr>
      </w:pPr>
      <w:r w:rsidRPr="00943E6A">
        <w:rPr>
          <w:b/>
          <w:bCs/>
          <w:lang w:val="en-GB"/>
        </w:rPr>
        <w:t>An assessment of the Belt and Road Initiative</w:t>
      </w:r>
    </w:p>
    <w:p w14:paraId="23F74506" w14:textId="77777777" w:rsidR="00943E6A" w:rsidRPr="00943E6A" w:rsidRDefault="00943E6A" w:rsidP="00943E6A">
      <w:pPr>
        <w:rPr>
          <w:lang w:val="en-GB"/>
        </w:rPr>
      </w:pPr>
    </w:p>
    <w:p w14:paraId="601FB119" w14:textId="77777777" w:rsidR="00943E6A" w:rsidRPr="00943E6A" w:rsidRDefault="00943E6A" w:rsidP="00943E6A">
      <w:pPr>
        <w:pStyle w:val="Heading2"/>
        <w:rPr>
          <w:lang w:val="en-GB"/>
        </w:rPr>
      </w:pPr>
      <w:r w:rsidRPr="00943E6A">
        <w:rPr>
          <w:lang w:val="en-GB"/>
        </w:rPr>
        <w:t>Although ten years have passed since the launch of the BRI, the EESC is of the view that there is a substantial lack of clarity on the nature of the initiative and, consequently, on the criteria for a project to be included in the official list of BRI projects. The EESC therefore considers that, for reasons of transparency and clarity, the PRC should provide accurate and up-to-date information on investment programmes falling within the initiative.</w:t>
      </w:r>
    </w:p>
    <w:p w14:paraId="3AD9F595" w14:textId="77777777" w:rsidR="00943E6A" w:rsidRPr="00943E6A" w:rsidRDefault="00943E6A" w:rsidP="00943E6A">
      <w:pPr>
        <w:rPr>
          <w:lang w:val="en-GB"/>
        </w:rPr>
      </w:pPr>
    </w:p>
    <w:p w14:paraId="56AF2560" w14:textId="77777777" w:rsidR="00943E6A" w:rsidRPr="00943E6A" w:rsidRDefault="00943E6A" w:rsidP="00943E6A">
      <w:pPr>
        <w:pStyle w:val="Heading2"/>
        <w:rPr>
          <w:lang w:val="en-GB"/>
        </w:rPr>
      </w:pPr>
      <w:r w:rsidRPr="00943E6A">
        <w:rPr>
          <w:lang w:val="en-GB"/>
        </w:rPr>
        <w:lastRenderedPageBreak/>
        <w:t>The EESC regrets the fact that the launch of the BRI, both within the EU and in non-EU neighbourhood countries, has led to a lack of coordination with EU infrastructure programmes, creating inconsistencies in connectivity infrastructure. The EESC also stresses that BRI investments may have weakened ownership of strategic national infrastructure in EU Member States.</w:t>
      </w:r>
    </w:p>
    <w:p w14:paraId="1839C252" w14:textId="77777777" w:rsidR="00943E6A" w:rsidRPr="00943E6A" w:rsidRDefault="00943E6A" w:rsidP="00943E6A">
      <w:pPr>
        <w:rPr>
          <w:lang w:val="en-GB"/>
        </w:rPr>
      </w:pPr>
    </w:p>
    <w:p w14:paraId="7AE09396" w14:textId="77777777" w:rsidR="00943E6A" w:rsidRPr="00943E6A" w:rsidRDefault="00943E6A" w:rsidP="00943E6A">
      <w:pPr>
        <w:pStyle w:val="Heading2"/>
        <w:rPr>
          <w:lang w:val="en-GB"/>
        </w:rPr>
      </w:pPr>
      <w:r w:rsidRPr="00943E6A">
        <w:rPr>
          <w:lang w:val="en-GB"/>
        </w:rPr>
        <w:t>The EESC points to a lack of reciprocity in economic relations between the EU and the PRC, to the clear disadvantage of EU businesses.</w:t>
      </w:r>
    </w:p>
    <w:p w14:paraId="148ACC7E" w14:textId="77777777" w:rsidR="00943E6A" w:rsidRPr="00943E6A" w:rsidRDefault="00943E6A" w:rsidP="00943E6A">
      <w:pPr>
        <w:rPr>
          <w:lang w:val="en-GB"/>
        </w:rPr>
      </w:pPr>
    </w:p>
    <w:p w14:paraId="2BD3BFF0" w14:textId="77777777" w:rsidR="00943E6A" w:rsidRPr="00943E6A" w:rsidRDefault="00943E6A" w:rsidP="00943E6A">
      <w:pPr>
        <w:pStyle w:val="Heading2"/>
        <w:rPr>
          <w:lang w:val="en-GB"/>
        </w:rPr>
      </w:pPr>
      <w:r w:rsidRPr="00943E6A">
        <w:rPr>
          <w:lang w:val="en-GB"/>
        </w:rPr>
        <w:t>The EESC is deeply concerned that the signing of memoranda of understanding by individual EU Member States, may have undermined the unity of the EU</w:t>
      </w:r>
      <w:r w:rsidRPr="00943E6A">
        <w:rPr>
          <w:vertAlign w:val="superscript"/>
          <w:lang w:val="en-GB"/>
        </w:rPr>
        <w:footnoteReference w:id="17"/>
      </w:r>
      <w:r w:rsidRPr="00943E6A">
        <w:rPr>
          <w:lang w:val="en-GB"/>
        </w:rPr>
        <w:t>. The EESC also reiterates that the ‘14 + 1’ cooperation framework, which includes 9 EU Member States, may have triggered some EU cohesion challenges.</w:t>
      </w:r>
    </w:p>
    <w:p w14:paraId="75771C92" w14:textId="77777777" w:rsidR="00943E6A" w:rsidRPr="00943E6A" w:rsidRDefault="00943E6A" w:rsidP="00943E6A">
      <w:pPr>
        <w:rPr>
          <w:lang w:val="en-GB"/>
        </w:rPr>
      </w:pPr>
    </w:p>
    <w:p w14:paraId="75900AB1" w14:textId="77777777" w:rsidR="00943E6A" w:rsidRPr="00943E6A" w:rsidRDefault="00943E6A" w:rsidP="00943E6A">
      <w:pPr>
        <w:pStyle w:val="Heading2"/>
        <w:rPr>
          <w:lang w:val="en-GB"/>
        </w:rPr>
      </w:pPr>
      <w:r w:rsidRPr="00943E6A">
        <w:rPr>
          <w:lang w:val="en-GB"/>
        </w:rPr>
        <w:t xml:space="preserve">In the EESC’s view, if BRI investment projects in the EU countries and the EU candidate countries are not subject to specific </w:t>
      </w:r>
      <w:proofErr w:type="gramStart"/>
      <w:r w:rsidRPr="00943E6A">
        <w:rPr>
          <w:lang w:val="en-GB"/>
        </w:rPr>
        <w:t>screening,  they</w:t>
      </w:r>
      <w:proofErr w:type="gramEnd"/>
      <w:r w:rsidRPr="00943E6A">
        <w:rPr>
          <w:lang w:val="en-GB"/>
        </w:rPr>
        <w:t xml:space="preserve"> could harm the long-term competitiveness of the EU </w:t>
      </w:r>
      <w:proofErr w:type="gramStart"/>
      <w:r w:rsidRPr="00943E6A">
        <w:rPr>
          <w:lang w:val="en-GB"/>
        </w:rPr>
        <w:t>as a result of</w:t>
      </w:r>
      <w:proofErr w:type="gramEnd"/>
      <w:r w:rsidRPr="00943E6A">
        <w:rPr>
          <w:lang w:val="en-GB"/>
        </w:rPr>
        <w:t xml:space="preserve"> the forced transfer of technology to China. Therefore, the EU foreign investment screening framework should be rapidly implemented and also adopted by the candidate countries through the approximation of their legislation. </w:t>
      </w:r>
    </w:p>
    <w:p w14:paraId="31F719AB" w14:textId="77777777" w:rsidR="00943E6A" w:rsidRPr="00943E6A" w:rsidRDefault="00943E6A" w:rsidP="00943E6A">
      <w:pPr>
        <w:rPr>
          <w:lang w:val="en-GB"/>
        </w:rPr>
      </w:pPr>
    </w:p>
    <w:p w14:paraId="6FA08837" w14:textId="77777777" w:rsidR="00943E6A" w:rsidRPr="00943E6A" w:rsidRDefault="00943E6A" w:rsidP="00943E6A">
      <w:pPr>
        <w:pStyle w:val="Heading2"/>
        <w:rPr>
          <w:lang w:val="en-GB"/>
        </w:rPr>
      </w:pPr>
      <w:r w:rsidRPr="00943E6A">
        <w:rPr>
          <w:lang w:val="en-GB"/>
        </w:rPr>
        <w:t xml:space="preserve">The EESC regrets that Chinese companies investing in BRI projects in the EU do not ensure that workers’ social and labour rights are fully respected. The EESC points out that upholding the ILO core labour conventions constitutes a foundation of fairness, justice, and dignity for workers worldwide. </w:t>
      </w:r>
    </w:p>
    <w:p w14:paraId="7C9690AD" w14:textId="77777777" w:rsidR="00943E6A" w:rsidRPr="00943E6A" w:rsidRDefault="00943E6A" w:rsidP="00943E6A">
      <w:pPr>
        <w:rPr>
          <w:lang w:val="en-GB"/>
        </w:rPr>
      </w:pPr>
    </w:p>
    <w:p w14:paraId="37392FDD" w14:textId="77777777" w:rsidR="00943E6A" w:rsidRPr="00943E6A" w:rsidRDefault="00943E6A" w:rsidP="00943E6A">
      <w:pPr>
        <w:pStyle w:val="Heading2"/>
        <w:rPr>
          <w:lang w:val="en-GB"/>
        </w:rPr>
      </w:pPr>
      <w:r w:rsidRPr="00943E6A">
        <w:rPr>
          <w:lang w:val="en-GB"/>
        </w:rPr>
        <w:t>The EESC notes that, since they do not comply with EU financial regulations, Chinese investments in BRI projects can provide opportunities for money laundering by organised crime.</w:t>
      </w:r>
    </w:p>
    <w:p w14:paraId="27EE043C" w14:textId="77777777" w:rsidR="00943E6A" w:rsidRPr="00943E6A" w:rsidRDefault="00943E6A" w:rsidP="00943E6A">
      <w:pPr>
        <w:rPr>
          <w:lang w:val="en-GB"/>
        </w:rPr>
      </w:pPr>
    </w:p>
    <w:p w14:paraId="71252831" w14:textId="77777777" w:rsidR="00943E6A" w:rsidRPr="00943E6A" w:rsidRDefault="00943E6A" w:rsidP="00943E6A">
      <w:pPr>
        <w:pStyle w:val="Heading2"/>
        <w:rPr>
          <w:lang w:val="en-GB"/>
        </w:rPr>
      </w:pPr>
      <w:r w:rsidRPr="00943E6A">
        <w:rPr>
          <w:lang w:val="en-GB"/>
        </w:rPr>
        <w:t>The EESC highlights the worrying phenomenon of over-indebtedness in non-EU countries and the consequent loss of strategic guarantees. This is the case in non-EU countries such as Pakistan, Tajikistan, Kyrgyzstan, Sri Lanka, the Maldives and one EU candidate country: Montenegro.</w:t>
      </w:r>
    </w:p>
    <w:p w14:paraId="3983DB0F" w14:textId="77777777" w:rsidR="00943E6A" w:rsidRPr="00943E6A" w:rsidRDefault="00943E6A" w:rsidP="00943E6A">
      <w:pPr>
        <w:rPr>
          <w:lang w:val="en-GB"/>
        </w:rPr>
      </w:pPr>
    </w:p>
    <w:p w14:paraId="1277A0A6" w14:textId="77777777" w:rsidR="00943E6A" w:rsidRPr="00943E6A" w:rsidRDefault="00943E6A" w:rsidP="00943E6A">
      <w:pPr>
        <w:pStyle w:val="Heading2"/>
        <w:rPr>
          <w:lang w:val="en-GB"/>
        </w:rPr>
      </w:pPr>
      <w:r w:rsidRPr="00943E6A">
        <w:rPr>
          <w:lang w:val="en-GB"/>
        </w:rPr>
        <w:t>The EESC regrets that Chinese companies involved in BRI programmes do not comply with EU environmental standards, as they continue to fund and implement projects that are incompatible with the European Green Deal.</w:t>
      </w:r>
    </w:p>
    <w:p w14:paraId="125ABDC0" w14:textId="77777777" w:rsidR="00943E6A" w:rsidRPr="00943E6A" w:rsidRDefault="00943E6A" w:rsidP="00943E6A">
      <w:pPr>
        <w:rPr>
          <w:lang w:val="en-GB"/>
        </w:rPr>
      </w:pPr>
    </w:p>
    <w:p w14:paraId="3E2E2021" w14:textId="77777777" w:rsidR="00943E6A" w:rsidRPr="00943E6A" w:rsidRDefault="00943E6A" w:rsidP="00943E6A">
      <w:pPr>
        <w:pStyle w:val="Heading2"/>
        <w:rPr>
          <w:lang w:val="en-GB"/>
        </w:rPr>
      </w:pPr>
      <w:r w:rsidRPr="00943E6A">
        <w:rPr>
          <w:lang w:val="en-GB"/>
        </w:rPr>
        <w:t>Although since 2007, with the Central Asia Strategy, the EU has identified the strategic priorities for connecting transport and energy networks, the BRI has directed significant investment flows to this area and to other areas (the Balkans, Mediterranean and Atlantic ports, Africa, Southeast Asia, etc.). In this context, the projects implemented by Chinese companies have had an impact on the infrastructure interconnectivity of these areas and strategically important intermodal hubs.</w:t>
      </w:r>
    </w:p>
    <w:p w14:paraId="0A93605E" w14:textId="77777777" w:rsidR="00943E6A" w:rsidRPr="00943E6A" w:rsidRDefault="00943E6A" w:rsidP="00943E6A">
      <w:pPr>
        <w:rPr>
          <w:lang w:val="en-GB"/>
        </w:rPr>
      </w:pPr>
    </w:p>
    <w:p w14:paraId="52E4A979" w14:textId="77777777" w:rsidR="00943E6A" w:rsidRPr="00943E6A" w:rsidRDefault="00943E6A" w:rsidP="00943E6A">
      <w:pPr>
        <w:pStyle w:val="Heading2"/>
        <w:rPr>
          <w:lang w:val="en-GB"/>
        </w:rPr>
      </w:pPr>
      <w:r w:rsidRPr="00943E6A">
        <w:rPr>
          <w:lang w:val="en-GB"/>
        </w:rPr>
        <w:lastRenderedPageBreak/>
        <w:t xml:space="preserve">The EESC notes that the EU has financed directly (in the case of the </w:t>
      </w:r>
      <w:proofErr w:type="spellStart"/>
      <w:r w:rsidRPr="00943E6A">
        <w:rPr>
          <w:lang w:val="en-GB"/>
        </w:rPr>
        <w:t>Pelješac</w:t>
      </w:r>
      <w:proofErr w:type="spellEnd"/>
      <w:r w:rsidRPr="00943E6A">
        <w:rPr>
          <w:lang w:val="en-GB"/>
        </w:rPr>
        <w:t xml:space="preserve"> Bridge in Croatia) and indirectly (through</w:t>
      </w:r>
      <w:r w:rsidRPr="00943E6A">
        <w:rPr>
          <w:i/>
          <w:lang w:val="en-GB"/>
        </w:rPr>
        <w:t xml:space="preserve"> </w:t>
      </w:r>
      <w:r w:rsidRPr="00943E6A">
        <w:rPr>
          <w:iCs/>
          <w:lang w:val="en-GB"/>
        </w:rPr>
        <w:t>the European Bank for Reconstruction and Development, the European Investment Bank and the European Investment Fund</w:t>
      </w:r>
      <w:r w:rsidRPr="00943E6A">
        <w:rPr>
          <w:lang w:val="en-GB"/>
        </w:rPr>
        <w:t>) projects falling under the BRI without, however, ensuring the necessary coordination or at least compliance with environmental, social and other standards</w:t>
      </w:r>
      <w:r w:rsidRPr="00943E6A">
        <w:rPr>
          <w:vertAlign w:val="superscript"/>
          <w:lang w:val="en-GB"/>
        </w:rPr>
        <w:footnoteReference w:id="18"/>
      </w:r>
      <w:r w:rsidRPr="00943E6A">
        <w:rPr>
          <w:lang w:val="en-GB"/>
        </w:rPr>
        <w:t>.</w:t>
      </w:r>
    </w:p>
    <w:p w14:paraId="0E6C07B9" w14:textId="77777777" w:rsidR="00943E6A" w:rsidRPr="00943E6A" w:rsidRDefault="00943E6A" w:rsidP="00943E6A">
      <w:pPr>
        <w:rPr>
          <w:lang w:val="en-GB"/>
        </w:rPr>
      </w:pPr>
    </w:p>
    <w:p w14:paraId="6170EB51" w14:textId="77777777" w:rsidR="00943E6A" w:rsidRPr="00943E6A" w:rsidRDefault="00943E6A" w:rsidP="00943E6A">
      <w:pPr>
        <w:pStyle w:val="Heading2"/>
        <w:rPr>
          <w:lang w:val="en-GB"/>
        </w:rPr>
      </w:pPr>
      <w:r w:rsidRPr="00943E6A">
        <w:rPr>
          <w:lang w:val="en-GB"/>
        </w:rPr>
        <w:t>The EESC has strong environmental and security concerns with regard to the PRC’s intentions to use the Arctic route as the BRI’s North Sea Road, easing maritime flows through the Strait of Malacca.</w:t>
      </w:r>
    </w:p>
    <w:p w14:paraId="44007B96" w14:textId="77777777" w:rsidR="00943E6A" w:rsidRPr="00943E6A" w:rsidRDefault="00943E6A" w:rsidP="00943E6A">
      <w:pPr>
        <w:rPr>
          <w:lang w:val="en-GB"/>
        </w:rPr>
      </w:pPr>
    </w:p>
    <w:p w14:paraId="6191F851" w14:textId="77777777" w:rsidR="00943E6A" w:rsidRPr="00943E6A" w:rsidRDefault="00943E6A" w:rsidP="00943E6A">
      <w:pPr>
        <w:pStyle w:val="Heading2"/>
        <w:rPr>
          <w:lang w:val="en-GB"/>
        </w:rPr>
      </w:pPr>
      <w:r w:rsidRPr="00943E6A">
        <w:rPr>
          <w:lang w:val="en-GB"/>
        </w:rPr>
        <w:t>The EESC regrets that the BRI does not provide for the real involvement of local actors (civil society organisations and social partners) in devising, monitoring, evaluating and implementing projects, thus missing an important opportunity for sharing these projects with the main local actors to whom they are addressed.</w:t>
      </w:r>
    </w:p>
    <w:p w14:paraId="37F01890" w14:textId="77777777" w:rsidR="00943E6A" w:rsidRPr="00943E6A" w:rsidRDefault="00943E6A" w:rsidP="00943E6A">
      <w:pPr>
        <w:rPr>
          <w:lang w:val="en-GB"/>
        </w:rPr>
      </w:pPr>
    </w:p>
    <w:p w14:paraId="10EB1DB0" w14:textId="77777777" w:rsidR="00943E6A" w:rsidRDefault="00943E6A" w:rsidP="00943E6A">
      <w:pPr>
        <w:pStyle w:val="Heading2"/>
        <w:rPr>
          <w:lang w:val="en-GB"/>
        </w:rPr>
      </w:pPr>
      <w:r w:rsidRPr="00943E6A">
        <w:rPr>
          <w:lang w:val="en-GB"/>
        </w:rPr>
        <w:t>The EESC acknowledges, that the BRI is evolving towards more digital, green, and high-quality development. This involves steps towards:</w:t>
      </w:r>
    </w:p>
    <w:p w14:paraId="5D4E99D7" w14:textId="77777777" w:rsidR="00943E6A" w:rsidRPr="00943E6A" w:rsidRDefault="00943E6A" w:rsidP="00943E6A">
      <w:pPr>
        <w:rPr>
          <w:lang w:val="en-GB"/>
        </w:rPr>
      </w:pPr>
    </w:p>
    <w:p w14:paraId="26DEA675" w14:textId="6451C8AE" w:rsidR="00943E6A" w:rsidRPr="00943E6A" w:rsidRDefault="00943E6A" w:rsidP="00943E6A">
      <w:pPr>
        <w:numPr>
          <w:ilvl w:val="0"/>
          <w:numId w:val="9"/>
        </w:numPr>
        <w:rPr>
          <w:lang w:val="en-GB"/>
        </w:rPr>
      </w:pPr>
      <w:r w:rsidRPr="00943E6A">
        <w:rPr>
          <w:b/>
          <w:bCs/>
          <w:lang w:val="en-GB"/>
        </w:rPr>
        <w:t>A strategic refocus</w:t>
      </w:r>
      <w:r w:rsidRPr="00943E6A">
        <w:rPr>
          <w:lang w:val="en-GB"/>
        </w:rPr>
        <w:t> towards </w:t>
      </w:r>
      <w:r w:rsidRPr="00943E6A">
        <w:rPr>
          <w:b/>
          <w:bCs/>
          <w:lang w:val="en-GB"/>
        </w:rPr>
        <w:t>‘small but smart’ projects</w:t>
      </w:r>
      <w:r w:rsidRPr="00943E6A">
        <w:rPr>
          <w:lang w:val="en-GB"/>
        </w:rPr>
        <w:t>, with lower risk and higher sustainability.</w:t>
      </w:r>
    </w:p>
    <w:p w14:paraId="46A48EDA" w14:textId="77777777" w:rsidR="00943E6A" w:rsidRPr="00943E6A" w:rsidRDefault="00943E6A" w:rsidP="00943E6A">
      <w:pPr>
        <w:numPr>
          <w:ilvl w:val="0"/>
          <w:numId w:val="9"/>
        </w:numPr>
        <w:rPr>
          <w:lang w:val="en-GB"/>
        </w:rPr>
      </w:pPr>
      <w:r w:rsidRPr="00943E6A">
        <w:rPr>
          <w:b/>
          <w:bCs/>
          <w:lang w:val="en-GB"/>
        </w:rPr>
        <w:t>The Digital Silk Road:</w:t>
      </w:r>
      <w:r w:rsidRPr="00943E6A">
        <w:rPr>
          <w:lang w:val="en-GB"/>
        </w:rPr>
        <w:t> expansion of 5G, AI, cloud computing, and e-commerce infrastructure.</w:t>
      </w:r>
    </w:p>
    <w:p w14:paraId="32090B73" w14:textId="77777777" w:rsidR="00943E6A" w:rsidRPr="00943E6A" w:rsidRDefault="00943E6A" w:rsidP="00943E6A">
      <w:pPr>
        <w:numPr>
          <w:ilvl w:val="0"/>
          <w:numId w:val="9"/>
        </w:numPr>
        <w:rPr>
          <w:lang w:val="en-GB"/>
        </w:rPr>
      </w:pPr>
      <w:r w:rsidRPr="00943E6A">
        <w:rPr>
          <w:b/>
          <w:bCs/>
          <w:lang w:val="en-GB"/>
        </w:rPr>
        <w:t>The Green Silk Road:</w:t>
      </w:r>
      <w:r w:rsidRPr="00943E6A">
        <w:rPr>
          <w:lang w:val="en-GB"/>
        </w:rPr>
        <w:t> investment in clean energy (solar, wind, hydro), especially in Southeast Asia and Africa.</w:t>
      </w:r>
    </w:p>
    <w:p w14:paraId="200914D8" w14:textId="77777777" w:rsidR="00943E6A" w:rsidRDefault="00943E6A" w:rsidP="00943E6A">
      <w:pPr>
        <w:numPr>
          <w:ilvl w:val="0"/>
          <w:numId w:val="9"/>
        </w:numPr>
        <w:rPr>
          <w:lang w:val="en-GB"/>
        </w:rPr>
      </w:pPr>
      <w:r w:rsidRPr="00943E6A">
        <w:rPr>
          <w:b/>
          <w:bCs/>
          <w:lang w:val="en-GB"/>
        </w:rPr>
        <w:t>Collaborative governance:</w:t>
      </w:r>
      <w:r w:rsidRPr="00943E6A">
        <w:rPr>
          <w:lang w:val="en-GB"/>
        </w:rPr>
        <w:t> increased partnerships with multilateral organisations (e.g., UN, AIIB).</w:t>
      </w:r>
    </w:p>
    <w:p w14:paraId="06C16E78" w14:textId="77777777" w:rsidR="00943E6A" w:rsidRPr="00943E6A" w:rsidRDefault="00943E6A" w:rsidP="00943E6A">
      <w:pPr>
        <w:ind w:left="720"/>
        <w:rPr>
          <w:lang w:val="en-GB"/>
        </w:rPr>
      </w:pPr>
    </w:p>
    <w:p w14:paraId="177162AF" w14:textId="77777777" w:rsidR="00943E6A" w:rsidRPr="00943E6A" w:rsidRDefault="00943E6A" w:rsidP="00943E6A">
      <w:pPr>
        <w:pStyle w:val="Heading2"/>
        <w:rPr>
          <w:lang w:val="en-GB"/>
        </w:rPr>
      </w:pPr>
      <w:r w:rsidRPr="00943E6A">
        <w:rPr>
          <w:lang w:val="en-GB"/>
        </w:rPr>
        <w:t xml:space="preserve">Russia’s unprovoked full-scale war of aggression has had a significant impact on the BRI both in terms of geopolitical alignment and the economic stability of the regions involved. Russia itself is involved in several BRI infrastructure projects and investment initiatives. Recent extraordinary Chinese support for Russia with its aggressive territorial ambitions makes the future of the BRI even more dependent on geopolitical shake ups. </w:t>
      </w:r>
    </w:p>
    <w:p w14:paraId="73E3A099" w14:textId="77777777" w:rsidR="00943E6A" w:rsidRPr="00943E6A" w:rsidRDefault="00943E6A" w:rsidP="00943E6A">
      <w:pPr>
        <w:rPr>
          <w:lang w:val="en-GB"/>
        </w:rPr>
      </w:pPr>
    </w:p>
    <w:p w14:paraId="35AC3BDF" w14:textId="77777777" w:rsidR="00943E6A" w:rsidRPr="00943E6A" w:rsidRDefault="00943E6A" w:rsidP="00943E6A">
      <w:pPr>
        <w:pStyle w:val="Heading1"/>
        <w:rPr>
          <w:b/>
          <w:bCs/>
          <w:lang w:val="en-GB"/>
        </w:rPr>
      </w:pPr>
      <w:r w:rsidRPr="00943E6A">
        <w:rPr>
          <w:b/>
          <w:bCs/>
          <w:lang w:val="en-GB"/>
        </w:rPr>
        <w:t>Prospects for the EU Global Gateway strategy and the Belt and Road Initiative</w:t>
      </w:r>
    </w:p>
    <w:p w14:paraId="2B13F5E7" w14:textId="77777777" w:rsidR="00943E6A" w:rsidRPr="00943E6A" w:rsidRDefault="00943E6A" w:rsidP="00943E6A">
      <w:pPr>
        <w:rPr>
          <w:lang w:val="en-GB"/>
        </w:rPr>
      </w:pPr>
    </w:p>
    <w:p w14:paraId="37CD613B" w14:textId="77777777" w:rsidR="00943E6A" w:rsidRDefault="00943E6A" w:rsidP="00943E6A">
      <w:pPr>
        <w:pStyle w:val="Heading2"/>
        <w:rPr>
          <w:u w:val="single"/>
          <w:lang w:val="en-GB"/>
        </w:rPr>
      </w:pPr>
      <w:r w:rsidRPr="00943E6A">
        <w:rPr>
          <w:lang w:val="en-GB"/>
        </w:rPr>
        <w:t xml:space="preserve">The EESC believes that </w:t>
      </w:r>
      <w:r w:rsidRPr="00943E6A">
        <w:rPr>
          <w:b/>
          <w:lang w:val="en-GB"/>
        </w:rPr>
        <w:t xml:space="preserve">projects falling within the BRI </w:t>
      </w:r>
      <w:r w:rsidRPr="00943E6A">
        <w:rPr>
          <w:lang w:val="en-GB"/>
        </w:rPr>
        <w:t xml:space="preserve">and </w:t>
      </w:r>
      <w:r w:rsidRPr="009C1935">
        <w:rPr>
          <w:u w:val="single"/>
          <w:lang w:val="en-GB"/>
        </w:rPr>
        <w:t>implemented within the territory of the 27 EU Member States or outside this area but involving economic actors belonging to the EU Member States</w:t>
      </w:r>
      <w:r w:rsidRPr="00943E6A">
        <w:rPr>
          <w:lang w:val="en-GB"/>
        </w:rPr>
        <w:t xml:space="preserve"> (as beneficiaries, suppliers or donors), </w:t>
      </w:r>
      <w:r w:rsidRPr="00943E6A">
        <w:rPr>
          <w:b/>
          <w:lang w:val="en-GB"/>
        </w:rPr>
        <w:t xml:space="preserve">and Global Gateway projects </w:t>
      </w:r>
      <w:r w:rsidRPr="009C1935">
        <w:rPr>
          <w:b/>
          <w:u w:val="single"/>
          <w:lang w:val="en-GB"/>
        </w:rPr>
        <w:t>must promote the following principles</w:t>
      </w:r>
      <w:r w:rsidRPr="009C1935">
        <w:rPr>
          <w:u w:val="single"/>
          <w:lang w:val="en-GB"/>
        </w:rPr>
        <w:t>:</w:t>
      </w:r>
    </w:p>
    <w:p w14:paraId="7114304D" w14:textId="77777777" w:rsidR="009C1935" w:rsidRPr="009C1935" w:rsidRDefault="009C1935" w:rsidP="009C1935">
      <w:pPr>
        <w:rPr>
          <w:lang w:val="en-GB"/>
        </w:rPr>
      </w:pPr>
    </w:p>
    <w:p w14:paraId="5D17E4C1" w14:textId="77777777" w:rsidR="00943E6A" w:rsidRPr="00943E6A" w:rsidRDefault="00943E6A" w:rsidP="00943E6A">
      <w:pPr>
        <w:numPr>
          <w:ilvl w:val="0"/>
          <w:numId w:val="5"/>
        </w:numPr>
        <w:rPr>
          <w:lang w:val="en-GB"/>
        </w:rPr>
      </w:pPr>
      <w:r w:rsidRPr="00943E6A">
        <w:rPr>
          <w:lang w:val="en-GB"/>
        </w:rPr>
        <w:t>peace and security;</w:t>
      </w:r>
    </w:p>
    <w:p w14:paraId="78AFB586" w14:textId="77777777" w:rsidR="00943E6A" w:rsidRPr="00943E6A" w:rsidRDefault="00943E6A" w:rsidP="00943E6A">
      <w:pPr>
        <w:numPr>
          <w:ilvl w:val="0"/>
          <w:numId w:val="5"/>
        </w:numPr>
        <w:rPr>
          <w:lang w:val="en-GB"/>
        </w:rPr>
      </w:pPr>
      <w:r w:rsidRPr="00943E6A">
        <w:rPr>
          <w:lang w:val="en-GB"/>
        </w:rPr>
        <w:t>the EU values enshrined in the Treaties;</w:t>
      </w:r>
    </w:p>
    <w:p w14:paraId="07D3C7B9" w14:textId="77777777" w:rsidR="00943E6A" w:rsidRPr="00943E6A" w:rsidRDefault="00943E6A" w:rsidP="00943E6A">
      <w:pPr>
        <w:numPr>
          <w:ilvl w:val="0"/>
          <w:numId w:val="5"/>
        </w:numPr>
        <w:rPr>
          <w:lang w:val="en-GB"/>
        </w:rPr>
      </w:pPr>
      <w:r w:rsidRPr="00943E6A">
        <w:rPr>
          <w:lang w:val="en-GB"/>
        </w:rPr>
        <w:t xml:space="preserve">human rights as enshrined in the UN Universal Declaration of Human Rights (1948); </w:t>
      </w:r>
    </w:p>
    <w:p w14:paraId="62A1C95D" w14:textId="77777777" w:rsidR="00943E6A" w:rsidRPr="00943E6A" w:rsidRDefault="00943E6A" w:rsidP="00943E6A">
      <w:pPr>
        <w:numPr>
          <w:ilvl w:val="0"/>
          <w:numId w:val="5"/>
        </w:numPr>
        <w:rPr>
          <w:lang w:val="en-GB"/>
        </w:rPr>
      </w:pPr>
      <w:r w:rsidRPr="00943E6A">
        <w:rPr>
          <w:lang w:val="en-GB"/>
        </w:rPr>
        <w:t>the provisions contained in the Charter of Fundamental Rights of the European Union (2000/C – 364/01);</w:t>
      </w:r>
    </w:p>
    <w:p w14:paraId="7665CB8E" w14:textId="77777777" w:rsidR="00943E6A" w:rsidRDefault="00943E6A" w:rsidP="00943E6A">
      <w:pPr>
        <w:numPr>
          <w:ilvl w:val="0"/>
          <w:numId w:val="5"/>
        </w:numPr>
        <w:rPr>
          <w:lang w:val="en-GB"/>
        </w:rPr>
      </w:pPr>
      <w:r w:rsidRPr="00943E6A">
        <w:rPr>
          <w:lang w:val="en-GB"/>
        </w:rPr>
        <w:lastRenderedPageBreak/>
        <w:t>respect for the ILO’s fundamental conventions. The PRC has ratified six of the nine fundamental conventions. Those remaining to be ratified are: Freedom of Association and Protection of the Right to Organise, 1948 (No 87), the Right to Organise and Collective Bargaining, 1949 (No 98), the Convention on a Promotional Framework for Health and Safety at Work 2006 (No 187) to which the protocol of 2014 to the Forced Labour Convention 1939 (P029) is also added.</w:t>
      </w:r>
    </w:p>
    <w:p w14:paraId="1D56634B" w14:textId="77777777" w:rsidR="00943E6A" w:rsidRDefault="00943E6A" w:rsidP="00943E6A">
      <w:pPr>
        <w:ind w:left="1287"/>
        <w:rPr>
          <w:lang w:val="en-GB"/>
        </w:rPr>
      </w:pPr>
    </w:p>
    <w:p w14:paraId="3E6D79F2" w14:textId="3A3EFC00" w:rsidR="00943E6A" w:rsidRDefault="00943E6A" w:rsidP="00943E6A">
      <w:pPr>
        <w:ind w:left="1287"/>
        <w:rPr>
          <w:b/>
          <w:u w:val="single"/>
          <w:lang w:val="en-GB"/>
        </w:rPr>
      </w:pPr>
      <w:r w:rsidRPr="00943E6A">
        <w:rPr>
          <w:b/>
          <w:u w:val="single"/>
          <w:lang w:val="en-GB"/>
        </w:rPr>
        <w:t>guarantee the following objectives:</w:t>
      </w:r>
    </w:p>
    <w:p w14:paraId="185E9B1D" w14:textId="77777777" w:rsidR="009C1935" w:rsidRPr="00943E6A" w:rsidRDefault="009C1935" w:rsidP="00943E6A">
      <w:pPr>
        <w:ind w:left="1287"/>
        <w:rPr>
          <w:lang w:val="en-GB"/>
        </w:rPr>
      </w:pPr>
    </w:p>
    <w:p w14:paraId="08EC1887" w14:textId="77777777" w:rsidR="00943E6A" w:rsidRPr="00943E6A" w:rsidRDefault="00943E6A" w:rsidP="00943E6A">
      <w:pPr>
        <w:numPr>
          <w:ilvl w:val="0"/>
          <w:numId w:val="6"/>
        </w:numPr>
        <w:rPr>
          <w:lang w:val="en-GB"/>
        </w:rPr>
      </w:pPr>
      <w:r w:rsidRPr="00943E6A">
        <w:rPr>
          <w:lang w:val="en-GB"/>
        </w:rPr>
        <w:t>the Sustainable Development Goals (SDGs) of the United Nations;</w:t>
      </w:r>
    </w:p>
    <w:p w14:paraId="64759DD3" w14:textId="77777777" w:rsidR="00943E6A" w:rsidRPr="00943E6A" w:rsidRDefault="00943E6A" w:rsidP="00943E6A">
      <w:pPr>
        <w:numPr>
          <w:ilvl w:val="0"/>
          <w:numId w:val="6"/>
        </w:numPr>
        <w:rPr>
          <w:lang w:val="en-GB"/>
        </w:rPr>
      </w:pPr>
      <w:r w:rsidRPr="00943E6A">
        <w:rPr>
          <w:lang w:val="en-GB"/>
        </w:rPr>
        <w:t>the twin green and digital transitions;</w:t>
      </w:r>
    </w:p>
    <w:p w14:paraId="0F349CFE" w14:textId="77777777" w:rsidR="00943E6A" w:rsidRPr="00943E6A" w:rsidRDefault="00943E6A" w:rsidP="00943E6A">
      <w:pPr>
        <w:numPr>
          <w:ilvl w:val="0"/>
          <w:numId w:val="6"/>
        </w:numPr>
        <w:rPr>
          <w:lang w:val="en-GB"/>
        </w:rPr>
      </w:pPr>
      <w:r w:rsidRPr="00943E6A">
        <w:rPr>
          <w:lang w:val="en-GB"/>
        </w:rPr>
        <w:t>the European Pillar of Social Rights;</w:t>
      </w:r>
    </w:p>
    <w:p w14:paraId="707780FB" w14:textId="77777777" w:rsidR="00943E6A" w:rsidRPr="00943E6A" w:rsidRDefault="00943E6A" w:rsidP="00943E6A">
      <w:pPr>
        <w:numPr>
          <w:ilvl w:val="0"/>
          <w:numId w:val="6"/>
        </w:numPr>
        <w:rPr>
          <w:lang w:val="en-GB"/>
        </w:rPr>
      </w:pPr>
      <w:r w:rsidRPr="00943E6A">
        <w:rPr>
          <w:lang w:val="en-GB"/>
        </w:rPr>
        <w:t>the EU’s open strategic autonomy;</w:t>
      </w:r>
    </w:p>
    <w:p w14:paraId="339C0CAE" w14:textId="77777777" w:rsidR="00943E6A" w:rsidRPr="00943E6A" w:rsidRDefault="00943E6A" w:rsidP="00943E6A">
      <w:pPr>
        <w:numPr>
          <w:ilvl w:val="0"/>
          <w:numId w:val="6"/>
        </w:numPr>
        <w:rPr>
          <w:lang w:val="en-GB"/>
        </w:rPr>
      </w:pPr>
      <w:r w:rsidRPr="00943E6A">
        <w:rPr>
          <w:lang w:val="en-GB"/>
        </w:rPr>
        <w:t>European ownership of EU strategic infrastructure and production;</w:t>
      </w:r>
    </w:p>
    <w:p w14:paraId="049F2D7B" w14:textId="77777777" w:rsidR="00943E6A" w:rsidRPr="00943E6A" w:rsidRDefault="00943E6A" w:rsidP="00943E6A">
      <w:pPr>
        <w:numPr>
          <w:ilvl w:val="0"/>
          <w:numId w:val="6"/>
        </w:numPr>
        <w:rPr>
          <w:lang w:val="en-GB"/>
        </w:rPr>
      </w:pPr>
      <w:r w:rsidRPr="00943E6A">
        <w:rPr>
          <w:lang w:val="en-GB"/>
        </w:rPr>
        <w:t>the financial sustainability of the project;</w:t>
      </w:r>
    </w:p>
    <w:p w14:paraId="69A078FC" w14:textId="77777777" w:rsidR="00943E6A" w:rsidRPr="00943E6A" w:rsidRDefault="00943E6A" w:rsidP="00943E6A">
      <w:pPr>
        <w:numPr>
          <w:ilvl w:val="0"/>
          <w:numId w:val="6"/>
        </w:numPr>
        <w:rPr>
          <w:lang w:val="en-GB"/>
        </w:rPr>
      </w:pPr>
      <w:r w:rsidRPr="00943E6A">
        <w:rPr>
          <w:lang w:val="en-GB"/>
        </w:rPr>
        <w:t>a level playing field and fair competition;</w:t>
      </w:r>
    </w:p>
    <w:p w14:paraId="31B265DD" w14:textId="77777777" w:rsidR="00943E6A" w:rsidRDefault="00943E6A" w:rsidP="00943E6A">
      <w:pPr>
        <w:numPr>
          <w:ilvl w:val="0"/>
          <w:numId w:val="6"/>
        </w:numPr>
        <w:rPr>
          <w:lang w:val="en-GB"/>
        </w:rPr>
      </w:pPr>
      <w:r w:rsidRPr="00943E6A">
        <w:rPr>
          <w:lang w:val="en-GB"/>
        </w:rPr>
        <w:t>the fight against tax evasion and money laundering.</w:t>
      </w:r>
    </w:p>
    <w:p w14:paraId="5F5163A9" w14:textId="77777777" w:rsidR="00943E6A" w:rsidRDefault="00943E6A" w:rsidP="00943E6A">
      <w:pPr>
        <w:ind w:left="1287"/>
        <w:rPr>
          <w:lang w:val="en-GB"/>
        </w:rPr>
      </w:pPr>
    </w:p>
    <w:p w14:paraId="55AD9585" w14:textId="23FA95CB" w:rsidR="00943E6A" w:rsidRPr="00943E6A" w:rsidRDefault="00943E6A" w:rsidP="00943E6A">
      <w:pPr>
        <w:pStyle w:val="Heading2"/>
        <w:numPr>
          <w:ilvl w:val="0"/>
          <w:numId w:val="0"/>
        </w:numPr>
        <w:ind w:left="567"/>
        <w:rPr>
          <w:lang w:val="en-GB"/>
        </w:rPr>
      </w:pPr>
      <w:r w:rsidRPr="009C1935">
        <w:rPr>
          <w:b/>
          <w:bCs/>
          <w:lang w:val="en-GB"/>
        </w:rPr>
        <w:t>On the basis of these principles and objectives, large infrastructure investment and flagship projects</w:t>
      </w:r>
      <w:r w:rsidRPr="00943E6A">
        <w:rPr>
          <w:lang w:val="en-GB"/>
        </w:rPr>
        <w:t xml:space="preserve"> will therefore have to undergo </w:t>
      </w:r>
      <w:r w:rsidRPr="009C1935">
        <w:rPr>
          <w:b/>
          <w:bCs/>
          <w:lang w:val="en-GB"/>
        </w:rPr>
        <w:t>an economic, financial, social, environmental and legal impact assessment</w:t>
      </w:r>
      <w:r w:rsidRPr="00943E6A">
        <w:rPr>
          <w:lang w:val="en-GB"/>
        </w:rPr>
        <w:t xml:space="preserve"> demonstrating their suitability and compatibility with EU values and the above-mentioned principles and objectives set out in this paragraph.</w:t>
      </w:r>
    </w:p>
    <w:p w14:paraId="7F4DF48A" w14:textId="77777777" w:rsidR="00943E6A" w:rsidRPr="00943E6A" w:rsidRDefault="00943E6A" w:rsidP="00943E6A">
      <w:pPr>
        <w:rPr>
          <w:lang w:val="en-GB"/>
        </w:rPr>
      </w:pPr>
    </w:p>
    <w:p w14:paraId="514127F6" w14:textId="77777777" w:rsidR="00943E6A" w:rsidRDefault="00943E6A" w:rsidP="00943E6A">
      <w:pPr>
        <w:pStyle w:val="Heading3"/>
        <w:rPr>
          <w:lang w:val="en-GB"/>
        </w:rPr>
      </w:pPr>
      <w:r w:rsidRPr="00943E6A">
        <w:rPr>
          <w:lang w:val="en-GB"/>
        </w:rPr>
        <w:t>This impact assessment must be conducted within reasonable time limits: before allowing such projects to be launched within the EU or to involve EU economic actors (in the case of the BRI) or in the non-EU state, in the case of the Global Gateway.</w:t>
      </w:r>
    </w:p>
    <w:p w14:paraId="5D6EAF58" w14:textId="77777777" w:rsidR="00943E6A" w:rsidRDefault="00943E6A" w:rsidP="00943E6A">
      <w:pPr>
        <w:pStyle w:val="Heading3"/>
        <w:numPr>
          <w:ilvl w:val="0"/>
          <w:numId w:val="0"/>
        </w:numPr>
        <w:ind w:left="567"/>
        <w:rPr>
          <w:lang w:val="en-GB"/>
        </w:rPr>
      </w:pPr>
    </w:p>
    <w:p w14:paraId="32276805" w14:textId="4BA6EA13" w:rsidR="00943E6A" w:rsidRPr="00943E6A" w:rsidRDefault="00943E6A" w:rsidP="00943E6A">
      <w:pPr>
        <w:pStyle w:val="Heading3"/>
        <w:numPr>
          <w:ilvl w:val="0"/>
          <w:numId w:val="0"/>
        </w:numPr>
        <w:ind w:left="567"/>
        <w:rPr>
          <w:lang w:val="en-GB"/>
        </w:rPr>
      </w:pPr>
      <w:r w:rsidRPr="00943E6A">
        <w:rPr>
          <w:lang w:val="en-GB"/>
        </w:rPr>
        <w:t>From 2023, the EESC stated its availability to organise regular meetings within the EU-China Round Table to discuss the BRI and the Global Gateway with representatives of civil society organisations and social partners, seeking to highlight the opportunities and problems of the two programmes.</w:t>
      </w:r>
    </w:p>
    <w:p w14:paraId="027CF31D" w14:textId="77777777" w:rsidR="00943E6A" w:rsidRPr="00943E6A" w:rsidRDefault="00943E6A" w:rsidP="00943E6A">
      <w:pPr>
        <w:rPr>
          <w:lang w:val="en-GB"/>
        </w:rPr>
      </w:pPr>
    </w:p>
    <w:p w14:paraId="0E876393" w14:textId="77777777" w:rsidR="00943E6A" w:rsidRPr="00943E6A" w:rsidRDefault="00943E6A" w:rsidP="00943E6A">
      <w:pPr>
        <w:pStyle w:val="Heading1"/>
        <w:rPr>
          <w:b/>
          <w:bCs/>
          <w:lang w:val="en-GB"/>
        </w:rPr>
      </w:pPr>
      <w:r w:rsidRPr="00943E6A">
        <w:rPr>
          <w:b/>
          <w:bCs/>
          <w:lang w:val="en-GB"/>
        </w:rPr>
        <w:t xml:space="preserve">Conclusions </w:t>
      </w:r>
    </w:p>
    <w:p w14:paraId="7B03AF2E" w14:textId="77777777" w:rsidR="00943E6A" w:rsidRPr="00943E6A" w:rsidRDefault="00943E6A" w:rsidP="00943E6A">
      <w:pPr>
        <w:rPr>
          <w:lang w:val="en-GB"/>
        </w:rPr>
      </w:pPr>
    </w:p>
    <w:p w14:paraId="57647211" w14:textId="77777777" w:rsidR="00943E6A" w:rsidRPr="00943E6A" w:rsidRDefault="00943E6A" w:rsidP="00943E6A">
      <w:pPr>
        <w:pStyle w:val="Heading2"/>
        <w:rPr>
          <w:lang w:val="en-GB"/>
        </w:rPr>
      </w:pPr>
      <w:r w:rsidRPr="00943E6A">
        <w:rPr>
          <w:lang w:val="en-GB"/>
        </w:rPr>
        <w:t>The Global Gateway will strengthen economic and political ties with the EU’s partner countries, ensuring respect for its democratic and social principles while enabling the EU to compete effectively on a global level in sustainable provision of infrastructure.</w:t>
      </w:r>
    </w:p>
    <w:p w14:paraId="4378E7D8" w14:textId="77777777" w:rsidR="00943E6A" w:rsidRPr="00943E6A" w:rsidRDefault="00943E6A" w:rsidP="00943E6A">
      <w:pPr>
        <w:rPr>
          <w:lang w:val="en-GB"/>
        </w:rPr>
      </w:pPr>
    </w:p>
    <w:p w14:paraId="10631201" w14:textId="77777777" w:rsidR="00943E6A" w:rsidRPr="00943E6A" w:rsidRDefault="00943E6A" w:rsidP="00943E6A">
      <w:pPr>
        <w:pStyle w:val="Heading2"/>
        <w:rPr>
          <w:lang w:val="en-GB"/>
        </w:rPr>
      </w:pPr>
      <w:r w:rsidRPr="00943E6A">
        <w:rPr>
          <w:lang w:val="en-GB"/>
        </w:rPr>
        <w:t>The Global Gateway’s investment programmes are to be based on an impact assessment. This assessment should not only take into account aspects of strategic geopolitical relevance but also ensure democratic participation in development initiatives in partner countries and ensure the economic, social and environmental sustainability of projects.</w:t>
      </w:r>
    </w:p>
    <w:p w14:paraId="43B65D3F" w14:textId="77777777" w:rsidR="00943E6A" w:rsidRPr="00943E6A" w:rsidRDefault="00943E6A" w:rsidP="00943E6A">
      <w:pPr>
        <w:rPr>
          <w:lang w:val="en-GB"/>
        </w:rPr>
      </w:pPr>
    </w:p>
    <w:p w14:paraId="46240C28" w14:textId="77777777" w:rsidR="00943E6A" w:rsidRPr="00943E6A" w:rsidRDefault="00943E6A" w:rsidP="00943E6A">
      <w:pPr>
        <w:pStyle w:val="Heading2"/>
        <w:rPr>
          <w:lang w:val="en-GB"/>
        </w:rPr>
      </w:pPr>
      <w:r w:rsidRPr="00943E6A">
        <w:rPr>
          <w:lang w:val="en-GB"/>
        </w:rPr>
        <w:t xml:space="preserve">The EESC notes that the inclusive nature of the Global Gateway allows EU Member States to promote infrastructure and investment initiatives in other, non-EU countries – covered also by the Global Gateway. These initiatives must meet the same high-quality standards, such as those set </w:t>
      </w:r>
      <w:r w:rsidRPr="00943E6A">
        <w:rPr>
          <w:lang w:val="en-GB"/>
        </w:rPr>
        <w:lastRenderedPageBreak/>
        <w:t>out in EU documents regulating the procedures for assessing social and environmental impacts, included in the Global Gateway.</w:t>
      </w:r>
    </w:p>
    <w:p w14:paraId="62B694F4" w14:textId="77777777" w:rsidR="00943E6A" w:rsidRPr="00943E6A" w:rsidRDefault="00943E6A" w:rsidP="00943E6A">
      <w:pPr>
        <w:rPr>
          <w:lang w:val="en-GB"/>
        </w:rPr>
      </w:pPr>
    </w:p>
    <w:p w14:paraId="117D49C2" w14:textId="77777777" w:rsidR="00943E6A" w:rsidRPr="00943E6A" w:rsidRDefault="00943E6A" w:rsidP="00943E6A">
      <w:pPr>
        <w:pStyle w:val="Heading2"/>
        <w:rPr>
          <w:lang w:val="en-GB"/>
        </w:rPr>
      </w:pPr>
      <w:r w:rsidRPr="00943E6A">
        <w:rPr>
          <w:lang w:val="en-GB"/>
        </w:rPr>
        <w:t xml:space="preserve">The EESC points out that there is still a significant lack of clarity and transparency regarding the BRI and the criteria for including projects in its official list. Consequently, it is essential that the PRC provide accurate and up-to-date information on the investment programmes related to the BRI to ensure greater transparency and clarity on this initiative. </w:t>
      </w:r>
    </w:p>
    <w:p w14:paraId="0E834749" w14:textId="77777777" w:rsidR="00943E6A" w:rsidRPr="00943E6A" w:rsidRDefault="00943E6A" w:rsidP="00943E6A">
      <w:pPr>
        <w:rPr>
          <w:lang w:val="en-GB"/>
        </w:rPr>
      </w:pPr>
    </w:p>
    <w:p w14:paraId="5D526AA6" w14:textId="5BF49D31" w:rsidR="00943E6A" w:rsidRPr="00943E6A" w:rsidRDefault="00943E6A" w:rsidP="00943E6A">
      <w:pPr>
        <w:pStyle w:val="Heading2"/>
        <w:rPr>
          <w:lang w:val="en-GB"/>
        </w:rPr>
      </w:pPr>
      <w:r w:rsidRPr="00943E6A">
        <w:rPr>
          <w:lang w:val="en-GB"/>
        </w:rPr>
        <w:t xml:space="preserve">The EESC regrets the lack of real involvement of local European stakeholders, such as civil society organisations and social partners, in the overall process of developing, monitoring, evaluating and implementing projects under the BRI in the EU. The Global Gateway includes a ‘Civil Society and Local Authorities Dialogue Platform’ as part of its advisory structure but the consultation and the advisory role of this platform remains rather limited. </w:t>
      </w:r>
    </w:p>
    <w:p w14:paraId="3DD245CF" w14:textId="77777777" w:rsidR="00943E6A" w:rsidRPr="00943E6A" w:rsidRDefault="00943E6A" w:rsidP="00943E6A">
      <w:pPr>
        <w:rPr>
          <w:lang w:val="en-GB"/>
        </w:rPr>
      </w:pPr>
    </w:p>
    <w:p w14:paraId="46CCF86E" w14:textId="661F38BF" w:rsidR="00943E6A" w:rsidRPr="00943E6A" w:rsidRDefault="00943E6A" w:rsidP="00943E6A">
      <w:pPr>
        <w:pStyle w:val="Heading2"/>
        <w:rPr>
          <w:lang w:val="en-GB"/>
        </w:rPr>
      </w:pPr>
      <w:r w:rsidRPr="00943E6A">
        <w:rPr>
          <w:lang w:val="en-GB"/>
        </w:rPr>
        <w:t>The EESC considers it essential to improve coordination between the EU Member States on the BRI in order to avoid fragmentation which could harm the EU as a whole. It is essential to ensure that the EU Member States act together in relation to China, and to promote effective communication between the EU institutions and the PRC.</w:t>
      </w:r>
    </w:p>
    <w:p w14:paraId="406372D2" w14:textId="77777777" w:rsidR="00943E6A" w:rsidRPr="00943E6A" w:rsidRDefault="00943E6A" w:rsidP="00943E6A">
      <w:pPr>
        <w:rPr>
          <w:lang w:val="en-GB"/>
        </w:rPr>
      </w:pPr>
    </w:p>
    <w:p w14:paraId="1556D282" w14:textId="77777777" w:rsidR="00943E6A" w:rsidRPr="00943E6A" w:rsidRDefault="00943E6A" w:rsidP="00943E6A">
      <w:pPr>
        <w:pStyle w:val="Heading2"/>
        <w:rPr>
          <w:lang w:val="en-GB"/>
        </w:rPr>
      </w:pPr>
      <w:r w:rsidRPr="00943E6A">
        <w:rPr>
          <w:lang w:val="en-GB"/>
        </w:rPr>
        <w:t xml:space="preserve">For the EESC, </w:t>
      </w:r>
      <w:r w:rsidRPr="00943E6A">
        <w:rPr>
          <w:b/>
          <w:lang w:val="en-GB"/>
        </w:rPr>
        <w:t>projects falling within the BRI</w:t>
      </w:r>
      <w:r w:rsidRPr="00943E6A">
        <w:rPr>
          <w:lang w:val="en-GB"/>
        </w:rPr>
        <w:t xml:space="preserve"> and carried out within the EU-27 or outside the EU-27 but involving economic actors from the EU Member States (as beneficiaries, suppliers or donors), must also undergo an </w:t>
      </w:r>
      <w:r w:rsidRPr="00943E6A">
        <w:rPr>
          <w:b/>
          <w:lang w:val="en-GB"/>
        </w:rPr>
        <w:t>economic, financial, social, environmental and legal impact assessment</w:t>
      </w:r>
      <w:r w:rsidRPr="00943E6A">
        <w:rPr>
          <w:lang w:val="en-GB"/>
        </w:rPr>
        <w:t xml:space="preserve"> demonstrating their suitability and compatibility with EU values, principles and objectives.</w:t>
      </w:r>
    </w:p>
    <w:p w14:paraId="3ED68631" w14:textId="77777777" w:rsidR="00943E6A" w:rsidRPr="00943E6A" w:rsidRDefault="00943E6A" w:rsidP="00943E6A">
      <w:pPr>
        <w:rPr>
          <w:lang w:val="en-GB"/>
        </w:rPr>
      </w:pPr>
    </w:p>
    <w:p w14:paraId="1F24AA86" w14:textId="308CB738" w:rsidR="00943E6A" w:rsidRPr="00943E6A" w:rsidRDefault="00943E6A" w:rsidP="00943E6A">
      <w:pPr>
        <w:pStyle w:val="Heading2"/>
      </w:pPr>
      <w:r w:rsidRPr="009C1935">
        <w:rPr>
          <w:lang w:val="en-GB"/>
        </w:rPr>
        <w:t>Finally</w:t>
      </w:r>
      <w:r w:rsidR="0037691A">
        <w:rPr>
          <w:lang w:val="en-GB"/>
        </w:rPr>
        <w:t>,</w:t>
      </w:r>
      <w:r w:rsidRPr="009C1935">
        <w:rPr>
          <w:lang w:val="en-GB"/>
        </w:rPr>
        <w:t xml:space="preserve"> the EESC </w:t>
      </w:r>
      <w:r w:rsidRPr="00943E6A">
        <w:t xml:space="preserve">requests greater transparency from the BRI to reduce possible duplication and overlap between the two strategies. This could serve as a possible first step towards closer coordination in the future, as transparency in project planning and implementation is crucial to effective international cooperation. It would also allow for greater, more </w:t>
      </w:r>
      <w:proofErr w:type="spellStart"/>
      <w:r w:rsidRPr="00943E6A">
        <w:t>optimised</w:t>
      </w:r>
      <w:proofErr w:type="spellEnd"/>
      <w:r w:rsidRPr="00943E6A">
        <w:t xml:space="preserve"> benefits for the recipient countries.</w:t>
      </w:r>
    </w:p>
    <w:p w14:paraId="5CAE9B9D" w14:textId="77777777" w:rsidR="00943E6A" w:rsidRPr="00943E6A" w:rsidRDefault="00943E6A" w:rsidP="00943E6A">
      <w:pPr>
        <w:rPr>
          <w:lang w:val="en-GB"/>
        </w:rPr>
      </w:pPr>
    </w:p>
    <w:p w14:paraId="3194B412" w14:textId="77777777" w:rsidR="00943E6A" w:rsidRPr="00943E6A" w:rsidRDefault="00943E6A" w:rsidP="00943E6A">
      <w:pPr>
        <w:rPr>
          <w:lang w:val="en-GB"/>
        </w:rPr>
      </w:pPr>
    </w:p>
    <w:p w14:paraId="30CCEECE" w14:textId="4C4FB302" w:rsidR="00943E6A" w:rsidRPr="00943E6A" w:rsidRDefault="00943E6A" w:rsidP="00943E6A">
      <w:pPr>
        <w:jc w:val="center"/>
        <w:rPr>
          <w:lang w:val="en-GB"/>
        </w:rPr>
      </w:pPr>
      <w:r w:rsidRPr="00943E6A">
        <w:rPr>
          <w:lang w:val="en-GB"/>
        </w:rPr>
        <w:t>______________</w:t>
      </w:r>
    </w:p>
    <w:p w14:paraId="40F22DA0" w14:textId="77777777" w:rsidR="00943E6A" w:rsidRPr="00943E6A" w:rsidRDefault="00943E6A" w:rsidP="00943E6A">
      <w:pPr>
        <w:rPr>
          <w:lang w:val="en-GB"/>
        </w:rPr>
      </w:pPr>
    </w:p>
    <w:p w14:paraId="54221A54" w14:textId="77777777" w:rsidR="00943E6A" w:rsidRPr="00943E6A" w:rsidRDefault="00943E6A">
      <w:pPr>
        <w:rPr>
          <w:lang w:val="sl-SI"/>
        </w:rPr>
      </w:pPr>
    </w:p>
    <w:sectPr w:rsidR="00943E6A" w:rsidRPr="00943E6A" w:rsidSect="00943E6A">
      <w:footerReference w:type="default" r:id="rId7"/>
      <w:headerReference w:type="first" r:id="rId8"/>
      <w:pgSz w:w="11907" w:h="1683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5CCC" w14:textId="77777777" w:rsidR="00943E6A" w:rsidRDefault="00943E6A" w:rsidP="00943E6A">
      <w:pPr>
        <w:spacing w:line="240" w:lineRule="auto"/>
      </w:pPr>
      <w:r>
        <w:separator/>
      </w:r>
    </w:p>
  </w:endnote>
  <w:endnote w:type="continuationSeparator" w:id="0">
    <w:p w14:paraId="2FCC7E4F" w14:textId="77777777" w:rsidR="00943E6A" w:rsidRDefault="00943E6A" w:rsidP="00943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061385"/>
      <w:docPartObj>
        <w:docPartGallery w:val="Page Numbers (Bottom of Page)"/>
        <w:docPartUnique/>
      </w:docPartObj>
    </w:sdtPr>
    <w:sdtEndPr>
      <w:rPr>
        <w:noProof/>
      </w:rPr>
    </w:sdtEndPr>
    <w:sdtContent>
      <w:p w14:paraId="402F41DC" w14:textId="70336AA5" w:rsidR="009C1935" w:rsidRDefault="009C19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74324C" w14:textId="77777777" w:rsidR="009C1935" w:rsidRDefault="009C1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59D8" w14:textId="77777777" w:rsidR="00943E6A" w:rsidRDefault="00943E6A" w:rsidP="00943E6A">
      <w:pPr>
        <w:spacing w:line="240" w:lineRule="auto"/>
      </w:pPr>
      <w:r>
        <w:separator/>
      </w:r>
    </w:p>
  </w:footnote>
  <w:footnote w:type="continuationSeparator" w:id="0">
    <w:p w14:paraId="05D4EC65" w14:textId="77777777" w:rsidR="00943E6A" w:rsidRDefault="00943E6A" w:rsidP="00943E6A">
      <w:pPr>
        <w:spacing w:line="240" w:lineRule="auto"/>
      </w:pPr>
      <w:r>
        <w:continuationSeparator/>
      </w:r>
    </w:p>
  </w:footnote>
  <w:footnote w:id="1">
    <w:p w14:paraId="4CAA213C" w14:textId="77777777" w:rsidR="00943E6A" w:rsidRPr="00E61917" w:rsidRDefault="00943E6A" w:rsidP="00943E6A">
      <w:pPr>
        <w:pStyle w:val="FootnoteText"/>
        <w:rPr>
          <w:lang w:val="en-GB"/>
        </w:rPr>
      </w:pPr>
      <w:r>
        <w:rPr>
          <w:rStyle w:val="FootnoteReference"/>
        </w:rPr>
        <w:footnoteRef/>
      </w:r>
      <w:r w:rsidRPr="00A051DB">
        <w:rPr>
          <w:lang w:val="it-IT"/>
        </w:rPr>
        <w:t xml:space="preserve"> </w:t>
      </w:r>
      <w:r w:rsidRPr="00A051DB">
        <w:rPr>
          <w:lang w:val="it-IT"/>
        </w:rPr>
        <w:tab/>
      </w:r>
      <w:r w:rsidRPr="00E61917">
        <w:rPr>
          <w:lang w:val="en-GB"/>
        </w:rPr>
        <w:t>Austria, Bulgaria, Croatia, Cyprus, Czechia, Estonia, Greece, Hungary, Italy, Latvia, Lithuania, Luxembourg, Malta, Poland, Portugal, Romania, Slovakia, Slovenia.</w:t>
      </w:r>
    </w:p>
  </w:footnote>
  <w:footnote w:id="2">
    <w:p w14:paraId="35C9EA24" w14:textId="77777777" w:rsidR="00943E6A" w:rsidRPr="00732670" w:rsidRDefault="00943E6A" w:rsidP="00943E6A">
      <w:pPr>
        <w:pStyle w:val="FootnoteText"/>
      </w:pPr>
      <w:r>
        <w:rPr>
          <w:rStyle w:val="FootnoteReference"/>
        </w:rPr>
        <w:footnoteRef/>
      </w:r>
      <w:r>
        <w:t xml:space="preserve"> </w:t>
      </w:r>
      <w:r>
        <w:tab/>
        <w:t>Bulgaria, Croatia, Czechia, Estonia, Hungary, Latvia, Lithuania, Poland, Romania, Slovakia, Slovenia and Greece, together with: Albania, Bosnia and Herzegovina, North Macedonia, Montenegro, Serbia.</w:t>
      </w:r>
    </w:p>
  </w:footnote>
  <w:footnote w:id="3">
    <w:p w14:paraId="1E283DC6" w14:textId="77777777" w:rsidR="00943E6A" w:rsidRPr="00E61917" w:rsidRDefault="00943E6A" w:rsidP="00943E6A">
      <w:pPr>
        <w:pStyle w:val="FootnoteText"/>
        <w:rPr>
          <w:lang w:val="en-GB"/>
        </w:rPr>
      </w:pPr>
      <w:r>
        <w:rPr>
          <w:rStyle w:val="FootnoteReference"/>
        </w:rPr>
        <w:footnoteRef/>
      </w:r>
      <w:r>
        <w:t xml:space="preserve"> </w:t>
      </w:r>
      <w:r>
        <w:tab/>
      </w:r>
      <w:r w:rsidRPr="007B4004">
        <w:t>Joint Communication</w:t>
      </w:r>
      <w:r>
        <w:t xml:space="preserve"> on</w:t>
      </w:r>
      <w:r w:rsidRPr="007B4004">
        <w:t xml:space="preserve"> </w:t>
      </w:r>
      <w:r w:rsidRPr="00E61917">
        <w:rPr>
          <w:i/>
          <w:iCs/>
        </w:rPr>
        <w:t>Building sustainable international partnerships as a Team Europe</w:t>
      </w:r>
      <w:r>
        <w:t xml:space="preserve">, </w:t>
      </w:r>
      <w:proofErr w:type="gramStart"/>
      <w:r w:rsidRPr="00E61917">
        <w:rPr>
          <w:lang w:val="en-GB"/>
        </w:rPr>
        <w:t>JOIN(</w:t>
      </w:r>
      <w:proofErr w:type="gramEnd"/>
      <w:r w:rsidRPr="00E61917">
        <w:rPr>
          <w:lang w:val="en-GB"/>
        </w:rPr>
        <w:t>2024) 25 final.</w:t>
      </w:r>
    </w:p>
  </w:footnote>
  <w:footnote w:id="4">
    <w:p w14:paraId="08D68E7A" w14:textId="77777777" w:rsidR="00943E6A" w:rsidRPr="00E61917" w:rsidRDefault="00943E6A" w:rsidP="00943E6A">
      <w:pPr>
        <w:pStyle w:val="FootnoteText"/>
        <w:rPr>
          <w:szCs w:val="16"/>
          <w:lang w:val="en-GB"/>
        </w:rPr>
      </w:pPr>
      <w:r>
        <w:rPr>
          <w:rStyle w:val="FootnoteReference"/>
          <w:szCs w:val="16"/>
        </w:rPr>
        <w:footnoteRef/>
      </w:r>
      <w:r w:rsidRPr="00E61917">
        <w:rPr>
          <w:lang w:val="en-GB"/>
        </w:rPr>
        <w:tab/>
      </w:r>
      <w:hyperlink r:id="rId1" w:history="1">
        <w:r w:rsidRPr="00E61917">
          <w:rPr>
            <w:rStyle w:val="Hyperlink"/>
            <w:lang w:val="en-GB"/>
          </w:rPr>
          <w:t>https://ec.europa.eu/commission/presscorner/detail/en/ip_22_1362</w:t>
        </w:r>
      </w:hyperlink>
    </w:p>
  </w:footnote>
  <w:footnote w:id="5">
    <w:p w14:paraId="2A24A4FB" w14:textId="77777777" w:rsidR="00943E6A" w:rsidRPr="00E61917" w:rsidRDefault="00943E6A" w:rsidP="00943E6A">
      <w:pPr>
        <w:pStyle w:val="FootnoteText"/>
        <w:rPr>
          <w:lang w:val="en-GB"/>
        </w:rPr>
      </w:pPr>
      <w:r>
        <w:rPr>
          <w:rStyle w:val="FootnoteReference"/>
        </w:rPr>
        <w:footnoteRef/>
      </w:r>
      <w:r w:rsidRPr="00E61917">
        <w:rPr>
          <w:lang w:val="en-GB"/>
        </w:rPr>
        <w:tab/>
      </w:r>
      <w:hyperlink r:id="rId2" w:history="1">
        <w:r w:rsidRPr="00E61917">
          <w:rPr>
            <w:rStyle w:val="Hyperlink"/>
            <w:lang w:val="en-GB"/>
          </w:rPr>
          <w:t>https://ec.europa.eu/commission/presscorner/detail/en/ip_22_7656</w:t>
        </w:r>
      </w:hyperlink>
    </w:p>
  </w:footnote>
  <w:footnote w:id="6">
    <w:p w14:paraId="5AD9EFAC" w14:textId="77777777" w:rsidR="00943E6A" w:rsidRPr="00E61917" w:rsidRDefault="00943E6A" w:rsidP="00943E6A">
      <w:pPr>
        <w:pStyle w:val="FootnoteText"/>
        <w:rPr>
          <w:szCs w:val="16"/>
          <w:lang w:val="en-GB"/>
        </w:rPr>
      </w:pPr>
      <w:r>
        <w:rPr>
          <w:rStyle w:val="FootnoteReference"/>
          <w:szCs w:val="16"/>
        </w:rPr>
        <w:footnoteRef/>
      </w:r>
      <w:r w:rsidRPr="00E61917">
        <w:rPr>
          <w:lang w:val="en-GB"/>
        </w:rPr>
        <w:tab/>
      </w:r>
      <w:hyperlink r:id="rId3" w:history="1">
        <w:r w:rsidRPr="00E61917">
          <w:rPr>
            <w:rStyle w:val="Hyperlink"/>
            <w:lang w:val="en-GB"/>
          </w:rPr>
          <w:t>https://www.politico.eu/article/eu-sets-outs-projects-to-make-global-gateway-visible-on-the-ground/</w:t>
        </w:r>
      </w:hyperlink>
    </w:p>
  </w:footnote>
  <w:footnote w:id="7">
    <w:p w14:paraId="75CC860D" w14:textId="77777777" w:rsidR="00943E6A" w:rsidRPr="00E61917" w:rsidRDefault="00943E6A" w:rsidP="00943E6A">
      <w:pPr>
        <w:pStyle w:val="FootnoteText"/>
        <w:rPr>
          <w:szCs w:val="16"/>
          <w:lang w:val="en-GB"/>
        </w:rPr>
      </w:pPr>
      <w:r>
        <w:rPr>
          <w:rStyle w:val="FootnoteReference"/>
          <w:szCs w:val="16"/>
        </w:rPr>
        <w:footnoteRef/>
      </w:r>
      <w:r w:rsidRPr="00E61917">
        <w:rPr>
          <w:lang w:val="en-GB"/>
        </w:rPr>
        <w:tab/>
      </w:r>
      <w:hyperlink r:id="rId4" w:history="1">
        <w:r w:rsidRPr="00E61917">
          <w:rPr>
            <w:rStyle w:val="Hyperlink"/>
            <w:lang w:val="en-GB"/>
          </w:rPr>
          <w:t>https://www.bruegel.org/blog-post/global-gateway-real-step-towards-stronger-europe-world</w:t>
        </w:r>
      </w:hyperlink>
    </w:p>
  </w:footnote>
  <w:footnote w:id="8">
    <w:p w14:paraId="423FA87E" w14:textId="77777777" w:rsidR="00943E6A" w:rsidRPr="00E61917" w:rsidRDefault="00943E6A" w:rsidP="00943E6A">
      <w:pPr>
        <w:pStyle w:val="FootnoteText"/>
        <w:rPr>
          <w:lang w:val="en-GB"/>
        </w:rPr>
      </w:pPr>
      <w:r>
        <w:rPr>
          <w:rStyle w:val="FootnoteReference"/>
        </w:rPr>
        <w:footnoteRef/>
      </w:r>
      <w:r w:rsidRPr="00E61917">
        <w:rPr>
          <w:lang w:val="en-GB"/>
        </w:rPr>
        <w:t xml:space="preserve"> </w:t>
      </w:r>
      <w:r w:rsidRPr="00E61917">
        <w:rPr>
          <w:lang w:val="en-GB"/>
        </w:rPr>
        <w:tab/>
        <w:t>https://international-partnerships.ec.europa.eu/policies/global-gateway/global-gateway-projects_en</w:t>
      </w:r>
    </w:p>
  </w:footnote>
  <w:footnote w:id="9">
    <w:p w14:paraId="1F2FC8B6" w14:textId="77777777" w:rsidR="00943E6A" w:rsidRPr="00E61917" w:rsidRDefault="00943E6A" w:rsidP="00943E6A">
      <w:pPr>
        <w:pStyle w:val="FootnoteText"/>
        <w:rPr>
          <w:lang w:val="fi-FI"/>
        </w:rPr>
      </w:pPr>
      <w:r>
        <w:rPr>
          <w:rStyle w:val="FootnoteReference"/>
        </w:rPr>
        <w:footnoteRef/>
      </w:r>
      <w:r>
        <w:t xml:space="preserve"> </w:t>
      </w:r>
      <w:r w:rsidRPr="00E61917">
        <w:rPr>
          <w:lang w:val="en-GB"/>
        </w:rPr>
        <w:tab/>
        <w:t xml:space="preserve">European Commission, High Representative of the Union for Foreign Affairs and Security Policy (2025), Joint Communication to the European Parliament and the Council – The European Union’s strategic approach to the Black Sea region. </w:t>
      </w:r>
      <w:r w:rsidRPr="00E61917">
        <w:rPr>
          <w:lang w:val="fi-FI"/>
        </w:rPr>
        <w:t>JOIN (2025) 135 final.</w:t>
      </w:r>
    </w:p>
  </w:footnote>
  <w:footnote w:id="10">
    <w:p w14:paraId="0733A6EB" w14:textId="77777777" w:rsidR="00943E6A" w:rsidRPr="007B4004" w:rsidRDefault="00943E6A" w:rsidP="00943E6A">
      <w:pPr>
        <w:pStyle w:val="FootnoteText"/>
        <w:rPr>
          <w:szCs w:val="16"/>
          <w:lang w:val="fi-FI"/>
        </w:rPr>
      </w:pPr>
      <w:r>
        <w:rPr>
          <w:rStyle w:val="FootnoteReference"/>
          <w:szCs w:val="16"/>
        </w:rPr>
        <w:footnoteRef/>
      </w:r>
      <w:r w:rsidRPr="007B4004">
        <w:rPr>
          <w:lang w:val="fi-FI"/>
        </w:rPr>
        <w:tab/>
      </w:r>
      <w:hyperlink r:id="rId5" w:history="1">
        <w:r w:rsidRPr="007B4004">
          <w:rPr>
            <w:rStyle w:val="Hyperlink"/>
            <w:lang w:val="fi-FI"/>
          </w:rPr>
          <w:t>https://www.aei.org/china-global-investment-tracker/</w:t>
        </w:r>
      </w:hyperlink>
    </w:p>
  </w:footnote>
  <w:footnote w:id="11">
    <w:p w14:paraId="63972CB5" w14:textId="77777777" w:rsidR="00943E6A" w:rsidRPr="007B4004" w:rsidRDefault="00943E6A" w:rsidP="00943E6A">
      <w:pPr>
        <w:pStyle w:val="FootnoteText"/>
        <w:rPr>
          <w:szCs w:val="16"/>
          <w:lang w:val="fi-FI"/>
        </w:rPr>
      </w:pPr>
      <w:r>
        <w:rPr>
          <w:rStyle w:val="FootnoteReference"/>
          <w:szCs w:val="16"/>
        </w:rPr>
        <w:footnoteRef/>
      </w:r>
      <w:r w:rsidRPr="007B4004">
        <w:rPr>
          <w:lang w:val="fi-FI"/>
        </w:rPr>
        <w:tab/>
      </w:r>
      <w:hyperlink r:id="rId6" w:history="1">
        <w:r w:rsidRPr="007B4004">
          <w:rPr>
            <w:rStyle w:val="Hyperlink"/>
            <w:lang w:val="fi-FI"/>
          </w:rPr>
          <w:t>http://fec.mofcom.gov.cn/article/fwydyl/tjsj/202302/20230203384457.shtml</w:t>
        </w:r>
      </w:hyperlink>
    </w:p>
  </w:footnote>
  <w:footnote w:id="12">
    <w:p w14:paraId="399B0375" w14:textId="77777777" w:rsidR="00943E6A" w:rsidRPr="007B4004" w:rsidRDefault="00943E6A" w:rsidP="00943E6A">
      <w:pPr>
        <w:pStyle w:val="FootnoteText"/>
        <w:rPr>
          <w:szCs w:val="16"/>
          <w:lang w:val="fi-FI"/>
        </w:rPr>
      </w:pPr>
      <w:r>
        <w:rPr>
          <w:rStyle w:val="FootnoteReference"/>
          <w:szCs w:val="16"/>
        </w:rPr>
        <w:footnoteRef/>
      </w:r>
      <w:r w:rsidRPr="007B4004">
        <w:rPr>
          <w:lang w:val="fi-FI"/>
        </w:rPr>
        <w:tab/>
      </w:r>
      <w:hyperlink r:id="rId7" w:history="1">
        <w:r w:rsidRPr="007B4004">
          <w:rPr>
            <w:rStyle w:val="Hyperlink"/>
            <w:lang w:val="fi-FI"/>
          </w:rPr>
          <w:t>https://www.wsj.com/amp/articles/china-global-mega-projects-infrastructure-falling-apart-11674166180</w:t>
        </w:r>
      </w:hyperlink>
    </w:p>
  </w:footnote>
  <w:footnote w:id="13">
    <w:p w14:paraId="0AE061F8" w14:textId="77777777" w:rsidR="00943E6A" w:rsidRPr="007B4004" w:rsidRDefault="00943E6A" w:rsidP="00943E6A">
      <w:pPr>
        <w:pStyle w:val="FootnoteText"/>
        <w:rPr>
          <w:szCs w:val="16"/>
          <w:lang w:val="fi-FI"/>
        </w:rPr>
      </w:pPr>
      <w:r>
        <w:rPr>
          <w:rStyle w:val="FootnoteReference"/>
          <w:szCs w:val="16"/>
        </w:rPr>
        <w:footnoteRef/>
      </w:r>
      <w:r w:rsidRPr="007B4004">
        <w:rPr>
          <w:lang w:val="fi-FI"/>
        </w:rPr>
        <w:tab/>
      </w:r>
      <w:hyperlink r:id="rId8" w:history="1">
        <w:r w:rsidRPr="007B4004">
          <w:rPr>
            <w:rStyle w:val="Hyperlink"/>
            <w:lang w:val="fi-FI"/>
          </w:rPr>
          <w:t>https://www.businessinsider.com/china-spends-twice-us-but-belt-road-initiative-losing-steam-2021-9?r=US&amp;IR=T</w:t>
        </w:r>
      </w:hyperlink>
    </w:p>
  </w:footnote>
  <w:footnote w:id="14">
    <w:p w14:paraId="5D1B1EFD" w14:textId="77777777" w:rsidR="00943E6A" w:rsidRPr="007B4004" w:rsidRDefault="00943E6A" w:rsidP="00943E6A">
      <w:pPr>
        <w:pStyle w:val="FootnoteText"/>
        <w:rPr>
          <w:szCs w:val="16"/>
          <w:lang w:val="fi-FI"/>
        </w:rPr>
      </w:pPr>
      <w:r>
        <w:rPr>
          <w:rStyle w:val="FootnoteReference"/>
          <w:szCs w:val="16"/>
        </w:rPr>
        <w:footnoteRef/>
      </w:r>
      <w:r w:rsidRPr="007B4004">
        <w:rPr>
          <w:lang w:val="fi-FI"/>
        </w:rPr>
        <w:tab/>
      </w:r>
      <w:hyperlink r:id="rId9" w:history="1">
        <w:r w:rsidRPr="007B4004">
          <w:rPr>
            <w:rStyle w:val="Hyperlink"/>
            <w:lang w:val="fi-FI"/>
          </w:rPr>
          <w:t>https://thediplomat.com/2020/09/will-montenegros-new-government-bring-a-new-china-strategy/</w:t>
        </w:r>
      </w:hyperlink>
    </w:p>
  </w:footnote>
  <w:footnote w:id="15">
    <w:p w14:paraId="7480BD14" w14:textId="77777777" w:rsidR="00943E6A" w:rsidRPr="007B4004" w:rsidRDefault="00943E6A" w:rsidP="00943E6A">
      <w:pPr>
        <w:pStyle w:val="FootnoteText"/>
        <w:rPr>
          <w:szCs w:val="16"/>
          <w:lang w:val="fi-FI"/>
        </w:rPr>
      </w:pPr>
      <w:r>
        <w:rPr>
          <w:rStyle w:val="FootnoteReference"/>
          <w:szCs w:val="16"/>
        </w:rPr>
        <w:footnoteRef/>
      </w:r>
      <w:r w:rsidRPr="007B4004">
        <w:rPr>
          <w:lang w:val="fi-FI"/>
        </w:rPr>
        <w:tab/>
      </w:r>
      <w:hyperlink r:id="rId10" w:history="1">
        <w:r w:rsidRPr="007B4004">
          <w:rPr>
            <w:rStyle w:val="Hyperlink"/>
            <w:lang w:val="fi-FI"/>
          </w:rPr>
          <w:t>https://www.iai.it/en/pubblicazioni/how-green-chinas-belt-and-road-initiative</w:t>
        </w:r>
      </w:hyperlink>
    </w:p>
  </w:footnote>
  <w:footnote w:id="16">
    <w:p w14:paraId="09E29B0F" w14:textId="77777777" w:rsidR="00943E6A" w:rsidRPr="007B4004" w:rsidRDefault="00943E6A" w:rsidP="00943E6A">
      <w:pPr>
        <w:pStyle w:val="FootnoteText"/>
        <w:rPr>
          <w:lang w:val="fi-FI"/>
        </w:rPr>
      </w:pPr>
      <w:r>
        <w:rPr>
          <w:rStyle w:val="FootnoteReference"/>
        </w:rPr>
        <w:footnoteRef/>
      </w:r>
      <w:r w:rsidRPr="007B4004">
        <w:rPr>
          <w:lang w:val="fi-FI"/>
        </w:rPr>
        <w:tab/>
      </w:r>
      <w:hyperlink r:id="rId11" w:history="1">
        <w:r w:rsidRPr="007B4004">
          <w:rPr>
            <w:rStyle w:val="Hyperlink"/>
            <w:lang w:val="fi-FI"/>
          </w:rPr>
          <w:t>https://www.chinadaily.com.cn/a/202310/18/WS652f416ca31090682a5e92d2.html</w:t>
        </w:r>
      </w:hyperlink>
    </w:p>
  </w:footnote>
  <w:footnote w:id="17">
    <w:p w14:paraId="55634C6A" w14:textId="5CAFEE31" w:rsidR="00943E6A" w:rsidRPr="00C73364" w:rsidRDefault="00943E6A" w:rsidP="00943E6A">
      <w:pPr>
        <w:pStyle w:val="FootnoteText"/>
        <w:ind w:left="0" w:hanging="142"/>
        <w:rPr>
          <w:lang w:val="fi-FI"/>
        </w:rPr>
      </w:pPr>
      <w:r>
        <w:rPr>
          <w:rStyle w:val="FootnoteReference"/>
        </w:rPr>
        <w:footnoteRef/>
      </w:r>
      <w:r w:rsidRPr="007B4004">
        <w:rPr>
          <w:lang w:val="fi-FI"/>
        </w:rPr>
        <w:t xml:space="preserve"> </w:t>
      </w:r>
      <w:r w:rsidR="0037691A">
        <w:rPr>
          <w:lang w:val="fi-FI"/>
        </w:rPr>
        <w:tab/>
      </w:r>
      <w:r w:rsidRPr="00C73364">
        <w:rPr>
          <w:lang w:val="fi-FI"/>
        </w:rPr>
        <w:t xml:space="preserve">Currently, 16 Member States have signed an MoU with China for the BRI (Bulgaria, Cyprus, Croatia, Czech Republic, Greece, </w:t>
      </w:r>
      <w:r w:rsidR="0037691A" w:rsidRPr="00C73364">
        <w:rPr>
          <w:lang w:val="fi-FI"/>
        </w:rPr>
        <w:tab/>
      </w:r>
      <w:r w:rsidRPr="00C73364">
        <w:rPr>
          <w:lang w:val="fi-FI"/>
        </w:rPr>
        <w:t xml:space="preserve">Hungary, Estonia, Latvia, Lithuania, Luxembourg, Malta, Poland, Portugal, Romania, Slovakia, Slovenia); Italy signed an MoU in </w:t>
      </w:r>
      <w:r w:rsidR="0037691A" w:rsidRPr="00C73364">
        <w:rPr>
          <w:lang w:val="fi-FI"/>
        </w:rPr>
        <w:tab/>
      </w:r>
      <w:r w:rsidRPr="00C73364">
        <w:rPr>
          <w:lang w:val="fi-FI"/>
        </w:rPr>
        <w:t>2019 and subsequently withdrew from the BRI in 2023.</w:t>
      </w:r>
    </w:p>
  </w:footnote>
  <w:footnote w:id="18">
    <w:p w14:paraId="5D7760AA" w14:textId="77777777" w:rsidR="00943E6A" w:rsidRPr="00732670" w:rsidRDefault="00943E6A" w:rsidP="00943E6A">
      <w:pPr>
        <w:pStyle w:val="FootnoteText"/>
      </w:pPr>
      <w:r>
        <w:rPr>
          <w:rStyle w:val="FootnoteReference"/>
        </w:rPr>
        <w:footnoteRef/>
      </w:r>
      <w:r>
        <w:tab/>
        <w:t xml:space="preserve">European Court of Auditors, </w:t>
      </w:r>
      <w:r w:rsidRPr="00E61917">
        <w:rPr>
          <w:i/>
          <w:iCs/>
        </w:rPr>
        <w:t>The EU's response to China's state-driven investment strategy’</w:t>
      </w:r>
      <w:r>
        <w:t>. Review No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943E6A" w14:paraId="24A8A7E6" w14:textId="77777777" w:rsidTr="00036B3A">
      <w:tc>
        <w:tcPr>
          <w:tcW w:w="4531" w:type="dxa"/>
        </w:tcPr>
        <w:p w14:paraId="55F1DEE4" w14:textId="77777777" w:rsidR="00943E6A" w:rsidRDefault="00943E6A" w:rsidP="00943E6A">
          <w:pPr>
            <w:jc w:val="center"/>
            <w:rPr>
              <w:sz w:val="32"/>
              <w:szCs w:val="32"/>
              <w:lang w:val="en-GB"/>
            </w:rPr>
          </w:pPr>
          <w:bookmarkStart w:id="2" w:name="_Hlk199850271"/>
          <w:r w:rsidRPr="007B4004">
            <w:rPr>
              <w:noProof/>
              <w:sz w:val="32"/>
              <w:szCs w:val="32"/>
              <w:lang w:val="en-GB" w:eastAsia="en-GB"/>
            </w:rPr>
            <w:drawing>
              <wp:inline distT="0" distB="0" distL="0" distR="0" wp14:anchorId="753DDA13" wp14:editId="60E3FB98">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tc>
      <w:tc>
        <w:tcPr>
          <w:tcW w:w="4532" w:type="dxa"/>
        </w:tcPr>
        <w:p w14:paraId="3B00B190" w14:textId="77777777" w:rsidR="00943E6A" w:rsidRDefault="00943E6A" w:rsidP="00943E6A">
          <w:pPr>
            <w:jc w:val="center"/>
            <w:rPr>
              <w:sz w:val="32"/>
              <w:szCs w:val="32"/>
              <w:lang w:val="en-GB"/>
            </w:rPr>
          </w:pPr>
          <w:r w:rsidRPr="007B4004">
            <w:rPr>
              <w:noProof/>
              <w:sz w:val="32"/>
              <w:szCs w:val="32"/>
              <w:lang w:val="en-GB" w:eastAsia="en-GB"/>
            </w:rPr>
            <w:drawing>
              <wp:inline distT="0" distB="0" distL="0" distR="0" wp14:anchorId="2537D741" wp14:editId="6A4994B4">
                <wp:extent cx="1352550" cy="1066800"/>
                <wp:effectExtent l="0" t="0" r="0" b="0"/>
                <wp:docPr id="2"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1066800"/>
                        </a:xfrm>
                        <a:prstGeom prst="rect">
                          <a:avLst/>
                        </a:prstGeom>
                        <a:noFill/>
                        <a:ln>
                          <a:noFill/>
                        </a:ln>
                      </pic:spPr>
                    </pic:pic>
                  </a:graphicData>
                </a:graphic>
              </wp:inline>
            </w:drawing>
          </w:r>
        </w:p>
      </w:tc>
    </w:tr>
    <w:bookmarkEnd w:id="2"/>
  </w:tbl>
  <w:p w14:paraId="5BD853F2" w14:textId="55E53A13" w:rsidR="00943E6A" w:rsidRDefault="00943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6283A5A"/>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50E467A"/>
    <w:multiLevelType w:val="multilevel"/>
    <w:tmpl w:val="F2F64894"/>
    <w:lvl w:ilvl="0">
      <w:start w:val="1"/>
      <w:numFmt w:val="lowerLetter"/>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29474C42"/>
    <w:multiLevelType w:val="hybridMultilevel"/>
    <w:tmpl w:val="818EC576"/>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F825AE0"/>
    <w:multiLevelType w:val="multilevel"/>
    <w:tmpl w:val="F2F64894"/>
    <w:lvl w:ilvl="0">
      <w:start w:val="1"/>
      <w:numFmt w:val="lowerLetter"/>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464922FA"/>
    <w:multiLevelType w:val="hybridMultilevel"/>
    <w:tmpl w:val="F65CE3AC"/>
    <w:lvl w:ilvl="0" w:tplc="04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1643856"/>
    <w:multiLevelType w:val="hybridMultilevel"/>
    <w:tmpl w:val="FCC23238"/>
    <w:lvl w:ilvl="0" w:tplc="5F6E55BA">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8D91B96"/>
    <w:multiLevelType w:val="hybridMultilevel"/>
    <w:tmpl w:val="2610A33C"/>
    <w:lvl w:ilvl="0" w:tplc="04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245026D"/>
    <w:multiLevelType w:val="multilevel"/>
    <w:tmpl w:val="9C3A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A42A2"/>
    <w:multiLevelType w:val="multilevel"/>
    <w:tmpl w:val="0A6A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872079">
    <w:abstractNumId w:val="0"/>
  </w:num>
  <w:num w:numId="2" w16cid:durableId="1932547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8329660">
    <w:abstractNumId w:val="2"/>
  </w:num>
  <w:num w:numId="4" w16cid:durableId="1096363694">
    <w:abstractNumId w:val="1"/>
  </w:num>
  <w:num w:numId="5" w16cid:durableId="73748168">
    <w:abstractNumId w:val="6"/>
  </w:num>
  <w:num w:numId="6" w16cid:durableId="1889685908">
    <w:abstractNumId w:val="4"/>
  </w:num>
  <w:num w:numId="7" w16cid:durableId="464667641">
    <w:abstractNumId w:val="8"/>
  </w:num>
  <w:num w:numId="8" w16cid:durableId="1554930032">
    <w:abstractNumId w:val="5"/>
  </w:num>
  <w:num w:numId="9" w16cid:durableId="1207839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6A"/>
    <w:rsid w:val="00051CFB"/>
    <w:rsid w:val="00126D99"/>
    <w:rsid w:val="001C675B"/>
    <w:rsid w:val="0037691A"/>
    <w:rsid w:val="004216E2"/>
    <w:rsid w:val="00562C12"/>
    <w:rsid w:val="00703540"/>
    <w:rsid w:val="008E4577"/>
    <w:rsid w:val="00943E6A"/>
    <w:rsid w:val="009C1935"/>
    <w:rsid w:val="00C73364"/>
    <w:rsid w:val="00EF10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27B096"/>
  <w15:chartTrackingRefBased/>
  <w15:docId w15:val="{593DB793-36EA-45B4-8339-25C5E82E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6A"/>
    <w:pPr>
      <w:spacing w:after="0" w:line="288" w:lineRule="auto"/>
      <w:jc w:val="both"/>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943E6A"/>
    <w:pPr>
      <w:numPr>
        <w:numId w:val="1"/>
      </w:numPr>
      <w:ind w:left="567" w:hanging="567"/>
      <w:outlineLvl w:val="0"/>
    </w:pPr>
    <w:rPr>
      <w:kern w:val="28"/>
    </w:rPr>
  </w:style>
  <w:style w:type="paragraph" w:styleId="Heading2">
    <w:name w:val="heading 2"/>
    <w:basedOn w:val="Normal"/>
    <w:next w:val="Normal"/>
    <w:link w:val="Heading2Char"/>
    <w:uiPriority w:val="9"/>
    <w:qFormat/>
    <w:rsid w:val="00943E6A"/>
    <w:pPr>
      <w:numPr>
        <w:ilvl w:val="1"/>
        <w:numId w:val="1"/>
      </w:numPr>
      <w:ind w:left="567" w:hanging="567"/>
      <w:outlineLvl w:val="1"/>
    </w:pPr>
  </w:style>
  <w:style w:type="paragraph" w:styleId="Heading3">
    <w:name w:val="heading 3"/>
    <w:basedOn w:val="Normal"/>
    <w:next w:val="Normal"/>
    <w:link w:val="Heading3Char"/>
    <w:uiPriority w:val="9"/>
    <w:qFormat/>
    <w:rsid w:val="00943E6A"/>
    <w:pPr>
      <w:numPr>
        <w:ilvl w:val="2"/>
        <w:numId w:val="1"/>
      </w:numPr>
      <w:ind w:left="567" w:hanging="567"/>
      <w:outlineLvl w:val="2"/>
    </w:pPr>
  </w:style>
  <w:style w:type="paragraph" w:styleId="Heading4">
    <w:name w:val="heading 4"/>
    <w:basedOn w:val="Normal"/>
    <w:next w:val="Normal"/>
    <w:link w:val="Heading4Char"/>
    <w:uiPriority w:val="9"/>
    <w:qFormat/>
    <w:rsid w:val="00943E6A"/>
    <w:pPr>
      <w:numPr>
        <w:ilvl w:val="3"/>
        <w:numId w:val="1"/>
      </w:numPr>
      <w:ind w:left="567" w:hanging="567"/>
      <w:outlineLvl w:val="3"/>
    </w:pPr>
  </w:style>
  <w:style w:type="paragraph" w:styleId="Heading5">
    <w:name w:val="heading 5"/>
    <w:basedOn w:val="Normal"/>
    <w:next w:val="Normal"/>
    <w:link w:val="Heading5Char"/>
    <w:uiPriority w:val="9"/>
    <w:qFormat/>
    <w:rsid w:val="00943E6A"/>
    <w:pPr>
      <w:numPr>
        <w:ilvl w:val="4"/>
        <w:numId w:val="1"/>
      </w:numPr>
      <w:ind w:left="567" w:hanging="567"/>
      <w:outlineLvl w:val="4"/>
    </w:pPr>
  </w:style>
  <w:style w:type="paragraph" w:styleId="Heading6">
    <w:name w:val="heading 6"/>
    <w:basedOn w:val="Normal"/>
    <w:next w:val="Normal"/>
    <w:link w:val="Heading6Char"/>
    <w:uiPriority w:val="9"/>
    <w:qFormat/>
    <w:rsid w:val="00943E6A"/>
    <w:pPr>
      <w:numPr>
        <w:ilvl w:val="5"/>
        <w:numId w:val="1"/>
      </w:numPr>
      <w:ind w:left="567" w:hanging="567"/>
      <w:outlineLvl w:val="5"/>
    </w:pPr>
  </w:style>
  <w:style w:type="paragraph" w:styleId="Heading7">
    <w:name w:val="heading 7"/>
    <w:basedOn w:val="Normal"/>
    <w:next w:val="Normal"/>
    <w:link w:val="Heading7Char"/>
    <w:qFormat/>
    <w:rsid w:val="00943E6A"/>
    <w:pPr>
      <w:numPr>
        <w:ilvl w:val="6"/>
        <w:numId w:val="1"/>
      </w:numPr>
      <w:ind w:left="567" w:hanging="567"/>
      <w:outlineLvl w:val="6"/>
    </w:pPr>
  </w:style>
  <w:style w:type="paragraph" w:styleId="Heading8">
    <w:name w:val="heading 8"/>
    <w:basedOn w:val="Normal"/>
    <w:next w:val="Normal"/>
    <w:link w:val="Heading8Char"/>
    <w:qFormat/>
    <w:rsid w:val="00943E6A"/>
    <w:pPr>
      <w:numPr>
        <w:ilvl w:val="7"/>
        <w:numId w:val="1"/>
      </w:numPr>
      <w:ind w:left="567" w:hanging="567"/>
      <w:outlineLvl w:val="7"/>
    </w:pPr>
  </w:style>
  <w:style w:type="paragraph" w:styleId="Heading9">
    <w:name w:val="heading 9"/>
    <w:basedOn w:val="Normal"/>
    <w:next w:val="Normal"/>
    <w:link w:val="Heading9Char"/>
    <w:qFormat/>
    <w:rsid w:val="00943E6A"/>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E6A"/>
    <w:rPr>
      <w:rFonts w:ascii="Times New Roman" w:eastAsia="Times New Roman" w:hAnsi="Times New Roman" w:cs="Times New Roman"/>
      <w:kern w:val="28"/>
      <w:sz w:val="22"/>
      <w:szCs w:val="22"/>
      <w:lang w:val="en-US"/>
      <w14:ligatures w14:val="none"/>
    </w:rPr>
  </w:style>
  <w:style w:type="character" w:customStyle="1" w:styleId="Heading2Char">
    <w:name w:val="Heading 2 Char"/>
    <w:basedOn w:val="DefaultParagraphFont"/>
    <w:link w:val="Heading2"/>
    <w:rsid w:val="00943E6A"/>
    <w:rPr>
      <w:rFonts w:ascii="Times New Roman" w:eastAsia="Times New Roman" w:hAnsi="Times New Roman" w:cs="Times New Roman"/>
      <w:kern w:val="0"/>
      <w:sz w:val="22"/>
      <w:szCs w:val="22"/>
      <w:lang w:val="en-US"/>
      <w14:ligatures w14:val="none"/>
    </w:rPr>
  </w:style>
  <w:style w:type="character" w:customStyle="1" w:styleId="Heading3Char">
    <w:name w:val="Heading 3 Char"/>
    <w:basedOn w:val="DefaultParagraphFont"/>
    <w:link w:val="Heading3"/>
    <w:rsid w:val="00943E6A"/>
    <w:rPr>
      <w:rFonts w:ascii="Times New Roman" w:eastAsia="Times New Roman" w:hAnsi="Times New Roman" w:cs="Times New Roman"/>
      <w:kern w:val="0"/>
      <w:sz w:val="22"/>
      <w:szCs w:val="22"/>
      <w:lang w:val="en-US"/>
      <w14:ligatures w14:val="none"/>
    </w:rPr>
  </w:style>
  <w:style w:type="character" w:customStyle="1" w:styleId="Heading4Char">
    <w:name w:val="Heading 4 Char"/>
    <w:basedOn w:val="DefaultParagraphFont"/>
    <w:link w:val="Heading4"/>
    <w:rsid w:val="00943E6A"/>
    <w:rPr>
      <w:rFonts w:ascii="Times New Roman" w:eastAsia="Times New Roman" w:hAnsi="Times New Roman" w:cs="Times New Roman"/>
      <w:kern w:val="0"/>
      <w:sz w:val="22"/>
      <w:szCs w:val="22"/>
      <w:lang w:val="en-US"/>
      <w14:ligatures w14:val="none"/>
    </w:rPr>
  </w:style>
  <w:style w:type="character" w:customStyle="1" w:styleId="Heading5Char">
    <w:name w:val="Heading 5 Char"/>
    <w:basedOn w:val="DefaultParagraphFont"/>
    <w:link w:val="Heading5"/>
    <w:rsid w:val="00943E6A"/>
    <w:rPr>
      <w:rFonts w:ascii="Times New Roman" w:eastAsia="Times New Roman" w:hAnsi="Times New Roman" w:cs="Times New Roman"/>
      <w:kern w:val="0"/>
      <w:sz w:val="22"/>
      <w:szCs w:val="22"/>
      <w:lang w:val="en-US"/>
      <w14:ligatures w14:val="none"/>
    </w:rPr>
  </w:style>
  <w:style w:type="character" w:customStyle="1" w:styleId="Heading6Char">
    <w:name w:val="Heading 6 Char"/>
    <w:basedOn w:val="DefaultParagraphFont"/>
    <w:link w:val="Heading6"/>
    <w:rsid w:val="00943E6A"/>
    <w:rPr>
      <w:rFonts w:ascii="Times New Roman" w:eastAsia="Times New Roman" w:hAnsi="Times New Roman" w:cs="Times New Roman"/>
      <w:kern w:val="0"/>
      <w:sz w:val="22"/>
      <w:szCs w:val="22"/>
      <w:lang w:val="en-US"/>
      <w14:ligatures w14:val="none"/>
    </w:rPr>
  </w:style>
  <w:style w:type="character" w:customStyle="1" w:styleId="Heading7Char">
    <w:name w:val="Heading 7 Char"/>
    <w:basedOn w:val="DefaultParagraphFont"/>
    <w:link w:val="Heading7"/>
    <w:rsid w:val="00943E6A"/>
    <w:rPr>
      <w:rFonts w:ascii="Times New Roman" w:eastAsia="Times New Roman" w:hAnsi="Times New Roman" w:cs="Times New Roman"/>
      <w:kern w:val="0"/>
      <w:sz w:val="22"/>
      <w:szCs w:val="22"/>
      <w:lang w:val="en-US"/>
      <w14:ligatures w14:val="none"/>
    </w:rPr>
  </w:style>
  <w:style w:type="character" w:customStyle="1" w:styleId="Heading8Char">
    <w:name w:val="Heading 8 Char"/>
    <w:basedOn w:val="DefaultParagraphFont"/>
    <w:link w:val="Heading8"/>
    <w:rsid w:val="00943E6A"/>
    <w:rPr>
      <w:rFonts w:ascii="Times New Roman" w:eastAsia="Times New Roman" w:hAnsi="Times New Roman" w:cs="Times New Roman"/>
      <w:kern w:val="0"/>
      <w:sz w:val="22"/>
      <w:szCs w:val="22"/>
      <w:lang w:val="en-US"/>
      <w14:ligatures w14:val="none"/>
    </w:rPr>
  </w:style>
  <w:style w:type="character" w:customStyle="1" w:styleId="Heading9Char">
    <w:name w:val="Heading 9 Char"/>
    <w:basedOn w:val="DefaultParagraphFont"/>
    <w:link w:val="Heading9"/>
    <w:rsid w:val="00943E6A"/>
    <w:rPr>
      <w:rFonts w:ascii="Times New Roman" w:eastAsia="Times New Roman" w:hAnsi="Times New Roman" w:cs="Times New Roman"/>
      <w:kern w:val="0"/>
      <w:sz w:val="22"/>
      <w:szCs w:val="22"/>
      <w:lang w:val="en-US"/>
      <w14:ligatures w14:val="none"/>
    </w:rPr>
  </w:style>
  <w:style w:type="paragraph" w:styleId="Title">
    <w:name w:val="Title"/>
    <w:basedOn w:val="Normal"/>
    <w:next w:val="Normal"/>
    <w:link w:val="TitleChar"/>
    <w:uiPriority w:val="10"/>
    <w:qFormat/>
    <w:rsid w:val="00943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E6A"/>
    <w:pPr>
      <w:spacing w:before="160"/>
      <w:jc w:val="center"/>
    </w:pPr>
    <w:rPr>
      <w:i/>
      <w:iCs/>
      <w:color w:val="404040" w:themeColor="text1" w:themeTint="BF"/>
    </w:rPr>
  </w:style>
  <w:style w:type="character" w:customStyle="1" w:styleId="QuoteChar">
    <w:name w:val="Quote Char"/>
    <w:basedOn w:val="DefaultParagraphFont"/>
    <w:link w:val="Quote"/>
    <w:uiPriority w:val="29"/>
    <w:rsid w:val="00943E6A"/>
    <w:rPr>
      <w:i/>
      <w:iCs/>
      <w:color w:val="404040" w:themeColor="text1" w:themeTint="BF"/>
    </w:rPr>
  </w:style>
  <w:style w:type="paragraph" w:styleId="ListParagraph">
    <w:name w:val="List Paragraph"/>
    <w:basedOn w:val="Normal"/>
    <w:uiPriority w:val="34"/>
    <w:qFormat/>
    <w:rsid w:val="00943E6A"/>
    <w:pPr>
      <w:ind w:left="720"/>
      <w:contextualSpacing/>
    </w:pPr>
  </w:style>
  <w:style w:type="character" w:styleId="IntenseEmphasis">
    <w:name w:val="Intense Emphasis"/>
    <w:basedOn w:val="DefaultParagraphFont"/>
    <w:uiPriority w:val="21"/>
    <w:qFormat/>
    <w:rsid w:val="00943E6A"/>
    <w:rPr>
      <w:i/>
      <w:iCs/>
      <w:color w:val="0F4761" w:themeColor="accent1" w:themeShade="BF"/>
    </w:rPr>
  </w:style>
  <w:style w:type="paragraph" w:styleId="IntenseQuote">
    <w:name w:val="Intense Quote"/>
    <w:basedOn w:val="Normal"/>
    <w:next w:val="Normal"/>
    <w:link w:val="IntenseQuoteChar"/>
    <w:uiPriority w:val="30"/>
    <w:qFormat/>
    <w:rsid w:val="00943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E6A"/>
    <w:rPr>
      <w:i/>
      <w:iCs/>
      <w:color w:val="0F4761" w:themeColor="accent1" w:themeShade="BF"/>
    </w:rPr>
  </w:style>
  <w:style w:type="character" w:styleId="IntenseReference">
    <w:name w:val="Intense Reference"/>
    <w:basedOn w:val="DefaultParagraphFont"/>
    <w:uiPriority w:val="32"/>
    <w:qFormat/>
    <w:rsid w:val="00943E6A"/>
    <w:rPr>
      <w:b/>
      <w:bCs/>
      <w:smallCaps/>
      <w:color w:val="0F4761" w:themeColor="accent1" w:themeShade="BF"/>
      <w:spacing w:val="5"/>
    </w:rPr>
  </w:style>
  <w:style w:type="paragraph" w:styleId="Footer">
    <w:name w:val="footer"/>
    <w:basedOn w:val="Normal"/>
    <w:link w:val="FooterChar"/>
    <w:uiPriority w:val="99"/>
    <w:qFormat/>
    <w:rsid w:val="00943E6A"/>
  </w:style>
  <w:style w:type="character" w:customStyle="1" w:styleId="FooterChar">
    <w:name w:val="Footer Char"/>
    <w:basedOn w:val="DefaultParagraphFont"/>
    <w:link w:val="Footer"/>
    <w:uiPriority w:val="99"/>
    <w:rsid w:val="00943E6A"/>
    <w:rPr>
      <w:rFonts w:ascii="Times New Roman" w:eastAsia="Times New Roman" w:hAnsi="Times New Roman" w:cs="Times New Roman"/>
      <w:kern w:val="0"/>
      <w:sz w:val="22"/>
      <w:szCs w:val="22"/>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
    <w:basedOn w:val="Normal"/>
    <w:link w:val="FootnoteTextChar"/>
    <w:uiPriority w:val="99"/>
    <w:qFormat/>
    <w:rsid w:val="00943E6A"/>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943E6A"/>
    <w:rPr>
      <w:rFonts w:ascii="Times New Roman" w:eastAsia="Times New Roman" w:hAnsi="Times New Roman" w:cs="Times New Roman"/>
      <w:kern w:val="0"/>
      <w:sz w:val="16"/>
      <w:szCs w:val="22"/>
      <w:lang w:val="en-US"/>
      <w14:ligatures w14:val="none"/>
    </w:rPr>
  </w:style>
  <w:style w:type="paragraph" w:styleId="Header">
    <w:name w:val="header"/>
    <w:basedOn w:val="Normal"/>
    <w:link w:val="HeaderChar"/>
    <w:qFormat/>
    <w:rsid w:val="00943E6A"/>
  </w:style>
  <w:style w:type="character" w:customStyle="1" w:styleId="HeaderChar">
    <w:name w:val="Header Char"/>
    <w:basedOn w:val="DefaultParagraphFont"/>
    <w:link w:val="Header"/>
    <w:rsid w:val="00943E6A"/>
    <w:rPr>
      <w:rFonts w:ascii="Times New Roman" w:eastAsia="Times New Roman" w:hAnsi="Times New Roman" w:cs="Times New Roman"/>
      <w:kern w:val="0"/>
      <w:sz w:val="22"/>
      <w:szCs w:val="22"/>
      <w:lang w:val="en-US"/>
      <w14:ligatures w14:val="none"/>
    </w:rPr>
  </w:style>
  <w:style w:type="paragraph" w:customStyle="1" w:styleId="quotes">
    <w:name w:val="quotes"/>
    <w:basedOn w:val="Normal"/>
    <w:next w:val="Normal"/>
    <w:rsid w:val="00943E6A"/>
    <w:pPr>
      <w:ind w:left="720"/>
    </w:pPr>
    <w:rPr>
      <w:i/>
    </w:rPr>
  </w:style>
  <w:style w:type="character" w:styleId="FootnoteReference">
    <w:name w:val="footnote reference"/>
    <w:aliases w:val="Footnote symbol"/>
    <w:basedOn w:val="DefaultParagraphFont"/>
    <w:uiPriority w:val="99"/>
    <w:unhideWhenUsed/>
    <w:qFormat/>
    <w:rsid w:val="00943E6A"/>
    <w:rPr>
      <w:sz w:val="24"/>
      <w:vertAlign w:val="superscript"/>
    </w:rPr>
  </w:style>
  <w:style w:type="character" w:styleId="Hyperlink">
    <w:name w:val="Hyperlink"/>
    <w:uiPriority w:val="99"/>
    <w:rsid w:val="00943E6A"/>
    <w:rPr>
      <w:color w:val="0000FF"/>
      <w:u w:val="single"/>
    </w:rPr>
  </w:style>
  <w:style w:type="character" w:styleId="CommentReference">
    <w:name w:val="annotation reference"/>
    <w:basedOn w:val="DefaultParagraphFont"/>
    <w:semiHidden/>
    <w:unhideWhenUsed/>
    <w:rsid w:val="00943E6A"/>
    <w:rPr>
      <w:sz w:val="16"/>
      <w:szCs w:val="16"/>
    </w:rPr>
  </w:style>
  <w:style w:type="table" w:styleId="TableGrid">
    <w:name w:val="Table Grid"/>
    <w:basedOn w:val="TableNormal"/>
    <w:rsid w:val="00943E6A"/>
    <w:pPr>
      <w:spacing w:after="0" w:line="240" w:lineRule="auto"/>
      <w:jc w:val="both"/>
    </w:pPr>
    <w:rPr>
      <w:rFonts w:ascii="Times New Roman" w:eastAsia="Times New Roman" w:hAnsi="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usinessinsider.com/china-spends-twice-us-but-belt-road-initiative-losing-steam-2021-9?r=US&amp;IR=T" TargetMode="External"/><Relationship Id="rId3" Type="http://schemas.openxmlformats.org/officeDocument/2006/relationships/hyperlink" Target="https://www.politico.eu/article/eu-sets-outs-projects-to-make-global-gateway-visible-on-the-ground/" TargetMode="External"/><Relationship Id="rId7" Type="http://schemas.openxmlformats.org/officeDocument/2006/relationships/hyperlink" Target="https://www.wsj.com/amp/articles/china-global-mega-projects-infrastructure-falling-apart-11674166180" TargetMode="External"/><Relationship Id="rId2" Type="http://schemas.openxmlformats.org/officeDocument/2006/relationships/hyperlink" Target="https://ec.europa.eu/commission/presscorner/detail/en/ip_22_7656" TargetMode="External"/><Relationship Id="rId1" Type="http://schemas.openxmlformats.org/officeDocument/2006/relationships/hyperlink" Target="https://ec.europa.eu/commission/presscorner/detail/en/ip_22_1362" TargetMode="External"/><Relationship Id="rId6" Type="http://schemas.openxmlformats.org/officeDocument/2006/relationships/hyperlink" Target="http://fec.mofcom.gov.cn/article/fwydyl/tjsj/202302/20230203384457.shtml" TargetMode="External"/><Relationship Id="rId11" Type="http://schemas.openxmlformats.org/officeDocument/2006/relationships/hyperlink" Target="https://www.chinadaily.com.cn/a/202310/18/WS652f416ca31090682a5e92d2.html" TargetMode="External"/><Relationship Id="rId5" Type="http://schemas.openxmlformats.org/officeDocument/2006/relationships/hyperlink" Target="https://www.aei.org/china-global-investment-tracker/" TargetMode="External"/><Relationship Id="rId10" Type="http://schemas.openxmlformats.org/officeDocument/2006/relationships/hyperlink" Target="https://www.iai.it/en/pubblicazioni/how-green-chinas-belt-and-road-initiative" TargetMode="External"/><Relationship Id="rId4" Type="http://schemas.openxmlformats.org/officeDocument/2006/relationships/hyperlink" Target="https://www.bruegel.org/blog-post/global-gateway-real-step-towards-stronger-europe-world" TargetMode="External"/><Relationship Id="rId9" Type="http://schemas.openxmlformats.org/officeDocument/2006/relationships/hyperlink" Target="https://thediplomat.com/2020/09/will-montenegros-new-government-bring-a-new-china-strateg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word365\Templates\Styles\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Styles.dotx</Template>
  <TotalTime>1</TotalTime>
  <Pages>12</Pages>
  <Words>4582</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Kacicnik Nadja</dc:creator>
  <cp:keywords/>
  <dc:description/>
  <cp:lastModifiedBy>Kacicnik Nadja</cp:lastModifiedBy>
  <cp:revision>3</cp:revision>
  <cp:lastPrinted>2025-06-03T11:40:00Z</cp:lastPrinted>
  <dcterms:created xsi:type="dcterms:W3CDTF">2025-06-03T12:21:00Z</dcterms:created>
  <dcterms:modified xsi:type="dcterms:W3CDTF">2025-06-03T16:05:00Z</dcterms:modified>
</cp:coreProperties>
</file>