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45B89" w:rsidR="00D92E45" w:rsidP="003D472E" w:rsidRDefault="00D92E45" w14:paraId="14E23288" w14:textId="77777777">
      <w:pPr>
        <w:spacing w:after="0" w:line="288" w:lineRule="auto"/>
        <w:jc w:val="center"/>
        <w:rPr>
          <w:b/>
          <w:i/>
          <w:sz w:val="24"/>
          <w:szCs w:val="24"/>
          <w:u w:val="single"/>
        </w:rPr>
      </w:pPr>
      <w:r w:rsidRPr="00D45B89">
        <w:rPr>
          <w:noProof/>
        </w:rPr>
        <w:drawing>
          <wp:inline distT="0" distB="0" distL="0" distR="0" wp14:anchorId="790D5AEA" wp14:editId="08169058">
            <wp:extent cx="5714146" cy="1343166"/>
            <wp:effectExtent l="0" t="0" r="127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5714146" cy="1343166"/>
                    </a:xfrm>
                    <a:prstGeom prst="rect">
                      <a:avLst/>
                    </a:prstGeom>
                    <a:noFill/>
                  </pic:spPr>
                </pic:pic>
              </a:graphicData>
            </a:graphic>
          </wp:inline>
        </w:drawing>
      </w:r>
      <w:r w:rsidRPr="00D45B89">
        <w:rPr>
          <w:b/>
          <w:i/>
          <w:noProof/>
          <w:sz w:val="20"/>
          <w:u w:val="single"/>
        </w:rPr>
        <mc:AlternateContent>
          <mc:Choice Requires="wps">
            <w:drawing>
              <wp:anchor distT="0" distB="0" distL="114300" distR="114300" simplePos="0" relativeHeight="251659264" behindDoc="1" locked="0" layoutInCell="0" allowOverlap="1" wp14:editId="39634BF0" wp14:anchorId="2B355DFC">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3D472E" w:rsidRDefault="003D472E" w14:paraId="6C98B26D" w14:textId="77777777">
                            <w:pPr>
                              <w:jc w:val="center"/>
                              <w:rPr>
                                <w:rFonts w:ascii="Arial" w:hAnsi="Arial" w:cs="Arial"/>
                                <w:b/>
                                <w:bCs/>
                                <w:sz w:val="48"/>
                              </w:rPr>
                            </w:pPr>
                            <w:r>
                              <w:rPr>
                                <w:rFonts w:ascii="Arial" w:hAnsi="Arial"/>
                                <w:b/>
                                <w:sz w:val="48"/>
                              </w:rPr>
                              <w:t>FR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B355DFC">
                <v:stroke joinstyle="miter"/>
                <v:path gradientshapeok="t" o:connecttype="rect"/>
              </v:shapetype>
              <v:shape id="Text Box 17"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v:textbox>
                  <w:txbxContent>
                    <w:p w:rsidRPr="00260E65" w:rsidR="003D472E" w:rsidRDefault="003D472E" w14:paraId="6C98B26D" w14:textId="77777777">
                      <w:pPr>
                        <w:jc w:val="center"/>
                        <w:rPr>
                          <w:rFonts w:ascii="Arial" w:hAnsi="Arial" w:cs="Arial"/>
                          <w:b/>
                          <w:bCs/>
                          <w:sz w:val="48"/>
                        </w:rPr>
                      </w:pPr>
                      <w:r>
                        <w:rPr>
                          <w:rFonts w:ascii="Arial" w:hAnsi="Arial"/>
                          <w:b/>
                          <w:sz w:val="48"/>
                        </w:rPr>
                        <w:t>FR</w:t>
                      </w:r>
                    </w:p>
                  </w:txbxContent>
                </v:textbox>
                <w10:wrap anchorx="page" anchory="page"/>
              </v:shape>
            </w:pict>
          </mc:Fallback>
        </mc:AlternateContent>
      </w:r>
    </w:p>
    <w:p w:rsidRPr="00D45B89" w:rsidR="00D92E45" w:rsidP="003D472E" w:rsidRDefault="00D92E45" w14:paraId="44B94BFF" w14:textId="6BC2E86B">
      <w:pPr>
        <w:spacing w:after="0" w:line="288" w:lineRule="auto"/>
        <w:jc w:val="center"/>
        <w:rPr>
          <w:b/>
          <w:i/>
          <w:sz w:val="24"/>
          <w:szCs w:val="24"/>
          <w:u w:val="single"/>
          <w:lang w:val="sv-SE"/>
        </w:rPr>
      </w:pPr>
    </w:p>
    <w:p w:rsidRPr="00D45B89" w:rsidR="00EC3B97" w:rsidP="003D472E" w:rsidRDefault="00D26AB8" w14:paraId="13A53F25" w14:textId="49941895">
      <w:pPr>
        <w:spacing w:after="0" w:line="288" w:lineRule="auto"/>
        <w:jc w:val="center"/>
        <w:rPr>
          <w:b/>
          <w:sz w:val="28"/>
          <w:szCs w:val="28"/>
        </w:rPr>
      </w:pPr>
      <w:r w:rsidRPr="00D45B89">
        <w:rPr>
          <w:b/>
          <w:sz w:val="28"/>
        </w:rPr>
        <w:t>DÉCLARATION FINALE</w:t>
      </w:r>
    </w:p>
    <w:p w:rsidRPr="00D45B89" w:rsidR="003D472E" w:rsidP="003D472E" w:rsidRDefault="003D472E" w14:paraId="4574292F" w14:textId="77777777">
      <w:pPr>
        <w:spacing w:after="0" w:line="288" w:lineRule="auto"/>
        <w:jc w:val="center"/>
        <w:rPr>
          <w:b/>
          <w:sz w:val="28"/>
          <w:szCs w:val="28"/>
        </w:rPr>
      </w:pPr>
    </w:p>
    <w:p w:rsidRPr="00D45B89" w:rsidR="009A7761" w:rsidP="003D472E" w:rsidRDefault="00ED15D6" w14:paraId="145CD980" w14:textId="0A03EB7F">
      <w:pPr>
        <w:spacing w:after="0" w:line="288" w:lineRule="auto"/>
        <w:jc w:val="center"/>
        <w:rPr>
          <w:b/>
          <w:sz w:val="24"/>
          <w:szCs w:val="24"/>
        </w:rPr>
      </w:pPr>
      <w:r w:rsidRPr="00D45B89">
        <w:rPr>
          <w:b/>
          <w:sz w:val="24"/>
        </w:rPr>
        <w:t>10</w:t>
      </w:r>
      <w:r w:rsidRPr="00D45B89">
        <w:rPr>
          <w:b/>
          <w:sz w:val="24"/>
          <w:vertAlign w:val="superscript"/>
        </w:rPr>
        <w:t>e</w:t>
      </w:r>
      <w:r w:rsidR="00055752">
        <w:rPr>
          <w:b/>
          <w:sz w:val="24"/>
          <w:vertAlign w:val="superscript"/>
        </w:rPr>
        <w:t> </w:t>
      </w:r>
      <w:r w:rsidRPr="00D45B89">
        <w:rPr>
          <w:b/>
          <w:sz w:val="24"/>
        </w:rPr>
        <w:t>forum de la société civile des Balkans occidentaux</w:t>
      </w:r>
    </w:p>
    <w:p w:rsidRPr="00D45B89" w:rsidR="003D472E" w:rsidP="003D472E" w:rsidRDefault="003D472E" w14:paraId="4910CCC8" w14:textId="77777777">
      <w:pPr>
        <w:spacing w:after="0" w:line="288" w:lineRule="auto"/>
        <w:jc w:val="center"/>
        <w:rPr>
          <w:b/>
          <w:sz w:val="24"/>
          <w:szCs w:val="24"/>
          <w:lang w:val="en-GB"/>
        </w:rPr>
      </w:pPr>
    </w:p>
    <w:p w:rsidRPr="00D45B89" w:rsidR="009B2E45" w:rsidP="003D472E" w:rsidRDefault="00ED15D6" w14:paraId="248CE0DC" w14:textId="42366840">
      <w:pPr>
        <w:spacing w:after="0" w:line="288" w:lineRule="auto"/>
        <w:jc w:val="center"/>
        <w:rPr>
          <w:b/>
          <w:sz w:val="24"/>
          <w:szCs w:val="24"/>
        </w:rPr>
      </w:pPr>
      <w:r w:rsidRPr="00D45B89">
        <w:rPr>
          <w:b/>
          <w:sz w:val="24"/>
        </w:rPr>
        <w:t>Budva, les 13 et 14</w:t>
      </w:r>
      <w:r w:rsidR="00055752">
        <w:rPr>
          <w:b/>
          <w:sz w:val="24"/>
        </w:rPr>
        <w:t> </w:t>
      </w:r>
      <w:r w:rsidRPr="00D45B89">
        <w:rPr>
          <w:b/>
          <w:sz w:val="24"/>
        </w:rPr>
        <w:t>mai 2025</w:t>
      </w:r>
    </w:p>
    <w:p w:rsidRPr="00D45B89" w:rsidR="009820E9" w:rsidP="003D472E" w:rsidRDefault="009820E9" w14:paraId="5D1EB401" w14:textId="77777777">
      <w:pPr>
        <w:spacing w:after="0" w:line="288" w:lineRule="auto"/>
        <w:jc w:val="center"/>
        <w:rPr>
          <w:b/>
          <w:sz w:val="24"/>
          <w:szCs w:val="24"/>
          <w:lang w:val="en-GB"/>
        </w:rPr>
      </w:pPr>
    </w:p>
    <w:p w:rsidRPr="00D45B89" w:rsidR="00B11A56" w:rsidP="003D472E" w:rsidRDefault="00B11A56" w14:paraId="1A41497E" w14:textId="64AC37CA">
      <w:pPr>
        <w:pStyle w:val="ListParagraph"/>
        <w:numPr>
          <w:ilvl w:val="0"/>
          <w:numId w:val="13"/>
        </w:numPr>
        <w:spacing w:after="0" w:line="288" w:lineRule="auto"/>
        <w:ind w:left="567" w:hanging="567"/>
        <w:jc w:val="both"/>
      </w:pPr>
      <w:r w:rsidRPr="00D45B89">
        <w:t>Le Comité économique et social européen (CESE), représentant la société civile organisée de l’Union européenne (UE), a tenu son 10</w:t>
      </w:r>
      <w:r w:rsidRPr="00D45B89">
        <w:rPr>
          <w:vertAlign w:val="superscript"/>
        </w:rPr>
        <w:t>e </w:t>
      </w:r>
      <w:r w:rsidRPr="00D45B89">
        <w:t>forum de la société civile des Balkans occidentaux avec le soutien de la Commission européenne, de la Fondation Open Society — Balkans occidentaux (OSF-WB), du Fonds pour les Balkans occidentaux et du Conseil de coopération régionale (CCR).</w:t>
      </w:r>
      <w:r w:rsidRPr="00D45B89" w:rsidR="00D45B89">
        <w:t xml:space="preserve"> </w:t>
      </w:r>
      <w:r w:rsidRPr="00D45B89">
        <w:t>Ce forum a rassemblé des représentants des syndicats, des employeurs et des organisations de la société civile des Balkans occidentaux (Albanie, Bosnie-Herzégovine, Kosovo</w:t>
      </w:r>
      <w:r w:rsidRPr="00D45B89">
        <w:footnoteReference w:customMarkFollows="1" w:id="1"/>
        <w:t>, Macédoine du Nord, Monténégro et Serbie) et des représentants des institutions et agences de l’Union européenne, ainsi que des organisations et réseaux internationaux.</w:t>
      </w:r>
    </w:p>
    <w:p w:rsidRPr="00D45B89" w:rsidR="006026AA" w:rsidP="006026AA" w:rsidRDefault="006026AA" w14:paraId="106DFA2E" w14:textId="77777777">
      <w:pPr>
        <w:pStyle w:val="ListParagraph"/>
        <w:spacing w:after="0" w:line="288" w:lineRule="auto"/>
        <w:ind w:left="567"/>
        <w:jc w:val="both"/>
        <w:rPr>
          <w:lang w:val="en-GB"/>
        </w:rPr>
      </w:pPr>
    </w:p>
    <w:p w:rsidRPr="00D45B89" w:rsidR="00B119BA" w:rsidP="003D472E" w:rsidRDefault="00654E7C" w14:paraId="07BDD676" w14:textId="3C4A3711">
      <w:pPr>
        <w:pStyle w:val="ListParagraph"/>
        <w:numPr>
          <w:ilvl w:val="0"/>
          <w:numId w:val="13"/>
        </w:numPr>
        <w:spacing w:after="0" w:line="288" w:lineRule="auto"/>
        <w:ind w:left="567" w:hanging="567"/>
        <w:jc w:val="both"/>
      </w:pPr>
      <w:r w:rsidRPr="00D45B89">
        <w:t>La 10</w:t>
      </w:r>
      <w:r w:rsidRPr="00D45B89">
        <w:rPr>
          <w:vertAlign w:val="superscript"/>
        </w:rPr>
        <w:t>e </w:t>
      </w:r>
      <w:r w:rsidRPr="00D45B89">
        <w:t>édition du forum s’est tenue à Budva, afin notamment d’encourager le Monténégro à se hisser à la hauteur de son ambition affichée de devenir le prochain État membre et de s’affirmer comme un exemple positif pour le reste de la région.</w:t>
      </w:r>
    </w:p>
    <w:p w:rsidRPr="00D45B89" w:rsidR="00B119BA" w:rsidP="00B119BA" w:rsidRDefault="00B119BA" w14:paraId="5DB79642" w14:textId="77777777">
      <w:pPr>
        <w:pStyle w:val="ListParagraph"/>
        <w:spacing w:after="0" w:line="288" w:lineRule="auto"/>
        <w:ind w:left="567"/>
        <w:jc w:val="both"/>
        <w:rPr>
          <w:lang w:val="en-GB"/>
        </w:rPr>
      </w:pPr>
    </w:p>
    <w:p w:rsidRPr="00D45B89" w:rsidR="00654E7C" w:rsidP="003D472E" w:rsidRDefault="00DB1916" w14:paraId="69D03C48" w14:textId="4C3F079C">
      <w:pPr>
        <w:pStyle w:val="ListParagraph"/>
        <w:numPr>
          <w:ilvl w:val="0"/>
          <w:numId w:val="13"/>
        </w:numPr>
        <w:spacing w:after="0" w:line="288" w:lineRule="auto"/>
        <w:ind w:left="567" w:hanging="567"/>
        <w:jc w:val="both"/>
      </w:pPr>
      <w:r w:rsidRPr="00D45B89">
        <w:t xml:space="preserve">Tout en attirant l’attention sur le fait que le CESE a été le premier organe de l’Union à appliquer le principe de l’adhésion progressive et à associer les pays candidats à ses travaux en désignant des </w:t>
      </w:r>
      <w:r w:rsidRPr="00D45B89" w:rsidR="00D45B89">
        <w:t>«</w:t>
      </w:r>
      <w:r w:rsidRPr="00D45B89">
        <w:t>membres des pays candidats à l’adhésion</w:t>
      </w:r>
      <w:r w:rsidRPr="00D45B89" w:rsidR="00D45B89">
        <w:t>»</w:t>
      </w:r>
      <w:r w:rsidRPr="00D45B89">
        <w:t>, le Forum a invité d’autres organes et institutions européennes à suivre ce bel exemple.</w:t>
      </w:r>
    </w:p>
    <w:p w:rsidRPr="00D45B89" w:rsidR="00654E7C" w:rsidP="002C6A69" w:rsidRDefault="00654E7C" w14:paraId="0EA02371" w14:textId="77777777">
      <w:pPr>
        <w:pStyle w:val="ListParagraph"/>
        <w:spacing w:after="0" w:line="288" w:lineRule="auto"/>
        <w:ind w:left="567"/>
        <w:jc w:val="both"/>
        <w:rPr>
          <w:lang w:val="en-GB"/>
        </w:rPr>
      </w:pPr>
    </w:p>
    <w:p w:rsidRPr="00D45B89" w:rsidR="006026AA" w:rsidP="003D472E" w:rsidRDefault="00654E7C" w14:paraId="146273E5" w14:textId="5B9FA89D">
      <w:pPr>
        <w:pStyle w:val="ListParagraph"/>
        <w:numPr>
          <w:ilvl w:val="0"/>
          <w:numId w:val="13"/>
        </w:numPr>
        <w:spacing w:after="0" w:line="288" w:lineRule="auto"/>
        <w:ind w:left="567" w:hanging="567"/>
        <w:jc w:val="both"/>
      </w:pPr>
      <w:r w:rsidRPr="00D45B89">
        <w:t xml:space="preserve">La présente déclaration expose une série préconisations issues de la société civile organisée — de l’Union et des Balkans occidentaux — dont elle représente la contribution au prochain paquet </w:t>
      </w:r>
      <w:r w:rsidRPr="00D45B89" w:rsidR="00D45B89">
        <w:t>«</w:t>
      </w:r>
      <w:r w:rsidRPr="00D45B89">
        <w:t>Élargissement</w:t>
      </w:r>
      <w:r w:rsidRPr="00D45B89" w:rsidR="00D45B89">
        <w:t>»</w:t>
      </w:r>
      <w:r w:rsidRPr="00D45B89">
        <w:t xml:space="preserve"> et aux sommets UE-Balkans occidentaux à venir. Enfin, les conclusions du forum seront aussi transmises aux institutions européennes, aux organisations de la société civile et aux pouvoirs publics de la région.</w:t>
      </w:r>
    </w:p>
    <w:p w:rsidRPr="00D45B89" w:rsidR="00B11A56" w:rsidP="003D472E" w:rsidRDefault="00B11A56" w14:paraId="55AD172D" w14:textId="77777777">
      <w:pPr>
        <w:pStyle w:val="ListParagraph"/>
        <w:spacing w:after="0" w:line="288" w:lineRule="auto"/>
        <w:ind w:left="567"/>
        <w:jc w:val="both"/>
        <w:rPr>
          <w:lang w:val="en-GB"/>
        </w:rPr>
      </w:pPr>
    </w:p>
    <w:p w:rsidRPr="00D45B89" w:rsidR="00B11A56" w:rsidP="00055752" w:rsidRDefault="00B11A56" w14:paraId="6C5F0039" w14:textId="3E967E67">
      <w:pPr>
        <w:keepNext/>
        <w:keepLines/>
      </w:pPr>
      <w:r w:rsidRPr="00D45B89">
        <w:lastRenderedPageBreak/>
        <w:t>Les participants au forum ont adopté la déclaration suivante:</w:t>
      </w:r>
    </w:p>
    <w:p w:rsidRPr="00D45B89" w:rsidR="00B11A56" w:rsidP="00055752" w:rsidRDefault="00B11A56" w14:paraId="1398739C" w14:textId="77777777">
      <w:pPr>
        <w:pStyle w:val="ListParagraph"/>
        <w:keepNext/>
        <w:keepLines/>
        <w:spacing w:after="0" w:line="288" w:lineRule="auto"/>
        <w:ind w:left="567"/>
        <w:jc w:val="both"/>
        <w:rPr>
          <w:lang w:val="en-GB"/>
        </w:rPr>
      </w:pPr>
    </w:p>
    <w:p w:rsidRPr="00D45B89" w:rsidR="00741302" w:rsidP="00055752" w:rsidRDefault="00741302" w14:paraId="5A97E689" w14:textId="3015AC83">
      <w:pPr>
        <w:pStyle w:val="ListParagraph"/>
        <w:keepNext/>
        <w:keepLines/>
        <w:spacing w:after="0" w:line="288" w:lineRule="auto"/>
        <w:ind w:left="70"/>
        <w:jc w:val="both"/>
        <w:rPr>
          <w:i/>
          <w:u w:val="single"/>
        </w:rPr>
      </w:pPr>
      <w:r w:rsidRPr="00D45B89">
        <w:rPr>
          <w:i/>
          <w:u w:val="single"/>
        </w:rPr>
        <w:t>Pour ce qui concerne la voie des Balkans occidentaux vers l’adhésion à l’Union et l’importance des valeurs européennes</w:t>
      </w:r>
    </w:p>
    <w:p w:rsidRPr="00D45B89" w:rsidR="00541F6A" w:rsidP="00055752" w:rsidRDefault="00541F6A" w14:paraId="1073FED2" w14:textId="77777777">
      <w:pPr>
        <w:pStyle w:val="ListParagraph"/>
        <w:keepNext/>
        <w:keepLines/>
        <w:spacing w:after="0" w:line="288" w:lineRule="auto"/>
        <w:ind w:left="70"/>
        <w:jc w:val="both"/>
        <w:rPr>
          <w:i/>
          <w:lang w:val="en-GB"/>
        </w:rPr>
      </w:pPr>
    </w:p>
    <w:p w:rsidRPr="00D45B89" w:rsidR="00541F6A" w:rsidP="00055752" w:rsidRDefault="003D472E" w14:paraId="4D038B17" w14:textId="77777777">
      <w:pPr>
        <w:keepNext/>
        <w:keepLines/>
        <w:spacing w:after="0" w:line="288" w:lineRule="auto"/>
        <w:ind w:left="70"/>
      </w:pPr>
      <w:r w:rsidRPr="00D45B89">
        <w:t>Les participants:</w:t>
      </w:r>
    </w:p>
    <w:p w:rsidRPr="00D45B89" w:rsidR="003D472E" w:rsidP="00055752" w:rsidRDefault="003D472E" w14:paraId="1BFBD22A" w14:textId="77777777">
      <w:pPr>
        <w:keepNext/>
        <w:keepLines/>
        <w:spacing w:after="0" w:line="288" w:lineRule="auto"/>
        <w:ind w:left="70"/>
        <w:rPr>
          <w:lang w:val="en-GB"/>
        </w:rPr>
      </w:pPr>
    </w:p>
    <w:p w:rsidRPr="00D45B89" w:rsidR="00541F6A" w:rsidP="00055752" w:rsidRDefault="006C4235" w14:paraId="26BA62CF" w14:textId="67CCAF5F">
      <w:pPr>
        <w:pStyle w:val="ListParagraph"/>
        <w:keepNext/>
        <w:keepLines/>
        <w:numPr>
          <w:ilvl w:val="0"/>
          <w:numId w:val="13"/>
        </w:numPr>
        <w:spacing w:after="0" w:line="288" w:lineRule="auto"/>
        <w:ind w:left="567" w:hanging="567"/>
        <w:jc w:val="both"/>
      </w:pPr>
      <w:r w:rsidRPr="00D45B89">
        <w:t>soutiennent résolument la poursuite de l’élargissement de l’Union européenne à la région des Balkans occidentaux, et plaident pour un processus d’adhésion crédible et fondé sur le mérite qui renforcera l’Union tant sur le plan géopolitique que socio-économique;</w:t>
      </w:r>
    </w:p>
    <w:p w:rsidRPr="00D45B89" w:rsidR="003C0BFF" w:rsidP="003D472E" w:rsidRDefault="003C0BFF" w14:paraId="576D78F6" w14:textId="77777777">
      <w:pPr>
        <w:pStyle w:val="ListParagraph"/>
        <w:spacing w:after="0" w:line="288" w:lineRule="auto"/>
        <w:ind w:left="567"/>
        <w:jc w:val="both"/>
        <w:rPr>
          <w:lang w:val="en-GB"/>
        </w:rPr>
      </w:pPr>
    </w:p>
    <w:p w:rsidRPr="00D45B89" w:rsidR="002D4254" w:rsidP="003D472E" w:rsidRDefault="002D4254" w14:paraId="6AA0442E" w14:textId="02E623F3">
      <w:pPr>
        <w:pStyle w:val="ListParagraph"/>
        <w:numPr>
          <w:ilvl w:val="0"/>
          <w:numId w:val="13"/>
        </w:numPr>
        <w:spacing w:after="0" w:line="288" w:lineRule="auto"/>
        <w:ind w:left="567" w:hanging="567"/>
        <w:jc w:val="both"/>
      </w:pPr>
      <w:r w:rsidRPr="00D45B89">
        <w:t>se déclarent fermement convaincus qu’une approche progressive, prévisible et fondée sur le mérite pour obtenir progressivement des avantages au fil du processus d’adhésion apparaît comme le meilleur moyen d’avancer sur la voie de l’élargissement de l’Union, pour autant que l’objectif ultime soit effectivement l’adhésion pleine et entière des Balkans occidentaux;</w:t>
      </w:r>
    </w:p>
    <w:p w:rsidRPr="00D45B89" w:rsidR="002D4254" w:rsidP="002D4254" w:rsidRDefault="002D4254" w14:paraId="29B2ED0C" w14:textId="77777777">
      <w:pPr>
        <w:pStyle w:val="ListParagraph"/>
        <w:spacing w:after="0" w:line="288" w:lineRule="auto"/>
        <w:ind w:left="567"/>
        <w:jc w:val="both"/>
        <w:rPr>
          <w:lang w:val="en-GB"/>
        </w:rPr>
      </w:pPr>
    </w:p>
    <w:p w:rsidRPr="00D45B89" w:rsidR="00C37CC1" w:rsidP="003D472E" w:rsidRDefault="006C4235" w14:paraId="29793097" w14:textId="19E926C3">
      <w:pPr>
        <w:pStyle w:val="ListParagraph"/>
        <w:numPr>
          <w:ilvl w:val="0"/>
          <w:numId w:val="13"/>
        </w:numPr>
        <w:spacing w:after="0" w:line="288" w:lineRule="auto"/>
        <w:ind w:left="567" w:hanging="567"/>
        <w:jc w:val="both"/>
      </w:pPr>
      <w:r w:rsidRPr="00D45B89">
        <w:t xml:space="preserve">défendent fermement l’approche consistant à fixer un calendrier clair et réaliste pour l’adhésion de leurs partenaires des Balkans occidentaux; se réjouissent que la date de 2030 ait été mentionnée comme une échéance à laquelle, aussi bien l’Union que les Balkans occidentaux devront être prêts à l’élargissement; </w:t>
      </w:r>
    </w:p>
    <w:p w:rsidRPr="00D45B89" w:rsidR="00C37CC1" w:rsidP="009126B5" w:rsidRDefault="00C37CC1" w14:paraId="4B6CDC5B" w14:textId="77777777">
      <w:pPr>
        <w:pStyle w:val="ListParagraph"/>
        <w:spacing w:after="0" w:line="288" w:lineRule="auto"/>
        <w:ind w:left="567"/>
        <w:jc w:val="both"/>
        <w:rPr>
          <w:lang w:val="en-GB"/>
        </w:rPr>
      </w:pPr>
    </w:p>
    <w:p w:rsidRPr="00D45B89" w:rsidR="00222237" w:rsidP="00781D14" w:rsidRDefault="00C37CC1" w14:paraId="46C5681F" w14:textId="6D2C8D87">
      <w:pPr>
        <w:pStyle w:val="ListParagraph"/>
        <w:numPr>
          <w:ilvl w:val="0"/>
          <w:numId w:val="13"/>
        </w:numPr>
        <w:spacing w:after="0" w:line="288" w:lineRule="auto"/>
        <w:ind w:left="567" w:hanging="567"/>
        <w:jc w:val="both"/>
      </w:pPr>
      <w:r w:rsidRPr="00D45B89">
        <w:t>relèvent que, dans la mesure où l’élargissement est un processus fondé sur le mérite, certains pays pourraient parvenir au terme de leur parcours d’adhésion à l’Union plus rapidement que d’autres; souhaitent vivement que les négociations d’adhésion du Monténégro et de l’Albanie se poursuivront au rythme actuel; attendent de connaître ce que seront les choix de la Serbie pour rétablir la confiance dans les institutions démocratiques et reconstruire des ponts avec ses citoyens, sa jeunesse et sa société civile; expriment l’espoir que la Macédoine du Nord et la Bosnie-Herzégovine seront bient</w:t>
      </w:r>
      <w:r w:rsidRPr="00D45B89" w:rsidR="00D45B89">
        <w:t>ô</w:t>
      </w:r>
      <w:r w:rsidRPr="00D45B89">
        <w:t xml:space="preserve">t en mesure d’ouvrir l’ensemble des </w:t>
      </w:r>
      <w:r w:rsidRPr="00D45B89" w:rsidR="00D45B89">
        <w:t>«</w:t>
      </w:r>
      <w:r w:rsidRPr="00D45B89">
        <w:t>fondamentaux</w:t>
      </w:r>
      <w:r w:rsidRPr="00D45B89" w:rsidR="00D45B89">
        <w:t>»</w:t>
      </w:r>
      <w:r w:rsidRPr="00D45B89">
        <w:t xml:space="preserve"> des négociations, et que le Kosovo obtiendra le statut de pays candidat à l’adhésion;</w:t>
      </w:r>
    </w:p>
    <w:p w:rsidRPr="00D45B89" w:rsidR="00222237" w:rsidP="00222237" w:rsidRDefault="00222237" w14:paraId="72BB8335" w14:textId="77777777">
      <w:pPr>
        <w:pStyle w:val="ListParagraph"/>
        <w:spacing w:after="0" w:line="288" w:lineRule="auto"/>
        <w:ind w:left="567"/>
        <w:jc w:val="both"/>
        <w:rPr>
          <w:lang w:val="en-GB"/>
        </w:rPr>
      </w:pPr>
    </w:p>
    <w:p w:rsidRPr="00D45B89" w:rsidR="00BE0375" w:rsidP="003D472E" w:rsidRDefault="00BE0375" w14:paraId="075C54E5" w14:textId="1F53DCAE">
      <w:pPr>
        <w:pStyle w:val="ListParagraph"/>
        <w:numPr>
          <w:ilvl w:val="0"/>
          <w:numId w:val="13"/>
        </w:numPr>
        <w:spacing w:after="0" w:line="288" w:lineRule="auto"/>
        <w:ind w:left="567" w:hanging="567"/>
        <w:jc w:val="both"/>
      </w:pPr>
      <w:r w:rsidRPr="00D45B89">
        <w:t>demandent instamment à la Commission de s’attaquer aux tentatives manifestes de museler l’espace civique et les médias indépendants, et de mieux prendre en compte ces questions dans la stratégie d’élargissement et les rapports par pays, en corrélant les restrictions graves aux libertés civiques à des conséquences financières et politiques pour les pays candidats concernés; affirment que tous les États membres actuels et futurs doivent adhérer pleinement et sincèrement aux valeurs européennes, et se féliciteront dès lors que chaque pays candidat ou candidat potentiel soit intégré aux rapports sur l’état de droit et les droits fondamentaux; plaident pour un soutien financier et politique accru afin de renforcer la résilience démocratique et l’indépendance de la société civile dans les Balkans occidentaux;</w:t>
      </w:r>
    </w:p>
    <w:p w:rsidRPr="00D45B89" w:rsidR="00BE0375" w:rsidP="00BE0375" w:rsidRDefault="00BE0375" w14:paraId="140711C7" w14:textId="77777777">
      <w:pPr>
        <w:pStyle w:val="ListParagraph"/>
        <w:spacing w:after="0" w:line="288" w:lineRule="auto"/>
        <w:ind w:left="567"/>
        <w:jc w:val="both"/>
        <w:rPr>
          <w:lang w:val="en-GB"/>
        </w:rPr>
      </w:pPr>
    </w:p>
    <w:p w:rsidRPr="00D45B89" w:rsidR="007946D9" w:rsidP="003D472E" w:rsidRDefault="00D93B2E" w14:paraId="49D21898" w14:textId="20D2C0C2">
      <w:pPr>
        <w:pStyle w:val="ListParagraph"/>
        <w:numPr>
          <w:ilvl w:val="0"/>
          <w:numId w:val="13"/>
        </w:numPr>
        <w:spacing w:after="0" w:line="288" w:lineRule="auto"/>
        <w:ind w:left="567" w:hanging="567"/>
        <w:jc w:val="both"/>
      </w:pPr>
      <w:r w:rsidRPr="00D45B89">
        <w:t xml:space="preserve">insistent sur la nécessité pour l’Union d’adopter une attitude volontariste dans le traitement des différends bilatéraux entre les États membres et les pays candidats. Ces litiges entravent souvent les progrès et nuisent aux forces politiques favorables à l’Union européenne dans les </w:t>
      </w:r>
      <w:r w:rsidRPr="00D45B89">
        <w:lastRenderedPageBreak/>
        <w:t>pays candidats et candidats potentiels, ce qui entraîne une stagnation, voire un retour en arrière, des réformes orientées vers l’Union; estiment que les partenaires sociaux et les organisations de la société civile devraient jouer un r</w:t>
      </w:r>
      <w:r w:rsidRPr="00D45B89" w:rsidR="00D45B89">
        <w:t>ô</w:t>
      </w:r>
      <w:r w:rsidRPr="00D45B89">
        <w:t>le actif dans le processus de réconciliation;</w:t>
      </w:r>
    </w:p>
    <w:p w:rsidRPr="00D45B89" w:rsidR="007946D9" w:rsidP="003D472E" w:rsidRDefault="007946D9" w14:paraId="1C064E7F" w14:textId="77777777">
      <w:pPr>
        <w:pStyle w:val="ListParagraph"/>
        <w:spacing w:after="0" w:line="288" w:lineRule="auto"/>
        <w:ind w:left="567"/>
        <w:jc w:val="both"/>
        <w:rPr>
          <w:lang w:val="en-GB"/>
        </w:rPr>
      </w:pPr>
    </w:p>
    <w:p w:rsidRPr="00D45B89" w:rsidR="003C0BFF" w:rsidP="00787C35" w:rsidRDefault="00F46D5D" w14:paraId="038EC848" w14:textId="1BEF26D3">
      <w:pPr>
        <w:pStyle w:val="ListParagraph"/>
        <w:numPr>
          <w:ilvl w:val="0"/>
          <w:numId w:val="13"/>
        </w:numPr>
        <w:spacing w:after="0" w:line="288" w:lineRule="auto"/>
        <w:ind w:left="567" w:hanging="567"/>
        <w:jc w:val="both"/>
      </w:pPr>
      <w:r w:rsidRPr="00D45B89">
        <w:t>affirment aussi l’importance d’inclure de façon systématique, significative et opportune les partenaires sociaux et organisations de la société civile dans les négociations d’adhésion, ainsi que, dans ce contexte, le r</w:t>
      </w:r>
      <w:r w:rsidRPr="00D45B89" w:rsidR="00D45B89">
        <w:t>ô</w:t>
      </w:r>
      <w:r w:rsidRPr="00D45B89">
        <w:t>le cardinal des comités consultatifs mixtes (CCM) de la société civile, ou encore de l’initiative des pays candidats à l’adhésion pour suivre les négociations et favoriser le dialogue institutionnel avec les instances européennes.</w:t>
      </w:r>
    </w:p>
    <w:p w:rsidRPr="00D45B89" w:rsidR="00541F6A" w:rsidP="003D472E" w:rsidRDefault="00541F6A" w14:paraId="17A63239" w14:textId="77777777">
      <w:pPr>
        <w:pStyle w:val="ListParagraph"/>
        <w:spacing w:after="0" w:line="288" w:lineRule="auto"/>
        <w:ind w:left="567"/>
        <w:jc w:val="both"/>
        <w:rPr>
          <w:i/>
          <w:lang w:val="en-GB"/>
        </w:rPr>
      </w:pPr>
    </w:p>
    <w:p w:rsidRPr="00D45B89" w:rsidR="00A24B0C" w:rsidP="00C12760" w:rsidRDefault="00541F6A" w14:paraId="5DE173CC" w14:textId="30063F51">
      <w:pPr>
        <w:pStyle w:val="ListParagraph"/>
        <w:keepNext/>
        <w:keepLines/>
        <w:spacing w:after="0" w:line="288" w:lineRule="auto"/>
        <w:ind w:left="0"/>
        <w:jc w:val="both"/>
        <w:rPr>
          <w:i/>
          <w:u w:val="single"/>
        </w:rPr>
      </w:pPr>
      <w:r w:rsidRPr="00D45B89">
        <w:rPr>
          <w:i/>
          <w:u w:val="single"/>
        </w:rPr>
        <w:t>Sur la contribution des partenaires sociaux et des organisations de la société civile à la mise en œuvre du plan de croissance et de la facilité pour les réformes et la croissance en faveur des Balkans occidentaux</w:t>
      </w:r>
    </w:p>
    <w:p w:rsidRPr="00D45B89" w:rsidR="005E49BC" w:rsidRDefault="005E49BC" w14:paraId="2D2430B4" w14:textId="77777777">
      <w:pPr>
        <w:pStyle w:val="ListParagraph"/>
        <w:keepNext/>
        <w:keepLines/>
        <w:spacing w:after="0" w:line="288" w:lineRule="auto"/>
        <w:ind w:left="567"/>
        <w:jc w:val="both"/>
        <w:rPr>
          <w:lang w:val="en-GB"/>
        </w:rPr>
      </w:pPr>
    </w:p>
    <w:p w:rsidRPr="00D45B89" w:rsidR="00530434" w:rsidP="003D472E" w:rsidRDefault="00530434" w14:paraId="606D29D4" w14:textId="77777777">
      <w:pPr>
        <w:keepNext/>
        <w:spacing w:after="0" w:line="288" w:lineRule="auto"/>
      </w:pPr>
      <w:r w:rsidRPr="00D45B89">
        <w:t>Les participants:</w:t>
      </w:r>
    </w:p>
    <w:p w:rsidRPr="00D45B89" w:rsidR="003D472E" w:rsidP="003D472E" w:rsidRDefault="003D472E" w14:paraId="56EA8BF2" w14:textId="77777777">
      <w:pPr>
        <w:keepNext/>
        <w:spacing w:after="0" w:line="288" w:lineRule="auto"/>
        <w:rPr>
          <w:i/>
          <w:lang w:val="en-GB"/>
        </w:rPr>
      </w:pPr>
    </w:p>
    <w:p w:rsidRPr="00D45B89" w:rsidR="00F46D5D" w:rsidP="000C7832" w:rsidRDefault="00F46D5D" w14:paraId="176BE066" w14:textId="25CC3407">
      <w:pPr>
        <w:pStyle w:val="ListParagraph"/>
        <w:numPr>
          <w:ilvl w:val="0"/>
          <w:numId w:val="13"/>
        </w:numPr>
        <w:spacing w:after="0" w:line="288" w:lineRule="auto"/>
        <w:ind w:left="567" w:hanging="567"/>
        <w:jc w:val="both"/>
      </w:pPr>
      <w:r w:rsidRPr="00D45B89">
        <w:t xml:space="preserve">se félicitent de l’adoption du </w:t>
      </w:r>
      <w:r w:rsidRPr="00D45B89" w:rsidR="00D45B89">
        <w:t>«</w:t>
      </w:r>
      <w:r w:rsidRPr="00D45B89">
        <w:t>plan de croissance et la de facilité pour les réformes et la croissance en faveur des Balkans occidentaux</w:t>
      </w:r>
      <w:r w:rsidRPr="00D45B89" w:rsidR="00D45B89">
        <w:t>»</w:t>
      </w:r>
      <w:r w:rsidRPr="00D45B89">
        <w:t>, et préconisent que, lors de sa mise en œuvre, les contributions des partenaires sociaux et des organisations de la société civile soient sollicitées en temps utile et dûment prises en considération, et que les représentants des partenaires sociaux et économiques et des organisations de la société civile intégrés en qualité de membres des comités de suivi des différents pays; recommandent à la Commission de publier des orientations claires et transparentes quant à la manière d’appliquer l’ensemble des conditions, et soutiennent les évaluations des avantages et inconvénients d’une intégration précoce sur le marché, sans oublier les normes fondamentales sur les questions sociale et relatives au travail, conformément au modèle social européen;</w:t>
      </w:r>
    </w:p>
    <w:p w:rsidRPr="00D45B89" w:rsidR="00F46D5D" w:rsidP="00F46D5D" w:rsidRDefault="00F46D5D" w14:paraId="44423984" w14:textId="77777777">
      <w:pPr>
        <w:pStyle w:val="ListParagraph"/>
        <w:spacing w:after="0" w:line="288" w:lineRule="auto"/>
        <w:ind w:left="567"/>
        <w:jc w:val="both"/>
        <w:rPr>
          <w:lang w:val="en-GB"/>
        </w:rPr>
      </w:pPr>
    </w:p>
    <w:p w:rsidRPr="00D45B89" w:rsidR="00F07437" w:rsidP="000C7832" w:rsidRDefault="006B65AB" w14:paraId="5FF72E8C" w14:textId="3DE52696">
      <w:pPr>
        <w:pStyle w:val="ListParagraph"/>
        <w:numPr>
          <w:ilvl w:val="0"/>
          <w:numId w:val="13"/>
        </w:numPr>
        <w:spacing w:after="0" w:line="288" w:lineRule="auto"/>
        <w:ind w:left="567" w:hanging="567"/>
        <w:jc w:val="both"/>
      </w:pPr>
      <w:r w:rsidRPr="00D45B89">
        <w:rPr>
          <w:i/>
        </w:rPr>
        <w:t xml:space="preserve">pour ce qui concerne le </w:t>
      </w:r>
      <w:r w:rsidRPr="00D45B89" w:rsidR="00D45B89">
        <w:rPr>
          <w:i/>
        </w:rPr>
        <w:t>«</w:t>
      </w:r>
      <w:r w:rsidRPr="00D45B89">
        <w:rPr>
          <w:i/>
        </w:rPr>
        <w:t>marché commun régional (MCR)</w:t>
      </w:r>
      <w:r w:rsidRPr="00D45B89" w:rsidR="00D45B89">
        <w:rPr>
          <w:i/>
        </w:rPr>
        <w:t>»</w:t>
      </w:r>
      <w:r w:rsidRPr="00D45B89">
        <w:rPr>
          <w:i/>
        </w:rPr>
        <w:t>:</w:t>
      </w:r>
      <w:r w:rsidRPr="00D45B89" w:rsidR="00D45B89">
        <w:rPr>
          <w:i/>
        </w:rPr>
        <w:t xml:space="preserve"> </w:t>
      </w:r>
      <w:r w:rsidRPr="00D45B89">
        <w:t>considèrent indispensable d’associer étroitement toutes les parties prenantes, y compris les partenaires sociaux et organisations de la société civile, et de renforcer l’engagement et les capacités parlementaires dans la mise en œuvre du plan d’action pour le marché commun régional 2025-2028 (</w:t>
      </w:r>
      <w:r w:rsidRPr="00D45B89" w:rsidR="00D45B89">
        <w:rPr>
          <w:i/>
          <w:iCs/>
        </w:rPr>
        <w:t>«</w:t>
      </w:r>
      <w:r w:rsidRPr="00D45B89">
        <w:rPr>
          <w:i/>
          <w:iCs/>
        </w:rPr>
        <w:t>CRM 2.0</w:t>
      </w:r>
      <w:r w:rsidRPr="00D45B89" w:rsidR="00D45B89">
        <w:rPr>
          <w:i/>
          <w:iCs/>
        </w:rPr>
        <w:t>»</w:t>
      </w:r>
      <w:r w:rsidRPr="00D45B89">
        <w:t>); suggèrent de ne pas sous-estimer l’importance du marché commun régional pour ouvrir la voie à une intégration plus poussée des Balkans occidentaux au marché unique européen et à son extension fonctionnelle; félicitent le Conseil de coopération régionale pour la coordination du MRC, et apprécient le r</w:t>
      </w:r>
      <w:r w:rsidRPr="00D45B89" w:rsidR="00D45B89">
        <w:t>ô</w:t>
      </w:r>
      <w:r w:rsidRPr="00D45B89">
        <w:t>le fondamental de ce dernier dès lors que l’on entend tracer un chemin vers une intégration plus poussée des Balkans occidentaux audit marché unique;</w:t>
      </w:r>
    </w:p>
    <w:p w:rsidRPr="00D45B89" w:rsidR="00F07437" w:rsidP="00F07437" w:rsidRDefault="00F07437" w14:paraId="25D890D8" w14:textId="77777777">
      <w:pPr>
        <w:pStyle w:val="ListParagraph"/>
        <w:spacing w:after="0" w:line="288" w:lineRule="auto"/>
        <w:ind w:left="567"/>
        <w:jc w:val="both"/>
        <w:rPr>
          <w:lang w:val="en-GB"/>
        </w:rPr>
      </w:pPr>
    </w:p>
    <w:p w:rsidRPr="00D45B89" w:rsidR="00894B55" w:rsidP="00F07437" w:rsidRDefault="006B65AB" w14:paraId="2AA799C3" w14:textId="0F40BAE2">
      <w:pPr>
        <w:pStyle w:val="ListParagraph"/>
        <w:numPr>
          <w:ilvl w:val="0"/>
          <w:numId w:val="13"/>
        </w:numPr>
        <w:spacing w:after="0" w:line="288" w:lineRule="auto"/>
        <w:ind w:left="567" w:hanging="567"/>
        <w:jc w:val="both"/>
      </w:pPr>
      <w:r w:rsidRPr="00D45B89">
        <w:rPr>
          <w:i/>
        </w:rPr>
        <w:t>pour ce qui concerne le marché unique et les questions commerciales:</w:t>
      </w:r>
      <w:r w:rsidRPr="00D45B89">
        <w:t xml:space="preserve"> invitent les gouvernements des Balkans occidentaux à renforcer les flux commerciaux au sein de la région en éliminant les obstacles au commerce des biens et des services, en favorisant l’instauration d’un espace unifié en matière de numérique, de transport et d’énergie, en encourageant les actions conjointes d’investissement ou encore en dynamisant la coopération en matière d’industrie et d’innovation, y compris en améliorant l’accès du secteur privé au </w:t>
      </w:r>
      <w:r w:rsidRPr="00D45B89" w:rsidR="00D45B89">
        <w:t>«</w:t>
      </w:r>
      <w:r w:rsidRPr="00D45B89">
        <w:t>Programme en faveur du marché unique</w:t>
      </w:r>
      <w:r w:rsidRPr="00D45B89" w:rsidR="00D45B89">
        <w:t>»</w:t>
      </w:r>
      <w:r w:rsidRPr="00D45B89">
        <w:t>. En faisant progresser ces zones interconnectées dans le cadre d’une approche coordonnée unique, la région peut doper sa compétitivité, attirer les investissements et accélérer la convergence socio-économique avec l’Union européenne, dans le droit fil des objectifs du plan de croissance et de la facilité pour les réformes et la croissance en faveur des Balkans occidentaux;</w:t>
      </w:r>
    </w:p>
    <w:p w:rsidRPr="00D45B89" w:rsidR="00894B55" w:rsidP="00894B55" w:rsidRDefault="00894B55" w14:paraId="137A6B81" w14:textId="77777777">
      <w:pPr>
        <w:pStyle w:val="ListParagraph"/>
        <w:spacing w:after="0" w:line="288" w:lineRule="auto"/>
        <w:ind w:left="567"/>
        <w:jc w:val="both"/>
        <w:rPr>
          <w:lang w:val="en-GB"/>
        </w:rPr>
      </w:pPr>
    </w:p>
    <w:p w:rsidRPr="00D45B89" w:rsidR="00A00E9D" w:rsidP="00F07437" w:rsidRDefault="006B65AB" w14:paraId="7F07AC42" w14:textId="10CF73E9">
      <w:pPr>
        <w:pStyle w:val="ListParagraph"/>
        <w:numPr>
          <w:ilvl w:val="0"/>
          <w:numId w:val="13"/>
        </w:numPr>
        <w:spacing w:after="0" w:line="288" w:lineRule="auto"/>
        <w:ind w:left="567" w:hanging="567"/>
        <w:jc w:val="both"/>
      </w:pPr>
      <w:r w:rsidRPr="00D45B89">
        <w:rPr>
          <w:i/>
        </w:rPr>
        <w:t xml:space="preserve">pour ce qui concerne le </w:t>
      </w:r>
      <w:r w:rsidRPr="00D45B89" w:rsidR="00D45B89">
        <w:rPr>
          <w:i/>
        </w:rPr>
        <w:t>«</w:t>
      </w:r>
      <w:r w:rsidRPr="00D45B89">
        <w:rPr>
          <w:i/>
        </w:rPr>
        <w:t>Pacte pour une industrie propre</w:t>
      </w:r>
      <w:r w:rsidRPr="00D45B89" w:rsidR="00D45B89">
        <w:rPr>
          <w:i/>
        </w:rPr>
        <w:t>»</w:t>
      </w:r>
      <w:r w:rsidRPr="00D45B89">
        <w:rPr>
          <w:i/>
        </w:rPr>
        <w:t>:</w:t>
      </w:r>
      <w:r w:rsidRPr="00D45B89">
        <w:t xml:space="preserve"> jugent que l’Union européenne et les Balkans occidentaux doivent veiller à ce qu’un soutien financier et administratif suffisant soit apporté au secteur commercial dans la région, pour l’encourager à s’investir durablement en faveur d’une économie bleue et verte/circulaire. Les Balkans occidentaux devraient adopter une stratégie régionale pour une industrie propre qui décarbone les secteurs clés, valorise les technologies propres, investit dans les compétences de la main-d’œuvre et rationalise les réglementations afin de s’aligner sur le pacte pour une industrie propre de l’Union et de maximiser les avantages du plan de croissance et de la facilité pour les réformes et la croissance en faveur des Balkans occidentaux, tout en s’alignant sur les travaux sur l’Union des compétences;</w:t>
      </w:r>
    </w:p>
    <w:p w:rsidRPr="00D45B89" w:rsidR="003178C2" w:rsidP="003D472E" w:rsidRDefault="003178C2" w14:paraId="64686F03" w14:textId="77777777">
      <w:pPr>
        <w:pStyle w:val="ListParagraph"/>
        <w:spacing w:after="0" w:line="288" w:lineRule="auto"/>
        <w:ind w:left="567"/>
        <w:jc w:val="both"/>
        <w:rPr>
          <w:lang w:val="en-GB"/>
        </w:rPr>
      </w:pPr>
    </w:p>
    <w:p w:rsidRPr="00D45B89" w:rsidR="00DB53A4" w:rsidP="00F028AF" w:rsidRDefault="00DB53A4" w14:paraId="3B5CA44B" w14:textId="575B6AA3">
      <w:pPr>
        <w:pStyle w:val="ListParagraph"/>
        <w:numPr>
          <w:ilvl w:val="0"/>
          <w:numId w:val="13"/>
        </w:numPr>
        <w:spacing w:after="0" w:line="288" w:lineRule="auto"/>
        <w:ind w:left="567" w:hanging="567"/>
        <w:jc w:val="both"/>
        <w:rPr>
          <w:b/>
          <w:bCs/>
        </w:rPr>
      </w:pPr>
      <w:r w:rsidRPr="00D45B89">
        <w:t xml:space="preserve">invitent l’Union européenne et les Balkans occidentaux à fixer une feuille de route pour l’adhésion des Balkans occidentaux au marché des systèmes d’échange de quotas d’émission (SEQE) de l’Union, en mettant pleinement en œuvre les systèmes de surveillance, déclaration, vérification des émissions et d’accréditation des vérificateurs (SDAV), la reconnaissance des quotas de carbone et les plans d’investissement en faveur de la décarbonation, dans l’optique de prévenir les restrictions aux échanges, d’améliorer la sécurité énergétique, d’encourager l’intégration dans le pacte pour une industrie propre de l’Union et de promouvoir la mise en œuvre du </w:t>
      </w:r>
      <w:r w:rsidRPr="00D45B89" w:rsidR="00D45B89">
        <w:t>«</w:t>
      </w:r>
      <w:r w:rsidRPr="00D45B89">
        <w:t>programme en matière d’environnement pour les Balkans occidentaux</w:t>
      </w:r>
      <w:r w:rsidRPr="00D45B89" w:rsidR="00D45B89">
        <w:t>»</w:t>
      </w:r>
      <w:r w:rsidRPr="00D45B89">
        <w:t>.</w:t>
      </w:r>
    </w:p>
    <w:p w:rsidRPr="00D45B89" w:rsidR="00DB53A4" w:rsidP="00DB53A4" w:rsidRDefault="00DB53A4" w14:paraId="171D364F" w14:textId="77777777">
      <w:pPr>
        <w:pStyle w:val="ListParagraph"/>
        <w:spacing w:after="0" w:line="288" w:lineRule="auto"/>
        <w:ind w:left="567"/>
        <w:jc w:val="both"/>
        <w:rPr>
          <w:b/>
          <w:bCs/>
          <w:lang w:val="en-GB"/>
        </w:rPr>
      </w:pPr>
    </w:p>
    <w:p w:rsidRPr="00D45B89" w:rsidR="000E1A54" w:rsidP="00F028AF" w:rsidRDefault="00207FDA" w14:paraId="77EE432B" w14:textId="5DD6DE5B">
      <w:pPr>
        <w:pStyle w:val="ListParagraph"/>
        <w:numPr>
          <w:ilvl w:val="0"/>
          <w:numId w:val="13"/>
        </w:numPr>
        <w:spacing w:after="0" w:line="288" w:lineRule="auto"/>
        <w:ind w:left="567" w:hanging="567"/>
        <w:jc w:val="both"/>
        <w:rPr>
          <w:b/>
          <w:bCs/>
        </w:rPr>
      </w:pPr>
      <w:r w:rsidRPr="00D45B89">
        <w:rPr>
          <w:i/>
        </w:rPr>
        <w:t>pour ce qui concerne le renforcement de l’environnement des entreprises:</w:t>
      </w:r>
      <w:r w:rsidRPr="00D45B89">
        <w:t xml:space="preserve"> pensent que le développement économique durable sera essentiel au succès de l’adhésion des Balkans occidentaux à l’Union européenne. Sur cette voie, il est essentiel d’adopter une approche globale de l’élaboration des politiques qui associe tous les secteurs de la société et réponde aux défis majeurs dans différents domaines d’action. Les perspectives de compétitivité de l’OCDE pour les Balkans occidentaux</w:t>
      </w:r>
      <w:r w:rsidRPr="00D45B89" w:rsidR="00CB2FE4">
        <w:rPr>
          <w:rStyle w:val="FootnoteReference"/>
          <w:bCs/>
          <w:lang w:val="en-GB"/>
        </w:rPr>
        <w:footnoteReference w:id="2"/>
      </w:r>
      <w:r w:rsidRPr="00D45B89">
        <w:t xml:space="preserve"> peuvent servir de référence pour soutenir cette action;</w:t>
      </w:r>
    </w:p>
    <w:p w:rsidRPr="00D45B89" w:rsidR="000E1A54" w:rsidP="00F028AF" w:rsidRDefault="000E1A54" w14:paraId="1EA0BD97" w14:textId="77777777">
      <w:pPr>
        <w:pStyle w:val="ListParagraph"/>
        <w:rPr>
          <w:lang w:val="en-GB"/>
        </w:rPr>
      </w:pPr>
    </w:p>
    <w:p w:rsidRPr="00D45B89" w:rsidR="003178C2" w:rsidP="008D069B" w:rsidRDefault="00207FDA" w14:paraId="4A62C21C" w14:textId="1B06190B">
      <w:pPr>
        <w:pStyle w:val="ListParagraph"/>
        <w:numPr>
          <w:ilvl w:val="0"/>
          <w:numId w:val="13"/>
        </w:numPr>
        <w:spacing w:after="0" w:line="288" w:lineRule="auto"/>
        <w:ind w:left="567" w:hanging="567"/>
        <w:jc w:val="both"/>
      </w:pPr>
      <w:r w:rsidRPr="00D45B89">
        <w:rPr>
          <w:i/>
          <w:iCs/>
        </w:rPr>
        <w:t>pour ce qui concerne la justice sociale:</w:t>
      </w:r>
      <w:r w:rsidRPr="00D45B89" w:rsidR="00D45B89">
        <w:t xml:space="preserve"> </w:t>
      </w:r>
      <w:r w:rsidRPr="00D45B89">
        <w:t>notent que les principes de justice sociale doivent être intégrés à la mise en œuvre du plan de croissance. Il s’agit de promouvoir le travail décent en mettant en cohérence les politiques de l’emploi sur le programme pour un travail décent de l’OIT afin de garantir des salaires équitables, des conditions de travail sûres et une protection sociale pour tous les travailleurs, ainsi que de renforcer le dialogue social et de nouer le dialogue avec les organisations de la société civile par le truchement du dialogue civique pour veiller au respect de la transparence et de la responsabilité;</w:t>
      </w:r>
    </w:p>
    <w:p w:rsidRPr="00D45B89" w:rsidR="00A00E9D" w:rsidP="003D472E" w:rsidRDefault="00A00E9D" w14:paraId="49BD7A3F" w14:textId="77777777">
      <w:pPr>
        <w:spacing w:after="0" w:line="288" w:lineRule="auto"/>
        <w:jc w:val="both"/>
        <w:rPr>
          <w:lang w:val="en-GB"/>
        </w:rPr>
      </w:pPr>
    </w:p>
    <w:p w:rsidRPr="00D45B89" w:rsidR="005E49BC" w:rsidP="002E4E39" w:rsidRDefault="00207FDA" w14:paraId="428E3179" w14:textId="5A63F585">
      <w:pPr>
        <w:pStyle w:val="ListParagraph"/>
        <w:numPr>
          <w:ilvl w:val="0"/>
          <w:numId w:val="13"/>
        </w:numPr>
        <w:spacing w:after="0" w:line="288" w:lineRule="auto"/>
        <w:ind w:left="567" w:hanging="567"/>
        <w:jc w:val="both"/>
      </w:pPr>
      <w:r w:rsidRPr="00D45B89">
        <w:rPr>
          <w:i/>
          <w:iCs/>
        </w:rPr>
        <w:t>pour ce qui concerne la transformation numérique:</w:t>
      </w:r>
      <w:r w:rsidRPr="00D45B89">
        <w:t xml:space="preserve"> recommandent aux Balkans occidentaux de mettre en œuvre la stratégie numérique pour les Balkans occidentaux, qui élargit les infrastructures numériques, modernise les services publics, développe les compétences numériques et renforce la cybersécurité afin de se mettre en cohérence avec les normes de l’Union, et de tirer pleinement parti du plan de croissance et de la facilité pour les réformes et la croissance;</w:t>
      </w:r>
    </w:p>
    <w:p w:rsidRPr="00D45B89" w:rsidR="000977BB" w:rsidP="00BD7CAF" w:rsidRDefault="000977BB" w14:paraId="1303255D" w14:textId="77777777">
      <w:pPr>
        <w:pStyle w:val="ListParagraph"/>
        <w:rPr>
          <w:lang w:val="en-GB"/>
        </w:rPr>
      </w:pPr>
    </w:p>
    <w:p w:rsidRPr="00D45B89" w:rsidR="000977BB" w:rsidP="002E4E39" w:rsidRDefault="00207FDA" w14:paraId="0D410901" w14:textId="78977889">
      <w:pPr>
        <w:pStyle w:val="ListParagraph"/>
        <w:numPr>
          <w:ilvl w:val="0"/>
          <w:numId w:val="13"/>
        </w:numPr>
        <w:spacing w:after="0" w:line="288" w:lineRule="auto"/>
        <w:ind w:left="567" w:hanging="567"/>
        <w:jc w:val="both"/>
      </w:pPr>
      <w:r w:rsidRPr="00D45B89">
        <w:rPr>
          <w:i/>
          <w:iCs/>
        </w:rPr>
        <w:t>pour ce qui concerne sur la mobilité intelligente et verte:</w:t>
      </w:r>
      <w:r w:rsidRPr="00D45B89">
        <w:t xml:space="preserve"> font observer que, pour améliorer la connectivité et déployer des actions visant à décarboner et numériser le secteur des transports, il est crucial que les partenaires des Balkans occidentaux s’attellent à la mise en œuvre de la stratégie de mobilité durable et intelligente pour les Balkans occidentaux.</w:t>
      </w:r>
      <w:r w:rsidRPr="00D45B89" w:rsidR="00D45B89">
        <w:t xml:space="preserve">  </w:t>
      </w:r>
    </w:p>
    <w:p w:rsidRPr="00D45B89" w:rsidR="005E49BC" w:rsidP="003D472E" w:rsidRDefault="005E49BC" w14:paraId="640CB649" w14:textId="77777777">
      <w:pPr>
        <w:pStyle w:val="ListParagraph"/>
        <w:spacing w:after="0" w:line="288" w:lineRule="auto"/>
        <w:ind w:left="567"/>
        <w:jc w:val="both"/>
        <w:rPr>
          <w:i/>
          <w:lang w:val="en-GB"/>
        </w:rPr>
      </w:pPr>
    </w:p>
    <w:p w:rsidRPr="00D45B89" w:rsidR="00741302" w:rsidP="00C12760" w:rsidRDefault="00541F6A" w14:paraId="56BA0BB9" w14:textId="1418AF25">
      <w:pPr>
        <w:pStyle w:val="ListParagraph"/>
        <w:keepNext/>
        <w:keepLines/>
        <w:spacing w:after="0" w:line="288" w:lineRule="auto"/>
        <w:ind w:left="0"/>
        <w:jc w:val="both"/>
        <w:rPr>
          <w:i/>
          <w:u w:val="single"/>
        </w:rPr>
      </w:pPr>
      <w:r w:rsidRPr="00D45B89">
        <w:rPr>
          <w:i/>
          <w:u w:val="single"/>
        </w:rPr>
        <w:t>Sur la contribution des partenaires sociaux et des organisations de la société civile à la mise en œuvre du socle européen des droits sociaux dans les Balkans occidentaux</w:t>
      </w:r>
    </w:p>
    <w:p w:rsidRPr="00D45B89" w:rsidR="003C0BFF" w:rsidRDefault="003C0BFF" w14:paraId="3A60A60D" w14:textId="77777777">
      <w:pPr>
        <w:pStyle w:val="ListParagraph"/>
        <w:keepNext/>
        <w:keepLines/>
        <w:spacing w:after="0" w:line="288" w:lineRule="auto"/>
        <w:ind w:left="567"/>
        <w:jc w:val="both"/>
        <w:rPr>
          <w:lang w:val="en-GB"/>
        </w:rPr>
      </w:pPr>
    </w:p>
    <w:p w:rsidRPr="00D45B89" w:rsidR="00E20501" w:rsidP="008803EF" w:rsidRDefault="003D472E" w14:paraId="4CA51BF9" w14:textId="1AC50080">
      <w:pPr>
        <w:keepNext/>
        <w:spacing w:after="0" w:line="288" w:lineRule="auto"/>
      </w:pPr>
      <w:r w:rsidRPr="00D45B89">
        <w:t>Les participants:</w:t>
      </w:r>
    </w:p>
    <w:p w:rsidRPr="00D45B89" w:rsidR="00E20501" w:rsidP="003D472E" w:rsidRDefault="00E20501" w14:paraId="752EFE03" w14:textId="77777777">
      <w:pPr>
        <w:pStyle w:val="ListParagraph"/>
        <w:spacing w:after="0" w:line="288" w:lineRule="auto"/>
        <w:ind w:left="567"/>
        <w:jc w:val="both"/>
        <w:rPr>
          <w:lang w:val="en-GB"/>
        </w:rPr>
      </w:pPr>
    </w:p>
    <w:p w:rsidRPr="00D45B89" w:rsidR="00572568" w:rsidP="002519D2" w:rsidRDefault="00572568" w14:paraId="6656E5D8" w14:textId="393C8338">
      <w:pPr>
        <w:pStyle w:val="ListParagraph"/>
        <w:numPr>
          <w:ilvl w:val="0"/>
          <w:numId w:val="13"/>
        </w:numPr>
        <w:spacing w:after="0" w:line="288" w:lineRule="auto"/>
        <w:ind w:left="567" w:hanging="567"/>
        <w:jc w:val="both"/>
      </w:pPr>
      <w:r w:rsidRPr="00D45B89">
        <w:t>attirent l’attention sur le fait que les inégalités, la pauvreté, le ch</w:t>
      </w:r>
      <w:r w:rsidRPr="00D45B89" w:rsidR="00D45B89">
        <w:t>ô</w:t>
      </w:r>
      <w:r w:rsidRPr="00D45B89">
        <w:t>mage, l’exclusion sociale et les disparités économiques et sociales représentent des questions d’intérêt commun aux Balkans occidentaux; invitent à bien mesurer la nécessité d’élaborer des données fiables, qualitatives, actualisées et comparables, tant au niveau national que régional, ce qui est essentiel pour suivre les progrès accomplis dans la mise en œuvre du socle européen des droits sociaux et garantir la réussite du processus d’adhésion. La société civile organisée peut contribuer au suivi en produisant des analyses qualitatives et quantitatives indépendantes, contribuant ainsi à donner un tableau complet de ce qui fonctionne bien ou moins bien;</w:t>
      </w:r>
    </w:p>
    <w:p w:rsidRPr="00D45B89" w:rsidR="00572568" w:rsidP="00572568" w:rsidRDefault="00572568" w14:paraId="0D8848B8" w14:textId="77777777">
      <w:pPr>
        <w:pStyle w:val="ListParagraph"/>
        <w:spacing w:after="0" w:line="288" w:lineRule="auto"/>
        <w:ind w:left="567"/>
        <w:jc w:val="both"/>
        <w:rPr>
          <w:lang w:val="en-GB"/>
        </w:rPr>
      </w:pPr>
    </w:p>
    <w:p w:rsidRPr="00D45B89" w:rsidR="00ED7160" w:rsidP="002519D2" w:rsidRDefault="00230C09" w14:paraId="0BF70085" w14:textId="46FFFD33">
      <w:pPr>
        <w:pStyle w:val="ListParagraph"/>
        <w:numPr>
          <w:ilvl w:val="0"/>
          <w:numId w:val="13"/>
        </w:numPr>
        <w:spacing w:after="0" w:line="288" w:lineRule="auto"/>
        <w:ind w:left="567" w:hanging="567"/>
        <w:jc w:val="both"/>
      </w:pPr>
      <w:r w:rsidRPr="00D45B89">
        <w:rPr>
          <w:i/>
          <w:iCs/>
        </w:rPr>
        <w:t>pour obtenir des emplois plus nombreux et de meilleure qualité:</w:t>
      </w:r>
      <w:r w:rsidRPr="00D45B89">
        <w:t xml:space="preserve"> recommandent aux gouvernements d’adopter une approche intégrée qui permette de créer des emplois plus nombreux et de meilleure qualité, par exemple en investissant dans le développement des compétences par l’éducation et la formation initiale et continue dans des contextes formels et non formels, en mettant en œuvre la garantie pour la jeunesse, en facilitant la transition vers un emploi de qualité pour les adultes en situation de vulnérabilité, en renforçant le dialogue social (y compris la négociation collective), et en utilisant l’instrument de préadhésion et la facilité pour les réformes et la croissance en faveur des Balkans occidentaux dans l’optique de financer la création d’emplois dans des secteurs avancés ainsi que des réformes liées à l’emploi;</w:t>
      </w:r>
    </w:p>
    <w:p w:rsidRPr="00D45B89" w:rsidR="00ED7160" w:rsidP="00ED7160" w:rsidRDefault="00ED7160" w14:paraId="0D875E2C" w14:textId="77777777">
      <w:pPr>
        <w:pStyle w:val="ListParagraph"/>
        <w:spacing w:after="0" w:line="288" w:lineRule="auto"/>
        <w:ind w:left="567"/>
        <w:jc w:val="both"/>
        <w:rPr>
          <w:lang w:val="en-GB"/>
        </w:rPr>
      </w:pPr>
    </w:p>
    <w:p w:rsidRPr="00D45B89" w:rsidR="00CE0216" w:rsidP="003D472E" w:rsidRDefault="00230C09" w14:paraId="6BB383C7" w14:textId="1F66E2A2">
      <w:pPr>
        <w:pStyle w:val="ListParagraph"/>
        <w:numPr>
          <w:ilvl w:val="0"/>
          <w:numId w:val="13"/>
        </w:numPr>
        <w:spacing w:after="0" w:line="288" w:lineRule="auto"/>
        <w:ind w:left="567" w:hanging="567"/>
        <w:jc w:val="both"/>
      </w:pPr>
      <w:r w:rsidRPr="00D45B89">
        <w:rPr>
          <w:i/>
          <w:iCs/>
        </w:rPr>
        <w:t>pour ce qui concerne le développement des compétences:</w:t>
      </w:r>
      <w:r w:rsidRPr="00D45B89">
        <w:t xml:space="preserve"> préconise que l’éducation des adultes, l’apprentissage tout au long de la vie et la formation professionnelle initiale (EFPI) soient mis en adéquation avec les besoins du marché du travail. Il sera ainsi possible de réduire le ch</w:t>
      </w:r>
      <w:r w:rsidRPr="00D45B89" w:rsidR="00D45B89">
        <w:t>ô</w:t>
      </w:r>
      <w:r w:rsidRPr="00D45B89">
        <w:t>mage persistant et de créer des possibilités d’emploi et de croissance économique. Dans ce contexte, les organisations de la société civile peuvent jouer un r</w:t>
      </w:r>
      <w:r w:rsidRPr="00D45B89" w:rsidR="00D45B89">
        <w:t>ô</w:t>
      </w:r>
      <w:r w:rsidRPr="00D45B89">
        <w:t>le cardinal dans la coopération avec les partenaires sociaux et les gouvernements. À cette fin, il est impérieux d’adopter une approche globale de l’élaboration des politiques qui associe les organisations de la société civile en tant que partenaires incontournables et qui reflète un engagement en faveur d’une collaboration inclusive et intersectorielle propre à résoudre les problèmes majeurs qui se posent en matière de développement des compétences</w:t>
      </w:r>
      <w:r w:rsidRPr="00D45B89" w:rsidR="00CD5A1C">
        <w:rPr>
          <w:rStyle w:val="FootnoteReference"/>
          <w:lang w:val="en-GB"/>
        </w:rPr>
        <w:footnoteReference w:id="3"/>
      </w:r>
      <w:r w:rsidRPr="00D45B89">
        <w:t>.</w:t>
      </w:r>
    </w:p>
    <w:p w:rsidRPr="00D45B89" w:rsidR="00CE0216" w:rsidP="00CE0216" w:rsidRDefault="00CE0216" w14:paraId="260DA6B8" w14:textId="77777777">
      <w:pPr>
        <w:pStyle w:val="ListParagraph"/>
        <w:spacing w:after="0" w:line="288" w:lineRule="auto"/>
        <w:ind w:left="567"/>
        <w:jc w:val="both"/>
        <w:rPr>
          <w:lang w:val="en-GB"/>
        </w:rPr>
      </w:pPr>
    </w:p>
    <w:p w:rsidRPr="00D45B89" w:rsidR="00CE0216" w:rsidP="003D472E" w:rsidRDefault="00230C09" w14:paraId="69571191" w14:textId="31FCEFED">
      <w:pPr>
        <w:pStyle w:val="ListParagraph"/>
        <w:numPr>
          <w:ilvl w:val="0"/>
          <w:numId w:val="13"/>
        </w:numPr>
        <w:spacing w:after="0" w:line="288" w:lineRule="auto"/>
        <w:ind w:left="567" w:hanging="567"/>
        <w:jc w:val="both"/>
      </w:pPr>
      <w:r w:rsidRPr="00D45B89">
        <w:rPr>
          <w:i/>
          <w:iCs/>
        </w:rPr>
        <w:t>pour ce qui concerne la protection sociale:</w:t>
      </w:r>
      <w:r w:rsidRPr="00D45B89">
        <w:t xml:space="preserve"> recommandent aux pays de la région d’analyser le statut des services sociaux existants et d’élaborer des stratégies pour réformer les filets de protection sociale, en tenant compte des normes et pratiques en vigueur dans les États membres. L’objectif devrait consister à améliorer lesdits filets de protection existants dans la région, lesquels s’avèrent limités, tant sur le plan de la portée des prestations que de leur volume, et aussi de renforcer la protection sociale et le développement humain;</w:t>
      </w:r>
    </w:p>
    <w:p w:rsidRPr="00D45B89" w:rsidR="00CE0216" w:rsidP="00CE0216" w:rsidRDefault="00CE0216" w14:paraId="4601A612" w14:textId="77777777">
      <w:pPr>
        <w:pStyle w:val="ListParagraph"/>
        <w:spacing w:after="0" w:line="288" w:lineRule="auto"/>
        <w:ind w:left="567"/>
        <w:jc w:val="both"/>
        <w:rPr>
          <w:lang w:val="en-GB"/>
        </w:rPr>
      </w:pPr>
    </w:p>
    <w:p w:rsidRPr="00D45B89" w:rsidR="00CF6C0D" w:rsidP="003D472E" w:rsidRDefault="00230C09" w14:paraId="46CC3BA6" w14:textId="727C4852">
      <w:pPr>
        <w:pStyle w:val="ListParagraph"/>
        <w:numPr>
          <w:ilvl w:val="0"/>
          <w:numId w:val="13"/>
        </w:numPr>
        <w:spacing w:after="0" w:line="288" w:lineRule="auto"/>
        <w:ind w:left="567" w:hanging="567"/>
        <w:jc w:val="both"/>
      </w:pPr>
      <w:r w:rsidRPr="00D45B89">
        <w:rPr>
          <w:i/>
          <w:iCs/>
        </w:rPr>
        <w:t>pour ce qui concerne la question de l’égalité:</w:t>
      </w:r>
      <w:r w:rsidRPr="00D45B89">
        <w:t xml:space="preserve"> demandent une mise en œuvre accrue et plus efficace de la législation et des stratégies qui permettraient l’autonomisation économique des femmes, accroîtraient la représentation des femmes aux fonctions politiques et de direction, lutteraient contre les stéréotypes sexistes et mettraient en avant l’égalité entre les hommes et les femmes; rappellent que la violence fondée sur le genre est un sujet de vive préoccupation dans toute la région, et enjoignent à chacune des parties prenantes de s’attaquer en priorité à ce fléau;</w:t>
      </w:r>
    </w:p>
    <w:p w:rsidRPr="00D45B89" w:rsidR="00CF6C0D" w:rsidP="00CF6C0D" w:rsidRDefault="00CF6C0D" w14:paraId="738E8AA5" w14:textId="77777777">
      <w:pPr>
        <w:pStyle w:val="ListParagraph"/>
        <w:spacing w:after="0" w:line="288" w:lineRule="auto"/>
        <w:ind w:left="567"/>
        <w:jc w:val="both"/>
        <w:rPr>
          <w:lang w:val="en-GB"/>
        </w:rPr>
      </w:pPr>
    </w:p>
    <w:p w:rsidRPr="00D45B89" w:rsidR="00CE0216" w:rsidP="003D472E" w:rsidRDefault="00230C09" w14:paraId="6006E74B" w14:textId="572E699B">
      <w:pPr>
        <w:pStyle w:val="ListParagraph"/>
        <w:numPr>
          <w:ilvl w:val="0"/>
          <w:numId w:val="13"/>
        </w:numPr>
        <w:spacing w:after="0" w:line="288" w:lineRule="auto"/>
        <w:ind w:left="567" w:hanging="567"/>
        <w:jc w:val="both"/>
      </w:pPr>
      <w:r w:rsidRPr="00D45B89">
        <w:t xml:space="preserve">appuient pleinement le principe de </w:t>
      </w:r>
      <w:r w:rsidRPr="00D45B89" w:rsidR="00D45B89">
        <w:t>«</w:t>
      </w:r>
      <w:r w:rsidRPr="00D45B89">
        <w:t>ne laisser personne de c</w:t>
      </w:r>
      <w:r w:rsidRPr="00D45B89" w:rsidR="00D45B89">
        <w:t>ô</w:t>
      </w:r>
      <w:r w:rsidRPr="00D45B89">
        <w:t>té</w:t>
      </w:r>
      <w:r w:rsidRPr="00D45B89" w:rsidR="00D45B89">
        <w:t>»</w:t>
      </w:r>
      <w:r w:rsidRPr="00D45B89">
        <w:t>, et demandent qu’une plus grande attention et un soutien soient apportés à l’intégration des groupes vulnérables, sachant que l’inclusion de ces derniers est loin d’être réalisée; constatent que les jeunes, en particulier ceux qui ne travaillent pas et ne suivent pas d’études ou de formation (NEET), certains groupes de femmes, les personnes âgées, les minorités ethniques et les personnes handicapées restent plus susceptibles que les autres d’être victimes de discriminations, y compris leurs formes multiples et intersectionnelles, et qu’il convient de redoubler d’efforts pour les intégrer sur le marché du travail et dans la société dans son ensemble;</w:t>
      </w:r>
    </w:p>
    <w:p w:rsidRPr="00D45B89" w:rsidR="003173E7" w:rsidP="003173E7" w:rsidRDefault="003173E7" w14:paraId="101EE226" w14:textId="77777777">
      <w:pPr>
        <w:pStyle w:val="ListParagraph"/>
        <w:spacing w:after="0" w:line="288" w:lineRule="auto"/>
        <w:ind w:left="567"/>
        <w:jc w:val="both"/>
        <w:rPr>
          <w:lang w:val="en-GB"/>
        </w:rPr>
      </w:pPr>
    </w:p>
    <w:p w:rsidRPr="00D45B89" w:rsidR="00F475C0" w:rsidP="003D472E" w:rsidRDefault="00F475C0" w14:paraId="702FE79B" w14:textId="30FB1030">
      <w:pPr>
        <w:pStyle w:val="ListParagraph"/>
        <w:numPr>
          <w:ilvl w:val="0"/>
          <w:numId w:val="13"/>
        </w:numPr>
        <w:spacing w:after="0" w:line="288" w:lineRule="auto"/>
        <w:ind w:left="567" w:hanging="567"/>
        <w:jc w:val="both"/>
      </w:pPr>
      <w:r w:rsidRPr="00D45B89">
        <w:t>demandent la suppression de divers obstacles qui empêchent ou entravent l’accès des personnes handicapées aux droits, biens et services, en particulier les jeunes et les femmes, pour permettre et encourager un accès plus adéquat et de qualité à l’éducation et aux compétences, à l’inclusion et à la vie communautaire, ainsi que la participation à tous les processus décisionnels qui les concernent;</w:t>
      </w:r>
    </w:p>
    <w:p w:rsidRPr="00D45B89" w:rsidR="00F475C0" w:rsidP="00AE422C" w:rsidRDefault="00F475C0" w14:paraId="77B3B74C" w14:textId="77777777">
      <w:pPr>
        <w:pStyle w:val="ListParagraph"/>
        <w:spacing w:after="0" w:line="288" w:lineRule="auto"/>
        <w:ind w:left="567"/>
        <w:jc w:val="both"/>
        <w:rPr>
          <w:lang w:val="en-GB"/>
        </w:rPr>
      </w:pPr>
    </w:p>
    <w:p w:rsidRPr="00D45B89" w:rsidR="003173E7" w:rsidP="003D472E" w:rsidRDefault="001D43EB" w14:paraId="03405044" w14:textId="4CB6FF18">
      <w:pPr>
        <w:pStyle w:val="ListParagraph"/>
        <w:numPr>
          <w:ilvl w:val="0"/>
          <w:numId w:val="13"/>
        </w:numPr>
        <w:spacing w:after="0" w:line="288" w:lineRule="auto"/>
        <w:ind w:left="567" w:hanging="567"/>
        <w:jc w:val="both"/>
      </w:pPr>
      <w:r w:rsidRPr="00D45B89">
        <w:rPr>
          <w:i/>
          <w:iCs/>
        </w:rPr>
        <w:t>relativement à la promotion de l’inclusion des Roms pour une croissance régionale durable:</w:t>
      </w:r>
      <w:r w:rsidRPr="00D45B89">
        <w:t xml:space="preserve"> déplorent que la population rom reste la minorité la plus défavorisée dans les Balkans occidentaux, avec des obstacles persistants à l’éducation, aux services sociaux et à l’emploi; font observer que cette exclusion nuit à la cohésion sociale et limite la compétitivité et le capital humain de la région dans le cadre du marché commun régional et du programme d’intégration européenne; prient instamment les pouvoirs publics de mettre en œuvre des mesures ciblées conformes à la déclaration de Poznań, d’améliorer les résultats en matière d’éducation, de développer les compétences écologiques et numériques, de garantir l’accès aux soins de santé et au logement ainsi que de renforcer le soutien à l’emploi personnalisé; rappellent que l’inclusion des Roms doit être une composante à part entière des transitions écologique et numérique pour garantir une économie régionale juste, inclusive et résiliente;</w:t>
      </w:r>
    </w:p>
    <w:p w:rsidRPr="00D45B89" w:rsidR="00CE0216" w:rsidP="00CE0216" w:rsidRDefault="00CE0216" w14:paraId="6197A4F7" w14:textId="77777777">
      <w:pPr>
        <w:pStyle w:val="ListParagraph"/>
        <w:spacing w:after="0" w:line="288" w:lineRule="auto"/>
        <w:ind w:left="567"/>
        <w:jc w:val="both"/>
        <w:rPr>
          <w:lang w:val="en-GB"/>
        </w:rPr>
      </w:pPr>
    </w:p>
    <w:p w:rsidRPr="00D45B89" w:rsidR="00ED7160" w:rsidP="003D472E" w:rsidRDefault="00FC4171" w14:paraId="5184F239" w14:textId="17154E69">
      <w:pPr>
        <w:pStyle w:val="ListParagraph"/>
        <w:numPr>
          <w:ilvl w:val="0"/>
          <w:numId w:val="13"/>
        </w:numPr>
        <w:spacing w:after="0" w:line="288" w:lineRule="auto"/>
        <w:ind w:left="567" w:hanging="567"/>
        <w:jc w:val="both"/>
      </w:pPr>
      <w:r w:rsidRPr="00D45B89">
        <w:rPr>
          <w:i/>
          <w:iCs/>
        </w:rPr>
        <w:t>pour combattre le travail non déclaré:</w:t>
      </w:r>
      <w:r w:rsidRPr="00D45B89">
        <w:t xml:space="preserve"> alertent sur le fait que le travail non déclaré reste un problème massif dans toute la région, et enjoignent aux gouvernements d’adopter une stratégie coordonnée et incitative pour régulariser le travail non déclaré. Cette approche devrait intégrer des politiques en matière de travail, de fiscalité et de protection sociale, simplifier les procédures formelles d’emploi et offrir des incitations pratiques (telles que des allègements fiscaux ou l’accès aux prestations) aux travailleurs et aux employeurs afin de formaliser le travail. Elle devrait aussi accorder la priorité aux réformes juridiques et institutionnelles qui garantissent des conditions équitables aux travailleurs des plateformes, en particulier pour remédier à la rigidité des systèmes fiscaux applicables aux travailleurs indépendants, lesquels découragent souvent la régularisation et constituent un obstacle structurel majeur à la réduction du travail informel dans la région;</w:t>
      </w:r>
    </w:p>
    <w:p w:rsidRPr="00D45B89" w:rsidR="00ED7160" w:rsidP="00ED7160" w:rsidRDefault="00ED7160" w14:paraId="58013D8B" w14:textId="77777777">
      <w:pPr>
        <w:pStyle w:val="ListParagraph"/>
        <w:spacing w:after="0" w:line="288" w:lineRule="auto"/>
        <w:ind w:left="567"/>
        <w:jc w:val="both"/>
        <w:rPr>
          <w:lang w:val="en-GB"/>
        </w:rPr>
      </w:pPr>
    </w:p>
    <w:p w:rsidRPr="00D45B89" w:rsidR="0010786D" w:rsidP="00CE0216" w:rsidRDefault="00CC24DD" w14:paraId="08FAE5C8" w14:textId="06AC7160">
      <w:pPr>
        <w:pStyle w:val="ListParagraph"/>
        <w:numPr>
          <w:ilvl w:val="0"/>
          <w:numId w:val="13"/>
        </w:numPr>
        <w:spacing w:after="0" w:line="288" w:lineRule="auto"/>
        <w:ind w:left="567" w:hanging="567"/>
        <w:jc w:val="both"/>
      </w:pPr>
      <w:r w:rsidRPr="00D45B89">
        <w:t>sont parfaitement conscient du fait que, compte tenu des investissements importants et des adaptations réglementaires nécessaires, les partenaires sociaux et les organisations de la société civile ont un r</w:t>
      </w:r>
      <w:r w:rsidRPr="00D45B89" w:rsidR="00D45B89">
        <w:t>ô</w:t>
      </w:r>
      <w:r w:rsidRPr="00D45B89">
        <w:t xml:space="preserve">le majeur à jouer dans la convergence socio-économique des Balkans occidentaux avec l’Union ainsi que dans la transition vers une société plus durable; </w:t>
      </w:r>
    </w:p>
    <w:p w:rsidRPr="00D45B89" w:rsidR="0010786D" w:rsidP="00C12760" w:rsidRDefault="0010786D" w14:paraId="1C4DDA83" w14:textId="77777777">
      <w:pPr>
        <w:pStyle w:val="ListParagraph"/>
        <w:spacing w:after="0" w:line="288" w:lineRule="auto"/>
        <w:ind w:left="567"/>
        <w:rPr>
          <w:lang w:val="en-GB"/>
        </w:rPr>
      </w:pPr>
    </w:p>
    <w:p w:rsidRPr="00D45B89" w:rsidR="00065312" w:rsidP="003D472E" w:rsidRDefault="00E727FC" w14:paraId="502D2177" w14:textId="67AB103C">
      <w:pPr>
        <w:pStyle w:val="ListParagraph"/>
        <w:numPr>
          <w:ilvl w:val="0"/>
          <w:numId w:val="13"/>
        </w:numPr>
        <w:spacing w:after="0" w:line="288" w:lineRule="auto"/>
        <w:ind w:left="567" w:hanging="567"/>
        <w:jc w:val="both"/>
      </w:pPr>
      <w:r w:rsidRPr="00D45B89">
        <w:t xml:space="preserve">se déclarent convaincus que l’Union européenne devrait cibler prioritairement les partenaires sociaux et la société civile organisée et accroître le soutien qu’elle leur apporte afin d’atteindre les citoyens au sens large et de combler le fossé entre les institutions nationales et la société, sachant qu’ils sont les véritables moteurs du changement pour atteindre les objectifs du socle européen des droits sociaux; </w:t>
      </w:r>
    </w:p>
    <w:p w:rsidRPr="00D45B89" w:rsidR="00F41763" w:rsidP="003D472E" w:rsidRDefault="00F41763" w14:paraId="6E69BCA0" w14:textId="09D10567">
      <w:pPr>
        <w:spacing w:after="0" w:line="288" w:lineRule="auto"/>
        <w:jc w:val="both"/>
        <w:rPr>
          <w:lang w:val="en-GB"/>
        </w:rPr>
      </w:pPr>
    </w:p>
    <w:p w:rsidRPr="00D45B89" w:rsidR="00F41763" w:rsidP="003D472E" w:rsidRDefault="003D472E" w14:paraId="697643A1" w14:textId="77777777">
      <w:pPr>
        <w:overflowPunct w:val="0"/>
        <w:autoSpaceDE w:val="0"/>
        <w:autoSpaceDN w:val="0"/>
        <w:adjustRightInd w:val="0"/>
        <w:spacing w:after="0" w:line="288" w:lineRule="auto"/>
        <w:jc w:val="center"/>
        <w:textAlignment w:val="baseline"/>
      </w:pPr>
      <w:r w:rsidRPr="00D45B89">
        <w:t>_____________</w:t>
      </w:r>
    </w:p>
    <w:sectPr w:rsidRPr="00D45B89" w:rsidR="00F41763" w:rsidSect="00EE2D4E">
      <w:headerReference w:type="even" r:id="rId13"/>
      <w:headerReference w:type="default" r:id="rId14"/>
      <w:footerReference w:type="even" r:id="rId15"/>
      <w:footerReference w:type="default" r:id="rId16"/>
      <w:headerReference w:type="first" r:id="rId17"/>
      <w:footerReference w:type="first" r:id="rId18"/>
      <w:pgSz w:w="11907" w:h="16840" w:code="9"/>
      <w:pgMar w:top="1417" w:right="1417" w:bottom="1417" w:left="141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13CAE" w14:textId="77777777" w:rsidR="0038417B" w:rsidRDefault="0038417B" w:rsidP="00AC3263">
      <w:pPr>
        <w:spacing w:after="0" w:line="240" w:lineRule="auto"/>
      </w:pPr>
      <w:r>
        <w:separator/>
      </w:r>
    </w:p>
  </w:endnote>
  <w:endnote w:type="continuationSeparator" w:id="0">
    <w:p w14:paraId="6457EFF8" w14:textId="77777777" w:rsidR="0038417B" w:rsidRDefault="0038417B" w:rsidP="00AC3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5E79C" w14:textId="77777777" w:rsidR="00D23693" w:rsidRDefault="00D236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1906F" w14:textId="257161B1" w:rsidR="00EE2D4E" w:rsidRPr="00EE2D4E" w:rsidRDefault="00D23693" w:rsidP="00EE2D4E">
    <w:pPr>
      <w:pStyle w:val="Footer"/>
    </w:pPr>
    <w:r>
      <w:t xml:space="preserve">REX/184 – EESC-2025-01674-00-00-DECL-TRA (EN) </w:t>
    </w:r>
    <w:r>
      <w:fldChar w:fldCharType="begin"/>
    </w:r>
    <w:r>
      <w:instrText xml:space="preserve"> PAGE  \* Arabic  \* MERGEFORMAT </w:instrText>
    </w:r>
    <w:r>
      <w:fldChar w:fldCharType="separate"/>
    </w:r>
    <w:r>
      <w:t>1</w:t>
    </w:r>
    <w:r>
      <w:fldChar w:fldCharType="end"/>
    </w:r>
    <w:r>
      <w:t>/</w:t>
    </w:r>
    <w:r w:rsidR="00EA232F">
      <w:fldChar w:fldCharType="begin"/>
    </w:r>
    <w:r w:rsidR="00EA232F">
      <w:instrText xml:space="preserve"> NUMPAGES </w:instrText>
    </w:r>
    <w:r w:rsidR="00EA232F">
      <w:fldChar w:fldCharType="separate"/>
    </w:r>
    <w:r>
      <w:t>6</w:t>
    </w:r>
    <w:r w:rsidR="00EA232F">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9691D" w14:textId="77777777" w:rsidR="00D23693" w:rsidRDefault="00D236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EEEF5" w14:textId="77777777" w:rsidR="0038417B" w:rsidRDefault="0038417B" w:rsidP="00AC3263">
      <w:pPr>
        <w:spacing w:after="0" w:line="240" w:lineRule="auto"/>
      </w:pPr>
      <w:r>
        <w:separator/>
      </w:r>
    </w:p>
  </w:footnote>
  <w:footnote w:type="continuationSeparator" w:id="0">
    <w:p w14:paraId="3EB8760D" w14:textId="77777777" w:rsidR="0038417B" w:rsidRDefault="0038417B" w:rsidP="00AC3263">
      <w:pPr>
        <w:spacing w:after="0" w:line="240" w:lineRule="auto"/>
      </w:pPr>
      <w:r>
        <w:continuationSeparator/>
      </w:r>
    </w:p>
  </w:footnote>
  <w:footnote w:id="1">
    <w:p w14:paraId="0A5C67AB" w14:textId="158288E6" w:rsidR="00E03AF7" w:rsidRPr="00E03AF7" w:rsidRDefault="00E03AF7" w:rsidP="00E03AF7">
      <w:pPr>
        <w:pStyle w:val="FootnoteText"/>
        <w:ind w:left="567" w:hanging="567"/>
      </w:pPr>
      <w:r>
        <w:tab/>
        <w:t>Cette désignation est sans préjudice des positions relatives au statut du pays et est conforme à la résolution 1244 (1999) du Conseil de sécurité de l’ONU et à l’avis de la Cour internationale de Justice sur la déclaration d’indépendance du Kosovo.</w:t>
      </w:r>
    </w:p>
  </w:footnote>
  <w:footnote w:id="2">
    <w:p w14:paraId="7F534AB2" w14:textId="74249536" w:rsidR="00CB2FE4" w:rsidRPr="00CB2FE4" w:rsidRDefault="00CB2FE4">
      <w:pPr>
        <w:pStyle w:val="FootnoteText"/>
      </w:pPr>
      <w:r>
        <w:rPr>
          <w:rStyle w:val="FootnoteReference"/>
        </w:rPr>
        <w:footnoteRef/>
      </w:r>
      <w:r>
        <w:tab/>
      </w:r>
      <w:hyperlink r:id="rId1" w:history="1">
        <w:r>
          <w:rPr>
            <w:rStyle w:val="Hyperlink"/>
          </w:rPr>
          <w:t>Western Balkans Competitiveness Outlook 2024: Regional Profile | OECD</w:t>
        </w:r>
      </w:hyperlink>
      <w:r>
        <w:t xml:space="preserve"> </w:t>
      </w:r>
      <w:r>
        <w:rPr>
          <w:i/>
          <w:iCs/>
        </w:rPr>
        <w:t>(en anglais seulement)</w:t>
      </w:r>
      <w:r>
        <w:t>.</w:t>
      </w:r>
    </w:p>
  </w:footnote>
  <w:footnote w:id="3">
    <w:p w14:paraId="1DE331ED" w14:textId="576FB94D" w:rsidR="00CD5A1C" w:rsidRPr="00CD5A1C" w:rsidRDefault="00CD5A1C">
      <w:pPr>
        <w:pStyle w:val="FootnoteText"/>
      </w:pPr>
      <w:r>
        <w:rPr>
          <w:rStyle w:val="FootnoteReference"/>
        </w:rPr>
        <w:footnoteRef/>
      </w:r>
      <w:r>
        <w:tab/>
      </w:r>
      <w:hyperlink r:id="rId2" w:history="1">
        <w:r>
          <w:rPr>
            <w:rStyle w:val="Hyperlink"/>
          </w:rPr>
          <w:t>The Role of Civil Society Organisations in Human Capital Development and Lifelong Learning | ETF</w:t>
        </w:r>
      </w:hyperlink>
      <w:r>
        <w:t xml:space="preserve"> </w:t>
      </w:r>
      <w:r>
        <w:rPr>
          <w:i/>
          <w:iCs/>
        </w:rPr>
        <w:t>(en anglais seulement).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978A0" w14:textId="77777777" w:rsidR="00D23693" w:rsidRDefault="00D236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BF69E" w14:textId="77777777" w:rsidR="00D23693" w:rsidRDefault="00D236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67C93" w14:textId="77777777" w:rsidR="00D23693" w:rsidRDefault="00D236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E195F"/>
    <w:multiLevelType w:val="hybridMultilevel"/>
    <w:tmpl w:val="13E46B8E"/>
    <w:lvl w:ilvl="0" w:tplc="080C000F">
      <w:start w:val="1"/>
      <w:numFmt w:val="decimal"/>
      <w:lvlText w:val="%1."/>
      <w:lvlJc w:val="left"/>
      <w:pPr>
        <w:ind w:left="720" w:hanging="360"/>
      </w:p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 w15:restartNumberingAfterBreak="0">
    <w:nsid w:val="32AA5F39"/>
    <w:multiLevelType w:val="multilevel"/>
    <w:tmpl w:val="08BE9E92"/>
    <w:lvl w:ilvl="0">
      <w:start w:val="1"/>
      <w:numFmt w:val="decimal"/>
      <w:lvlText w:val="%1."/>
      <w:lvlJc w:val="left"/>
      <w:pPr>
        <w:ind w:left="720" w:hanging="360"/>
      </w:pPr>
    </w:lvl>
    <w:lvl w:ilvl="1">
      <w:start w:val="1"/>
      <w:numFmt w:val="decimal"/>
      <w:isLgl/>
      <w:lvlText w:val="%1.%2."/>
      <w:lvlJc w:val="left"/>
      <w:pPr>
        <w:ind w:left="1100" w:hanging="3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34BC4F70"/>
    <w:multiLevelType w:val="hybridMultilevel"/>
    <w:tmpl w:val="45BEDB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3D8028CC"/>
    <w:multiLevelType w:val="hybridMultilevel"/>
    <w:tmpl w:val="B1F0F564"/>
    <w:lvl w:ilvl="0" w:tplc="080C000F">
      <w:start w:val="1"/>
      <w:numFmt w:val="decimal"/>
      <w:lvlText w:val="%1."/>
      <w:lvlJc w:val="left"/>
      <w:pPr>
        <w:ind w:left="1080" w:hanging="360"/>
      </w:p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4" w15:restartNumberingAfterBreak="0">
    <w:nsid w:val="3E562496"/>
    <w:multiLevelType w:val="hybridMultilevel"/>
    <w:tmpl w:val="E9CE1594"/>
    <w:lvl w:ilvl="0" w:tplc="0616D716">
      <w:start w:val="1"/>
      <w:numFmt w:val="lowerLetter"/>
      <w:lvlText w:val="%1)"/>
      <w:lvlJc w:val="left"/>
      <w:pPr>
        <w:ind w:left="1080" w:hanging="360"/>
      </w:pPr>
    </w:lvl>
    <w:lvl w:ilvl="1" w:tplc="080C0019">
      <w:start w:val="1"/>
      <w:numFmt w:val="lowerLetter"/>
      <w:lvlText w:val="%2."/>
      <w:lvlJc w:val="left"/>
      <w:pPr>
        <w:ind w:left="1800" w:hanging="360"/>
      </w:pPr>
    </w:lvl>
    <w:lvl w:ilvl="2" w:tplc="080C001B">
      <w:start w:val="1"/>
      <w:numFmt w:val="lowerRoman"/>
      <w:lvlText w:val="%3."/>
      <w:lvlJc w:val="right"/>
      <w:pPr>
        <w:ind w:left="2520" w:hanging="180"/>
      </w:pPr>
    </w:lvl>
    <w:lvl w:ilvl="3" w:tplc="080C000F">
      <w:start w:val="1"/>
      <w:numFmt w:val="decimal"/>
      <w:lvlText w:val="%4."/>
      <w:lvlJc w:val="left"/>
      <w:pPr>
        <w:ind w:left="3240" w:hanging="360"/>
      </w:pPr>
    </w:lvl>
    <w:lvl w:ilvl="4" w:tplc="080C0019">
      <w:start w:val="1"/>
      <w:numFmt w:val="lowerLetter"/>
      <w:lvlText w:val="%5."/>
      <w:lvlJc w:val="left"/>
      <w:pPr>
        <w:ind w:left="3960" w:hanging="360"/>
      </w:pPr>
    </w:lvl>
    <w:lvl w:ilvl="5" w:tplc="080C001B">
      <w:start w:val="1"/>
      <w:numFmt w:val="lowerRoman"/>
      <w:lvlText w:val="%6."/>
      <w:lvlJc w:val="right"/>
      <w:pPr>
        <w:ind w:left="4680" w:hanging="180"/>
      </w:pPr>
    </w:lvl>
    <w:lvl w:ilvl="6" w:tplc="080C000F">
      <w:start w:val="1"/>
      <w:numFmt w:val="decimal"/>
      <w:lvlText w:val="%7."/>
      <w:lvlJc w:val="left"/>
      <w:pPr>
        <w:ind w:left="5400" w:hanging="360"/>
      </w:pPr>
    </w:lvl>
    <w:lvl w:ilvl="7" w:tplc="080C0019">
      <w:start w:val="1"/>
      <w:numFmt w:val="lowerLetter"/>
      <w:lvlText w:val="%8."/>
      <w:lvlJc w:val="left"/>
      <w:pPr>
        <w:ind w:left="6120" w:hanging="360"/>
      </w:pPr>
    </w:lvl>
    <w:lvl w:ilvl="8" w:tplc="080C001B">
      <w:start w:val="1"/>
      <w:numFmt w:val="lowerRoman"/>
      <w:lvlText w:val="%9."/>
      <w:lvlJc w:val="right"/>
      <w:pPr>
        <w:ind w:left="6840" w:hanging="180"/>
      </w:pPr>
    </w:lvl>
  </w:abstractNum>
  <w:abstractNum w:abstractNumId="5" w15:restartNumberingAfterBreak="0">
    <w:nsid w:val="492D7B72"/>
    <w:multiLevelType w:val="multilevel"/>
    <w:tmpl w:val="640A4066"/>
    <w:lvl w:ilvl="0">
      <w:start w:val="1"/>
      <w:numFmt w:val="decimal"/>
      <w:lvlText w:val="%1."/>
      <w:lvlJc w:val="left"/>
      <w:pPr>
        <w:tabs>
          <w:tab w:val="num" w:pos="2061"/>
        </w:tabs>
        <w:ind w:left="2061" w:hanging="360"/>
      </w:pPr>
      <w:rPr>
        <w:rFonts w:hint="default"/>
        <w:b w:val="0"/>
        <w:color w:val="auto"/>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506D2460"/>
    <w:multiLevelType w:val="hybridMultilevel"/>
    <w:tmpl w:val="CEECB754"/>
    <w:lvl w:ilvl="0" w:tplc="27BEFA96">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5D961072"/>
    <w:multiLevelType w:val="multilevel"/>
    <w:tmpl w:val="DEAAD07E"/>
    <w:lvl w:ilvl="0">
      <w:start w:val="1"/>
      <w:numFmt w:val="decimal"/>
      <w:lvlText w:val="%1."/>
      <w:lvlJc w:val="left"/>
      <w:pPr>
        <w:ind w:left="720" w:hanging="360"/>
      </w:pPr>
      <w:rPr>
        <w:rFonts w:hint="default"/>
        <w:b/>
        <w:i w:val="0"/>
      </w:rPr>
    </w:lvl>
    <w:lvl w:ilvl="1">
      <w:start w:val="1"/>
      <w:numFmt w:val="decimal"/>
      <w:isLgl/>
      <w:lvlText w:val="%1.%2."/>
      <w:lvlJc w:val="left"/>
      <w:pPr>
        <w:ind w:left="740" w:hanging="380"/>
      </w:pPr>
      <w:rPr>
        <w:rFonts w:hint="default"/>
        <w: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E4C626A"/>
    <w:multiLevelType w:val="hybridMultilevel"/>
    <w:tmpl w:val="027CAC38"/>
    <w:lvl w:ilvl="0" w:tplc="7BC6BE32">
      <w:numFmt w:val="bullet"/>
      <w:lvlText w:val="-"/>
      <w:lvlJc w:val="left"/>
      <w:pPr>
        <w:ind w:left="720" w:hanging="360"/>
      </w:pPr>
      <w:rPr>
        <w:rFonts w:ascii="Calibri" w:eastAsia="Calibr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9" w15:restartNumberingAfterBreak="0">
    <w:nsid w:val="718F523B"/>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8506F75"/>
    <w:multiLevelType w:val="multilevel"/>
    <w:tmpl w:val="479A5AF2"/>
    <w:lvl w:ilvl="0">
      <w:start w:val="1"/>
      <w:numFmt w:val="decimal"/>
      <w:lvlText w:val="%1."/>
      <w:lvlJc w:val="left"/>
      <w:pPr>
        <w:tabs>
          <w:tab w:val="num" w:pos="2061"/>
        </w:tabs>
        <w:ind w:left="2061" w:hanging="360"/>
      </w:pPr>
      <w:rPr>
        <w:rFonts w:hint="default"/>
        <w:b w:val="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785E0F35"/>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E7B0237"/>
    <w:multiLevelType w:val="hybridMultilevel"/>
    <w:tmpl w:val="351CF4FE"/>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num w:numId="1">
    <w:abstractNumId w:val="1"/>
  </w:num>
  <w:num w:numId="2">
    <w:abstractNumId w:val="6"/>
  </w:num>
  <w:num w:numId="3">
    <w:abstractNumId w:val="2"/>
  </w:num>
  <w:num w:numId="4">
    <w:abstractNumId w:val="11"/>
  </w:num>
  <w:num w:numId="5">
    <w:abstractNumId w:val="9"/>
  </w:num>
  <w:num w:numId="6">
    <w:abstractNumId w:val="0"/>
    <w:lvlOverride w:ilvl="0">
      <w:startOverride w:val="1"/>
    </w:lvlOverride>
    <w:lvlOverride w:ilvl="1"/>
    <w:lvlOverride w:ilvl="2"/>
    <w:lvlOverride w:ilvl="3"/>
    <w:lvlOverride w:ilvl="4"/>
    <w:lvlOverride w:ilvl="5"/>
    <w:lvlOverride w:ilvl="6"/>
    <w:lvlOverride w:ilvl="7"/>
    <w:lvlOverride w:ilvl="8"/>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4"/>
  </w:num>
  <w:num w:numId="11">
    <w:abstractNumId w:val="3"/>
  </w:num>
  <w:num w:numId="12">
    <w:abstractNumId w:val="7"/>
  </w:num>
  <w:num w:numId="13">
    <w:abstractNumId w:val="5"/>
  </w:num>
  <w:num w:numId="14">
    <w:abstractNumId w:val="10"/>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816"/>
    <w:rsid w:val="0000000E"/>
    <w:rsid w:val="00005FE7"/>
    <w:rsid w:val="00006380"/>
    <w:rsid w:val="00006912"/>
    <w:rsid w:val="000171E1"/>
    <w:rsid w:val="0002129F"/>
    <w:rsid w:val="0002152F"/>
    <w:rsid w:val="00027DE1"/>
    <w:rsid w:val="0003314C"/>
    <w:rsid w:val="0003481F"/>
    <w:rsid w:val="00040F8E"/>
    <w:rsid w:val="0004174A"/>
    <w:rsid w:val="000452F2"/>
    <w:rsid w:val="00046256"/>
    <w:rsid w:val="00046FEA"/>
    <w:rsid w:val="00055752"/>
    <w:rsid w:val="0005708C"/>
    <w:rsid w:val="000610D9"/>
    <w:rsid w:val="000638FA"/>
    <w:rsid w:val="000647F5"/>
    <w:rsid w:val="00065312"/>
    <w:rsid w:val="0006639C"/>
    <w:rsid w:val="00077258"/>
    <w:rsid w:val="000808F4"/>
    <w:rsid w:val="000916E6"/>
    <w:rsid w:val="00093BCE"/>
    <w:rsid w:val="00095A04"/>
    <w:rsid w:val="000977BB"/>
    <w:rsid w:val="000A6E83"/>
    <w:rsid w:val="000B1D8E"/>
    <w:rsid w:val="000B7392"/>
    <w:rsid w:val="000C4E4D"/>
    <w:rsid w:val="000C7832"/>
    <w:rsid w:val="000C7CDC"/>
    <w:rsid w:val="000E16BF"/>
    <w:rsid w:val="000E1A54"/>
    <w:rsid w:val="000E6063"/>
    <w:rsid w:val="000E7F06"/>
    <w:rsid w:val="00102226"/>
    <w:rsid w:val="0010301D"/>
    <w:rsid w:val="00105814"/>
    <w:rsid w:val="0010786D"/>
    <w:rsid w:val="0011557A"/>
    <w:rsid w:val="001315B4"/>
    <w:rsid w:val="001331D7"/>
    <w:rsid w:val="001336E3"/>
    <w:rsid w:val="00142EE4"/>
    <w:rsid w:val="001435A4"/>
    <w:rsid w:val="00151025"/>
    <w:rsid w:val="00154CB3"/>
    <w:rsid w:val="00157DD2"/>
    <w:rsid w:val="001641CE"/>
    <w:rsid w:val="00172305"/>
    <w:rsid w:val="00172680"/>
    <w:rsid w:val="00190FED"/>
    <w:rsid w:val="0019228F"/>
    <w:rsid w:val="001928E7"/>
    <w:rsid w:val="00196BD6"/>
    <w:rsid w:val="001A0CA8"/>
    <w:rsid w:val="001A6389"/>
    <w:rsid w:val="001A6E76"/>
    <w:rsid w:val="001B1C10"/>
    <w:rsid w:val="001B2CCF"/>
    <w:rsid w:val="001B64EE"/>
    <w:rsid w:val="001C2818"/>
    <w:rsid w:val="001C3A0E"/>
    <w:rsid w:val="001D43EB"/>
    <w:rsid w:val="001D6489"/>
    <w:rsid w:val="001E720A"/>
    <w:rsid w:val="001F1464"/>
    <w:rsid w:val="001F2077"/>
    <w:rsid w:val="00206061"/>
    <w:rsid w:val="00207FDA"/>
    <w:rsid w:val="00222237"/>
    <w:rsid w:val="00223094"/>
    <w:rsid w:val="00230C09"/>
    <w:rsid w:val="00244E81"/>
    <w:rsid w:val="0025101B"/>
    <w:rsid w:val="002519D2"/>
    <w:rsid w:val="00253C6F"/>
    <w:rsid w:val="0025753A"/>
    <w:rsid w:val="00266690"/>
    <w:rsid w:val="0027034D"/>
    <w:rsid w:val="00273815"/>
    <w:rsid w:val="00273DAA"/>
    <w:rsid w:val="00274E14"/>
    <w:rsid w:val="00276DDB"/>
    <w:rsid w:val="00277163"/>
    <w:rsid w:val="00282CFC"/>
    <w:rsid w:val="002833F6"/>
    <w:rsid w:val="00287BF3"/>
    <w:rsid w:val="002928BA"/>
    <w:rsid w:val="002A64A9"/>
    <w:rsid w:val="002B31B5"/>
    <w:rsid w:val="002B3EE3"/>
    <w:rsid w:val="002C0287"/>
    <w:rsid w:val="002C33C8"/>
    <w:rsid w:val="002C6A69"/>
    <w:rsid w:val="002D2221"/>
    <w:rsid w:val="002D2EF8"/>
    <w:rsid w:val="002D4254"/>
    <w:rsid w:val="002E09CC"/>
    <w:rsid w:val="002E4E39"/>
    <w:rsid w:val="002E776C"/>
    <w:rsid w:val="002F11A2"/>
    <w:rsid w:val="002F14A7"/>
    <w:rsid w:val="002F17E5"/>
    <w:rsid w:val="002F3EC1"/>
    <w:rsid w:val="002F5115"/>
    <w:rsid w:val="002F56B1"/>
    <w:rsid w:val="00306248"/>
    <w:rsid w:val="00306985"/>
    <w:rsid w:val="003160EB"/>
    <w:rsid w:val="003173E7"/>
    <w:rsid w:val="003178C2"/>
    <w:rsid w:val="00317FCC"/>
    <w:rsid w:val="00321713"/>
    <w:rsid w:val="0032405E"/>
    <w:rsid w:val="00330F48"/>
    <w:rsid w:val="00333B33"/>
    <w:rsid w:val="00340D76"/>
    <w:rsid w:val="003420B1"/>
    <w:rsid w:val="00344FB1"/>
    <w:rsid w:val="0034508C"/>
    <w:rsid w:val="00345C11"/>
    <w:rsid w:val="00346278"/>
    <w:rsid w:val="0035395B"/>
    <w:rsid w:val="0035619F"/>
    <w:rsid w:val="00365222"/>
    <w:rsid w:val="00365E88"/>
    <w:rsid w:val="00366549"/>
    <w:rsid w:val="003737C8"/>
    <w:rsid w:val="0038417B"/>
    <w:rsid w:val="003949C2"/>
    <w:rsid w:val="003A2507"/>
    <w:rsid w:val="003A35CA"/>
    <w:rsid w:val="003A3659"/>
    <w:rsid w:val="003A5DEE"/>
    <w:rsid w:val="003B48AE"/>
    <w:rsid w:val="003C0BFF"/>
    <w:rsid w:val="003C1C26"/>
    <w:rsid w:val="003D2553"/>
    <w:rsid w:val="003D472E"/>
    <w:rsid w:val="003D4F99"/>
    <w:rsid w:val="003E2A93"/>
    <w:rsid w:val="003E412E"/>
    <w:rsid w:val="003E69EC"/>
    <w:rsid w:val="00400279"/>
    <w:rsid w:val="00403983"/>
    <w:rsid w:val="00416FD6"/>
    <w:rsid w:val="004249B0"/>
    <w:rsid w:val="00427D2A"/>
    <w:rsid w:val="00430E7D"/>
    <w:rsid w:val="00433167"/>
    <w:rsid w:val="004434B1"/>
    <w:rsid w:val="00447DC1"/>
    <w:rsid w:val="0045176C"/>
    <w:rsid w:val="00461047"/>
    <w:rsid w:val="00462AFF"/>
    <w:rsid w:val="00472CCD"/>
    <w:rsid w:val="00474D3B"/>
    <w:rsid w:val="00481BE2"/>
    <w:rsid w:val="00482F32"/>
    <w:rsid w:val="00485DEB"/>
    <w:rsid w:val="00494902"/>
    <w:rsid w:val="004A01A2"/>
    <w:rsid w:val="004A21FB"/>
    <w:rsid w:val="004B5F23"/>
    <w:rsid w:val="004B7935"/>
    <w:rsid w:val="004C0342"/>
    <w:rsid w:val="004C3DCE"/>
    <w:rsid w:val="004D56A7"/>
    <w:rsid w:val="004E14E9"/>
    <w:rsid w:val="004E20B5"/>
    <w:rsid w:val="004E3417"/>
    <w:rsid w:val="004E447D"/>
    <w:rsid w:val="004E5805"/>
    <w:rsid w:val="0050086E"/>
    <w:rsid w:val="005030A8"/>
    <w:rsid w:val="00503945"/>
    <w:rsid w:val="00503EDA"/>
    <w:rsid w:val="005049AE"/>
    <w:rsid w:val="00511F13"/>
    <w:rsid w:val="00513AF2"/>
    <w:rsid w:val="00523CB5"/>
    <w:rsid w:val="00530434"/>
    <w:rsid w:val="00537697"/>
    <w:rsid w:val="00541F6A"/>
    <w:rsid w:val="00542251"/>
    <w:rsid w:val="00553A3E"/>
    <w:rsid w:val="00554169"/>
    <w:rsid w:val="00562E01"/>
    <w:rsid w:val="005723FF"/>
    <w:rsid w:val="00572568"/>
    <w:rsid w:val="00585F0F"/>
    <w:rsid w:val="005923B0"/>
    <w:rsid w:val="005A195F"/>
    <w:rsid w:val="005A4549"/>
    <w:rsid w:val="005A7A55"/>
    <w:rsid w:val="005B1AC7"/>
    <w:rsid w:val="005B3FC8"/>
    <w:rsid w:val="005B44D7"/>
    <w:rsid w:val="005B60F7"/>
    <w:rsid w:val="005C5D5D"/>
    <w:rsid w:val="005D5A4E"/>
    <w:rsid w:val="005D7543"/>
    <w:rsid w:val="005E3212"/>
    <w:rsid w:val="005E3CE0"/>
    <w:rsid w:val="005E49BC"/>
    <w:rsid w:val="005E4D07"/>
    <w:rsid w:val="005F511A"/>
    <w:rsid w:val="006002F8"/>
    <w:rsid w:val="006026AA"/>
    <w:rsid w:val="0060358D"/>
    <w:rsid w:val="0060709E"/>
    <w:rsid w:val="00613268"/>
    <w:rsid w:val="00614464"/>
    <w:rsid w:val="00614958"/>
    <w:rsid w:val="00615CA0"/>
    <w:rsid w:val="0062326A"/>
    <w:rsid w:val="00626DAE"/>
    <w:rsid w:val="00626FC9"/>
    <w:rsid w:val="00631EDF"/>
    <w:rsid w:val="006349F0"/>
    <w:rsid w:val="00640393"/>
    <w:rsid w:val="00645637"/>
    <w:rsid w:val="00646865"/>
    <w:rsid w:val="00651981"/>
    <w:rsid w:val="00651990"/>
    <w:rsid w:val="00654E7C"/>
    <w:rsid w:val="00657BB2"/>
    <w:rsid w:val="006629AB"/>
    <w:rsid w:val="00665196"/>
    <w:rsid w:val="0067414E"/>
    <w:rsid w:val="00675623"/>
    <w:rsid w:val="00676A3B"/>
    <w:rsid w:val="00684F13"/>
    <w:rsid w:val="0069791B"/>
    <w:rsid w:val="006A663D"/>
    <w:rsid w:val="006B283E"/>
    <w:rsid w:val="006B65AB"/>
    <w:rsid w:val="006C073E"/>
    <w:rsid w:val="006C18C0"/>
    <w:rsid w:val="006C4235"/>
    <w:rsid w:val="006C5C61"/>
    <w:rsid w:val="006D3C43"/>
    <w:rsid w:val="006E3C3A"/>
    <w:rsid w:val="006E72F7"/>
    <w:rsid w:val="006F39CD"/>
    <w:rsid w:val="006F6A77"/>
    <w:rsid w:val="00710930"/>
    <w:rsid w:val="00714A9E"/>
    <w:rsid w:val="007150EB"/>
    <w:rsid w:val="00722F17"/>
    <w:rsid w:val="00724BF4"/>
    <w:rsid w:val="00725C8A"/>
    <w:rsid w:val="00726B8A"/>
    <w:rsid w:val="00732046"/>
    <w:rsid w:val="00733DC9"/>
    <w:rsid w:val="007341C7"/>
    <w:rsid w:val="00741302"/>
    <w:rsid w:val="00742020"/>
    <w:rsid w:val="00742CE0"/>
    <w:rsid w:val="00743C98"/>
    <w:rsid w:val="00745087"/>
    <w:rsid w:val="00750E99"/>
    <w:rsid w:val="007517A3"/>
    <w:rsid w:val="00774D6B"/>
    <w:rsid w:val="00781D14"/>
    <w:rsid w:val="00783ED7"/>
    <w:rsid w:val="00787C35"/>
    <w:rsid w:val="007914A0"/>
    <w:rsid w:val="0079226A"/>
    <w:rsid w:val="0079312D"/>
    <w:rsid w:val="007946D9"/>
    <w:rsid w:val="007A201F"/>
    <w:rsid w:val="007A5934"/>
    <w:rsid w:val="007B20B6"/>
    <w:rsid w:val="007B4C10"/>
    <w:rsid w:val="007B4CDE"/>
    <w:rsid w:val="007B4EFD"/>
    <w:rsid w:val="007B6A33"/>
    <w:rsid w:val="007C0663"/>
    <w:rsid w:val="007D3816"/>
    <w:rsid w:val="007E1739"/>
    <w:rsid w:val="007E3865"/>
    <w:rsid w:val="007E7E79"/>
    <w:rsid w:val="007F4FA0"/>
    <w:rsid w:val="007F6D32"/>
    <w:rsid w:val="007F700F"/>
    <w:rsid w:val="007F7D04"/>
    <w:rsid w:val="007F7D5B"/>
    <w:rsid w:val="00815024"/>
    <w:rsid w:val="00815C27"/>
    <w:rsid w:val="00821576"/>
    <w:rsid w:val="0082728B"/>
    <w:rsid w:val="00836FE1"/>
    <w:rsid w:val="00837646"/>
    <w:rsid w:val="00842FA8"/>
    <w:rsid w:val="00847CC7"/>
    <w:rsid w:val="00860107"/>
    <w:rsid w:val="0086652F"/>
    <w:rsid w:val="008705E9"/>
    <w:rsid w:val="008803EF"/>
    <w:rsid w:val="00883F5D"/>
    <w:rsid w:val="00886F68"/>
    <w:rsid w:val="008945BA"/>
    <w:rsid w:val="00894B55"/>
    <w:rsid w:val="008A537E"/>
    <w:rsid w:val="008A70A0"/>
    <w:rsid w:val="008B55DC"/>
    <w:rsid w:val="008C47BD"/>
    <w:rsid w:val="008C5256"/>
    <w:rsid w:val="008C73C4"/>
    <w:rsid w:val="008C78E0"/>
    <w:rsid w:val="008D069B"/>
    <w:rsid w:val="008D4483"/>
    <w:rsid w:val="008E0EC6"/>
    <w:rsid w:val="008F3D9C"/>
    <w:rsid w:val="0090134E"/>
    <w:rsid w:val="009053F5"/>
    <w:rsid w:val="00905B49"/>
    <w:rsid w:val="00906852"/>
    <w:rsid w:val="009126B5"/>
    <w:rsid w:val="009164DC"/>
    <w:rsid w:val="00922C2D"/>
    <w:rsid w:val="00927A02"/>
    <w:rsid w:val="00930858"/>
    <w:rsid w:val="0094300E"/>
    <w:rsid w:val="00957757"/>
    <w:rsid w:val="00957D9B"/>
    <w:rsid w:val="009609C8"/>
    <w:rsid w:val="0096238C"/>
    <w:rsid w:val="00962A28"/>
    <w:rsid w:val="0097308C"/>
    <w:rsid w:val="009751AD"/>
    <w:rsid w:val="00975A8B"/>
    <w:rsid w:val="00980434"/>
    <w:rsid w:val="00981085"/>
    <w:rsid w:val="00981825"/>
    <w:rsid w:val="009820E9"/>
    <w:rsid w:val="00986867"/>
    <w:rsid w:val="00990132"/>
    <w:rsid w:val="00993E8A"/>
    <w:rsid w:val="009964D8"/>
    <w:rsid w:val="009A1A04"/>
    <w:rsid w:val="009A2A7C"/>
    <w:rsid w:val="009A750E"/>
    <w:rsid w:val="009A7761"/>
    <w:rsid w:val="009B2E45"/>
    <w:rsid w:val="009B3023"/>
    <w:rsid w:val="009B4ECA"/>
    <w:rsid w:val="009C1489"/>
    <w:rsid w:val="009D37E6"/>
    <w:rsid w:val="009D4C27"/>
    <w:rsid w:val="009D515A"/>
    <w:rsid w:val="009E15BD"/>
    <w:rsid w:val="009E2D8B"/>
    <w:rsid w:val="009E7239"/>
    <w:rsid w:val="00A00E9D"/>
    <w:rsid w:val="00A0290D"/>
    <w:rsid w:val="00A0691A"/>
    <w:rsid w:val="00A078B6"/>
    <w:rsid w:val="00A135E3"/>
    <w:rsid w:val="00A16E1A"/>
    <w:rsid w:val="00A2384E"/>
    <w:rsid w:val="00A24781"/>
    <w:rsid w:val="00A24B0C"/>
    <w:rsid w:val="00A268AA"/>
    <w:rsid w:val="00A30732"/>
    <w:rsid w:val="00A33114"/>
    <w:rsid w:val="00A40A49"/>
    <w:rsid w:val="00A53BC7"/>
    <w:rsid w:val="00A6317B"/>
    <w:rsid w:val="00A70233"/>
    <w:rsid w:val="00A73F5B"/>
    <w:rsid w:val="00A74221"/>
    <w:rsid w:val="00A743F9"/>
    <w:rsid w:val="00A7632A"/>
    <w:rsid w:val="00A80E09"/>
    <w:rsid w:val="00A82E12"/>
    <w:rsid w:val="00A8352A"/>
    <w:rsid w:val="00A84103"/>
    <w:rsid w:val="00A84EBC"/>
    <w:rsid w:val="00A9756B"/>
    <w:rsid w:val="00AA7A97"/>
    <w:rsid w:val="00AC2561"/>
    <w:rsid w:val="00AC3263"/>
    <w:rsid w:val="00AC5D4E"/>
    <w:rsid w:val="00AD43CF"/>
    <w:rsid w:val="00AE1B0A"/>
    <w:rsid w:val="00AE422C"/>
    <w:rsid w:val="00AF6247"/>
    <w:rsid w:val="00B03701"/>
    <w:rsid w:val="00B04016"/>
    <w:rsid w:val="00B11232"/>
    <w:rsid w:val="00B113BB"/>
    <w:rsid w:val="00B119BA"/>
    <w:rsid w:val="00B11A56"/>
    <w:rsid w:val="00B16074"/>
    <w:rsid w:val="00B168B2"/>
    <w:rsid w:val="00B25950"/>
    <w:rsid w:val="00B35438"/>
    <w:rsid w:val="00B3666E"/>
    <w:rsid w:val="00B40831"/>
    <w:rsid w:val="00B44CFC"/>
    <w:rsid w:val="00B47614"/>
    <w:rsid w:val="00B5012B"/>
    <w:rsid w:val="00B545E9"/>
    <w:rsid w:val="00B61614"/>
    <w:rsid w:val="00B61DD3"/>
    <w:rsid w:val="00B6552B"/>
    <w:rsid w:val="00B65B8F"/>
    <w:rsid w:val="00B8109A"/>
    <w:rsid w:val="00B81EC0"/>
    <w:rsid w:val="00B905C5"/>
    <w:rsid w:val="00B936FC"/>
    <w:rsid w:val="00B93FDC"/>
    <w:rsid w:val="00B94269"/>
    <w:rsid w:val="00B94FE5"/>
    <w:rsid w:val="00B967C1"/>
    <w:rsid w:val="00BA47E1"/>
    <w:rsid w:val="00BB2405"/>
    <w:rsid w:val="00BB3D52"/>
    <w:rsid w:val="00BB4A5C"/>
    <w:rsid w:val="00BB5142"/>
    <w:rsid w:val="00BD12C7"/>
    <w:rsid w:val="00BD7CAF"/>
    <w:rsid w:val="00BE0375"/>
    <w:rsid w:val="00BE16CF"/>
    <w:rsid w:val="00BF2CE0"/>
    <w:rsid w:val="00BF32C6"/>
    <w:rsid w:val="00BF4B45"/>
    <w:rsid w:val="00C0387A"/>
    <w:rsid w:val="00C07C9C"/>
    <w:rsid w:val="00C12125"/>
    <w:rsid w:val="00C12760"/>
    <w:rsid w:val="00C143AE"/>
    <w:rsid w:val="00C24500"/>
    <w:rsid w:val="00C25975"/>
    <w:rsid w:val="00C37CC1"/>
    <w:rsid w:val="00C40631"/>
    <w:rsid w:val="00C44709"/>
    <w:rsid w:val="00C454C0"/>
    <w:rsid w:val="00C54035"/>
    <w:rsid w:val="00C5517C"/>
    <w:rsid w:val="00C5525D"/>
    <w:rsid w:val="00C55B8B"/>
    <w:rsid w:val="00C56924"/>
    <w:rsid w:val="00C57BFF"/>
    <w:rsid w:val="00C63FD9"/>
    <w:rsid w:val="00C6416F"/>
    <w:rsid w:val="00C654BF"/>
    <w:rsid w:val="00C717CD"/>
    <w:rsid w:val="00C760BA"/>
    <w:rsid w:val="00C761F4"/>
    <w:rsid w:val="00C76CC5"/>
    <w:rsid w:val="00C82319"/>
    <w:rsid w:val="00C82A49"/>
    <w:rsid w:val="00C83832"/>
    <w:rsid w:val="00C84F95"/>
    <w:rsid w:val="00C86ADC"/>
    <w:rsid w:val="00C9607F"/>
    <w:rsid w:val="00CA12E1"/>
    <w:rsid w:val="00CA1AFC"/>
    <w:rsid w:val="00CA60FC"/>
    <w:rsid w:val="00CB2FE4"/>
    <w:rsid w:val="00CC005E"/>
    <w:rsid w:val="00CC1C58"/>
    <w:rsid w:val="00CC24DD"/>
    <w:rsid w:val="00CC4A45"/>
    <w:rsid w:val="00CD082C"/>
    <w:rsid w:val="00CD5A1C"/>
    <w:rsid w:val="00CE0216"/>
    <w:rsid w:val="00CE168F"/>
    <w:rsid w:val="00CF3475"/>
    <w:rsid w:val="00CF3BC4"/>
    <w:rsid w:val="00CF4B75"/>
    <w:rsid w:val="00CF6C0D"/>
    <w:rsid w:val="00D01B21"/>
    <w:rsid w:val="00D100E5"/>
    <w:rsid w:val="00D15559"/>
    <w:rsid w:val="00D23693"/>
    <w:rsid w:val="00D251B1"/>
    <w:rsid w:val="00D25CAE"/>
    <w:rsid w:val="00D26AB8"/>
    <w:rsid w:val="00D3054E"/>
    <w:rsid w:val="00D32F3F"/>
    <w:rsid w:val="00D426A5"/>
    <w:rsid w:val="00D43689"/>
    <w:rsid w:val="00D45B89"/>
    <w:rsid w:val="00D66F53"/>
    <w:rsid w:val="00D70A95"/>
    <w:rsid w:val="00D70D63"/>
    <w:rsid w:val="00D73C98"/>
    <w:rsid w:val="00D92E45"/>
    <w:rsid w:val="00D93B2E"/>
    <w:rsid w:val="00D96557"/>
    <w:rsid w:val="00D96B7D"/>
    <w:rsid w:val="00DA1A3A"/>
    <w:rsid w:val="00DA6257"/>
    <w:rsid w:val="00DA633A"/>
    <w:rsid w:val="00DA6486"/>
    <w:rsid w:val="00DB150F"/>
    <w:rsid w:val="00DB1916"/>
    <w:rsid w:val="00DB1F35"/>
    <w:rsid w:val="00DB53A4"/>
    <w:rsid w:val="00DB65AF"/>
    <w:rsid w:val="00DC3B40"/>
    <w:rsid w:val="00DC5D9D"/>
    <w:rsid w:val="00DC71FD"/>
    <w:rsid w:val="00DF1145"/>
    <w:rsid w:val="00DF156C"/>
    <w:rsid w:val="00DF2CEA"/>
    <w:rsid w:val="00E008D6"/>
    <w:rsid w:val="00E016D3"/>
    <w:rsid w:val="00E03AF7"/>
    <w:rsid w:val="00E14D21"/>
    <w:rsid w:val="00E15D89"/>
    <w:rsid w:val="00E20501"/>
    <w:rsid w:val="00E2434E"/>
    <w:rsid w:val="00E2532C"/>
    <w:rsid w:val="00E353E8"/>
    <w:rsid w:val="00E42DF5"/>
    <w:rsid w:val="00E4777C"/>
    <w:rsid w:val="00E5468E"/>
    <w:rsid w:val="00E55DA8"/>
    <w:rsid w:val="00E619E8"/>
    <w:rsid w:val="00E71B10"/>
    <w:rsid w:val="00E727FC"/>
    <w:rsid w:val="00E72C8E"/>
    <w:rsid w:val="00E770F2"/>
    <w:rsid w:val="00E84810"/>
    <w:rsid w:val="00E86A7C"/>
    <w:rsid w:val="00E87595"/>
    <w:rsid w:val="00E87F65"/>
    <w:rsid w:val="00E908E5"/>
    <w:rsid w:val="00E9467E"/>
    <w:rsid w:val="00E959B9"/>
    <w:rsid w:val="00EA232F"/>
    <w:rsid w:val="00EB43C7"/>
    <w:rsid w:val="00EB4BC4"/>
    <w:rsid w:val="00EC0247"/>
    <w:rsid w:val="00EC3B97"/>
    <w:rsid w:val="00EC4DCB"/>
    <w:rsid w:val="00EC50AA"/>
    <w:rsid w:val="00EC6B00"/>
    <w:rsid w:val="00ED0000"/>
    <w:rsid w:val="00ED0FB8"/>
    <w:rsid w:val="00ED15D6"/>
    <w:rsid w:val="00ED37F5"/>
    <w:rsid w:val="00ED7160"/>
    <w:rsid w:val="00EE2D4E"/>
    <w:rsid w:val="00EE5A15"/>
    <w:rsid w:val="00EE7344"/>
    <w:rsid w:val="00EE7F95"/>
    <w:rsid w:val="00EF1C73"/>
    <w:rsid w:val="00EF627B"/>
    <w:rsid w:val="00EF736A"/>
    <w:rsid w:val="00F00254"/>
    <w:rsid w:val="00F01789"/>
    <w:rsid w:val="00F028AF"/>
    <w:rsid w:val="00F07437"/>
    <w:rsid w:val="00F07C88"/>
    <w:rsid w:val="00F10B43"/>
    <w:rsid w:val="00F205AE"/>
    <w:rsid w:val="00F2148C"/>
    <w:rsid w:val="00F225C7"/>
    <w:rsid w:val="00F22EEB"/>
    <w:rsid w:val="00F25ED3"/>
    <w:rsid w:val="00F27F92"/>
    <w:rsid w:val="00F41763"/>
    <w:rsid w:val="00F4459B"/>
    <w:rsid w:val="00F45EE8"/>
    <w:rsid w:val="00F46D5D"/>
    <w:rsid w:val="00F4717C"/>
    <w:rsid w:val="00F475C0"/>
    <w:rsid w:val="00F52FBC"/>
    <w:rsid w:val="00F54263"/>
    <w:rsid w:val="00F63D83"/>
    <w:rsid w:val="00F7028E"/>
    <w:rsid w:val="00F729AB"/>
    <w:rsid w:val="00F81FDD"/>
    <w:rsid w:val="00F84C86"/>
    <w:rsid w:val="00F93A8E"/>
    <w:rsid w:val="00FA4089"/>
    <w:rsid w:val="00FB42F8"/>
    <w:rsid w:val="00FB77E4"/>
    <w:rsid w:val="00FC34B8"/>
    <w:rsid w:val="00FC4171"/>
    <w:rsid w:val="00FC50FF"/>
    <w:rsid w:val="00FD06F1"/>
    <w:rsid w:val="00FD2586"/>
    <w:rsid w:val="00FD3A8A"/>
    <w:rsid w:val="00FE3EF4"/>
    <w:rsid w:val="00FF137E"/>
    <w:rsid w:val="00FF2B0E"/>
    <w:rsid w:val="00FF2D9C"/>
    <w:rsid w:val="00FF3B5C"/>
    <w:rsid w:val="00FF5C0D"/>
    <w:rsid w:val="00FF67CB"/>
    <w:rsid w:val="00FF6C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01618A0"/>
  <w15:docId w15:val="{1EF49376-540C-4B7C-87F9-34CCB62BF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B2E4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BE"/>
    </w:rPr>
  </w:style>
  <w:style w:type="paragraph" w:styleId="Heading2">
    <w:name w:val="heading 2"/>
    <w:basedOn w:val="Normal"/>
    <w:next w:val="Normal"/>
    <w:link w:val="Heading2Char"/>
    <w:uiPriority w:val="9"/>
    <w:unhideWhenUsed/>
    <w:qFormat/>
    <w:rsid w:val="00E14D2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9B2E45"/>
    <w:pPr>
      <w:spacing w:before="100" w:beforeAutospacing="1" w:after="100" w:afterAutospacing="1" w:line="240" w:lineRule="auto"/>
      <w:outlineLvl w:val="2"/>
    </w:pPr>
    <w:rPr>
      <w:rFonts w:ascii="Times New Roman" w:eastAsia="Times New Roman" w:hAnsi="Times New Roman" w:cs="Times New Roman"/>
      <w:b/>
      <w:bCs/>
      <w:sz w:val="27"/>
      <w:szCs w:val="27"/>
      <w:lang w:eastAsia="fr-BE"/>
    </w:rPr>
  </w:style>
  <w:style w:type="paragraph" w:styleId="Heading4">
    <w:name w:val="heading 4"/>
    <w:basedOn w:val="Normal"/>
    <w:next w:val="Normal"/>
    <w:link w:val="Heading4Char"/>
    <w:uiPriority w:val="9"/>
    <w:semiHidden/>
    <w:unhideWhenUsed/>
    <w:qFormat/>
    <w:rsid w:val="009B2E4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2E45"/>
    <w:rPr>
      <w:rFonts w:ascii="Times New Roman" w:eastAsia="Times New Roman" w:hAnsi="Times New Roman" w:cs="Times New Roman"/>
      <w:b/>
      <w:bCs/>
      <w:kern w:val="36"/>
      <w:sz w:val="48"/>
      <w:szCs w:val="48"/>
      <w:lang w:val="fr-FR" w:eastAsia="fr-BE"/>
    </w:rPr>
  </w:style>
  <w:style w:type="character" w:customStyle="1" w:styleId="Heading3Char">
    <w:name w:val="Heading 3 Char"/>
    <w:basedOn w:val="DefaultParagraphFont"/>
    <w:link w:val="Heading3"/>
    <w:uiPriority w:val="9"/>
    <w:rsid w:val="009B2E45"/>
    <w:rPr>
      <w:rFonts w:ascii="Times New Roman" w:eastAsia="Times New Roman" w:hAnsi="Times New Roman" w:cs="Times New Roman"/>
      <w:b/>
      <w:bCs/>
      <w:sz w:val="27"/>
      <w:szCs w:val="27"/>
      <w:lang w:val="fr-FR" w:eastAsia="fr-BE"/>
    </w:rPr>
  </w:style>
  <w:style w:type="character" w:styleId="Hyperlink">
    <w:name w:val="Hyperlink"/>
    <w:basedOn w:val="DefaultParagraphFont"/>
    <w:uiPriority w:val="99"/>
    <w:unhideWhenUsed/>
    <w:rsid w:val="009B2E45"/>
    <w:rPr>
      <w:color w:val="0000FF"/>
      <w:u w:val="single"/>
    </w:rPr>
  </w:style>
  <w:style w:type="character" w:customStyle="1" w:styleId="td-post-date">
    <w:name w:val="td-post-date"/>
    <w:basedOn w:val="DefaultParagraphFont"/>
    <w:rsid w:val="009B2E45"/>
  </w:style>
  <w:style w:type="paragraph" w:styleId="NormalWeb">
    <w:name w:val="Normal (Web)"/>
    <w:basedOn w:val="Normal"/>
    <w:uiPriority w:val="99"/>
    <w:semiHidden/>
    <w:unhideWhenUsed/>
    <w:rsid w:val="009B2E45"/>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Strong">
    <w:name w:val="Strong"/>
    <w:basedOn w:val="DefaultParagraphFont"/>
    <w:uiPriority w:val="22"/>
    <w:qFormat/>
    <w:rsid w:val="009B2E45"/>
    <w:rPr>
      <w:b/>
      <w:bCs/>
    </w:rPr>
  </w:style>
  <w:style w:type="character" w:styleId="Emphasis">
    <w:name w:val="Emphasis"/>
    <w:basedOn w:val="DefaultParagraphFont"/>
    <w:uiPriority w:val="20"/>
    <w:qFormat/>
    <w:rsid w:val="009B2E45"/>
    <w:rPr>
      <w:i/>
      <w:iCs/>
    </w:rPr>
  </w:style>
  <w:style w:type="character" w:customStyle="1" w:styleId="Heading4Char">
    <w:name w:val="Heading 4 Char"/>
    <w:basedOn w:val="DefaultParagraphFont"/>
    <w:link w:val="Heading4"/>
    <w:uiPriority w:val="9"/>
    <w:semiHidden/>
    <w:rsid w:val="009B2E45"/>
    <w:rPr>
      <w:rFonts w:asciiTheme="majorHAnsi" w:eastAsiaTheme="majorEastAsia" w:hAnsiTheme="majorHAnsi" w:cstheme="majorBidi"/>
      <w:i/>
      <w:iCs/>
      <w:color w:val="2E74B5" w:themeColor="accent1" w:themeShade="BF"/>
    </w:rPr>
  </w:style>
  <w:style w:type="character" w:customStyle="1" w:styleId="css-901oao">
    <w:name w:val="css-901oao"/>
    <w:basedOn w:val="DefaultParagraphFont"/>
    <w:rsid w:val="009B2E45"/>
  </w:style>
  <w:style w:type="character" w:customStyle="1" w:styleId="r-18u37iz">
    <w:name w:val="r-18u37iz"/>
    <w:basedOn w:val="DefaultParagraphFont"/>
    <w:rsid w:val="009B2E45"/>
  </w:style>
  <w:style w:type="paragraph" w:styleId="ListParagraph">
    <w:name w:val="List Paragraph"/>
    <w:basedOn w:val="Normal"/>
    <w:uiPriority w:val="34"/>
    <w:qFormat/>
    <w:rsid w:val="009B2E45"/>
    <w:pPr>
      <w:ind w:left="720"/>
      <w:contextualSpacing/>
    </w:pPr>
  </w:style>
  <w:style w:type="character" w:customStyle="1" w:styleId="Heading2Char">
    <w:name w:val="Heading 2 Char"/>
    <w:basedOn w:val="DefaultParagraphFont"/>
    <w:link w:val="Heading2"/>
    <w:uiPriority w:val="9"/>
    <w:rsid w:val="00E14D21"/>
    <w:rPr>
      <w:rFonts w:asciiTheme="majorHAnsi" w:eastAsiaTheme="majorEastAsia" w:hAnsiTheme="majorHAnsi" w:cstheme="majorBidi"/>
      <w:color w:val="2E74B5" w:themeColor="accent1" w:themeShade="BF"/>
      <w:sz w:val="26"/>
      <w:szCs w:val="26"/>
    </w:rPr>
  </w:style>
  <w:style w:type="paragraph" w:styleId="FootnoteText">
    <w:name w:val="footnote text"/>
    <w:basedOn w:val="Normal"/>
    <w:link w:val="FootnoteTextChar"/>
    <w:unhideWhenUsed/>
    <w:qFormat/>
    <w:rsid w:val="00AC3263"/>
    <w:pPr>
      <w:spacing w:after="0" w:line="240" w:lineRule="auto"/>
    </w:pPr>
    <w:rPr>
      <w:sz w:val="20"/>
      <w:szCs w:val="20"/>
    </w:rPr>
  </w:style>
  <w:style w:type="character" w:customStyle="1" w:styleId="FootnoteTextChar">
    <w:name w:val="Footnote Text Char"/>
    <w:basedOn w:val="DefaultParagraphFont"/>
    <w:link w:val="FootnoteText"/>
    <w:rsid w:val="00AC3263"/>
    <w:rPr>
      <w:sz w:val="20"/>
      <w:szCs w:val="20"/>
    </w:rPr>
  </w:style>
  <w:style w:type="character" w:styleId="FootnoteReference">
    <w:name w:val="footnote reference"/>
    <w:basedOn w:val="DefaultParagraphFont"/>
    <w:unhideWhenUsed/>
    <w:qFormat/>
    <w:rsid w:val="00AC3263"/>
    <w:rPr>
      <w:vertAlign w:val="superscript"/>
    </w:rPr>
  </w:style>
  <w:style w:type="paragraph" w:styleId="BalloonText">
    <w:name w:val="Balloon Text"/>
    <w:basedOn w:val="Normal"/>
    <w:link w:val="BalloonTextChar"/>
    <w:uiPriority w:val="99"/>
    <w:semiHidden/>
    <w:unhideWhenUsed/>
    <w:rsid w:val="009164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4DC"/>
    <w:rPr>
      <w:rFonts w:ascii="Segoe UI" w:hAnsi="Segoe UI" w:cs="Segoe UI"/>
      <w:sz w:val="18"/>
      <w:szCs w:val="18"/>
    </w:rPr>
  </w:style>
  <w:style w:type="character" w:styleId="CommentReference">
    <w:name w:val="annotation reference"/>
    <w:basedOn w:val="DefaultParagraphFont"/>
    <w:uiPriority w:val="99"/>
    <w:semiHidden/>
    <w:unhideWhenUsed/>
    <w:rsid w:val="00E008D6"/>
    <w:rPr>
      <w:sz w:val="16"/>
      <w:szCs w:val="16"/>
    </w:rPr>
  </w:style>
  <w:style w:type="paragraph" w:styleId="CommentText">
    <w:name w:val="annotation text"/>
    <w:basedOn w:val="Normal"/>
    <w:link w:val="CommentTextChar"/>
    <w:uiPriority w:val="99"/>
    <w:unhideWhenUsed/>
    <w:rsid w:val="00E008D6"/>
    <w:pPr>
      <w:spacing w:line="240" w:lineRule="auto"/>
    </w:pPr>
    <w:rPr>
      <w:sz w:val="20"/>
      <w:szCs w:val="20"/>
    </w:rPr>
  </w:style>
  <w:style w:type="character" w:customStyle="1" w:styleId="CommentTextChar">
    <w:name w:val="Comment Text Char"/>
    <w:basedOn w:val="DefaultParagraphFont"/>
    <w:link w:val="CommentText"/>
    <w:uiPriority w:val="99"/>
    <w:rsid w:val="00E008D6"/>
    <w:rPr>
      <w:sz w:val="20"/>
      <w:szCs w:val="20"/>
    </w:rPr>
  </w:style>
  <w:style w:type="paragraph" w:styleId="CommentSubject">
    <w:name w:val="annotation subject"/>
    <w:basedOn w:val="CommentText"/>
    <w:next w:val="CommentText"/>
    <w:link w:val="CommentSubjectChar"/>
    <w:uiPriority w:val="99"/>
    <w:semiHidden/>
    <w:unhideWhenUsed/>
    <w:rsid w:val="00E008D6"/>
    <w:rPr>
      <w:b/>
      <w:bCs/>
    </w:rPr>
  </w:style>
  <w:style w:type="character" w:customStyle="1" w:styleId="CommentSubjectChar">
    <w:name w:val="Comment Subject Char"/>
    <w:basedOn w:val="CommentTextChar"/>
    <w:link w:val="CommentSubject"/>
    <w:uiPriority w:val="99"/>
    <w:semiHidden/>
    <w:rsid w:val="00E008D6"/>
    <w:rPr>
      <w:b/>
      <w:bCs/>
      <w:sz w:val="20"/>
      <w:szCs w:val="20"/>
    </w:rPr>
  </w:style>
  <w:style w:type="character" w:styleId="FollowedHyperlink">
    <w:name w:val="FollowedHyperlink"/>
    <w:basedOn w:val="DefaultParagraphFont"/>
    <w:uiPriority w:val="99"/>
    <w:semiHidden/>
    <w:unhideWhenUsed/>
    <w:rsid w:val="009053F5"/>
    <w:rPr>
      <w:color w:val="954F72" w:themeColor="followedHyperlink"/>
      <w:u w:val="single"/>
    </w:rPr>
  </w:style>
  <w:style w:type="paragraph" w:styleId="Header">
    <w:name w:val="header"/>
    <w:basedOn w:val="Normal"/>
    <w:link w:val="HeaderChar"/>
    <w:uiPriority w:val="99"/>
    <w:unhideWhenUsed/>
    <w:rsid w:val="00EE2D4E"/>
    <w:pPr>
      <w:spacing w:after="0" w:line="288" w:lineRule="auto"/>
      <w:jc w:val="both"/>
    </w:pPr>
    <w:rPr>
      <w:rFonts w:ascii="Times New Roman" w:hAnsi="Times New Roman" w:cs="Times New Roman"/>
    </w:rPr>
  </w:style>
  <w:style w:type="character" w:customStyle="1" w:styleId="HeaderChar">
    <w:name w:val="Header Char"/>
    <w:basedOn w:val="DefaultParagraphFont"/>
    <w:link w:val="Header"/>
    <w:uiPriority w:val="99"/>
    <w:rsid w:val="00EE2D4E"/>
    <w:rPr>
      <w:rFonts w:ascii="Times New Roman" w:hAnsi="Times New Roman" w:cs="Times New Roman"/>
    </w:rPr>
  </w:style>
  <w:style w:type="paragraph" w:styleId="Footer">
    <w:name w:val="footer"/>
    <w:basedOn w:val="Normal"/>
    <w:link w:val="FooterChar"/>
    <w:uiPriority w:val="99"/>
    <w:unhideWhenUsed/>
    <w:rsid w:val="00EE2D4E"/>
    <w:pPr>
      <w:spacing w:after="0" w:line="288" w:lineRule="auto"/>
      <w:jc w:val="both"/>
    </w:pPr>
    <w:rPr>
      <w:rFonts w:ascii="Times New Roman" w:hAnsi="Times New Roman" w:cs="Times New Roman"/>
    </w:rPr>
  </w:style>
  <w:style w:type="character" w:customStyle="1" w:styleId="FooterChar">
    <w:name w:val="Footer Char"/>
    <w:basedOn w:val="DefaultParagraphFont"/>
    <w:link w:val="Footer"/>
    <w:uiPriority w:val="99"/>
    <w:rsid w:val="00EE2D4E"/>
    <w:rPr>
      <w:rFonts w:ascii="Times New Roman" w:hAnsi="Times New Roman" w:cs="Times New Roman"/>
    </w:rPr>
  </w:style>
  <w:style w:type="paragraph" w:styleId="Revision">
    <w:name w:val="Revision"/>
    <w:hidden/>
    <w:uiPriority w:val="99"/>
    <w:semiHidden/>
    <w:rsid w:val="00C40631"/>
    <w:pPr>
      <w:spacing w:after="0" w:line="240" w:lineRule="auto"/>
    </w:pPr>
  </w:style>
  <w:style w:type="character" w:styleId="UnresolvedMention">
    <w:name w:val="Unresolved Mention"/>
    <w:basedOn w:val="DefaultParagraphFont"/>
    <w:uiPriority w:val="99"/>
    <w:semiHidden/>
    <w:unhideWhenUsed/>
    <w:rsid w:val="00CB2F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78982">
      <w:bodyDiv w:val="1"/>
      <w:marLeft w:val="0"/>
      <w:marRight w:val="0"/>
      <w:marTop w:val="0"/>
      <w:marBottom w:val="0"/>
      <w:divBdr>
        <w:top w:val="none" w:sz="0" w:space="0" w:color="auto"/>
        <w:left w:val="none" w:sz="0" w:space="0" w:color="auto"/>
        <w:bottom w:val="none" w:sz="0" w:space="0" w:color="auto"/>
        <w:right w:val="none" w:sz="0" w:space="0" w:color="auto"/>
      </w:divBdr>
    </w:div>
    <w:div w:id="411199181">
      <w:bodyDiv w:val="1"/>
      <w:marLeft w:val="0"/>
      <w:marRight w:val="0"/>
      <w:marTop w:val="0"/>
      <w:marBottom w:val="0"/>
      <w:divBdr>
        <w:top w:val="none" w:sz="0" w:space="0" w:color="auto"/>
        <w:left w:val="none" w:sz="0" w:space="0" w:color="auto"/>
        <w:bottom w:val="none" w:sz="0" w:space="0" w:color="auto"/>
        <w:right w:val="none" w:sz="0" w:space="0" w:color="auto"/>
      </w:divBdr>
    </w:div>
    <w:div w:id="670254266">
      <w:bodyDiv w:val="1"/>
      <w:marLeft w:val="0"/>
      <w:marRight w:val="0"/>
      <w:marTop w:val="0"/>
      <w:marBottom w:val="0"/>
      <w:divBdr>
        <w:top w:val="none" w:sz="0" w:space="0" w:color="auto"/>
        <w:left w:val="none" w:sz="0" w:space="0" w:color="auto"/>
        <w:bottom w:val="none" w:sz="0" w:space="0" w:color="auto"/>
        <w:right w:val="none" w:sz="0" w:space="0" w:color="auto"/>
      </w:divBdr>
    </w:div>
    <w:div w:id="1115755481">
      <w:bodyDiv w:val="1"/>
      <w:marLeft w:val="0"/>
      <w:marRight w:val="0"/>
      <w:marTop w:val="0"/>
      <w:marBottom w:val="0"/>
      <w:divBdr>
        <w:top w:val="none" w:sz="0" w:space="0" w:color="auto"/>
        <w:left w:val="none" w:sz="0" w:space="0" w:color="auto"/>
        <w:bottom w:val="none" w:sz="0" w:space="0" w:color="auto"/>
        <w:right w:val="none" w:sz="0" w:space="0" w:color="auto"/>
      </w:divBdr>
    </w:div>
    <w:div w:id="1345398693">
      <w:bodyDiv w:val="1"/>
      <w:marLeft w:val="0"/>
      <w:marRight w:val="0"/>
      <w:marTop w:val="0"/>
      <w:marBottom w:val="0"/>
      <w:divBdr>
        <w:top w:val="none" w:sz="0" w:space="0" w:color="auto"/>
        <w:left w:val="none" w:sz="0" w:space="0" w:color="auto"/>
        <w:bottom w:val="none" w:sz="0" w:space="0" w:color="auto"/>
        <w:right w:val="none" w:sz="0" w:space="0" w:color="auto"/>
      </w:divBdr>
    </w:div>
    <w:div w:id="1372878191">
      <w:bodyDiv w:val="1"/>
      <w:marLeft w:val="0"/>
      <w:marRight w:val="0"/>
      <w:marTop w:val="0"/>
      <w:marBottom w:val="0"/>
      <w:divBdr>
        <w:top w:val="none" w:sz="0" w:space="0" w:color="auto"/>
        <w:left w:val="none" w:sz="0" w:space="0" w:color="auto"/>
        <w:bottom w:val="none" w:sz="0" w:space="0" w:color="auto"/>
        <w:right w:val="none" w:sz="0" w:space="0" w:color="auto"/>
      </w:divBdr>
    </w:div>
    <w:div w:id="1422095571">
      <w:bodyDiv w:val="1"/>
      <w:marLeft w:val="0"/>
      <w:marRight w:val="0"/>
      <w:marTop w:val="0"/>
      <w:marBottom w:val="0"/>
      <w:divBdr>
        <w:top w:val="none" w:sz="0" w:space="0" w:color="auto"/>
        <w:left w:val="none" w:sz="0" w:space="0" w:color="auto"/>
        <w:bottom w:val="none" w:sz="0" w:space="0" w:color="auto"/>
        <w:right w:val="none" w:sz="0" w:space="0" w:color="auto"/>
      </w:divBdr>
    </w:div>
    <w:div w:id="1486822115">
      <w:bodyDiv w:val="1"/>
      <w:marLeft w:val="0"/>
      <w:marRight w:val="0"/>
      <w:marTop w:val="0"/>
      <w:marBottom w:val="0"/>
      <w:divBdr>
        <w:top w:val="none" w:sz="0" w:space="0" w:color="auto"/>
        <w:left w:val="none" w:sz="0" w:space="0" w:color="auto"/>
        <w:bottom w:val="none" w:sz="0" w:space="0" w:color="auto"/>
        <w:right w:val="none" w:sz="0" w:space="0" w:color="auto"/>
      </w:divBdr>
      <w:divsChild>
        <w:div w:id="1382366579">
          <w:marLeft w:val="0"/>
          <w:marRight w:val="0"/>
          <w:marTop w:val="0"/>
          <w:marBottom w:val="0"/>
          <w:divBdr>
            <w:top w:val="none" w:sz="0" w:space="0" w:color="auto"/>
            <w:left w:val="none" w:sz="0" w:space="0" w:color="auto"/>
            <w:bottom w:val="none" w:sz="0" w:space="0" w:color="auto"/>
            <w:right w:val="none" w:sz="0" w:space="0" w:color="auto"/>
          </w:divBdr>
          <w:divsChild>
            <w:div w:id="1412504997">
              <w:marLeft w:val="0"/>
              <w:marRight w:val="0"/>
              <w:marTop w:val="0"/>
              <w:marBottom w:val="0"/>
              <w:divBdr>
                <w:top w:val="none" w:sz="0" w:space="0" w:color="auto"/>
                <w:left w:val="none" w:sz="0" w:space="0" w:color="auto"/>
                <w:bottom w:val="none" w:sz="0" w:space="0" w:color="auto"/>
                <w:right w:val="none" w:sz="0" w:space="0" w:color="auto"/>
              </w:divBdr>
              <w:divsChild>
                <w:div w:id="2023896130">
                  <w:marLeft w:val="0"/>
                  <w:marRight w:val="0"/>
                  <w:marTop w:val="0"/>
                  <w:marBottom w:val="0"/>
                  <w:divBdr>
                    <w:top w:val="none" w:sz="0" w:space="0" w:color="auto"/>
                    <w:left w:val="none" w:sz="0" w:space="0" w:color="auto"/>
                    <w:bottom w:val="none" w:sz="0" w:space="0" w:color="auto"/>
                    <w:right w:val="none" w:sz="0" w:space="0" w:color="auto"/>
                  </w:divBdr>
                  <w:divsChild>
                    <w:div w:id="978266825">
                      <w:marLeft w:val="0"/>
                      <w:marRight w:val="0"/>
                      <w:marTop w:val="0"/>
                      <w:marBottom w:val="0"/>
                      <w:divBdr>
                        <w:top w:val="none" w:sz="0" w:space="0" w:color="auto"/>
                        <w:left w:val="none" w:sz="0" w:space="0" w:color="auto"/>
                        <w:bottom w:val="none" w:sz="0" w:space="0" w:color="auto"/>
                        <w:right w:val="none" w:sz="0" w:space="0" w:color="auto"/>
                      </w:divBdr>
                      <w:divsChild>
                        <w:div w:id="1728331922">
                          <w:marLeft w:val="0"/>
                          <w:marRight w:val="0"/>
                          <w:marTop w:val="0"/>
                          <w:marBottom w:val="0"/>
                          <w:divBdr>
                            <w:top w:val="none" w:sz="0" w:space="0" w:color="auto"/>
                            <w:left w:val="none" w:sz="0" w:space="0" w:color="auto"/>
                            <w:bottom w:val="none" w:sz="0" w:space="0" w:color="auto"/>
                            <w:right w:val="none" w:sz="0" w:space="0" w:color="auto"/>
                          </w:divBdr>
                          <w:divsChild>
                            <w:div w:id="2110806073">
                              <w:marLeft w:val="0"/>
                              <w:marRight w:val="0"/>
                              <w:marTop w:val="0"/>
                              <w:marBottom w:val="0"/>
                              <w:divBdr>
                                <w:top w:val="none" w:sz="0" w:space="0" w:color="auto"/>
                                <w:left w:val="none" w:sz="0" w:space="0" w:color="auto"/>
                                <w:bottom w:val="none" w:sz="0" w:space="0" w:color="auto"/>
                                <w:right w:val="none" w:sz="0" w:space="0" w:color="auto"/>
                              </w:divBdr>
                            </w:div>
                            <w:div w:id="5130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3499846">
          <w:marLeft w:val="0"/>
          <w:marRight w:val="0"/>
          <w:marTop w:val="0"/>
          <w:marBottom w:val="0"/>
          <w:divBdr>
            <w:top w:val="none" w:sz="0" w:space="0" w:color="auto"/>
            <w:left w:val="none" w:sz="0" w:space="0" w:color="auto"/>
            <w:bottom w:val="none" w:sz="0" w:space="0" w:color="auto"/>
            <w:right w:val="none" w:sz="0" w:space="0" w:color="auto"/>
          </w:divBdr>
          <w:divsChild>
            <w:div w:id="1510871160">
              <w:marLeft w:val="0"/>
              <w:marRight w:val="0"/>
              <w:marTop w:val="0"/>
              <w:marBottom w:val="0"/>
              <w:divBdr>
                <w:top w:val="none" w:sz="0" w:space="0" w:color="auto"/>
                <w:left w:val="none" w:sz="0" w:space="0" w:color="auto"/>
                <w:bottom w:val="none" w:sz="0" w:space="0" w:color="auto"/>
                <w:right w:val="none" w:sz="0" w:space="0" w:color="auto"/>
              </w:divBdr>
              <w:divsChild>
                <w:div w:id="1365713771">
                  <w:marLeft w:val="0"/>
                  <w:marRight w:val="0"/>
                  <w:marTop w:val="0"/>
                  <w:marBottom w:val="0"/>
                  <w:divBdr>
                    <w:top w:val="none" w:sz="0" w:space="0" w:color="auto"/>
                    <w:left w:val="none" w:sz="0" w:space="0" w:color="auto"/>
                    <w:bottom w:val="none" w:sz="0" w:space="0" w:color="auto"/>
                    <w:right w:val="none" w:sz="0" w:space="0" w:color="auto"/>
                  </w:divBdr>
                  <w:divsChild>
                    <w:div w:id="2097289691">
                      <w:marLeft w:val="0"/>
                      <w:marRight w:val="0"/>
                      <w:marTop w:val="0"/>
                      <w:marBottom w:val="0"/>
                      <w:divBdr>
                        <w:top w:val="none" w:sz="0" w:space="0" w:color="auto"/>
                        <w:left w:val="none" w:sz="0" w:space="0" w:color="auto"/>
                        <w:bottom w:val="none" w:sz="0" w:space="0" w:color="auto"/>
                        <w:right w:val="none" w:sz="0" w:space="0" w:color="auto"/>
                      </w:divBdr>
                    </w:div>
                    <w:div w:id="222639663">
                      <w:marLeft w:val="0"/>
                      <w:marRight w:val="0"/>
                      <w:marTop w:val="0"/>
                      <w:marBottom w:val="0"/>
                      <w:divBdr>
                        <w:top w:val="none" w:sz="0" w:space="0" w:color="auto"/>
                        <w:left w:val="none" w:sz="0" w:space="0" w:color="auto"/>
                        <w:bottom w:val="none" w:sz="0" w:space="0" w:color="auto"/>
                        <w:right w:val="none" w:sz="0" w:space="0" w:color="auto"/>
                      </w:divBdr>
                      <w:divsChild>
                        <w:div w:id="1848592857">
                          <w:blockQuote w:val="1"/>
                          <w:marLeft w:val="720"/>
                          <w:marRight w:val="720"/>
                          <w:marTop w:val="100"/>
                          <w:marBottom w:val="100"/>
                          <w:divBdr>
                            <w:top w:val="none" w:sz="0" w:space="0" w:color="auto"/>
                            <w:left w:val="none" w:sz="0" w:space="0" w:color="auto"/>
                            <w:bottom w:val="none" w:sz="0" w:space="0" w:color="auto"/>
                            <w:right w:val="none" w:sz="0" w:space="0" w:color="auto"/>
                          </w:divBdr>
                        </w:div>
                        <w:div w:id="895747891">
                          <w:blockQuote w:val="1"/>
                          <w:marLeft w:val="720"/>
                          <w:marRight w:val="720"/>
                          <w:marTop w:val="100"/>
                          <w:marBottom w:val="100"/>
                          <w:divBdr>
                            <w:top w:val="none" w:sz="0" w:space="0" w:color="auto"/>
                            <w:left w:val="none" w:sz="0" w:space="0" w:color="auto"/>
                            <w:bottom w:val="none" w:sz="0" w:space="0" w:color="auto"/>
                            <w:right w:val="none" w:sz="0" w:space="0" w:color="auto"/>
                          </w:divBdr>
                        </w:div>
                        <w:div w:id="89732891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86322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930187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ustomXml" Target="../customXml/item4.xml"/><Relationship Id="rId15" Type="http://schemas.openxmlformats.org/officeDocument/2006/relationships/footer" Target="footer1.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fontTable" Target="fontTable.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2" Type="http://schemas.openxmlformats.org/officeDocument/2006/relationships/hyperlink" Target="https://www.etf.europa.eu/en/publications-and-resources/publications/role-civil-society-organisations-human-capital-development" TargetMode="External"/><Relationship Id="rId1" Type="http://schemas.openxmlformats.org/officeDocument/2006/relationships/hyperlink" Target="https://www.oecd.org/en/publications/western-balkans-competitiveness-outlook-2024-regional-profile_170b0e53-e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A6WAAD5KZT2Q-293470456-4627</_dlc_DocId>
    <_dlc_DocIdUrl xmlns="1a33af13-4045-4f88-9d7b-618e30f79918">
      <Url>http://dm/eesc/2025/_layouts/15/DocIdRedir.aspx?ID=A6WAAD5KZT2Q-293470456-4627</Url>
      <Description>A6WAAD5KZT2Q-293470456-4627</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DECL</TermName>
          <TermId xmlns="http://schemas.microsoft.com/office/infopath/2007/PartnerControls">3e2492ed-4ef9-4eb0-bb74-05f60f74f0a3</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2025-05-21T12:00:00+00:00</ProductionDate>
    <DocumentNumber xmlns="aa382cf6-584e-4bd2-bd73-0bac1a20efcb">1674</DocumentNumber>
    <FicheYear xmlns="1a33af13-4045-4f88-9d7b-618e30f79918" xsi:nil="true"/>
    <DossierNumber xmlns="1a33af13-4045-4f88-9d7b-618e30f79918">184</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2451815e-8241-4bbf-a22e-1ab710712bf2</TermId>
        </TermInfo>
      </Terms>
    </Confidentiality_0>
    <MeetingDate xmlns="1a33af13-4045-4f88-9d7b-618e30f79918" xsi:nil="true"/>
    <TaxCatchAll xmlns="1a33af13-4045-4f88-9d7b-618e30f79918">
      <Value>13</Value>
      <Value>50</Value>
      <Value>117</Value>
      <Value>199</Value>
      <Value>198</Value>
      <Value>197</Value>
      <Value>8</Value>
      <Value>6</Value>
      <Value>5</Value>
      <Value>2</Value>
      <Value>1</Value>
      <Value>12</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d2afafd3-4c81-4f60-8f52-ee33f2f54ff3</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1a33af13-4045-4f88-9d7b-618e30f79918" xsi:nil="true"/>
    <DocumentYear xmlns="1a33af13-4045-4f88-9d7b-618e30f79918">2025</DocumentYear>
    <FicheNumber xmlns="1a33af13-4045-4f88-9d7b-618e30f79918">5070</FicheNumber>
    <OriginalSender xmlns="1a33af13-4045-4f88-9d7b-618e30f79918">
      <UserInfo>
        <DisplayName>Masutti Valeria</DisplayName>
        <AccountId>1325</AccountId>
        <AccountType/>
      </UserInfo>
    </OriginalSender>
    <DocumentPart xmlns="1a33af13-4045-4f88-9d7b-618e30f79918">0</DocumentPart>
    <AdoptionDate xmlns="1a33af13-4045-4f88-9d7b-618e30f79918" xsi:nil="true"/>
    <RequestingService xmlns="1a33af13-4045-4f88-9d7b-618e30f79918">Relations extérieures</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SR</TermName>
          <TermId xmlns="http://schemas.microsoft.com/office/infopath/2007/PartnerControls">7f3a1d13-b985-4bfd-981e-afe31377edff</TermId>
        </TermInfo>
        <TermInfo xmlns="http://schemas.microsoft.com/office/infopath/2007/PartnerControls">
          <TermName xmlns="http://schemas.microsoft.com/office/infopath/2007/PartnerControls">MK</TermName>
          <TermId xmlns="http://schemas.microsoft.com/office/infopath/2007/PartnerControls">34ce48bb-063e-4413-a932-50853dc71c5c</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SQ</TermName>
          <TermId xmlns="http://schemas.microsoft.com/office/infopath/2007/PartnerControls">5ac17240-8d11-45ec-9893-659b209d7a00</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aa382cf6-584e-4bd2-bd73-0bac1a20efcb"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REX</TermName>
          <TermId xmlns="http://schemas.microsoft.com/office/infopath/2007/PartnerControls">6820eaf5-116e-436b-ad9c-156f8a94c2a1</TermId>
        </TermInfo>
      </Terms>
    </DossierName_0>
    <DocumentVersion xmlns="1a33af13-4045-4f88-9d7b-618e30f79918">0</DocumentVersion>
  </documentManagement>
</p:properties>
</file>

<file path=customXml/item2.xml><?xml version="1.0" encoding="utf-8"?>
<ct:contentTypeSchema xmlns:ct="http://schemas.microsoft.com/office/2006/metadata/contentType" xmlns:ma="http://schemas.microsoft.com/office/2006/metadata/properties/metaAttributes" ct:_="" ma:_="" ma:contentTypeName="DM Document" ma:contentTypeID="0x010100EA97B91038054C99906057A708A1480A00FD26272E6D350E4BA98D090F484731A0" ma:contentTypeVersion="4" ma:contentTypeDescription="Defines the documents for Document Manager V2" ma:contentTypeScope="" ma:versionID="06c6d1ca1f0ecd2b8160ea2f3986497c">
  <xsd:schema xmlns:xsd="http://www.w3.org/2001/XMLSchema" xmlns:xs="http://www.w3.org/2001/XMLSchema" xmlns:p="http://schemas.microsoft.com/office/2006/metadata/properties" xmlns:ns2="1a33af13-4045-4f88-9d7b-618e30f79918" xmlns:ns3="http://schemas.microsoft.com/sharepoint/v3/fields" xmlns:ns4="aa382cf6-584e-4bd2-bd73-0bac1a20efcb" targetNamespace="http://schemas.microsoft.com/office/2006/metadata/properties" ma:root="true" ma:fieldsID="bef8e357c2859f419fb9a63c872f6d08" ns2:_="" ns3:_="" ns4:_="">
    <xsd:import namespace="1a33af13-4045-4f88-9d7b-618e30f79918"/>
    <xsd:import namespace="http://schemas.microsoft.com/sharepoint/v3/fields"/>
    <xsd:import namespace="aa382cf6-584e-4bd2-bd73-0bac1a20efcb"/>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a382cf6-584e-4bd2-bd73-0bac1a20efcb"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3217D37-C0A0-4C4E-9E60-90FA3C8CC1E7}"/>
</file>

<file path=customXml/itemProps2.xml><?xml version="1.0" encoding="utf-8"?>
<ds:datastoreItem xmlns:ds="http://schemas.openxmlformats.org/officeDocument/2006/customXml" ds:itemID="{3621C68C-7CBE-4700-A5E8-82727EC0F248}"/>
</file>

<file path=customXml/itemProps3.xml><?xml version="1.0" encoding="utf-8"?>
<ds:datastoreItem xmlns:ds="http://schemas.openxmlformats.org/officeDocument/2006/customXml" ds:itemID="{9D076219-1A4B-45C0-89C4-4089429C8059}"/>
</file>

<file path=customXml/itemProps4.xml><?xml version="1.0" encoding="utf-8"?>
<ds:datastoreItem xmlns:ds="http://schemas.openxmlformats.org/officeDocument/2006/customXml" ds:itemID="{00D0E738-DBC4-4BD3-B66B-8949B7458F8E}"/>
</file>

<file path=docMetadata/LabelInfo.xml><?xml version="1.0" encoding="utf-8"?>
<clbl:labelList xmlns:clbl="http://schemas.microsoft.com/office/2020/mipLabelMetadata">
  <clbl:label id="{01a4edc0-c130-4e09-bfd4-7b7de34700e6}" enabled="0" method="" siteId="{01a4edc0-c130-4e09-bfd4-7b7de34700e6}" removed="1"/>
</clbl:labelList>
</file>

<file path=docProps/app.xml><?xml version="1.0" encoding="utf-8"?>
<Properties xmlns="http://schemas.openxmlformats.org/officeDocument/2006/extended-properties" xmlns:vt="http://schemas.openxmlformats.org/officeDocument/2006/docPropsVTypes">
  <Template>Normal.dotm</Template>
  <TotalTime>7</TotalTime>
  <Pages>3</Pages>
  <Words>3029</Words>
  <Characters>16665</Characters>
  <Application>Microsoft Office Word</Application>
  <DocSecurity>0</DocSecurity>
  <Lines>138</Lines>
  <Paragraphs>39</Paragraphs>
  <ScaleCrop>false</ScaleCrop>
  <HeadingPairs>
    <vt:vector size="6" baseType="variant">
      <vt:variant>
        <vt:lpstr>Title</vt:lpstr>
      </vt:variant>
      <vt:variant>
        <vt:i4>1</vt:i4>
      </vt:variant>
      <vt:variant>
        <vt:lpstr>Naslov</vt:lpstr>
      </vt:variant>
      <vt:variant>
        <vt:i4>1</vt:i4>
      </vt:variant>
      <vt:variant>
        <vt:lpstr>Τίτλος</vt:lpstr>
      </vt:variant>
      <vt:variant>
        <vt:i4>1</vt:i4>
      </vt:variant>
    </vt:vector>
  </HeadingPairs>
  <TitlesOfParts>
    <vt:vector size="3" baseType="lpstr">
      <vt:lpstr>Final declaration 8th Western Balkans Civil Society Forum Skopje 2021</vt:lpstr>
      <vt:lpstr>Draft declaration 8th Western Balkans Civil Society Forum Skopje 2021</vt:lpstr>
      <vt:lpstr/>
    </vt:vector>
  </TitlesOfParts>
  <Company>EESC-ECOR</Company>
  <LinksUpToDate>false</LinksUpToDate>
  <CharactersWithSpaces>19655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Déclaration finale - 10e forum de la société civile des Balkans occidentaux</dc:title>
  <dc:subject>DECL</dc:subject>
  <dc:creator>Dujmovic Ana</dc:creator>
  <cp:keywords>EESC-2025-01674-00-00-DECL-TRA-EN</cp:keywords>
  <dc:description>Rapporteur:  - Original language: EN - Date of document: 21-05-2025 - Date of meeting:  - External documents:  - Administrator: M. HOIC David</dc:description>
  <cp:lastModifiedBy>Masutti Valeria</cp:lastModifiedBy>
  <cp:revision>6</cp:revision>
  <cp:lastPrinted>2023-09-20T07:56:00Z</cp:lastPrinted>
  <dcterms:created xsi:type="dcterms:W3CDTF">2025-05-14T14:34:00Z</dcterms:created>
  <dcterms:modified xsi:type="dcterms:W3CDTF">2025-05-21T14:50:00Z</dcterms:modified>
  <cp:category>REX/184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14/05/2025, 04/10/2021, 22/09/2021, 22/09/2021, 22/09/2021, 07/09/2021</vt:lpwstr>
  </property>
  <property fmtid="{D5CDD505-2E9C-101B-9397-08002B2CF9AE}" pid="4" name="Pref_Time">
    <vt:lpwstr>16:30:06, 15:01:50, 09:09:41, 08:53:25, 08:17:04, 17:11:53</vt:lpwstr>
  </property>
  <property fmtid="{D5CDD505-2E9C-101B-9397-08002B2CF9AE}" pid="5" name="Pref_User">
    <vt:lpwstr>jhvi, amett, hnic, hnic, ymur, amett</vt:lpwstr>
  </property>
  <property fmtid="{D5CDD505-2E9C-101B-9397-08002B2CF9AE}" pid="6" name="Pref_FileName">
    <vt:lpwstr>EESC-2025-01674-00-00-DECL-ORI.docx, EESC-2021-04389-00-02-DECL-TRA-EN-CRR.docx, EESC-2021-04389-00-01-DECL-ORI.docx, EESC-2021-04389-00-01-DECL-TRA-EN-CRR.docx, EESC-2021-04389-00-01-DECL-CRR-EN.docx, EESC-2021-04389-00-00-DECL-ORI.docx</vt:lpwstr>
  </property>
  <property fmtid="{D5CDD505-2E9C-101B-9397-08002B2CF9AE}" pid="7" name="ContentTypeId">
    <vt:lpwstr>0x010100EA97B91038054C99906057A708A1480A00FD26272E6D350E4BA98D090F484731A0</vt:lpwstr>
  </property>
  <property fmtid="{D5CDD505-2E9C-101B-9397-08002B2CF9AE}" pid="8" name="_dlc_DocIdItemGuid">
    <vt:lpwstr>00a2c969-29b4-4609-b1ed-88fe7f43144e</vt:lpwstr>
  </property>
  <property fmtid="{D5CDD505-2E9C-101B-9397-08002B2CF9AE}" pid="9" name="AvailableTranslations">
    <vt:lpwstr>5;#EN|f2175f21-25d7-44a3-96da-d6a61b075e1b;#50;#HR|2f555653-ed1a-4fe6-8362-9082d95989e5;#197;#SR|7f3a1d13-b985-4bfd-981e-afe31377edff;#198;#MK|34ce48bb-063e-4413-a932-50853dc71c5c;#12;#FR|d2afafd3-4c81-4f60-8f52-ee33f2f54ff3;#199;#SQ|5ac17240-8d11-45ec-9893-659b209d7a00</vt:lpwstr>
  </property>
  <property fmtid="{D5CDD505-2E9C-101B-9397-08002B2CF9AE}" pid="10" name="DocumentType_0">
    <vt:lpwstr>DECL|3e2492ed-4ef9-4eb0-bb74-05f60f74f0a3</vt:lpwstr>
  </property>
  <property fmtid="{D5CDD505-2E9C-101B-9397-08002B2CF9AE}" pid="11" name="DossierName_0">
    <vt:lpwstr>REX|6820eaf5-116e-436b-ad9c-156f8a94c2a1</vt:lpwstr>
  </property>
  <property fmtid="{D5CDD505-2E9C-101B-9397-08002B2CF9AE}" pid="12" name="DocumentSource_0">
    <vt:lpwstr>EESC|422833ec-8d7e-4e65-8e4e-8bed07ffb729</vt:lpwstr>
  </property>
  <property fmtid="{D5CDD505-2E9C-101B-9397-08002B2CF9AE}" pid="13" name="DocumentNumber">
    <vt:i4>1674</vt:i4>
  </property>
  <property fmtid="{D5CDD505-2E9C-101B-9397-08002B2CF9AE}" pid="14" name="DocumentVersion">
    <vt:i4>0</vt:i4>
  </property>
  <property fmtid="{D5CDD505-2E9C-101B-9397-08002B2CF9AE}" pid="15" name="DossierNumber">
    <vt:i4>184</vt:i4>
  </property>
  <property fmtid="{D5CDD505-2E9C-101B-9397-08002B2CF9AE}" pid="16" name="DocumentStatus">
    <vt:lpwstr>13;#TRA|150d2a88-1431-44e6-a8ca-0bb753ab8672</vt:lpwstr>
  </property>
  <property fmtid="{D5CDD505-2E9C-101B-9397-08002B2CF9AE}" pid="17" name="DocumentPart">
    <vt:i4>0</vt:i4>
  </property>
  <property fmtid="{D5CDD505-2E9C-101B-9397-08002B2CF9AE}" pid="18" name="DossierName">
    <vt:lpwstr>2;#REX|6820eaf5-116e-436b-ad9c-156f8a94c2a1</vt:lpwstr>
  </property>
  <property fmtid="{D5CDD505-2E9C-101B-9397-08002B2CF9AE}" pid="19" name="DocumentSource">
    <vt:lpwstr>1;#EESC|422833ec-8d7e-4e65-8e4e-8bed07ffb729</vt:lpwstr>
  </property>
  <property fmtid="{D5CDD505-2E9C-101B-9397-08002B2CF9AE}" pid="21" name="DocumentType">
    <vt:lpwstr>117;#DECL|3e2492ed-4ef9-4eb0-bb74-05f60f74f0a3</vt:lpwstr>
  </property>
  <property fmtid="{D5CDD505-2E9C-101B-9397-08002B2CF9AE}" pid="22" name="RequestingService">
    <vt:lpwstr>Relations extérieures</vt:lpwstr>
  </property>
  <property fmtid="{D5CDD505-2E9C-101B-9397-08002B2CF9AE}" pid="23" name="Confidentiality">
    <vt:lpwstr>6;#Internal|2451815e-8241-4bbf-a22e-1ab710712bf2</vt:lpwstr>
  </property>
  <property fmtid="{D5CDD505-2E9C-101B-9397-08002B2CF9AE}" pid="24" name="MeetingName_0">
    <vt:lpwstr/>
  </property>
  <property fmtid="{D5CDD505-2E9C-101B-9397-08002B2CF9AE}" pid="25" name="Confidentiality_0">
    <vt:lpwstr>Internal|2451815e-8241-4bbf-a22e-1ab710712bf2</vt:lpwstr>
  </property>
  <property fmtid="{D5CDD505-2E9C-101B-9397-08002B2CF9AE}" pid="26" name="OriginalLanguage">
    <vt:lpwstr>5;#EN|f2175f21-25d7-44a3-96da-d6a61b075e1b</vt:lpwstr>
  </property>
  <property fmtid="{D5CDD505-2E9C-101B-9397-08002B2CF9AE}" pid="27" name="MeetingName">
    <vt:lpwstr/>
  </property>
  <property fmtid="{D5CDD505-2E9C-101B-9397-08002B2CF9AE}" pid="29" name="AvailableTranslations_0">
    <vt:lpwstr>EN|f2175f21-25d7-44a3-96da-d6a61b075e1b;HR|2f555653-ed1a-4fe6-8362-9082d95989e5;SR|7f3a1d13-b985-4bfd-981e-afe31377edff;MK|34ce48bb-063e-4413-a932-50853dc71c5c;SQ|5ac17240-8d11-45ec-9893-659b209d7a00</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50;#HR|2f555653-ed1a-4fe6-8362-9082d95989e5;#117;#DECL|3e2492ed-4ef9-4eb0-bb74-05f60f74f0a3;#13;#TRA|150d2a88-1431-44e6-a8ca-0bb753ab8672;#199;#SQ|5ac17240-8d11-45ec-9893-659b209d7a00;#198;#MK|34ce48bb-063e-4413-a932-50853dc71c5c;#197;#SR|7f3a1d13-b985-4bfd-981e-afe31377edff;#8;#Final|ea5e6674-7b27-4bac-b091-73adbb394efe;#6;#Internal|2451815e-8241-4bbf-a22e-1ab710712bf2;#5;#EN|f2175f21-25d7-44a3-96da-d6a61b075e1b;#2;#REX|6820eaf5-116e-436b-ad9c-156f8a94c2a1;#1;#EESC|422833ec-8d7e-4e65-8e4e-8bed07ffb729</vt:lpwstr>
  </property>
  <property fmtid="{D5CDD505-2E9C-101B-9397-08002B2CF9AE}" pid="33" name="VersionStatus_0">
    <vt:lpwstr>Final|ea5e6674-7b27-4bac-b091-73adbb394efe</vt:lpwstr>
  </property>
  <property fmtid="{D5CDD505-2E9C-101B-9397-08002B2CF9AE}" pid="34" name="VersionStatus">
    <vt:lpwstr>8;#Final|ea5e6674-7b27-4bac-b091-73adbb394efe</vt:lpwstr>
  </property>
  <property fmtid="{D5CDD505-2E9C-101B-9397-08002B2CF9AE}" pid="35" name="DocumentYear">
    <vt:i4>2025</vt:i4>
  </property>
  <property fmtid="{D5CDD505-2E9C-101B-9397-08002B2CF9AE}" pid="36" name="FicheNumber">
    <vt:i4>5070</vt:i4>
  </property>
  <property fmtid="{D5CDD505-2E9C-101B-9397-08002B2CF9AE}" pid="37" name="DocumentLanguage">
    <vt:lpwstr>12;#FR|d2afafd3-4c81-4f60-8f52-ee33f2f54ff3</vt:lpwstr>
  </property>
  <property fmtid="{D5CDD505-2E9C-101B-9397-08002B2CF9AE}" pid="38" name="_docset_NoMedatataSyncRequired">
    <vt:lpwstr>False</vt:lpwstr>
  </property>
</Properties>
</file>