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B6B" w:rsidP="00F01EB5" w:rsidRDefault="00F01EB5" w14:paraId="08C99350" w14:textId="77777777">
      <w:pPr>
        <w:jc w:val="center"/>
      </w:pPr>
      <w:bookmarkStart w:name="_GoBack" w:id="0"/>
      <w:bookmarkEnd w:id="0"/>
      <w:r>
        <w:rPr>
          <w:noProof/>
          <w:lang w:val="en-US"/>
        </w:rPr>
        <w:drawing>
          <wp:inline distT="0" distB="0" distL="0" distR="0" wp14:anchorId="7AA3D77F" wp14:editId="7A8F2DFA">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1">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165632">
        <w:rPr>
          <w:noProof/>
          <w:sz w:val="20"/>
          <w:lang w:val="en-US"/>
        </w:rPr>
        <mc:AlternateContent>
          <mc:Choice Requires="wps">
            <w:drawing>
              <wp:anchor distT="0" distB="0" distL="114300" distR="114300" simplePos="0" relativeHeight="251659264" behindDoc="1" locked="0" layoutInCell="0" allowOverlap="1" wp14:editId="79492399" wp14:anchorId="61E3BFFC">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1E3BFFC">
                <v:stroke joinstyle="miter"/>
                <v:path gradientshapeok="t" o:connecttype="rect"/>
              </v:shapetype>
              <v:shape id="Text Box 17"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260E65" w:rsidR="00165632" w:rsidRDefault="00165632" w14:paraId="77C545E5" w14:textId="77777777">
                      <w:pPr>
                        <w:jc w:val="center"/>
                        <w:rPr>
                          <w:rFonts w:ascii="Arial" w:hAnsi="Arial" w:cs="Arial"/>
                          <w:b/>
                          <w:bCs/>
                          <w:sz w:val="48"/>
                          <w:lang w:val="nl-BE"/>
                        </w:rPr>
                      </w:pPr>
                      <w:r>
                        <w:rPr>
                          <w:rFonts w:ascii="Arial" w:hAnsi="Arial" w:cs="Arial"/>
                          <w:b/>
                          <w:bCs/>
                          <w:sz w:val="48"/>
                          <w:lang w:val="nl-BE"/>
                        </w:rPr>
                        <w:t>EN</w:t>
                      </w:r>
                    </w:p>
                  </w:txbxContent>
                </v:textbox>
                <w10:wrap anchorx="page" anchory="page"/>
              </v:shape>
            </w:pict>
          </mc:Fallback>
        </mc:AlternateContent>
      </w:r>
    </w:p>
    <w:p w:rsidRPr="00F01EB5" w:rsidR="00F01EB5" w:rsidP="00F01EB5" w:rsidRDefault="00F01EB5" w14:paraId="382519A3" w14:textId="77777777">
      <w:pPr>
        <w:jc w:val="left"/>
      </w:pPr>
    </w:p>
    <w:p w:rsidRPr="00F41CD8" w:rsidR="00F41CD8" w:rsidP="00F41CD8" w:rsidRDefault="00F41CD8" w14:paraId="6DB04FF7" w14:textId="4231C8B9">
      <w:pPr>
        <w:jc w:val="right"/>
        <w:rPr>
          <w:b/>
        </w:rPr>
      </w:pPr>
      <w:r w:rsidRPr="00F41CD8">
        <w:rPr>
          <w:b/>
        </w:rPr>
        <w:t>TEN/8</w:t>
      </w:r>
      <w:r w:rsidR="00E70DD6">
        <w:rPr>
          <w:b/>
        </w:rPr>
        <w:t>46</w:t>
      </w:r>
    </w:p>
    <w:p w:rsidRPr="00E70DD6" w:rsidR="00E70DD6" w:rsidP="00E70DD6" w:rsidRDefault="00E70DD6" w14:paraId="16C1E412" w14:textId="77777777">
      <w:pPr>
        <w:jc w:val="right"/>
        <w:rPr>
          <w:b/>
        </w:rPr>
      </w:pPr>
      <w:r w:rsidRPr="00E70DD6">
        <w:rPr>
          <w:b/>
        </w:rPr>
        <w:t xml:space="preserve">Price hikes in transport, energy and housing: </w:t>
      </w:r>
    </w:p>
    <w:p w:rsidRPr="004C21FA" w:rsidR="000E4B6B" w:rsidP="00E70DD6" w:rsidRDefault="00E70DD6" w14:paraId="1EFE7F2B" w14:textId="27574B8D">
      <w:pPr>
        <w:jc w:val="right"/>
        <w:rPr>
          <w:b/>
        </w:rPr>
      </w:pPr>
      <w:r w:rsidRPr="00E70DD6">
        <w:rPr>
          <w:b/>
        </w:rPr>
        <w:t>the role of quality public services in tackling the high cost of living</w:t>
      </w:r>
    </w:p>
    <w:p w:rsidR="000E4B6B" w:rsidP="00EC0F0F" w:rsidRDefault="000E4B6B" w14:paraId="246146FA" w14:textId="77777777"/>
    <w:p w:rsidRPr="00A67235" w:rsidR="0015330A" w:rsidP="00EC0F0F" w:rsidRDefault="0015330A" w14:paraId="42ECB1B2" w14:textId="77777777"/>
    <w:p w:rsidRPr="00A67235" w:rsidR="000E4B6B" w:rsidP="00EC0F0F" w:rsidRDefault="000E4B6B" w14:paraId="0D69E171" w14:textId="62ED81BA">
      <w:pPr>
        <w:jc w:val="right"/>
      </w:pPr>
      <w:r w:rsidRPr="00A67235">
        <w:t xml:space="preserve">Brussels, </w:t>
      </w:r>
      <w:r w:rsidR="00395758">
        <w:t>30 April</w:t>
      </w:r>
      <w:r w:rsidR="00BE2774">
        <w:t xml:space="preserve"> 202</w:t>
      </w:r>
      <w:r w:rsidR="00E70DD6">
        <w:t>5</w:t>
      </w:r>
    </w:p>
    <w:p w:rsidRPr="00A67235" w:rsidR="000E4B6B" w:rsidP="00EC0F0F" w:rsidRDefault="000E4B6B" w14:paraId="31FA757B" w14:textId="77777777"/>
    <w:p w:rsidRPr="00A67235" w:rsidR="000E4B6B" w:rsidP="00EC0F0F" w:rsidRDefault="000E4B6B" w14:paraId="7079C9D2" w14:textId="77777777"/>
    <w:p w:rsidRPr="00A67235" w:rsidR="000E4B6B" w:rsidP="00EC0F0F" w:rsidRDefault="000E4B6B" w14:paraId="0B406AD6" w14:textId="77777777"/>
    <w:p w:rsidRPr="00A67235" w:rsidR="000E4B6B" w:rsidP="00EC0F0F" w:rsidRDefault="000E4B6B" w14:paraId="414F5CCC" w14:textId="77777777"/>
    <w:p w:rsidRPr="00E70DD6" w:rsidR="00E70DD6" w:rsidP="00E70DD6" w:rsidRDefault="00964A13" w14:paraId="25CF905C" w14:textId="77777777">
      <w:pPr>
        <w:jc w:val="center"/>
        <w:rPr>
          <w:b/>
        </w:rPr>
      </w:pPr>
      <w:r w:rsidRPr="00A67235">
        <w:rPr>
          <w:b/>
          <w:sz w:val="32"/>
        </w:rPr>
        <w:t>RECORD OF THE PROCEEDINGS</w:t>
      </w:r>
      <w:r w:rsidR="009E138D">
        <w:rPr>
          <w:b/>
          <w:sz w:val="32"/>
        </w:rPr>
        <w:br/>
      </w:r>
      <w:r w:rsidR="003876B5">
        <w:br/>
      </w:r>
      <w:r w:rsidRPr="00A67235">
        <w:t>European Economic and Social Committee</w:t>
      </w:r>
      <w:r w:rsidR="009E138D">
        <w:br/>
      </w:r>
      <w:r w:rsidR="009E138D">
        <w:br/>
      </w:r>
      <w:r w:rsidRPr="00E70DD6" w:rsidR="00E70DD6">
        <w:rPr>
          <w:b/>
        </w:rPr>
        <w:t xml:space="preserve">Price hikes in transport, energy and housing: </w:t>
      </w:r>
    </w:p>
    <w:p w:rsidRPr="00AD0D15" w:rsidR="00F41CD8" w:rsidP="00E70DD6" w:rsidRDefault="00E70DD6" w14:paraId="3BBD17A2" w14:textId="26E1DF2F">
      <w:pPr>
        <w:jc w:val="center"/>
        <w:rPr>
          <w:b/>
          <w:bCs/>
        </w:rPr>
      </w:pPr>
      <w:r w:rsidRPr="00E70DD6">
        <w:rPr>
          <w:b/>
        </w:rPr>
        <w:t>the role of quality public services in tackling the high cost of living</w:t>
      </w:r>
    </w:p>
    <w:p w:rsidRPr="006C0B36" w:rsidR="007201DC" w:rsidP="00F41CD8" w:rsidRDefault="00E70DD6" w14:paraId="627A1434" w14:textId="152E76F7">
      <w:pPr>
        <w:jc w:val="center"/>
      </w:pPr>
      <w:r>
        <w:t>(</w:t>
      </w:r>
      <w:r w:rsidRPr="00E70DD6">
        <w:t>own-initiative opinion</w:t>
      </w:r>
      <w:r>
        <w:t>)</w:t>
      </w:r>
    </w:p>
    <w:p w:rsidRPr="004C21FA" w:rsidR="00964A13" w:rsidP="007201DC" w:rsidRDefault="00964A13" w14:paraId="1CA7DBC6" w14:textId="00660655">
      <w:pPr>
        <w:jc w:val="center"/>
      </w:pPr>
    </w:p>
    <w:p w:rsidRPr="00A67235" w:rsidR="00964A13" w:rsidP="00EC0F0F" w:rsidRDefault="00964A13" w14:paraId="6EA6F05A" w14:textId="77777777">
      <w:pPr>
        <w:jc w:val="center"/>
      </w:pPr>
      <w:r w:rsidRPr="00A67235">
        <w:t>_____________</w:t>
      </w:r>
    </w:p>
    <w:p w:rsidRPr="00A67235" w:rsidR="00964A13" w:rsidP="00EC0F0F" w:rsidRDefault="00964A13" w14:paraId="155F9A18" w14:textId="77777777">
      <w:pPr>
        <w:jc w:val="center"/>
      </w:pPr>
    </w:p>
    <w:p w:rsidRPr="00A67235" w:rsidR="00964A13" w:rsidP="00EC0F0F" w:rsidRDefault="00BE2774" w14:paraId="0FA745B1" w14:textId="1063DAFD">
      <w:pPr>
        <w:jc w:val="center"/>
        <w:rPr>
          <w:bCs/>
        </w:rPr>
      </w:pPr>
      <w:r>
        <w:t>5</w:t>
      </w:r>
      <w:r w:rsidR="00E70DD6">
        <w:t>96</w:t>
      </w:r>
      <w:r w:rsidR="004C21FA">
        <w:rPr>
          <w:vertAlign w:val="superscript"/>
        </w:rPr>
        <w:t>th</w:t>
      </w:r>
      <w:r>
        <w:t xml:space="preserve"> </w:t>
      </w:r>
      <w:r w:rsidR="0015330A">
        <w:t>plenary session</w:t>
      </w:r>
      <w:r w:rsidR="009E138D">
        <w:br/>
      </w:r>
      <w:r w:rsidR="009E138D">
        <w:rPr>
          <w:bCs/>
        </w:rPr>
        <w:br/>
      </w:r>
      <w:r w:rsidRPr="00A67235" w:rsidR="00964A13">
        <w:rPr>
          <w:bCs/>
        </w:rPr>
        <w:t>Brussels</w:t>
      </w:r>
      <w:r w:rsidR="009E138D">
        <w:rPr>
          <w:bCs/>
        </w:rPr>
        <w:br/>
      </w:r>
      <w:r w:rsidR="00E70DD6">
        <w:rPr>
          <w:bCs/>
        </w:rPr>
        <w:t>29-30 April</w:t>
      </w:r>
      <w:r>
        <w:rPr>
          <w:bCs/>
        </w:rPr>
        <w:t xml:space="preserve"> 202</w:t>
      </w:r>
      <w:r w:rsidR="00E70DD6">
        <w:rPr>
          <w:bCs/>
        </w:rPr>
        <w:t>5</w:t>
      </w:r>
    </w:p>
    <w:p w:rsidRPr="00A67235" w:rsidR="00964A13" w:rsidP="00EC0F0F" w:rsidRDefault="00964A13" w14:paraId="1F2948E8" w14:textId="77777777">
      <w:pPr>
        <w:jc w:val="center"/>
      </w:pPr>
      <w:r w:rsidRPr="00A67235">
        <w:t>_____________</w:t>
      </w:r>
    </w:p>
    <w:p w:rsidRPr="00A67235" w:rsidR="00964A13" w:rsidP="00EC0F0F" w:rsidRDefault="00BE2774" w14:paraId="0DDEA934" w14:textId="49D30545">
      <w:pPr>
        <w:jc w:val="center"/>
      </w:pPr>
      <w:r>
        <w:t xml:space="preserve"> </w:t>
      </w:r>
    </w:p>
    <w:p w:rsidRPr="00A67235" w:rsidR="00964A13" w:rsidP="00EC0F0F" w:rsidRDefault="00964A13" w14:paraId="320DD6DB" w14:textId="427E962E">
      <w:pPr>
        <w:jc w:val="center"/>
      </w:pPr>
      <w:r w:rsidRPr="00A67235">
        <w:t xml:space="preserve">Meeting of </w:t>
      </w:r>
      <w:r w:rsidR="00E70DD6">
        <w:t>30 April</w:t>
      </w:r>
      <w:r w:rsidR="00BE2774">
        <w:t xml:space="preserve"> 202</w:t>
      </w:r>
      <w:r w:rsidR="00E70DD6">
        <w:t>5</w:t>
      </w:r>
      <w:r w:rsidR="009E138D">
        <w:br/>
      </w:r>
      <w:r w:rsidRPr="00A67235">
        <w:rPr>
          <w:bCs/>
        </w:rPr>
        <w:t>_____________</w:t>
      </w:r>
    </w:p>
    <w:p w:rsidRPr="00A67235" w:rsidR="00964A13" w:rsidP="00EC0F0F" w:rsidRDefault="00964A13" w14:paraId="57F8546B" w14:textId="77777777">
      <w:pPr>
        <w:jc w:val="center"/>
      </w:pPr>
    </w:p>
    <w:p w:rsidRPr="00A67235" w:rsidR="00964A13" w:rsidP="00EC0F0F" w:rsidRDefault="00964A13" w14:paraId="6CCB63EF" w14:textId="7B46FE27">
      <w:pPr>
        <w:pStyle w:val="Footer"/>
        <w:jc w:val="center"/>
      </w:pPr>
      <w:r w:rsidRPr="00A67235">
        <w:t>Agenda item</w:t>
      </w:r>
      <w:r w:rsidR="00177DAC">
        <w:t xml:space="preserve"> </w:t>
      </w:r>
      <w:r w:rsidR="00C311DE">
        <w:t>1</w:t>
      </w:r>
      <w:r w:rsidR="00E70DD6">
        <w:t>6</w:t>
      </w:r>
    </w:p>
    <w:p w:rsidRPr="00A67235" w:rsidR="00964A13" w:rsidP="00EC0F0F" w:rsidRDefault="00964A13" w14:paraId="51C5CA93" w14:textId="77777777">
      <w:pPr>
        <w:pStyle w:val="Footer"/>
        <w:jc w:val="center"/>
      </w:pPr>
      <w:r w:rsidRPr="00A67235">
        <w:t>_____________</w:t>
      </w:r>
    </w:p>
    <w:p w:rsidRPr="00A67235" w:rsidR="000E4B6B" w:rsidP="00EC0F0F" w:rsidRDefault="000E4B6B" w14:paraId="2BF941E5" w14:textId="77777777"/>
    <w:p w:rsidRPr="00A67235" w:rsidR="000E4B6B" w:rsidP="00EC0F0F" w:rsidRDefault="00964A13" w14:paraId="1461B587" w14:textId="38BB06BE">
      <w:r w:rsidRPr="00A67235">
        <w:rPr>
          <w:b/>
          <w:bCs/>
        </w:rPr>
        <w:br w:type="page"/>
      </w:r>
      <w:r w:rsidRPr="00A67235" w:rsidR="000E4B6B">
        <w:rPr>
          <w:b/>
          <w:bCs/>
        </w:rPr>
        <w:lastRenderedPageBreak/>
        <w:t xml:space="preserve">The president </w:t>
      </w:r>
      <w:r w:rsidRPr="00A67235" w:rsidR="000E4B6B">
        <w:t>move</w:t>
      </w:r>
      <w:r w:rsidR="0053459C">
        <w:t>s</w:t>
      </w:r>
      <w:r w:rsidRPr="00A67235" w:rsidR="000E4B6B">
        <w:t xml:space="preserve"> that the Committee turn to agenda item </w:t>
      </w:r>
      <w:r w:rsidR="00C311DE">
        <w:t>1</w:t>
      </w:r>
      <w:r w:rsidR="00E70DD6">
        <w:t>6</w:t>
      </w:r>
      <w:r w:rsidRPr="00A67235" w:rsidR="000E4B6B">
        <w:t xml:space="preserve"> - adoption of an opinion on the</w:t>
      </w:r>
    </w:p>
    <w:p w:rsidRPr="00A67235" w:rsidR="000E4B6B" w:rsidP="00EC0F0F" w:rsidRDefault="000E4B6B" w14:paraId="037DAC87" w14:textId="77777777"/>
    <w:p w:rsidRPr="00E70DD6" w:rsidR="00E70DD6" w:rsidP="00E70DD6" w:rsidRDefault="00E70DD6" w14:paraId="34AD494C" w14:textId="18C2E42A">
      <w:pPr>
        <w:ind w:left="1430"/>
        <w:rPr>
          <w:i/>
          <w:iCs/>
        </w:rPr>
      </w:pPr>
      <w:r w:rsidRPr="00E70DD6">
        <w:rPr>
          <w:i/>
          <w:iCs/>
        </w:rPr>
        <w:t>Price hikes in transport, energy and housing: the role of quality public services in tackling the high cost of living</w:t>
      </w:r>
    </w:p>
    <w:p w:rsidRPr="00E70DD6" w:rsidR="000E4B6B" w:rsidP="00E70DD6" w:rsidRDefault="00E70DD6" w14:paraId="305301AD" w14:textId="76E1B808">
      <w:pPr>
        <w:ind w:left="1430"/>
      </w:pPr>
      <w:r w:rsidRPr="00E70DD6">
        <w:t>(own-initiative opinion)</w:t>
      </w:r>
      <w:r w:rsidRPr="00E70DD6" w:rsidR="004C21FA">
        <w:t>.</w:t>
      </w:r>
    </w:p>
    <w:p w:rsidRPr="00A67235" w:rsidR="000E4B6B" w:rsidP="00EC0F0F" w:rsidRDefault="000E4B6B" w14:paraId="7B740915" w14:textId="77777777"/>
    <w:p w:rsidRPr="00A67235" w:rsidR="000E4B6B" w:rsidP="00EC0F0F" w:rsidRDefault="000E4B6B" w14:paraId="2D8D7685" w14:textId="40EE040E">
      <w:r w:rsidRPr="00A67235">
        <w:t xml:space="preserve">The preliminary work had been carried out by the Section for </w:t>
      </w:r>
      <w:r w:rsidRPr="00625261" w:rsidR="00BE2774">
        <w:t xml:space="preserve">Transport, Energy, Infrastructure and the Information Society </w:t>
      </w:r>
      <w:r w:rsidRPr="00625261" w:rsidR="00BE2774">
        <w:fldChar w:fldCharType="begin"/>
      </w:r>
      <w:r w:rsidRPr="00625261" w:rsidR="00BE2774">
        <w:instrText xml:space="preserve">  </w:instrText>
      </w:r>
      <w:r w:rsidRPr="00625261" w:rsidR="00BE2774">
        <w:fldChar w:fldCharType="end"/>
      </w:r>
      <w:r w:rsidRPr="00625261" w:rsidR="00BE2774">
        <w:t>(</w:t>
      </w:r>
      <w:r w:rsidR="00BE2774">
        <w:t>p</w:t>
      </w:r>
      <w:r w:rsidRPr="00625261" w:rsidR="00BE2774">
        <w:t>resident:</w:t>
      </w:r>
      <w:r w:rsidR="00BE2774">
        <w:rPr>
          <w:b/>
          <w:bCs/>
        </w:rPr>
        <w:t xml:space="preserve"> </w:t>
      </w:r>
      <w:r w:rsidR="0055372E">
        <w:rPr>
          <w:b/>
          <w:bCs/>
        </w:rPr>
        <w:t>Ms</w:t>
      </w:r>
      <w:r w:rsidR="00BE2774">
        <w:rPr>
          <w:b/>
          <w:bCs/>
        </w:rPr>
        <w:t xml:space="preserve"> M</w:t>
      </w:r>
      <w:r w:rsidR="0055372E">
        <w:rPr>
          <w:b/>
          <w:bCs/>
        </w:rPr>
        <w:t>iltovi</w:t>
      </w:r>
      <w:r w:rsidR="0055372E">
        <w:rPr>
          <w:b/>
          <w:bCs/>
          <w:lang w:val="lv-LV"/>
        </w:rPr>
        <w:t>ča</w:t>
      </w:r>
      <w:r w:rsidRPr="00625261" w:rsidR="00BE2774">
        <w:rPr>
          <w:b/>
          <w:bCs/>
        </w:rPr>
        <w:fldChar w:fldCharType="begin"/>
      </w:r>
      <w:r w:rsidRPr="00625261" w:rsidR="00BE2774">
        <w:rPr>
          <w:b/>
          <w:bCs/>
        </w:rPr>
        <w:instrText xml:space="preserve">  </w:instrText>
      </w:r>
      <w:r w:rsidRPr="00625261" w:rsidR="00BE2774">
        <w:rPr>
          <w:b/>
          <w:bCs/>
        </w:rPr>
        <w:fldChar w:fldCharType="end"/>
      </w:r>
      <w:r w:rsidR="00BE2774">
        <w:t>)</w:t>
      </w:r>
      <w:r w:rsidRPr="00A67235">
        <w:t>. The rapporteur was</w:t>
      </w:r>
      <w:r w:rsidRPr="00A67235">
        <w:rPr>
          <w:b/>
          <w:bCs/>
        </w:rPr>
        <w:t xml:space="preserve"> </w:t>
      </w:r>
      <w:r w:rsidR="0055372E">
        <w:rPr>
          <w:b/>
          <w:bCs/>
        </w:rPr>
        <w:t>Mr</w:t>
      </w:r>
      <w:r w:rsidRPr="00F41CD8" w:rsidR="00F41CD8">
        <w:rPr>
          <w:b/>
          <w:bCs/>
        </w:rPr>
        <w:t xml:space="preserve"> K</w:t>
      </w:r>
      <w:r w:rsidRPr="00F41CD8" w:rsidR="0055372E">
        <w:rPr>
          <w:b/>
          <w:bCs/>
        </w:rPr>
        <w:t>attnig</w:t>
      </w:r>
      <w:r w:rsidRPr="00A67235">
        <w:t>.</w:t>
      </w:r>
      <w:r w:rsidR="00BE2774">
        <w:t xml:space="preserve"> </w:t>
      </w:r>
      <w:r w:rsidRPr="004C21FA" w:rsidR="004C21FA">
        <w:t xml:space="preserve">The section adopted its opinion on </w:t>
      </w:r>
      <w:r w:rsidR="00E70DD6">
        <w:t>7 April 2025</w:t>
      </w:r>
      <w:r w:rsidRPr="004C21FA" w:rsidR="004C21FA">
        <w:t xml:space="preserve"> by </w:t>
      </w:r>
      <w:r w:rsidR="00E70DD6">
        <w:t>72</w:t>
      </w:r>
      <w:r w:rsidRPr="004C21FA" w:rsidR="004C21FA">
        <w:t xml:space="preserve"> votes</w:t>
      </w:r>
      <w:r w:rsidR="00F41CD8">
        <w:t xml:space="preserve"> to </w:t>
      </w:r>
      <w:r w:rsidR="00E70DD6">
        <w:t>one</w:t>
      </w:r>
      <w:r w:rsidRPr="004C21FA" w:rsidR="004C21FA">
        <w:t xml:space="preserve"> </w:t>
      </w:r>
      <w:r w:rsidR="007201DC">
        <w:t>and</w:t>
      </w:r>
      <w:r w:rsidR="004C21FA">
        <w:t xml:space="preserve"> </w:t>
      </w:r>
      <w:r w:rsidR="00E70DD6">
        <w:t>two</w:t>
      </w:r>
      <w:r w:rsidR="007201DC">
        <w:t xml:space="preserve"> abstention</w:t>
      </w:r>
      <w:r w:rsidR="00E70DD6">
        <w:t>s</w:t>
      </w:r>
      <w:r w:rsidRPr="004C21FA" w:rsidR="004C21FA">
        <w:t>.</w:t>
      </w:r>
    </w:p>
    <w:p w:rsidRPr="00A67235" w:rsidR="000E4B6B" w:rsidP="00EC0F0F" w:rsidRDefault="000E4B6B" w14:paraId="2708AAF4" w14:textId="77777777"/>
    <w:p w:rsidRPr="003321EC" w:rsidR="00BA48CB" w:rsidP="00BA48CB" w:rsidRDefault="00BA48CB" w14:paraId="7D34751E" w14:textId="2B48C255">
      <w:r w:rsidRPr="003321EC">
        <w:rPr>
          <w:b/>
          <w:bCs/>
        </w:rPr>
        <w:t>Mr Röpke</w:t>
      </w:r>
      <w:r w:rsidRPr="003321EC">
        <w:t xml:space="preserve"> gives the floor to the rapporteur </w:t>
      </w:r>
      <w:r w:rsidRPr="003321EC">
        <w:rPr>
          <w:b/>
          <w:bCs/>
        </w:rPr>
        <w:t xml:space="preserve">Mr </w:t>
      </w:r>
      <w:r w:rsidRPr="00F82A85" w:rsidR="00395758">
        <w:rPr>
          <w:b/>
          <w:bCs/>
        </w:rPr>
        <w:t>Kattnig</w:t>
      </w:r>
      <w:r w:rsidRPr="003321EC">
        <w:t>, who introduces the opinion</w:t>
      </w:r>
      <w:r w:rsidR="006D4FFA">
        <w:t>, which</w:t>
      </w:r>
      <w:r w:rsidRPr="006D4FFA" w:rsidR="006D4FFA">
        <w:t xml:space="preserve"> is part of a wider package of EESC opinions on the cost-of-living crisis.</w:t>
      </w:r>
    </w:p>
    <w:p w:rsidR="00F56241" w:rsidP="00585CF6" w:rsidRDefault="00F56241" w14:paraId="323EF0A1" w14:textId="5223BCBD">
      <w:pPr>
        <w:pStyle w:val="ListParagraph"/>
        <w:ind w:left="0"/>
      </w:pPr>
    </w:p>
    <w:p w:rsidR="008E40B6" w:rsidP="008E40B6" w:rsidRDefault="00F82A85" w14:paraId="05533132" w14:textId="7E51881D">
      <w:pPr>
        <w:pStyle w:val="ListParagraph"/>
        <w:ind w:left="0"/>
      </w:pPr>
      <w:r w:rsidRPr="00F82A85">
        <w:rPr>
          <w:b/>
          <w:bCs/>
        </w:rPr>
        <w:t>Mr Kattnig</w:t>
      </w:r>
      <w:r w:rsidRPr="00F82A85">
        <w:t xml:space="preserve"> highlighted that rising energy prices and high inflation have significantly increased costs, impacting the cost of living, competitiveness and social expenses. He emphasized that services of general interest are crucial for ensuring access to essential services. He also stressed the need for Member States to have the flexibility and autonomy to organize public services according to their needs and traditions, while maintaining high standards of quality, safety, affordability and universal access.</w:t>
      </w:r>
      <w:r w:rsidR="00C16376">
        <w:t xml:space="preserve"> </w:t>
      </w:r>
      <w:r w:rsidRPr="00830673" w:rsidR="00830673">
        <w:t>The rapporteur emphasized the importance of public transport in providing high-quality, universal and affordable mobility. He highlighted the need for investments in multimodal and interconnected systems and noted that many citizens suffer from energy and transport poverty.</w:t>
      </w:r>
      <w:r w:rsidRPr="00C70A05" w:rsidR="00C70A05">
        <w:rPr>
          <w:rFonts w:ascii="Segoe UI" w:hAnsi="Segoe UI" w:cs="Segoe UI"/>
          <w:color w:val="242424"/>
          <w:sz w:val="21"/>
          <w:szCs w:val="21"/>
          <w:shd w:val="clear" w:color="auto" w:fill="FAFAFA"/>
        </w:rPr>
        <w:t xml:space="preserve"> </w:t>
      </w:r>
      <w:r w:rsidRPr="00C70A05" w:rsidR="00C70A05">
        <w:t>The rapporteur emphasized the need to accelerate grid and renewable energy expansion through streamlined permit processes, encourage major consumers to generate their own renewable energy and develop trans-European networks as critical infrastructure.</w:t>
      </w:r>
      <w:r w:rsidR="005807C4">
        <w:t xml:space="preserve"> </w:t>
      </w:r>
      <w:r w:rsidRPr="008953F1" w:rsidR="008953F1">
        <w:t>The rapporteur noted that over the past two decades, rents and housing prices in the EU have risen faster than average disposable income. He emphasized that prioritizing public investment in accessible and affordable housing in the new multiannual financial framework is essential.</w:t>
      </w:r>
    </w:p>
    <w:p w:rsidR="008E40B6" w:rsidP="008E40B6" w:rsidRDefault="008E40B6" w14:paraId="45C7308D" w14:textId="77777777">
      <w:pPr>
        <w:pStyle w:val="ListParagraph"/>
        <w:ind w:left="0"/>
      </w:pPr>
    </w:p>
    <w:p w:rsidRPr="008E40B6" w:rsidR="008E40B6" w:rsidP="008E40B6" w:rsidRDefault="008E40B6" w14:paraId="6F9F18BA" w14:textId="0EC4A1DB">
      <w:pPr>
        <w:pStyle w:val="ListParagraph"/>
        <w:ind w:left="0"/>
      </w:pPr>
      <w:r w:rsidRPr="008E40B6">
        <w:rPr>
          <w:b/>
          <w:bCs/>
          <w:lang w:val="en-US"/>
        </w:rPr>
        <w:t>Mr Röpke</w:t>
      </w:r>
      <w:r w:rsidRPr="008E40B6">
        <w:rPr>
          <w:lang w:val="en-US"/>
        </w:rPr>
        <w:t xml:space="preserve"> </w:t>
      </w:r>
      <w:r w:rsidRPr="008E40B6">
        <w:t xml:space="preserve">then opens the debate. </w:t>
      </w:r>
      <w:r w:rsidRPr="008E40B6">
        <w:rPr>
          <w:b/>
          <w:bCs/>
        </w:rPr>
        <w:t xml:space="preserve">Mr </w:t>
      </w:r>
      <w:r w:rsidR="00D51D12">
        <w:rPr>
          <w:b/>
          <w:bCs/>
        </w:rPr>
        <w:t>Wagener</w:t>
      </w:r>
      <w:r w:rsidRPr="008E40B6">
        <w:rPr>
          <w:b/>
          <w:bCs/>
        </w:rPr>
        <w:t xml:space="preserve"> </w:t>
      </w:r>
      <w:r w:rsidRPr="008E40B6">
        <w:t>(</w:t>
      </w:r>
      <w:r w:rsidR="001F14CF">
        <w:t>LU</w:t>
      </w:r>
      <w:r w:rsidRPr="008E40B6">
        <w:t>-I</w:t>
      </w:r>
      <w:r w:rsidR="001F14CF">
        <w:t>I</w:t>
      </w:r>
      <w:r w:rsidRPr="008E40B6">
        <w:t>)</w:t>
      </w:r>
      <w:r w:rsidR="00D51D12">
        <w:t xml:space="preserve"> and</w:t>
      </w:r>
      <w:r w:rsidRPr="008E40B6">
        <w:t xml:space="preserve"> </w:t>
      </w:r>
      <w:r w:rsidRPr="008E40B6">
        <w:rPr>
          <w:b/>
          <w:bCs/>
        </w:rPr>
        <w:t>Ms Murafa Benga</w:t>
      </w:r>
      <w:r w:rsidRPr="008E40B6">
        <w:t xml:space="preserve"> (RO-III) speak on the following issues:</w:t>
      </w:r>
    </w:p>
    <w:p w:rsidRPr="008E40B6" w:rsidR="008E40B6" w:rsidP="008E40B6" w:rsidRDefault="00841CF1" w14:paraId="45847FA5" w14:textId="332AD5F7">
      <w:pPr>
        <w:pStyle w:val="ListParagraph"/>
        <w:numPr>
          <w:ilvl w:val="0"/>
          <w:numId w:val="7"/>
        </w:numPr>
      </w:pPr>
      <w:r w:rsidRPr="00841CF1">
        <w:t>The significance of providing high-quality, accessible and affordable services</w:t>
      </w:r>
      <w:r w:rsidR="0006464B">
        <w:t xml:space="preserve"> for European citizens</w:t>
      </w:r>
      <w:r w:rsidRPr="00841CF1">
        <w:t>.</w:t>
      </w:r>
    </w:p>
    <w:p w:rsidR="008E40B6" w:rsidP="00595C33" w:rsidRDefault="0086272D" w14:paraId="7D268EF3" w14:textId="546AE0DB">
      <w:pPr>
        <w:pStyle w:val="ListParagraph"/>
        <w:numPr>
          <w:ilvl w:val="0"/>
          <w:numId w:val="7"/>
        </w:numPr>
      </w:pPr>
      <w:r w:rsidRPr="0086272D">
        <w:t>Principle 20 of the European Pillar of Social Rights: Access to essential services.</w:t>
      </w:r>
    </w:p>
    <w:p w:rsidR="0083134A" w:rsidP="00595C33" w:rsidRDefault="001B4C16" w14:paraId="442F69A8" w14:textId="7E8D789B">
      <w:pPr>
        <w:pStyle w:val="ListParagraph"/>
        <w:numPr>
          <w:ilvl w:val="0"/>
          <w:numId w:val="7"/>
        </w:numPr>
      </w:pPr>
      <w:r w:rsidRPr="001B4C16">
        <w:t xml:space="preserve">The </w:t>
      </w:r>
      <w:r w:rsidR="00205CD5">
        <w:t>problem</w:t>
      </w:r>
      <w:r w:rsidRPr="001B4C16">
        <w:t xml:space="preserve"> of widespread energy poverty affecting many citizens.</w:t>
      </w:r>
    </w:p>
    <w:p w:rsidRPr="008E40B6" w:rsidR="00757919" w:rsidP="00595C33" w:rsidRDefault="00757919" w14:paraId="49A4E018" w14:textId="111A4A9E">
      <w:pPr>
        <w:pStyle w:val="ListParagraph"/>
        <w:numPr>
          <w:ilvl w:val="0"/>
          <w:numId w:val="7"/>
        </w:numPr>
      </w:pPr>
      <w:r>
        <w:t>The importance of s</w:t>
      </w:r>
      <w:r w:rsidRPr="00757919">
        <w:t>ufficient funding and investment in services of general interest.</w:t>
      </w:r>
    </w:p>
    <w:p w:rsidR="008E40B6" w:rsidP="00585CF6" w:rsidRDefault="008E40B6" w14:paraId="205D1086" w14:textId="77777777">
      <w:pPr>
        <w:pStyle w:val="ListParagraph"/>
        <w:ind w:left="0"/>
      </w:pPr>
    </w:p>
    <w:p w:rsidR="005041EB" w:rsidP="005041EB" w:rsidRDefault="00AE468A" w14:paraId="631AAAED" w14:textId="1C595B70">
      <w:r w:rsidRPr="00CD65CD">
        <w:rPr>
          <w:szCs w:val="18"/>
        </w:rPr>
        <w:t>Following the debate, the Assembly examines the amendments to the Section opinion.</w:t>
      </w:r>
    </w:p>
    <w:p w:rsidR="0033272E" w:rsidP="0033272E" w:rsidRDefault="0033272E" w14:paraId="7D06D61E" w14:textId="3B9936D3">
      <w:pPr>
        <w:pStyle w:val="Default"/>
        <w:jc w:val="both"/>
        <w:rPr>
          <w:szCs w:val="20"/>
        </w:rPr>
      </w:pPr>
    </w:p>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A622C0" w:rsidR="00E70DD6" w:rsidTr="00854690" w14:paraId="377958AD" w14:textId="77777777">
        <w:tc>
          <w:tcPr>
            <w:tcW w:w="2826" w:type="pct"/>
          </w:tcPr>
          <w:p w:rsidRPr="00A622C0" w:rsidR="00E70DD6" w:rsidP="00854690" w:rsidRDefault="00E70DD6" w14:paraId="2F78A261" w14:textId="77777777">
            <w:pPr>
              <w:rPr>
                <w:b/>
                <w:bCs/>
                <w:sz w:val="32"/>
                <w:szCs w:val="32"/>
              </w:rPr>
            </w:pPr>
            <w:r w:rsidRPr="00A622C0">
              <w:rPr>
                <w:b/>
                <w:bCs/>
                <w:sz w:val="32"/>
                <w:szCs w:val="32"/>
              </w:rPr>
              <w:t>AMENDMENT 2</w:t>
            </w:r>
          </w:p>
          <w:p w:rsidRPr="00A622C0" w:rsidR="00E70DD6" w:rsidP="00854690" w:rsidRDefault="00E70DD6" w14:paraId="41FA2BEB" w14:textId="77777777">
            <w:pPr>
              <w:rPr>
                <w:b/>
                <w:bCs/>
              </w:rPr>
            </w:pPr>
          </w:p>
          <w:p w:rsidRPr="00A622C0" w:rsidR="00E70DD6" w:rsidP="00854690" w:rsidRDefault="00E70DD6" w14:paraId="3573B78E" w14:textId="77777777">
            <w:pPr>
              <w:rPr>
                <w:b/>
                <w:bCs/>
              </w:rPr>
            </w:pPr>
            <w:r w:rsidRPr="00A622C0">
              <w:rPr>
                <w:b/>
                <w:bCs/>
              </w:rPr>
              <w:t>TEN/846</w:t>
            </w:r>
          </w:p>
          <w:p w:rsidRPr="00A622C0" w:rsidR="00E70DD6" w:rsidP="00854690" w:rsidRDefault="00E70DD6" w14:paraId="33558C9E" w14:textId="77777777">
            <w:pPr>
              <w:rPr>
                <w:b/>
                <w:bCs/>
              </w:rPr>
            </w:pPr>
            <w:r w:rsidRPr="00A622C0">
              <w:rPr>
                <w:b/>
              </w:rPr>
              <w:t xml:space="preserve">Price hikes in transport, energy and housing: </w:t>
            </w:r>
            <w:r w:rsidRPr="00A622C0">
              <w:rPr>
                <w:b/>
                <w:bCs/>
              </w:rPr>
              <w:t>The role of quality public services in tackling the high cost of living</w:t>
            </w:r>
          </w:p>
          <w:p w:rsidRPr="00A622C0" w:rsidR="00E70DD6" w:rsidP="00854690" w:rsidRDefault="00E70DD6" w14:paraId="74004E8E" w14:textId="77777777">
            <w:pPr>
              <w:rPr>
                <w:b/>
                <w:bCs/>
              </w:rPr>
            </w:pPr>
          </w:p>
          <w:p w:rsidRPr="00A622C0" w:rsidR="00E70DD6" w:rsidP="00854690" w:rsidRDefault="00E70DD6" w14:paraId="4AD29087" w14:textId="77777777">
            <w:pPr>
              <w:rPr>
                <w:b/>
                <w:bCs/>
              </w:rPr>
            </w:pPr>
            <w:r w:rsidRPr="00A622C0">
              <w:rPr>
                <w:b/>
                <w:bCs/>
              </w:rPr>
              <w:t>Point 3.3</w:t>
            </w:r>
          </w:p>
          <w:p w:rsidRPr="00A622C0" w:rsidR="00E70DD6" w:rsidP="00854690" w:rsidRDefault="00E70DD6" w14:paraId="0AFF5719" w14:textId="77777777">
            <w:pPr>
              <w:rPr>
                <w:b/>
                <w:bCs/>
              </w:rPr>
            </w:pPr>
          </w:p>
          <w:p w:rsidRPr="00A622C0" w:rsidR="00E70DD6" w:rsidP="00854690" w:rsidRDefault="00E70DD6" w14:paraId="00BD1B93" w14:textId="77777777">
            <w:pPr>
              <w:rPr>
                <w:b/>
                <w:bCs/>
              </w:rPr>
            </w:pPr>
            <w:r w:rsidRPr="00A622C0">
              <w:rPr>
                <w:b/>
                <w:bCs/>
              </w:rPr>
              <w:t>Amend as follows</w:t>
            </w:r>
          </w:p>
        </w:tc>
        <w:tc>
          <w:tcPr>
            <w:tcW w:w="2174" w:type="pct"/>
            <w:hideMark/>
          </w:tcPr>
          <w:p w:rsidRPr="00A622C0" w:rsidR="00E70DD6" w:rsidP="00854690" w:rsidRDefault="00E70DD6" w14:paraId="71D7806F" w14:textId="77777777">
            <w:pPr>
              <w:jc w:val="left"/>
              <w:rPr>
                <w:b/>
                <w:bCs/>
              </w:rPr>
            </w:pPr>
            <w:r w:rsidRPr="00A622C0">
              <w:rPr>
                <w:b/>
                <w:bCs/>
              </w:rPr>
              <w:t>Tabled by:</w:t>
            </w:r>
          </w:p>
          <w:p w:rsidRPr="00A622C0" w:rsidR="00E70DD6" w:rsidP="00854690" w:rsidRDefault="00E70DD6" w14:paraId="73671EB4" w14:textId="77777777">
            <w:pPr>
              <w:jc w:val="left"/>
            </w:pPr>
            <w:r w:rsidRPr="00A622C0">
              <w:t>BERCEA Florin</w:t>
            </w:r>
          </w:p>
          <w:p w:rsidRPr="00A622C0" w:rsidR="00E70DD6" w:rsidP="00854690" w:rsidRDefault="00E70DD6" w14:paraId="5611D8D9" w14:textId="77777777">
            <w:pPr>
              <w:jc w:val="left"/>
            </w:pPr>
            <w:r w:rsidRPr="00A622C0">
              <w:t>BUZEK Tanja</w:t>
            </w:r>
          </w:p>
          <w:p w:rsidRPr="00A622C0" w:rsidR="00E70DD6" w:rsidP="00854690" w:rsidRDefault="00E70DD6" w14:paraId="05B8E79C" w14:textId="77777777">
            <w:pPr>
              <w:jc w:val="left"/>
            </w:pPr>
            <w:r w:rsidRPr="00A622C0">
              <w:t>CAÑO AGUILAR Isabel</w:t>
            </w:r>
          </w:p>
          <w:p w:rsidRPr="00A622C0" w:rsidR="00E70DD6" w:rsidP="00854690" w:rsidRDefault="00E70DD6" w14:paraId="2199F8EE" w14:textId="77777777">
            <w:pPr>
              <w:jc w:val="left"/>
            </w:pPr>
            <w:r w:rsidRPr="00A622C0">
              <w:t>CHARRY Philippe</w:t>
            </w:r>
          </w:p>
          <w:p w:rsidRPr="00A622C0" w:rsidR="00E70DD6" w:rsidP="00854690" w:rsidRDefault="00E70DD6" w14:paraId="2AEF9136" w14:textId="77777777">
            <w:pPr>
              <w:jc w:val="left"/>
            </w:pPr>
            <w:r w:rsidRPr="00A622C0">
              <w:t>DIRX Jan</w:t>
            </w:r>
          </w:p>
          <w:p w:rsidRPr="00A622C0" w:rsidR="00E70DD6" w:rsidP="00854690" w:rsidRDefault="00E70DD6" w14:paraId="43A29AC9" w14:textId="77777777">
            <w:pPr>
              <w:jc w:val="left"/>
            </w:pPr>
            <w:r w:rsidRPr="00A622C0">
              <w:t>DUTTO Diego</w:t>
            </w:r>
          </w:p>
          <w:p w:rsidRPr="00A622C0" w:rsidR="00E70DD6" w:rsidP="00854690" w:rsidRDefault="00E70DD6" w14:paraId="5018E683" w14:textId="77777777">
            <w:pPr>
              <w:jc w:val="left"/>
            </w:pPr>
            <w:r w:rsidRPr="00A622C0">
              <w:t>FELSZEGHI Sára</w:t>
            </w:r>
          </w:p>
          <w:p w:rsidRPr="00A622C0" w:rsidR="00E70DD6" w:rsidP="00854690" w:rsidRDefault="00E70DD6" w14:paraId="66501318" w14:textId="77777777">
            <w:pPr>
              <w:jc w:val="left"/>
            </w:pPr>
            <w:r w:rsidRPr="00A622C0">
              <w:t>HAJNOŠ Miroslav</w:t>
            </w:r>
          </w:p>
          <w:p w:rsidRPr="00A622C0" w:rsidR="00E70DD6" w:rsidP="00854690" w:rsidRDefault="00E70DD6" w14:paraId="28F961F4" w14:textId="77777777">
            <w:pPr>
              <w:jc w:val="left"/>
            </w:pPr>
            <w:r w:rsidRPr="00A622C0">
              <w:t>KOLBE Rudolf</w:t>
            </w:r>
          </w:p>
          <w:p w:rsidRPr="00A622C0" w:rsidR="00E70DD6" w:rsidP="00854690" w:rsidRDefault="00E70DD6" w14:paraId="022F8624" w14:textId="77777777">
            <w:pPr>
              <w:jc w:val="left"/>
            </w:pPr>
            <w:r w:rsidRPr="00A622C0">
              <w:t>KOLYVAS Ioannis</w:t>
            </w:r>
          </w:p>
          <w:p w:rsidRPr="00A622C0" w:rsidR="00E70DD6" w:rsidP="00854690" w:rsidRDefault="00E70DD6" w14:paraId="7439C4E7" w14:textId="77777777">
            <w:pPr>
              <w:jc w:val="left"/>
            </w:pPr>
            <w:r w:rsidRPr="00A622C0">
              <w:t>MURAFA BENGA Corina</w:t>
            </w:r>
          </w:p>
          <w:p w:rsidRPr="001521BB" w:rsidR="00E70DD6" w:rsidP="00854690" w:rsidRDefault="00E70DD6" w14:paraId="6743CA1A" w14:textId="77777777">
            <w:pPr>
              <w:jc w:val="left"/>
              <w:rPr>
                <w:lang w:val="pt-PT"/>
              </w:rPr>
            </w:pPr>
            <w:r w:rsidRPr="001521BB">
              <w:rPr>
                <w:lang w:val="pt-PT"/>
              </w:rPr>
              <w:t>NIKOLOPOULOU Maria</w:t>
            </w:r>
          </w:p>
          <w:p w:rsidRPr="001521BB" w:rsidR="00E70DD6" w:rsidP="00854690" w:rsidRDefault="00E70DD6" w14:paraId="2EAD45DA" w14:textId="77777777">
            <w:pPr>
              <w:jc w:val="left"/>
              <w:rPr>
                <w:lang w:val="pt-PT"/>
              </w:rPr>
            </w:pPr>
            <w:r w:rsidRPr="001521BB">
              <w:rPr>
                <w:lang w:val="pt-PT"/>
              </w:rPr>
              <w:t>PAGLIARA Angelo</w:t>
            </w:r>
          </w:p>
          <w:p w:rsidRPr="001521BB" w:rsidR="00E70DD6" w:rsidP="00854690" w:rsidRDefault="00E70DD6" w14:paraId="485D8015" w14:textId="77777777">
            <w:pPr>
              <w:jc w:val="left"/>
              <w:rPr>
                <w:lang w:val="pt-PT"/>
              </w:rPr>
            </w:pPr>
            <w:r w:rsidRPr="001521BB">
              <w:rPr>
                <w:lang w:val="pt-PT"/>
              </w:rPr>
              <w:t>QUAREZ Christophe</w:t>
            </w:r>
          </w:p>
          <w:p w:rsidRPr="001521BB" w:rsidR="00E70DD6" w:rsidP="00854690" w:rsidRDefault="00E70DD6" w14:paraId="46076ED5" w14:textId="77777777">
            <w:pPr>
              <w:jc w:val="left"/>
              <w:rPr>
                <w:lang w:val="de-DE"/>
              </w:rPr>
            </w:pPr>
            <w:r w:rsidRPr="001521BB">
              <w:rPr>
                <w:lang w:val="de-DE"/>
              </w:rPr>
              <w:t>RIBBE Lutz</w:t>
            </w:r>
          </w:p>
          <w:p w:rsidRPr="001521BB" w:rsidR="00E70DD6" w:rsidP="00854690" w:rsidRDefault="00E70DD6" w14:paraId="2633CCFA" w14:textId="77777777">
            <w:pPr>
              <w:jc w:val="left"/>
              <w:rPr>
                <w:lang w:val="de-DE"/>
              </w:rPr>
            </w:pPr>
            <w:r w:rsidRPr="001521BB">
              <w:rPr>
                <w:lang w:val="de-DE"/>
              </w:rPr>
              <w:t>SCHAFFENRATH Martin</w:t>
            </w:r>
          </w:p>
          <w:p w:rsidRPr="001521BB" w:rsidR="00E70DD6" w:rsidP="00854690" w:rsidRDefault="00E70DD6" w14:paraId="2C4B665E" w14:textId="77777777">
            <w:pPr>
              <w:jc w:val="left"/>
              <w:rPr>
                <w:lang w:val="de-DE"/>
              </w:rPr>
            </w:pPr>
            <w:r w:rsidRPr="001521BB">
              <w:rPr>
                <w:lang w:val="de-DE"/>
              </w:rPr>
              <w:t>SCHMIDT Peter</w:t>
            </w:r>
          </w:p>
          <w:p w:rsidRPr="00A622C0" w:rsidR="00E70DD6" w:rsidP="00854690" w:rsidRDefault="00E70DD6" w14:paraId="63A2EBEE" w14:textId="77777777">
            <w:pPr>
              <w:jc w:val="left"/>
            </w:pPr>
            <w:r w:rsidRPr="00A622C0">
              <w:t>VORBACH Judith</w:t>
            </w:r>
          </w:p>
          <w:p w:rsidRPr="00A622C0" w:rsidR="00E70DD6" w:rsidP="00854690" w:rsidRDefault="00E70DD6" w14:paraId="7C41E3BF" w14:textId="77777777">
            <w:pPr>
              <w:jc w:val="left"/>
            </w:pPr>
            <w:r w:rsidRPr="00A622C0">
              <w:t>WAGENER Marco</w:t>
            </w:r>
          </w:p>
          <w:p w:rsidRPr="00A622C0" w:rsidR="00E70DD6" w:rsidP="00854690" w:rsidRDefault="00E70DD6" w14:paraId="06CB11DF" w14:textId="77777777"/>
        </w:tc>
      </w:tr>
    </w:tbl>
    <w:p w:rsidRPr="00A622C0" w:rsidR="00E70DD6" w:rsidP="00E70DD6" w:rsidRDefault="00E70DD6" w14:paraId="454BB552"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A622C0" w:rsidR="00E70DD6" w:rsidTr="00854690" w14:paraId="2C6E4BB1" w14:textId="77777777">
        <w:tc>
          <w:tcPr>
            <w:tcW w:w="2500" w:type="pct"/>
            <w:tcBorders>
              <w:top w:val="single" w:color="auto" w:sz="4" w:space="0"/>
              <w:left w:val="single" w:color="auto" w:sz="4" w:space="0"/>
              <w:bottom w:val="single" w:color="auto" w:sz="4" w:space="0"/>
              <w:right w:val="single" w:color="auto" w:sz="4" w:space="0"/>
            </w:tcBorders>
            <w:hideMark/>
          </w:tcPr>
          <w:p w:rsidRPr="00A622C0" w:rsidR="00E70DD6" w:rsidP="00854690" w:rsidRDefault="00E70DD6" w14:paraId="0477E7C7" w14:textId="77777777">
            <w:pPr>
              <w:jc w:val="center"/>
              <w:rPr>
                <w:b/>
                <w:bCs/>
                <w:i/>
              </w:rPr>
            </w:pPr>
            <w:r w:rsidRPr="00A622C0">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A622C0" w:rsidR="00E70DD6" w:rsidP="00854690" w:rsidRDefault="00E70DD6" w14:paraId="070380BB" w14:textId="77777777">
            <w:pPr>
              <w:jc w:val="center"/>
              <w:rPr>
                <w:b/>
                <w:bCs/>
                <w:i/>
              </w:rPr>
            </w:pPr>
            <w:r w:rsidRPr="00A622C0">
              <w:rPr>
                <w:b/>
                <w:bCs/>
                <w:i/>
              </w:rPr>
              <w:t>Amendment</w:t>
            </w:r>
          </w:p>
        </w:tc>
      </w:tr>
      <w:tr w:rsidRPr="00A622C0" w:rsidR="00E70DD6" w:rsidTr="00854690" w14:paraId="3375D421" w14:textId="77777777">
        <w:tc>
          <w:tcPr>
            <w:tcW w:w="2500" w:type="pct"/>
            <w:tcBorders>
              <w:top w:val="single" w:color="auto" w:sz="4" w:space="0"/>
              <w:left w:val="single" w:color="auto" w:sz="4" w:space="0"/>
              <w:bottom w:val="single" w:color="auto" w:sz="4" w:space="0"/>
              <w:right w:val="single" w:color="auto" w:sz="4" w:space="0"/>
            </w:tcBorders>
            <w:hideMark/>
          </w:tcPr>
          <w:p w:rsidRPr="00A622C0" w:rsidR="00E70DD6" w:rsidP="00854690" w:rsidRDefault="00E70DD6" w14:paraId="1E5AA343" w14:textId="77777777">
            <w:pPr>
              <w:spacing w:before="80" w:after="80"/>
              <w:ind w:left="80" w:right="80"/>
            </w:pPr>
            <w:r w:rsidRPr="00A622C0">
              <w:t>Taking a profit-driven approach to SGEIs without sufficient regulations and monitoring often increases vulnerability to crises and reduces management options. There should therefore be a stronger focus on the common good and public benefit. Adequate funding and investment of SGIs are key.</w:t>
            </w:r>
            <w:r w:rsidRPr="00A622C0">
              <w:rPr>
                <w:b/>
                <w:bCs/>
                <w:i/>
              </w:rPr>
              <w:t xml:space="preserve"> Therefore</w:t>
            </w:r>
            <w:r w:rsidRPr="00A622C0">
              <w:t xml:space="preserve">, the EESC </w:t>
            </w:r>
            <w:r w:rsidRPr="00A622C0">
              <w:rPr>
                <w:b/>
                <w:bCs/>
                <w:i/>
              </w:rPr>
              <w:t>believes that</w:t>
            </w:r>
            <w:r w:rsidRPr="00A622C0">
              <w:t xml:space="preserve"> public investment </w:t>
            </w:r>
            <w:r w:rsidRPr="00A622C0">
              <w:rPr>
                <w:b/>
                <w:bCs/>
                <w:i/>
              </w:rPr>
              <w:t>in SGIs</w:t>
            </w:r>
            <w:r w:rsidRPr="00A622C0">
              <w:t xml:space="preserve"> and </w:t>
            </w:r>
            <w:r w:rsidRPr="00A622C0">
              <w:rPr>
                <w:b/>
                <w:bCs/>
                <w:i/>
              </w:rPr>
              <w:t>SGEIs might challenge</w:t>
            </w:r>
            <w:r w:rsidRPr="00A622C0">
              <w:t xml:space="preserve"> the </w:t>
            </w:r>
            <w:r w:rsidRPr="00A622C0">
              <w:rPr>
                <w:b/>
                <w:bCs/>
                <w:i/>
              </w:rPr>
              <w:t>fiscal rules under</w:t>
            </w:r>
            <w:r w:rsidRPr="00A622C0">
              <w:t xml:space="preserve"> the </w:t>
            </w:r>
            <w:r w:rsidRPr="00A622C0">
              <w:rPr>
                <w:b/>
                <w:bCs/>
                <w:i/>
              </w:rPr>
              <w:t>Stability</w:t>
            </w:r>
            <w:r w:rsidRPr="00A622C0">
              <w:t xml:space="preserve"> and </w:t>
            </w:r>
            <w:r w:rsidRPr="00A622C0">
              <w:rPr>
                <w:b/>
                <w:bCs/>
                <w:i/>
              </w:rPr>
              <w:t>Growth Pact</w:t>
            </w:r>
            <w:r w:rsidRPr="00A622C0">
              <w:t>.</w:t>
            </w:r>
          </w:p>
        </w:tc>
        <w:tc>
          <w:tcPr>
            <w:tcW w:w="2500" w:type="pct"/>
            <w:tcBorders>
              <w:top w:val="single" w:color="auto" w:sz="4" w:space="0"/>
              <w:left w:val="single" w:color="auto" w:sz="4" w:space="0"/>
              <w:bottom w:val="single" w:color="auto" w:sz="4" w:space="0"/>
              <w:right w:val="single" w:color="auto" w:sz="4" w:space="0"/>
            </w:tcBorders>
            <w:hideMark/>
          </w:tcPr>
          <w:p w:rsidRPr="00A622C0" w:rsidR="00E70DD6" w:rsidP="00854690" w:rsidRDefault="00E70DD6" w14:paraId="163612A4" w14:textId="77777777">
            <w:pPr>
              <w:spacing w:before="80" w:after="80"/>
              <w:ind w:left="80" w:right="80"/>
            </w:pPr>
            <w:r w:rsidRPr="00A622C0">
              <w:t>Taking a profit-driven approach to SGEIs without sufficient regulations and monitoring often increases vulnerability to crises and reduces management options. There should therefore be a stronger focus on the common good and public benefit. Adequate funding and investment of SGIs are key.</w:t>
            </w:r>
            <w:r w:rsidRPr="00A622C0">
              <w:rPr>
                <w:b/>
                <w:bCs/>
                <w:i/>
              </w:rPr>
              <w:t xml:space="preserve"> In the face of growing threats, the EU must pursue security, peace, the rule of law, human rights and social progress through a comprehensive security policy. As a first step</w:t>
            </w:r>
            <w:r w:rsidRPr="00A622C0">
              <w:t xml:space="preserve">, the EESC </w:t>
            </w:r>
            <w:r w:rsidRPr="00A622C0">
              <w:rPr>
                <w:b/>
                <w:bCs/>
                <w:i/>
              </w:rPr>
              <w:t>supports the Commission</w:t>
            </w:r>
            <w:r w:rsidRPr="00A622C0">
              <w:rPr>
                <w:b/>
                <w:bCs/>
                <w:i/>
                <w:iCs/>
              </w:rPr>
              <w:t>’</w:t>
            </w:r>
            <w:r w:rsidRPr="00A622C0">
              <w:rPr>
                <w:b/>
                <w:bCs/>
                <w:i/>
              </w:rPr>
              <w:t>s efforts to make the EU</w:t>
            </w:r>
            <w:r w:rsidRPr="00A622C0">
              <w:rPr>
                <w:b/>
                <w:bCs/>
                <w:i/>
                <w:iCs/>
              </w:rPr>
              <w:t>’</w:t>
            </w:r>
            <w:r w:rsidRPr="00A622C0">
              <w:rPr>
                <w:b/>
                <w:bCs/>
                <w:i/>
              </w:rPr>
              <w:t>s budgetary framework more flexible in this context. The EESC advocates applying this rule in a broader approach to security and defence measures as well as SGI in order to prioritise growth-oriented</w:t>
            </w:r>
            <w:r w:rsidRPr="00A622C0">
              <w:t xml:space="preserve"> public investment and </w:t>
            </w:r>
            <w:r w:rsidRPr="00A622C0">
              <w:rPr>
                <w:b/>
                <w:bCs/>
                <w:i/>
              </w:rPr>
              <w:t>to avoid a trade-off between defence and social spending. Given</w:t>
            </w:r>
            <w:r w:rsidRPr="00A622C0">
              <w:t xml:space="preserve"> the </w:t>
            </w:r>
            <w:r w:rsidRPr="00A622C0">
              <w:rPr>
                <w:b/>
                <w:bCs/>
                <w:i/>
              </w:rPr>
              <w:t>economic downturn in</w:t>
            </w:r>
            <w:r w:rsidRPr="00A622C0">
              <w:t xml:space="preserve"> the </w:t>
            </w:r>
            <w:r w:rsidRPr="00A622C0">
              <w:rPr>
                <w:b/>
                <w:bCs/>
                <w:i/>
              </w:rPr>
              <w:t>euro area as well as in the Union as a whole, flexibility is necessary to safeguard productivity</w:t>
            </w:r>
            <w:r w:rsidRPr="00A622C0">
              <w:t xml:space="preserve"> and </w:t>
            </w:r>
            <w:r w:rsidRPr="00A622C0">
              <w:rPr>
                <w:b/>
                <w:bCs/>
                <w:i/>
              </w:rPr>
              <w:t>the social and environmental foundations for the well-being of future generations, while at the same time ensuring fiscal sustainability</w:t>
            </w:r>
            <w:r w:rsidRPr="00A622C0">
              <w:t>.</w:t>
            </w:r>
          </w:p>
        </w:tc>
      </w:tr>
    </w:tbl>
    <w:p w:rsidR="00E70DD6" w:rsidP="0033272E" w:rsidRDefault="00E70DD6" w14:paraId="1BF08DF1" w14:textId="77777777"/>
    <w:p w:rsidR="0033272E" w:rsidP="0033272E" w:rsidRDefault="0055372E" w14:paraId="0D6C3A4D" w14:textId="3F041D9B">
      <w:r w:rsidRPr="00395758">
        <w:t>i</w:t>
      </w:r>
      <w:r w:rsidRPr="00395758" w:rsidR="0033272E">
        <w:t>s accepted by the Assembly.</w:t>
      </w:r>
    </w:p>
    <w:p w:rsidR="0033272E" w:rsidP="0033272E" w:rsidRDefault="0033272E" w14:paraId="0C0545B6" w14:textId="7E72696D"/>
    <w:tbl>
      <w:tblPr>
        <w:tblW w:w="5001" w:type="pct"/>
        <w:tblBorders>
          <w:top w:val="nil"/>
          <w:left w:val="nil"/>
          <w:bottom w:val="nil"/>
          <w:right w:val="nil"/>
          <w:insideH w:val="nil"/>
          <w:insideV w:val="nil"/>
        </w:tblBorders>
        <w:tblLook w:val="01E0" w:firstRow="1" w:lastRow="1" w:firstColumn="1" w:lastColumn="1" w:noHBand="0" w:noVBand="0"/>
      </w:tblPr>
      <w:tblGrid>
        <w:gridCol w:w="5129"/>
        <w:gridCol w:w="3946"/>
      </w:tblGrid>
      <w:tr w:rsidRPr="00A622C0" w:rsidR="00E70DD6" w:rsidTr="00854690" w14:paraId="3ED64A29" w14:textId="77777777">
        <w:tc>
          <w:tcPr>
            <w:tcW w:w="2826" w:type="pct"/>
          </w:tcPr>
          <w:p w:rsidRPr="00A622C0" w:rsidR="00E70DD6" w:rsidP="00854690" w:rsidRDefault="00E70DD6" w14:paraId="73A0C714" w14:textId="77777777">
            <w:pPr>
              <w:rPr>
                <w:b/>
                <w:bCs/>
                <w:sz w:val="32"/>
                <w:szCs w:val="32"/>
              </w:rPr>
            </w:pPr>
            <w:r w:rsidRPr="00A622C0">
              <w:rPr>
                <w:b/>
                <w:bCs/>
                <w:sz w:val="32"/>
                <w:szCs w:val="32"/>
              </w:rPr>
              <w:t>AMENDMENT 1</w:t>
            </w:r>
          </w:p>
          <w:p w:rsidRPr="00A622C0" w:rsidR="00E70DD6" w:rsidP="00854690" w:rsidRDefault="00E70DD6" w14:paraId="7A0238C8" w14:textId="77777777">
            <w:pPr>
              <w:rPr>
                <w:b/>
                <w:bCs/>
              </w:rPr>
            </w:pPr>
          </w:p>
          <w:p w:rsidRPr="00A622C0" w:rsidR="00E70DD6" w:rsidP="00854690" w:rsidRDefault="00E70DD6" w14:paraId="42494DDD" w14:textId="77777777">
            <w:pPr>
              <w:rPr>
                <w:b/>
                <w:bCs/>
              </w:rPr>
            </w:pPr>
            <w:r w:rsidRPr="00A622C0">
              <w:rPr>
                <w:b/>
                <w:bCs/>
              </w:rPr>
              <w:t>TEN/846</w:t>
            </w:r>
          </w:p>
          <w:p w:rsidRPr="00A622C0" w:rsidR="00E70DD6" w:rsidP="00854690" w:rsidRDefault="00E70DD6" w14:paraId="113CDED8" w14:textId="77777777">
            <w:pPr>
              <w:rPr>
                <w:b/>
                <w:bCs/>
              </w:rPr>
            </w:pPr>
            <w:r w:rsidRPr="00A622C0">
              <w:rPr>
                <w:b/>
              </w:rPr>
              <w:t xml:space="preserve">Price hikes in transport, energy and housing: </w:t>
            </w:r>
            <w:r w:rsidRPr="00A622C0">
              <w:rPr>
                <w:b/>
                <w:bCs/>
              </w:rPr>
              <w:t>The role of quality public services in tackling the high cost of living</w:t>
            </w:r>
          </w:p>
          <w:p w:rsidRPr="00A622C0" w:rsidR="00E70DD6" w:rsidP="00854690" w:rsidRDefault="00E70DD6" w14:paraId="673DC9DA" w14:textId="77777777">
            <w:pPr>
              <w:rPr>
                <w:b/>
                <w:bCs/>
              </w:rPr>
            </w:pPr>
          </w:p>
          <w:p w:rsidRPr="00A622C0" w:rsidR="00E70DD6" w:rsidP="00854690" w:rsidRDefault="00E70DD6" w14:paraId="487591AD" w14:textId="77777777">
            <w:pPr>
              <w:rPr>
                <w:b/>
                <w:bCs/>
              </w:rPr>
            </w:pPr>
            <w:r w:rsidRPr="00A622C0">
              <w:rPr>
                <w:b/>
                <w:bCs/>
              </w:rPr>
              <w:t>Point 1.3</w:t>
            </w:r>
          </w:p>
          <w:p w:rsidRPr="00A622C0" w:rsidR="00E70DD6" w:rsidP="00854690" w:rsidRDefault="00E70DD6" w14:paraId="61627FC0" w14:textId="77777777">
            <w:pPr>
              <w:rPr>
                <w:b/>
                <w:bCs/>
              </w:rPr>
            </w:pPr>
          </w:p>
          <w:p w:rsidRPr="00A622C0" w:rsidR="00E70DD6" w:rsidP="00854690" w:rsidRDefault="00E70DD6" w14:paraId="1ACBC3CA" w14:textId="77777777">
            <w:pPr>
              <w:rPr>
                <w:b/>
                <w:bCs/>
              </w:rPr>
            </w:pPr>
            <w:r w:rsidRPr="00A622C0">
              <w:rPr>
                <w:b/>
                <w:bCs/>
              </w:rPr>
              <w:t>Amend as follows</w:t>
            </w:r>
          </w:p>
        </w:tc>
        <w:tc>
          <w:tcPr>
            <w:tcW w:w="2174" w:type="pct"/>
            <w:hideMark/>
          </w:tcPr>
          <w:p w:rsidRPr="00A622C0" w:rsidR="00E70DD6" w:rsidP="00854690" w:rsidRDefault="00E70DD6" w14:paraId="1622EA76" w14:textId="77777777">
            <w:pPr>
              <w:jc w:val="left"/>
              <w:rPr>
                <w:b/>
                <w:bCs/>
              </w:rPr>
            </w:pPr>
            <w:r w:rsidRPr="00A622C0">
              <w:rPr>
                <w:b/>
                <w:bCs/>
              </w:rPr>
              <w:t>Tabled by:</w:t>
            </w:r>
          </w:p>
          <w:p w:rsidRPr="00A622C0" w:rsidR="00E70DD6" w:rsidP="00854690" w:rsidRDefault="00E70DD6" w14:paraId="54896EAF" w14:textId="77777777">
            <w:pPr>
              <w:jc w:val="left"/>
            </w:pPr>
            <w:r w:rsidRPr="00A622C0">
              <w:t>BERCEA Florin</w:t>
            </w:r>
          </w:p>
          <w:p w:rsidRPr="00A622C0" w:rsidR="00E70DD6" w:rsidP="00854690" w:rsidRDefault="00E70DD6" w14:paraId="376803CB" w14:textId="77777777">
            <w:pPr>
              <w:jc w:val="left"/>
            </w:pPr>
            <w:r w:rsidRPr="00A622C0">
              <w:t>BUZEK Tanja</w:t>
            </w:r>
          </w:p>
          <w:p w:rsidRPr="00A622C0" w:rsidR="00E70DD6" w:rsidP="00854690" w:rsidRDefault="00E70DD6" w14:paraId="2C6662E1" w14:textId="77777777">
            <w:pPr>
              <w:jc w:val="left"/>
            </w:pPr>
            <w:r w:rsidRPr="00A622C0">
              <w:t>CAÑO AGUILAR Isabel</w:t>
            </w:r>
          </w:p>
          <w:p w:rsidRPr="00A622C0" w:rsidR="00E70DD6" w:rsidP="00854690" w:rsidRDefault="00E70DD6" w14:paraId="6EEC2D4C" w14:textId="77777777">
            <w:pPr>
              <w:jc w:val="left"/>
            </w:pPr>
            <w:r w:rsidRPr="00A622C0">
              <w:t>CHARRY Philippe</w:t>
            </w:r>
          </w:p>
          <w:p w:rsidRPr="00A622C0" w:rsidR="00E70DD6" w:rsidP="00854690" w:rsidRDefault="00E70DD6" w14:paraId="7592BB76" w14:textId="77777777">
            <w:pPr>
              <w:jc w:val="left"/>
            </w:pPr>
            <w:r w:rsidRPr="00A622C0">
              <w:t>DIRX Jan</w:t>
            </w:r>
          </w:p>
          <w:p w:rsidRPr="00A622C0" w:rsidR="00E70DD6" w:rsidP="00854690" w:rsidRDefault="00E70DD6" w14:paraId="192E8BA4" w14:textId="77777777">
            <w:pPr>
              <w:jc w:val="left"/>
            </w:pPr>
            <w:r w:rsidRPr="00A622C0">
              <w:t>DUTTO Diego</w:t>
            </w:r>
          </w:p>
          <w:p w:rsidRPr="00A622C0" w:rsidR="00E70DD6" w:rsidP="00854690" w:rsidRDefault="00E70DD6" w14:paraId="29AFCA1A" w14:textId="77777777">
            <w:pPr>
              <w:jc w:val="left"/>
            </w:pPr>
            <w:r w:rsidRPr="00A622C0">
              <w:t>FELSZEGHI Sára</w:t>
            </w:r>
          </w:p>
          <w:p w:rsidRPr="00A622C0" w:rsidR="00E70DD6" w:rsidP="00854690" w:rsidRDefault="00E70DD6" w14:paraId="57E911C6" w14:textId="77777777">
            <w:pPr>
              <w:jc w:val="left"/>
            </w:pPr>
            <w:r w:rsidRPr="00A622C0">
              <w:t>HAJNOŠ Miroslav</w:t>
            </w:r>
          </w:p>
          <w:p w:rsidRPr="00A622C0" w:rsidR="00E70DD6" w:rsidP="00854690" w:rsidRDefault="00E70DD6" w14:paraId="235BB9F7" w14:textId="77777777">
            <w:pPr>
              <w:jc w:val="left"/>
            </w:pPr>
            <w:r w:rsidRPr="00A622C0">
              <w:t>KOLBE Rudolf</w:t>
            </w:r>
          </w:p>
          <w:p w:rsidRPr="00A622C0" w:rsidR="00E70DD6" w:rsidP="00854690" w:rsidRDefault="00E70DD6" w14:paraId="10F9F4D3" w14:textId="77777777">
            <w:pPr>
              <w:jc w:val="left"/>
            </w:pPr>
            <w:r w:rsidRPr="00A622C0">
              <w:t>KOLYVAS Ioannis</w:t>
            </w:r>
          </w:p>
          <w:p w:rsidRPr="00A622C0" w:rsidR="00E70DD6" w:rsidP="00854690" w:rsidRDefault="00E70DD6" w14:paraId="6032100D" w14:textId="77777777">
            <w:pPr>
              <w:jc w:val="left"/>
            </w:pPr>
            <w:r w:rsidRPr="00A622C0">
              <w:t>MURAFA BENGA Corina</w:t>
            </w:r>
          </w:p>
          <w:p w:rsidRPr="001521BB" w:rsidR="00E70DD6" w:rsidP="00854690" w:rsidRDefault="00E70DD6" w14:paraId="7B9EB4E9" w14:textId="77777777">
            <w:pPr>
              <w:jc w:val="left"/>
              <w:rPr>
                <w:lang w:val="pt-PT"/>
              </w:rPr>
            </w:pPr>
            <w:r w:rsidRPr="001521BB">
              <w:rPr>
                <w:lang w:val="pt-PT"/>
              </w:rPr>
              <w:t>NIKOLOPOULOU Maria</w:t>
            </w:r>
          </w:p>
          <w:p w:rsidRPr="001521BB" w:rsidR="00E70DD6" w:rsidP="00854690" w:rsidRDefault="00E70DD6" w14:paraId="128F47F5" w14:textId="77777777">
            <w:pPr>
              <w:jc w:val="left"/>
              <w:rPr>
                <w:lang w:val="pt-PT"/>
              </w:rPr>
            </w:pPr>
            <w:r w:rsidRPr="001521BB">
              <w:rPr>
                <w:lang w:val="pt-PT"/>
              </w:rPr>
              <w:t>PAGLIARA Angelo</w:t>
            </w:r>
          </w:p>
          <w:p w:rsidRPr="001521BB" w:rsidR="00E70DD6" w:rsidP="00854690" w:rsidRDefault="00E70DD6" w14:paraId="1DC8387B" w14:textId="77777777">
            <w:pPr>
              <w:jc w:val="left"/>
              <w:rPr>
                <w:lang w:val="pt-PT"/>
              </w:rPr>
            </w:pPr>
            <w:r w:rsidRPr="001521BB">
              <w:rPr>
                <w:lang w:val="pt-PT"/>
              </w:rPr>
              <w:t>QUAREZ Christophe</w:t>
            </w:r>
          </w:p>
          <w:p w:rsidRPr="001521BB" w:rsidR="00E70DD6" w:rsidP="00854690" w:rsidRDefault="00E70DD6" w14:paraId="252B7C2F" w14:textId="77777777">
            <w:pPr>
              <w:jc w:val="left"/>
              <w:rPr>
                <w:lang w:val="de-DE"/>
              </w:rPr>
            </w:pPr>
            <w:r w:rsidRPr="001521BB">
              <w:rPr>
                <w:lang w:val="de-DE"/>
              </w:rPr>
              <w:t>RIBBE Lutz</w:t>
            </w:r>
          </w:p>
          <w:p w:rsidRPr="001521BB" w:rsidR="00E70DD6" w:rsidP="00854690" w:rsidRDefault="00E70DD6" w14:paraId="1047E514" w14:textId="77777777">
            <w:pPr>
              <w:jc w:val="left"/>
              <w:rPr>
                <w:lang w:val="de-DE"/>
              </w:rPr>
            </w:pPr>
            <w:r w:rsidRPr="001521BB">
              <w:rPr>
                <w:lang w:val="de-DE"/>
              </w:rPr>
              <w:t>SCHAFFENRATH Martin</w:t>
            </w:r>
          </w:p>
          <w:p w:rsidRPr="001521BB" w:rsidR="00E70DD6" w:rsidP="00854690" w:rsidRDefault="00E70DD6" w14:paraId="312BE71D" w14:textId="77777777">
            <w:pPr>
              <w:jc w:val="left"/>
              <w:rPr>
                <w:lang w:val="de-DE"/>
              </w:rPr>
            </w:pPr>
            <w:r w:rsidRPr="001521BB">
              <w:rPr>
                <w:lang w:val="de-DE"/>
              </w:rPr>
              <w:t>SCHMIDT Peter</w:t>
            </w:r>
          </w:p>
          <w:p w:rsidRPr="00A622C0" w:rsidR="00E70DD6" w:rsidP="00854690" w:rsidRDefault="00E70DD6" w14:paraId="7C4E1BDF" w14:textId="77777777">
            <w:pPr>
              <w:jc w:val="left"/>
            </w:pPr>
            <w:r w:rsidRPr="00A622C0">
              <w:t>VORBACH Judith</w:t>
            </w:r>
          </w:p>
          <w:p w:rsidRPr="00A622C0" w:rsidR="00E70DD6" w:rsidP="00854690" w:rsidRDefault="00E70DD6" w14:paraId="5B904022" w14:textId="77777777">
            <w:pPr>
              <w:jc w:val="left"/>
            </w:pPr>
            <w:r w:rsidRPr="00A622C0">
              <w:t>WAGENER Marco</w:t>
            </w:r>
          </w:p>
          <w:p w:rsidRPr="00A622C0" w:rsidR="00E70DD6" w:rsidP="00854690" w:rsidRDefault="00E70DD6" w14:paraId="47F93796" w14:textId="77777777"/>
        </w:tc>
      </w:tr>
    </w:tbl>
    <w:p w:rsidRPr="00A622C0" w:rsidR="00E70DD6" w:rsidP="00E70DD6" w:rsidRDefault="00E70DD6" w14:paraId="3DE7EA7A" w14:textId="77777777">
      <w:pPr>
        <w:jc w:val="center"/>
      </w:pPr>
    </w:p>
    <w:tbl>
      <w:tblPr>
        <w:tblStyle w:val="TableGrid1"/>
        <w:tblW w:w="5000" w:type="pct"/>
        <w:tblLayout w:type="fixed"/>
        <w:tblCellMar>
          <w:left w:w="115" w:type="dxa"/>
          <w:right w:w="115" w:type="dxa"/>
        </w:tblCellMar>
        <w:tblLook w:val="01E0" w:firstRow="1" w:lastRow="1" w:firstColumn="1" w:lastColumn="1" w:noHBand="0" w:noVBand="0"/>
      </w:tblPr>
      <w:tblGrid>
        <w:gridCol w:w="4531"/>
        <w:gridCol w:w="4532"/>
      </w:tblGrid>
      <w:tr w:rsidRPr="00A622C0" w:rsidR="00E70DD6" w:rsidTr="00854690" w14:paraId="6AFC39A1" w14:textId="77777777">
        <w:tc>
          <w:tcPr>
            <w:tcW w:w="2500" w:type="pct"/>
            <w:tcBorders>
              <w:top w:val="single" w:color="auto" w:sz="4" w:space="0"/>
              <w:left w:val="single" w:color="auto" w:sz="4" w:space="0"/>
              <w:bottom w:val="single" w:color="auto" w:sz="4" w:space="0"/>
              <w:right w:val="single" w:color="auto" w:sz="4" w:space="0"/>
            </w:tcBorders>
            <w:hideMark/>
          </w:tcPr>
          <w:p w:rsidRPr="00A622C0" w:rsidR="00E70DD6" w:rsidP="00854690" w:rsidRDefault="00E70DD6" w14:paraId="051B0D29" w14:textId="77777777">
            <w:pPr>
              <w:jc w:val="center"/>
              <w:rPr>
                <w:b/>
                <w:bCs/>
                <w:i/>
              </w:rPr>
            </w:pPr>
            <w:r w:rsidRPr="00A622C0">
              <w:rPr>
                <w:b/>
                <w:bCs/>
                <w:i/>
              </w:rPr>
              <w:t>Section opinion</w:t>
            </w:r>
          </w:p>
        </w:tc>
        <w:tc>
          <w:tcPr>
            <w:tcW w:w="2500" w:type="pct"/>
            <w:tcBorders>
              <w:top w:val="single" w:color="auto" w:sz="4" w:space="0"/>
              <w:left w:val="single" w:color="auto" w:sz="4" w:space="0"/>
              <w:bottom w:val="single" w:color="auto" w:sz="4" w:space="0"/>
              <w:right w:val="single" w:color="auto" w:sz="4" w:space="0"/>
            </w:tcBorders>
            <w:hideMark/>
          </w:tcPr>
          <w:p w:rsidRPr="00A622C0" w:rsidR="00E70DD6" w:rsidP="00854690" w:rsidRDefault="00E70DD6" w14:paraId="79D49244" w14:textId="77777777">
            <w:pPr>
              <w:jc w:val="center"/>
              <w:rPr>
                <w:b/>
                <w:bCs/>
                <w:i/>
              </w:rPr>
            </w:pPr>
            <w:r w:rsidRPr="00A622C0">
              <w:rPr>
                <w:b/>
                <w:bCs/>
                <w:i/>
              </w:rPr>
              <w:t>Amendment</w:t>
            </w:r>
          </w:p>
        </w:tc>
      </w:tr>
      <w:tr w:rsidRPr="00A622C0" w:rsidR="00E70DD6" w:rsidTr="00854690" w14:paraId="0CD60257" w14:textId="77777777">
        <w:tc>
          <w:tcPr>
            <w:tcW w:w="2500" w:type="pct"/>
            <w:tcBorders>
              <w:top w:val="single" w:color="auto" w:sz="4" w:space="0"/>
              <w:left w:val="single" w:color="auto" w:sz="4" w:space="0"/>
              <w:bottom w:val="single" w:color="auto" w:sz="4" w:space="0"/>
              <w:right w:val="single" w:color="auto" w:sz="4" w:space="0"/>
            </w:tcBorders>
            <w:hideMark/>
          </w:tcPr>
          <w:p w:rsidRPr="00A622C0" w:rsidR="00E70DD6" w:rsidP="00854690" w:rsidRDefault="00E70DD6" w14:paraId="693BCA4D" w14:textId="77777777">
            <w:pPr>
              <w:spacing w:before="80" w:after="80"/>
              <w:ind w:left="80" w:right="80"/>
            </w:pPr>
            <w:r w:rsidRPr="00A622C0">
              <w:rPr>
                <w:b/>
                <w:bCs/>
                <w:i/>
              </w:rPr>
              <w:t>The EESC advocates greater scope for long-term investment in social infrastructure and believes, in</w:t>
            </w:r>
            <w:r w:rsidRPr="00A622C0">
              <w:t xml:space="preserve"> the light of the recent dramatic geopolitical upheavals,</w:t>
            </w:r>
            <w:r w:rsidRPr="00A622C0">
              <w:rPr>
                <w:b/>
                <w:bCs/>
                <w:i/>
              </w:rPr>
              <w:t xml:space="preserve"> that</w:t>
            </w:r>
            <w:r w:rsidRPr="00A622C0">
              <w:t xml:space="preserve"> public investment </w:t>
            </w:r>
            <w:r w:rsidRPr="00A622C0">
              <w:rPr>
                <w:b/>
                <w:bCs/>
                <w:i/>
              </w:rPr>
              <w:t>in SGIs</w:t>
            </w:r>
            <w:r w:rsidRPr="00A622C0">
              <w:t xml:space="preserve"> and </w:t>
            </w:r>
            <w:r w:rsidRPr="00A622C0">
              <w:rPr>
                <w:b/>
                <w:bCs/>
                <w:i/>
              </w:rPr>
              <w:t>services of general economic interest (SGEIs) might challenge the debt rules set out in the fiscal rules under the Stability</w:t>
            </w:r>
            <w:r w:rsidRPr="00A622C0">
              <w:t xml:space="preserve"> and </w:t>
            </w:r>
            <w:r w:rsidRPr="00A622C0">
              <w:rPr>
                <w:b/>
                <w:bCs/>
                <w:i/>
              </w:rPr>
              <w:t>Growth Pact (SGP)</w:t>
            </w:r>
            <w:r w:rsidRPr="00A622C0">
              <w:t>. The reduction of fossil fuel subsidies can provide short-term support for vulnerable households and more durable solutions for decarbonised electricity and heating systems, renovations and access to affordable SGIs. The special rules for SGIs and SGEIs regarding state aid and public procurement must be thoroughly revised.</w:t>
            </w:r>
          </w:p>
        </w:tc>
        <w:tc>
          <w:tcPr>
            <w:tcW w:w="2500" w:type="pct"/>
            <w:tcBorders>
              <w:top w:val="single" w:color="auto" w:sz="4" w:space="0"/>
              <w:left w:val="single" w:color="auto" w:sz="4" w:space="0"/>
              <w:bottom w:val="single" w:color="auto" w:sz="4" w:space="0"/>
              <w:right w:val="single" w:color="auto" w:sz="4" w:space="0"/>
            </w:tcBorders>
            <w:hideMark/>
          </w:tcPr>
          <w:p w:rsidRPr="00A622C0" w:rsidR="00E70DD6" w:rsidP="00854690" w:rsidRDefault="00E70DD6" w14:paraId="35CCCCB5" w14:textId="77777777">
            <w:pPr>
              <w:spacing w:before="80" w:after="80"/>
              <w:ind w:left="80" w:right="80"/>
            </w:pPr>
            <w:r w:rsidRPr="00A622C0">
              <w:rPr>
                <w:b/>
                <w:bCs/>
                <w:i/>
              </w:rPr>
              <w:t>In</w:t>
            </w:r>
            <w:r w:rsidRPr="00A622C0">
              <w:t xml:space="preserve"> the light of the recent dramatic geopolitical upheavals </w:t>
            </w:r>
            <w:r w:rsidRPr="00A622C0">
              <w:rPr>
                <w:b/>
                <w:bCs/>
                <w:i/>
              </w:rPr>
              <w:t>the EESC welcomes the Commission</w:t>
            </w:r>
            <w:r w:rsidRPr="00A622C0">
              <w:rPr>
                <w:b/>
                <w:bCs/>
                <w:i/>
                <w:iCs/>
              </w:rPr>
              <w:t>’</w:t>
            </w:r>
            <w:r w:rsidRPr="00A622C0">
              <w:rPr>
                <w:b/>
                <w:bCs/>
                <w:i/>
              </w:rPr>
              <w:t>s efforts to make the EU</w:t>
            </w:r>
            <w:r w:rsidRPr="00A622C0">
              <w:rPr>
                <w:b/>
                <w:bCs/>
                <w:i/>
                <w:iCs/>
              </w:rPr>
              <w:t>’</w:t>
            </w:r>
            <w:r w:rsidRPr="00A622C0">
              <w:rPr>
                <w:b/>
                <w:bCs/>
                <w:i/>
              </w:rPr>
              <w:t>s budgetary framework more flexible. At the same time</w:t>
            </w:r>
            <w:r w:rsidRPr="00A622C0">
              <w:t>,</w:t>
            </w:r>
            <w:r w:rsidRPr="00A622C0">
              <w:rPr>
                <w:b/>
                <w:bCs/>
                <w:i/>
              </w:rPr>
              <w:t xml:space="preserve"> a broader approach to security and defence measures as well as SGI is needed in order to prioriti</w:t>
            </w:r>
            <w:r>
              <w:rPr>
                <w:b/>
                <w:bCs/>
                <w:i/>
              </w:rPr>
              <w:t>s</w:t>
            </w:r>
            <w:r w:rsidRPr="00A622C0">
              <w:rPr>
                <w:b/>
                <w:bCs/>
                <w:i/>
              </w:rPr>
              <w:t>e growth-oriented</w:t>
            </w:r>
            <w:r w:rsidRPr="00A622C0">
              <w:t xml:space="preserve"> public investment and </w:t>
            </w:r>
            <w:r w:rsidRPr="00A622C0">
              <w:rPr>
                <w:b/>
                <w:bCs/>
                <w:i/>
              </w:rPr>
              <w:t>to avoid a trade-off between defence</w:t>
            </w:r>
            <w:r w:rsidRPr="00A622C0">
              <w:t xml:space="preserve"> and </w:t>
            </w:r>
            <w:r w:rsidRPr="00A622C0">
              <w:rPr>
                <w:b/>
                <w:bCs/>
                <w:i/>
              </w:rPr>
              <w:t>social spending, especially for countries with limited fiscal space</w:t>
            </w:r>
            <w:r w:rsidRPr="00A622C0">
              <w:t>. The reduction of fossil fuel subsidies can provide short-term support for vulnerable households and more durable solutions for decarbonised electricity and heating systems, renovations and access to affordable SGIs. The special rules for SGIs and SGEIs regarding state aid and public procurement must be thoroughly revised.</w:t>
            </w:r>
          </w:p>
        </w:tc>
      </w:tr>
    </w:tbl>
    <w:p w:rsidR="00E70DD6" w:rsidP="0033272E" w:rsidRDefault="00E70DD6" w14:paraId="064382AC" w14:textId="77777777"/>
    <w:p w:rsidR="008C6C82" w:rsidP="00EC0F0F" w:rsidRDefault="00E70DD6" w14:paraId="6220B029" w14:textId="79EFDB91">
      <w:r w:rsidRPr="00395758">
        <w:t>is accepted by the Assembly.</w:t>
      </w:r>
    </w:p>
    <w:p w:rsidRPr="00A67235" w:rsidR="00E70DD6" w:rsidP="00EC0F0F" w:rsidRDefault="00E70DD6" w14:paraId="136BED5F" w14:textId="77777777"/>
    <w:p w:rsidRPr="00A67235" w:rsidR="000E4B6B" w:rsidP="00EC0F0F" w:rsidRDefault="000E4B6B" w14:paraId="0133C75D" w14:textId="24DF4673">
      <w:r w:rsidRPr="00A67235">
        <w:t xml:space="preserve">The opinion </w:t>
      </w:r>
      <w:r w:rsidR="0055372E">
        <w:t>i</w:t>
      </w:r>
      <w:r w:rsidRPr="00A67235">
        <w:t>s adopted by</w:t>
      </w:r>
      <w:r w:rsidR="00177DAC">
        <w:t xml:space="preserve"> </w:t>
      </w:r>
      <w:r w:rsidRPr="00395758" w:rsidR="00395758">
        <w:t>154</w:t>
      </w:r>
      <w:r w:rsidRPr="00395758" w:rsidR="00B36F98">
        <w:t xml:space="preserve"> votes</w:t>
      </w:r>
      <w:r w:rsidRPr="00395758" w:rsidR="00395758">
        <w:t xml:space="preserve"> to 13</w:t>
      </w:r>
      <w:r w:rsidRPr="00395758" w:rsidR="00B36F98">
        <w:t xml:space="preserve"> and </w:t>
      </w:r>
      <w:r w:rsidRPr="00395758" w:rsidR="00395758">
        <w:t>26</w:t>
      </w:r>
      <w:r w:rsidRPr="00395758" w:rsidR="00B36F98">
        <w:t xml:space="preserve"> abstention</w:t>
      </w:r>
      <w:r w:rsidRPr="00395758" w:rsidR="004C21FA">
        <w:t>s</w:t>
      </w:r>
      <w:r w:rsidRPr="00395758">
        <w:t>.</w:t>
      </w:r>
    </w:p>
    <w:p w:rsidRPr="00A67235" w:rsidR="000E4B6B" w:rsidP="00EC0F0F" w:rsidRDefault="000E4B6B" w14:paraId="3A73E4F8" w14:textId="77777777">
      <w:pPr>
        <w:rPr>
          <w:b/>
          <w:bCs/>
        </w:rPr>
      </w:pPr>
    </w:p>
    <w:p w:rsidRPr="00A67235" w:rsidR="000E4B6B" w:rsidP="00EC0F0F" w:rsidRDefault="000E4B6B" w14:paraId="0B23E20E" w14:textId="77777777">
      <w:pPr>
        <w:jc w:val="center"/>
      </w:pPr>
      <w:r w:rsidRPr="00A67235">
        <w:t>_____________</w:t>
      </w:r>
    </w:p>
    <w:sectPr w:rsidRPr="00A67235" w:rsidR="000E4B6B" w:rsidSect="00EC0F0F">
      <w:footerReference w:type="default" r:id="rId12"/>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8E527" w14:textId="77777777" w:rsidR="00C01632" w:rsidRDefault="00C01632">
      <w:r>
        <w:separator/>
      </w:r>
    </w:p>
  </w:endnote>
  <w:endnote w:type="continuationSeparator" w:id="0">
    <w:p w14:paraId="0C97AF53" w14:textId="77777777" w:rsidR="00C01632" w:rsidRDefault="00C0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45121" w14:textId="3565AD93" w:rsidR="00964A13" w:rsidRPr="00964A13" w:rsidRDefault="004C21FA" w:rsidP="00964A13">
    <w:pPr>
      <w:pStyle w:val="Footer"/>
    </w:pPr>
    <w:r>
      <w:t>TEN/8</w:t>
    </w:r>
    <w:r w:rsidR="00E70DD6">
      <w:t>46</w:t>
    </w:r>
    <w:r>
      <w:t xml:space="preserve"> – </w:t>
    </w:r>
    <w:r w:rsidR="00C311DE">
      <w:t>EESC-202</w:t>
    </w:r>
    <w:r w:rsidR="00E70DD6">
      <w:t>4</w:t>
    </w:r>
    <w:r w:rsidR="00C311DE">
      <w:t>-0</w:t>
    </w:r>
    <w:r w:rsidR="00E70DD6">
      <w:t>4532</w:t>
    </w:r>
    <w:r w:rsidR="007201DC">
      <w:t>-00-00</w:t>
    </w:r>
    <w:r w:rsidRPr="004C21FA">
      <w:t>-</w:t>
    </w:r>
    <w:r w:rsidR="00964A13">
      <w:t>CR-REF (</w:t>
    </w:r>
    <w:r w:rsidR="00BE2774">
      <w:t>EN</w:t>
    </w:r>
    <w:r w:rsidR="00964A13">
      <w:t xml:space="preserve">) </w:t>
    </w:r>
    <w:r w:rsidR="00964A13">
      <w:fldChar w:fldCharType="begin"/>
    </w:r>
    <w:r w:rsidR="00964A13">
      <w:instrText xml:space="preserve"> PAGE  \* Arabic  \* MERGEFORMAT </w:instrText>
    </w:r>
    <w:r w:rsidR="00964A13">
      <w:fldChar w:fldCharType="separate"/>
    </w:r>
    <w:r w:rsidR="0030789A">
      <w:rPr>
        <w:noProof/>
      </w:rPr>
      <w:t>1</w:t>
    </w:r>
    <w:r w:rsidR="00964A13">
      <w:fldChar w:fldCharType="end"/>
    </w:r>
    <w:r w:rsidR="00964A13">
      <w:t>/</w:t>
    </w:r>
    <w:r w:rsidR="00964A13">
      <w:fldChar w:fldCharType="begin"/>
    </w:r>
    <w:r w:rsidR="00964A13">
      <w:instrText xml:space="preserve"> = </w:instrText>
    </w:r>
    <w:r w:rsidR="00964A13">
      <w:fldChar w:fldCharType="begin"/>
    </w:r>
    <w:r w:rsidR="00964A13">
      <w:instrText xml:space="preserve"> NUMPAGES </w:instrText>
    </w:r>
    <w:r w:rsidR="00964A13">
      <w:fldChar w:fldCharType="separate"/>
    </w:r>
    <w:r w:rsidR="0030789A">
      <w:rPr>
        <w:noProof/>
      </w:rPr>
      <w:instrText>1</w:instrText>
    </w:r>
    <w:r w:rsidR="00964A13">
      <w:fldChar w:fldCharType="end"/>
    </w:r>
    <w:r w:rsidR="00964A13">
      <w:instrText xml:space="preserve"> -0 </w:instrText>
    </w:r>
    <w:r w:rsidR="00964A13">
      <w:fldChar w:fldCharType="separate"/>
    </w:r>
    <w:r w:rsidR="0030789A">
      <w:rPr>
        <w:noProof/>
      </w:rPr>
      <w:t>1</w:t>
    </w:r>
    <w:r w:rsidR="00964A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EE01C" w14:textId="77777777" w:rsidR="00C01632" w:rsidRDefault="00C01632">
      <w:r>
        <w:separator/>
      </w:r>
    </w:p>
  </w:footnote>
  <w:footnote w:type="continuationSeparator" w:id="0">
    <w:p w14:paraId="6D78DBEB" w14:textId="77777777" w:rsidR="00C01632" w:rsidRDefault="00C01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9F933A5"/>
    <w:multiLevelType w:val="hybridMultilevel"/>
    <w:tmpl w:val="03C4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E18DF"/>
    <w:multiLevelType w:val="hybridMultilevel"/>
    <w:tmpl w:val="BCCC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74850AC"/>
    <w:multiLevelType w:val="hybridMultilevel"/>
    <w:tmpl w:val="5850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E690D9E"/>
    <w:multiLevelType w:val="hybridMultilevel"/>
    <w:tmpl w:val="93803CE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04"/>
    <w:rsid w:val="00036097"/>
    <w:rsid w:val="00052D5A"/>
    <w:rsid w:val="000575F7"/>
    <w:rsid w:val="0006464B"/>
    <w:rsid w:val="0009727F"/>
    <w:rsid w:val="000B3441"/>
    <w:rsid w:val="000D6AA3"/>
    <w:rsid w:val="000E4B6B"/>
    <w:rsid w:val="000F03D6"/>
    <w:rsid w:val="00143A71"/>
    <w:rsid w:val="0015330A"/>
    <w:rsid w:val="0016227E"/>
    <w:rsid w:val="00165632"/>
    <w:rsid w:val="001766AB"/>
    <w:rsid w:val="00177DAC"/>
    <w:rsid w:val="001A2A15"/>
    <w:rsid w:val="001B4C16"/>
    <w:rsid w:val="001C7254"/>
    <w:rsid w:val="001F14CF"/>
    <w:rsid w:val="00205CD5"/>
    <w:rsid w:val="002346F9"/>
    <w:rsid w:val="002601CF"/>
    <w:rsid w:val="00273FDB"/>
    <w:rsid w:val="002925F3"/>
    <w:rsid w:val="00297572"/>
    <w:rsid w:val="002E2943"/>
    <w:rsid w:val="002E317A"/>
    <w:rsid w:val="0030789A"/>
    <w:rsid w:val="00320C0B"/>
    <w:rsid w:val="0033272E"/>
    <w:rsid w:val="003439B0"/>
    <w:rsid w:val="003876B5"/>
    <w:rsid w:val="00392924"/>
    <w:rsid w:val="00395758"/>
    <w:rsid w:val="003A16B5"/>
    <w:rsid w:val="003B459F"/>
    <w:rsid w:val="003C15D7"/>
    <w:rsid w:val="003C2604"/>
    <w:rsid w:val="003E1619"/>
    <w:rsid w:val="00423299"/>
    <w:rsid w:val="004251CF"/>
    <w:rsid w:val="004369DD"/>
    <w:rsid w:val="00460CC5"/>
    <w:rsid w:val="004A0843"/>
    <w:rsid w:val="004B002D"/>
    <w:rsid w:val="004C21FA"/>
    <w:rsid w:val="004F4602"/>
    <w:rsid w:val="005041EB"/>
    <w:rsid w:val="00523051"/>
    <w:rsid w:val="0053459C"/>
    <w:rsid w:val="0055372E"/>
    <w:rsid w:val="00564B0D"/>
    <w:rsid w:val="005807C4"/>
    <w:rsid w:val="00585CF6"/>
    <w:rsid w:val="00590C1E"/>
    <w:rsid w:val="00595C33"/>
    <w:rsid w:val="005E1A79"/>
    <w:rsid w:val="005F5F8B"/>
    <w:rsid w:val="0060358F"/>
    <w:rsid w:val="00603CC9"/>
    <w:rsid w:val="00646E27"/>
    <w:rsid w:val="006961A1"/>
    <w:rsid w:val="006D4FFA"/>
    <w:rsid w:val="0070211E"/>
    <w:rsid w:val="007201DC"/>
    <w:rsid w:val="0073571F"/>
    <w:rsid w:val="00757919"/>
    <w:rsid w:val="007C664D"/>
    <w:rsid w:val="007C6A55"/>
    <w:rsid w:val="00815851"/>
    <w:rsid w:val="00826375"/>
    <w:rsid w:val="00830673"/>
    <w:rsid w:val="0083134A"/>
    <w:rsid w:val="00841CF1"/>
    <w:rsid w:val="0086272D"/>
    <w:rsid w:val="00862EFF"/>
    <w:rsid w:val="008953F1"/>
    <w:rsid w:val="008A371F"/>
    <w:rsid w:val="008C6C82"/>
    <w:rsid w:val="008E0097"/>
    <w:rsid w:val="008E40B6"/>
    <w:rsid w:val="008F2211"/>
    <w:rsid w:val="00903DA1"/>
    <w:rsid w:val="00911202"/>
    <w:rsid w:val="009326E3"/>
    <w:rsid w:val="00961F04"/>
    <w:rsid w:val="00964A13"/>
    <w:rsid w:val="00971143"/>
    <w:rsid w:val="009E138D"/>
    <w:rsid w:val="00A14D3A"/>
    <w:rsid w:val="00A53158"/>
    <w:rsid w:val="00A64D59"/>
    <w:rsid w:val="00A67235"/>
    <w:rsid w:val="00AA20D4"/>
    <w:rsid w:val="00AE468A"/>
    <w:rsid w:val="00B20A62"/>
    <w:rsid w:val="00B36F98"/>
    <w:rsid w:val="00B37A48"/>
    <w:rsid w:val="00BA48CB"/>
    <w:rsid w:val="00BE2774"/>
    <w:rsid w:val="00BE7410"/>
    <w:rsid w:val="00BF51D5"/>
    <w:rsid w:val="00C01632"/>
    <w:rsid w:val="00C05B64"/>
    <w:rsid w:val="00C16376"/>
    <w:rsid w:val="00C311DE"/>
    <w:rsid w:val="00C4683E"/>
    <w:rsid w:val="00C70A05"/>
    <w:rsid w:val="00C87758"/>
    <w:rsid w:val="00C9047A"/>
    <w:rsid w:val="00CE01CF"/>
    <w:rsid w:val="00CF5FEA"/>
    <w:rsid w:val="00D51BB2"/>
    <w:rsid w:val="00D51D12"/>
    <w:rsid w:val="00D54F5F"/>
    <w:rsid w:val="00D806A2"/>
    <w:rsid w:val="00DD05A8"/>
    <w:rsid w:val="00DE2240"/>
    <w:rsid w:val="00E23443"/>
    <w:rsid w:val="00E24886"/>
    <w:rsid w:val="00E55BBF"/>
    <w:rsid w:val="00E70261"/>
    <w:rsid w:val="00E70DD6"/>
    <w:rsid w:val="00EC0F0F"/>
    <w:rsid w:val="00ED6BB4"/>
    <w:rsid w:val="00F01EB5"/>
    <w:rsid w:val="00F41CD8"/>
    <w:rsid w:val="00F56241"/>
    <w:rsid w:val="00F668E1"/>
    <w:rsid w:val="00F82A85"/>
    <w:rsid w:val="00FC46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58A1E8"/>
  <w15:docId w15:val="{EB7F1B43-D025-4A1C-B9BD-0170EEDD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35"/>
    <w:pPr>
      <w:spacing w:line="288" w:lineRule="auto"/>
      <w:jc w:val="both"/>
    </w:pPr>
    <w:rPr>
      <w:sz w:val="22"/>
      <w:szCs w:val="22"/>
      <w:lang w:val="en-GB" w:eastAsia="en-US"/>
    </w:rPr>
  </w:style>
  <w:style w:type="paragraph" w:styleId="Heading1">
    <w:name w:val="heading 1"/>
    <w:basedOn w:val="Normal"/>
    <w:next w:val="Normal"/>
    <w:link w:val="Heading1Char"/>
    <w:qFormat/>
    <w:rsid w:val="00A67235"/>
    <w:pPr>
      <w:numPr>
        <w:numId w:val="1"/>
      </w:numPr>
      <w:ind w:left="567" w:hanging="567"/>
      <w:outlineLvl w:val="0"/>
    </w:pPr>
    <w:rPr>
      <w:kern w:val="28"/>
    </w:rPr>
  </w:style>
  <w:style w:type="paragraph" w:styleId="Heading2">
    <w:name w:val="heading 2"/>
    <w:basedOn w:val="Normal"/>
    <w:next w:val="Normal"/>
    <w:link w:val="Heading2Char"/>
    <w:qFormat/>
    <w:rsid w:val="00A67235"/>
    <w:pPr>
      <w:numPr>
        <w:ilvl w:val="1"/>
        <w:numId w:val="1"/>
      </w:numPr>
      <w:ind w:left="567" w:hanging="567"/>
      <w:outlineLvl w:val="1"/>
    </w:pPr>
  </w:style>
  <w:style w:type="paragraph" w:styleId="Heading3">
    <w:name w:val="heading 3"/>
    <w:basedOn w:val="Normal"/>
    <w:next w:val="Normal"/>
    <w:link w:val="Heading3Char"/>
    <w:qFormat/>
    <w:rsid w:val="00A67235"/>
    <w:pPr>
      <w:numPr>
        <w:ilvl w:val="2"/>
        <w:numId w:val="1"/>
      </w:numPr>
      <w:ind w:left="567" w:hanging="567"/>
      <w:outlineLvl w:val="2"/>
    </w:pPr>
  </w:style>
  <w:style w:type="paragraph" w:styleId="Heading4">
    <w:name w:val="heading 4"/>
    <w:basedOn w:val="Normal"/>
    <w:next w:val="Normal"/>
    <w:link w:val="Heading4Char"/>
    <w:qFormat/>
    <w:rsid w:val="00A67235"/>
    <w:pPr>
      <w:numPr>
        <w:ilvl w:val="3"/>
        <w:numId w:val="1"/>
      </w:numPr>
      <w:ind w:left="567" w:hanging="567"/>
      <w:outlineLvl w:val="3"/>
    </w:pPr>
  </w:style>
  <w:style w:type="paragraph" w:styleId="Heading5">
    <w:name w:val="heading 5"/>
    <w:basedOn w:val="Normal"/>
    <w:next w:val="Normal"/>
    <w:link w:val="Heading5Char"/>
    <w:qFormat/>
    <w:rsid w:val="00A67235"/>
    <w:pPr>
      <w:numPr>
        <w:ilvl w:val="4"/>
        <w:numId w:val="1"/>
      </w:numPr>
      <w:ind w:left="567" w:hanging="567"/>
      <w:outlineLvl w:val="4"/>
    </w:pPr>
  </w:style>
  <w:style w:type="paragraph" w:styleId="Heading6">
    <w:name w:val="heading 6"/>
    <w:basedOn w:val="Normal"/>
    <w:next w:val="Normal"/>
    <w:link w:val="Heading6Char"/>
    <w:qFormat/>
    <w:rsid w:val="00A67235"/>
    <w:pPr>
      <w:numPr>
        <w:ilvl w:val="5"/>
        <w:numId w:val="1"/>
      </w:numPr>
      <w:ind w:left="567" w:hanging="567"/>
      <w:outlineLvl w:val="5"/>
    </w:pPr>
  </w:style>
  <w:style w:type="paragraph" w:styleId="Heading7">
    <w:name w:val="heading 7"/>
    <w:basedOn w:val="Normal"/>
    <w:next w:val="Normal"/>
    <w:link w:val="Heading7Char"/>
    <w:qFormat/>
    <w:rsid w:val="00A67235"/>
    <w:pPr>
      <w:numPr>
        <w:ilvl w:val="6"/>
        <w:numId w:val="1"/>
      </w:numPr>
      <w:ind w:left="567" w:hanging="567"/>
      <w:outlineLvl w:val="6"/>
    </w:pPr>
  </w:style>
  <w:style w:type="paragraph" w:styleId="Heading8">
    <w:name w:val="heading 8"/>
    <w:basedOn w:val="Normal"/>
    <w:next w:val="Normal"/>
    <w:link w:val="Heading8Char"/>
    <w:qFormat/>
    <w:rsid w:val="00A67235"/>
    <w:pPr>
      <w:numPr>
        <w:ilvl w:val="7"/>
        <w:numId w:val="1"/>
      </w:numPr>
      <w:ind w:left="567" w:hanging="567"/>
      <w:outlineLvl w:val="7"/>
    </w:pPr>
  </w:style>
  <w:style w:type="paragraph" w:styleId="Heading9">
    <w:name w:val="heading 9"/>
    <w:basedOn w:val="Normal"/>
    <w:next w:val="Normal"/>
    <w:link w:val="Heading9Char"/>
    <w:qFormat/>
    <w:rsid w:val="00A67235"/>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047C"/>
    <w:rPr>
      <w:kern w:val="28"/>
      <w:sz w:val="22"/>
      <w:szCs w:val="22"/>
      <w:lang w:val="en-US" w:eastAsia="en-US"/>
    </w:rPr>
  </w:style>
  <w:style w:type="character" w:customStyle="1" w:styleId="Heading2Char">
    <w:name w:val="Heading 2 Char"/>
    <w:basedOn w:val="DefaultParagraphFont"/>
    <w:link w:val="Heading2"/>
    <w:rsid w:val="00B3047C"/>
    <w:rPr>
      <w:sz w:val="22"/>
      <w:szCs w:val="22"/>
      <w:lang w:val="en-US" w:eastAsia="en-US"/>
    </w:rPr>
  </w:style>
  <w:style w:type="character" w:customStyle="1" w:styleId="Heading3Char">
    <w:name w:val="Heading 3 Char"/>
    <w:basedOn w:val="DefaultParagraphFont"/>
    <w:link w:val="Heading3"/>
    <w:rsid w:val="00B3047C"/>
    <w:rPr>
      <w:sz w:val="22"/>
      <w:szCs w:val="22"/>
      <w:lang w:val="en-US" w:eastAsia="en-US"/>
    </w:rPr>
  </w:style>
  <w:style w:type="character" w:customStyle="1" w:styleId="Heading4Char">
    <w:name w:val="Heading 4 Char"/>
    <w:basedOn w:val="DefaultParagraphFont"/>
    <w:link w:val="Heading4"/>
    <w:rsid w:val="00B3047C"/>
    <w:rPr>
      <w:sz w:val="22"/>
      <w:szCs w:val="22"/>
      <w:lang w:val="en-US" w:eastAsia="en-US"/>
    </w:rPr>
  </w:style>
  <w:style w:type="character" w:customStyle="1" w:styleId="Heading5Char">
    <w:name w:val="Heading 5 Char"/>
    <w:basedOn w:val="DefaultParagraphFont"/>
    <w:link w:val="Heading5"/>
    <w:rsid w:val="00B3047C"/>
    <w:rPr>
      <w:sz w:val="22"/>
      <w:szCs w:val="22"/>
      <w:lang w:val="en-US" w:eastAsia="en-US"/>
    </w:rPr>
  </w:style>
  <w:style w:type="character" w:customStyle="1" w:styleId="Heading6Char">
    <w:name w:val="Heading 6 Char"/>
    <w:basedOn w:val="DefaultParagraphFont"/>
    <w:link w:val="Heading6"/>
    <w:rsid w:val="00B3047C"/>
    <w:rPr>
      <w:sz w:val="22"/>
      <w:szCs w:val="22"/>
      <w:lang w:val="en-US" w:eastAsia="en-US"/>
    </w:rPr>
  </w:style>
  <w:style w:type="character" w:customStyle="1" w:styleId="Heading7Char">
    <w:name w:val="Heading 7 Char"/>
    <w:basedOn w:val="DefaultParagraphFont"/>
    <w:link w:val="Heading7"/>
    <w:rsid w:val="00B3047C"/>
    <w:rPr>
      <w:sz w:val="22"/>
      <w:szCs w:val="22"/>
      <w:lang w:val="en-US" w:eastAsia="en-US"/>
    </w:rPr>
  </w:style>
  <w:style w:type="character" w:customStyle="1" w:styleId="Heading8Char">
    <w:name w:val="Heading 8 Char"/>
    <w:basedOn w:val="DefaultParagraphFont"/>
    <w:link w:val="Heading8"/>
    <w:rsid w:val="00B3047C"/>
    <w:rPr>
      <w:sz w:val="22"/>
      <w:szCs w:val="22"/>
      <w:lang w:val="en-US" w:eastAsia="en-US"/>
    </w:rPr>
  </w:style>
  <w:style w:type="character" w:customStyle="1" w:styleId="Heading9Char">
    <w:name w:val="Heading 9 Char"/>
    <w:basedOn w:val="DefaultParagraphFont"/>
    <w:link w:val="Heading9"/>
    <w:rsid w:val="00B3047C"/>
    <w:rPr>
      <w:sz w:val="22"/>
      <w:szCs w:val="22"/>
      <w:lang w:val="en-US" w:eastAsia="en-US"/>
    </w:rPr>
  </w:style>
  <w:style w:type="paragraph" w:styleId="Footer">
    <w:name w:val="footer"/>
    <w:basedOn w:val="Normal"/>
    <w:link w:val="FooterChar"/>
    <w:qFormat/>
    <w:rsid w:val="00A67235"/>
  </w:style>
  <w:style w:type="character" w:customStyle="1" w:styleId="FooterChar">
    <w:name w:val="Footer Char"/>
    <w:basedOn w:val="DefaultParagraphFont"/>
    <w:link w:val="Footer"/>
    <w:rsid w:val="00B3047C"/>
    <w:rPr>
      <w:sz w:val="22"/>
      <w:szCs w:val="22"/>
      <w:lang w:val="en-US" w:eastAsia="en-US"/>
    </w:rPr>
  </w:style>
  <w:style w:type="paragraph" w:styleId="FootnoteText">
    <w:name w:val="footnote text"/>
    <w:basedOn w:val="Normal"/>
    <w:link w:val="FootnoteTextChar"/>
    <w:qFormat/>
    <w:rsid w:val="00A67235"/>
    <w:pPr>
      <w:keepLines/>
      <w:spacing w:after="60" w:line="240" w:lineRule="auto"/>
      <w:ind w:left="567" w:hanging="567"/>
    </w:pPr>
    <w:rPr>
      <w:sz w:val="16"/>
    </w:rPr>
  </w:style>
  <w:style w:type="character" w:customStyle="1" w:styleId="FootnoteTextChar">
    <w:name w:val="Footnote Text Char"/>
    <w:basedOn w:val="DefaultParagraphFont"/>
    <w:link w:val="FootnoteText"/>
    <w:rsid w:val="00B3047C"/>
    <w:rPr>
      <w:sz w:val="16"/>
      <w:szCs w:val="22"/>
      <w:lang w:val="en-US" w:eastAsia="en-US"/>
    </w:rPr>
  </w:style>
  <w:style w:type="paragraph" w:styleId="Header">
    <w:name w:val="header"/>
    <w:basedOn w:val="Normal"/>
    <w:link w:val="HeaderChar"/>
    <w:qFormat/>
    <w:rsid w:val="00A67235"/>
  </w:style>
  <w:style w:type="character" w:customStyle="1" w:styleId="HeaderChar">
    <w:name w:val="Header Char"/>
    <w:basedOn w:val="DefaultParagraphFont"/>
    <w:link w:val="Header"/>
    <w:rsid w:val="00B3047C"/>
    <w:rPr>
      <w:sz w:val="22"/>
      <w:szCs w:val="22"/>
      <w:lang w:val="en-US" w:eastAsia="en-US"/>
    </w:rPr>
  </w:style>
  <w:style w:type="paragraph" w:customStyle="1" w:styleId="quotes">
    <w:name w:val="quotes"/>
    <w:basedOn w:val="Normal"/>
    <w:next w:val="Normal"/>
    <w:rsid w:val="00A67235"/>
    <w:pPr>
      <w:ind w:left="720"/>
    </w:pPr>
    <w:rPr>
      <w:i/>
    </w:rPr>
  </w:style>
  <w:style w:type="character" w:styleId="Hyperlink">
    <w:name w:val="Hyperlink"/>
    <w:basedOn w:val="DefaultParagraphFont"/>
    <w:uiPriority w:val="99"/>
    <w:rPr>
      <w:rFonts w:cs="Times New Roman"/>
      <w:color w:val="0000FF"/>
      <w:u w:val="single"/>
    </w:rPr>
  </w:style>
  <w:style w:type="character" w:styleId="FootnoteReference">
    <w:name w:val="footnote reference"/>
    <w:basedOn w:val="DefaultParagraphFont"/>
    <w:unhideWhenUsed/>
    <w:qFormat/>
    <w:rsid w:val="00A67235"/>
    <w:rPr>
      <w:sz w:val="24"/>
      <w:vertAlign w:val="superscript"/>
    </w:rPr>
  </w:style>
  <w:style w:type="character" w:styleId="FollowedHyperlink">
    <w:name w:val="FollowedHyperlink"/>
    <w:basedOn w:val="DefaultParagraphFont"/>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BalloonText">
    <w:name w:val="Balloon Text"/>
    <w:basedOn w:val="Normal"/>
    <w:link w:val="BalloonTextChar"/>
    <w:rsid w:val="00A6723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7235"/>
    <w:rPr>
      <w:rFonts w:ascii="Tahoma" w:hAnsi="Tahoma" w:cs="Tahoma"/>
      <w:sz w:val="16"/>
      <w:szCs w:val="16"/>
      <w:lang w:val="en-US" w:eastAsia="en-US"/>
    </w:rPr>
  </w:style>
  <w:style w:type="paragraph" w:customStyle="1" w:styleId="Default">
    <w:name w:val="Default"/>
    <w:rsid w:val="0033272E"/>
    <w:pPr>
      <w:autoSpaceDE w:val="0"/>
      <w:autoSpaceDN w:val="0"/>
      <w:adjustRightInd w:val="0"/>
    </w:pPr>
    <w:rPr>
      <w:rFonts w:eastAsiaTheme="minorHAnsi"/>
      <w:color w:val="000000"/>
      <w:sz w:val="24"/>
      <w:szCs w:val="24"/>
      <w:lang w:val="en-US" w:eastAsia="en-US"/>
    </w:rPr>
  </w:style>
  <w:style w:type="table" w:customStyle="1" w:styleId="TableGrid1">
    <w:name w:val="Table Grid1"/>
    <w:basedOn w:val="TableNormal"/>
    <w:next w:val="TableGrid"/>
    <w:rsid w:val="0033272E"/>
    <w:pPr>
      <w:spacing w:line="288" w:lineRule="auto"/>
      <w:jc w:val="both"/>
    </w:pPr>
    <w:rPr>
      <w:lang w:val="en-GB"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32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41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openxmlformats.org/officeDocument/2006/relationships/customXml" Target="../customXml/item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3.xml"/><Relationship Id="rId16" Type="http://schemas.openxmlformats.org/officeDocument/2006/relationships/customXml" Target="../customXml/item2.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ustomXml" Target="../customXml/item1.xml"/><Relationship Id="rId10" Type="http://schemas.openxmlformats.org/officeDocument/2006/relationships/endnotes" Target="endnotes.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M Document" ma:contentTypeID="0x010100EA97B91038054C99906057A708A1480A0034DD74551733C243A24AB255EE6A94DB" ma:contentTypeVersion="4" ma:contentTypeDescription="Defines the documents for Document Manager V2" ma:contentTypeScope="" ma:versionID="6dc1781ba7fab92d7d66b168e0cae93f">
  <xsd:schema xmlns:xsd="http://www.w3.org/2001/XMLSchema" xmlns:xs="http://www.w3.org/2001/XMLSchema" xmlns:p="http://schemas.microsoft.com/office/2006/metadata/properties" xmlns:ns2="59ace41b-6786-4ce3-be71-52c27066c6ef" xmlns:ns3="http://schemas.microsoft.com/sharepoint/v3/fields" xmlns:ns4="91e51ac0-4aa1-4d5e-9a67-017d481be00b" targetNamespace="http://schemas.microsoft.com/office/2006/metadata/properties" ma:root="true" ma:fieldsID="f33a43edcf383b76f4f66ff8ebd76d7b" ns2:_="" ns3:_="" ns4:_="">
    <xsd:import namespace="59ace41b-6786-4ce3-be71-52c27066c6ef"/>
    <xsd:import namespace="http://schemas.microsoft.com/sharepoint/v3/fields"/>
    <xsd:import namespace="91e51ac0-4aa1-4d5e-9a67-017d481be00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e51ac0-4aa1-4d5e-9a67-017d481be00b"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F7M6YNZUATRX-1659962339-6893</_dlc_DocId>
    <_dlc_DocIdUrl xmlns="59ace41b-6786-4ce3-be71-52c27066c6ef">
      <Url>http://dm/eesc/2024/_layouts/15/DocIdRedir.aspx?ID=F7M6YNZUATRX-1659962339-6893</Url>
      <Description>F7M6YNZUATRX-1659962339-6893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CR</TermName>
          <TermId xmlns="http://schemas.microsoft.com/office/infopath/2007/PartnerControls">3d8a0a7b-557a-49c4-997f-22056dbd9ff4</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2025-04-30T12:00:00+00:00</ProductionDate>
    <FicheYear xmlns="59ace41b-6786-4ce3-be71-52c27066c6ef">2024</FicheYear>
    <DocumentNumber xmlns="91e51ac0-4aa1-4d5e-9a67-017d481be00b">4532</DocumentNumber>
    <DossierNumber xmlns="59ace41b-6786-4ce3-be71-52c27066c6ef">846</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76</Value>
      <Value>6</Value>
      <Value>5</Value>
      <Value>38</Value>
      <Value>71</Value>
      <Value>1</Value>
      <Value>8</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59ace41b-6786-4ce3-be71-52c27066c6ef">KATTNIG</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4482</FicheNumber>
    <OriginalSender xmlns="59ace41b-6786-4ce3-be71-52c27066c6ef">
      <UserInfo>
        <DisplayName>TDriveSVCUserProd</DisplayName>
        <AccountId>1388</AccountId>
        <AccountType/>
      </UserInfo>
    </OriginalSender>
    <DocumentPart xmlns="59ace41b-6786-4ce3-be71-52c27066c6ef">0</DocumentPart>
    <AdoptionDate xmlns="59ace41b-6786-4ce3-be71-52c27066c6ef">2025-04-30T12:00:00+00:00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REF</TermName>
          <TermId xmlns="http://schemas.microsoft.com/office/infopath/2007/PartnerControls">722611fd-7eaf-44e3-8780-a3226646f5f0</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91e51ac0-4aa1-4d5e-9a67-017d481be00b"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TEN</TermName>
          <TermId xmlns="http://schemas.microsoft.com/office/infopath/2007/PartnerControls">5e12260d-3aca-41f8-baf2-ad3d18475f10</TermId>
        </TermInfo>
      </Terms>
    </DossierName_0>
    <DocumentVersion xmlns="59ace41b-6786-4ce3-be71-52c27066c6ef">0</DocumentVersion>
  </documentManagement>
</p:properties>
</file>

<file path=customXml/itemProps1.xml><?xml version="1.0" encoding="utf-8"?>
<ds:datastoreItem xmlns:ds="http://schemas.openxmlformats.org/officeDocument/2006/customXml" ds:itemID="{20643436-D55A-40A5-84F6-D134A2944209}"/>
</file>

<file path=customXml/itemProps2.xml><?xml version="1.0" encoding="utf-8"?>
<ds:datastoreItem xmlns:ds="http://schemas.openxmlformats.org/officeDocument/2006/customXml" ds:itemID="{C25E0D83-E800-459C-A046-E063966FEB60}"/>
</file>

<file path=customXml/itemProps3.xml><?xml version="1.0" encoding="utf-8"?>
<ds:datastoreItem xmlns:ds="http://schemas.openxmlformats.org/officeDocument/2006/customXml" ds:itemID="{A560B3E7-8719-4456-92C4-1E131ED43F8B}"/>
</file>

<file path=customXml/itemProps4.xml><?xml version="1.0" encoding="utf-8"?>
<ds:datastoreItem xmlns:ds="http://schemas.openxmlformats.org/officeDocument/2006/customXml" ds:itemID="{30D91421-CF9B-4539-A8FE-7EB31ABDABF0}"/>
</file>

<file path=docProps/app.xml><?xml version="1.0" encoding="utf-8"?>
<Properties xmlns="http://schemas.openxmlformats.org/officeDocument/2006/extended-properties" xmlns:vt="http://schemas.openxmlformats.org/officeDocument/2006/docPropsVTypes">
  <Template>Normal</Template>
  <TotalTime>0</TotalTime>
  <Pages>2</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EU Hydrogen bank</vt:lpstr>
    </vt:vector>
  </TitlesOfParts>
  <Company>CESE-CdR</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quality public services in tackling the high cost of living</dc:title>
  <dc:subject>Record of proceedings</dc:subject>
  <dc:creator>Hilary Morris</dc:creator>
  <cp:keywords>EESC-2024-04532-00-00-CR-TRA-EN</cp:keywords>
  <dc:description>Rapporteur: - KATTNIG Original language: - EN Date of document: - 30/04/2025 Date of meeting: -  External documents: -  Administrator responsible: - Mme JANICAUDNÉ BAZSIK Agota</dc:description>
  <cp:lastModifiedBy>TDriveSVCUserProd</cp:lastModifiedBy>
  <cp:revision>5</cp:revision>
  <cp:lastPrinted>2004-02-16T15:16:00Z</cp:lastPrinted>
  <dcterms:created xsi:type="dcterms:W3CDTF">2025-04-30T09:57:00Z</dcterms:created>
  <dcterms:modified xsi:type="dcterms:W3CDTF">2025-04-30T14:18:00Z</dcterms:modified>
  <cp:category>TEN/846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17/05/2022</vt:lpwstr>
  </property>
  <property fmtid="{D5CDD505-2E9C-101B-9397-08002B2CF9AE}" pid="4" name="Pref_Time">
    <vt:lpwstr>11:03:32</vt:lpwstr>
  </property>
  <property fmtid="{D5CDD505-2E9C-101B-9397-08002B2CF9AE}" pid="5" name="Pref_User">
    <vt:lpwstr>enied</vt:lpwstr>
  </property>
  <property fmtid="{D5CDD505-2E9C-101B-9397-08002B2CF9AE}" pid="6" name="Pref_FileName">
    <vt:lpwstr>COR-EESC-2022-02584-00-00-ADMIN-ORI.docx</vt:lpwstr>
  </property>
  <property fmtid="{D5CDD505-2E9C-101B-9397-08002B2CF9AE}" pid="7" name="ContentTypeId">
    <vt:lpwstr>0x010100EA97B91038054C99906057A708A1480A0034DD74551733C243A24AB255EE6A94DB</vt:lpwstr>
  </property>
  <property fmtid="{D5CDD505-2E9C-101B-9397-08002B2CF9AE}" pid="8" name="_dlc_DocIdItemGuid">
    <vt:lpwstr>4791cc3f-75db-4b8f-a137-3158c9c37875</vt:lpwstr>
  </property>
  <property fmtid="{D5CDD505-2E9C-101B-9397-08002B2CF9AE}" pid="9" name="AvailableTranslations">
    <vt:lpwstr>5;#EN|f2175f21-25d7-44a3-96da-d6a61b075e1b</vt:lpwstr>
  </property>
  <property fmtid="{D5CDD505-2E9C-101B-9397-08002B2CF9AE}" pid="10" name="DocumentType_0">
    <vt:lpwstr>CR|3d8a0a7b-557a-49c4-997f-22056dbd9ff4</vt:lpwstr>
  </property>
  <property fmtid="{D5CDD505-2E9C-101B-9397-08002B2CF9AE}" pid="11" name="DossierName_0">
    <vt:lpwstr>TEN|5e12260d-3aca-41f8-baf2-ad3d18475f10</vt:lpwstr>
  </property>
  <property fmtid="{D5CDD505-2E9C-101B-9397-08002B2CF9AE}" pid="12" name="DocumentSource_0">
    <vt:lpwstr>EESC|422833ec-8d7e-4e65-8e4e-8bed07ffb729</vt:lpwstr>
  </property>
  <property fmtid="{D5CDD505-2E9C-101B-9397-08002B2CF9AE}" pid="13" name="DocumentNumber">
    <vt:i4>4532</vt:i4>
  </property>
  <property fmtid="{D5CDD505-2E9C-101B-9397-08002B2CF9AE}" pid="14" name="FicheYear">
    <vt:i4>2024</vt:i4>
  </property>
  <property fmtid="{D5CDD505-2E9C-101B-9397-08002B2CF9AE}" pid="15" name="DocumentVersion">
    <vt:i4>0</vt:i4>
  </property>
  <property fmtid="{D5CDD505-2E9C-101B-9397-08002B2CF9AE}" pid="16" name="DossierNumber">
    <vt:i4>846</vt:i4>
  </property>
  <property fmtid="{D5CDD505-2E9C-101B-9397-08002B2CF9AE}" pid="17" name="DocumentStatus">
    <vt:lpwstr>38;#REF|722611fd-7eaf-44e3-8780-a3226646f5f0</vt:lpwstr>
  </property>
  <property fmtid="{D5CDD505-2E9C-101B-9397-08002B2CF9AE}" pid="18" name="DossierName">
    <vt:lpwstr>76;#TEN|5e12260d-3aca-41f8-baf2-ad3d18475f10</vt:lpwstr>
  </property>
  <property fmtid="{D5CDD505-2E9C-101B-9397-08002B2CF9AE}" pid="19" name="RequestingService">
    <vt:lpwstr>Transports, énergie, infrastructures et société de l'information</vt:lpwstr>
  </property>
  <property fmtid="{D5CDD505-2E9C-101B-9397-08002B2CF9AE}" pid="20" name="Confidentiality">
    <vt:lpwstr>6;#Unrestricted|826e22d7-d029-4ec0-a450-0c28ff673572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5;#EN|f2175f21-25d7-44a3-96da-d6a61b075e1b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REF|722611fd-7eaf-44e3-8780-a3226646f5f0</vt:lpwstr>
  </property>
  <property fmtid="{D5CDD505-2E9C-101B-9397-08002B2CF9AE}" pid="28" name="OriginalLanguage_0">
    <vt:lpwstr>EN|f2175f21-25d7-44a3-96da-d6a61b075e1b</vt:lpwstr>
  </property>
  <property fmtid="{D5CDD505-2E9C-101B-9397-08002B2CF9AE}" pid="29" name="TaxCatchAll">
    <vt:lpwstr>76;#TEN|5e12260d-3aca-41f8-baf2-ad3d18475f10;#6;#Unrestricted|826e22d7-d029-4ec0-a450-0c28ff673572;#5;#EN|f2175f21-25d7-44a3-96da-d6a61b075e1b;#38;#REF|722611fd-7eaf-44e3-8780-a3226646f5f0;#71;#CR|3d8a0a7b-557a-49c4-997f-22056dbd9ff4;#1;#EESC|422833ec-8d7e-4e65-8e4e-8bed07ffb729;#8;#Final|ea5e6674-7b27-4bac-b091-73adbb394efe</vt:lpwstr>
  </property>
  <property fmtid="{D5CDD505-2E9C-101B-9397-08002B2CF9AE}" pid="30" name="Rapporteur">
    <vt:lpwstr>KATTNIG</vt:lpwstr>
  </property>
  <property fmtid="{D5CDD505-2E9C-101B-9397-08002B2CF9AE}" pid="31" name="VersionStatus_0">
    <vt:lpwstr>Final|ea5e6674-7b27-4bac-b091-73adbb394efe</vt:lpwstr>
  </property>
  <property fmtid="{D5CDD505-2E9C-101B-9397-08002B2CF9AE}" pid="32" name="VersionStatus">
    <vt:lpwstr>8;#Final|ea5e6674-7b27-4bac-b091-73adbb394efe</vt:lpwstr>
  </property>
  <property fmtid="{D5CDD505-2E9C-101B-9397-08002B2CF9AE}" pid="33" name="DocumentYear">
    <vt:i4>2024</vt:i4>
  </property>
  <property fmtid="{D5CDD505-2E9C-101B-9397-08002B2CF9AE}" pid="34" name="FicheNumber">
    <vt:i4>4482</vt:i4>
  </property>
  <property fmtid="{D5CDD505-2E9C-101B-9397-08002B2CF9AE}" pid="35" name="DocumentPart">
    <vt:i4>0</vt:i4>
  </property>
  <property fmtid="{D5CDD505-2E9C-101B-9397-08002B2CF9AE}" pid="36" name="DocumentSource">
    <vt:lpwstr>1;#EESC|422833ec-8d7e-4e65-8e4e-8bed07ffb729</vt:lpwstr>
  </property>
  <property fmtid="{D5CDD505-2E9C-101B-9397-08002B2CF9AE}" pid="37" name="AdoptionDate">
    <vt:filetime>2025-04-30T12:00:00Z</vt:filetime>
  </property>
  <property fmtid="{D5CDD505-2E9C-101B-9397-08002B2CF9AE}" pid="38" name="DocumentType">
    <vt:lpwstr>71;#CR|3d8a0a7b-557a-49c4-997f-22056dbd9ff4</vt:lpwstr>
  </property>
  <property fmtid="{D5CDD505-2E9C-101B-9397-08002B2CF9AE}" pid="39" name="DocumentLanguage">
    <vt:lpwstr>5;#EN|f2175f21-25d7-44a3-96da-d6a61b075e1b</vt:lpwstr>
  </property>
  <property fmtid="{D5CDD505-2E9C-101B-9397-08002B2CF9AE}" pid="40" name="_docset_NoMedatataSyncRequired">
    <vt:lpwstr>False</vt:lpwstr>
  </property>
</Properties>
</file>