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23288" w14:textId="77777777" w:rsidR="00D92E45" w:rsidRPr="00C12760" w:rsidRDefault="00D92E45" w:rsidP="003D472E">
      <w:pPr>
        <w:spacing w:after="0" w:line="288" w:lineRule="auto"/>
        <w:jc w:val="center"/>
        <w:rPr>
          <w:b/>
          <w:i/>
          <w:sz w:val="24"/>
          <w:szCs w:val="24"/>
          <w:u w:val="single"/>
          <w:lang w:val="en-GB"/>
        </w:rPr>
      </w:pPr>
      <w:r w:rsidRPr="00DA6486">
        <w:rPr>
          <w:noProof/>
          <w:lang w:bidi="mk-MK"/>
        </w:rPr>
        <w:drawing>
          <wp:inline distT="0" distB="0" distL="0" distR="0" wp14:anchorId="790D5AEA" wp14:editId="1065C4A3">
            <wp:extent cx="5731510" cy="1343166"/>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343166"/>
                    </a:xfrm>
                    <a:prstGeom prst="rect">
                      <a:avLst/>
                    </a:prstGeom>
                    <a:noFill/>
                  </pic:spPr>
                </pic:pic>
              </a:graphicData>
            </a:graphic>
          </wp:inline>
        </w:drawing>
      </w:r>
      <w:r w:rsidR="003D472E" w:rsidRPr="00DA6486">
        <w:rPr>
          <w:b/>
          <w:i/>
          <w:noProof/>
          <w:sz w:val="20"/>
          <w:szCs w:val="24"/>
          <w:u w:val="single"/>
          <w:lang w:bidi="mk-MK"/>
        </w:rPr>
        <mc:AlternateContent>
          <mc:Choice Requires="wps">
            <w:drawing>
              <wp:anchor distT="0" distB="0" distL="114300" distR="114300" simplePos="0" relativeHeight="251659264" behindDoc="1" locked="0" layoutInCell="0" allowOverlap="1" wp14:anchorId="2B355DFC" wp14:editId="39634BF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8B26D" w14:textId="77777777" w:rsidR="003D472E" w:rsidRPr="00260E65" w:rsidRDefault="003D472E">
                            <w:pPr>
                              <w:jc w:val="center"/>
                              <w:rPr>
                                <w:rFonts w:ascii="Arial" w:hAnsi="Arial" w:cs="Arial"/>
                                <w:b/>
                                <w:bCs/>
                                <w:sz w:val="48"/>
                                <w:lang w:val="nl-BE"/>
                              </w:rPr>
                            </w:pPr>
                            <w:r>
                              <w:rPr>
                                <w:rFonts w:ascii="Arial" w:eastAsia="Arial" w:hAnsi="Arial" w:cs="Arial"/>
                                <w:b/>
                                <w:sz w:val="48"/>
                                <w:lang w:bidi="mk-MK"/>
                              </w:rPr>
                              <w:t>МК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B355D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D472E" w:rsidRDefault="003D472E" w14:paraId="6C98B26D" w14:textId="77777777">
                      <w:pPr>
                        <w:jc w:val="center"/>
                        <w:rPr>
                          <w:rFonts w:ascii="Arial" w:hAnsi="Arial" w:cs="Arial"/>
                          <w:b/>
                          <w:bCs/>
                          <w:sz w:val="48"/>
                          <w:lang w:val="nl-BE"/>
                        </w:rPr>
                      </w:pPr>
                      <w:r>
                        <w:rPr>
                          <w:rFonts w:ascii="Arial" w:hAnsi="Arial" w:eastAsia="Arial" w:cs="Arial"/>
                          <w:b/>
                          <w:sz w:val="48"/>
                          <w:lang w:bidi="mk-MK"/>
                        </w:rPr>
                        <w:t>МК</w:t>
                      </w:r>
                    </w:p>
                  </w:txbxContent>
                </v:textbox>
                <w10:wrap anchorx="page" anchory="page"/>
              </v:shape>
            </w:pict>
          </mc:Fallback>
        </mc:AlternateContent>
      </w:r>
    </w:p>
    <w:p w14:paraId="44B94BFF" w14:textId="6BC2E86B" w:rsidR="00D92E45" w:rsidRPr="00993E8A" w:rsidRDefault="00D92E45" w:rsidP="003D472E">
      <w:pPr>
        <w:spacing w:after="0" w:line="288" w:lineRule="auto"/>
        <w:jc w:val="center"/>
        <w:rPr>
          <w:b/>
          <w:i/>
          <w:sz w:val="24"/>
          <w:szCs w:val="24"/>
          <w:u w:val="single"/>
          <w:lang w:val="sv-SE"/>
        </w:rPr>
      </w:pPr>
    </w:p>
    <w:p w14:paraId="13A53F25" w14:textId="49941895" w:rsidR="00EC3B97" w:rsidRPr="009A1A04" w:rsidRDefault="00D26AB8" w:rsidP="003D472E">
      <w:pPr>
        <w:spacing w:after="0" w:line="288" w:lineRule="auto"/>
        <w:jc w:val="center"/>
        <w:rPr>
          <w:b/>
          <w:sz w:val="28"/>
          <w:szCs w:val="28"/>
        </w:rPr>
      </w:pPr>
      <w:r w:rsidRPr="009A1A04">
        <w:rPr>
          <w:b/>
          <w:sz w:val="28"/>
          <w:szCs w:val="28"/>
          <w:lang w:bidi="mk-MK"/>
        </w:rPr>
        <w:t>ЗАВРШНА ДЕКЛАРАЦИЈА</w:t>
      </w:r>
    </w:p>
    <w:p w14:paraId="4574292F" w14:textId="77777777" w:rsidR="003D472E" w:rsidRPr="009A1A04" w:rsidRDefault="003D472E" w:rsidP="003D472E">
      <w:pPr>
        <w:spacing w:after="0" w:line="288" w:lineRule="auto"/>
        <w:jc w:val="center"/>
        <w:rPr>
          <w:b/>
          <w:sz w:val="28"/>
          <w:szCs w:val="28"/>
        </w:rPr>
      </w:pPr>
    </w:p>
    <w:p w14:paraId="145CD980" w14:textId="131A729C" w:rsidR="009A7761" w:rsidRPr="002C26BA" w:rsidRDefault="00ED15D6" w:rsidP="003D472E">
      <w:pPr>
        <w:spacing w:after="0" w:line="288" w:lineRule="auto"/>
        <w:jc w:val="center"/>
        <w:rPr>
          <w:b/>
          <w:sz w:val="24"/>
          <w:szCs w:val="24"/>
          <w:lang w:val="sv-SE"/>
        </w:rPr>
      </w:pPr>
      <w:r w:rsidRPr="00FD06F1">
        <w:rPr>
          <w:b/>
          <w:sz w:val="24"/>
          <w:szCs w:val="24"/>
          <w:lang w:bidi="mk-MK"/>
        </w:rPr>
        <w:t>10-ти Форум на граѓанско општество од Западен Балкан</w:t>
      </w:r>
    </w:p>
    <w:p w14:paraId="4910CCC8" w14:textId="77777777" w:rsidR="003D472E" w:rsidRPr="002C26BA" w:rsidRDefault="003D472E" w:rsidP="003D472E">
      <w:pPr>
        <w:spacing w:after="0" w:line="288" w:lineRule="auto"/>
        <w:jc w:val="center"/>
        <w:rPr>
          <w:b/>
          <w:sz w:val="24"/>
          <w:szCs w:val="24"/>
          <w:lang w:val="sv-SE"/>
        </w:rPr>
      </w:pPr>
    </w:p>
    <w:p w14:paraId="248CE0DC" w14:textId="01B444E6" w:rsidR="009B2E45" w:rsidRPr="00FD06F1" w:rsidRDefault="00ED15D6" w:rsidP="003D472E">
      <w:pPr>
        <w:spacing w:after="0" w:line="288" w:lineRule="auto"/>
        <w:jc w:val="center"/>
        <w:rPr>
          <w:b/>
          <w:sz w:val="24"/>
          <w:szCs w:val="24"/>
          <w:lang w:val="en-GB"/>
        </w:rPr>
      </w:pPr>
      <w:r w:rsidRPr="00FD06F1">
        <w:rPr>
          <w:b/>
          <w:sz w:val="24"/>
          <w:szCs w:val="24"/>
          <w:lang w:bidi="mk-MK"/>
        </w:rPr>
        <w:t>Будва, 13-14 мај 2025 година</w:t>
      </w:r>
    </w:p>
    <w:p w14:paraId="5D1EB401" w14:textId="77777777" w:rsidR="009820E9" w:rsidRPr="00FD06F1" w:rsidRDefault="009820E9" w:rsidP="003D472E">
      <w:pPr>
        <w:spacing w:after="0" w:line="288" w:lineRule="auto"/>
        <w:jc w:val="center"/>
        <w:rPr>
          <w:b/>
          <w:sz w:val="24"/>
          <w:szCs w:val="24"/>
          <w:lang w:val="en-GB"/>
        </w:rPr>
      </w:pPr>
    </w:p>
    <w:p w14:paraId="1A41497E" w14:textId="4D00EAA3" w:rsidR="00B11A56" w:rsidRPr="002C26BA" w:rsidRDefault="00B11A56" w:rsidP="003D472E">
      <w:pPr>
        <w:pStyle w:val="ListParagraph"/>
        <w:numPr>
          <w:ilvl w:val="0"/>
          <w:numId w:val="13"/>
        </w:numPr>
        <w:spacing w:after="0" w:line="288" w:lineRule="auto"/>
        <w:ind w:left="567" w:hanging="567"/>
        <w:jc w:val="both"/>
      </w:pPr>
      <w:r w:rsidRPr="00FD06F1">
        <w:rPr>
          <w:lang w:bidi="mk-MK"/>
        </w:rPr>
        <w:t>Европскиот економски и социјален комитет (ЕЕСК), кој го претставува организираното граѓанско општество во Европската Унија (ЕУ), го одржа својот 10-ти Форум на граѓанското општество на Западен Балкан со поддршка на Европската комисија, Фондацијата Отворено општество – Западен Балкан (ФОО-ЗБ), Фондот за Западен Балкан (ФЗБ) и Советот за регионална соработка (СРС). Форумот ги собра претставниците на синдикатите, работодавачите и организациите на граѓанското општество од Западен Балкан (Албанија, Босна и Херцеговина, Косово</w:t>
      </w:r>
      <w:r w:rsidR="00E03AF7" w:rsidRPr="00FD06F1">
        <w:rPr>
          <w:rStyle w:val="FootnoteReference"/>
          <w:rFonts w:ascii="Arial" w:eastAsia="Arial" w:hAnsi="Arial" w:cs="Arial"/>
          <w:lang w:bidi="mk-MK"/>
        </w:rPr>
        <w:footnoteReference w:customMarkFollows="1" w:id="1"/>
        <w:t>⃰</w:t>
      </w:r>
      <w:r w:rsidR="00CE168F" w:rsidRPr="00FD06F1">
        <w:rPr>
          <w:sz w:val="24"/>
          <w:szCs w:val="24"/>
          <w:lang w:bidi="mk-MK"/>
        </w:rPr>
        <w:t>,</w:t>
      </w:r>
      <w:r w:rsidRPr="00FD06F1">
        <w:rPr>
          <w:lang w:bidi="mk-MK"/>
        </w:rPr>
        <w:t xml:space="preserve"> Црна Гора, Северна Македонија и Србија) и ЕУ, претставници на институциите и агенциите на ЕУ, како и меѓународни организации и мрежи.</w:t>
      </w:r>
    </w:p>
    <w:p w14:paraId="106DFA2E" w14:textId="77777777" w:rsidR="006026AA" w:rsidRPr="002C26BA" w:rsidRDefault="006026AA" w:rsidP="006026AA">
      <w:pPr>
        <w:pStyle w:val="ListParagraph"/>
        <w:spacing w:after="0" w:line="288" w:lineRule="auto"/>
        <w:ind w:left="567"/>
        <w:jc w:val="both"/>
      </w:pPr>
    </w:p>
    <w:p w14:paraId="07BDD676" w14:textId="76D534F2" w:rsidR="00B119BA" w:rsidRPr="002C26BA" w:rsidRDefault="00654E7C" w:rsidP="003D472E">
      <w:pPr>
        <w:pStyle w:val="ListParagraph"/>
        <w:numPr>
          <w:ilvl w:val="0"/>
          <w:numId w:val="13"/>
        </w:numPr>
        <w:spacing w:after="0" w:line="288" w:lineRule="auto"/>
        <w:ind w:left="567" w:hanging="567"/>
        <w:jc w:val="both"/>
      </w:pPr>
      <w:r w:rsidRPr="00FD06F1">
        <w:rPr>
          <w:lang w:bidi="mk-MK"/>
        </w:rPr>
        <w:t xml:space="preserve">Десеттото издание на Форумот се одржа во Будва, не само со цел да се охрабри Црна Гора да ја исполни својата амбиција да стане следната земја членка на ЕУ, туку и да постави позитивен пример за остатокот од регионот. </w:t>
      </w:r>
    </w:p>
    <w:p w14:paraId="5DB79642" w14:textId="77777777" w:rsidR="00B119BA" w:rsidRPr="002C26BA" w:rsidRDefault="00B119BA" w:rsidP="00B119BA">
      <w:pPr>
        <w:pStyle w:val="ListParagraph"/>
        <w:spacing w:after="0" w:line="288" w:lineRule="auto"/>
        <w:ind w:left="567"/>
        <w:jc w:val="both"/>
      </w:pPr>
    </w:p>
    <w:p w14:paraId="69D03C48" w14:textId="11DF2A0F" w:rsidR="00654E7C" w:rsidRPr="002C26BA" w:rsidRDefault="00DB1916" w:rsidP="003D472E">
      <w:pPr>
        <w:pStyle w:val="ListParagraph"/>
        <w:numPr>
          <w:ilvl w:val="0"/>
          <w:numId w:val="13"/>
        </w:numPr>
        <w:spacing w:after="0" w:line="288" w:lineRule="auto"/>
        <w:ind w:left="567" w:hanging="567"/>
        <w:jc w:val="both"/>
      </w:pPr>
      <w:r>
        <w:rPr>
          <w:lang w:bidi="mk-MK"/>
        </w:rPr>
        <w:t>Обрнувајќи внимание на ЕЕСК како прво тело на ЕУ што го примени принципот на постепено пристапување и ги вклучи земјите кандидати за членство во ЕУ во својата работа преку назначување „членови-кандидати за проширување“, Форумот ги покани другите тела и институции на ЕУ да го следат овој добар пример.</w:t>
      </w:r>
    </w:p>
    <w:p w14:paraId="0EA02371" w14:textId="77777777" w:rsidR="00654E7C" w:rsidRPr="002C26BA" w:rsidRDefault="00654E7C" w:rsidP="002C6A69">
      <w:pPr>
        <w:pStyle w:val="ListParagraph"/>
        <w:spacing w:after="0" w:line="288" w:lineRule="auto"/>
        <w:ind w:left="567"/>
        <w:jc w:val="both"/>
      </w:pPr>
    </w:p>
    <w:p w14:paraId="146273E5" w14:textId="7CB17305" w:rsidR="006026AA" w:rsidRPr="002C26BA" w:rsidRDefault="00654E7C" w:rsidP="003D472E">
      <w:pPr>
        <w:pStyle w:val="ListParagraph"/>
        <w:numPr>
          <w:ilvl w:val="0"/>
          <w:numId w:val="13"/>
        </w:numPr>
        <w:spacing w:after="0" w:line="288" w:lineRule="auto"/>
        <w:ind w:left="567" w:hanging="567"/>
        <w:jc w:val="both"/>
      </w:pPr>
      <w:r w:rsidRPr="00FD06F1">
        <w:rPr>
          <w:lang w:bidi="mk-MK"/>
        </w:rPr>
        <w:t>Оваа декларација ги истакнува низата повици од организираното граѓанско општество и служи како придонес од страна на граѓанското општество на ЕУ и Западниот Балкан кон следниот пакет за проширување и самитите ЕУ-Западен Балкан. Конечно, заклучоците од Форумот ќе бидат доставени до институциите на ЕУ, организациите на граѓанското општество и властите во регионот.</w:t>
      </w:r>
    </w:p>
    <w:p w14:paraId="55AD172D" w14:textId="77777777" w:rsidR="00B11A56" w:rsidRPr="002C26BA" w:rsidRDefault="00B11A56" w:rsidP="003D472E">
      <w:pPr>
        <w:pStyle w:val="ListParagraph"/>
        <w:spacing w:after="0" w:line="288" w:lineRule="auto"/>
        <w:ind w:left="567"/>
        <w:jc w:val="both"/>
      </w:pPr>
    </w:p>
    <w:p w14:paraId="6C5F0039" w14:textId="3E967E67" w:rsidR="00B11A56" w:rsidRPr="002C26BA" w:rsidRDefault="00B11A56" w:rsidP="002C6A69">
      <w:r w:rsidRPr="00FD06F1">
        <w:rPr>
          <w:lang w:bidi="mk-MK"/>
        </w:rPr>
        <w:t>Учесниците на Форумот ја усвоија следната декларација:</w:t>
      </w:r>
    </w:p>
    <w:p w14:paraId="1398739C" w14:textId="77777777" w:rsidR="00B11A56" w:rsidRPr="002C26BA" w:rsidRDefault="00B11A56" w:rsidP="003D472E">
      <w:pPr>
        <w:pStyle w:val="ListParagraph"/>
        <w:spacing w:after="0" w:line="288" w:lineRule="auto"/>
        <w:ind w:left="567"/>
        <w:jc w:val="both"/>
      </w:pPr>
    </w:p>
    <w:p w14:paraId="5A97E689" w14:textId="3015AC83" w:rsidR="00741302" w:rsidRPr="002C26BA" w:rsidRDefault="00741302" w:rsidP="00C12760">
      <w:pPr>
        <w:pStyle w:val="ListParagraph"/>
        <w:keepNext/>
        <w:spacing w:after="0" w:line="288" w:lineRule="auto"/>
        <w:ind w:left="70"/>
        <w:jc w:val="both"/>
        <w:rPr>
          <w:i/>
          <w:u w:val="single"/>
        </w:rPr>
      </w:pPr>
      <w:r w:rsidRPr="00FD06F1">
        <w:rPr>
          <w:i/>
          <w:u w:val="single"/>
          <w:lang w:bidi="mk-MK"/>
        </w:rPr>
        <w:lastRenderedPageBreak/>
        <w:t>На патот кон пристапување кон ЕУ за Западен Балкан и важноста на европските вредности</w:t>
      </w:r>
    </w:p>
    <w:p w14:paraId="1073FED2" w14:textId="77777777" w:rsidR="00541F6A" w:rsidRPr="002C26BA" w:rsidRDefault="00541F6A" w:rsidP="00C12760">
      <w:pPr>
        <w:pStyle w:val="ListParagraph"/>
        <w:keepNext/>
        <w:spacing w:after="0" w:line="288" w:lineRule="auto"/>
        <w:ind w:left="70"/>
        <w:jc w:val="both"/>
        <w:rPr>
          <w:i/>
        </w:rPr>
      </w:pPr>
    </w:p>
    <w:p w14:paraId="4D038B17" w14:textId="77777777" w:rsidR="00541F6A" w:rsidRPr="00FD06F1" w:rsidRDefault="003D472E" w:rsidP="00C12760">
      <w:pPr>
        <w:keepNext/>
        <w:spacing w:after="0" w:line="288" w:lineRule="auto"/>
        <w:ind w:left="70"/>
        <w:rPr>
          <w:lang w:val="en-GB"/>
        </w:rPr>
      </w:pPr>
      <w:r w:rsidRPr="00FD06F1">
        <w:rPr>
          <w:lang w:bidi="mk-MK"/>
        </w:rPr>
        <w:t>Учесниците:</w:t>
      </w:r>
    </w:p>
    <w:p w14:paraId="1BFBD22A" w14:textId="77777777" w:rsidR="003D472E" w:rsidRPr="00FD06F1" w:rsidRDefault="003D472E" w:rsidP="00C12760">
      <w:pPr>
        <w:keepNext/>
        <w:spacing w:after="0" w:line="288" w:lineRule="auto"/>
        <w:ind w:left="70"/>
        <w:rPr>
          <w:lang w:val="en-GB"/>
        </w:rPr>
      </w:pPr>
    </w:p>
    <w:p w14:paraId="26BA62CF" w14:textId="67CCAF5F" w:rsidR="00541F6A" w:rsidRPr="00FD06F1" w:rsidRDefault="006C4235" w:rsidP="006C4235">
      <w:pPr>
        <w:pStyle w:val="ListParagraph"/>
        <w:numPr>
          <w:ilvl w:val="0"/>
          <w:numId w:val="13"/>
        </w:numPr>
        <w:spacing w:after="0" w:line="288" w:lineRule="auto"/>
        <w:ind w:left="567" w:hanging="567"/>
        <w:jc w:val="both"/>
        <w:rPr>
          <w:lang w:val="en-GB"/>
        </w:rPr>
      </w:pPr>
      <w:r w:rsidRPr="00FD06F1">
        <w:rPr>
          <w:lang w:bidi="mk-MK"/>
        </w:rPr>
        <w:t>решително го поддржат понатамошното проширување на ЕУ кон регионот на Западен Балкан и повикуваат на кредибилен процес на пристапување базиран на заслуги, што би ја зајакнало ЕУ геополитички и социоекономски;</w:t>
      </w:r>
    </w:p>
    <w:p w14:paraId="576D78F6" w14:textId="77777777" w:rsidR="003C0BFF" w:rsidRPr="00FD06F1" w:rsidRDefault="003C0BFF" w:rsidP="003D472E">
      <w:pPr>
        <w:pStyle w:val="ListParagraph"/>
        <w:spacing w:after="0" w:line="288" w:lineRule="auto"/>
        <w:ind w:left="567"/>
        <w:jc w:val="both"/>
        <w:rPr>
          <w:lang w:val="en-GB"/>
        </w:rPr>
      </w:pPr>
    </w:p>
    <w:p w14:paraId="6AA0442E" w14:textId="02E623F3" w:rsidR="002D4254" w:rsidRPr="00FD06F1" w:rsidRDefault="002D4254" w:rsidP="003D472E">
      <w:pPr>
        <w:pStyle w:val="ListParagraph"/>
        <w:numPr>
          <w:ilvl w:val="0"/>
          <w:numId w:val="13"/>
        </w:numPr>
        <w:spacing w:after="0" w:line="288" w:lineRule="auto"/>
        <w:ind w:left="567" w:hanging="567"/>
        <w:jc w:val="both"/>
        <w:rPr>
          <w:lang w:val="en-GB"/>
        </w:rPr>
      </w:pPr>
      <w:r w:rsidRPr="00FD06F1">
        <w:rPr>
          <w:lang w:bidi="mk-MK"/>
        </w:rPr>
        <w:t>цврсто веруваат дека најдобриот начин да се продолжи кон проширување на ЕУ е преку постепен и предвидлив пристап заснован на заслуги кој ќе придонесе кон стекнување на зголемени придобивки за време на процесот на пристапување во ЕУ, под услов крајната цел да биде целосно пристапување на Западен Балкан во ЕУ;</w:t>
      </w:r>
    </w:p>
    <w:p w14:paraId="29B2ED0C" w14:textId="77777777" w:rsidR="002D4254" w:rsidRPr="00FD06F1" w:rsidRDefault="002D4254" w:rsidP="002D4254">
      <w:pPr>
        <w:pStyle w:val="ListParagraph"/>
        <w:spacing w:after="0" w:line="288" w:lineRule="auto"/>
        <w:ind w:left="567"/>
        <w:jc w:val="both"/>
        <w:rPr>
          <w:lang w:val="en-GB"/>
        </w:rPr>
      </w:pPr>
    </w:p>
    <w:p w14:paraId="29793097" w14:textId="19E926C3" w:rsidR="00C37CC1" w:rsidRPr="00FD06F1" w:rsidRDefault="006C4235" w:rsidP="003D472E">
      <w:pPr>
        <w:pStyle w:val="ListParagraph"/>
        <w:numPr>
          <w:ilvl w:val="0"/>
          <w:numId w:val="13"/>
        </w:numPr>
        <w:spacing w:after="0" w:line="288" w:lineRule="auto"/>
        <w:ind w:left="567" w:hanging="567"/>
        <w:jc w:val="both"/>
        <w:rPr>
          <w:lang w:val="en-GB"/>
        </w:rPr>
      </w:pPr>
      <w:r w:rsidRPr="00FD06F1">
        <w:rPr>
          <w:lang w:bidi="mk-MK"/>
        </w:rPr>
        <w:t xml:space="preserve">силно ја поддржуваат идејата за поставување јасна и реалистична временска рамка за партнерите од Западен Балкан да станат членки на ЕУ; го поздравуваат наведувањето на 2030 година како датум-цел до кој и ЕУ и Западен Балкан треба да бидат подготвени за проширување; </w:t>
      </w:r>
    </w:p>
    <w:p w14:paraId="4B6CDC5B" w14:textId="77777777" w:rsidR="00C37CC1" w:rsidRPr="00FD06F1" w:rsidRDefault="00C37CC1" w:rsidP="009126B5">
      <w:pPr>
        <w:pStyle w:val="ListParagraph"/>
        <w:spacing w:after="0" w:line="288" w:lineRule="auto"/>
        <w:ind w:left="567"/>
        <w:jc w:val="both"/>
        <w:rPr>
          <w:lang w:val="en-GB"/>
        </w:rPr>
      </w:pPr>
    </w:p>
    <w:p w14:paraId="46C5681F" w14:textId="07691DAA" w:rsidR="00222237" w:rsidRPr="00FD06F1" w:rsidRDefault="00C37CC1" w:rsidP="00781D14">
      <w:pPr>
        <w:pStyle w:val="ListParagraph"/>
        <w:numPr>
          <w:ilvl w:val="0"/>
          <w:numId w:val="13"/>
        </w:numPr>
        <w:spacing w:after="0" w:line="288" w:lineRule="auto"/>
        <w:ind w:left="567" w:hanging="567"/>
        <w:jc w:val="both"/>
        <w:rPr>
          <w:lang w:val="en-GB"/>
        </w:rPr>
      </w:pPr>
      <w:r w:rsidRPr="00FD06F1">
        <w:rPr>
          <w:lang w:bidi="mk-MK"/>
        </w:rPr>
        <w:t>забележуваат дека, бидејќи проширувањето е процес базиран на заслуги, некои земји би можеле да го завршат процесот на пристапување во ЕУ побрзо од другите; изразуваат надеж дека сегашното добро темпо на преговорите за пристапување во Црна Гора и Албанија ќе продолжи; остануваат свесни за изборите што ќе ги направи Србија за да ја врати довербата во демократските институции и да ги обнови мостовите меѓу своите граѓани, младите и граѓанското општество; изразуваат надеж дека Северна Македонија и Босна и Херцеговина наскоро ќе можат да го отворат кластерот Основи на преговорите за пристапување во ЕУ и дека Косово ќе добие статус на кандидат за членство во ЕУ;</w:t>
      </w:r>
    </w:p>
    <w:p w14:paraId="72BB8335" w14:textId="77777777" w:rsidR="00222237" w:rsidRPr="00FD06F1" w:rsidRDefault="00222237" w:rsidP="00222237">
      <w:pPr>
        <w:pStyle w:val="ListParagraph"/>
        <w:spacing w:after="0" w:line="288" w:lineRule="auto"/>
        <w:ind w:left="567"/>
        <w:jc w:val="both"/>
        <w:rPr>
          <w:lang w:val="en-GB"/>
        </w:rPr>
      </w:pPr>
    </w:p>
    <w:p w14:paraId="075C54E5" w14:textId="487C317E" w:rsidR="00BE0375" w:rsidRPr="00FD06F1" w:rsidRDefault="00BE0375" w:rsidP="003D472E">
      <w:pPr>
        <w:pStyle w:val="ListParagraph"/>
        <w:numPr>
          <w:ilvl w:val="0"/>
          <w:numId w:val="13"/>
        </w:numPr>
        <w:spacing w:after="0" w:line="288" w:lineRule="auto"/>
        <w:ind w:left="567" w:hanging="567"/>
        <w:jc w:val="both"/>
        <w:rPr>
          <w:lang w:val="en-GB"/>
        </w:rPr>
      </w:pPr>
      <w:r w:rsidRPr="00FD06F1">
        <w:rPr>
          <w:lang w:bidi="mk-MK"/>
        </w:rPr>
        <w:t>ја повикуваат Комисијата да се справи со очигледните обиди за потиснување на граѓанскиот простор и независните медиуми и да ги одрази овие прашања поизразено во стратегијата за проширување и извештаите за земјите, поврзувајќи ги сериозните ограничувања на граѓанските слободи со финансиските и политичките последици за земјите-кандидатки; нагласуваат дека сите сегашни и идни земји членки на ЕУ треба целосно и искрено да се придржуваат кон европските вредности и затоа би го поздравиле вклучувањето на сите земји-кандидати и потенцијални земји-кандидати за членство во ЕУ во извештаите за владеењето на правото и основните права; повикуваат на зголемена финансиска и политичка поддршка за зајакнување на демократската отпорност и независното граѓанско општество во Западен Балкан;</w:t>
      </w:r>
    </w:p>
    <w:p w14:paraId="140711C7" w14:textId="77777777" w:rsidR="00BE0375" w:rsidRPr="00FD06F1" w:rsidRDefault="00BE0375" w:rsidP="00BE0375">
      <w:pPr>
        <w:pStyle w:val="ListParagraph"/>
        <w:spacing w:after="0" w:line="288" w:lineRule="auto"/>
        <w:ind w:left="567"/>
        <w:jc w:val="both"/>
        <w:rPr>
          <w:lang w:val="en-GB"/>
        </w:rPr>
      </w:pPr>
    </w:p>
    <w:p w14:paraId="49D21898" w14:textId="254D6157" w:rsidR="007946D9" w:rsidRPr="002C26BA" w:rsidRDefault="00D93B2E" w:rsidP="003D472E">
      <w:pPr>
        <w:pStyle w:val="ListParagraph"/>
        <w:numPr>
          <w:ilvl w:val="0"/>
          <w:numId w:val="13"/>
        </w:numPr>
        <w:spacing w:after="0" w:line="288" w:lineRule="auto"/>
        <w:ind w:left="567" w:hanging="567"/>
        <w:jc w:val="both"/>
      </w:pPr>
      <w:r w:rsidRPr="00FD06F1">
        <w:rPr>
          <w:lang w:bidi="mk-MK"/>
        </w:rPr>
        <w:t xml:space="preserve">ја нагласуваат потребата ЕУ да заземе проактивен став во решавањето на билатералните спорови меѓу земјите членки на ЕУ и земјите-кандидати. Овие спорови често го попречуваат напредокот и негативно влијаат врз проевропските политички сили во земјите кандидати и потенцијални кандидати, што доведува до стагнација или дури и пресврт на реформите ориентирани кон ЕУ; нагласуваат дека социјалните партнери и </w:t>
      </w:r>
      <w:r w:rsidRPr="00FD06F1">
        <w:rPr>
          <w:lang w:bidi="mk-MK"/>
        </w:rPr>
        <w:lastRenderedPageBreak/>
        <w:t>организациите на граѓанското општество треба да играат активна улога во процесот на помирување;</w:t>
      </w:r>
    </w:p>
    <w:p w14:paraId="1C064E7F" w14:textId="77777777" w:rsidR="007946D9" w:rsidRPr="002C26BA" w:rsidRDefault="007946D9" w:rsidP="003D472E">
      <w:pPr>
        <w:pStyle w:val="ListParagraph"/>
        <w:spacing w:after="0" w:line="288" w:lineRule="auto"/>
        <w:ind w:left="567"/>
        <w:jc w:val="both"/>
      </w:pPr>
    </w:p>
    <w:p w14:paraId="038EC848" w14:textId="6319D8CE" w:rsidR="003C0BFF" w:rsidRPr="002C26BA" w:rsidRDefault="00F46D5D" w:rsidP="00787C35">
      <w:pPr>
        <w:pStyle w:val="ListParagraph"/>
        <w:numPr>
          <w:ilvl w:val="0"/>
          <w:numId w:val="13"/>
        </w:numPr>
        <w:spacing w:after="0" w:line="288" w:lineRule="auto"/>
        <w:ind w:left="567" w:hanging="567"/>
        <w:jc w:val="both"/>
      </w:pPr>
      <w:r w:rsidRPr="00FD06F1">
        <w:rPr>
          <w:lang w:bidi="mk-MK"/>
        </w:rPr>
        <w:t>ја нагласуваат важноста на систематско, значајно и навремено вклучување на социјалните партнери и организациите на граѓанското општество во преговорите за пристапување во ЕУ и во овој контекст ја истакнуваат важната улога на заедничките консултативни комитети (ЗКК) на граѓанското општество и иницијативата за кандидати за проширување во следењето на преговорите за пристапување и поттикнување институционален дијалог со телата на ЕУ.</w:t>
      </w:r>
    </w:p>
    <w:p w14:paraId="17A63239" w14:textId="77777777" w:rsidR="00541F6A" w:rsidRPr="002C26BA" w:rsidRDefault="00541F6A" w:rsidP="003D472E">
      <w:pPr>
        <w:pStyle w:val="ListParagraph"/>
        <w:spacing w:after="0" w:line="288" w:lineRule="auto"/>
        <w:ind w:left="567"/>
        <w:jc w:val="both"/>
        <w:rPr>
          <w:i/>
        </w:rPr>
      </w:pPr>
    </w:p>
    <w:p w14:paraId="5DE173CC" w14:textId="30063F51" w:rsidR="00A24B0C" w:rsidRPr="002C26BA" w:rsidRDefault="00541F6A" w:rsidP="00C12760">
      <w:pPr>
        <w:pStyle w:val="ListParagraph"/>
        <w:keepNext/>
        <w:keepLines/>
        <w:spacing w:after="0" w:line="288" w:lineRule="auto"/>
        <w:ind w:left="0"/>
        <w:jc w:val="both"/>
        <w:rPr>
          <w:i/>
          <w:u w:val="single"/>
        </w:rPr>
      </w:pPr>
      <w:r w:rsidRPr="00FD06F1">
        <w:rPr>
          <w:i/>
          <w:u w:val="single"/>
          <w:lang w:bidi="mk-MK"/>
        </w:rPr>
        <w:t>За придонесот на социјалните партнери и организациите на граѓанското општество во спроведувањето на Планот за раст и Механизмот за реформи и раст за Западен Балкан</w:t>
      </w:r>
    </w:p>
    <w:p w14:paraId="2D2430B4" w14:textId="77777777" w:rsidR="005E49BC" w:rsidRPr="002C26BA" w:rsidRDefault="005E49BC">
      <w:pPr>
        <w:pStyle w:val="ListParagraph"/>
        <w:keepNext/>
        <w:keepLines/>
        <w:spacing w:after="0" w:line="288" w:lineRule="auto"/>
        <w:ind w:left="567"/>
        <w:jc w:val="both"/>
      </w:pPr>
    </w:p>
    <w:p w14:paraId="606D29D4" w14:textId="77777777" w:rsidR="00530434" w:rsidRPr="00FD06F1" w:rsidRDefault="00530434" w:rsidP="003D472E">
      <w:pPr>
        <w:keepNext/>
        <w:spacing w:after="0" w:line="288" w:lineRule="auto"/>
        <w:rPr>
          <w:lang w:val="en-GB"/>
        </w:rPr>
      </w:pPr>
      <w:r w:rsidRPr="00FD06F1">
        <w:rPr>
          <w:lang w:bidi="mk-MK"/>
        </w:rPr>
        <w:t>Учесниците:</w:t>
      </w:r>
    </w:p>
    <w:p w14:paraId="56EA8BF2" w14:textId="77777777" w:rsidR="003D472E" w:rsidRPr="00FD06F1" w:rsidRDefault="003D472E" w:rsidP="003D472E">
      <w:pPr>
        <w:keepNext/>
        <w:spacing w:after="0" w:line="288" w:lineRule="auto"/>
        <w:rPr>
          <w:i/>
          <w:lang w:val="en-GB"/>
        </w:rPr>
      </w:pPr>
    </w:p>
    <w:p w14:paraId="176BE066" w14:textId="14699DA4" w:rsidR="00F46D5D" w:rsidRPr="00FD06F1" w:rsidRDefault="00F46D5D" w:rsidP="000C7832">
      <w:pPr>
        <w:pStyle w:val="ListParagraph"/>
        <w:numPr>
          <w:ilvl w:val="0"/>
          <w:numId w:val="13"/>
        </w:numPr>
        <w:spacing w:after="0" w:line="288" w:lineRule="auto"/>
        <w:ind w:left="567" w:hanging="567"/>
        <w:jc w:val="both"/>
        <w:rPr>
          <w:lang w:val="en-GB"/>
        </w:rPr>
      </w:pPr>
      <w:r w:rsidRPr="00FD06F1">
        <w:rPr>
          <w:lang w:bidi="mk-MK"/>
        </w:rPr>
        <w:t xml:space="preserve">го поздравуваат усвојувањето на </w:t>
      </w:r>
      <w:r w:rsidRPr="00FD06F1">
        <w:rPr>
          <w:i/>
          <w:lang w:bidi="mk-MK"/>
        </w:rPr>
        <w:t>Планот за раст</w:t>
      </w:r>
      <w:r w:rsidRPr="00FD06F1">
        <w:rPr>
          <w:lang w:bidi="mk-MK"/>
        </w:rPr>
        <w:t xml:space="preserve"> и </w:t>
      </w:r>
      <w:r w:rsidRPr="00FD06F1">
        <w:rPr>
          <w:i/>
          <w:lang w:bidi="mk-MK"/>
        </w:rPr>
        <w:t>Механизмот за реформи и раст за Западен Балкан</w:t>
      </w:r>
      <w:r w:rsidRPr="00FD06F1">
        <w:rPr>
          <w:lang w:bidi="mk-MK"/>
        </w:rPr>
        <w:t xml:space="preserve"> и бараат, за време на нивното спроведување, навремено да се побараат придонеси од социјалните партнери и организациите на граѓанското општество и истите соодветно да се разгледаат, додека членството во комитетите за следење на земјите да вклучува претставници на социјалните и економските партнери и организациите на граѓанското општество; препорачуваат Комисијата да издаде јасни и транспарентни упатства за тоа како да се примени пакетот за условеност и да ги поддржи евалуациите на предностите и недостатоците на раната интеграција на пазарот, без да се заборават основните социјални и работнички стандарди, во согласност со европскиот социјален модел;</w:t>
      </w:r>
    </w:p>
    <w:p w14:paraId="44423984" w14:textId="77777777" w:rsidR="00F46D5D" w:rsidRPr="00FD06F1" w:rsidRDefault="00F46D5D" w:rsidP="00F46D5D">
      <w:pPr>
        <w:pStyle w:val="ListParagraph"/>
        <w:spacing w:after="0" w:line="288" w:lineRule="auto"/>
        <w:ind w:left="567"/>
        <w:jc w:val="both"/>
        <w:rPr>
          <w:lang w:val="en-GB"/>
        </w:rPr>
      </w:pPr>
    </w:p>
    <w:p w14:paraId="5FF72E8C" w14:textId="277FA3B9" w:rsidR="00F07437" w:rsidRPr="00FD06F1" w:rsidRDefault="006B65AB" w:rsidP="000C7832">
      <w:pPr>
        <w:pStyle w:val="ListParagraph"/>
        <w:numPr>
          <w:ilvl w:val="0"/>
          <w:numId w:val="13"/>
        </w:numPr>
        <w:spacing w:after="0" w:line="288" w:lineRule="auto"/>
        <w:ind w:left="567" w:hanging="567"/>
        <w:jc w:val="both"/>
        <w:rPr>
          <w:lang w:val="en-GB"/>
        </w:rPr>
      </w:pPr>
      <w:r>
        <w:rPr>
          <w:i/>
          <w:lang w:bidi="mk-MK"/>
        </w:rPr>
        <w:t>за Заедничкиот регионален пазар (ЗРП)</w:t>
      </w:r>
      <w:r>
        <w:rPr>
          <w:lang w:bidi="mk-MK"/>
        </w:rPr>
        <w:t>: ја нагласуваат потребата од тесно вклучување на сите засегнати страни, вклучувајќи ги социјалните партнери и организациите на граѓанското општество, како и потребата за зајакнување на парламентарната ангажираност и капацитетите за спроведување на Акцискиот план за заеднички регионален пазар 2025-2028 (ЗРП 2.0); ја истакнуваат важноста на Заедничкиот регионален пазар во отворањето на патот кон подлабока интеграција на Западен Балкан со единствениот пазар на ЕУ и во тоа да стане негово функционално продолжение; го пофалуваат Советот за регионална соработка за координацијата на ЗРП и ја истакнуваат важноста на ЗРП за отворање на патот за подлабока интеграција на Западен Балкан со единствениот пазар на ЕУ;</w:t>
      </w:r>
    </w:p>
    <w:p w14:paraId="25D890D8" w14:textId="77777777" w:rsidR="00F07437" w:rsidRPr="00FD06F1" w:rsidRDefault="00F07437" w:rsidP="00F07437">
      <w:pPr>
        <w:pStyle w:val="ListParagraph"/>
        <w:spacing w:after="0" w:line="288" w:lineRule="auto"/>
        <w:ind w:left="567"/>
        <w:jc w:val="both"/>
        <w:rPr>
          <w:lang w:val="en-GB"/>
        </w:rPr>
      </w:pPr>
    </w:p>
    <w:p w14:paraId="2AA799C3" w14:textId="61D48535" w:rsidR="00894B55" w:rsidRPr="002C26BA" w:rsidRDefault="006B65AB" w:rsidP="00F07437">
      <w:pPr>
        <w:pStyle w:val="ListParagraph"/>
        <w:numPr>
          <w:ilvl w:val="0"/>
          <w:numId w:val="13"/>
        </w:numPr>
        <w:spacing w:after="0" w:line="288" w:lineRule="auto"/>
        <w:ind w:left="567" w:hanging="567"/>
        <w:jc w:val="both"/>
      </w:pPr>
      <w:r>
        <w:rPr>
          <w:i/>
          <w:lang w:bidi="mk-MK"/>
        </w:rPr>
        <w:t>за единствениот пазар и трговијата</w:t>
      </w:r>
      <w:r>
        <w:rPr>
          <w:lang w:bidi="mk-MK"/>
        </w:rPr>
        <w:t xml:space="preserve">: ги канат властите на Западен Балкан да ги подобрат трговските текови во регионот преку елиминирање на бариерите за трговија со стоки и услуги, поттикнување на унифициран дигитален, транспортен и енергетски простор, промовирање на заеднички инвестициски напори и поттикнување на соработката во индустријата и иновациите, вклучително и преку подобрување на пристапот на приватниот сектор до Програмата за единствен пазар. Преку унапредување на овие </w:t>
      </w:r>
      <w:r>
        <w:rPr>
          <w:lang w:bidi="mk-MK"/>
        </w:rPr>
        <w:lastRenderedPageBreak/>
        <w:t>меѓусебно поврзани области според еден единствен координиран пристап, регионот може да ја зголеми својата конкурентност, да привлече инвестиции и да го забрза социо-економското приближување кон Европската Унија, во согласност со целите на Планот за раст и Механизмот за реформи и раст за Западен Балкан;</w:t>
      </w:r>
    </w:p>
    <w:p w14:paraId="137A6B81" w14:textId="77777777" w:rsidR="00894B55" w:rsidRPr="002C26BA" w:rsidRDefault="00894B55" w:rsidP="00894B55">
      <w:pPr>
        <w:pStyle w:val="ListParagraph"/>
        <w:spacing w:after="0" w:line="288" w:lineRule="auto"/>
        <w:ind w:left="567"/>
        <w:jc w:val="both"/>
      </w:pPr>
    </w:p>
    <w:p w14:paraId="7F07AC42" w14:textId="6F45BB9A" w:rsidR="00A00E9D" w:rsidRPr="002C26BA" w:rsidRDefault="006B65AB" w:rsidP="00F07437">
      <w:pPr>
        <w:pStyle w:val="ListParagraph"/>
        <w:numPr>
          <w:ilvl w:val="0"/>
          <w:numId w:val="13"/>
        </w:numPr>
        <w:spacing w:after="0" w:line="288" w:lineRule="auto"/>
        <w:ind w:left="567" w:hanging="567"/>
        <w:jc w:val="both"/>
      </w:pPr>
      <w:r>
        <w:rPr>
          <w:i/>
          <w:lang w:bidi="mk-MK"/>
        </w:rPr>
        <w:t>за Договорот за чиста индустрија</w:t>
      </w:r>
      <w:r>
        <w:rPr>
          <w:lang w:bidi="mk-MK"/>
        </w:rPr>
        <w:t>: нагласуваат дека ЕУ и земјите од Западен Балкан треба да обезбедат доволна финансиска и административна поддршка за комерцијалниот сектор во регионот, охрабрувајќи го секторот да вложи одржливи напори кон сина и зелена/циркуларна економија. Западниот Балкан треба да усвои регионална стратегија за чиста индустрија што ќе ги декарбонизира клучните сектори, ќе промовира чисти технологии, ќе инвестира во вештини на работната сила и ќе ги поедностави регулативите со цел усогласување со Договорот за чиста индустрија на ЕУ и максимизирање на придобивките од Планот за раст и Механизмот за реформи и раст, а воедно усогласување и со работата на Унијата на вештини;</w:t>
      </w:r>
    </w:p>
    <w:p w14:paraId="64686F03" w14:textId="77777777" w:rsidR="003178C2" w:rsidRPr="002C26BA" w:rsidRDefault="003178C2" w:rsidP="003D472E">
      <w:pPr>
        <w:pStyle w:val="ListParagraph"/>
        <w:spacing w:after="0" w:line="288" w:lineRule="auto"/>
        <w:ind w:left="567"/>
        <w:jc w:val="both"/>
      </w:pPr>
    </w:p>
    <w:p w14:paraId="3B5CA44B" w14:textId="04F520DB" w:rsidR="00DB53A4" w:rsidRPr="002C26BA" w:rsidRDefault="00DB53A4" w:rsidP="00F028AF">
      <w:pPr>
        <w:pStyle w:val="ListParagraph"/>
        <w:numPr>
          <w:ilvl w:val="0"/>
          <w:numId w:val="13"/>
        </w:numPr>
        <w:spacing w:after="0" w:line="288" w:lineRule="auto"/>
        <w:ind w:left="567" w:hanging="567"/>
        <w:jc w:val="both"/>
        <w:rPr>
          <w:b/>
          <w:bCs/>
        </w:rPr>
      </w:pPr>
      <w:r>
        <w:rPr>
          <w:lang w:bidi="mk-MK"/>
        </w:rPr>
        <w:t xml:space="preserve">ги покануваат ЕУ и Западен Балкан да постават патоказ за пристапување на Западен Балкан кон пазарот на системи за тргување со емисии (СТЕ) на ЕУ преку целосно спроведување на системи за следење, известување, системи за верификација на емисиите и акредитација на верификатори (МРВА), признавање на јаглеродни дозволи и инвестициски планови за декарбонизација со цел да се спречат ограничувањата во трговијата, да се подобри енергетската безбедност, да се поттикне интеграцијата во </w:t>
      </w:r>
      <w:r>
        <w:rPr>
          <w:i/>
          <w:lang w:bidi="mk-MK"/>
        </w:rPr>
        <w:t>Договорот за чиста индустрија</w:t>
      </w:r>
      <w:r>
        <w:rPr>
          <w:lang w:bidi="mk-MK"/>
        </w:rPr>
        <w:t xml:space="preserve"> на ЕУ и да се промовира спроведувањето на </w:t>
      </w:r>
      <w:r>
        <w:rPr>
          <w:i/>
          <w:lang w:bidi="mk-MK"/>
        </w:rPr>
        <w:t>Зелената агенда за Западен Балкан</w:t>
      </w:r>
      <w:r>
        <w:rPr>
          <w:lang w:bidi="mk-MK"/>
        </w:rPr>
        <w:t>.</w:t>
      </w:r>
    </w:p>
    <w:p w14:paraId="171D364F" w14:textId="77777777" w:rsidR="00DB53A4" w:rsidRPr="002C26BA" w:rsidRDefault="00DB53A4" w:rsidP="00DB53A4">
      <w:pPr>
        <w:pStyle w:val="ListParagraph"/>
        <w:spacing w:after="0" w:line="288" w:lineRule="auto"/>
        <w:ind w:left="567"/>
        <w:jc w:val="both"/>
        <w:rPr>
          <w:b/>
          <w:bCs/>
        </w:rPr>
      </w:pPr>
    </w:p>
    <w:p w14:paraId="77EE432B" w14:textId="5DD6DE5B" w:rsidR="000E1A54" w:rsidRPr="002C26BA" w:rsidRDefault="00207FDA" w:rsidP="00F028AF">
      <w:pPr>
        <w:pStyle w:val="ListParagraph"/>
        <w:numPr>
          <w:ilvl w:val="0"/>
          <w:numId w:val="13"/>
        </w:numPr>
        <w:spacing w:after="0" w:line="288" w:lineRule="auto"/>
        <w:ind w:left="567" w:hanging="567"/>
        <w:jc w:val="both"/>
        <w:rPr>
          <w:b/>
          <w:bCs/>
        </w:rPr>
      </w:pPr>
      <w:r>
        <w:rPr>
          <w:i/>
          <w:lang w:bidi="mk-MK"/>
        </w:rPr>
        <w:t>за овозможување на деловната средина</w:t>
      </w:r>
      <w:r>
        <w:rPr>
          <w:lang w:bidi="mk-MK"/>
        </w:rPr>
        <w:t xml:space="preserve">: посочуваат дека одржливиот економски развој ќе биде клучен за успешното пристапување на Западен Балкан во ЕУ. На овој пат, од суштинско значење е холистичкиот пристап кон креирањето политики </w:t>
      </w:r>
      <w:r>
        <w:rPr>
          <w:rFonts w:cstheme="minorHAnsi"/>
          <w:lang w:bidi="mk-MK"/>
        </w:rPr>
        <w:t>–</w:t>
      </w:r>
      <w:r>
        <w:rPr>
          <w:lang w:bidi="mk-MK"/>
        </w:rPr>
        <w:t xml:space="preserve"> пристап кој ги вклучува сите сектори на општеството и се справува со критичните предизвици во различни домени на политиката. Перспективата за конкурентност на ОЕЦД за Западен Балкан</w:t>
      </w:r>
      <w:r w:rsidR="00CB2FE4" w:rsidRPr="00FD06F1">
        <w:rPr>
          <w:rStyle w:val="FootnoteReference"/>
          <w:lang w:bidi="mk-MK"/>
        </w:rPr>
        <w:footnoteReference w:id="2"/>
      </w:r>
      <w:r>
        <w:rPr>
          <w:lang w:bidi="mk-MK"/>
        </w:rPr>
        <w:t xml:space="preserve"> може да послужи како референца за поддршка на овој напор;</w:t>
      </w:r>
    </w:p>
    <w:p w14:paraId="1EA0BD97" w14:textId="77777777" w:rsidR="000E1A54" w:rsidRPr="002C26BA" w:rsidRDefault="000E1A54" w:rsidP="00F028AF">
      <w:pPr>
        <w:pStyle w:val="ListParagraph"/>
      </w:pPr>
    </w:p>
    <w:p w14:paraId="4A62C21C" w14:textId="3D804807" w:rsidR="003178C2" w:rsidRPr="002C26BA" w:rsidRDefault="00207FDA" w:rsidP="008D069B">
      <w:pPr>
        <w:pStyle w:val="ListParagraph"/>
        <w:numPr>
          <w:ilvl w:val="0"/>
          <w:numId w:val="13"/>
        </w:numPr>
        <w:spacing w:after="0" w:line="288" w:lineRule="auto"/>
        <w:ind w:left="567" w:hanging="567"/>
        <w:jc w:val="both"/>
      </w:pPr>
      <w:r>
        <w:rPr>
          <w:i/>
          <w:lang w:bidi="mk-MK"/>
        </w:rPr>
        <w:t>за социјална правда</w:t>
      </w:r>
      <w:r>
        <w:rPr>
          <w:lang w:bidi="mk-MK"/>
        </w:rPr>
        <w:t>: нагласуваат дека принципите на социјална правда треба да бидат интегрирани во спроведувањето на Планот за раст. Тие вклучуваат промовирање на пристојна работа преку усогласување на политиките за вработување со Агендата за пристојна работа на МОТ со цел обезбедување фер плати, безбедни услови за работа и социјална заштита за сите работници, како и зајакнување на социјалниот дијалог и ангажирање со организациите на граѓанското општество преку граѓански дијалог за да се обезбеди транспарентност и отчетност;</w:t>
      </w:r>
    </w:p>
    <w:p w14:paraId="49BD7A3F" w14:textId="77777777" w:rsidR="00A00E9D" w:rsidRPr="002C26BA" w:rsidRDefault="00A00E9D" w:rsidP="003D472E">
      <w:pPr>
        <w:spacing w:after="0" w:line="288" w:lineRule="auto"/>
        <w:jc w:val="both"/>
      </w:pPr>
    </w:p>
    <w:p w14:paraId="428E3179" w14:textId="5A63F585" w:rsidR="005E49BC" w:rsidRPr="002C26BA" w:rsidRDefault="00207FDA" w:rsidP="002E4E39">
      <w:pPr>
        <w:pStyle w:val="ListParagraph"/>
        <w:numPr>
          <w:ilvl w:val="0"/>
          <w:numId w:val="13"/>
        </w:numPr>
        <w:spacing w:after="0" w:line="288" w:lineRule="auto"/>
        <w:ind w:left="567" w:hanging="567"/>
        <w:jc w:val="both"/>
      </w:pPr>
      <w:r>
        <w:rPr>
          <w:i/>
          <w:lang w:bidi="mk-MK"/>
        </w:rPr>
        <w:t>за дигиталната трансформација</w:t>
      </w:r>
      <w:r>
        <w:rPr>
          <w:lang w:bidi="mk-MK"/>
        </w:rPr>
        <w:t xml:space="preserve">: препорачуваат Западниот Балкан да ја спроведе Дигиталната агенда за Западен Балкан, која ја проширува дигиталната инфраструктура, ги </w:t>
      </w:r>
      <w:r>
        <w:rPr>
          <w:lang w:bidi="mk-MK"/>
        </w:rPr>
        <w:lastRenderedPageBreak/>
        <w:t>модернизира јавните услуги, гради дигитални вештини и ја зајакнува кибер безбедноста со цел да се усогласи со стандардите на ЕУ и целосно да се искористи Планот за раст и Механизмот за реформи и раст;</w:t>
      </w:r>
    </w:p>
    <w:p w14:paraId="1303255D" w14:textId="77777777" w:rsidR="000977BB" w:rsidRPr="002C26BA" w:rsidRDefault="000977BB" w:rsidP="00BD7CAF">
      <w:pPr>
        <w:pStyle w:val="ListParagraph"/>
      </w:pPr>
    </w:p>
    <w:p w14:paraId="0D410901" w14:textId="675AAB42" w:rsidR="000977BB" w:rsidRPr="002C26BA" w:rsidRDefault="00207FDA" w:rsidP="002E4E39">
      <w:pPr>
        <w:pStyle w:val="ListParagraph"/>
        <w:numPr>
          <w:ilvl w:val="0"/>
          <w:numId w:val="13"/>
        </w:numPr>
        <w:spacing w:after="0" w:line="288" w:lineRule="auto"/>
        <w:ind w:left="567" w:hanging="567"/>
        <w:jc w:val="both"/>
      </w:pPr>
      <w:r>
        <w:rPr>
          <w:i/>
          <w:lang w:bidi="mk-MK"/>
        </w:rPr>
        <w:t>за паметна и зелена мобилност</w:t>
      </w:r>
      <w:r>
        <w:rPr>
          <w:lang w:bidi="mk-MK"/>
        </w:rPr>
        <w:t xml:space="preserve">: со цел подобрување на поврзаноста и постигнување напори за декарбонизација и дигитализација на транспортниот сектор, важно е партнерите од Западен Балкан да работат на спроведување на Стратегијата за одржлива и паметна мобилност за Западен Балкан.  </w:t>
      </w:r>
    </w:p>
    <w:p w14:paraId="640CB649" w14:textId="77777777" w:rsidR="005E49BC" w:rsidRPr="002C26BA" w:rsidRDefault="005E49BC" w:rsidP="003D472E">
      <w:pPr>
        <w:pStyle w:val="ListParagraph"/>
        <w:spacing w:after="0" w:line="288" w:lineRule="auto"/>
        <w:ind w:left="567"/>
        <w:jc w:val="both"/>
        <w:rPr>
          <w:i/>
        </w:rPr>
      </w:pPr>
    </w:p>
    <w:p w14:paraId="56BA0BB9" w14:textId="1418AF25" w:rsidR="00741302" w:rsidRPr="00D45FE6" w:rsidRDefault="00541F6A" w:rsidP="00C12760">
      <w:pPr>
        <w:pStyle w:val="ListParagraph"/>
        <w:keepNext/>
        <w:keepLines/>
        <w:spacing w:after="0" w:line="288" w:lineRule="auto"/>
        <w:ind w:left="0"/>
        <w:jc w:val="both"/>
        <w:rPr>
          <w:i/>
          <w:u w:val="single"/>
        </w:rPr>
      </w:pPr>
      <w:r w:rsidRPr="00FD06F1">
        <w:rPr>
          <w:i/>
          <w:u w:val="single"/>
          <w:lang w:bidi="mk-MK"/>
        </w:rPr>
        <w:t>За придонесот на социјалните партнери и организациите на граѓанското општество во спроведувањето на Европскиот столб на социјални права во Западен Балкан</w:t>
      </w:r>
    </w:p>
    <w:p w14:paraId="3A60A60D" w14:textId="77777777" w:rsidR="003C0BFF" w:rsidRPr="00D45FE6" w:rsidRDefault="003C0BFF">
      <w:pPr>
        <w:pStyle w:val="ListParagraph"/>
        <w:keepNext/>
        <w:keepLines/>
        <w:spacing w:after="0" w:line="288" w:lineRule="auto"/>
        <w:ind w:left="567"/>
        <w:jc w:val="both"/>
      </w:pPr>
    </w:p>
    <w:p w14:paraId="4CA51BF9" w14:textId="1AC50080" w:rsidR="00E20501" w:rsidRPr="00FD06F1" w:rsidRDefault="003D472E" w:rsidP="008803EF">
      <w:pPr>
        <w:keepNext/>
        <w:spacing w:after="0" w:line="288" w:lineRule="auto"/>
        <w:rPr>
          <w:lang w:val="en-GB"/>
        </w:rPr>
      </w:pPr>
      <w:r w:rsidRPr="00FD06F1">
        <w:rPr>
          <w:lang w:bidi="mk-MK"/>
        </w:rPr>
        <w:t>Учесниците:</w:t>
      </w:r>
    </w:p>
    <w:p w14:paraId="752EFE03" w14:textId="77777777" w:rsidR="00E20501" w:rsidRPr="00FD06F1" w:rsidRDefault="00E20501" w:rsidP="003D472E">
      <w:pPr>
        <w:pStyle w:val="ListParagraph"/>
        <w:spacing w:after="0" w:line="288" w:lineRule="auto"/>
        <w:ind w:left="567"/>
        <w:jc w:val="both"/>
        <w:rPr>
          <w:lang w:val="en-GB"/>
        </w:rPr>
      </w:pPr>
    </w:p>
    <w:p w14:paraId="6656E5D8" w14:textId="1FA9AD35" w:rsidR="00572568" w:rsidRPr="00D45FE6" w:rsidRDefault="00572568" w:rsidP="002519D2">
      <w:pPr>
        <w:pStyle w:val="ListParagraph"/>
        <w:numPr>
          <w:ilvl w:val="0"/>
          <w:numId w:val="13"/>
        </w:numPr>
        <w:spacing w:after="0" w:line="288" w:lineRule="auto"/>
        <w:ind w:left="567" w:hanging="567"/>
        <w:jc w:val="both"/>
      </w:pPr>
      <w:r w:rsidRPr="00FD06F1">
        <w:rPr>
          <w:lang w:bidi="mk-MK"/>
        </w:rPr>
        <w:t>истакнуваат дека нееднаквоста, сиромаштијата, невработеноста, социјалната исклученост и економските и социјалните нееднаквости се прашања од заеднички интерес низ целиот Западен Балкан; ја нагласуваат потребата од развивање сигурни, квалитетни, ажурирани и споредливи податоци, како на национално, така и на регионално ниво, што е клучно за следење на напредокот во спроведувањето на Европскиот столб на социјални права и обезбедување успешен процес на пристапување во ЕУ. Организираното граѓанско општество може да придонесе кон следењето преку производство на независни квалитативни и квантитативни анализи, со што ќе помогне да се обезбеди целосна слика за тоа што функционира добро, а што не функционира;</w:t>
      </w:r>
    </w:p>
    <w:p w14:paraId="0D8848B8" w14:textId="77777777" w:rsidR="00572568" w:rsidRPr="00D45FE6" w:rsidRDefault="00572568" w:rsidP="00572568">
      <w:pPr>
        <w:pStyle w:val="ListParagraph"/>
        <w:spacing w:after="0" w:line="288" w:lineRule="auto"/>
        <w:ind w:left="567"/>
        <w:jc w:val="both"/>
      </w:pPr>
    </w:p>
    <w:p w14:paraId="0BF70085" w14:textId="46FFFD33" w:rsidR="00ED7160" w:rsidRPr="00D45FE6" w:rsidRDefault="00230C09" w:rsidP="002519D2">
      <w:pPr>
        <w:pStyle w:val="ListParagraph"/>
        <w:numPr>
          <w:ilvl w:val="0"/>
          <w:numId w:val="13"/>
        </w:numPr>
        <w:spacing w:after="0" w:line="288" w:lineRule="auto"/>
        <w:ind w:left="567" w:hanging="567"/>
        <w:jc w:val="both"/>
      </w:pPr>
      <w:r>
        <w:rPr>
          <w:i/>
          <w:lang w:bidi="mk-MK"/>
        </w:rPr>
        <w:t>за повеќе и подобри работни места</w:t>
      </w:r>
      <w:r>
        <w:rPr>
          <w:lang w:bidi="mk-MK"/>
        </w:rPr>
        <w:t>: препорачуваат властите да усвојат интегриран пристап со цел да создадат повеќе и поквалитетни работни места, на пример, преку инвестирање во развој на вештини, преку почетно и континуирано образование и обука во формални и неформални услови, спроведување на гаранцијата за млади, олеснување на транзицијата кон квалитетно вработување за возрасни во ранливи ситуации, подобрување на социјалниот дијалог (вклучувајќи колективно договарање) и користење на Инструментот за претпристапна помош и Механизмот за реформи и раст за Западен Балкан за финансирање на создавањето работни места во напредните сектори и реформи поврзани со вработувањето;</w:t>
      </w:r>
    </w:p>
    <w:p w14:paraId="0D875E2C" w14:textId="77777777" w:rsidR="00ED7160" w:rsidRPr="00D45FE6" w:rsidRDefault="00ED7160" w:rsidP="00ED7160">
      <w:pPr>
        <w:pStyle w:val="ListParagraph"/>
        <w:spacing w:after="0" w:line="288" w:lineRule="auto"/>
        <w:ind w:left="567"/>
        <w:jc w:val="both"/>
      </w:pPr>
    </w:p>
    <w:p w14:paraId="6BB383C7" w14:textId="68F4A251" w:rsidR="00CE0216" w:rsidRPr="00D45FE6" w:rsidRDefault="00230C09" w:rsidP="003D472E">
      <w:pPr>
        <w:pStyle w:val="ListParagraph"/>
        <w:numPr>
          <w:ilvl w:val="0"/>
          <w:numId w:val="13"/>
        </w:numPr>
        <w:spacing w:after="0" w:line="288" w:lineRule="auto"/>
        <w:ind w:left="567" w:hanging="567"/>
        <w:jc w:val="both"/>
      </w:pPr>
      <w:r>
        <w:rPr>
          <w:i/>
          <w:lang w:bidi="mk-MK"/>
        </w:rPr>
        <w:t>за развој на вештини</w:t>
      </w:r>
      <w:r>
        <w:rPr>
          <w:lang w:bidi="mk-MK"/>
        </w:rPr>
        <w:t xml:space="preserve">: повикуваат кон усогласување на образованието за возрасни и доживотното учење и почетното стручно учење (ИВЕТ) со потребите на пазарот на трудот. Ова ќе придонесе за намалување на постојаната невработеност и за создавање можности за вработување и економски раст. Во тој контекст, организациите на граѓанското општество можат да играат значајна улога во соработката со социјалните партнери и владите. За таа цел, од суштинско значење е холистички пристап кон креирањето политики – пристап кој ги вклучува организациите на граѓанското општество како клучни партнери и </w:t>
      </w:r>
      <w:r>
        <w:rPr>
          <w:lang w:bidi="mk-MK"/>
        </w:rPr>
        <w:lastRenderedPageBreak/>
        <w:t>одразува посветеност на инклузивна, меѓусекторска соработка за справување со критичните предизвици во развојот на вештини</w:t>
      </w:r>
      <w:r w:rsidR="00CD5A1C">
        <w:rPr>
          <w:rStyle w:val="FootnoteReference"/>
          <w:lang w:bidi="mk-MK"/>
        </w:rPr>
        <w:footnoteReference w:id="3"/>
      </w:r>
      <w:r>
        <w:rPr>
          <w:lang w:bidi="mk-MK"/>
        </w:rPr>
        <w:t>.</w:t>
      </w:r>
    </w:p>
    <w:p w14:paraId="260DA6B8" w14:textId="77777777" w:rsidR="00CE0216" w:rsidRPr="00D45FE6" w:rsidRDefault="00CE0216" w:rsidP="00CE0216">
      <w:pPr>
        <w:pStyle w:val="ListParagraph"/>
        <w:spacing w:after="0" w:line="288" w:lineRule="auto"/>
        <w:ind w:left="567"/>
        <w:jc w:val="both"/>
      </w:pPr>
    </w:p>
    <w:p w14:paraId="69571191" w14:textId="31FCEFED" w:rsidR="00CE0216" w:rsidRPr="00D45FE6" w:rsidRDefault="00230C09" w:rsidP="003D472E">
      <w:pPr>
        <w:pStyle w:val="ListParagraph"/>
        <w:numPr>
          <w:ilvl w:val="0"/>
          <w:numId w:val="13"/>
        </w:numPr>
        <w:spacing w:after="0" w:line="288" w:lineRule="auto"/>
        <w:ind w:left="567" w:hanging="567"/>
        <w:jc w:val="both"/>
      </w:pPr>
      <w:r>
        <w:rPr>
          <w:i/>
          <w:lang w:bidi="mk-MK"/>
        </w:rPr>
        <w:t>за социјална заштита</w:t>
      </w:r>
      <w:r>
        <w:rPr>
          <w:lang w:bidi="mk-MK"/>
        </w:rPr>
        <w:t>: препорачуваат земјите од регионот да ја анализираат состојбата на постојните социјални услуги и да развијат стратегии за реформирање на мрежите за социјална сигурност, земајќи ги предвид постојните стандарди и практики во земјите членки на ЕУ. Целта треба да биде подобрување на постојните мрежи за социјална сигурност во регионот, кои се тесни каков во однос на обемот на бенефициите, така и во однос на обемот, но и во однос на подобрување на социјалната заштита и човековиот развој;</w:t>
      </w:r>
    </w:p>
    <w:p w14:paraId="4601A612" w14:textId="77777777" w:rsidR="00CE0216" w:rsidRPr="00D45FE6" w:rsidRDefault="00CE0216" w:rsidP="00CE0216">
      <w:pPr>
        <w:pStyle w:val="ListParagraph"/>
        <w:spacing w:after="0" w:line="288" w:lineRule="auto"/>
        <w:ind w:left="567"/>
        <w:jc w:val="both"/>
      </w:pPr>
    </w:p>
    <w:p w14:paraId="46CC3BA6" w14:textId="727C4852" w:rsidR="00CF6C0D" w:rsidRPr="00D45FE6" w:rsidRDefault="00230C09" w:rsidP="003D472E">
      <w:pPr>
        <w:pStyle w:val="ListParagraph"/>
        <w:numPr>
          <w:ilvl w:val="0"/>
          <w:numId w:val="13"/>
        </w:numPr>
        <w:spacing w:after="0" w:line="288" w:lineRule="auto"/>
        <w:ind w:left="567" w:hanging="567"/>
        <w:jc w:val="both"/>
      </w:pPr>
      <w:r>
        <w:rPr>
          <w:i/>
          <w:lang w:bidi="mk-MK"/>
        </w:rPr>
        <w:t>за еднаквоста</w:t>
      </w:r>
      <w:r>
        <w:rPr>
          <w:lang w:bidi="mk-MK"/>
        </w:rPr>
        <w:t>: повикуваат на зголемено и подобрено спроведување на законодавството и стратегиите што би овозможиле економско јакнење на жените, зголемување на застапеноста на жените на политички и лидерски позиции, оспорување на родовите стереотипи и промовирање родова еднаквост; истакнуваат дека насилството врз основа на род е прашање од сериозна загриженост во целиот регион и ги повикуваат сите засегнати страни да се справат со овој проблем како прашање на приоритет;</w:t>
      </w:r>
    </w:p>
    <w:p w14:paraId="738E8AA5" w14:textId="77777777" w:rsidR="00CF6C0D" w:rsidRPr="00D45FE6" w:rsidRDefault="00CF6C0D" w:rsidP="00CF6C0D">
      <w:pPr>
        <w:pStyle w:val="ListParagraph"/>
        <w:spacing w:after="0" w:line="288" w:lineRule="auto"/>
        <w:ind w:left="567"/>
        <w:jc w:val="both"/>
      </w:pPr>
    </w:p>
    <w:p w14:paraId="6006E74B" w14:textId="4F0627D1" w:rsidR="00CE0216" w:rsidRPr="00D45FE6" w:rsidRDefault="00230C09" w:rsidP="003D472E">
      <w:pPr>
        <w:pStyle w:val="ListParagraph"/>
        <w:numPr>
          <w:ilvl w:val="0"/>
          <w:numId w:val="13"/>
        </w:numPr>
        <w:spacing w:after="0" w:line="288" w:lineRule="auto"/>
        <w:ind w:left="567" w:hanging="567"/>
        <w:jc w:val="both"/>
      </w:pPr>
      <w:r>
        <w:rPr>
          <w:i/>
          <w:lang w:bidi="mk-MK"/>
        </w:rPr>
        <w:t>за инклузија</w:t>
      </w:r>
      <w:r>
        <w:rPr>
          <w:lang w:bidi="mk-MK"/>
        </w:rPr>
        <w:t>: повикуваат целосно да се поддржи принципот „никој да не се остави позади“ и да се побара поголемо внимание и да се обезбеди поддршка за интеграција на ранливите групи, бидејќи нивното вклучување е далеку од постигнато; да се истакне дека младите луѓе (особено оние кои не се во образовниот систем, вработување или обука (НЕЕТ)), одредени групи жени, постари лица, етнички малцинства и лица со попреченост сè уште имаат поголема веројатност да се соочат со дискриминација, вклучително и нејзините повеќекратни и интерсекционални форми, како и дека треба да се направи повеќе за да се интегрираат во пазарите на трудот и во општествата како целина;</w:t>
      </w:r>
    </w:p>
    <w:p w14:paraId="101EE226" w14:textId="77777777" w:rsidR="003173E7" w:rsidRPr="00D45FE6" w:rsidRDefault="003173E7" w:rsidP="003173E7">
      <w:pPr>
        <w:pStyle w:val="ListParagraph"/>
        <w:spacing w:after="0" w:line="288" w:lineRule="auto"/>
        <w:ind w:left="567"/>
        <w:jc w:val="both"/>
      </w:pPr>
    </w:p>
    <w:p w14:paraId="702FE79B" w14:textId="30FB1030" w:rsidR="00F475C0" w:rsidRPr="00D45FE6" w:rsidRDefault="00F475C0" w:rsidP="003D472E">
      <w:pPr>
        <w:pStyle w:val="ListParagraph"/>
        <w:numPr>
          <w:ilvl w:val="0"/>
          <w:numId w:val="13"/>
        </w:numPr>
        <w:spacing w:after="0" w:line="288" w:lineRule="auto"/>
        <w:ind w:left="567" w:hanging="567"/>
        <w:jc w:val="both"/>
      </w:pPr>
      <w:r>
        <w:rPr>
          <w:lang w:bidi="mk-MK"/>
        </w:rPr>
        <w:t>повикуваат на отстранување на разните бариери што го спречуваат и попречуваат пристапот до права, добра и услуги за лицата со попреченост, особено младите и жените, како и да овозможат и поттикнат посоодветен и поквалитетен пристап до образование и вештини, вклучување и живот во заедницата, како и учество во сите процеси на донесување одлуки што ги засегаат;</w:t>
      </w:r>
    </w:p>
    <w:p w14:paraId="77B3B74C" w14:textId="77777777" w:rsidR="00F475C0" w:rsidRPr="00D45FE6" w:rsidRDefault="00F475C0" w:rsidP="00AE422C">
      <w:pPr>
        <w:pStyle w:val="ListParagraph"/>
        <w:spacing w:after="0" w:line="288" w:lineRule="auto"/>
        <w:ind w:left="567"/>
        <w:jc w:val="both"/>
      </w:pPr>
    </w:p>
    <w:p w14:paraId="03405044" w14:textId="4CB6FF18" w:rsidR="003173E7" w:rsidRPr="00D45FE6" w:rsidRDefault="001D43EB" w:rsidP="003D472E">
      <w:pPr>
        <w:pStyle w:val="ListParagraph"/>
        <w:numPr>
          <w:ilvl w:val="0"/>
          <w:numId w:val="13"/>
        </w:numPr>
        <w:spacing w:after="0" w:line="288" w:lineRule="auto"/>
        <w:ind w:left="567" w:hanging="567"/>
        <w:jc w:val="both"/>
      </w:pPr>
      <w:r>
        <w:rPr>
          <w:i/>
          <w:lang w:bidi="mk-MK"/>
        </w:rPr>
        <w:t>за унапредување на вклучувањето на Ромите за одржлив регионален раст</w:t>
      </w:r>
      <w:r>
        <w:rPr>
          <w:lang w:bidi="mk-MK"/>
        </w:rPr>
        <w:t xml:space="preserve">: нагласуваат дека ромското население останува најзагрозеното малцинство низ целиот Западен Балкан, со постојани бариери на образование, социјални услуги и вработување; нагласуваат дека таквото исклучување ја поткопува социјалната кохезија и ја ограничува конкурентноста и човечкиот капитал на регионот во рамките на Заедничкиот регионален пазар и агендата за интеграција во ЕУ; ги повикаат властите да донесат целни мерки во согласност со Декларацијата од Познањ - подобрување на резултатите од образованието, проширување на зелените и дигиталните вештини, обезбедување пристап до здравствена </w:t>
      </w:r>
      <w:r>
        <w:rPr>
          <w:lang w:bidi="mk-MK"/>
        </w:rPr>
        <w:lastRenderedPageBreak/>
        <w:t>заштита и домување и зголемување на прилагодената поддршка за вработување; нагласуваат дека вклучувањето на Ромите мора да биде составен дел од зелените и дигиталните транзиции со цел да се обезбеди праведна, инклузивна и отпорна регионална економија;</w:t>
      </w:r>
    </w:p>
    <w:p w14:paraId="6197A4F7" w14:textId="77777777" w:rsidR="00CE0216" w:rsidRPr="00D45FE6" w:rsidRDefault="00CE0216" w:rsidP="00CE0216">
      <w:pPr>
        <w:pStyle w:val="ListParagraph"/>
        <w:spacing w:after="0" w:line="288" w:lineRule="auto"/>
        <w:ind w:left="567"/>
        <w:jc w:val="both"/>
      </w:pPr>
    </w:p>
    <w:p w14:paraId="5184F239" w14:textId="17154E69" w:rsidR="00ED7160" w:rsidRPr="00D45FE6" w:rsidRDefault="00FC4171" w:rsidP="003D472E">
      <w:pPr>
        <w:pStyle w:val="ListParagraph"/>
        <w:numPr>
          <w:ilvl w:val="0"/>
          <w:numId w:val="13"/>
        </w:numPr>
        <w:spacing w:after="0" w:line="288" w:lineRule="auto"/>
        <w:ind w:left="567" w:hanging="567"/>
        <w:jc w:val="both"/>
      </w:pPr>
      <w:r>
        <w:rPr>
          <w:i/>
          <w:lang w:bidi="mk-MK"/>
        </w:rPr>
        <w:t>за справување со непријавена работа</w:t>
      </w:r>
      <w:r>
        <w:rPr>
          <w:lang w:bidi="mk-MK"/>
        </w:rPr>
        <w:t>: истакнуваат дека непријавената работа останува значаен предизвик во целиот регион и ги поттикнуваат властите да усвојат координирана стратегија водена од стимулации за трансформирање на непријавената работа во пријавена работа. Овој пристап треба да ги интегрира политиките за труд, даноци и социјална заштита, да ги поедностави формалните процедури за вработување и да понуди практични стимулации (како што се даночни олеснувања или пристап до бенефиции) за работниците и работодавачите со цел формализирање на работата. Исто така, треба да се даде приоритет на правните и институционалните реформи што обезбедуваат фер услови за работниците на платформи, особено на справување со ригидноста на даночните системи на самовработените, кои честопати ја обесхрабруваат формализацијата и дејствуваат како клучна структурна бариера за намалување на неформалноста во регионот;</w:t>
      </w:r>
    </w:p>
    <w:p w14:paraId="58013D8B" w14:textId="77777777" w:rsidR="00ED7160" w:rsidRPr="00D45FE6" w:rsidRDefault="00ED7160" w:rsidP="00ED7160">
      <w:pPr>
        <w:pStyle w:val="ListParagraph"/>
        <w:spacing w:after="0" w:line="288" w:lineRule="auto"/>
        <w:ind w:left="567"/>
        <w:jc w:val="both"/>
      </w:pPr>
    </w:p>
    <w:p w14:paraId="08FAE5C8" w14:textId="0B7152CF" w:rsidR="0010786D" w:rsidRPr="00D45FE6" w:rsidRDefault="00CC24DD" w:rsidP="00CE0216">
      <w:pPr>
        <w:pStyle w:val="ListParagraph"/>
        <w:numPr>
          <w:ilvl w:val="0"/>
          <w:numId w:val="13"/>
        </w:numPr>
        <w:spacing w:after="0" w:line="288" w:lineRule="auto"/>
        <w:ind w:left="567" w:hanging="567"/>
        <w:jc w:val="both"/>
      </w:pPr>
      <w:r w:rsidRPr="00FD06F1">
        <w:rPr>
          <w:lang w:bidi="mk-MK"/>
        </w:rPr>
        <w:t xml:space="preserve">цврсто веруваат дека, со оглед на потребните значителни инвестиции и регулаторни прилагодувања, социјалните партнери и организациите на граѓанското општество имаат особено важна улога во социоекономската конвергенција на Западен Балкан со ЕУ и во транзицијата кон поодржливо општество; </w:t>
      </w:r>
    </w:p>
    <w:p w14:paraId="1C4DDA83" w14:textId="77777777" w:rsidR="0010786D" w:rsidRPr="00D45FE6" w:rsidRDefault="0010786D" w:rsidP="00C12760">
      <w:pPr>
        <w:pStyle w:val="ListParagraph"/>
        <w:spacing w:after="0" w:line="288" w:lineRule="auto"/>
        <w:ind w:left="567"/>
      </w:pPr>
    </w:p>
    <w:p w14:paraId="502D2177" w14:textId="67AB103C" w:rsidR="00065312" w:rsidRPr="00D45FE6" w:rsidRDefault="00E727FC" w:rsidP="003D472E">
      <w:pPr>
        <w:pStyle w:val="ListParagraph"/>
        <w:numPr>
          <w:ilvl w:val="0"/>
          <w:numId w:val="13"/>
        </w:numPr>
        <w:spacing w:after="0" w:line="288" w:lineRule="auto"/>
        <w:ind w:left="567" w:hanging="567"/>
        <w:jc w:val="both"/>
      </w:pPr>
      <w:r w:rsidRPr="00FD06F1">
        <w:rPr>
          <w:lang w:bidi="mk-MK"/>
        </w:rPr>
        <w:t xml:space="preserve">цврсто веруваат дека ЕУ треба да се фокусира на и да ја зголеми својата поддршка за социјалните партнери и организираното граѓанско општество со цел да допре до пошироката јавност и да го премости јазот меѓу националните институции и пошироката јавност, бидејќи тие се вистинските двигатели на промените со цел да се исполнат целите на Европскиот столб на социјални права. </w:t>
      </w:r>
    </w:p>
    <w:p w14:paraId="6E69BCA0" w14:textId="09D10567" w:rsidR="00F41763" w:rsidRPr="00D45FE6" w:rsidRDefault="00F41763" w:rsidP="003D472E">
      <w:pPr>
        <w:spacing w:after="0" w:line="288" w:lineRule="auto"/>
        <w:jc w:val="both"/>
      </w:pPr>
    </w:p>
    <w:p w14:paraId="697643A1" w14:textId="77777777" w:rsidR="00F41763" w:rsidRPr="00DA6486" w:rsidRDefault="003D472E" w:rsidP="003D472E">
      <w:pPr>
        <w:overflowPunct w:val="0"/>
        <w:autoSpaceDE w:val="0"/>
        <w:autoSpaceDN w:val="0"/>
        <w:adjustRightInd w:val="0"/>
        <w:spacing w:after="0" w:line="288" w:lineRule="auto"/>
        <w:jc w:val="center"/>
        <w:textAlignment w:val="baseline"/>
        <w:rPr>
          <w:lang w:val="en-GB"/>
        </w:rPr>
      </w:pPr>
      <w:r w:rsidRPr="00C12760">
        <w:rPr>
          <w:lang w:bidi="mk-MK"/>
        </w:rPr>
        <w:t>_____________</w:t>
      </w:r>
    </w:p>
    <w:sectPr w:rsidR="00F41763" w:rsidRPr="00DA6486" w:rsidSect="00EE2D4E">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DD5F" w14:textId="77777777" w:rsidR="009D35FF" w:rsidRDefault="009D35FF" w:rsidP="00AC3263">
      <w:pPr>
        <w:spacing w:after="0" w:line="240" w:lineRule="auto"/>
      </w:pPr>
      <w:r>
        <w:separator/>
      </w:r>
    </w:p>
  </w:endnote>
  <w:endnote w:type="continuationSeparator" w:id="0">
    <w:p w14:paraId="26729649" w14:textId="77777777" w:rsidR="009D35FF" w:rsidRDefault="009D35FF" w:rsidP="00A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79C" w14:textId="77777777" w:rsidR="00D23693" w:rsidRDefault="00D2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906F" w14:textId="31F652D4" w:rsidR="00EE2D4E" w:rsidRPr="00EE2D4E" w:rsidRDefault="00D23693" w:rsidP="00EE2D4E">
    <w:pPr>
      <w:pStyle w:val="Footer"/>
    </w:pPr>
    <w:r>
      <w:rPr>
        <w:lang w:bidi="mk-MK"/>
      </w:rPr>
      <w:t xml:space="preserve">REX/184 – EESC-2025-01674-00-00-DECL-TRA (MK) </w:t>
    </w:r>
    <w:r>
      <w:rPr>
        <w:lang w:bidi="mk-MK"/>
      </w:rPr>
      <w:fldChar w:fldCharType="begin"/>
    </w:r>
    <w:r>
      <w:rPr>
        <w:lang w:bidi="mk-MK"/>
      </w:rPr>
      <w:instrText xml:space="preserve"> PAGE  \* Arabic  \* MERGEFORMAT </w:instrText>
    </w:r>
    <w:r>
      <w:rPr>
        <w:lang w:bidi="mk-MK"/>
      </w:rPr>
      <w:fldChar w:fldCharType="separate"/>
    </w:r>
    <w:r w:rsidR="00135E67">
      <w:rPr>
        <w:noProof/>
        <w:lang w:bidi="mk-MK"/>
      </w:rPr>
      <w:t>1</w:t>
    </w:r>
    <w:r>
      <w:rPr>
        <w:lang w:bidi="mk-MK"/>
      </w:rPr>
      <w:fldChar w:fldCharType="end"/>
    </w:r>
    <w:r>
      <w:rPr>
        <w:lang w:bidi="mk-MK"/>
      </w:rPr>
      <w:t>/</w:t>
    </w:r>
    <w:r w:rsidR="009D35FF">
      <w:rPr>
        <w:lang w:bidi="mk-MK"/>
      </w:rPr>
      <w:fldChar w:fldCharType="begin"/>
    </w:r>
    <w:r w:rsidR="009D35FF">
      <w:rPr>
        <w:lang w:bidi="mk-MK"/>
      </w:rPr>
      <w:instrText xml:space="preserve"> NUMPAGES </w:instrText>
    </w:r>
    <w:r w:rsidR="009D35FF">
      <w:rPr>
        <w:lang w:bidi="mk-MK"/>
      </w:rPr>
      <w:fldChar w:fldCharType="separate"/>
    </w:r>
    <w:r w:rsidR="00135E67">
      <w:rPr>
        <w:noProof/>
        <w:lang w:bidi="mk-MK"/>
      </w:rPr>
      <w:t>1</w:t>
    </w:r>
    <w:r w:rsidR="009D35FF">
      <w:rPr>
        <w:lang w:bidi="mk-M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9691D" w14:textId="77777777" w:rsidR="00D23693" w:rsidRDefault="00D2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2EBC" w14:textId="77777777" w:rsidR="009D35FF" w:rsidRDefault="009D35FF" w:rsidP="00AC3263">
      <w:pPr>
        <w:spacing w:after="0" w:line="240" w:lineRule="auto"/>
      </w:pPr>
      <w:r>
        <w:separator/>
      </w:r>
    </w:p>
  </w:footnote>
  <w:footnote w:type="continuationSeparator" w:id="0">
    <w:p w14:paraId="5720C710" w14:textId="77777777" w:rsidR="009D35FF" w:rsidRDefault="009D35FF" w:rsidP="00AC3263">
      <w:pPr>
        <w:spacing w:after="0" w:line="240" w:lineRule="auto"/>
      </w:pPr>
      <w:r>
        <w:continuationSeparator/>
      </w:r>
    </w:p>
  </w:footnote>
  <w:footnote w:id="1">
    <w:p w14:paraId="0A5C67AB" w14:textId="158288E6" w:rsidR="00E03AF7" w:rsidRPr="00E03AF7" w:rsidRDefault="00E03AF7" w:rsidP="00E03AF7">
      <w:pPr>
        <w:pStyle w:val="FootnoteText"/>
        <w:ind w:left="567" w:hanging="567"/>
        <w:rPr>
          <w:lang w:val="hr-HR"/>
        </w:rPr>
      </w:pPr>
      <w:r>
        <w:rPr>
          <w:rStyle w:val="FootnoteReference"/>
          <w:rFonts w:ascii="Arial" w:eastAsia="Arial" w:hAnsi="Arial" w:cs="Arial"/>
          <w:lang w:bidi="mk-MK"/>
        </w:rPr>
        <w:t>⃰</w:t>
      </w:r>
      <w:r w:rsidRPr="00847CC7">
        <w:rPr>
          <w:sz w:val="32"/>
          <w:szCs w:val="32"/>
          <w:lang w:bidi="mk-MK"/>
        </w:rPr>
        <w:t xml:space="preserve"> </w:t>
      </w:r>
      <w:r>
        <w:rPr>
          <w:lang w:bidi="mk-MK"/>
        </w:rPr>
        <w:tab/>
      </w:r>
      <w:r w:rsidRPr="00E03AF7">
        <w:rPr>
          <w:sz w:val="16"/>
          <w:szCs w:val="16"/>
          <w:lang w:bidi="mk-MK"/>
        </w:rPr>
        <w:t>Оваа ознака не е во спротивност со ставовите за статусот и е во согласност со Резолуцијата на Советот за безбедност на ОН 1244/1999 и мислењето на МСП во врска со Декларацијата за независност на Косово.</w:t>
      </w:r>
    </w:p>
  </w:footnote>
  <w:footnote w:id="2">
    <w:p w14:paraId="7F534AB2" w14:textId="44121EA2" w:rsidR="00CB2FE4" w:rsidRPr="00CB2FE4" w:rsidRDefault="00CB2FE4">
      <w:pPr>
        <w:pStyle w:val="FootnoteText"/>
        <w:rPr>
          <w:lang w:val="hr-HR"/>
        </w:rPr>
      </w:pPr>
      <w:r>
        <w:rPr>
          <w:rStyle w:val="FootnoteReference"/>
          <w:lang w:bidi="mk-MK"/>
        </w:rPr>
        <w:footnoteRef/>
      </w:r>
      <w:r>
        <w:rPr>
          <w:lang w:bidi="mk-MK"/>
        </w:rPr>
        <w:t xml:space="preserve"> </w:t>
      </w:r>
      <w:r>
        <w:rPr>
          <w:lang w:bidi="mk-MK"/>
        </w:rPr>
        <w:tab/>
      </w:r>
      <w:hyperlink r:id="rId1" w:history="1">
        <w:r w:rsidRPr="00CB2FE4">
          <w:rPr>
            <w:rStyle w:val="Hyperlink"/>
            <w:lang w:bidi="mk-MK"/>
          </w:rPr>
          <w:t>Перспектива за конкурентност на Западен Балкан за 2024 година: Регионален профил | ОЕЦД</w:t>
        </w:r>
      </w:hyperlink>
      <w:r>
        <w:rPr>
          <w:lang w:bidi="mk-MK"/>
        </w:rPr>
        <w:t>.</w:t>
      </w:r>
    </w:p>
  </w:footnote>
  <w:footnote w:id="3">
    <w:p w14:paraId="1DE331ED" w14:textId="00A8228D" w:rsidR="00CD5A1C" w:rsidRPr="00CD5A1C" w:rsidRDefault="00CD5A1C">
      <w:pPr>
        <w:pStyle w:val="FootnoteText"/>
        <w:rPr>
          <w:lang w:val="hr-HR"/>
        </w:rPr>
      </w:pPr>
      <w:r>
        <w:rPr>
          <w:rStyle w:val="FootnoteReference"/>
          <w:lang w:bidi="mk-MK"/>
        </w:rPr>
        <w:footnoteRef/>
      </w:r>
      <w:r>
        <w:rPr>
          <w:lang w:bidi="mk-MK"/>
        </w:rPr>
        <w:t xml:space="preserve"> </w:t>
      </w:r>
      <w:r>
        <w:rPr>
          <w:lang w:bidi="mk-MK"/>
        </w:rPr>
        <w:tab/>
      </w:r>
      <w:hyperlink r:id="rId2" w:history="1">
        <w:r w:rsidRPr="00CD5A1C">
          <w:rPr>
            <w:rStyle w:val="Hyperlink"/>
            <w:lang w:bidi="mk-MK"/>
          </w:rPr>
          <w:t>Улогата на организациите на граѓанското општество во развојот на човечкиот капитал и доживотното учење | ЕТФ</w:t>
        </w:r>
      </w:hyperlink>
      <w:r>
        <w:rPr>
          <w:lang w:bidi="mk-M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78A0" w14:textId="77777777" w:rsidR="00D23693" w:rsidRDefault="00D23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F69E" w14:textId="77777777" w:rsidR="00D23693" w:rsidRDefault="00D23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7C93" w14:textId="77777777" w:rsidR="00D23693" w:rsidRDefault="00D23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95F"/>
    <w:multiLevelType w:val="hybridMultilevel"/>
    <w:tmpl w:val="13E46B8E"/>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32AA5F39"/>
    <w:multiLevelType w:val="multilevel"/>
    <w:tmpl w:val="08BE9E92"/>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BC4F70"/>
    <w:multiLevelType w:val="hybridMultilevel"/>
    <w:tmpl w:val="45BED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D8028CC"/>
    <w:multiLevelType w:val="hybridMultilevel"/>
    <w:tmpl w:val="B1F0F564"/>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3E562496"/>
    <w:multiLevelType w:val="hybridMultilevel"/>
    <w:tmpl w:val="E9CE1594"/>
    <w:lvl w:ilvl="0" w:tplc="0616D716">
      <w:start w:val="1"/>
      <w:numFmt w:val="low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5" w15:restartNumberingAfterBreak="0">
    <w:nsid w:val="492D7B72"/>
    <w:multiLevelType w:val="multilevel"/>
    <w:tmpl w:val="640A4066"/>
    <w:lvl w:ilvl="0">
      <w:start w:val="1"/>
      <w:numFmt w:val="decimal"/>
      <w:lvlText w:val="%1."/>
      <w:lvlJc w:val="left"/>
      <w:pPr>
        <w:tabs>
          <w:tab w:val="num" w:pos="2061"/>
        </w:tabs>
        <w:ind w:left="2061"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06D2460"/>
    <w:multiLevelType w:val="hybridMultilevel"/>
    <w:tmpl w:val="CEECB754"/>
    <w:lvl w:ilvl="0" w:tplc="27BEFA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D961072"/>
    <w:multiLevelType w:val="multilevel"/>
    <w:tmpl w:val="DEAAD07E"/>
    <w:lvl w:ilvl="0">
      <w:start w:val="1"/>
      <w:numFmt w:val="decimal"/>
      <w:lvlText w:val="%1."/>
      <w:lvlJc w:val="left"/>
      <w:pPr>
        <w:ind w:left="720" w:hanging="360"/>
      </w:pPr>
      <w:rPr>
        <w:rFonts w:hint="default"/>
        <w:b/>
        <w:i w:val="0"/>
      </w:rPr>
    </w:lvl>
    <w:lvl w:ilvl="1">
      <w:start w:val="1"/>
      <w:numFmt w:val="decimal"/>
      <w:isLgl/>
      <w:lvlText w:val="%1.%2."/>
      <w:lvlJc w:val="left"/>
      <w:pPr>
        <w:ind w:left="740" w:hanging="38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C626A"/>
    <w:multiLevelType w:val="hybridMultilevel"/>
    <w:tmpl w:val="027CAC38"/>
    <w:lvl w:ilvl="0" w:tplc="7BC6BE3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718F523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506F75"/>
    <w:multiLevelType w:val="multilevel"/>
    <w:tmpl w:val="479A5AF2"/>
    <w:lvl w:ilvl="0">
      <w:start w:val="1"/>
      <w:numFmt w:val="decimal"/>
      <w:lvlText w:val="%1."/>
      <w:lvlJc w:val="left"/>
      <w:pPr>
        <w:tabs>
          <w:tab w:val="num" w:pos="2061"/>
        </w:tabs>
        <w:ind w:left="2061"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85E0F3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7B0237"/>
    <w:multiLevelType w:val="hybridMultilevel"/>
    <w:tmpl w:val="351CF4F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9"/>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3"/>
  </w:num>
  <w:num w:numId="12">
    <w:abstractNumId w:val="7"/>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16"/>
    <w:rsid w:val="0000000E"/>
    <w:rsid w:val="00005FE7"/>
    <w:rsid w:val="00006380"/>
    <w:rsid w:val="00006912"/>
    <w:rsid w:val="000171E1"/>
    <w:rsid w:val="0002129F"/>
    <w:rsid w:val="0002152F"/>
    <w:rsid w:val="00027DE1"/>
    <w:rsid w:val="0003314C"/>
    <w:rsid w:val="0003481F"/>
    <w:rsid w:val="00040F8E"/>
    <w:rsid w:val="0004174A"/>
    <w:rsid w:val="000452F2"/>
    <w:rsid w:val="00046256"/>
    <w:rsid w:val="00046FEA"/>
    <w:rsid w:val="0005708C"/>
    <w:rsid w:val="000610D9"/>
    <w:rsid w:val="000638FA"/>
    <w:rsid w:val="000647F5"/>
    <w:rsid w:val="00065312"/>
    <w:rsid w:val="0006639C"/>
    <w:rsid w:val="00077258"/>
    <w:rsid w:val="000808F4"/>
    <w:rsid w:val="000916E6"/>
    <w:rsid w:val="00093BCE"/>
    <w:rsid w:val="00095A04"/>
    <w:rsid w:val="000977BB"/>
    <w:rsid w:val="000A6E83"/>
    <w:rsid w:val="000A7577"/>
    <w:rsid w:val="000B1D8E"/>
    <w:rsid w:val="000B7392"/>
    <w:rsid w:val="000C4E4D"/>
    <w:rsid w:val="000C7832"/>
    <w:rsid w:val="000C7CDC"/>
    <w:rsid w:val="000E16BF"/>
    <w:rsid w:val="000E1A54"/>
    <w:rsid w:val="000E6063"/>
    <w:rsid w:val="000E7F06"/>
    <w:rsid w:val="00102226"/>
    <w:rsid w:val="0010301D"/>
    <w:rsid w:val="00105814"/>
    <w:rsid w:val="0010786D"/>
    <w:rsid w:val="0011557A"/>
    <w:rsid w:val="001315B4"/>
    <w:rsid w:val="001331D7"/>
    <w:rsid w:val="001336E3"/>
    <w:rsid w:val="00135E67"/>
    <w:rsid w:val="00142EE4"/>
    <w:rsid w:val="001435A4"/>
    <w:rsid w:val="00151025"/>
    <w:rsid w:val="00154CB3"/>
    <w:rsid w:val="00157DD2"/>
    <w:rsid w:val="001641CE"/>
    <w:rsid w:val="00172305"/>
    <w:rsid w:val="00172680"/>
    <w:rsid w:val="00190FED"/>
    <w:rsid w:val="0019228F"/>
    <w:rsid w:val="001928E7"/>
    <w:rsid w:val="00196BD6"/>
    <w:rsid w:val="001A0CA8"/>
    <w:rsid w:val="001A6389"/>
    <w:rsid w:val="001A6E76"/>
    <w:rsid w:val="001B1C10"/>
    <w:rsid w:val="001B2CCF"/>
    <w:rsid w:val="001B64EE"/>
    <w:rsid w:val="001C2818"/>
    <w:rsid w:val="001C3A0E"/>
    <w:rsid w:val="001D43EB"/>
    <w:rsid w:val="001D6489"/>
    <w:rsid w:val="001E720A"/>
    <w:rsid w:val="001F1464"/>
    <w:rsid w:val="001F2077"/>
    <w:rsid w:val="00206061"/>
    <w:rsid w:val="00207FDA"/>
    <w:rsid w:val="00222237"/>
    <w:rsid w:val="00223094"/>
    <w:rsid w:val="00230C09"/>
    <w:rsid w:val="00244E81"/>
    <w:rsid w:val="0025101B"/>
    <w:rsid w:val="002519D2"/>
    <w:rsid w:val="00253C6F"/>
    <w:rsid w:val="0025753A"/>
    <w:rsid w:val="00266690"/>
    <w:rsid w:val="0027034D"/>
    <w:rsid w:val="00273815"/>
    <w:rsid w:val="00273DAA"/>
    <w:rsid w:val="00274E14"/>
    <w:rsid w:val="00276DDB"/>
    <w:rsid w:val="00277163"/>
    <w:rsid w:val="00282CFC"/>
    <w:rsid w:val="002833F6"/>
    <w:rsid w:val="00287BF3"/>
    <w:rsid w:val="002928BA"/>
    <w:rsid w:val="002A64A9"/>
    <w:rsid w:val="002B31B5"/>
    <w:rsid w:val="002B3EE3"/>
    <w:rsid w:val="002C0287"/>
    <w:rsid w:val="002C26BA"/>
    <w:rsid w:val="002C33C8"/>
    <w:rsid w:val="002C6A69"/>
    <w:rsid w:val="002D2221"/>
    <w:rsid w:val="002D2EF8"/>
    <w:rsid w:val="002D4254"/>
    <w:rsid w:val="002E09CC"/>
    <w:rsid w:val="002E4E39"/>
    <w:rsid w:val="002E776C"/>
    <w:rsid w:val="002F11A2"/>
    <w:rsid w:val="002F14A7"/>
    <w:rsid w:val="002F17E5"/>
    <w:rsid w:val="002F3EC1"/>
    <w:rsid w:val="002F5115"/>
    <w:rsid w:val="002F56B1"/>
    <w:rsid w:val="00306248"/>
    <w:rsid w:val="00306985"/>
    <w:rsid w:val="003160EB"/>
    <w:rsid w:val="003173E7"/>
    <w:rsid w:val="003178C2"/>
    <w:rsid w:val="00317FCC"/>
    <w:rsid w:val="00321713"/>
    <w:rsid w:val="0032405E"/>
    <w:rsid w:val="00330F48"/>
    <w:rsid w:val="00333B33"/>
    <w:rsid w:val="00340D76"/>
    <w:rsid w:val="003420B1"/>
    <w:rsid w:val="00344FB1"/>
    <w:rsid w:val="0034508C"/>
    <w:rsid w:val="00345C11"/>
    <w:rsid w:val="00346278"/>
    <w:rsid w:val="0035395B"/>
    <w:rsid w:val="0035619F"/>
    <w:rsid w:val="00365222"/>
    <w:rsid w:val="00365E88"/>
    <w:rsid w:val="00366549"/>
    <w:rsid w:val="003737C8"/>
    <w:rsid w:val="0038417B"/>
    <w:rsid w:val="003949C2"/>
    <w:rsid w:val="003A2507"/>
    <w:rsid w:val="003A35CA"/>
    <w:rsid w:val="003A3659"/>
    <w:rsid w:val="003A5DEE"/>
    <w:rsid w:val="003B48AE"/>
    <w:rsid w:val="003C0BFF"/>
    <w:rsid w:val="003C1C26"/>
    <w:rsid w:val="003C5FCB"/>
    <w:rsid w:val="003D2553"/>
    <w:rsid w:val="003D472E"/>
    <w:rsid w:val="003D4F99"/>
    <w:rsid w:val="003E2A93"/>
    <w:rsid w:val="003E412E"/>
    <w:rsid w:val="003E69EC"/>
    <w:rsid w:val="00400279"/>
    <w:rsid w:val="00403983"/>
    <w:rsid w:val="00416FD6"/>
    <w:rsid w:val="004249B0"/>
    <w:rsid w:val="00427D2A"/>
    <w:rsid w:val="00430E7D"/>
    <w:rsid w:val="00433167"/>
    <w:rsid w:val="004434B1"/>
    <w:rsid w:val="00447DC1"/>
    <w:rsid w:val="0045176C"/>
    <w:rsid w:val="00461047"/>
    <w:rsid w:val="00462AFF"/>
    <w:rsid w:val="00472CCD"/>
    <w:rsid w:val="00474D3B"/>
    <w:rsid w:val="00481BE2"/>
    <w:rsid w:val="00482F32"/>
    <w:rsid w:val="00485DEB"/>
    <w:rsid w:val="00494902"/>
    <w:rsid w:val="004A01A2"/>
    <w:rsid w:val="004A21FB"/>
    <w:rsid w:val="004B5F23"/>
    <w:rsid w:val="004B7935"/>
    <w:rsid w:val="004C0342"/>
    <w:rsid w:val="004C3DCE"/>
    <w:rsid w:val="004D56A7"/>
    <w:rsid w:val="004E14E9"/>
    <w:rsid w:val="004E20B5"/>
    <w:rsid w:val="004E3417"/>
    <w:rsid w:val="004E447D"/>
    <w:rsid w:val="004E5805"/>
    <w:rsid w:val="0050086E"/>
    <w:rsid w:val="005030A8"/>
    <w:rsid w:val="00503945"/>
    <w:rsid w:val="00503EDA"/>
    <w:rsid w:val="005049AE"/>
    <w:rsid w:val="00511F13"/>
    <w:rsid w:val="00513AF2"/>
    <w:rsid w:val="00523CB5"/>
    <w:rsid w:val="00530434"/>
    <w:rsid w:val="00537697"/>
    <w:rsid w:val="00541F6A"/>
    <w:rsid w:val="00542251"/>
    <w:rsid w:val="00553A3E"/>
    <w:rsid w:val="00554169"/>
    <w:rsid w:val="00562E01"/>
    <w:rsid w:val="005723FF"/>
    <w:rsid w:val="00572568"/>
    <w:rsid w:val="00585F0F"/>
    <w:rsid w:val="005923B0"/>
    <w:rsid w:val="005A195F"/>
    <w:rsid w:val="005A4549"/>
    <w:rsid w:val="005A7A55"/>
    <w:rsid w:val="005B1AC7"/>
    <w:rsid w:val="005B3FC8"/>
    <w:rsid w:val="005B44D7"/>
    <w:rsid w:val="005B60F7"/>
    <w:rsid w:val="005C5D5D"/>
    <w:rsid w:val="005D5A4E"/>
    <w:rsid w:val="005D7543"/>
    <w:rsid w:val="005E3212"/>
    <w:rsid w:val="005E3CE0"/>
    <w:rsid w:val="005E49BC"/>
    <w:rsid w:val="005E4D07"/>
    <w:rsid w:val="005F511A"/>
    <w:rsid w:val="006002F8"/>
    <w:rsid w:val="006026AA"/>
    <w:rsid w:val="0060358D"/>
    <w:rsid w:val="006061D7"/>
    <w:rsid w:val="0060709E"/>
    <w:rsid w:val="00613268"/>
    <w:rsid w:val="00614464"/>
    <w:rsid w:val="00614958"/>
    <w:rsid w:val="00615CA0"/>
    <w:rsid w:val="0062326A"/>
    <w:rsid w:val="00626DAE"/>
    <w:rsid w:val="00626FC9"/>
    <w:rsid w:val="00631EDF"/>
    <w:rsid w:val="006349F0"/>
    <w:rsid w:val="00640393"/>
    <w:rsid w:val="00645637"/>
    <w:rsid w:val="00646865"/>
    <w:rsid w:val="00651981"/>
    <w:rsid w:val="00651990"/>
    <w:rsid w:val="00654E7C"/>
    <w:rsid w:val="00657BB2"/>
    <w:rsid w:val="006629AB"/>
    <w:rsid w:val="00665196"/>
    <w:rsid w:val="0067414E"/>
    <w:rsid w:val="00675623"/>
    <w:rsid w:val="00676A3B"/>
    <w:rsid w:val="00684F13"/>
    <w:rsid w:val="0069791B"/>
    <w:rsid w:val="006A663D"/>
    <w:rsid w:val="006B283E"/>
    <w:rsid w:val="006B65AB"/>
    <w:rsid w:val="006C073E"/>
    <w:rsid w:val="006C18C0"/>
    <w:rsid w:val="006C4235"/>
    <w:rsid w:val="006C5C61"/>
    <w:rsid w:val="006D3C43"/>
    <w:rsid w:val="006E3C3A"/>
    <w:rsid w:val="006E72F7"/>
    <w:rsid w:val="006F39CD"/>
    <w:rsid w:val="006F6A77"/>
    <w:rsid w:val="00710930"/>
    <w:rsid w:val="00714A9E"/>
    <w:rsid w:val="007150EB"/>
    <w:rsid w:val="00722F17"/>
    <w:rsid w:val="00724BF4"/>
    <w:rsid w:val="00725C8A"/>
    <w:rsid w:val="00726B8A"/>
    <w:rsid w:val="00732046"/>
    <w:rsid w:val="00733DC9"/>
    <w:rsid w:val="007341C7"/>
    <w:rsid w:val="00741302"/>
    <w:rsid w:val="00742020"/>
    <w:rsid w:val="00742CE0"/>
    <w:rsid w:val="00743C98"/>
    <w:rsid w:val="00745087"/>
    <w:rsid w:val="00750362"/>
    <w:rsid w:val="00750E99"/>
    <w:rsid w:val="007517A3"/>
    <w:rsid w:val="00774D6B"/>
    <w:rsid w:val="00781D14"/>
    <w:rsid w:val="00783ED7"/>
    <w:rsid w:val="00787C35"/>
    <w:rsid w:val="007914A0"/>
    <w:rsid w:val="0079226A"/>
    <w:rsid w:val="0079312D"/>
    <w:rsid w:val="007946D9"/>
    <w:rsid w:val="007A201F"/>
    <w:rsid w:val="007A5934"/>
    <w:rsid w:val="007B20B6"/>
    <w:rsid w:val="007B4C10"/>
    <w:rsid w:val="007B4CDE"/>
    <w:rsid w:val="007B4EFD"/>
    <w:rsid w:val="007B6A33"/>
    <w:rsid w:val="007C0663"/>
    <w:rsid w:val="007D3816"/>
    <w:rsid w:val="007E1739"/>
    <w:rsid w:val="007E3865"/>
    <w:rsid w:val="007E7E79"/>
    <w:rsid w:val="007F4FA0"/>
    <w:rsid w:val="007F6D32"/>
    <w:rsid w:val="007F700F"/>
    <w:rsid w:val="007F7D04"/>
    <w:rsid w:val="007F7D5B"/>
    <w:rsid w:val="00815024"/>
    <w:rsid w:val="00815C27"/>
    <w:rsid w:val="00821576"/>
    <w:rsid w:val="0082728B"/>
    <w:rsid w:val="00836FE1"/>
    <w:rsid w:val="00837646"/>
    <w:rsid w:val="00842FA8"/>
    <w:rsid w:val="00847CC7"/>
    <w:rsid w:val="00860107"/>
    <w:rsid w:val="0086652F"/>
    <w:rsid w:val="008705E9"/>
    <w:rsid w:val="008803EF"/>
    <w:rsid w:val="00883F5D"/>
    <w:rsid w:val="00886F68"/>
    <w:rsid w:val="008945BA"/>
    <w:rsid w:val="00894B55"/>
    <w:rsid w:val="008A537E"/>
    <w:rsid w:val="008A70A0"/>
    <w:rsid w:val="008B55DC"/>
    <w:rsid w:val="008C47BD"/>
    <w:rsid w:val="008C5256"/>
    <w:rsid w:val="008C73C4"/>
    <w:rsid w:val="008C78E0"/>
    <w:rsid w:val="008D069B"/>
    <w:rsid w:val="008D4483"/>
    <w:rsid w:val="008E0EC6"/>
    <w:rsid w:val="008F015E"/>
    <w:rsid w:val="008F3D9C"/>
    <w:rsid w:val="0090134E"/>
    <w:rsid w:val="009053F5"/>
    <w:rsid w:val="00905B49"/>
    <w:rsid w:val="00906852"/>
    <w:rsid w:val="009126B5"/>
    <w:rsid w:val="009164DC"/>
    <w:rsid w:val="00922C2D"/>
    <w:rsid w:val="00927A02"/>
    <w:rsid w:val="00930858"/>
    <w:rsid w:val="0094300E"/>
    <w:rsid w:val="00957757"/>
    <w:rsid w:val="00957D9B"/>
    <w:rsid w:val="009609C8"/>
    <w:rsid w:val="0096238C"/>
    <w:rsid w:val="00962A28"/>
    <w:rsid w:val="0097308C"/>
    <w:rsid w:val="009751AD"/>
    <w:rsid w:val="00975A8B"/>
    <w:rsid w:val="00980434"/>
    <w:rsid w:val="00981085"/>
    <w:rsid w:val="00981825"/>
    <w:rsid w:val="009820E9"/>
    <w:rsid w:val="00986867"/>
    <w:rsid w:val="00990132"/>
    <w:rsid w:val="00993E8A"/>
    <w:rsid w:val="009964D8"/>
    <w:rsid w:val="009A1A04"/>
    <w:rsid w:val="009A2A7C"/>
    <w:rsid w:val="009A750E"/>
    <w:rsid w:val="009A7761"/>
    <w:rsid w:val="009B2E45"/>
    <w:rsid w:val="009B3023"/>
    <w:rsid w:val="009B4ECA"/>
    <w:rsid w:val="009C1489"/>
    <w:rsid w:val="009D35FF"/>
    <w:rsid w:val="009D37E6"/>
    <w:rsid w:val="009D4C27"/>
    <w:rsid w:val="009D515A"/>
    <w:rsid w:val="009E15BD"/>
    <w:rsid w:val="009E2D8B"/>
    <w:rsid w:val="009E7239"/>
    <w:rsid w:val="00A00E9D"/>
    <w:rsid w:val="00A0290D"/>
    <w:rsid w:val="00A0691A"/>
    <w:rsid w:val="00A078B6"/>
    <w:rsid w:val="00A135E3"/>
    <w:rsid w:val="00A16E1A"/>
    <w:rsid w:val="00A2384E"/>
    <w:rsid w:val="00A24781"/>
    <w:rsid w:val="00A24B0C"/>
    <w:rsid w:val="00A268AA"/>
    <w:rsid w:val="00A30732"/>
    <w:rsid w:val="00A33114"/>
    <w:rsid w:val="00A40A49"/>
    <w:rsid w:val="00A53BC7"/>
    <w:rsid w:val="00A6317B"/>
    <w:rsid w:val="00A70233"/>
    <w:rsid w:val="00A73F5B"/>
    <w:rsid w:val="00A74221"/>
    <w:rsid w:val="00A743F9"/>
    <w:rsid w:val="00A7632A"/>
    <w:rsid w:val="00A80E09"/>
    <w:rsid w:val="00A82E12"/>
    <w:rsid w:val="00A8352A"/>
    <w:rsid w:val="00A84103"/>
    <w:rsid w:val="00A84EBC"/>
    <w:rsid w:val="00A9756B"/>
    <w:rsid w:val="00AA7A97"/>
    <w:rsid w:val="00AC2561"/>
    <w:rsid w:val="00AC3263"/>
    <w:rsid w:val="00AC5D4E"/>
    <w:rsid w:val="00AC622C"/>
    <w:rsid w:val="00AD43CF"/>
    <w:rsid w:val="00AE1B0A"/>
    <w:rsid w:val="00AE422C"/>
    <w:rsid w:val="00AF6247"/>
    <w:rsid w:val="00AF746C"/>
    <w:rsid w:val="00B03701"/>
    <w:rsid w:val="00B04016"/>
    <w:rsid w:val="00B11232"/>
    <w:rsid w:val="00B113BB"/>
    <w:rsid w:val="00B119BA"/>
    <w:rsid w:val="00B11A56"/>
    <w:rsid w:val="00B16074"/>
    <w:rsid w:val="00B168B2"/>
    <w:rsid w:val="00B25950"/>
    <w:rsid w:val="00B35438"/>
    <w:rsid w:val="00B3666E"/>
    <w:rsid w:val="00B40831"/>
    <w:rsid w:val="00B44CFC"/>
    <w:rsid w:val="00B47614"/>
    <w:rsid w:val="00B5012B"/>
    <w:rsid w:val="00B545E9"/>
    <w:rsid w:val="00B61614"/>
    <w:rsid w:val="00B61DD3"/>
    <w:rsid w:val="00B6552B"/>
    <w:rsid w:val="00B65B8F"/>
    <w:rsid w:val="00B8109A"/>
    <w:rsid w:val="00B81EC0"/>
    <w:rsid w:val="00B905C5"/>
    <w:rsid w:val="00B936FC"/>
    <w:rsid w:val="00B93FDC"/>
    <w:rsid w:val="00B94269"/>
    <w:rsid w:val="00B94FE5"/>
    <w:rsid w:val="00B967C1"/>
    <w:rsid w:val="00BA47E1"/>
    <w:rsid w:val="00BB2405"/>
    <w:rsid w:val="00BB3D52"/>
    <w:rsid w:val="00BB4A5C"/>
    <w:rsid w:val="00BB5142"/>
    <w:rsid w:val="00BD12C7"/>
    <w:rsid w:val="00BD7CAF"/>
    <w:rsid w:val="00BE0375"/>
    <w:rsid w:val="00BE16CF"/>
    <w:rsid w:val="00BF2CE0"/>
    <w:rsid w:val="00BF32C6"/>
    <w:rsid w:val="00BF4B45"/>
    <w:rsid w:val="00C0387A"/>
    <w:rsid w:val="00C07C9C"/>
    <w:rsid w:val="00C12125"/>
    <w:rsid w:val="00C12760"/>
    <w:rsid w:val="00C143AE"/>
    <w:rsid w:val="00C24500"/>
    <w:rsid w:val="00C25975"/>
    <w:rsid w:val="00C34955"/>
    <w:rsid w:val="00C37CC1"/>
    <w:rsid w:val="00C40631"/>
    <w:rsid w:val="00C44709"/>
    <w:rsid w:val="00C454C0"/>
    <w:rsid w:val="00C54035"/>
    <w:rsid w:val="00C5517C"/>
    <w:rsid w:val="00C5525D"/>
    <w:rsid w:val="00C55B8B"/>
    <w:rsid w:val="00C56924"/>
    <w:rsid w:val="00C57BFF"/>
    <w:rsid w:val="00C63FD9"/>
    <w:rsid w:val="00C6416F"/>
    <w:rsid w:val="00C654BF"/>
    <w:rsid w:val="00C717CD"/>
    <w:rsid w:val="00C760BA"/>
    <w:rsid w:val="00C761F4"/>
    <w:rsid w:val="00C76CC5"/>
    <w:rsid w:val="00C82319"/>
    <w:rsid w:val="00C82A49"/>
    <w:rsid w:val="00C83832"/>
    <w:rsid w:val="00C84F95"/>
    <w:rsid w:val="00C86ADC"/>
    <w:rsid w:val="00C9607F"/>
    <w:rsid w:val="00CA12E1"/>
    <w:rsid w:val="00CA1AFC"/>
    <w:rsid w:val="00CA60FC"/>
    <w:rsid w:val="00CB2FE4"/>
    <w:rsid w:val="00CC005E"/>
    <w:rsid w:val="00CC1C58"/>
    <w:rsid w:val="00CC24DD"/>
    <w:rsid w:val="00CC4A45"/>
    <w:rsid w:val="00CD082C"/>
    <w:rsid w:val="00CD5A1C"/>
    <w:rsid w:val="00CE0216"/>
    <w:rsid w:val="00CE168F"/>
    <w:rsid w:val="00CF3475"/>
    <w:rsid w:val="00CF3BC4"/>
    <w:rsid w:val="00CF4B75"/>
    <w:rsid w:val="00CF6C0D"/>
    <w:rsid w:val="00D01B21"/>
    <w:rsid w:val="00D100E5"/>
    <w:rsid w:val="00D15559"/>
    <w:rsid w:val="00D23693"/>
    <w:rsid w:val="00D251B1"/>
    <w:rsid w:val="00D25CAE"/>
    <w:rsid w:val="00D26AB8"/>
    <w:rsid w:val="00D3054E"/>
    <w:rsid w:val="00D32F3F"/>
    <w:rsid w:val="00D35DA1"/>
    <w:rsid w:val="00D426A5"/>
    <w:rsid w:val="00D43689"/>
    <w:rsid w:val="00D45FE6"/>
    <w:rsid w:val="00D66F53"/>
    <w:rsid w:val="00D70A95"/>
    <w:rsid w:val="00D70D63"/>
    <w:rsid w:val="00D73C98"/>
    <w:rsid w:val="00D92E45"/>
    <w:rsid w:val="00D93B2E"/>
    <w:rsid w:val="00D96557"/>
    <w:rsid w:val="00D96B7D"/>
    <w:rsid w:val="00DA1A3A"/>
    <w:rsid w:val="00DA6257"/>
    <w:rsid w:val="00DA633A"/>
    <w:rsid w:val="00DA6486"/>
    <w:rsid w:val="00DB150F"/>
    <w:rsid w:val="00DB1916"/>
    <w:rsid w:val="00DB1F35"/>
    <w:rsid w:val="00DB53A4"/>
    <w:rsid w:val="00DB65AF"/>
    <w:rsid w:val="00DC3B40"/>
    <w:rsid w:val="00DC5D9D"/>
    <w:rsid w:val="00DC71FD"/>
    <w:rsid w:val="00DF1145"/>
    <w:rsid w:val="00DF156C"/>
    <w:rsid w:val="00DF2CEA"/>
    <w:rsid w:val="00E008D6"/>
    <w:rsid w:val="00E016D3"/>
    <w:rsid w:val="00E03AF7"/>
    <w:rsid w:val="00E14D21"/>
    <w:rsid w:val="00E15D89"/>
    <w:rsid w:val="00E20501"/>
    <w:rsid w:val="00E2434E"/>
    <w:rsid w:val="00E2532C"/>
    <w:rsid w:val="00E353E8"/>
    <w:rsid w:val="00E42DF5"/>
    <w:rsid w:val="00E4777C"/>
    <w:rsid w:val="00E5468E"/>
    <w:rsid w:val="00E55DA8"/>
    <w:rsid w:val="00E619E8"/>
    <w:rsid w:val="00E71B10"/>
    <w:rsid w:val="00E727FC"/>
    <w:rsid w:val="00E72C8E"/>
    <w:rsid w:val="00E770F2"/>
    <w:rsid w:val="00E84810"/>
    <w:rsid w:val="00E86A7C"/>
    <w:rsid w:val="00E87595"/>
    <w:rsid w:val="00E87F65"/>
    <w:rsid w:val="00E908E5"/>
    <w:rsid w:val="00E9467E"/>
    <w:rsid w:val="00E959B9"/>
    <w:rsid w:val="00EB43C7"/>
    <w:rsid w:val="00EB4BC4"/>
    <w:rsid w:val="00EC0247"/>
    <w:rsid w:val="00EC3B97"/>
    <w:rsid w:val="00EC4DCB"/>
    <w:rsid w:val="00EC50AA"/>
    <w:rsid w:val="00EC6B00"/>
    <w:rsid w:val="00ED0000"/>
    <w:rsid w:val="00ED0FB8"/>
    <w:rsid w:val="00ED15D6"/>
    <w:rsid w:val="00ED37F5"/>
    <w:rsid w:val="00ED7160"/>
    <w:rsid w:val="00EE2D4E"/>
    <w:rsid w:val="00EE5A15"/>
    <w:rsid w:val="00EE7344"/>
    <w:rsid w:val="00EE7F95"/>
    <w:rsid w:val="00EF1C73"/>
    <w:rsid w:val="00EF627B"/>
    <w:rsid w:val="00EF736A"/>
    <w:rsid w:val="00F00254"/>
    <w:rsid w:val="00F028AF"/>
    <w:rsid w:val="00F07437"/>
    <w:rsid w:val="00F07C88"/>
    <w:rsid w:val="00F10B43"/>
    <w:rsid w:val="00F205AE"/>
    <w:rsid w:val="00F2148C"/>
    <w:rsid w:val="00F225C7"/>
    <w:rsid w:val="00F22EEB"/>
    <w:rsid w:val="00F25ED3"/>
    <w:rsid w:val="00F27F92"/>
    <w:rsid w:val="00F41763"/>
    <w:rsid w:val="00F4459B"/>
    <w:rsid w:val="00F45EE8"/>
    <w:rsid w:val="00F46D5D"/>
    <w:rsid w:val="00F4717C"/>
    <w:rsid w:val="00F475C0"/>
    <w:rsid w:val="00F52FBC"/>
    <w:rsid w:val="00F54263"/>
    <w:rsid w:val="00F63D83"/>
    <w:rsid w:val="00F7028E"/>
    <w:rsid w:val="00F7206C"/>
    <w:rsid w:val="00F729AB"/>
    <w:rsid w:val="00F81FDD"/>
    <w:rsid w:val="00F84C86"/>
    <w:rsid w:val="00F93A8E"/>
    <w:rsid w:val="00FA4089"/>
    <w:rsid w:val="00FB42F8"/>
    <w:rsid w:val="00FB77E4"/>
    <w:rsid w:val="00FC34B8"/>
    <w:rsid w:val="00FC4171"/>
    <w:rsid w:val="00FC50FF"/>
    <w:rsid w:val="00FD06F1"/>
    <w:rsid w:val="00FD2586"/>
    <w:rsid w:val="00FD3A8A"/>
    <w:rsid w:val="00FE3EF4"/>
    <w:rsid w:val="00FF137E"/>
    <w:rsid w:val="00FF2B0E"/>
    <w:rsid w:val="00FF2D9C"/>
    <w:rsid w:val="00FF3B5C"/>
    <w:rsid w:val="00FF5C0D"/>
    <w:rsid w:val="00FF67CB"/>
    <w:rsid w:val="00FF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18A0"/>
  <w15:docId w15:val="{1EF49376-540C-4B7C-87F9-34CCB62B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2E45"/>
    <w:pPr>
      <w:spacing w:before="100" w:beforeAutospacing="1" w:after="100" w:afterAutospacing="1" w:line="240" w:lineRule="auto"/>
      <w:outlineLvl w:val="0"/>
    </w:pPr>
    <w:rPr>
      <w:rFonts w:ascii="Times New Roman" w:eastAsia="Times New Roman" w:hAnsi="Times New Roman" w:cs="Times New Roman"/>
      <w:b/>
      <w:bCs/>
      <w:kern w:val="36"/>
      <w:sz w:val="48"/>
      <w:szCs w:val="48"/>
      <w:lang w:val="fr-BE" w:eastAsia="fr-BE"/>
    </w:rPr>
  </w:style>
  <w:style w:type="paragraph" w:styleId="Heading2">
    <w:name w:val="heading 2"/>
    <w:basedOn w:val="Normal"/>
    <w:next w:val="Normal"/>
    <w:link w:val="Heading2Char"/>
    <w:uiPriority w:val="9"/>
    <w:unhideWhenUsed/>
    <w:qFormat/>
    <w:rsid w:val="00E14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E45"/>
    <w:pPr>
      <w:spacing w:before="100" w:beforeAutospacing="1" w:after="100" w:afterAutospacing="1" w:line="240" w:lineRule="auto"/>
      <w:outlineLvl w:val="2"/>
    </w:pPr>
    <w:rPr>
      <w:rFonts w:ascii="Times New Roman" w:eastAsia="Times New Roman" w:hAnsi="Times New Roman" w:cs="Times New Roman"/>
      <w:b/>
      <w:bCs/>
      <w:sz w:val="27"/>
      <w:szCs w:val="27"/>
      <w:lang w:val="fr-BE" w:eastAsia="fr-BE"/>
    </w:rPr>
  </w:style>
  <w:style w:type="paragraph" w:styleId="Heading4">
    <w:name w:val="heading 4"/>
    <w:basedOn w:val="Normal"/>
    <w:next w:val="Normal"/>
    <w:link w:val="Heading4Char"/>
    <w:uiPriority w:val="9"/>
    <w:semiHidden/>
    <w:unhideWhenUsed/>
    <w:qFormat/>
    <w:rsid w:val="009B2E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45"/>
    <w:rPr>
      <w:rFonts w:ascii="Times New Roman" w:eastAsia="Times New Roman" w:hAnsi="Times New Roman" w:cs="Times New Roman"/>
      <w:b/>
      <w:bCs/>
      <w:kern w:val="36"/>
      <w:sz w:val="48"/>
      <w:szCs w:val="48"/>
      <w:lang w:val="fr-BE" w:eastAsia="fr-BE"/>
    </w:rPr>
  </w:style>
  <w:style w:type="character" w:customStyle="1" w:styleId="Heading3Char">
    <w:name w:val="Heading 3 Char"/>
    <w:basedOn w:val="DefaultParagraphFont"/>
    <w:link w:val="Heading3"/>
    <w:uiPriority w:val="9"/>
    <w:rsid w:val="009B2E45"/>
    <w:rPr>
      <w:rFonts w:ascii="Times New Roman" w:eastAsia="Times New Roman" w:hAnsi="Times New Roman" w:cs="Times New Roman"/>
      <w:b/>
      <w:bCs/>
      <w:sz w:val="27"/>
      <w:szCs w:val="27"/>
      <w:lang w:val="fr-BE" w:eastAsia="fr-BE"/>
    </w:rPr>
  </w:style>
  <w:style w:type="character" w:styleId="Hyperlink">
    <w:name w:val="Hyperlink"/>
    <w:basedOn w:val="DefaultParagraphFont"/>
    <w:uiPriority w:val="99"/>
    <w:unhideWhenUsed/>
    <w:rsid w:val="009B2E45"/>
    <w:rPr>
      <w:color w:val="0000FF"/>
      <w:u w:val="single"/>
    </w:rPr>
  </w:style>
  <w:style w:type="character" w:customStyle="1" w:styleId="td-post-date">
    <w:name w:val="td-post-date"/>
    <w:basedOn w:val="DefaultParagraphFont"/>
    <w:rsid w:val="009B2E45"/>
  </w:style>
  <w:style w:type="paragraph" w:styleId="NormalWeb">
    <w:name w:val="Normal (Web)"/>
    <w:basedOn w:val="Normal"/>
    <w:uiPriority w:val="99"/>
    <w:semiHidden/>
    <w:unhideWhenUsed/>
    <w:rsid w:val="009B2E45"/>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sid w:val="009B2E45"/>
    <w:rPr>
      <w:b/>
      <w:bCs/>
    </w:rPr>
  </w:style>
  <w:style w:type="character" w:styleId="Emphasis">
    <w:name w:val="Emphasis"/>
    <w:basedOn w:val="DefaultParagraphFont"/>
    <w:uiPriority w:val="20"/>
    <w:qFormat/>
    <w:rsid w:val="009B2E45"/>
    <w:rPr>
      <w:i/>
      <w:iCs/>
    </w:rPr>
  </w:style>
  <w:style w:type="character" w:customStyle="1" w:styleId="Heading4Char">
    <w:name w:val="Heading 4 Char"/>
    <w:basedOn w:val="DefaultParagraphFont"/>
    <w:link w:val="Heading4"/>
    <w:uiPriority w:val="9"/>
    <w:semiHidden/>
    <w:rsid w:val="009B2E45"/>
    <w:rPr>
      <w:rFonts w:asciiTheme="majorHAnsi" w:eastAsiaTheme="majorEastAsia" w:hAnsiTheme="majorHAnsi" w:cstheme="majorBidi"/>
      <w:i/>
      <w:iCs/>
      <w:color w:val="2E74B5" w:themeColor="accent1" w:themeShade="BF"/>
    </w:rPr>
  </w:style>
  <w:style w:type="character" w:customStyle="1" w:styleId="css-901oao">
    <w:name w:val="css-901oao"/>
    <w:basedOn w:val="DefaultParagraphFont"/>
    <w:rsid w:val="009B2E45"/>
  </w:style>
  <w:style w:type="character" w:customStyle="1" w:styleId="r-18u37iz">
    <w:name w:val="r-18u37iz"/>
    <w:basedOn w:val="DefaultParagraphFont"/>
    <w:rsid w:val="009B2E45"/>
  </w:style>
  <w:style w:type="paragraph" w:styleId="ListParagraph">
    <w:name w:val="List Paragraph"/>
    <w:basedOn w:val="Normal"/>
    <w:uiPriority w:val="34"/>
    <w:qFormat/>
    <w:rsid w:val="009B2E45"/>
    <w:pPr>
      <w:ind w:left="720"/>
      <w:contextualSpacing/>
    </w:pPr>
  </w:style>
  <w:style w:type="character" w:customStyle="1" w:styleId="Heading2Char">
    <w:name w:val="Heading 2 Char"/>
    <w:basedOn w:val="DefaultParagraphFont"/>
    <w:link w:val="Heading2"/>
    <w:uiPriority w:val="9"/>
    <w:rsid w:val="00E14D2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nhideWhenUsed/>
    <w:qFormat/>
    <w:rsid w:val="00AC3263"/>
    <w:pPr>
      <w:spacing w:after="0" w:line="240" w:lineRule="auto"/>
    </w:pPr>
    <w:rPr>
      <w:sz w:val="20"/>
      <w:szCs w:val="20"/>
    </w:rPr>
  </w:style>
  <w:style w:type="character" w:customStyle="1" w:styleId="FootnoteTextChar">
    <w:name w:val="Footnote Text Char"/>
    <w:basedOn w:val="DefaultParagraphFont"/>
    <w:link w:val="FootnoteText"/>
    <w:rsid w:val="00AC3263"/>
    <w:rPr>
      <w:sz w:val="20"/>
      <w:szCs w:val="20"/>
    </w:rPr>
  </w:style>
  <w:style w:type="character" w:styleId="FootnoteReference">
    <w:name w:val="footnote reference"/>
    <w:basedOn w:val="DefaultParagraphFont"/>
    <w:unhideWhenUsed/>
    <w:qFormat/>
    <w:rsid w:val="00AC3263"/>
    <w:rPr>
      <w:vertAlign w:val="superscript"/>
    </w:rPr>
  </w:style>
  <w:style w:type="paragraph" w:styleId="BalloonText">
    <w:name w:val="Balloon Text"/>
    <w:basedOn w:val="Normal"/>
    <w:link w:val="BalloonTextChar"/>
    <w:uiPriority w:val="99"/>
    <w:semiHidden/>
    <w:unhideWhenUsed/>
    <w:rsid w:val="0091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DC"/>
    <w:rPr>
      <w:rFonts w:ascii="Segoe UI" w:hAnsi="Segoe UI" w:cs="Segoe UI"/>
      <w:sz w:val="18"/>
      <w:szCs w:val="18"/>
    </w:rPr>
  </w:style>
  <w:style w:type="character" w:styleId="CommentReference">
    <w:name w:val="annotation reference"/>
    <w:basedOn w:val="DefaultParagraphFont"/>
    <w:uiPriority w:val="99"/>
    <w:semiHidden/>
    <w:unhideWhenUsed/>
    <w:rsid w:val="00E008D6"/>
    <w:rPr>
      <w:sz w:val="16"/>
      <w:szCs w:val="16"/>
    </w:rPr>
  </w:style>
  <w:style w:type="paragraph" w:styleId="CommentText">
    <w:name w:val="annotation text"/>
    <w:basedOn w:val="Normal"/>
    <w:link w:val="CommentTextChar"/>
    <w:uiPriority w:val="99"/>
    <w:unhideWhenUsed/>
    <w:rsid w:val="00E008D6"/>
    <w:pPr>
      <w:spacing w:line="240" w:lineRule="auto"/>
    </w:pPr>
    <w:rPr>
      <w:sz w:val="20"/>
      <w:szCs w:val="20"/>
    </w:rPr>
  </w:style>
  <w:style w:type="character" w:customStyle="1" w:styleId="CommentTextChar">
    <w:name w:val="Comment Text Char"/>
    <w:basedOn w:val="DefaultParagraphFont"/>
    <w:link w:val="CommentText"/>
    <w:uiPriority w:val="99"/>
    <w:rsid w:val="00E008D6"/>
    <w:rPr>
      <w:sz w:val="20"/>
      <w:szCs w:val="20"/>
    </w:rPr>
  </w:style>
  <w:style w:type="paragraph" w:styleId="CommentSubject">
    <w:name w:val="annotation subject"/>
    <w:basedOn w:val="CommentText"/>
    <w:next w:val="CommentText"/>
    <w:link w:val="CommentSubjectChar"/>
    <w:uiPriority w:val="99"/>
    <w:semiHidden/>
    <w:unhideWhenUsed/>
    <w:rsid w:val="00E008D6"/>
    <w:rPr>
      <w:b/>
      <w:bCs/>
    </w:rPr>
  </w:style>
  <w:style w:type="character" w:customStyle="1" w:styleId="CommentSubjectChar">
    <w:name w:val="Comment Subject Char"/>
    <w:basedOn w:val="CommentTextChar"/>
    <w:link w:val="CommentSubject"/>
    <w:uiPriority w:val="99"/>
    <w:semiHidden/>
    <w:rsid w:val="00E008D6"/>
    <w:rPr>
      <w:b/>
      <w:bCs/>
      <w:sz w:val="20"/>
      <w:szCs w:val="20"/>
    </w:rPr>
  </w:style>
  <w:style w:type="character" w:styleId="FollowedHyperlink">
    <w:name w:val="FollowedHyperlink"/>
    <w:basedOn w:val="DefaultParagraphFont"/>
    <w:uiPriority w:val="99"/>
    <w:semiHidden/>
    <w:unhideWhenUsed/>
    <w:rsid w:val="009053F5"/>
    <w:rPr>
      <w:color w:val="954F72" w:themeColor="followedHyperlink"/>
      <w:u w:val="single"/>
    </w:rPr>
  </w:style>
  <w:style w:type="paragraph" w:styleId="Header">
    <w:name w:val="header"/>
    <w:basedOn w:val="Normal"/>
    <w:link w:val="HeaderChar"/>
    <w:uiPriority w:val="99"/>
    <w:unhideWhenUsed/>
    <w:rsid w:val="00EE2D4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E2D4E"/>
    <w:rPr>
      <w:rFonts w:ascii="Times New Roman" w:hAnsi="Times New Roman" w:cs="Times New Roman"/>
    </w:rPr>
  </w:style>
  <w:style w:type="paragraph" w:styleId="Footer">
    <w:name w:val="footer"/>
    <w:basedOn w:val="Normal"/>
    <w:link w:val="FooterChar"/>
    <w:uiPriority w:val="99"/>
    <w:unhideWhenUsed/>
    <w:rsid w:val="00EE2D4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E2D4E"/>
    <w:rPr>
      <w:rFonts w:ascii="Times New Roman" w:hAnsi="Times New Roman" w:cs="Times New Roman"/>
    </w:rPr>
  </w:style>
  <w:style w:type="paragraph" w:styleId="Revision">
    <w:name w:val="Revision"/>
    <w:hidden/>
    <w:uiPriority w:val="99"/>
    <w:semiHidden/>
    <w:rsid w:val="00C40631"/>
    <w:pPr>
      <w:spacing w:after="0" w:line="240" w:lineRule="auto"/>
    </w:pPr>
  </w:style>
  <w:style w:type="character" w:customStyle="1" w:styleId="UnresolvedMention1">
    <w:name w:val="Unresolved Mention1"/>
    <w:basedOn w:val="DefaultParagraphFont"/>
    <w:uiPriority w:val="99"/>
    <w:semiHidden/>
    <w:unhideWhenUsed/>
    <w:rsid w:val="00CB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982">
      <w:bodyDiv w:val="1"/>
      <w:marLeft w:val="0"/>
      <w:marRight w:val="0"/>
      <w:marTop w:val="0"/>
      <w:marBottom w:val="0"/>
      <w:divBdr>
        <w:top w:val="none" w:sz="0" w:space="0" w:color="auto"/>
        <w:left w:val="none" w:sz="0" w:space="0" w:color="auto"/>
        <w:bottom w:val="none" w:sz="0" w:space="0" w:color="auto"/>
        <w:right w:val="none" w:sz="0" w:space="0" w:color="auto"/>
      </w:divBdr>
    </w:div>
    <w:div w:id="411199181">
      <w:bodyDiv w:val="1"/>
      <w:marLeft w:val="0"/>
      <w:marRight w:val="0"/>
      <w:marTop w:val="0"/>
      <w:marBottom w:val="0"/>
      <w:divBdr>
        <w:top w:val="none" w:sz="0" w:space="0" w:color="auto"/>
        <w:left w:val="none" w:sz="0" w:space="0" w:color="auto"/>
        <w:bottom w:val="none" w:sz="0" w:space="0" w:color="auto"/>
        <w:right w:val="none" w:sz="0" w:space="0" w:color="auto"/>
      </w:divBdr>
    </w:div>
    <w:div w:id="670254266">
      <w:bodyDiv w:val="1"/>
      <w:marLeft w:val="0"/>
      <w:marRight w:val="0"/>
      <w:marTop w:val="0"/>
      <w:marBottom w:val="0"/>
      <w:divBdr>
        <w:top w:val="none" w:sz="0" w:space="0" w:color="auto"/>
        <w:left w:val="none" w:sz="0" w:space="0" w:color="auto"/>
        <w:bottom w:val="none" w:sz="0" w:space="0" w:color="auto"/>
        <w:right w:val="none" w:sz="0" w:space="0" w:color="auto"/>
      </w:divBdr>
    </w:div>
    <w:div w:id="1115755481">
      <w:bodyDiv w:val="1"/>
      <w:marLeft w:val="0"/>
      <w:marRight w:val="0"/>
      <w:marTop w:val="0"/>
      <w:marBottom w:val="0"/>
      <w:divBdr>
        <w:top w:val="none" w:sz="0" w:space="0" w:color="auto"/>
        <w:left w:val="none" w:sz="0" w:space="0" w:color="auto"/>
        <w:bottom w:val="none" w:sz="0" w:space="0" w:color="auto"/>
        <w:right w:val="none" w:sz="0" w:space="0" w:color="auto"/>
      </w:divBdr>
    </w:div>
    <w:div w:id="1345398693">
      <w:bodyDiv w:val="1"/>
      <w:marLeft w:val="0"/>
      <w:marRight w:val="0"/>
      <w:marTop w:val="0"/>
      <w:marBottom w:val="0"/>
      <w:divBdr>
        <w:top w:val="none" w:sz="0" w:space="0" w:color="auto"/>
        <w:left w:val="none" w:sz="0" w:space="0" w:color="auto"/>
        <w:bottom w:val="none" w:sz="0" w:space="0" w:color="auto"/>
        <w:right w:val="none" w:sz="0" w:space="0" w:color="auto"/>
      </w:divBdr>
    </w:div>
    <w:div w:id="1372878191">
      <w:bodyDiv w:val="1"/>
      <w:marLeft w:val="0"/>
      <w:marRight w:val="0"/>
      <w:marTop w:val="0"/>
      <w:marBottom w:val="0"/>
      <w:divBdr>
        <w:top w:val="none" w:sz="0" w:space="0" w:color="auto"/>
        <w:left w:val="none" w:sz="0" w:space="0" w:color="auto"/>
        <w:bottom w:val="none" w:sz="0" w:space="0" w:color="auto"/>
        <w:right w:val="none" w:sz="0" w:space="0" w:color="auto"/>
      </w:divBdr>
    </w:div>
    <w:div w:id="1422095571">
      <w:bodyDiv w:val="1"/>
      <w:marLeft w:val="0"/>
      <w:marRight w:val="0"/>
      <w:marTop w:val="0"/>
      <w:marBottom w:val="0"/>
      <w:divBdr>
        <w:top w:val="none" w:sz="0" w:space="0" w:color="auto"/>
        <w:left w:val="none" w:sz="0" w:space="0" w:color="auto"/>
        <w:bottom w:val="none" w:sz="0" w:space="0" w:color="auto"/>
        <w:right w:val="none" w:sz="0" w:space="0" w:color="auto"/>
      </w:divBdr>
    </w:div>
    <w:div w:id="1486822115">
      <w:bodyDiv w:val="1"/>
      <w:marLeft w:val="0"/>
      <w:marRight w:val="0"/>
      <w:marTop w:val="0"/>
      <w:marBottom w:val="0"/>
      <w:divBdr>
        <w:top w:val="none" w:sz="0" w:space="0" w:color="auto"/>
        <w:left w:val="none" w:sz="0" w:space="0" w:color="auto"/>
        <w:bottom w:val="none" w:sz="0" w:space="0" w:color="auto"/>
        <w:right w:val="none" w:sz="0" w:space="0" w:color="auto"/>
      </w:divBdr>
      <w:divsChild>
        <w:div w:id="1382366579">
          <w:marLeft w:val="0"/>
          <w:marRight w:val="0"/>
          <w:marTop w:val="0"/>
          <w:marBottom w:val="0"/>
          <w:divBdr>
            <w:top w:val="none" w:sz="0" w:space="0" w:color="auto"/>
            <w:left w:val="none" w:sz="0" w:space="0" w:color="auto"/>
            <w:bottom w:val="none" w:sz="0" w:space="0" w:color="auto"/>
            <w:right w:val="none" w:sz="0" w:space="0" w:color="auto"/>
          </w:divBdr>
          <w:divsChild>
            <w:div w:id="1412504997">
              <w:marLeft w:val="0"/>
              <w:marRight w:val="0"/>
              <w:marTop w:val="0"/>
              <w:marBottom w:val="0"/>
              <w:divBdr>
                <w:top w:val="none" w:sz="0" w:space="0" w:color="auto"/>
                <w:left w:val="none" w:sz="0" w:space="0" w:color="auto"/>
                <w:bottom w:val="none" w:sz="0" w:space="0" w:color="auto"/>
                <w:right w:val="none" w:sz="0" w:space="0" w:color="auto"/>
              </w:divBdr>
              <w:divsChild>
                <w:div w:id="2023896130">
                  <w:marLeft w:val="0"/>
                  <w:marRight w:val="0"/>
                  <w:marTop w:val="0"/>
                  <w:marBottom w:val="0"/>
                  <w:divBdr>
                    <w:top w:val="none" w:sz="0" w:space="0" w:color="auto"/>
                    <w:left w:val="none" w:sz="0" w:space="0" w:color="auto"/>
                    <w:bottom w:val="none" w:sz="0" w:space="0" w:color="auto"/>
                    <w:right w:val="none" w:sz="0" w:space="0" w:color="auto"/>
                  </w:divBdr>
                  <w:divsChild>
                    <w:div w:id="978266825">
                      <w:marLeft w:val="0"/>
                      <w:marRight w:val="0"/>
                      <w:marTop w:val="0"/>
                      <w:marBottom w:val="0"/>
                      <w:divBdr>
                        <w:top w:val="none" w:sz="0" w:space="0" w:color="auto"/>
                        <w:left w:val="none" w:sz="0" w:space="0" w:color="auto"/>
                        <w:bottom w:val="none" w:sz="0" w:space="0" w:color="auto"/>
                        <w:right w:val="none" w:sz="0" w:space="0" w:color="auto"/>
                      </w:divBdr>
                      <w:divsChild>
                        <w:div w:id="1728331922">
                          <w:marLeft w:val="0"/>
                          <w:marRight w:val="0"/>
                          <w:marTop w:val="0"/>
                          <w:marBottom w:val="0"/>
                          <w:divBdr>
                            <w:top w:val="none" w:sz="0" w:space="0" w:color="auto"/>
                            <w:left w:val="none" w:sz="0" w:space="0" w:color="auto"/>
                            <w:bottom w:val="none" w:sz="0" w:space="0" w:color="auto"/>
                            <w:right w:val="none" w:sz="0" w:space="0" w:color="auto"/>
                          </w:divBdr>
                          <w:divsChild>
                            <w:div w:id="2110806073">
                              <w:marLeft w:val="0"/>
                              <w:marRight w:val="0"/>
                              <w:marTop w:val="0"/>
                              <w:marBottom w:val="0"/>
                              <w:divBdr>
                                <w:top w:val="none" w:sz="0" w:space="0" w:color="auto"/>
                                <w:left w:val="none" w:sz="0" w:space="0" w:color="auto"/>
                                <w:bottom w:val="none" w:sz="0" w:space="0" w:color="auto"/>
                                <w:right w:val="none" w:sz="0" w:space="0" w:color="auto"/>
                              </w:divBdr>
                            </w:div>
                            <w:div w:id="513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99846">
          <w:marLeft w:val="0"/>
          <w:marRight w:val="0"/>
          <w:marTop w:val="0"/>
          <w:marBottom w:val="0"/>
          <w:divBdr>
            <w:top w:val="none" w:sz="0" w:space="0" w:color="auto"/>
            <w:left w:val="none" w:sz="0" w:space="0" w:color="auto"/>
            <w:bottom w:val="none" w:sz="0" w:space="0" w:color="auto"/>
            <w:right w:val="none" w:sz="0" w:space="0" w:color="auto"/>
          </w:divBdr>
          <w:divsChild>
            <w:div w:id="1510871160">
              <w:marLeft w:val="0"/>
              <w:marRight w:val="0"/>
              <w:marTop w:val="0"/>
              <w:marBottom w:val="0"/>
              <w:divBdr>
                <w:top w:val="none" w:sz="0" w:space="0" w:color="auto"/>
                <w:left w:val="none" w:sz="0" w:space="0" w:color="auto"/>
                <w:bottom w:val="none" w:sz="0" w:space="0" w:color="auto"/>
                <w:right w:val="none" w:sz="0" w:space="0" w:color="auto"/>
              </w:divBdr>
              <w:divsChild>
                <w:div w:id="1365713771">
                  <w:marLeft w:val="0"/>
                  <w:marRight w:val="0"/>
                  <w:marTop w:val="0"/>
                  <w:marBottom w:val="0"/>
                  <w:divBdr>
                    <w:top w:val="none" w:sz="0" w:space="0" w:color="auto"/>
                    <w:left w:val="none" w:sz="0" w:space="0" w:color="auto"/>
                    <w:bottom w:val="none" w:sz="0" w:space="0" w:color="auto"/>
                    <w:right w:val="none" w:sz="0" w:space="0" w:color="auto"/>
                  </w:divBdr>
                  <w:divsChild>
                    <w:div w:id="2097289691">
                      <w:marLeft w:val="0"/>
                      <w:marRight w:val="0"/>
                      <w:marTop w:val="0"/>
                      <w:marBottom w:val="0"/>
                      <w:divBdr>
                        <w:top w:val="none" w:sz="0" w:space="0" w:color="auto"/>
                        <w:left w:val="none" w:sz="0" w:space="0" w:color="auto"/>
                        <w:bottom w:val="none" w:sz="0" w:space="0" w:color="auto"/>
                        <w:right w:val="none" w:sz="0" w:space="0" w:color="auto"/>
                      </w:divBdr>
                    </w:div>
                    <w:div w:id="222639663">
                      <w:marLeft w:val="0"/>
                      <w:marRight w:val="0"/>
                      <w:marTop w:val="0"/>
                      <w:marBottom w:val="0"/>
                      <w:divBdr>
                        <w:top w:val="none" w:sz="0" w:space="0" w:color="auto"/>
                        <w:left w:val="none" w:sz="0" w:space="0" w:color="auto"/>
                        <w:bottom w:val="none" w:sz="0" w:space="0" w:color="auto"/>
                        <w:right w:val="none" w:sz="0" w:space="0" w:color="auto"/>
                      </w:divBdr>
                      <w:divsChild>
                        <w:div w:id="1848592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7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632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301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f.europa.eu/en/publications-and-resources/publications/role-civil-society-organisations-human-capital-development" TargetMode="External"/><Relationship Id="rId1" Type="http://schemas.openxmlformats.org/officeDocument/2006/relationships/hyperlink" Target="https://www.oecd.org/en/publications/western-balkans-competitiveness-outlook-2024-regional-profile_170b0e53-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A6WAAD5KZT2Q-293470456-4435</_dlc_DocId>
    <_dlc_DocIdUrl xmlns="1a33af13-4045-4f88-9d7b-618e30f79918">
      <Url>http://dm/eesc/2025/_layouts/15/DocIdRedir.aspx?ID=A6WAAD5KZT2Q-293470456-4435</Url>
      <Description>A6WAAD5KZT2Q-293470456-4435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2025-05-20T12:00:00+00:00</ProductionDate>
    <DocumentNumber xmlns="aa382cf6-584e-4bd2-bd73-0bac1a20efcb">1674</DocumentNumber>
    <FicheYear xmlns="1a33af13-4045-4f88-9d7b-618e30f79918" xsi:nil="true"/>
    <DossierNumber xmlns="1a33af13-4045-4f88-9d7b-618e30f79918">184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 xsi:nil="true"/>
    <TaxCatchAll xmlns="1a33af13-4045-4f88-9d7b-618e30f79918">
      <Value>50</Value>
      <Value>117</Value>
      <Value>13</Value>
      <Value>199</Value>
      <Value>198</Value>
      <Value>197</Value>
      <Value>8</Value>
      <Value>6</Value>
      <Value>5</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MK</TermName>
          <TermId xmlns="http://schemas.microsoft.com/office/infopath/2007/PartnerControls">34ce48bb-063e-4413-a932-50853dc71c5c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5070</FicheNumber>
    <OriginalSender xmlns="1a33af13-4045-4f88-9d7b-618e30f79918">
      <UserInfo>
        <DisplayName>Sol Sandrine</DisplayName>
        <AccountId>739</AccountId>
        <AccountType/>
      </UserInfo>
    </OriginalSender>
    <DocumentPart xmlns="1a33af13-4045-4f88-9d7b-618e30f79918">0</DocumentPart>
    <AdoptionDate xmlns="1a33af13-4045-4f88-9d7b-618e30f79918" xsi:nil="tru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SR</TermName>
          <TermId xmlns="http://schemas.microsoft.com/office/infopath/2007/PartnerControls">7f3a1d13-b985-4bfd-981e-afe31377edff</TermId>
        </TermInfo>
        <TermInfo xmlns="http://schemas.microsoft.com/office/infopath/2007/PartnerControls">
          <TermName xmlns="http://schemas.microsoft.com/office/infopath/2007/PartnerControls">MK</TermName>
          <TermId xmlns="http://schemas.microsoft.com/office/infopath/2007/PartnerControls">34ce48bb-063e-4413-a932-50853dc71c5c</TermId>
        </TermInfo>
        <TermInfo xmlns="http://schemas.microsoft.com/office/infopath/2007/PartnerControls">
          <TermName xmlns="http://schemas.microsoft.com/office/infopath/2007/PartnerControls">SQ</TermName>
          <TermId xmlns="http://schemas.microsoft.com/office/infopath/2007/PartnerControls">5ac17240-8d11-45ec-9893-659b209d7a00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480DE4-F333-4FB8-B937-375495CBE97E}">
  <ds:schemaRefs>
    <ds:schemaRef ds:uri="http://schemas.microsoft.com/sharepoint/v3/contenttype/forms"/>
  </ds:schemaRefs>
</ds:datastoreItem>
</file>

<file path=customXml/itemProps2.xml><?xml version="1.0" encoding="utf-8"?>
<ds:datastoreItem xmlns:ds="http://schemas.openxmlformats.org/officeDocument/2006/customXml" ds:itemID="{A71EFB69-99D5-4DA9-AE4F-FCC154F50951}">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3.xml><?xml version="1.0" encoding="utf-8"?>
<ds:datastoreItem xmlns:ds="http://schemas.openxmlformats.org/officeDocument/2006/customXml" ds:itemID="{58D0ADF2-A315-482C-A8D6-2D80990EB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aa382cf6-584e-4bd2-bd73-0bac1a20e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55712-C950-449A-8558-19FC8B10504C}">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2630</Words>
  <Characters>14547</Characters>
  <Application>Microsoft Office Word</Application>
  <DocSecurity>0</DocSecurity>
  <Lines>309</Lines>
  <Paragraphs>97</Paragraphs>
  <ScaleCrop>false</ScaleCrop>
  <HeadingPairs>
    <vt:vector size="6" baseType="variant">
      <vt:variant>
        <vt:lpstr>Title</vt:lpstr>
      </vt:variant>
      <vt:variant>
        <vt:i4>1</vt:i4>
      </vt:variant>
      <vt:variant>
        <vt:lpstr>Naslov</vt:lpstr>
      </vt:variant>
      <vt:variant>
        <vt:i4>1</vt:i4>
      </vt:variant>
      <vt:variant>
        <vt:lpstr>Τίτλος</vt:lpstr>
      </vt:variant>
      <vt:variant>
        <vt:i4>1</vt:i4>
      </vt:variant>
    </vt:vector>
  </HeadingPairs>
  <TitlesOfParts>
    <vt:vector size="3" baseType="lpstr">
      <vt:lpstr>Final declaration 8th Western Balkans Civil Society Forum Skopje 2021</vt:lpstr>
      <vt:lpstr>Draft declaration 8th Western Balkans Civil Society Forum Skopje 2021</vt:lpstr>
      <vt:lpstr/>
    </vt:vector>
  </TitlesOfParts>
  <Company>EESC-ECOR</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declaration 10th Western Balkans Forum 2025</dc:title>
  <dc:subject>DECL</dc:subject>
  <dc:creator>Dujmovic Ana</dc:creator>
  <cp:keywords>EESC-2025-01674-00-00-DECL-TRA-EN</cp:keywords>
  <dc:description>Rapporteur:  - Original language: EN - Date of document: 20/05/2025 - Date of meeting:  - External documents:  - Administrator: M. HOIC David</dc:description>
  <cp:lastModifiedBy>Merja Mankki</cp:lastModifiedBy>
  <cp:revision>2</cp:revision>
  <cp:lastPrinted>2023-09-20T07:56:00Z</cp:lastPrinted>
  <dcterms:created xsi:type="dcterms:W3CDTF">2025-05-21T14:07:00Z</dcterms:created>
  <dcterms:modified xsi:type="dcterms:W3CDTF">2025-05-21T14:07:00Z</dcterms:modified>
  <cp:category>REX/184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14/05/2025, 04/10/2021, 22/09/2021, 22/09/2021, 22/09/2021, 07/09/2021</vt:lpwstr>
  </property>
  <property fmtid="{D5CDD505-2E9C-101B-9397-08002B2CF9AE}" pid="4" name="Pref_Time">
    <vt:lpwstr>16:30:06, 15:01:50, 09:09:41, 08:53:25, 08:17:04, 17:11:53</vt:lpwstr>
  </property>
  <property fmtid="{D5CDD505-2E9C-101B-9397-08002B2CF9AE}" pid="5" name="Pref_User">
    <vt:lpwstr>jhvi, amett, hnic, hnic, ymur, amett</vt:lpwstr>
  </property>
  <property fmtid="{D5CDD505-2E9C-101B-9397-08002B2CF9AE}" pid="6" name="Pref_FileName">
    <vt:lpwstr>EESC-2025-01674-00-00-DECL-ORI.docx, EESC-2021-04389-00-02-DECL-TRA-EN-CRR.docx, EESC-2021-04389-00-01-DECL-ORI.docx, EESC-2021-04389-00-01-DECL-TRA-EN-CRR.docx, EESC-2021-04389-00-01-DECL-CRR-EN.docx, EESC-2021-04389-00-00-DECL-ORI.docx</vt:lpwstr>
  </property>
  <property fmtid="{D5CDD505-2E9C-101B-9397-08002B2CF9AE}" pid="7" name="ContentTypeId">
    <vt:lpwstr>0x010100EA97B91038054C99906057A708A1480A00FD26272E6D350E4BA98D090F484731A0</vt:lpwstr>
  </property>
  <property fmtid="{D5CDD505-2E9C-101B-9397-08002B2CF9AE}" pid="8" name="_dlc_DocIdItemGuid">
    <vt:lpwstr>409af025-b614-4cbd-9b29-7d271551299f</vt:lpwstr>
  </property>
  <property fmtid="{D5CDD505-2E9C-101B-9397-08002B2CF9AE}" pid="9" name="AvailableTranslations">
    <vt:lpwstr>5;#EN|f2175f21-25d7-44a3-96da-d6a61b075e1b;#50;#HR|2f555653-ed1a-4fe6-8362-9082d95989e5;#197;#SR|7f3a1d13-b985-4bfd-981e-afe31377edff;#198;#MK|34ce48bb-063e-4413-a932-50853dc71c5c;#199;#SQ|5ac17240-8d11-45ec-9893-659b209d7a00</vt:lpwstr>
  </property>
  <property fmtid="{D5CDD505-2E9C-101B-9397-08002B2CF9AE}" pid="10" name="DocumentType_0">
    <vt:lpwstr>DECL|3e2492ed-4ef9-4eb0-bb74-05f60f74f0a3</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1674</vt:i4>
  </property>
  <property fmtid="{D5CDD505-2E9C-101B-9397-08002B2CF9AE}" pid="14" name="DocumentVersion">
    <vt:i4>0</vt:i4>
  </property>
  <property fmtid="{D5CDD505-2E9C-101B-9397-08002B2CF9AE}" pid="15" name="DossierNumber">
    <vt:i4>184</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2;#REX|6820eaf5-116e-436b-ad9c-156f8a94c2a1</vt:lpwstr>
  </property>
  <property fmtid="{D5CDD505-2E9C-101B-9397-08002B2CF9AE}" pid="19" name="DocumentSource">
    <vt:lpwstr>1;#EESC|422833ec-8d7e-4e65-8e4e-8bed07ffb729</vt:lpwstr>
  </property>
  <property fmtid="{D5CDD505-2E9C-101B-9397-08002B2CF9AE}" pid="20" name="DocumentType">
    <vt:lpwstr>117;#DECL|3e2492ed-4ef9-4eb0-bb74-05f60f74f0a3</vt:lpwstr>
  </property>
  <property fmtid="{D5CDD505-2E9C-101B-9397-08002B2CF9AE}" pid="21" name="RequestingService">
    <vt:lpwstr>Relations extérieures</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EN|f2175f21-25d7-44a3-96da-d6a61b075e1b;SQ|5ac17240-8d11-45ec-9893-659b209d7a00</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117;#DECL|3e2492ed-4ef9-4eb0-bb74-05f60f74f0a3;#13;#TRA|150d2a88-1431-44e6-a8ca-0bb753ab8672;#199;#SQ|5ac17240-8d11-45ec-9893-659b209d7a00;#8;#Final|ea5e6674-7b27-4bac-b091-73adbb394efe;#6;#Internal|2451815e-8241-4bbf-a22e-1ab710712bf2;#5;#EN|f2175f21-25d7-44a3-96da-d6a61b075e1b;#2;#REX|6820eaf5-116e-436b-ad9c-156f8a94c2a1;#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5070</vt:i4>
  </property>
  <property fmtid="{D5CDD505-2E9C-101B-9397-08002B2CF9AE}" pid="35" name="DocumentLanguage">
    <vt:lpwstr>198;#MK|34ce48bb-063e-4413-a932-50853dc71c5c</vt:lpwstr>
  </property>
  <property fmtid="{D5CDD505-2E9C-101B-9397-08002B2CF9AE}" pid="36" name="_docset_NoMedatataSyncRequired">
    <vt:lpwstr>False</vt:lpwstr>
  </property>
</Properties>
</file>