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8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083"/>
      </w:tblGrid>
      <w:tr w:rsidR="00CA2B33" w:rsidRPr="00865041" w14:paraId="402672C0" w14:textId="77777777" w:rsidTr="00B364B9">
        <w:trPr>
          <w:jc w:val="center"/>
        </w:trPr>
        <w:tc>
          <w:tcPr>
            <w:tcW w:w="10083" w:type="dxa"/>
          </w:tcPr>
          <w:p w14:paraId="19BE99FE" w14:textId="13B148CB" w:rsidR="00CA2B33" w:rsidRPr="00865041" w:rsidRDefault="00CA2B33" w:rsidP="00B364B9">
            <w:pPr>
              <w:spacing w:before="120" w:after="120"/>
              <w:ind w:left="74"/>
              <w:rPr>
                <w:rFonts w:ascii="Times New Roman" w:hAnsi="Times New Roman"/>
                <w:b/>
                <w:sz w:val="24"/>
                <w:szCs w:val="24"/>
              </w:rPr>
            </w:pPr>
            <w:r w:rsidRPr="00865041">
              <w:rPr>
                <w:rFonts w:ascii="Times New Roman" w:hAnsi="Times New Roman"/>
                <w:b/>
                <w:sz w:val="24"/>
                <w:szCs w:val="24"/>
                <w:lang w:val="en-IE"/>
              </w:rPr>
              <w:t>EU Climate target for 2040</w:t>
            </w:r>
            <w:r w:rsidRPr="00865041">
              <w:rPr>
                <w:rFonts w:ascii="Times New Roman" w:hAnsi="Times New Roman"/>
                <w:b/>
                <w:sz w:val="24"/>
                <w:szCs w:val="24"/>
                <w:lang w:val="en-IE"/>
              </w:rPr>
              <w:br/>
            </w:r>
            <w:proofErr w:type="gramStart"/>
            <w:r w:rsidRPr="00865041">
              <w:rPr>
                <w:rFonts w:ascii="Times New Roman" w:hAnsi="Times New Roman"/>
                <w:b/>
                <w:sz w:val="24"/>
                <w:szCs w:val="24"/>
                <w:lang w:val="en-IE"/>
              </w:rPr>
              <w:t>COM(</w:t>
            </w:r>
            <w:proofErr w:type="gramEnd"/>
            <w:r w:rsidRPr="00865041">
              <w:rPr>
                <w:rFonts w:ascii="Times New Roman" w:hAnsi="Times New Roman"/>
                <w:b/>
                <w:sz w:val="24"/>
                <w:szCs w:val="24"/>
                <w:lang w:val="en-IE"/>
              </w:rPr>
              <w:t>2024) 63 final</w:t>
            </w:r>
            <w:r w:rsidRPr="00865041">
              <w:rPr>
                <w:rFonts w:ascii="Times New Roman" w:hAnsi="Times New Roman"/>
                <w:b/>
                <w:sz w:val="24"/>
                <w:szCs w:val="24"/>
                <w:lang w:val="en-IE"/>
              </w:rPr>
              <w:br/>
            </w:r>
            <w:r w:rsidR="00B3052D" w:rsidRPr="00865041">
              <w:rPr>
                <w:rFonts w:ascii="Times New Roman" w:hAnsi="Times New Roman"/>
                <w:b/>
                <w:sz w:val="24"/>
                <w:szCs w:val="24"/>
                <w:lang w:val="en-IE"/>
              </w:rPr>
              <w:t xml:space="preserve">EESC 2024-00418 </w:t>
            </w:r>
            <w:r w:rsidRPr="00865041">
              <w:rPr>
                <w:rFonts w:ascii="Times New Roman" w:hAnsi="Times New Roman"/>
                <w:b/>
                <w:sz w:val="24"/>
                <w:szCs w:val="24"/>
              </w:rPr>
              <w:t>‒ NAT/931</w:t>
            </w:r>
            <w:r w:rsidRPr="00865041">
              <w:rPr>
                <w:rFonts w:ascii="Times New Roman" w:hAnsi="Times New Roman"/>
                <w:b/>
                <w:sz w:val="24"/>
                <w:szCs w:val="24"/>
              </w:rPr>
              <w:br/>
              <w:t>588</w:t>
            </w:r>
            <w:proofErr w:type="spellStart"/>
            <w:r w:rsidRPr="00865041">
              <w:rPr>
                <w:rFonts w:ascii="Times New Roman" w:hAnsi="Times New Roman"/>
                <w:b/>
                <w:sz w:val="24"/>
                <w:szCs w:val="24"/>
                <w:vertAlign w:val="superscript"/>
                <w:lang w:val="en-IE"/>
              </w:rPr>
              <w:t>th</w:t>
            </w:r>
            <w:proofErr w:type="spellEnd"/>
            <w:r w:rsidRPr="00865041">
              <w:rPr>
                <w:rFonts w:ascii="Times New Roman" w:hAnsi="Times New Roman"/>
                <w:b/>
                <w:sz w:val="24"/>
                <w:szCs w:val="24"/>
                <w:lang w:val="en-IE"/>
              </w:rPr>
              <w:t xml:space="preserve"> </w:t>
            </w:r>
            <w:r w:rsidRPr="00865041">
              <w:rPr>
                <w:rFonts w:ascii="Times New Roman" w:hAnsi="Times New Roman"/>
                <w:b/>
                <w:sz w:val="24"/>
                <w:szCs w:val="24"/>
              </w:rPr>
              <w:t>Plenary Session – May 2024</w:t>
            </w:r>
            <w:r w:rsidRPr="00865041">
              <w:rPr>
                <w:rFonts w:ascii="Times New Roman" w:hAnsi="Times New Roman"/>
                <w:b/>
                <w:sz w:val="24"/>
                <w:szCs w:val="24"/>
              </w:rPr>
              <w:br/>
              <w:t xml:space="preserve">Rapporteur: </w:t>
            </w:r>
            <w:r w:rsidR="00B3052D" w:rsidRPr="00865041">
              <w:rPr>
                <w:rFonts w:ascii="Times New Roman" w:eastAsia="Times New Roman" w:hAnsi="Times New Roman"/>
                <w:b/>
                <w:bCs/>
                <w:sz w:val="24"/>
                <w:szCs w:val="24"/>
              </w:rPr>
              <w:t>Teppo SÄKKINEN (FI-I)</w:t>
            </w:r>
            <w:r w:rsidRPr="00865041">
              <w:rPr>
                <w:rFonts w:ascii="Times New Roman" w:hAnsi="Times New Roman"/>
                <w:b/>
                <w:sz w:val="24"/>
                <w:szCs w:val="24"/>
              </w:rPr>
              <w:br/>
              <w:t>DG CLIMA – Commissioner HOEKSTRA</w:t>
            </w:r>
          </w:p>
        </w:tc>
      </w:tr>
      <w:tr w:rsidR="00734613" w:rsidRPr="00865041" w14:paraId="1937071F" w14:textId="77777777" w:rsidTr="00B364B9">
        <w:trPr>
          <w:jc w:val="center"/>
        </w:trPr>
        <w:tc>
          <w:tcPr>
            <w:tcW w:w="10083" w:type="dxa"/>
          </w:tcPr>
          <w:p w14:paraId="1E50B4DB" w14:textId="52E78E9E" w:rsidR="00734613" w:rsidRPr="00865041" w:rsidRDefault="004F6117" w:rsidP="00865041">
            <w:pPr>
              <w:spacing w:before="120" w:after="120"/>
              <w:jc w:val="center"/>
              <w:rPr>
                <w:rFonts w:ascii="Times New Roman" w:hAnsi="Times New Roman"/>
                <w:b/>
                <w:sz w:val="24"/>
                <w:szCs w:val="24"/>
              </w:rPr>
            </w:pPr>
            <w:r w:rsidRPr="00865041">
              <w:rPr>
                <w:rFonts w:ascii="Times New Roman" w:hAnsi="Times New Roman"/>
                <w:b/>
                <w:sz w:val="24"/>
                <w:szCs w:val="24"/>
              </w:rPr>
              <w:t>European Commission position on points</w:t>
            </w:r>
            <w:r w:rsidRPr="00865041">
              <w:rPr>
                <w:rFonts w:ascii="Times New Roman" w:hAnsi="Times New Roman"/>
                <w:b/>
                <w:sz w:val="24"/>
                <w:szCs w:val="24"/>
              </w:rPr>
              <w:br/>
              <w:t>of the European Economic and Social Committee</w:t>
            </w:r>
            <w:r w:rsidR="00B364B9">
              <w:rPr>
                <w:rFonts w:ascii="Times New Roman" w:hAnsi="Times New Roman"/>
                <w:b/>
                <w:sz w:val="24"/>
                <w:szCs w:val="24"/>
              </w:rPr>
              <w:t xml:space="preserve"> (EESC)</w:t>
            </w:r>
            <w:r w:rsidRPr="00865041">
              <w:rPr>
                <w:rFonts w:ascii="Times New Roman" w:hAnsi="Times New Roman"/>
                <w:b/>
                <w:sz w:val="24"/>
                <w:szCs w:val="24"/>
              </w:rPr>
              <w:t xml:space="preserve"> opinion</w:t>
            </w:r>
            <w:r w:rsidR="00E83C12" w:rsidRPr="00865041">
              <w:rPr>
                <w:rFonts w:ascii="Times New Roman" w:hAnsi="Times New Roman"/>
                <w:b/>
                <w:sz w:val="24"/>
                <w:szCs w:val="24"/>
              </w:rPr>
              <w:t xml:space="preserve"> considered as essential</w:t>
            </w:r>
          </w:p>
        </w:tc>
      </w:tr>
      <w:tr w:rsidR="00242925" w:rsidRPr="00865041" w14:paraId="26A89B66" w14:textId="77777777" w:rsidTr="00B364B9">
        <w:trPr>
          <w:jc w:val="center"/>
        </w:trPr>
        <w:tc>
          <w:tcPr>
            <w:tcW w:w="10083" w:type="dxa"/>
          </w:tcPr>
          <w:p w14:paraId="74FE0D99" w14:textId="10D41E81" w:rsidR="00242925" w:rsidRPr="00865041" w:rsidRDefault="00242925" w:rsidP="00B364B9">
            <w:pPr>
              <w:spacing w:before="120" w:after="120"/>
              <w:ind w:right="112"/>
              <w:jc w:val="both"/>
              <w:rPr>
                <w:rFonts w:ascii="Times New Roman" w:hAnsi="Times New Roman"/>
                <w:bCs/>
                <w:sz w:val="24"/>
                <w:szCs w:val="24"/>
              </w:rPr>
            </w:pPr>
            <w:r w:rsidRPr="00865041">
              <w:rPr>
                <w:rFonts w:ascii="Times New Roman" w:hAnsi="Times New Roman"/>
                <w:bCs/>
                <w:sz w:val="24"/>
                <w:szCs w:val="24"/>
              </w:rPr>
              <w:t xml:space="preserve">The Commission thanks the </w:t>
            </w:r>
            <w:r w:rsidR="00E80DCD" w:rsidRPr="00E80DCD">
              <w:rPr>
                <w:rFonts w:ascii="Times New Roman" w:hAnsi="Times New Roman"/>
                <w:bCs/>
                <w:sz w:val="24"/>
                <w:szCs w:val="24"/>
              </w:rPr>
              <w:t xml:space="preserve">Committee </w:t>
            </w:r>
            <w:r w:rsidRPr="00865041">
              <w:rPr>
                <w:rFonts w:ascii="Times New Roman" w:hAnsi="Times New Roman"/>
                <w:bCs/>
                <w:sz w:val="24"/>
                <w:szCs w:val="24"/>
              </w:rPr>
              <w:t xml:space="preserve">for </w:t>
            </w:r>
            <w:r w:rsidR="00F03507" w:rsidRPr="00865041">
              <w:rPr>
                <w:rFonts w:ascii="Times New Roman" w:hAnsi="Times New Roman"/>
                <w:bCs/>
                <w:sz w:val="24"/>
                <w:szCs w:val="24"/>
              </w:rPr>
              <w:t>its</w:t>
            </w:r>
            <w:r w:rsidRPr="00865041">
              <w:rPr>
                <w:rFonts w:ascii="Times New Roman" w:hAnsi="Times New Roman"/>
                <w:bCs/>
                <w:sz w:val="24"/>
                <w:szCs w:val="24"/>
              </w:rPr>
              <w:t xml:space="preserve"> comprehensive opinion on the 2040 climate target </w:t>
            </w:r>
            <w:r w:rsidR="00ED05D8" w:rsidRPr="00865041">
              <w:rPr>
                <w:rFonts w:ascii="Times New Roman" w:hAnsi="Times New Roman"/>
                <w:bCs/>
                <w:sz w:val="24"/>
                <w:szCs w:val="24"/>
              </w:rPr>
              <w:t>C</w:t>
            </w:r>
            <w:r w:rsidRPr="00865041">
              <w:rPr>
                <w:rFonts w:ascii="Times New Roman" w:hAnsi="Times New Roman"/>
                <w:bCs/>
                <w:sz w:val="24"/>
                <w:szCs w:val="24"/>
              </w:rPr>
              <w:t>ommunication</w:t>
            </w:r>
            <w:r w:rsidR="009540B3">
              <w:rPr>
                <w:rStyle w:val="FootnoteReference"/>
                <w:rFonts w:ascii="Times New Roman" w:hAnsi="Times New Roman"/>
                <w:bCs/>
                <w:sz w:val="24"/>
                <w:szCs w:val="24"/>
              </w:rPr>
              <w:footnoteReference w:id="2"/>
            </w:r>
            <w:r w:rsidRPr="00865041">
              <w:rPr>
                <w:rFonts w:ascii="Times New Roman" w:hAnsi="Times New Roman"/>
                <w:bCs/>
                <w:sz w:val="24"/>
                <w:szCs w:val="24"/>
              </w:rPr>
              <w:t xml:space="preserve"> and </w:t>
            </w:r>
            <w:r w:rsidR="00DD3358" w:rsidRPr="00865041">
              <w:rPr>
                <w:rFonts w:ascii="Times New Roman" w:hAnsi="Times New Roman"/>
                <w:bCs/>
                <w:sz w:val="24"/>
                <w:szCs w:val="24"/>
              </w:rPr>
              <w:t>associated Impact Assessment</w:t>
            </w:r>
            <w:r w:rsidR="009540B3">
              <w:rPr>
                <w:rStyle w:val="FootnoteReference"/>
                <w:rFonts w:ascii="Times New Roman" w:hAnsi="Times New Roman"/>
                <w:bCs/>
                <w:sz w:val="24"/>
                <w:szCs w:val="24"/>
              </w:rPr>
              <w:footnoteReference w:id="3"/>
            </w:r>
            <w:r w:rsidR="00F03507" w:rsidRPr="00865041">
              <w:rPr>
                <w:rFonts w:ascii="Times New Roman" w:hAnsi="Times New Roman"/>
                <w:bCs/>
                <w:sz w:val="24"/>
                <w:szCs w:val="24"/>
              </w:rPr>
              <w:t>.</w:t>
            </w:r>
            <w:r w:rsidRPr="00865041">
              <w:rPr>
                <w:rFonts w:ascii="Times New Roman" w:hAnsi="Times New Roman"/>
                <w:bCs/>
                <w:sz w:val="24"/>
                <w:szCs w:val="24"/>
              </w:rPr>
              <w:t xml:space="preserve"> </w:t>
            </w:r>
            <w:r w:rsidR="00ED05D8" w:rsidRPr="00865041">
              <w:rPr>
                <w:rFonts w:ascii="Times New Roman" w:hAnsi="Times New Roman"/>
                <w:bCs/>
                <w:sz w:val="24"/>
                <w:szCs w:val="24"/>
              </w:rPr>
              <w:t>The Commission w</w:t>
            </w:r>
            <w:r w:rsidRPr="00865041">
              <w:rPr>
                <w:rFonts w:ascii="Times New Roman" w:hAnsi="Times New Roman"/>
                <w:bCs/>
                <w:sz w:val="24"/>
                <w:szCs w:val="24"/>
              </w:rPr>
              <w:t>elcome</w:t>
            </w:r>
            <w:r w:rsidR="00ED05D8" w:rsidRPr="00865041">
              <w:rPr>
                <w:rFonts w:ascii="Times New Roman" w:hAnsi="Times New Roman"/>
                <w:bCs/>
                <w:sz w:val="24"/>
                <w:szCs w:val="24"/>
              </w:rPr>
              <w:t>s</w:t>
            </w:r>
            <w:r w:rsidRPr="00865041">
              <w:rPr>
                <w:rFonts w:ascii="Times New Roman" w:hAnsi="Times New Roman"/>
                <w:bCs/>
                <w:sz w:val="24"/>
                <w:szCs w:val="24"/>
              </w:rPr>
              <w:t xml:space="preserve"> the EESC</w:t>
            </w:r>
            <w:r w:rsidR="00ED05D8" w:rsidRPr="00865041">
              <w:rPr>
                <w:rFonts w:ascii="Times New Roman" w:hAnsi="Times New Roman"/>
                <w:bCs/>
                <w:sz w:val="24"/>
                <w:szCs w:val="24"/>
              </w:rPr>
              <w:t>’s</w:t>
            </w:r>
            <w:r w:rsidRPr="00865041">
              <w:rPr>
                <w:rFonts w:ascii="Times New Roman" w:hAnsi="Times New Roman"/>
                <w:bCs/>
                <w:sz w:val="24"/>
                <w:szCs w:val="24"/>
              </w:rPr>
              <w:t xml:space="preserve"> support for the recommended target of 90% net </w:t>
            </w:r>
            <w:r w:rsidR="000B3653" w:rsidRPr="00865041">
              <w:rPr>
                <w:rFonts w:ascii="Times New Roman" w:hAnsi="Times New Roman"/>
                <w:bCs/>
                <w:sz w:val="24"/>
                <w:szCs w:val="24"/>
              </w:rPr>
              <w:t>greenhouse gases (</w:t>
            </w:r>
            <w:r w:rsidRPr="00865041">
              <w:rPr>
                <w:rFonts w:ascii="Times New Roman" w:hAnsi="Times New Roman"/>
                <w:bCs/>
                <w:sz w:val="24"/>
                <w:szCs w:val="24"/>
              </w:rPr>
              <w:t>GHG</w:t>
            </w:r>
            <w:r w:rsidR="000B3653" w:rsidRPr="00865041">
              <w:rPr>
                <w:rFonts w:ascii="Times New Roman" w:hAnsi="Times New Roman"/>
                <w:bCs/>
                <w:sz w:val="24"/>
                <w:szCs w:val="24"/>
              </w:rPr>
              <w:t>)</w:t>
            </w:r>
            <w:r w:rsidRPr="00865041">
              <w:rPr>
                <w:rFonts w:ascii="Times New Roman" w:hAnsi="Times New Roman"/>
                <w:bCs/>
                <w:sz w:val="24"/>
                <w:szCs w:val="24"/>
              </w:rPr>
              <w:t xml:space="preserve"> reduction by 2040 and </w:t>
            </w:r>
            <w:r w:rsidR="00192100" w:rsidRPr="00865041">
              <w:rPr>
                <w:rFonts w:ascii="Times New Roman" w:hAnsi="Times New Roman"/>
                <w:bCs/>
                <w:sz w:val="24"/>
                <w:szCs w:val="24"/>
              </w:rPr>
              <w:t>recalls</w:t>
            </w:r>
            <w:r w:rsidRPr="00865041">
              <w:rPr>
                <w:rFonts w:ascii="Times New Roman" w:hAnsi="Times New Roman"/>
                <w:bCs/>
                <w:sz w:val="24"/>
                <w:szCs w:val="24"/>
              </w:rPr>
              <w:t xml:space="preserve"> the </w:t>
            </w:r>
            <w:r w:rsidR="00FC4CAA" w:rsidRPr="00865041">
              <w:rPr>
                <w:rFonts w:ascii="Times New Roman" w:hAnsi="Times New Roman"/>
                <w:bCs/>
                <w:sz w:val="24"/>
                <w:szCs w:val="24"/>
              </w:rPr>
              <w:t xml:space="preserve">need for appropriate </w:t>
            </w:r>
            <w:r w:rsidRPr="00865041">
              <w:rPr>
                <w:rFonts w:ascii="Times New Roman" w:hAnsi="Times New Roman"/>
                <w:bCs/>
                <w:sz w:val="24"/>
                <w:szCs w:val="24"/>
              </w:rPr>
              <w:t xml:space="preserve">enabling policies </w:t>
            </w:r>
            <w:r w:rsidR="00A41079" w:rsidRPr="00865041">
              <w:rPr>
                <w:rFonts w:ascii="Times New Roman" w:hAnsi="Times New Roman"/>
                <w:bCs/>
                <w:sz w:val="24"/>
                <w:szCs w:val="24"/>
              </w:rPr>
              <w:t xml:space="preserve">and </w:t>
            </w:r>
            <w:r w:rsidR="00FB43B4" w:rsidRPr="00865041">
              <w:rPr>
                <w:rFonts w:ascii="Times New Roman" w:hAnsi="Times New Roman"/>
                <w:bCs/>
                <w:sz w:val="24"/>
                <w:szCs w:val="24"/>
              </w:rPr>
              <w:t xml:space="preserve">for utilising </w:t>
            </w:r>
            <w:r w:rsidR="007922E3" w:rsidRPr="00865041">
              <w:rPr>
                <w:rFonts w:ascii="Times New Roman" w:hAnsi="Times New Roman"/>
                <w:bCs/>
                <w:sz w:val="24"/>
                <w:szCs w:val="24"/>
              </w:rPr>
              <w:t>all zero and</w:t>
            </w:r>
            <w:r w:rsidRPr="00865041">
              <w:rPr>
                <w:rFonts w:ascii="Times New Roman" w:hAnsi="Times New Roman"/>
                <w:bCs/>
                <w:sz w:val="24"/>
                <w:szCs w:val="24"/>
              </w:rPr>
              <w:t xml:space="preserve"> low carbon technologies to meet the target whilst ensuring a just transition and </w:t>
            </w:r>
            <w:r w:rsidR="004E3CCC" w:rsidRPr="00865041">
              <w:rPr>
                <w:rFonts w:ascii="Times New Roman" w:hAnsi="Times New Roman"/>
                <w:bCs/>
                <w:sz w:val="24"/>
                <w:szCs w:val="24"/>
              </w:rPr>
              <w:t xml:space="preserve">the </w:t>
            </w:r>
            <w:r w:rsidRPr="00865041">
              <w:rPr>
                <w:rFonts w:ascii="Times New Roman" w:hAnsi="Times New Roman"/>
                <w:bCs/>
                <w:sz w:val="24"/>
                <w:szCs w:val="24"/>
              </w:rPr>
              <w:t xml:space="preserve">competitiveness of EU industry. </w:t>
            </w:r>
            <w:r w:rsidR="002925C1" w:rsidRPr="00865041">
              <w:rPr>
                <w:rFonts w:ascii="Times New Roman" w:hAnsi="Times New Roman"/>
                <w:bCs/>
                <w:sz w:val="24"/>
                <w:szCs w:val="24"/>
              </w:rPr>
              <w:t xml:space="preserve">The Commission recognises that meeting the 2040 climate target and reaching climate neutrality by 2050 must go </w:t>
            </w:r>
            <w:r w:rsidRPr="00865041">
              <w:rPr>
                <w:rFonts w:ascii="Times New Roman" w:hAnsi="Times New Roman"/>
                <w:bCs/>
                <w:sz w:val="24"/>
                <w:szCs w:val="24"/>
              </w:rPr>
              <w:t>hand in hand with building a strong economy, increasing European energy security</w:t>
            </w:r>
            <w:r w:rsidR="00445E2F" w:rsidRPr="00865041">
              <w:rPr>
                <w:rFonts w:ascii="Times New Roman" w:hAnsi="Times New Roman"/>
                <w:bCs/>
                <w:sz w:val="24"/>
                <w:szCs w:val="24"/>
              </w:rPr>
              <w:t>,</w:t>
            </w:r>
            <w:r w:rsidRPr="00865041">
              <w:rPr>
                <w:rFonts w:ascii="Times New Roman" w:hAnsi="Times New Roman"/>
                <w:bCs/>
                <w:sz w:val="24"/>
                <w:szCs w:val="24"/>
              </w:rPr>
              <w:t xml:space="preserve"> and provid</w:t>
            </w:r>
            <w:r w:rsidR="00744E39" w:rsidRPr="00865041">
              <w:rPr>
                <w:rFonts w:ascii="Times New Roman" w:hAnsi="Times New Roman"/>
                <w:bCs/>
                <w:sz w:val="24"/>
                <w:szCs w:val="24"/>
              </w:rPr>
              <w:t>ing</w:t>
            </w:r>
            <w:r w:rsidRPr="00865041">
              <w:rPr>
                <w:rFonts w:ascii="Times New Roman" w:hAnsi="Times New Roman"/>
                <w:bCs/>
                <w:sz w:val="24"/>
                <w:szCs w:val="24"/>
              </w:rPr>
              <w:t xml:space="preserve"> high-quality jobs.</w:t>
            </w:r>
          </w:p>
          <w:p w14:paraId="7A66528C" w14:textId="4FD6B6F1" w:rsidR="0057585B" w:rsidRPr="00865041" w:rsidRDefault="00A10FA8" w:rsidP="00B364B9">
            <w:pPr>
              <w:spacing w:before="120" w:after="120"/>
              <w:ind w:right="112"/>
              <w:jc w:val="both"/>
              <w:rPr>
                <w:rFonts w:ascii="Times New Roman" w:hAnsi="Times New Roman"/>
                <w:bCs/>
                <w:sz w:val="24"/>
                <w:szCs w:val="24"/>
              </w:rPr>
            </w:pPr>
            <w:r w:rsidRPr="00865041">
              <w:rPr>
                <w:rFonts w:ascii="Times New Roman" w:hAnsi="Times New Roman"/>
                <w:bCs/>
                <w:sz w:val="24"/>
                <w:szCs w:val="24"/>
              </w:rPr>
              <w:t xml:space="preserve">The Commission </w:t>
            </w:r>
            <w:r w:rsidR="000D5D34" w:rsidRPr="00865041">
              <w:rPr>
                <w:rFonts w:ascii="Times New Roman" w:hAnsi="Times New Roman"/>
                <w:bCs/>
                <w:sz w:val="24"/>
                <w:szCs w:val="24"/>
              </w:rPr>
              <w:t>welcomes</w:t>
            </w:r>
            <w:r w:rsidRPr="00865041">
              <w:rPr>
                <w:rFonts w:ascii="Times New Roman" w:hAnsi="Times New Roman"/>
                <w:bCs/>
                <w:sz w:val="24"/>
                <w:szCs w:val="24"/>
              </w:rPr>
              <w:t xml:space="preserve"> the EESC’s emphasis on</w:t>
            </w:r>
            <w:r w:rsidR="0057585B" w:rsidRPr="00865041">
              <w:rPr>
                <w:rFonts w:ascii="Times New Roman" w:hAnsi="Times New Roman"/>
                <w:bCs/>
                <w:sz w:val="24"/>
                <w:szCs w:val="24"/>
              </w:rPr>
              <w:t>:</w:t>
            </w:r>
          </w:p>
          <w:p w14:paraId="0E77B5F4" w14:textId="3E86AE3A" w:rsidR="0057585B" w:rsidRPr="00865041" w:rsidRDefault="00822CE6" w:rsidP="00B364B9">
            <w:pPr>
              <w:numPr>
                <w:ilvl w:val="0"/>
                <w:numId w:val="1"/>
              </w:numPr>
              <w:spacing w:before="120" w:after="120"/>
              <w:ind w:left="358" w:right="112" w:hanging="284"/>
              <w:jc w:val="both"/>
              <w:rPr>
                <w:rFonts w:ascii="Times New Roman" w:hAnsi="Times New Roman"/>
                <w:bCs/>
                <w:sz w:val="24"/>
                <w:szCs w:val="24"/>
              </w:rPr>
            </w:pPr>
            <w:r w:rsidRPr="00865041">
              <w:rPr>
                <w:rFonts w:ascii="Times New Roman" w:hAnsi="Times New Roman"/>
                <w:bCs/>
                <w:sz w:val="24"/>
                <w:szCs w:val="24"/>
              </w:rPr>
              <w:t xml:space="preserve">the importance of </w:t>
            </w:r>
            <w:r w:rsidR="00CF33BF" w:rsidRPr="00865041">
              <w:rPr>
                <w:rFonts w:ascii="Times New Roman" w:hAnsi="Times New Roman"/>
                <w:bCs/>
                <w:sz w:val="24"/>
                <w:szCs w:val="24"/>
              </w:rPr>
              <w:t>mobilising private finance</w:t>
            </w:r>
            <w:r w:rsidR="00CC7B05" w:rsidRPr="00865041">
              <w:rPr>
                <w:rFonts w:ascii="Times New Roman" w:hAnsi="Times New Roman"/>
                <w:bCs/>
                <w:sz w:val="24"/>
                <w:szCs w:val="24"/>
              </w:rPr>
              <w:t xml:space="preserve"> through </w:t>
            </w:r>
            <w:r w:rsidR="00463F1A" w:rsidRPr="00865041">
              <w:rPr>
                <w:rFonts w:ascii="Times New Roman" w:hAnsi="Times New Roman"/>
                <w:bCs/>
                <w:sz w:val="24"/>
                <w:szCs w:val="24"/>
              </w:rPr>
              <w:t xml:space="preserve">the </w:t>
            </w:r>
            <w:r w:rsidR="00CC7B05" w:rsidRPr="00865041">
              <w:rPr>
                <w:rFonts w:ascii="Times New Roman" w:hAnsi="Times New Roman"/>
                <w:bCs/>
                <w:sz w:val="24"/>
                <w:szCs w:val="24"/>
              </w:rPr>
              <w:t>predictability and consistency of the regulatory environment</w:t>
            </w:r>
            <w:r w:rsidR="00463F1A" w:rsidRPr="00865041">
              <w:rPr>
                <w:rFonts w:ascii="Times New Roman" w:hAnsi="Times New Roman"/>
                <w:bCs/>
                <w:sz w:val="24"/>
                <w:szCs w:val="24"/>
              </w:rPr>
              <w:t>,</w:t>
            </w:r>
          </w:p>
          <w:p w14:paraId="5A6F9F19" w14:textId="77777777" w:rsidR="009F2074" w:rsidRPr="00865041" w:rsidRDefault="00A10FA8" w:rsidP="00B364B9">
            <w:pPr>
              <w:numPr>
                <w:ilvl w:val="0"/>
                <w:numId w:val="1"/>
              </w:numPr>
              <w:spacing w:before="120" w:after="120"/>
              <w:ind w:left="358" w:right="112" w:hanging="284"/>
              <w:jc w:val="both"/>
              <w:rPr>
                <w:rFonts w:ascii="Times New Roman" w:hAnsi="Times New Roman"/>
                <w:bCs/>
                <w:sz w:val="24"/>
                <w:szCs w:val="24"/>
              </w:rPr>
            </w:pPr>
            <w:r w:rsidRPr="00865041">
              <w:rPr>
                <w:rFonts w:ascii="Times New Roman" w:hAnsi="Times New Roman"/>
                <w:bCs/>
                <w:sz w:val="24"/>
                <w:szCs w:val="24"/>
              </w:rPr>
              <w:t>t</w:t>
            </w:r>
            <w:r w:rsidR="00242925" w:rsidRPr="00865041">
              <w:rPr>
                <w:rFonts w:ascii="Times New Roman" w:hAnsi="Times New Roman"/>
                <w:bCs/>
                <w:sz w:val="24"/>
                <w:szCs w:val="24"/>
              </w:rPr>
              <w:t xml:space="preserve">he </w:t>
            </w:r>
            <w:r w:rsidR="0057585B" w:rsidRPr="00865041">
              <w:rPr>
                <w:rFonts w:ascii="Times New Roman" w:hAnsi="Times New Roman"/>
                <w:bCs/>
                <w:sz w:val="24"/>
                <w:szCs w:val="24"/>
              </w:rPr>
              <w:t>need for all sectors</w:t>
            </w:r>
            <w:r w:rsidR="00B0567E" w:rsidRPr="00865041">
              <w:rPr>
                <w:rFonts w:ascii="Times New Roman" w:hAnsi="Times New Roman"/>
                <w:bCs/>
                <w:sz w:val="24"/>
                <w:szCs w:val="24"/>
              </w:rPr>
              <w:t xml:space="preserve"> to contribute, while recognising the </w:t>
            </w:r>
            <w:r w:rsidR="00242925" w:rsidRPr="00865041">
              <w:rPr>
                <w:rFonts w:ascii="Times New Roman" w:hAnsi="Times New Roman"/>
                <w:bCs/>
                <w:sz w:val="24"/>
                <w:szCs w:val="24"/>
              </w:rPr>
              <w:t xml:space="preserve">scale of </w:t>
            </w:r>
            <w:r w:rsidR="00B0567E" w:rsidRPr="00865041">
              <w:rPr>
                <w:rFonts w:ascii="Times New Roman" w:hAnsi="Times New Roman"/>
                <w:bCs/>
                <w:sz w:val="24"/>
                <w:szCs w:val="24"/>
              </w:rPr>
              <w:t xml:space="preserve">the </w:t>
            </w:r>
            <w:r w:rsidR="00242925" w:rsidRPr="00865041">
              <w:rPr>
                <w:rFonts w:ascii="Times New Roman" w:hAnsi="Times New Roman"/>
                <w:bCs/>
                <w:sz w:val="24"/>
                <w:szCs w:val="24"/>
              </w:rPr>
              <w:t>challenge for sectors with hard to abate emissions</w:t>
            </w:r>
            <w:r w:rsidR="009F2074" w:rsidRPr="00865041">
              <w:rPr>
                <w:rFonts w:ascii="Times New Roman" w:hAnsi="Times New Roman"/>
                <w:bCs/>
                <w:sz w:val="24"/>
                <w:szCs w:val="24"/>
              </w:rPr>
              <w:t>,</w:t>
            </w:r>
          </w:p>
          <w:p w14:paraId="7596F6F0" w14:textId="7B352D83" w:rsidR="00242925" w:rsidRPr="00865041" w:rsidRDefault="00FC4DAF" w:rsidP="00B364B9">
            <w:pPr>
              <w:numPr>
                <w:ilvl w:val="0"/>
                <w:numId w:val="1"/>
              </w:numPr>
              <w:spacing w:before="120" w:after="120"/>
              <w:ind w:left="358" w:right="112" w:hanging="284"/>
              <w:jc w:val="both"/>
              <w:rPr>
                <w:rFonts w:ascii="Times New Roman" w:hAnsi="Times New Roman"/>
                <w:bCs/>
                <w:sz w:val="24"/>
                <w:szCs w:val="24"/>
              </w:rPr>
            </w:pPr>
            <w:r w:rsidRPr="00865041">
              <w:rPr>
                <w:rFonts w:ascii="Times New Roman" w:hAnsi="Times New Roman"/>
                <w:bCs/>
                <w:sz w:val="24"/>
                <w:szCs w:val="24"/>
              </w:rPr>
              <w:t>the role that a more circular and efficient use of natural resources can play in decarbonising our economy, and the importance of empowering consumers in that context.</w:t>
            </w:r>
          </w:p>
          <w:p w14:paraId="186093BA" w14:textId="37A860E7" w:rsidR="00242925" w:rsidRPr="00865041" w:rsidRDefault="00242925" w:rsidP="00B364B9">
            <w:pPr>
              <w:spacing w:before="120" w:after="120"/>
              <w:ind w:right="112"/>
              <w:jc w:val="both"/>
              <w:rPr>
                <w:rFonts w:ascii="Times New Roman" w:hAnsi="Times New Roman"/>
                <w:bCs/>
                <w:sz w:val="24"/>
                <w:szCs w:val="24"/>
              </w:rPr>
            </w:pPr>
            <w:r w:rsidRPr="00865041">
              <w:rPr>
                <w:rFonts w:ascii="Times New Roman" w:hAnsi="Times New Roman"/>
                <w:bCs/>
                <w:sz w:val="24"/>
                <w:szCs w:val="24"/>
              </w:rPr>
              <w:t xml:space="preserve">Finally, the Commission welcomes the EESC’s work and </w:t>
            </w:r>
            <w:r w:rsidR="009F2074" w:rsidRPr="00865041">
              <w:rPr>
                <w:rFonts w:ascii="Times New Roman" w:hAnsi="Times New Roman"/>
                <w:bCs/>
                <w:sz w:val="24"/>
                <w:szCs w:val="24"/>
              </w:rPr>
              <w:t xml:space="preserve">the </w:t>
            </w:r>
            <w:r w:rsidRPr="00865041">
              <w:rPr>
                <w:rFonts w:ascii="Times New Roman" w:hAnsi="Times New Roman"/>
                <w:bCs/>
                <w:sz w:val="24"/>
                <w:szCs w:val="24"/>
              </w:rPr>
              <w:t xml:space="preserve">development of this opinion given the great importance of </w:t>
            </w:r>
            <w:r w:rsidR="0094272E" w:rsidRPr="00865041">
              <w:rPr>
                <w:rFonts w:ascii="Times New Roman" w:hAnsi="Times New Roman"/>
                <w:bCs/>
                <w:sz w:val="24"/>
                <w:szCs w:val="24"/>
              </w:rPr>
              <w:t xml:space="preserve">engaging </w:t>
            </w:r>
            <w:r w:rsidRPr="00865041">
              <w:rPr>
                <w:rFonts w:ascii="Times New Roman" w:hAnsi="Times New Roman"/>
                <w:bCs/>
                <w:sz w:val="24"/>
                <w:szCs w:val="24"/>
              </w:rPr>
              <w:t xml:space="preserve">a broad </w:t>
            </w:r>
            <w:r w:rsidR="006D68D3" w:rsidRPr="00865041">
              <w:rPr>
                <w:rFonts w:ascii="Times New Roman" w:hAnsi="Times New Roman"/>
                <w:bCs/>
                <w:sz w:val="24"/>
                <w:szCs w:val="24"/>
              </w:rPr>
              <w:t>public</w:t>
            </w:r>
            <w:r w:rsidR="0094272E" w:rsidRPr="00865041">
              <w:rPr>
                <w:rFonts w:ascii="Times New Roman" w:hAnsi="Times New Roman"/>
                <w:bCs/>
                <w:sz w:val="24"/>
                <w:szCs w:val="24"/>
              </w:rPr>
              <w:t xml:space="preserve"> </w:t>
            </w:r>
            <w:r w:rsidRPr="00865041">
              <w:rPr>
                <w:rFonts w:ascii="Times New Roman" w:hAnsi="Times New Roman"/>
                <w:bCs/>
                <w:sz w:val="24"/>
                <w:szCs w:val="24"/>
              </w:rPr>
              <w:t xml:space="preserve">debate on </w:t>
            </w:r>
            <w:r w:rsidR="006A0979" w:rsidRPr="00865041">
              <w:rPr>
                <w:rFonts w:ascii="Times New Roman" w:hAnsi="Times New Roman"/>
                <w:bCs/>
                <w:sz w:val="24"/>
                <w:szCs w:val="24"/>
              </w:rPr>
              <w:t xml:space="preserve">how to achieve </w:t>
            </w:r>
            <w:r w:rsidRPr="00865041">
              <w:rPr>
                <w:rFonts w:ascii="Times New Roman" w:hAnsi="Times New Roman"/>
                <w:bCs/>
                <w:sz w:val="24"/>
                <w:szCs w:val="24"/>
              </w:rPr>
              <w:t>a successful transition to climate neutrality</w:t>
            </w:r>
            <w:r w:rsidR="007A2E54" w:rsidRPr="00865041">
              <w:rPr>
                <w:rFonts w:ascii="Times New Roman" w:hAnsi="Times New Roman"/>
                <w:bCs/>
                <w:sz w:val="24"/>
                <w:szCs w:val="24"/>
              </w:rPr>
              <w:t xml:space="preserve"> by 2050</w:t>
            </w:r>
            <w:r w:rsidR="001E6CBF" w:rsidRPr="00865041">
              <w:rPr>
                <w:rFonts w:ascii="Times New Roman" w:hAnsi="Times New Roman"/>
                <w:bCs/>
                <w:sz w:val="24"/>
                <w:szCs w:val="24"/>
              </w:rPr>
              <w:t xml:space="preserve">, in view of ensuring the </w:t>
            </w:r>
            <w:r w:rsidR="006D68D3" w:rsidRPr="00865041">
              <w:rPr>
                <w:rFonts w:ascii="Times New Roman" w:hAnsi="Times New Roman"/>
                <w:bCs/>
                <w:sz w:val="24"/>
                <w:szCs w:val="24"/>
              </w:rPr>
              <w:t>social</w:t>
            </w:r>
            <w:r w:rsidRPr="00865041">
              <w:rPr>
                <w:rFonts w:ascii="Times New Roman" w:hAnsi="Times New Roman"/>
                <w:bCs/>
                <w:sz w:val="24"/>
                <w:szCs w:val="24"/>
              </w:rPr>
              <w:t xml:space="preserve"> accepta</w:t>
            </w:r>
            <w:r w:rsidR="006D68D3" w:rsidRPr="00865041">
              <w:rPr>
                <w:rFonts w:ascii="Times New Roman" w:hAnsi="Times New Roman"/>
                <w:bCs/>
                <w:sz w:val="24"/>
                <w:szCs w:val="24"/>
              </w:rPr>
              <w:t>bility</w:t>
            </w:r>
            <w:r w:rsidRPr="00865041">
              <w:rPr>
                <w:rFonts w:ascii="Times New Roman" w:hAnsi="Times New Roman"/>
                <w:bCs/>
                <w:sz w:val="24"/>
                <w:szCs w:val="24"/>
              </w:rPr>
              <w:t xml:space="preserve"> of the </w:t>
            </w:r>
            <w:r w:rsidR="001952DA" w:rsidRPr="00865041">
              <w:rPr>
                <w:rFonts w:ascii="Times New Roman" w:hAnsi="Times New Roman"/>
                <w:bCs/>
                <w:sz w:val="24"/>
                <w:szCs w:val="24"/>
              </w:rPr>
              <w:t xml:space="preserve">climate </w:t>
            </w:r>
            <w:r w:rsidRPr="00865041">
              <w:rPr>
                <w:rFonts w:ascii="Times New Roman" w:hAnsi="Times New Roman"/>
                <w:bCs/>
                <w:sz w:val="24"/>
                <w:szCs w:val="24"/>
              </w:rPr>
              <w:t xml:space="preserve">transition and </w:t>
            </w:r>
            <w:r w:rsidR="006D68D3" w:rsidRPr="00865041">
              <w:rPr>
                <w:rFonts w:ascii="Times New Roman" w:hAnsi="Times New Roman"/>
                <w:bCs/>
                <w:sz w:val="24"/>
                <w:szCs w:val="24"/>
              </w:rPr>
              <w:t xml:space="preserve">its necessary </w:t>
            </w:r>
            <w:r w:rsidR="002B5B78" w:rsidRPr="00865041">
              <w:rPr>
                <w:rFonts w:ascii="Times New Roman" w:hAnsi="Times New Roman"/>
                <w:bCs/>
                <w:sz w:val="24"/>
                <w:szCs w:val="24"/>
              </w:rPr>
              <w:t>transformations</w:t>
            </w:r>
            <w:r w:rsidRPr="00865041">
              <w:rPr>
                <w:rFonts w:ascii="Times New Roman" w:hAnsi="Times New Roman"/>
                <w:bCs/>
                <w:sz w:val="24"/>
                <w:szCs w:val="24"/>
              </w:rPr>
              <w:t>.</w:t>
            </w:r>
          </w:p>
          <w:p w14:paraId="522192B9" w14:textId="77777777" w:rsidR="00AB1C14" w:rsidRPr="00865041" w:rsidRDefault="003C7867" w:rsidP="00B364B9">
            <w:pPr>
              <w:spacing w:before="120" w:after="120"/>
              <w:ind w:right="112"/>
              <w:jc w:val="both"/>
              <w:rPr>
                <w:rFonts w:ascii="Times New Roman" w:hAnsi="Times New Roman"/>
                <w:bCs/>
                <w:sz w:val="24"/>
                <w:szCs w:val="24"/>
              </w:rPr>
            </w:pPr>
            <w:r w:rsidRPr="00865041">
              <w:rPr>
                <w:rFonts w:ascii="Times New Roman" w:hAnsi="Times New Roman"/>
                <w:bCs/>
                <w:sz w:val="24"/>
                <w:szCs w:val="24"/>
              </w:rPr>
              <w:t xml:space="preserve">Below are </w:t>
            </w:r>
            <w:r w:rsidR="00BD7210" w:rsidRPr="00865041">
              <w:rPr>
                <w:rFonts w:ascii="Times New Roman" w:hAnsi="Times New Roman"/>
                <w:bCs/>
                <w:sz w:val="24"/>
                <w:szCs w:val="24"/>
              </w:rPr>
              <w:t xml:space="preserve">specific answers to the more detailed calls </w:t>
            </w:r>
            <w:r w:rsidR="00886A74" w:rsidRPr="00865041">
              <w:rPr>
                <w:rFonts w:ascii="Times New Roman" w:hAnsi="Times New Roman"/>
                <w:bCs/>
                <w:sz w:val="24"/>
                <w:szCs w:val="24"/>
              </w:rPr>
              <w:t>made on the Commission in the opinion</w:t>
            </w:r>
            <w:r w:rsidR="001E40AD" w:rsidRPr="00865041">
              <w:rPr>
                <w:rFonts w:ascii="Times New Roman" w:hAnsi="Times New Roman"/>
                <w:bCs/>
                <w:sz w:val="24"/>
                <w:szCs w:val="24"/>
              </w:rPr>
              <w:t>.</w:t>
            </w:r>
          </w:p>
          <w:p w14:paraId="720E6256" w14:textId="1CC9AEE1" w:rsidR="00037348" w:rsidRPr="00865041" w:rsidRDefault="00037348" w:rsidP="00B364B9">
            <w:pPr>
              <w:spacing w:before="120" w:after="120"/>
              <w:ind w:right="112"/>
              <w:jc w:val="both"/>
              <w:rPr>
                <w:rFonts w:ascii="Times New Roman" w:hAnsi="Times New Roman"/>
                <w:bCs/>
                <w:sz w:val="24"/>
                <w:szCs w:val="24"/>
              </w:rPr>
            </w:pPr>
            <w:r w:rsidRPr="00865041">
              <w:rPr>
                <w:rFonts w:ascii="Times New Roman" w:hAnsi="Times New Roman"/>
                <w:bCs/>
                <w:sz w:val="24"/>
                <w:szCs w:val="24"/>
              </w:rPr>
              <w:t>1.2., 4.2.,4.4. The Commission acknowledges the importance of reducing gross GHG emissions and increasing the level of carbon removals, as these are both key aspects to reach net zero.</w:t>
            </w:r>
          </w:p>
          <w:p w14:paraId="2CDF7EDF" w14:textId="18062358" w:rsidR="00037348" w:rsidRPr="00865041" w:rsidRDefault="00037348" w:rsidP="00B364B9">
            <w:pPr>
              <w:spacing w:before="120" w:after="120"/>
              <w:ind w:right="112"/>
              <w:jc w:val="both"/>
              <w:rPr>
                <w:rFonts w:ascii="Times New Roman" w:hAnsi="Times New Roman"/>
                <w:bCs/>
                <w:sz w:val="24"/>
                <w:szCs w:val="24"/>
              </w:rPr>
            </w:pPr>
            <w:r w:rsidRPr="00865041">
              <w:rPr>
                <w:rFonts w:ascii="Times New Roman" w:hAnsi="Times New Roman"/>
                <w:bCs/>
                <w:sz w:val="24"/>
                <w:szCs w:val="24"/>
              </w:rPr>
              <w:t>The modelling results of the Impact Assessment indicate that the pathway to reach the 90% target would imply a level of remaining EU GHG emissions in 2040 of less than 850 MtCO2-eq, with removals from the atmosphere through land based and industrial carbon removals of up to 400 MtCO2.</w:t>
            </w:r>
          </w:p>
          <w:p w14:paraId="1512EDC8" w14:textId="77777777" w:rsidR="00037348" w:rsidRPr="00865041" w:rsidRDefault="00037348" w:rsidP="00B364B9">
            <w:pPr>
              <w:spacing w:before="120" w:after="120"/>
              <w:ind w:right="112"/>
              <w:jc w:val="both"/>
              <w:rPr>
                <w:rFonts w:ascii="Times New Roman" w:hAnsi="Times New Roman"/>
                <w:bCs/>
                <w:sz w:val="24"/>
                <w:szCs w:val="24"/>
              </w:rPr>
            </w:pPr>
            <w:r w:rsidRPr="00865041">
              <w:rPr>
                <w:rFonts w:ascii="Times New Roman" w:hAnsi="Times New Roman"/>
                <w:bCs/>
                <w:sz w:val="24"/>
                <w:szCs w:val="24"/>
              </w:rPr>
              <w:t xml:space="preserve">Implementing Industrial Carbon Management (ICM) solutions at large scale in the EU will be </w:t>
            </w:r>
            <w:r w:rsidRPr="00865041">
              <w:rPr>
                <w:rFonts w:ascii="Times New Roman" w:hAnsi="Times New Roman"/>
                <w:bCs/>
                <w:sz w:val="24"/>
                <w:szCs w:val="24"/>
              </w:rPr>
              <w:lastRenderedPageBreak/>
              <w:t>essential. ICM solutions are seen as key in sectors with hard-to-abate emissions for which mitigation options are limited. However, their implementation should be targeted where they will make most sense, especially given their current stage of development.</w:t>
            </w:r>
          </w:p>
          <w:p w14:paraId="1238D10C" w14:textId="24A2E3B3" w:rsidR="00037348" w:rsidRPr="00865041" w:rsidRDefault="00037348" w:rsidP="00B364B9">
            <w:pPr>
              <w:spacing w:before="120" w:after="120"/>
              <w:ind w:right="112"/>
              <w:jc w:val="both"/>
              <w:rPr>
                <w:rFonts w:ascii="Times New Roman" w:hAnsi="Times New Roman"/>
                <w:sz w:val="24"/>
                <w:szCs w:val="24"/>
              </w:rPr>
            </w:pPr>
            <w:r w:rsidRPr="00865041">
              <w:rPr>
                <w:rFonts w:ascii="Times New Roman" w:hAnsi="Times New Roman"/>
                <w:sz w:val="24"/>
                <w:szCs w:val="24"/>
              </w:rPr>
              <w:t>The EU’s ICM Strategy</w:t>
            </w:r>
            <w:r w:rsidR="009540B3">
              <w:rPr>
                <w:rStyle w:val="FootnoteReference"/>
                <w:rFonts w:ascii="Times New Roman" w:hAnsi="Times New Roman"/>
                <w:sz w:val="24"/>
                <w:szCs w:val="24"/>
              </w:rPr>
              <w:footnoteReference w:id="4"/>
            </w:r>
            <w:r w:rsidRPr="00865041">
              <w:rPr>
                <w:rFonts w:ascii="Times New Roman" w:hAnsi="Times New Roman"/>
                <w:sz w:val="24"/>
                <w:szCs w:val="24"/>
              </w:rPr>
              <w:t xml:space="preserve"> final does not identify specific sectors for applying carbon capture in view of permanent storage or further utilization, nor does it impose specific targets, leaving Member States to decide the best applications at the national level.</w:t>
            </w:r>
          </w:p>
          <w:p w14:paraId="58AF5A4C" w14:textId="039D88CD" w:rsidR="00037348" w:rsidRPr="00865041" w:rsidRDefault="00037348" w:rsidP="00B364B9">
            <w:pPr>
              <w:spacing w:before="120" w:after="120"/>
              <w:ind w:right="112"/>
              <w:jc w:val="both"/>
              <w:rPr>
                <w:rFonts w:ascii="Times New Roman" w:hAnsi="Times New Roman"/>
                <w:bCs/>
                <w:sz w:val="24"/>
                <w:szCs w:val="24"/>
              </w:rPr>
            </w:pPr>
            <w:r w:rsidRPr="00865041">
              <w:rPr>
                <w:rFonts w:ascii="Times New Roman" w:hAnsi="Times New Roman"/>
                <w:sz w:val="24"/>
                <w:szCs w:val="24"/>
              </w:rPr>
              <w:t xml:space="preserve">In line with the new </w:t>
            </w:r>
            <w:r w:rsidR="00035937" w:rsidRPr="00035937">
              <w:rPr>
                <w:rFonts w:ascii="Times New Roman" w:hAnsi="Times New Roman"/>
                <w:sz w:val="24"/>
                <w:szCs w:val="24"/>
              </w:rPr>
              <w:t xml:space="preserve">Land use, land-use change, and forestry </w:t>
            </w:r>
            <w:r w:rsidR="00035937">
              <w:rPr>
                <w:rFonts w:ascii="Times New Roman" w:hAnsi="Times New Roman"/>
                <w:sz w:val="24"/>
                <w:szCs w:val="24"/>
              </w:rPr>
              <w:t>(</w:t>
            </w:r>
            <w:r w:rsidRPr="00865041">
              <w:rPr>
                <w:rFonts w:ascii="Times New Roman" w:hAnsi="Times New Roman"/>
                <w:sz w:val="24"/>
                <w:szCs w:val="24"/>
              </w:rPr>
              <w:t>LULUCF</w:t>
            </w:r>
            <w:r w:rsidR="00035937">
              <w:rPr>
                <w:rFonts w:ascii="Times New Roman" w:hAnsi="Times New Roman"/>
                <w:sz w:val="24"/>
                <w:szCs w:val="24"/>
              </w:rPr>
              <w:t>)</w:t>
            </w:r>
            <w:r w:rsidRPr="00865041">
              <w:rPr>
                <w:rFonts w:ascii="Times New Roman" w:hAnsi="Times New Roman"/>
                <w:sz w:val="24"/>
                <w:szCs w:val="24"/>
              </w:rPr>
              <w:t xml:space="preserve"> Regulation, the Commission is working with Member States to improve the current LULUCF accounting and monitoring. The Commission also agrees on the key importance of climate adaptation, as demonstrated in the recent </w:t>
            </w:r>
            <w:r w:rsidR="00035937" w:rsidRPr="00035937">
              <w:rPr>
                <w:rFonts w:ascii="Times New Roman" w:hAnsi="Times New Roman"/>
                <w:sz w:val="24"/>
                <w:szCs w:val="24"/>
              </w:rPr>
              <w:t xml:space="preserve">European Climate Risk Assessment </w:t>
            </w:r>
            <w:r w:rsidR="00035937">
              <w:rPr>
                <w:rFonts w:ascii="Times New Roman" w:hAnsi="Times New Roman"/>
                <w:sz w:val="24"/>
                <w:szCs w:val="24"/>
              </w:rPr>
              <w:t>(</w:t>
            </w:r>
            <w:r w:rsidRPr="00865041">
              <w:rPr>
                <w:rFonts w:ascii="Times New Roman" w:hAnsi="Times New Roman"/>
                <w:sz w:val="24"/>
                <w:szCs w:val="24"/>
              </w:rPr>
              <w:t>EUCRA</w:t>
            </w:r>
            <w:r w:rsidR="00035937">
              <w:rPr>
                <w:rFonts w:ascii="Times New Roman" w:hAnsi="Times New Roman"/>
                <w:sz w:val="24"/>
                <w:szCs w:val="24"/>
              </w:rPr>
              <w:t>)</w:t>
            </w:r>
            <w:r w:rsidRPr="00865041">
              <w:rPr>
                <w:rFonts w:ascii="Times New Roman" w:hAnsi="Times New Roman"/>
                <w:sz w:val="24"/>
                <w:szCs w:val="24"/>
              </w:rPr>
              <w:t xml:space="preserve"> report.</w:t>
            </w:r>
          </w:p>
          <w:p w14:paraId="2AB77581" w14:textId="58EBBCA8" w:rsidR="00037348" w:rsidRPr="00865041" w:rsidRDefault="00037348" w:rsidP="00B364B9">
            <w:pPr>
              <w:spacing w:before="120" w:after="120"/>
              <w:ind w:right="112"/>
              <w:jc w:val="both"/>
              <w:rPr>
                <w:rFonts w:ascii="Times New Roman" w:hAnsi="Times New Roman"/>
                <w:bCs/>
                <w:sz w:val="24"/>
                <w:szCs w:val="24"/>
              </w:rPr>
            </w:pPr>
            <w:r w:rsidRPr="00865041">
              <w:rPr>
                <w:rFonts w:ascii="Times New Roman" w:hAnsi="Times New Roman"/>
                <w:bCs/>
                <w:sz w:val="24"/>
                <w:szCs w:val="24"/>
              </w:rPr>
              <w:t>1.7. The Commission acknowledges the need for a renewed European agenda for sustainable industry and competitiveness to make the European Green Deal succeed in the next decade. Creating the right framework conditions for all sectors in the economy (including access to finance, skills, affordable energy) is a precondition for the successful transition.</w:t>
            </w:r>
          </w:p>
          <w:p w14:paraId="24FAB37F" w14:textId="342C5AC4" w:rsidR="00037348" w:rsidRPr="00865041" w:rsidRDefault="00037348" w:rsidP="00B364B9">
            <w:pPr>
              <w:spacing w:before="120" w:after="120"/>
              <w:ind w:right="112"/>
              <w:jc w:val="both"/>
              <w:rPr>
                <w:rFonts w:ascii="Times New Roman" w:hAnsi="Times New Roman"/>
                <w:bCs/>
                <w:sz w:val="24"/>
                <w:szCs w:val="24"/>
              </w:rPr>
            </w:pPr>
            <w:r w:rsidRPr="00865041">
              <w:rPr>
                <w:rFonts w:ascii="Times New Roman" w:hAnsi="Times New Roman"/>
                <w:bCs/>
                <w:sz w:val="24"/>
                <w:szCs w:val="24"/>
              </w:rPr>
              <w:t>1.5., 5.8., The Commission takes note of the EESC’s recommendation to establish an indicative emissions reduction target for the agri-food sector.</w:t>
            </w:r>
          </w:p>
          <w:p w14:paraId="40C4E767" w14:textId="77777777" w:rsidR="00037348" w:rsidRPr="00865041" w:rsidRDefault="00037348" w:rsidP="00B364B9">
            <w:pPr>
              <w:spacing w:before="120" w:after="120"/>
              <w:ind w:right="112"/>
              <w:jc w:val="both"/>
              <w:rPr>
                <w:rFonts w:ascii="Times New Roman" w:hAnsi="Times New Roman"/>
                <w:sz w:val="24"/>
                <w:szCs w:val="24"/>
              </w:rPr>
            </w:pPr>
            <w:r w:rsidRPr="00865041">
              <w:rPr>
                <w:rFonts w:ascii="Times New Roman" w:hAnsi="Times New Roman"/>
                <w:sz w:val="24"/>
                <w:szCs w:val="24"/>
              </w:rPr>
              <w:t>The Commission recognises that agriculture can play a key role in the green transition. The main tasks in the upcoming mandate will be to create the conditions to better incentivise and provide fair rewards to farmers, unlock potential business opportunities and attract investment, make farming more attractive, sustainable and profitable, and ensure food security.</w:t>
            </w:r>
          </w:p>
          <w:p w14:paraId="5CEE3335" w14:textId="77777777" w:rsidR="00037348" w:rsidRPr="00865041" w:rsidRDefault="00037348" w:rsidP="00B364B9">
            <w:pPr>
              <w:spacing w:before="120" w:after="120"/>
              <w:ind w:right="112"/>
              <w:jc w:val="both"/>
              <w:rPr>
                <w:rFonts w:ascii="Times New Roman" w:hAnsi="Times New Roman"/>
                <w:sz w:val="24"/>
                <w:szCs w:val="24"/>
              </w:rPr>
            </w:pPr>
            <w:r w:rsidRPr="00865041">
              <w:rPr>
                <w:rFonts w:ascii="Times New Roman" w:hAnsi="Times New Roman"/>
                <w:sz w:val="24"/>
                <w:szCs w:val="24"/>
              </w:rPr>
              <w:t>It is also in the interest of all of society to ensure the long-term productivity of the agricultural system through healthy soils and a thriving biodiversity, and by addressing the impacts of climate change, such as water stress and scarcity, forest fires, pests and other hazards.</w:t>
            </w:r>
          </w:p>
          <w:p w14:paraId="392F5B76" w14:textId="1CA10018" w:rsidR="00037348" w:rsidRPr="00865041" w:rsidRDefault="00037348" w:rsidP="00B364B9">
            <w:pPr>
              <w:spacing w:before="120" w:after="120"/>
              <w:ind w:right="112"/>
              <w:jc w:val="both"/>
              <w:rPr>
                <w:rFonts w:ascii="Times New Roman" w:hAnsi="Times New Roman"/>
                <w:bCs/>
                <w:sz w:val="24"/>
                <w:szCs w:val="24"/>
              </w:rPr>
            </w:pPr>
            <w:r w:rsidRPr="00865041">
              <w:rPr>
                <w:rFonts w:ascii="Times New Roman" w:hAnsi="Times New Roman"/>
                <w:bCs/>
                <w:sz w:val="24"/>
                <w:szCs w:val="24"/>
              </w:rPr>
              <w:t>A green transition in the land sector must be fair and occur in a dialogue with farmers, balancing the required effort across all actors from farm to fork to ensure that farmers do not get disproportionately burdened.</w:t>
            </w:r>
          </w:p>
          <w:p w14:paraId="68D48439" w14:textId="6089AC39" w:rsidR="00037348" w:rsidRPr="00865041" w:rsidRDefault="00037348" w:rsidP="00B364B9">
            <w:pPr>
              <w:spacing w:before="120" w:after="120"/>
              <w:ind w:right="112"/>
              <w:jc w:val="both"/>
              <w:rPr>
                <w:rFonts w:ascii="Times New Roman" w:hAnsi="Times New Roman"/>
                <w:sz w:val="24"/>
                <w:szCs w:val="24"/>
              </w:rPr>
            </w:pPr>
            <w:r w:rsidRPr="00865041">
              <w:rPr>
                <w:rFonts w:ascii="Times New Roman" w:hAnsi="Times New Roman"/>
                <w:sz w:val="24"/>
                <w:szCs w:val="24"/>
              </w:rPr>
              <w:t>Indeed, transforming the food sector in a holistic way is more efficient than looking at the farming sector in isolation, because many decisions with large mitigation and adaptation potential are taken outside the farm gate.</w:t>
            </w:r>
          </w:p>
          <w:p w14:paraId="2587256B" w14:textId="77777777" w:rsidR="00037348" w:rsidRPr="00865041" w:rsidRDefault="00037348" w:rsidP="00B364B9">
            <w:pPr>
              <w:spacing w:before="120" w:after="120"/>
              <w:ind w:right="112"/>
              <w:jc w:val="both"/>
              <w:rPr>
                <w:rFonts w:ascii="Times New Roman" w:hAnsi="Times New Roman"/>
                <w:sz w:val="24"/>
                <w:szCs w:val="24"/>
              </w:rPr>
            </w:pPr>
            <w:r w:rsidRPr="00865041">
              <w:rPr>
                <w:rFonts w:ascii="Times New Roman" w:hAnsi="Times New Roman"/>
                <w:sz w:val="24"/>
                <w:szCs w:val="24"/>
              </w:rPr>
              <w:t xml:space="preserve">The Commission takes note of the conclusions of the Strategic Dialogue on the Future of Agriculture </w:t>
            </w:r>
            <w:r w:rsidRPr="00865041">
              <w:rPr>
                <w:rFonts w:ascii="Times New Roman" w:eastAsia="Times New Roman" w:hAnsi="Times New Roman"/>
                <w:sz w:val="24"/>
                <w:szCs w:val="24"/>
              </w:rPr>
              <w:t>from September 2024, which include</w:t>
            </w:r>
            <w:r w:rsidRPr="00865041">
              <w:rPr>
                <w:rFonts w:ascii="Times New Roman" w:eastAsia="Times New Roman" w:hAnsi="Times New Roman"/>
                <w:color w:val="000000"/>
                <w:sz w:val="24"/>
                <w:szCs w:val="24"/>
              </w:rPr>
              <w:t xml:space="preserve"> recommendations for the support and promotion of sustainable farming practices</w:t>
            </w:r>
            <w:r w:rsidRPr="00865041">
              <w:rPr>
                <w:rFonts w:ascii="Times New Roman" w:hAnsi="Times New Roman"/>
                <w:sz w:val="24"/>
                <w:szCs w:val="24"/>
              </w:rPr>
              <w:t>.</w:t>
            </w:r>
          </w:p>
          <w:p w14:paraId="3CF4D332" w14:textId="77777777" w:rsidR="00037348" w:rsidRPr="00865041" w:rsidRDefault="00037348" w:rsidP="00B364B9">
            <w:pPr>
              <w:spacing w:before="120" w:after="120"/>
              <w:ind w:right="112"/>
              <w:jc w:val="both"/>
              <w:rPr>
                <w:rFonts w:ascii="Times New Roman" w:hAnsi="Times New Roman"/>
                <w:sz w:val="24"/>
                <w:szCs w:val="24"/>
              </w:rPr>
            </w:pPr>
            <w:r w:rsidRPr="00865041">
              <w:rPr>
                <w:rFonts w:ascii="Times New Roman" w:hAnsi="Times New Roman"/>
                <w:sz w:val="24"/>
                <w:szCs w:val="24"/>
              </w:rPr>
              <w:t xml:space="preserve">3.3. The European Union works with various multi-/plurilateral platforms to generate transparency on efforts, mobilise resources and share knowledge on climate action. The past year has seen productive international high-level exchanges including the Copenhagen Climate Ministerial, the </w:t>
            </w:r>
            <w:proofErr w:type="spellStart"/>
            <w:r w:rsidRPr="00865041">
              <w:rPr>
                <w:rFonts w:ascii="Times New Roman" w:hAnsi="Times New Roman"/>
                <w:sz w:val="24"/>
                <w:szCs w:val="24"/>
              </w:rPr>
              <w:t>Petersberg</w:t>
            </w:r>
            <w:proofErr w:type="spellEnd"/>
            <w:r w:rsidRPr="00865041">
              <w:rPr>
                <w:rFonts w:ascii="Times New Roman" w:hAnsi="Times New Roman"/>
                <w:sz w:val="24"/>
                <w:szCs w:val="24"/>
              </w:rPr>
              <w:t xml:space="preserve"> Climate Dialogue, the Ministerial on Climate Action, the 28th Conference of the Parties in Dubai, United Arab Emirates (COP28), the intersessional UNFCCC Subsidiary Bodies sessions </w:t>
            </w:r>
            <w:r w:rsidRPr="00865041">
              <w:rPr>
                <w:rFonts w:ascii="Times New Roman" w:hAnsi="Times New Roman"/>
                <w:sz w:val="24"/>
                <w:szCs w:val="24"/>
              </w:rPr>
              <w:lastRenderedPageBreak/>
              <w:t>and the Kunming-Montreal Biodiversity Framework.</w:t>
            </w:r>
          </w:p>
          <w:p w14:paraId="1F494B1A" w14:textId="77777777" w:rsidR="00037348" w:rsidRPr="00865041" w:rsidRDefault="00037348" w:rsidP="00B364B9">
            <w:pPr>
              <w:spacing w:before="120" w:after="120"/>
              <w:ind w:right="112"/>
              <w:jc w:val="both"/>
              <w:rPr>
                <w:rFonts w:ascii="Times New Roman" w:hAnsi="Times New Roman"/>
                <w:bCs/>
                <w:sz w:val="24"/>
                <w:szCs w:val="24"/>
              </w:rPr>
            </w:pPr>
            <w:r w:rsidRPr="00865041">
              <w:rPr>
                <w:rFonts w:ascii="Times New Roman" w:hAnsi="Times New Roman"/>
                <w:bCs/>
                <w:sz w:val="24"/>
                <w:szCs w:val="24"/>
              </w:rPr>
              <w:t>The EU has also strengthened its climate diplomacy efforts by stepping up its engagement with third countries and regions, through Green Alliances and Green Partnerships with like-minded partners, the Just Energy Transition Partnerships, and high-Level Dialogues with major emitters and climate frontrunners.</w:t>
            </w:r>
          </w:p>
          <w:p w14:paraId="154EA92D" w14:textId="7D054CFC" w:rsidR="007D6319" w:rsidRPr="00865041" w:rsidRDefault="007D6319" w:rsidP="00B364B9">
            <w:pPr>
              <w:spacing w:before="120" w:after="120"/>
              <w:ind w:right="112"/>
              <w:jc w:val="both"/>
              <w:rPr>
                <w:rFonts w:ascii="Times New Roman" w:hAnsi="Times New Roman"/>
                <w:sz w:val="24"/>
                <w:szCs w:val="24"/>
              </w:rPr>
            </w:pPr>
            <w:r w:rsidRPr="00865041">
              <w:rPr>
                <w:rFonts w:ascii="Times New Roman" w:hAnsi="Times New Roman"/>
                <w:bCs/>
                <w:sz w:val="24"/>
                <w:szCs w:val="24"/>
              </w:rPr>
              <w:t xml:space="preserve">4.5. </w:t>
            </w:r>
            <w:r w:rsidRPr="00865041">
              <w:rPr>
                <w:rFonts w:ascii="Times New Roman" w:hAnsi="Times New Roman"/>
                <w:sz w:val="24"/>
                <w:szCs w:val="24"/>
              </w:rPr>
              <w:t xml:space="preserve">Member States were due to submit their final updated </w:t>
            </w:r>
            <w:r w:rsidR="00035937" w:rsidRPr="00035937">
              <w:rPr>
                <w:rFonts w:ascii="Times New Roman" w:hAnsi="Times New Roman"/>
                <w:sz w:val="24"/>
                <w:szCs w:val="24"/>
              </w:rPr>
              <w:t xml:space="preserve">National energy and climate plans </w:t>
            </w:r>
            <w:r w:rsidR="00035937">
              <w:rPr>
                <w:rFonts w:ascii="Times New Roman" w:hAnsi="Times New Roman"/>
                <w:sz w:val="24"/>
                <w:szCs w:val="24"/>
              </w:rPr>
              <w:t>(</w:t>
            </w:r>
            <w:r w:rsidRPr="00865041">
              <w:rPr>
                <w:rFonts w:ascii="Times New Roman" w:hAnsi="Times New Roman"/>
                <w:sz w:val="24"/>
                <w:szCs w:val="24"/>
              </w:rPr>
              <w:t>NECPs</w:t>
            </w:r>
            <w:r w:rsidR="00E77A12">
              <w:rPr>
                <w:rFonts w:ascii="Times New Roman" w:hAnsi="Times New Roman"/>
                <w:sz w:val="24"/>
                <w:szCs w:val="24"/>
              </w:rPr>
              <w:t>)</w:t>
            </w:r>
            <w:r w:rsidRPr="00865041">
              <w:rPr>
                <w:rFonts w:ascii="Times New Roman" w:hAnsi="Times New Roman"/>
                <w:sz w:val="24"/>
                <w:szCs w:val="24"/>
              </w:rPr>
              <w:t xml:space="preserve"> by 30 June 2024, taking account of the Commission’s assessment and recommendations of the draft updated NECPs. The Commission’s assessment is ongoing for the final plans that have been submitted to date.</w:t>
            </w:r>
          </w:p>
          <w:p w14:paraId="4F41D6C8" w14:textId="1AC8F3F0" w:rsidR="007D6319" w:rsidRPr="00865041" w:rsidRDefault="007D6319" w:rsidP="00B364B9">
            <w:pPr>
              <w:spacing w:before="120" w:after="120"/>
              <w:ind w:right="112"/>
              <w:jc w:val="both"/>
              <w:rPr>
                <w:rFonts w:ascii="Times New Roman" w:hAnsi="Times New Roman"/>
                <w:bCs/>
                <w:sz w:val="24"/>
                <w:szCs w:val="24"/>
              </w:rPr>
            </w:pPr>
            <w:r w:rsidRPr="00865041">
              <w:rPr>
                <w:rFonts w:ascii="Times New Roman" w:hAnsi="Times New Roman"/>
                <w:bCs/>
                <w:sz w:val="24"/>
                <w:szCs w:val="24"/>
              </w:rPr>
              <w:t>The gap mentioned in the EESC opinion is based on the draft updated NECPs that Member States were due to submit by 30 June 2023. The Commission</w:t>
            </w:r>
            <w:r w:rsidR="004314FC">
              <w:rPr>
                <w:rStyle w:val="FootnoteReference"/>
                <w:rFonts w:ascii="Times New Roman" w:hAnsi="Times New Roman"/>
                <w:bCs/>
                <w:sz w:val="24"/>
                <w:szCs w:val="24"/>
              </w:rPr>
              <w:footnoteReference w:id="5"/>
            </w:r>
            <w:r w:rsidRPr="00865041">
              <w:rPr>
                <w:rFonts w:ascii="Times New Roman" w:hAnsi="Times New Roman"/>
                <w:bCs/>
                <w:sz w:val="24"/>
                <w:szCs w:val="24"/>
              </w:rPr>
              <w:t xml:space="preserve"> found that these were a step in the right direction but that the cumulative impact of the drafts was not yet sufficient to reduce net GHG emissions by at least 55% by 2030, the EU climate target for 2030 under the European Climate Law. The Commission’s recommendations to Member States on the draft NECPs addressed the requirements to align the final plans to meet the EU climate and energy objectives and ambitions.</w:t>
            </w:r>
          </w:p>
          <w:p w14:paraId="60ADA71E" w14:textId="12245932" w:rsidR="007D6319" w:rsidRPr="00865041" w:rsidRDefault="007D6319" w:rsidP="00B364B9">
            <w:pPr>
              <w:spacing w:before="120" w:after="120"/>
              <w:ind w:right="112"/>
              <w:jc w:val="both"/>
              <w:rPr>
                <w:rFonts w:ascii="Times New Roman" w:hAnsi="Times New Roman"/>
                <w:sz w:val="24"/>
                <w:szCs w:val="24"/>
              </w:rPr>
            </w:pPr>
            <w:r w:rsidRPr="00865041">
              <w:rPr>
                <w:rFonts w:ascii="Times New Roman" w:hAnsi="Times New Roman"/>
                <w:bCs/>
                <w:sz w:val="24"/>
                <w:szCs w:val="24"/>
              </w:rPr>
              <w:t xml:space="preserve">5.5. </w:t>
            </w:r>
            <w:r w:rsidRPr="00865041">
              <w:rPr>
                <w:rFonts w:ascii="Times New Roman" w:hAnsi="Times New Roman"/>
                <w:sz w:val="24"/>
                <w:szCs w:val="24"/>
              </w:rPr>
              <w:t>The Commission recalls the commitment made under the 8</w:t>
            </w:r>
            <w:r w:rsidRPr="00865041">
              <w:rPr>
                <w:rFonts w:ascii="Times New Roman" w:hAnsi="Times New Roman"/>
                <w:sz w:val="24"/>
                <w:szCs w:val="24"/>
                <w:vertAlign w:val="superscript"/>
              </w:rPr>
              <w:t>th</w:t>
            </w:r>
            <w:r w:rsidRPr="00865041">
              <w:rPr>
                <w:rFonts w:ascii="Times New Roman" w:hAnsi="Times New Roman"/>
                <w:sz w:val="24"/>
                <w:szCs w:val="24"/>
              </w:rPr>
              <w:t xml:space="preserve"> Environmental Action Programme to </w:t>
            </w:r>
            <w:r w:rsidR="004314FC">
              <w:rPr>
                <w:rFonts w:ascii="Times New Roman" w:hAnsi="Times New Roman"/>
                <w:sz w:val="24"/>
                <w:szCs w:val="24"/>
              </w:rPr>
              <w:t>‘</w:t>
            </w:r>
            <w:r w:rsidRPr="00865041">
              <w:rPr>
                <w:rFonts w:ascii="Times New Roman" w:hAnsi="Times New Roman"/>
                <w:sz w:val="24"/>
                <w:szCs w:val="24"/>
              </w:rPr>
              <w:t xml:space="preserve">strengthening environmentally positive incentives as well as phasing out environmentally harmful subsidies, in particular fossil fuel </w:t>
            </w:r>
            <w:proofErr w:type="gramStart"/>
            <w:r w:rsidRPr="00865041">
              <w:rPr>
                <w:rFonts w:ascii="Times New Roman" w:hAnsi="Times New Roman"/>
                <w:sz w:val="24"/>
                <w:szCs w:val="24"/>
              </w:rPr>
              <w:t>subsidies</w:t>
            </w:r>
            <w:r w:rsidR="004314FC">
              <w:rPr>
                <w:rFonts w:ascii="Times New Roman" w:hAnsi="Times New Roman"/>
                <w:sz w:val="24"/>
                <w:szCs w:val="24"/>
              </w:rPr>
              <w:t>’</w:t>
            </w:r>
            <w:proofErr w:type="gramEnd"/>
            <w:r w:rsidRPr="00865041">
              <w:rPr>
                <w:rFonts w:ascii="Times New Roman" w:hAnsi="Times New Roman"/>
                <w:sz w:val="24"/>
                <w:szCs w:val="24"/>
              </w:rPr>
              <w:t>.</w:t>
            </w:r>
          </w:p>
          <w:p w14:paraId="04F5211A" w14:textId="77777777" w:rsidR="007D6319" w:rsidRPr="00865041" w:rsidRDefault="007D6319" w:rsidP="00B364B9">
            <w:pPr>
              <w:spacing w:before="120" w:after="120"/>
              <w:ind w:right="112"/>
              <w:jc w:val="both"/>
              <w:rPr>
                <w:rFonts w:ascii="Times New Roman" w:hAnsi="Times New Roman"/>
                <w:sz w:val="24"/>
                <w:szCs w:val="24"/>
              </w:rPr>
            </w:pPr>
            <w:r w:rsidRPr="00865041">
              <w:rPr>
                <w:rFonts w:ascii="Times New Roman" w:hAnsi="Times New Roman"/>
                <w:sz w:val="24"/>
                <w:szCs w:val="24"/>
              </w:rPr>
              <w:t>The latest statistics on fossil fuel subsidies show that EUR 123 billion was spent on fossil fuel subsidies in 2022 in response to the energy crisis. The Commission uses all means available to advocate for the phase-out or transformation of fossil fuel subsidies, including through country-specific recommendations issued in the context of the European Semester.</w:t>
            </w:r>
          </w:p>
          <w:p w14:paraId="2E1DB5E0" w14:textId="0438CD30" w:rsidR="007D6319" w:rsidRPr="00865041" w:rsidRDefault="007D6319" w:rsidP="00B364B9">
            <w:pPr>
              <w:spacing w:before="120" w:after="120"/>
              <w:ind w:right="112"/>
              <w:jc w:val="both"/>
              <w:rPr>
                <w:rFonts w:ascii="Times New Roman" w:hAnsi="Times New Roman"/>
                <w:bCs/>
                <w:sz w:val="24"/>
                <w:szCs w:val="24"/>
              </w:rPr>
            </w:pPr>
            <w:r w:rsidRPr="00865041">
              <w:rPr>
                <w:rFonts w:ascii="Times New Roman" w:hAnsi="Times New Roman"/>
                <w:sz w:val="24"/>
                <w:szCs w:val="24"/>
              </w:rPr>
              <w:t xml:space="preserve">5.7. </w:t>
            </w:r>
            <w:r w:rsidRPr="00865041">
              <w:rPr>
                <w:rFonts w:ascii="Times New Roman" w:hAnsi="Times New Roman"/>
                <w:bCs/>
                <w:sz w:val="24"/>
                <w:szCs w:val="24"/>
              </w:rPr>
              <w:t xml:space="preserve">The Commission is preparing for the review clauses in the </w:t>
            </w:r>
            <w:r w:rsidR="00E77A12" w:rsidRPr="00E77A12">
              <w:rPr>
                <w:rFonts w:ascii="Times New Roman" w:hAnsi="Times New Roman"/>
                <w:bCs/>
                <w:sz w:val="24"/>
                <w:szCs w:val="24"/>
              </w:rPr>
              <w:t xml:space="preserve">EU Emissions Trading System </w:t>
            </w:r>
            <w:r w:rsidR="00E77A12">
              <w:rPr>
                <w:rFonts w:ascii="Times New Roman" w:hAnsi="Times New Roman"/>
                <w:bCs/>
                <w:sz w:val="24"/>
                <w:szCs w:val="24"/>
              </w:rPr>
              <w:t>(</w:t>
            </w:r>
            <w:r w:rsidRPr="00865041">
              <w:rPr>
                <w:rFonts w:ascii="Times New Roman" w:hAnsi="Times New Roman"/>
                <w:bCs/>
                <w:sz w:val="24"/>
                <w:szCs w:val="24"/>
              </w:rPr>
              <w:t>EU ETS</w:t>
            </w:r>
            <w:r w:rsidR="00E77A12">
              <w:rPr>
                <w:rFonts w:ascii="Times New Roman" w:hAnsi="Times New Roman"/>
                <w:bCs/>
                <w:sz w:val="24"/>
                <w:szCs w:val="24"/>
              </w:rPr>
              <w:t>)</w:t>
            </w:r>
            <w:r w:rsidRPr="00865041">
              <w:rPr>
                <w:rFonts w:ascii="Times New Roman" w:hAnsi="Times New Roman"/>
                <w:bCs/>
                <w:sz w:val="24"/>
                <w:szCs w:val="24"/>
              </w:rPr>
              <w:t xml:space="preserve"> Directive which require various topics to be reviewed by 2026. These include an assessment of the possible role of carbon removal, which will consider the impact on environmental integrity, mitigation deterrence, and carbon market functioning. Other review clauses include the potential inclusion of waste treatment methods and the accounting of non-permanent carbon capture and use (CCU) products, including e-fuels and chemical products.</w:t>
            </w:r>
          </w:p>
          <w:p w14:paraId="44D71D01" w14:textId="52042629" w:rsidR="007D6319" w:rsidRPr="00865041" w:rsidRDefault="007D6319" w:rsidP="00B364B9">
            <w:pPr>
              <w:spacing w:before="120" w:after="120"/>
              <w:ind w:right="112"/>
              <w:jc w:val="both"/>
              <w:rPr>
                <w:rFonts w:ascii="Times New Roman" w:hAnsi="Times New Roman"/>
                <w:bCs/>
                <w:sz w:val="24"/>
                <w:szCs w:val="24"/>
              </w:rPr>
            </w:pPr>
            <w:r w:rsidRPr="00865041">
              <w:rPr>
                <w:rFonts w:ascii="Times New Roman" w:hAnsi="Times New Roman"/>
                <w:bCs/>
                <w:sz w:val="24"/>
                <w:szCs w:val="24"/>
              </w:rPr>
              <w:t xml:space="preserve">In the context of the </w:t>
            </w:r>
            <w:r w:rsidR="00E77A12" w:rsidRPr="00E77A12">
              <w:rPr>
                <w:rFonts w:ascii="Times New Roman" w:hAnsi="Times New Roman"/>
                <w:bCs/>
                <w:sz w:val="24"/>
                <w:szCs w:val="24"/>
              </w:rPr>
              <w:t xml:space="preserve">market stability reserve </w:t>
            </w:r>
            <w:r w:rsidR="00E77A12">
              <w:rPr>
                <w:rFonts w:ascii="Times New Roman" w:hAnsi="Times New Roman"/>
                <w:bCs/>
                <w:sz w:val="24"/>
                <w:szCs w:val="24"/>
              </w:rPr>
              <w:t>(</w:t>
            </w:r>
            <w:r w:rsidRPr="00865041">
              <w:rPr>
                <w:rFonts w:ascii="Times New Roman" w:hAnsi="Times New Roman"/>
                <w:bCs/>
                <w:sz w:val="24"/>
                <w:szCs w:val="24"/>
              </w:rPr>
              <w:t>MSR</w:t>
            </w:r>
            <w:r w:rsidR="00E77A12">
              <w:rPr>
                <w:rFonts w:ascii="Times New Roman" w:hAnsi="Times New Roman"/>
                <w:bCs/>
                <w:sz w:val="24"/>
                <w:szCs w:val="24"/>
              </w:rPr>
              <w:t>)</w:t>
            </w:r>
            <w:r w:rsidRPr="00865041">
              <w:rPr>
                <w:rFonts w:ascii="Times New Roman" w:hAnsi="Times New Roman"/>
                <w:bCs/>
                <w:sz w:val="24"/>
                <w:szCs w:val="24"/>
              </w:rPr>
              <w:t xml:space="preserve"> review, the Commission intends to carry out an analysis of current market actors, compliance, hedging and investment behaviour and stability risks in the EU ETS at the end of Phase 4 and beyond.</w:t>
            </w:r>
          </w:p>
          <w:p w14:paraId="30BD7784" w14:textId="77777777" w:rsidR="007D6319" w:rsidRPr="00865041" w:rsidRDefault="007D6319" w:rsidP="00B364B9">
            <w:pPr>
              <w:spacing w:before="120" w:after="120"/>
              <w:ind w:right="112"/>
              <w:jc w:val="both"/>
              <w:rPr>
                <w:rFonts w:ascii="Times New Roman" w:hAnsi="Times New Roman"/>
                <w:bCs/>
                <w:sz w:val="24"/>
                <w:szCs w:val="24"/>
              </w:rPr>
            </w:pPr>
            <w:r w:rsidRPr="00865041">
              <w:rPr>
                <w:rFonts w:ascii="Times New Roman" w:hAnsi="Times New Roman"/>
                <w:bCs/>
                <w:sz w:val="24"/>
                <w:szCs w:val="24"/>
              </w:rPr>
              <w:t>The Commission is already gathering input and consulting stakeholders and experts for the review of the ETS.</w:t>
            </w:r>
          </w:p>
          <w:p w14:paraId="1384628E" w14:textId="77777777" w:rsidR="007D6319" w:rsidRPr="00865041" w:rsidRDefault="007D6319" w:rsidP="00B364B9">
            <w:pPr>
              <w:spacing w:before="120" w:after="120"/>
              <w:ind w:right="112"/>
              <w:jc w:val="both"/>
              <w:rPr>
                <w:rFonts w:ascii="Times New Roman" w:hAnsi="Times New Roman"/>
                <w:bCs/>
                <w:sz w:val="24"/>
                <w:szCs w:val="24"/>
              </w:rPr>
            </w:pPr>
            <w:r w:rsidRPr="00865041">
              <w:rPr>
                <w:rFonts w:ascii="Times New Roman" w:hAnsi="Times New Roman"/>
                <w:bCs/>
                <w:sz w:val="24"/>
                <w:szCs w:val="24"/>
              </w:rPr>
              <w:t xml:space="preserve">5.9. </w:t>
            </w:r>
            <w:r w:rsidRPr="00865041">
              <w:rPr>
                <w:rFonts w:ascii="Times New Roman" w:hAnsi="Times New Roman"/>
                <w:sz w:val="24"/>
                <w:szCs w:val="24"/>
              </w:rPr>
              <w:t xml:space="preserve">The Commission acknowledges the role a more circular and efficient use of natural resources can play in decarbonising our economy, and the importance of empowering consumers in that context. </w:t>
            </w:r>
            <w:r w:rsidRPr="00865041">
              <w:rPr>
                <w:rFonts w:ascii="Times New Roman" w:hAnsi="Times New Roman"/>
                <w:bCs/>
                <w:sz w:val="24"/>
                <w:szCs w:val="24"/>
              </w:rPr>
              <w:t>The Commission is committed to continuing to engage in inclusive EU-wide debates.</w:t>
            </w:r>
          </w:p>
          <w:p w14:paraId="40BCD0F2" w14:textId="58C58ED7" w:rsidR="007D6319" w:rsidRPr="00865041" w:rsidRDefault="007D6319" w:rsidP="00B364B9">
            <w:pPr>
              <w:spacing w:before="120" w:after="120"/>
              <w:ind w:right="112"/>
              <w:jc w:val="both"/>
              <w:rPr>
                <w:rFonts w:ascii="Times New Roman" w:hAnsi="Times New Roman"/>
                <w:bCs/>
                <w:sz w:val="24"/>
                <w:szCs w:val="24"/>
              </w:rPr>
            </w:pPr>
            <w:r w:rsidRPr="00865041">
              <w:rPr>
                <w:rFonts w:ascii="Times New Roman" w:hAnsi="Times New Roman"/>
                <w:bCs/>
                <w:sz w:val="24"/>
                <w:szCs w:val="24"/>
              </w:rPr>
              <w:t xml:space="preserve">The Commission recalls that the Urban Mobility Framework adopted in 2021 calls for a more </w:t>
            </w:r>
            <w:r w:rsidRPr="00865041">
              <w:rPr>
                <w:rFonts w:ascii="Times New Roman" w:hAnsi="Times New Roman"/>
                <w:bCs/>
                <w:sz w:val="24"/>
                <w:szCs w:val="24"/>
              </w:rPr>
              <w:lastRenderedPageBreak/>
              <w:t>ambitious approach to sustainable urban mobility and stronger action to transition towards liveable climate-neutral cities by making public transport the backbone of sustainable urban mobility, together with active modes and shared mobility services. The European Declaration on Cycling adopted in 2024 sets a joint political framework for fostering more and safer cycling in the EU and underlines the contribution of cycling to sustainability, health benefits and economic development.</w:t>
            </w:r>
          </w:p>
        </w:tc>
      </w:tr>
    </w:tbl>
    <w:p w14:paraId="6AF07B14" w14:textId="26AEAB66" w:rsidR="004F6117" w:rsidRPr="00B364B9" w:rsidRDefault="004F6117" w:rsidP="00B364B9">
      <w:pPr>
        <w:spacing w:after="0" w:line="240" w:lineRule="auto"/>
        <w:ind w:left="-709"/>
        <w:jc w:val="both"/>
        <w:rPr>
          <w:rFonts w:ascii="Times New Roman" w:hAnsi="Times New Roman"/>
          <w:bCs/>
          <w:sz w:val="16"/>
          <w:szCs w:val="16"/>
        </w:rPr>
      </w:pPr>
    </w:p>
    <w:sectPr w:rsidR="004F6117" w:rsidRPr="00B364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AFA8" w14:textId="77777777" w:rsidR="009050F6" w:rsidRDefault="009050F6" w:rsidP="00FF63EA">
      <w:pPr>
        <w:spacing w:after="0" w:line="240" w:lineRule="auto"/>
      </w:pPr>
      <w:r>
        <w:separator/>
      </w:r>
    </w:p>
  </w:endnote>
  <w:endnote w:type="continuationSeparator" w:id="0">
    <w:p w14:paraId="46E45954" w14:textId="77777777" w:rsidR="009050F6" w:rsidRDefault="009050F6" w:rsidP="00FF63EA">
      <w:pPr>
        <w:spacing w:after="0" w:line="240" w:lineRule="auto"/>
      </w:pPr>
      <w:r>
        <w:continuationSeparator/>
      </w:r>
    </w:p>
  </w:endnote>
  <w:endnote w:type="continuationNotice" w:id="1">
    <w:p w14:paraId="62D6E49F" w14:textId="77777777" w:rsidR="009050F6" w:rsidRDefault="009050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1E199" w14:textId="77777777" w:rsidR="009050F6" w:rsidRDefault="009050F6" w:rsidP="00FF63EA">
      <w:pPr>
        <w:spacing w:after="0" w:line="240" w:lineRule="auto"/>
      </w:pPr>
      <w:r>
        <w:separator/>
      </w:r>
    </w:p>
  </w:footnote>
  <w:footnote w:type="continuationSeparator" w:id="0">
    <w:p w14:paraId="2E7E2FE1" w14:textId="77777777" w:rsidR="009050F6" w:rsidRDefault="009050F6" w:rsidP="00FF63EA">
      <w:pPr>
        <w:spacing w:after="0" w:line="240" w:lineRule="auto"/>
      </w:pPr>
      <w:r>
        <w:continuationSeparator/>
      </w:r>
    </w:p>
  </w:footnote>
  <w:footnote w:type="continuationNotice" w:id="1">
    <w:p w14:paraId="1F315540" w14:textId="77777777" w:rsidR="009050F6" w:rsidRDefault="009050F6">
      <w:pPr>
        <w:spacing w:after="0" w:line="240" w:lineRule="auto"/>
      </w:pPr>
    </w:p>
  </w:footnote>
  <w:footnote w:id="2">
    <w:p w14:paraId="088E7932" w14:textId="4D67C38A" w:rsidR="009540B3" w:rsidRPr="00B364B9" w:rsidRDefault="009540B3" w:rsidP="00B364B9">
      <w:pPr>
        <w:pStyle w:val="FootnoteText"/>
        <w:widowControl w:val="0"/>
        <w:spacing w:after="0" w:line="240" w:lineRule="auto"/>
        <w:ind w:left="-142" w:hanging="284"/>
        <w:jc w:val="both"/>
        <w:rPr>
          <w:rFonts w:ascii="Times New Roman" w:hAnsi="Times New Roman"/>
          <w:lang w:val="fr-BE"/>
        </w:rPr>
      </w:pPr>
      <w:r w:rsidRPr="005F3046">
        <w:rPr>
          <w:rStyle w:val="FootnoteReference"/>
          <w:rFonts w:ascii="Times New Roman" w:hAnsi="Times New Roman"/>
        </w:rPr>
        <w:footnoteRef/>
      </w:r>
      <w:r w:rsidRPr="00B364B9">
        <w:rPr>
          <w:rFonts w:ascii="Times New Roman" w:hAnsi="Times New Roman"/>
          <w:lang w:val="fr-BE"/>
        </w:rPr>
        <w:t xml:space="preserve"> </w:t>
      </w:r>
      <w:r w:rsidR="00B364B9" w:rsidRPr="00B364B9">
        <w:rPr>
          <w:rFonts w:ascii="Times New Roman" w:hAnsi="Times New Roman"/>
          <w:lang w:val="fr-BE"/>
        </w:rPr>
        <w:tab/>
      </w:r>
      <w:proofErr w:type="gramStart"/>
      <w:r w:rsidRPr="00B364B9">
        <w:rPr>
          <w:rFonts w:ascii="Times New Roman" w:hAnsi="Times New Roman"/>
          <w:bCs/>
          <w:lang w:val="fr-BE"/>
        </w:rPr>
        <w:t>COM(</w:t>
      </w:r>
      <w:proofErr w:type="gramEnd"/>
      <w:r w:rsidRPr="00B364B9">
        <w:rPr>
          <w:rFonts w:ascii="Times New Roman" w:hAnsi="Times New Roman"/>
          <w:bCs/>
          <w:lang w:val="fr-BE"/>
        </w:rPr>
        <w:t>2024) 63 final</w:t>
      </w:r>
      <w:r w:rsidR="00B364B9" w:rsidRPr="00B364B9">
        <w:rPr>
          <w:rFonts w:ascii="Times New Roman" w:hAnsi="Times New Roman"/>
          <w:bCs/>
          <w:lang w:val="fr-BE"/>
        </w:rPr>
        <w:t xml:space="preserve"> (</w:t>
      </w:r>
      <w:hyperlink r:id="rId1" w:history="1">
        <w:r w:rsidR="00B364B9" w:rsidRPr="00B364B9">
          <w:rPr>
            <w:rStyle w:val="Hyperlink"/>
            <w:rFonts w:ascii="Times New Roman" w:hAnsi="Times New Roman"/>
            <w:bCs/>
            <w:lang w:val="fr-BE"/>
          </w:rPr>
          <w:t>EUR-Lex - 52024DC0063 - EN - EUR-Lex</w:t>
        </w:r>
      </w:hyperlink>
      <w:r w:rsidR="00B364B9" w:rsidRPr="00B364B9">
        <w:rPr>
          <w:rFonts w:ascii="Times New Roman" w:hAnsi="Times New Roman"/>
          <w:bCs/>
          <w:lang w:val="fr-BE"/>
        </w:rPr>
        <w:t>)</w:t>
      </w:r>
      <w:r w:rsidR="00B364B9">
        <w:rPr>
          <w:rFonts w:ascii="Times New Roman" w:hAnsi="Times New Roman"/>
          <w:bCs/>
          <w:lang w:val="fr-BE"/>
        </w:rPr>
        <w:t>.</w:t>
      </w:r>
    </w:p>
  </w:footnote>
  <w:footnote w:id="3">
    <w:p w14:paraId="4F68E9F3" w14:textId="78B80BCC" w:rsidR="009540B3" w:rsidRPr="00B364B9" w:rsidRDefault="009540B3" w:rsidP="00B364B9">
      <w:pPr>
        <w:pStyle w:val="FootnoteText"/>
        <w:widowControl w:val="0"/>
        <w:spacing w:after="0" w:line="240" w:lineRule="auto"/>
        <w:ind w:left="-142" w:hanging="284"/>
        <w:jc w:val="both"/>
        <w:rPr>
          <w:lang w:val="pt-PT"/>
        </w:rPr>
      </w:pPr>
      <w:r w:rsidRPr="005F3046">
        <w:rPr>
          <w:rStyle w:val="FootnoteReference"/>
          <w:rFonts w:ascii="Times New Roman" w:hAnsi="Times New Roman"/>
        </w:rPr>
        <w:footnoteRef/>
      </w:r>
      <w:r w:rsidRPr="00B364B9">
        <w:rPr>
          <w:rFonts w:ascii="Times New Roman" w:hAnsi="Times New Roman"/>
          <w:lang w:val="pt-PT"/>
        </w:rPr>
        <w:t xml:space="preserve"> </w:t>
      </w:r>
      <w:r w:rsidR="00B364B9">
        <w:rPr>
          <w:rFonts w:ascii="Times New Roman" w:hAnsi="Times New Roman"/>
          <w:lang w:val="pt-PT"/>
        </w:rPr>
        <w:tab/>
      </w:r>
      <w:proofErr w:type="gramStart"/>
      <w:r w:rsidRPr="00B364B9">
        <w:rPr>
          <w:rFonts w:ascii="Times New Roman" w:hAnsi="Times New Roman"/>
          <w:bCs/>
          <w:lang w:val="pt-PT"/>
        </w:rPr>
        <w:t>SWD(</w:t>
      </w:r>
      <w:proofErr w:type="gramEnd"/>
      <w:r w:rsidRPr="00B364B9">
        <w:rPr>
          <w:rFonts w:ascii="Times New Roman" w:hAnsi="Times New Roman"/>
          <w:bCs/>
          <w:lang w:val="pt-PT"/>
        </w:rPr>
        <w:t>2024) 63 final</w:t>
      </w:r>
      <w:r w:rsidR="00B364B9">
        <w:rPr>
          <w:rFonts w:ascii="Times New Roman" w:hAnsi="Times New Roman"/>
          <w:bCs/>
          <w:lang w:val="pt-PT"/>
        </w:rPr>
        <w:t>.</w:t>
      </w:r>
    </w:p>
  </w:footnote>
  <w:footnote w:id="4">
    <w:p w14:paraId="5E26758F" w14:textId="0728DBEB" w:rsidR="009540B3" w:rsidRPr="00B364B9" w:rsidRDefault="009540B3" w:rsidP="00B364B9">
      <w:pPr>
        <w:pStyle w:val="FootnoteText"/>
        <w:widowControl w:val="0"/>
        <w:spacing w:after="0" w:line="240" w:lineRule="auto"/>
        <w:ind w:left="-141" w:hanging="284"/>
        <w:jc w:val="both"/>
        <w:rPr>
          <w:rFonts w:ascii="Times New Roman" w:hAnsi="Times New Roman"/>
          <w:lang w:val="fr-BE"/>
        </w:rPr>
      </w:pPr>
      <w:r w:rsidRPr="00B364B9">
        <w:rPr>
          <w:rStyle w:val="FootnoteReference"/>
          <w:rFonts w:ascii="Times New Roman" w:hAnsi="Times New Roman"/>
        </w:rPr>
        <w:footnoteRef/>
      </w:r>
      <w:r w:rsidRPr="00B364B9">
        <w:rPr>
          <w:rFonts w:ascii="Times New Roman" w:hAnsi="Times New Roman"/>
          <w:lang w:val="fr-BE"/>
        </w:rPr>
        <w:t xml:space="preserve"> </w:t>
      </w:r>
      <w:r w:rsidR="00B364B9" w:rsidRPr="00B364B9">
        <w:rPr>
          <w:rFonts w:ascii="Times New Roman" w:hAnsi="Times New Roman"/>
          <w:lang w:val="fr-BE"/>
        </w:rPr>
        <w:tab/>
      </w:r>
      <w:proofErr w:type="gramStart"/>
      <w:r w:rsidRPr="00B364B9">
        <w:rPr>
          <w:rFonts w:ascii="Times New Roman" w:hAnsi="Times New Roman"/>
          <w:lang w:val="fr-BE"/>
        </w:rPr>
        <w:t>COM(</w:t>
      </w:r>
      <w:proofErr w:type="gramEnd"/>
      <w:r w:rsidRPr="00B364B9">
        <w:rPr>
          <w:rFonts w:ascii="Times New Roman" w:hAnsi="Times New Roman"/>
          <w:lang w:val="fr-BE"/>
        </w:rPr>
        <w:t>2024) 62</w:t>
      </w:r>
      <w:r w:rsidR="00B364B9" w:rsidRPr="00B364B9">
        <w:rPr>
          <w:rFonts w:ascii="Times New Roman" w:hAnsi="Times New Roman"/>
          <w:lang w:val="fr-BE"/>
        </w:rPr>
        <w:t xml:space="preserve"> final (</w:t>
      </w:r>
      <w:hyperlink r:id="rId2" w:history="1">
        <w:r w:rsidR="00B364B9" w:rsidRPr="00B364B9">
          <w:rPr>
            <w:rStyle w:val="Hyperlink"/>
            <w:rFonts w:ascii="Times New Roman" w:hAnsi="Times New Roman"/>
            <w:lang w:val="fr-BE"/>
          </w:rPr>
          <w:t>EUR-Lex - 52024DC0062 - EN - EUR-Lex</w:t>
        </w:r>
      </w:hyperlink>
      <w:r w:rsidR="00B364B9" w:rsidRPr="00B364B9">
        <w:rPr>
          <w:rFonts w:ascii="Times New Roman" w:hAnsi="Times New Roman"/>
          <w:lang w:val="fr-BE"/>
        </w:rPr>
        <w:t>).</w:t>
      </w:r>
    </w:p>
  </w:footnote>
  <w:footnote w:id="5">
    <w:p w14:paraId="275A5E0C" w14:textId="6F39B607" w:rsidR="004314FC" w:rsidRPr="00B364B9" w:rsidRDefault="004314FC" w:rsidP="00B364B9">
      <w:pPr>
        <w:pStyle w:val="FootnoteText"/>
        <w:spacing w:after="0" w:line="240" w:lineRule="auto"/>
        <w:ind w:left="-141" w:hanging="284"/>
        <w:jc w:val="both"/>
        <w:rPr>
          <w:rFonts w:ascii="Times New Roman" w:hAnsi="Times New Roman"/>
          <w:lang w:val="fr-BE"/>
        </w:rPr>
      </w:pPr>
      <w:r w:rsidRPr="00B364B9">
        <w:rPr>
          <w:rStyle w:val="FootnoteReference"/>
          <w:rFonts w:ascii="Times New Roman" w:hAnsi="Times New Roman"/>
        </w:rPr>
        <w:footnoteRef/>
      </w:r>
      <w:r w:rsidRPr="00B364B9">
        <w:rPr>
          <w:rFonts w:ascii="Times New Roman" w:hAnsi="Times New Roman"/>
          <w:lang w:val="fr-BE"/>
        </w:rPr>
        <w:t xml:space="preserve"> </w:t>
      </w:r>
      <w:r w:rsidR="00B364B9" w:rsidRPr="00B364B9">
        <w:rPr>
          <w:rFonts w:ascii="Times New Roman" w:hAnsi="Times New Roman"/>
          <w:lang w:val="fr-BE"/>
        </w:rPr>
        <w:tab/>
      </w:r>
      <w:proofErr w:type="gramStart"/>
      <w:r w:rsidRPr="00B364B9">
        <w:rPr>
          <w:rFonts w:ascii="Times New Roman" w:hAnsi="Times New Roman"/>
          <w:bCs/>
          <w:lang w:val="fr-BE"/>
        </w:rPr>
        <w:t>COM</w:t>
      </w:r>
      <w:r w:rsidR="00B364B9" w:rsidRPr="00B364B9">
        <w:rPr>
          <w:rFonts w:ascii="Times New Roman" w:hAnsi="Times New Roman"/>
          <w:bCs/>
          <w:lang w:val="fr-BE"/>
        </w:rPr>
        <w:t>(</w:t>
      </w:r>
      <w:proofErr w:type="gramEnd"/>
      <w:r w:rsidRPr="00B364B9">
        <w:rPr>
          <w:rFonts w:ascii="Times New Roman" w:hAnsi="Times New Roman"/>
          <w:bCs/>
          <w:lang w:val="fr-BE"/>
        </w:rPr>
        <w:t>2023</w:t>
      </w:r>
      <w:r w:rsidR="00B364B9" w:rsidRPr="00B364B9">
        <w:rPr>
          <w:rFonts w:ascii="Times New Roman" w:hAnsi="Times New Roman"/>
          <w:bCs/>
          <w:lang w:val="fr-BE"/>
        </w:rPr>
        <w:t xml:space="preserve">) </w:t>
      </w:r>
      <w:r w:rsidRPr="00B364B9">
        <w:rPr>
          <w:rFonts w:ascii="Times New Roman" w:hAnsi="Times New Roman"/>
          <w:bCs/>
          <w:lang w:val="fr-BE"/>
        </w:rPr>
        <w:t>796 final</w:t>
      </w:r>
      <w:r w:rsidR="00B364B9" w:rsidRPr="00B364B9">
        <w:rPr>
          <w:rFonts w:ascii="Times New Roman" w:hAnsi="Times New Roman"/>
          <w:bCs/>
          <w:lang w:val="fr-BE"/>
        </w:rPr>
        <w:t xml:space="preserve"> (</w:t>
      </w:r>
      <w:hyperlink r:id="rId3" w:history="1">
        <w:r w:rsidR="00B364B9" w:rsidRPr="00B364B9">
          <w:rPr>
            <w:rStyle w:val="Hyperlink"/>
            <w:rFonts w:ascii="Times New Roman" w:hAnsi="Times New Roman"/>
            <w:bCs/>
            <w:lang w:val="fr-BE"/>
          </w:rPr>
          <w:t>EUR-Lex - 52023DC0796 - EN - EUR-Lex</w:t>
        </w:r>
      </w:hyperlink>
      <w:r w:rsidR="00B364B9" w:rsidRPr="00B364B9">
        <w:rPr>
          <w:rFonts w:ascii="Times New Roman" w:hAnsi="Times New Roman"/>
          <w:bCs/>
          <w:lang w:val="fr-BE"/>
        </w:rPr>
        <w:t>)</w:t>
      </w:r>
      <w:r w:rsidR="00B364B9">
        <w:rPr>
          <w:rFonts w:ascii="Times New Roman" w:hAnsi="Times New Roman"/>
          <w:bCs/>
          <w:lang w:val="fr-B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41A75"/>
    <w:multiLevelType w:val="hybridMultilevel"/>
    <w:tmpl w:val="C4C8C0A4"/>
    <w:lvl w:ilvl="0" w:tplc="7EBECE30">
      <w:start w:val="1"/>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48301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77C4F"/>
    <w:rsid w:val="00006E3B"/>
    <w:rsid w:val="000108B8"/>
    <w:rsid w:val="00010C60"/>
    <w:rsid w:val="00011D36"/>
    <w:rsid w:val="00012A37"/>
    <w:rsid w:val="000153BF"/>
    <w:rsid w:val="0001666C"/>
    <w:rsid w:val="00025501"/>
    <w:rsid w:val="00026406"/>
    <w:rsid w:val="00035937"/>
    <w:rsid w:val="00035E55"/>
    <w:rsid w:val="00037348"/>
    <w:rsid w:val="00042215"/>
    <w:rsid w:val="00044D2C"/>
    <w:rsid w:val="00045B64"/>
    <w:rsid w:val="00046B15"/>
    <w:rsid w:val="00050DC7"/>
    <w:rsid w:val="00052A00"/>
    <w:rsid w:val="00062B2B"/>
    <w:rsid w:val="00063087"/>
    <w:rsid w:val="000703D3"/>
    <w:rsid w:val="00076109"/>
    <w:rsid w:val="00077C4F"/>
    <w:rsid w:val="00077CC5"/>
    <w:rsid w:val="00081964"/>
    <w:rsid w:val="0008294A"/>
    <w:rsid w:val="000921B2"/>
    <w:rsid w:val="0009299A"/>
    <w:rsid w:val="0009686C"/>
    <w:rsid w:val="000A08F0"/>
    <w:rsid w:val="000B3653"/>
    <w:rsid w:val="000B41D4"/>
    <w:rsid w:val="000B680B"/>
    <w:rsid w:val="000C6DAF"/>
    <w:rsid w:val="000C7B72"/>
    <w:rsid w:val="000D043C"/>
    <w:rsid w:val="000D092C"/>
    <w:rsid w:val="000D1255"/>
    <w:rsid w:val="000D182D"/>
    <w:rsid w:val="000D5D34"/>
    <w:rsid w:val="000D5DAE"/>
    <w:rsid w:val="000E27F9"/>
    <w:rsid w:val="000E4A6E"/>
    <w:rsid w:val="000E5495"/>
    <w:rsid w:val="000F131C"/>
    <w:rsid w:val="000F547C"/>
    <w:rsid w:val="000F5FD8"/>
    <w:rsid w:val="000F72A9"/>
    <w:rsid w:val="00106748"/>
    <w:rsid w:val="00106858"/>
    <w:rsid w:val="00107085"/>
    <w:rsid w:val="001138A7"/>
    <w:rsid w:val="001167C0"/>
    <w:rsid w:val="00122BAF"/>
    <w:rsid w:val="00123551"/>
    <w:rsid w:val="00133247"/>
    <w:rsid w:val="0013578B"/>
    <w:rsid w:val="00135C2A"/>
    <w:rsid w:val="00137EC5"/>
    <w:rsid w:val="001451A8"/>
    <w:rsid w:val="0015084A"/>
    <w:rsid w:val="00157F90"/>
    <w:rsid w:val="0016663B"/>
    <w:rsid w:val="00170B0B"/>
    <w:rsid w:val="00192100"/>
    <w:rsid w:val="00193EAC"/>
    <w:rsid w:val="001952DA"/>
    <w:rsid w:val="001A0DC2"/>
    <w:rsid w:val="001B0821"/>
    <w:rsid w:val="001B0E0B"/>
    <w:rsid w:val="001B5B1F"/>
    <w:rsid w:val="001B7078"/>
    <w:rsid w:val="001C0A6A"/>
    <w:rsid w:val="001C1F69"/>
    <w:rsid w:val="001C4EC1"/>
    <w:rsid w:val="001D0812"/>
    <w:rsid w:val="001D62C6"/>
    <w:rsid w:val="001E0DF3"/>
    <w:rsid w:val="001E40AD"/>
    <w:rsid w:val="001E4838"/>
    <w:rsid w:val="001E5BF4"/>
    <w:rsid w:val="001E5E0D"/>
    <w:rsid w:val="001E6CBF"/>
    <w:rsid w:val="001F2D8A"/>
    <w:rsid w:val="001F2EC6"/>
    <w:rsid w:val="001F56C0"/>
    <w:rsid w:val="001F65D0"/>
    <w:rsid w:val="00217E59"/>
    <w:rsid w:val="0023572E"/>
    <w:rsid w:val="002363F4"/>
    <w:rsid w:val="00241C52"/>
    <w:rsid w:val="00242925"/>
    <w:rsid w:val="00251EFD"/>
    <w:rsid w:val="0025229D"/>
    <w:rsid w:val="00255F5F"/>
    <w:rsid w:val="0029189A"/>
    <w:rsid w:val="00291C44"/>
    <w:rsid w:val="002925C1"/>
    <w:rsid w:val="00293B14"/>
    <w:rsid w:val="002B1D21"/>
    <w:rsid w:val="002B5B78"/>
    <w:rsid w:val="002B6011"/>
    <w:rsid w:val="002C13C8"/>
    <w:rsid w:val="002D02A2"/>
    <w:rsid w:val="002D10C6"/>
    <w:rsid w:val="002E3C71"/>
    <w:rsid w:val="002E65E4"/>
    <w:rsid w:val="002E6F9C"/>
    <w:rsid w:val="002F03FA"/>
    <w:rsid w:val="002F4883"/>
    <w:rsid w:val="002F6D23"/>
    <w:rsid w:val="003004D2"/>
    <w:rsid w:val="00301385"/>
    <w:rsid w:val="00305E03"/>
    <w:rsid w:val="003165BA"/>
    <w:rsid w:val="00324136"/>
    <w:rsid w:val="00330F11"/>
    <w:rsid w:val="00332F81"/>
    <w:rsid w:val="00333258"/>
    <w:rsid w:val="00333D55"/>
    <w:rsid w:val="003349A3"/>
    <w:rsid w:val="00334EEA"/>
    <w:rsid w:val="00341955"/>
    <w:rsid w:val="003443B3"/>
    <w:rsid w:val="00352BEA"/>
    <w:rsid w:val="00353297"/>
    <w:rsid w:val="00355DEA"/>
    <w:rsid w:val="00361B4D"/>
    <w:rsid w:val="003621F0"/>
    <w:rsid w:val="00362518"/>
    <w:rsid w:val="00363273"/>
    <w:rsid w:val="00366F7A"/>
    <w:rsid w:val="00370393"/>
    <w:rsid w:val="00371D3E"/>
    <w:rsid w:val="00372B72"/>
    <w:rsid w:val="00377967"/>
    <w:rsid w:val="00382D7B"/>
    <w:rsid w:val="00382F67"/>
    <w:rsid w:val="00386143"/>
    <w:rsid w:val="00394512"/>
    <w:rsid w:val="0039467F"/>
    <w:rsid w:val="003967C6"/>
    <w:rsid w:val="003A0548"/>
    <w:rsid w:val="003A6DE4"/>
    <w:rsid w:val="003B58DC"/>
    <w:rsid w:val="003C1A84"/>
    <w:rsid w:val="003C1E35"/>
    <w:rsid w:val="003C4ED7"/>
    <w:rsid w:val="003C5D4F"/>
    <w:rsid w:val="003C6FD0"/>
    <w:rsid w:val="003C7867"/>
    <w:rsid w:val="003D1382"/>
    <w:rsid w:val="003E05CD"/>
    <w:rsid w:val="003F686E"/>
    <w:rsid w:val="00400EA4"/>
    <w:rsid w:val="004109A5"/>
    <w:rsid w:val="00416AD0"/>
    <w:rsid w:val="004242F9"/>
    <w:rsid w:val="004274C5"/>
    <w:rsid w:val="004314FC"/>
    <w:rsid w:val="00437F04"/>
    <w:rsid w:val="00441E36"/>
    <w:rsid w:val="00442552"/>
    <w:rsid w:val="00445E2F"/>
    <w:rsid w:val="004525CA"/>
    <w:rsid w:val="00454F94"/>
    <w:rsid w:val="00455A1C"/>
    <w:rsid w:val="00456FE1"/>
    <w:rsid w:val="00463F1A"/>
    <w:rsid w:val="004675B5"/>
    <w:rsid w:val="004704B2"/>
    <w:rsid w:val="00474858"/>
    <w:rsid w:val="00474F34"/>
    <w:rsid w:val="004770D6"/>
    <w:rsid w:val="0048135E"/>
    <w:rsid w:val="004907D8"/>
    <w:rsid w:val="00491589"/>
    <w:rsid w:val="0049246C"/>
    <w:rsid w:val="00493A13"/>
    <w:rsid w:val="004948EE"/>
    <w:rsid w:val="00497F77"/>
    <w:rsid w:val="004A1A18"/>
    <w:rsid w:val="004A1B70"/>
    <w:rsid w:val="004A1EA5"/>
    <w:rsid w:val="004C264D"/>
    <w:rsid w:val="004C7575"/>
    <w:rsid w:val="004D1369"/>
    <w:rsid w:val="004D44F6"/>
    <w:rsid w:val="004D4FDF"/>
    <w:rsid w:val="004D703A"/>
    <w:rsid w:val="004E1A79"/>
    <w:rsid w:val="004E3CCC"/>
    <w:rsid w:val="004E5A4E"/>
    <w:rsid w:val="004F6117"/>
    <w:rsid w:val="004F63F1"/>
    <w:rsid w:val="004F651E"/>
    <w:rsid w:val="004F6653"/>
    <w:rsid w:val="00501FDE"/>
    <w:rsid w:val="0051054E"/>
    <w:rsid w:val="00511A14"/>
    <w:rsid w:val="0052203A"/>
    <w:rsid w:val="0052506F"/>
    <w:rsid w:val="0052596B"/>
    <w:rsid w:val="005332AA"/>
    <w:rsid w:val="00534636"/>
    <w:rsid w:val="005433B3"/>
    <w:rsid w:val="00544A35"/>
    <w:rsid w:val="005509BE"/>
    <w:rsid w:val="00551FC7"/>
    <w:rsid w:val="00554D8D"/>
    <w:rsid w:val="00554F85"/>
    <w:rsid w:val="00555C75"/>
    <w:rsid w:val="00555F8D"/>
    <w:rsid w:val="00562BCE"/>
    <w:rsid w:val="00563162"/>
    <w:rsid w:val="005728C8"/>
    <w:rsid w:val="00573835"/>
    <w:rsid w:val="0057585B"/>
    <w:rsid w:val="00577EE0"/>
    <w:rsid w:val="00581306"/>
    <w:rsid w:val="00582954"/>
    <w:rsid w:val="00592B52"/>
    <w:rsid w:val="0059418F"/>
    <w:rsid w:val="00596FF1"/>
    <w:rsid w:val="005A136D"/>
    <w:rsid w:val="005A2214"/>
    <w:rsid w:val="005B44C8"/>
    <w:rsid w:val="005C0322"/>
    <w:rsid w:val="005C3105"/>
    <w:rsid w:val="005D00E4"/>
    <w:rsid w:val="005D1046"/>
    <w:rsid w:val="005D1447"/>
    <w:rsid w:val="005D6E30"/>
    <w:rsid w:val="005D7F46"/>
    <w:rsid w:val="005E2111"/>
    <w:rsid w:val="005F3046"/>
    <w:rsid w:val="005F3B14"/>
    <w:rsid w:val="00607E8C"/>
    <w:rsid w:val="006125E7"/>
    <w:rsid w:val="006150F0"/>
    <w:rsid w:val="00620D89"/>
    <w:rsid w:val="00623AA9"/>
    <w:rsid w:val="00627064"/>
    <w:rsid w:val="00633064"/>
    <w:rsid w:val="0063453F"/>
    <w:rsid w:val="00634973"/>
    <w:rsid w:val="00635C92"/>
    <w:rsid w:val="006500AC"/>
    <w:rsid w:val="00654ABC"/>
    <w:rsid w:val="00655525"/>
    <w:rsid w:val="006604ED"/>
    <w:rsid w:val="0066657F"/>
    <w:rsid w:val="00672C65"/>
    <w:rsid w:val="00673051"/>
    <w:rsid w:val="006745E4"/>
    <w:rsid w:val="00684E4D"/>
    <w:rsid w:val="0068589B"/>
    <w:rsid w:val="00692C2F"/>
    <w:rsid w:val="00695797"/>
    <w:rsid w:val="00696A5E"/>
    <w:rsid w:val="006A00D3"/>
    <w:rsid w:val="006A0979"/>
    <w:rsid w:val="006A59E3"/>
    <w:rsid w:val="006B3B69"/>
    <w:rsid w:val="006C1102"/>
    <w:rsid w:val="006D0015"/>
    <w:rsid w:val="006D68D3"/>
    <w:rsid w:val="006E055A"/>
    <w:rsid w:val="006E19AA"/>
    <w:rsid w:val="006F1154"/>
    <w:rsid w:val="00710633"/>
    <w:rsid w:val="00710F42"/>
    <w:rsid w:val="007226C6"/>
    <w:rsid w:val="00734613"/>
    <w:rsid w:val="0074270A"/>
    <w:rsid w:val="00744E39"/>
    <w:rsid w:val="00751910"/>
    <w:rsid w:val="00751E60"/>
    <w:rsid w:val="007547B5"/>
    <w:rsid w:val="007549CA"/>
    <w:rsid w:val="00755B62"/>
    <w:rsid w:val="0075600E"/>
    <w:rsid w:val="007566EB"/>
    <w:rsid w:val="007744A2"/>
    <w:rsid w:val="00774610"/>
    <w:rsid w:val="007910D5"/>
    <w:rsid w:val="007922E3"/>
    <w:rsid w:val="00792D89"/>
    <w:rsid w:val="0079532A"/>
    <w:rsid w:val="00795A0A"/>
    <w:rsid w:val="00795A9E"/>
    <w:rsid w:val="007A2160"/>
    <w:rsid w:val="007A2E54"/>
    <w:rsid w:val="007A606D"/>
    <w:rsid w:val="007C2214"/>
    <w:rsid w:val="007C23D5"/>
    <w:rsid w:val="007D008C"/>
    <w:rsid w:val="007D00DE"/>
    <w:rsid w:val="007D0911"/>
    <w:rsid w:val="007D0FBE"/>
    <w:rsid w:val="007D2962"/>
    <w:rsid w:val="007D4214"/>
    <w:rsid w:val="007D5B24"/>
    <w:rsid w:val="007D5DAC"/>
    <w:rsid w:val="007D6319"/>
    <w:rsid w:val="007E1D14"/>
    <w:rsid w:val="007E4FB4"/>
    <w:rsid w:val="007E5BDD"/>
    <w:rsid w:val="007F16F7"/>
    <w:rsid w:val="007F2BE6"/>
    <w:rsid w:val="008056F9"/>
    <w:rsid w:val="00807B48"/>
    <w:rsid w:val="008135CA"/>
    <w:rsid w:val="0081584F"/>
    <w:rsid w:val="008213B5"/>
    <w:rsid w:val="00822CE6"/>
    <w:rsid w:val="00827007"/>
    <w:rsid w:val="00830948"/>
    <w:rsid w:val="00830DC1"/>
    <w:rsid w:val="0084066E"/>
    <w:rsid w:val="0084454A"/>
    <w:rsid w:val="0084498E"/>
    <w:rsid w:val="008605AD"/>
    <w:rsid w:val="00865041"/>
    <w:rsid w:val="00865109"/>
    <w:rsid w:val="00867035"/>
    <w:rsid w:val="00867DDF"/>
    <w:rsid w:val="008703BF"/>
    <w:rsid w:val="00880AE4"/>
    <w:rsid w:val="00884422"/>
    <w:rsid w:val="00885ACB"/>
    <w:rsid w:val="00886A74"/>
    <w:rsid w:val="0089237C"/>
    <w:rsid w:val="008925CE"/>
    <w:rsid w:val="00895F6D"/>
    <w:rsid w:val="008A0651"/>
    <w:rsid w:val="008A183D"/>
    <w:rsid w:val="008A4ABC"/>
    <w:rsid w:val="008B336F"/>
    <w:rsid w:val="008B5EC0"/>
    <w:rsid w:val="008C01C3"/>
    <w:rsid w:val="008C4D41"/>
    <w:rsid w:val="008D2967"/>
    <w:rsid w:val="008D5ADE"/>
    <w:rsid w:val="008E1C25"/>
    <w:rsid w:val="008E763D"/>
    <w:rsid w:val="008F0EBE"/>
    <w:rsid w:val="008F1A01"/>
    <w:rsid w:val="008F4E68"/>
    <w:rsid w:val="009009C5"/>
    <w:rsid w:val="0090389E"/>
    <w:rsid w:val="009043F7"/>
    <w:rsid w:val="009050F6"/>
    <w:rsid w:val="00914304"/>
    <w:rsid w:val="00921C4B"/>
    <w:rsid w:val="009247C6"/>
    <w:rsid w:val="00927A07"/>
    <w:rsid w:val="00927F72"/>
    <w:rsid w:val="0094272E"/>
    <w:rsid w:val="00943094"/>
    <w:rsid w:val="009456F9"/>
    <w:rsid w:val="009540B3"/>
    <w:rsid w:val="00954565"/>
    <w:rsid w:val="009628A8"/>
    <w:rsid w:val="00965215"/>
    <w:rsid w:val="009652D8"/>
    <w:rsid w:val="00965DDC"/>
    <w:rsid w:val="00967C47"/>
    <w:rsid w:val="00971A5E"/>
    <w:rsid w:val="00980F8A"/>
    <w:rsid w:val="00981F45"/>
    <w:rsid w:val="00985831"/>
    <w:rsid w:val="009929CC"/>
    <w:rsid w:val="00994588"/>
    <w:rsid w:val="00994D12"/>
    <w:rsid w:val="00997D95"/>
    <w:rsid w:val="009A5262"/>
    <w:rsid w:val="009B128B"/>
    <w:rsid w:val="009B77EC"/>
    <w:rsid w:val="009C198F"/>
    <w:rsid w:val="009C3558"/>
    <w:rsid w:val="009C40BD"/>
    <w:rsid w:val="009C71FD"/>
    <w:rsid w:val="009D2657"/>
    <w:rsid w:val="009D2F67"/>
    <w:rsid w:val="009D7A89"/>
    <w:rsid w:val="009E0D7E"/>
    <w:rsid w:val="009E5BB2"/>
    <w:rsid w:val="009F2074"/>
    <w:rsid w:val="009F23AA"/>
    <w:rsid w:val="009F3310"/>
    <w:rsid w:val="009F5F68"/>
    <w:rsid w:val="009F7129"/>
    <w:rsid w:val="009F7809"/>
    <w:rsid w:val="009F78B7"/>
    <w:rsid w:val="00A026BA"/>
    <w:rsid w:val="00A047C2"/>
    <w:rsid w:val="00A10FA8"/>
    <w:rsid w:val="00A14B75"/>
    <w:rsid w:val="00A16F07"/>
    <w:rsid w:val="00A208DD"/>
    <w:rsid w:val="00A2787F"/>
    <w:rsid w:val="00A30417"/>
    <w:rsid w:val="00A31064"/>
    <w:rsid w:val="00A355BA"/>
    <w:rsid w:val="00A37FEE"/>
    <w:rsid w:val="00A37FFC"/>
    <w:rsid w:val="00A41079"/>
    <w:rsid w:val="00A43510"/>
    <w:rsid w:val="00A44EE7"/>
    <w:rsid w:val="00A57A44"/>
    <w:rsid w:val="00A614E3"/>
    <w:rsid w:val="00A62479"/>
    <w:rsid w:val="00A62C7B"/>
    <w:rsid w:val="00A71F1B"/>
    <w:rsid w:val="00A72CB3"/>
    <w:rsid w:val="00A7709A"/>
    <w:rsid w:val="00A7757A"/>
    <w:rsid w:val="00A87F9A"/>
    <w:rsid w:val="00A90EAE"/>
    <w:rsid w:val="00AA6F3B"/>
    <w:rsid w:val="00AB0752"/>
    <w:rsid w:val="00AB1C14"/>
    <w:rsid w:val="00AC1ACC"/>
    <w:rsid w:val="00AC2031"/>
    <w:rsid w:val="00AC4ECA"/>
    <w:rsid w:val="00AE1842"/>
    <w:rsid w:val="00AE342B"/>
    <w:rsid w:val="00AE3C7C"/>
    <w:rsid w:val="00AF1C30"/>
    <w:rsid w:val="00AF3982"/>
    <w:rsid w:val="00AF6F32"/>
    <w:rsid w:val="00B0567E"/>
    <w:rsid w:val="00B05D48"/>
    <w:rsid w:val="00B104DA"/>
    <w:rsid w:val="00B12480"/>
    <w:rsid w:val="00B17446"/>
    <w:rsid w:val="00B17A06"/>
    <w:rsid w:val="00B2052F"/>
    <w:rsid w:val="00B27137"/>
    <w:rsid w:val="00B3052D"/>
    <w:rsid w:val="00B30654"/>
    <w:rsid w:val="00B31306"/>
    <w:rsid w:val="00B364B9"/>
    <w:rsid w:val="00B36B85"/>
    <w:rsid w:val="00B379DE"/>
    <w:rsid w:val="00B42814"/>
    <w:rsid w:val="00B436C3"/>
    <w:rsid w:val="00B44A38"/>
    <w:rsid w:val="00B45ABC"/>
    <w:rsid w:val="00B50B49"/>
    <w:rsid w:val="00B57C04"/>
    <w:rsid w:val="00B66EBD"/>
    <w:rsid w:val="00B83936"/>
    <w:rsid w:val="00B86321"/>
    <w:rsid w:val="00B93072"/>
    <w:rsid w:val="00BA66B9"/>
    <w:rsid w:val="00BB2F19"/>
    <w:rsid w:val="00BB3932"/>
    <w:rsid w:val="00BB7599"/>
    <w:rsid w:val="00BC3116"/>
    <w:rsid w:val="00BC4EFC"/>
    <w:rsid w:val="00BD0615"/>
    <w:rsid w:val="00BD24DE"/>
    <w:rsid w:val="00BD2D9E"/>
    <w:rsid w:val="00BD6EB7"/>
    <w:rsid w:val="00BD7210"/>
    <w:rsid w:val="00BF6233"/>
    <w:rsid w:val="00C0778B"/>
    <w:rsid w:val="00C129B5"/>
    <w:rsid w:val="00C142AE"/>
    <w:rsid w:val="00C21DD4"/>
    <w:rsid w:val="00C246EC"/>
    <w:rsid w:val="00C35AF8"/>
    <w:rsid w:val="00C413C3"/>
    <w:rsid w:val="00C45D60"/>
    <w:rsid w:val="00C51CA7"/>
    <w:rsid w:val="00C531E1"/>
    <w:rsid w:val="00C54B74"/>
    <w:rsid w:val="00C54D27"/>
    <w:rsid w:val="00C56771"/>
    <w:rsid w:val="00C65283"/>
    <w:rsid w:val="00C656EF"/>
    <w:rsid w:val="00C6601D"/>
    <w:rsid w:val="00C7037C"/>
    <w:rsid w:val="00C715F6"/>
    <w:rsid w:val="00C72CA5"/>
    <w:rsid w:val="00C73E11"/>
    <w:rsid w:val="00C76EEB"/>
    <w:rsid w:val="00C8606A"/>
    <w:rsid w:val="00C937F9"/>
    <w:rsid w:val="00CA0F89"/>
    <w:rsid w:val="00CA2B33"/>
    <w:rsid w:val="00CB1A18"/>
    <w:rsid w:val="00CB1EBC"/>
    <w:rsid w:val="00CC35DF"/>
    <w:rsid w:val="00CC6E7C"/>
    <w:rsid w:val="00CC7B05"/>
    <w:rsid w:val="00CE01CD"/>
    <w:rsid w:val="00CE2F17"/>
    <w:rsid w:val="00CF23F8"/>
    <w:rsid w:val="00CF33BF"/>
    <w:rsid w:val="00D001FC"/>
    <w:rsid w:val="00D01F5A"/>
    <w:rsid w:val="00D02C45"/>
    <w:rsid w:val="00D162B7"/>
    <w:rsid w:val="00D1716E"/>
    <w:rsid w:val="00D2717B"/>
    <w:rsid w:val="00D31EF0"/>
    <w:rsid w:val="00D33767"/>
    <w:rsid w:val="00D36AF0"/>
    <w:rsid w:val="00D37E09"/>
    <w:rsid w:val="00D53998"/>
    <w:rsid w:val="00D53EB1"/>
    <w:rsid w:val="00D60899"/>
    <w:rsid w:val="00D6232A"/>
    <w:rsid w:val="00D6261B"/>
    <w:rsid w:val="00D64E05"/>
    <w:rsid w:val="00D66263"/>
    <w:rsid w:val="00D71991"/>
    <w:rsid w:val="00D7455B"/>
    <w:rsid w:val="00D7625F"/>
    <w:rsid w:val="00D76DC5"/>
    <w:rsid w:val="00D7758F"/>
    <w:rsid w:val="00D7793E"/>
    <w:rsid w:val="00D92FD3"/>
    <w:rsid w:val="00D94172"/>
    <w:rsid w:val="00D94C07"/>
    <w:rsid w:val="00D94E81"/>
    <w:rsid w:val="00D97990"/>
    <w:rsid w:val="00DA08E4"/>
    <w:rsid w:val="00DA1765"/>
    <w:rsid w:val="00DA2631"/>
    <w:rsid w:val="00DA3B6E"/>
    <w:rsid w:val="00DB4DEF"/>
    <w:rsid w:val="00DB7581"/>
    <w:rsid w:val="00DC15BF"/>
    <w:rsid w:val="00DC2F62"/>
    <w:rsid w:val="00DC70C1"/>
    <w:rsid w:val="00DD3358"/>
    <w:rsid w:val="00DD79B1"/>
    <w:rsid w:val="00DE16DA"/>
    <w:rsid w:val="00DE1D83"/>
    <w:rsid w:val="00E001DB"/>
    <w:rsid w:val="00E043B2"/>
    <w:rsid w:val="00E11D88"/>
    <w:rsid w:val="00E168C7"/>
    <w:rsid w:val="00E218F2"/>
    <w:rsid w:val="00E26DE6"/>
    <w:rsid w:val="00E31449"/>
    <w:rsid w:val="00E32147"/>
    <w:rsid w:val="00E42D60"/>
    <w:rsid w:val="00E45499"/>
    <w:rsid w:val="00E509C2"/>
    <w:rsid w:val="00E521C4"/>
    <w:rsid w:val="00E630BF"/>
    <w:rsid w:val="00E66F28"/>
    <w:rsid w:val="00E67A87"/>
    <w:rsid w:val="00E77A12"/>
    <w:rsid w:val="00E80DCD"/>
    <w:rsid w:val="00E828B4"/>
    <w:rsid w:val="00E83C12"/>
    <w:rsid w:val="00E904C8"/>
    <w:rsid w:val="00E9257A"/>
    <w:rsid w:val="00E93811"/>
    <w:rsid w:val="00EA1BBF"/>
    <w:rsid w:val="00EA5A99"/>
    <w:rsid w:val="00EA7976"/>
    <w:rsid w:val="00EB29A9"/>
    <w:rsid w:val="00EB3B8D"/>
    <w:rsid w:val="00EB778D"/>
    <w:rsid w:val="00EB77D2"/>
    <w:rsid w:val="00EC65ED"/>
    <w:rsid w:val="00EC7D94"/>
    <w:rsid w:val="00ED05D8"/>
    <w:rsid w:val="00ED17D1"/>
    <w:rsid w:val="00ED3026"/>
    <w:rsid w:val="00EDC219"/>
    <w:rsid w:val="00EE1359"/>
    <w:rsid w:val="00EE1C76"/>
    <w:rsid w:val="00EE4403"/>
    <w:rsid w:val="00EF41D3"/>
    <w:rsid w:val="00F00432"/>
    <w:rsid w:val="00F03507"/>
    <w:rsid w:val="00F03866"/>
    <w:rsid w:val="00F06916"/>
    <w:rsid w:val="00F10985"/>
    <w:rsid w:val="00F12FCC"/>
    <w:rsid w:val="00F14E32"/>
    <w:rsid w:val="00F1747C"/>
    <w:rsid w:val="00F3108E"/>
    <w:rsid w:val="00F316C8"/>
    <w:rsid w:val="00F31BF4"/>
    <w:rsid w:val="00F35B6C"/>
    <w:rsid w:val="00F4000F"/>
    <w:rsid w:val="00F5397D"/>
    <w:rsid w:val="00F54CEC"/>
    <w:rsid w:val="00F632DE"/>
    <w:rsid w:val="00F735E4"/>
    <w:rsid w:val="00F7684E"/>
    <w:rsid w:val="00F77BC3"/>
    <w:rsid w:val="00F8094F"/>
    <w:rsid w:val="00F86321"/>
    <w:rsid w:val="00F922FD"/>
    <w:rsid w:val="00FB22A0"/>
    <w:rsid w:val="00FB43B4"/>
    <w:rsid w:val="00FB7834"/>
    <w:rsid w:val="00FC1A15"/>
    <w:rsid w:val="00FC2554"/>
    <w:rsid w:val="00FC4CAA"/>
    <w:rsid w:val="00FC4DAF"/>
    <w:rsid w:val="00FC6936"/>
    <w:rsid w:val="00FD0960"/>
    <w:rsid w:val="00FD30B9"/>
    <w:rsid w:val="00FD4B6A"/>
    <w:rsid w:val="00FD4C49"/>
    <w:rsid w:val="00FD501D"/>
    <w:rsid w:val="00FE3747"/>
    <w:rsid w:val="00FF03A8"/>
    <w:rsid w:val="00FF46CF"/>
    <w:rsid w:val="00FF63EA"/>
    <w:rsid w:val="015EE9BA"/>
    <w:rsid w:val="04D715FE"/>
    <w:rsid w:val="04DFCA69"/>
    <w:rsid w:val="061DD1DB"/>
    <w:rsid w:val="076B7BB3"/>
    <w:rsid w:val="08CCE928"/>
    <w:rsid w:val="08FD8500"/>
    <w:rsid w:val="09246EC1"/>
    <w:rsid w:val="09B4C5DA"/>
    <w:rsid w:val="0AB5EA9E"/>
    <w:rsid w:val="0D236A06"/>
    <w:rsid w:val="1059BE11"/>
    <w:rsid w:val="108A4827"/>
    <w:rsid w:val="10932C7F"/>
    <w:rsid w:val="1160D671"/>
    <w:rsid w:val="11F29957"/>
    <w:rsid w:val="134BF077"/>
    <w:rsid w:val="13EF7D29"/>
    <w:rsid w:val="1418FBA9"/>
    <w:rsid w:val="1717F2DA"/>
    <w:rsid w:val="1967B3D0"/>
    <w:rsid w:val="19BED742"/>
    <w:rsid w:val="1A3013B5"/>
    <w:rsid w:val="1A8E64C6"/>
    <w:rsid w:val="1D1CD5FB"/>
    <w:rsid w:val="1D500DFA"/>
    <w:rsid w:val="1D7DA557"/>
    <w:rsid w:val="20DC865E"/>
    <w:rsid w:val="21866BD7"/>
    <w:rsid w:val="22F96E22"/>
    <w:rsid w:val="23698B43"/>
    <w:rsid w:val="257B8B2C"/>
    <w:rsid w:val="268890B4"/>
    <w:rsid w:val="271265E7"/>
    <w:rsid w:val="27DD5193"/>
    <w:rsid w:val="293FCAF8"/>
    <w:rsid w:val="2A5D4CBE"/>
    <w:rsid w:val="2AF80D72"/>
    <w:rsid w:val="2B1D065A"/>
    <w:rsid w:val="2DDBBED9"/>
    <w:rsid w:val="2EEFBD07"/>
    <w:rsid w:val="2F24ADC4"/>
    <w:rsid w:val="2FE59460"/>
    <w:rsid w:val="31318D61"/>
    <w:rsid w:val="32C6F6A4"/>
    <w:rsid w:val="333B5BA9"/>
    <w:rsid w:val="33D19D2A"/>
    <w:rsid w:val="350CC7DE"/>
    <w:rsid w:val="352C368B"/>
    <w:rsid w:val="35625613"/>
    <w:rsid w:val="3678BB4F"/>
    <w:rsid w:val="38CB3420"/>
    <w:rsid w:val="39125655"/>
    <w:rsid w:val="394B9DFE"/>
    <w:rsid w:val="3A851FC9"/>
    <w:rsid w:val="3B54EB7D"/>
    <w:rsid w:val="3DB9B8F4"/>
    <w:rsid w:val="3E88B7A5"/>
    <w:rsid w:val="4041E3D9"/>
    <w:rsid w:val="40E71F27"/>
    <w:rsid w:val="42704C48"/>
    <w:rsid w:val="4356D9A4"/>
    <w:rsid w:val="4363964B"/>
    <w:rsid w:val="4372CA5A"/>
    <w:rsid w:val="44058517"/>
    <w:rsid w:val="4460243F"/>
    <w:rsid w:val="450E6E09"/>
    <w:rsid w:val="46142F2B"/>
    <w:rsid w:val="4643F017"/>
    <w:rsid w:val="47D10569"/>
    <w:rsid w:val="487C4641"/>
    <w:rsid w:val="4A435406"/>
    <w:rsid w:val="4C194A3C"/>
    <w:rsid w:val="4D0AA2A1"/>
    <w:rsid w:val="4E1ADBA3"/>
    <w:rsid w:val="4F4B0313"/>
    <w:rsid w:val="52042AA9"/>
    <w:rsid w:val="52497FA5"/>
    <w:rsid w:val="524F8341"/>
    <w:rsid w:val="53C0EDD6"/>
    <w:rsid w:val="53FFE87B"/>
    <w:rsid w:val="54584FA4"/>
    <w:rsid w:val="54E8C90E"/>
    <w:rsid w:val="550C0BD3"/>
    <w:rsid w:val="554EE8A8"/>
    <w:rsid w:val="55C1C9B4"/>
    <w:rsid w:val="5780D437"/>
    <w:rsid w:val="5781C056"/>
    <w:rsid w:val="583AFD70"/>
    <w:rsid w:val="59541BC8"/>
    <w:rsid w:val="59CA37D1"/>
    <w:rsid w:val="59D55B3B"/>
    <w:rsid w:val="5BAA7092"/>
    <w:rsid w:val="5E45F76C"/>
    <w:rsid w:val="5E8AEDD1"/>
    <w:rsid w:val="61EFDCBC"/>
    <w:rsid w:val="61EFEEBA"/>
    <w:rsid w:val="641FE755"/>
    <w:rsid w:val="648733B6"/>
    <w:rsid w:val="6545C8B0"/>
    <w:rsid w:val="658FF011"/>
    <w:rsid w:val="65DF2BDB"/>
    <w:rsid w:val="66D88CDB"/>
    <w:rsid w:val="66F9AD36"/>
    <w:rsid w:val="676BDC06"/>
    <w:rsid w:val="6845D49A"/>
    <w:rsid w:val="695E913F"/>
    <w:rsid w:val="6976E24F"/>
    <w:rsid w:val="69D3E84F"/>
    <w:rsid w:val="6A8711CA"/>
    <w:rsid w:val="6AC33BAC"/>
    <w:rsid w:val="6C1464E2"/>
    <w:rsid w:val="6E928518"/>
    <w:rsid w:val="6F0A603A"/>
    <w:rsid w:val="6F1790BB"/>
    <w:rsid w:val="700C4D1B"/>
    <w:rsid w:val="70C696DC"/>
    <w:rsid w:val="71F1D962"/>
    <w:rsid w:val="72C2D32F"/>
    <w:rsid w:val="72EB287E"/>
    <w:rsid w:val="73B1B26B"/>
    <w:rsid w:val="74695164"/>
    <w:rsid w:val="74F9EF7E"/>
    <w:rsid w:val="755A8F3E"/>
    <w:rsid w:val="75C26E94"/>
    <w:rsid w:val="76B930FE"/>
    <w:rsid w:val="795D3214"/>
    <w:rsid w:val="7B62E73A"/>
    <w:rsid w:val="7D567B5C"/>
    <w:rsid w:val="7DB49B43"/>
    <w:rsid w:val="7EB940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1A076339-38C3-4A69-8480-958849A2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B22A0"/>
    <w:rPr>
      <w:sz w:val="16"/>
      <w:szCs w:val="16"/>
    </w:rPr>
  </w:style>
  <w:style w:type="paragraph" w:styleId="CommentText">
    <w:name w:val="annotation text"/>
    <w:basedOn w:val="Normal"/>
    <w:link w:val="CommentTextChar"/>
    <w:uiPriority w:val="99"/>
    <w:unhideWhenUsed/>
    <w:rsid w:val="00FB22A0"/>
    <w:rPr>
      <w:sz w:val="20"/>
      <w:szCs w:val="20"/>
    </w:rPr>
  </w:style>
  <w:style w:type="character" w:customStyle="1" w:styleId="CommentTextChar">
    <w:name w:val="Comment Text Char"/>
    <w:link w:val="CommentText"/>
    <w:uiPriority w:val="99"/>
    <w:rsid w:val="00FB22A0"/>
    <w:rPr>
      <w:lang w:eastAsia="en-US"/>
    </w:rPr>
  </w:style>
  <w:style w:type="paragraph" w:styleId="CommentSubject">
    <w:name w:val="annotation subject"/>
    <w:basedOn w:val="CommentText"/>
    <w:next w:val="CommentText"/>
    <w:link w:val="CommentSubjectChar"/>
    <w:uiPriority w:val="99"/>
    <w:semiHidden/>
    <w:unhideWhenUsed/>
    <w:rsid w:val="00FB22A0"/>
    <w:rPr>
      <w:b/>
      <w:bCs/>
    </w:rPr>
  </w:style>
  <w:style w:type="character" w:customStyle="1" w:styleId="CommentSubjectChar">
    <w:name w:val="Comment Subject Char"/>
    <w:link w:val="CommentSubject"/>
    <w:uiPriority w:val="99"/>
    <w:semiHidden/>
    <w:rsid w:val="00FB22A0"/>
    <w:rPr>
      <w:b/>
      <w:bCs/>
      <w:lang w:eastAsia="en-US"/>
    </w:rPr>
  </w:style>
  <w:style w:type="paragraph" w:styleId="FootnoteText">
    <w:name w:val="footnote text"/>
    <w:basedOn w:val="Normal"/>
    <w:link w:val="FootnoteTextChar"/>
    <w:uiPriority w:val="99"/>
    <w:semiHidden/>
    <w:unhideWhenUsed/>
    <w:rsid w:val="00AF1C30"/>
    <w:rPr>
      <w:sz w:val="20"/>
      <w:szCs w:val="20"/>
    </w:rPr>
  </w:style>
  <w:style w:type="character" w:customStyle="1" w:styleId="FootnoteTextChar">
    <w:name w:val="Footnote Text Char"/>
    <w:link w:val="FootnoteText"/>
    <w:uiPriority w:val="99"/>
    <w:semiHidden/>
    <w:rsid w:val="00AF1C30"/>
    <w:rPr>
      <w:lang w:eastAsia="en-US"/>
    </w:rPr>
  </w:style>
  <w:style w:type="character" w:styleId="FootnoteReference">
    <w:name w:val="footnote reference"/>
    <w:uiPriority w:val="99"/>
    <w:semiHidden/>
    <w:unhideWhenUsed/>
    <w:rsid w:val="00AF1C30"/>
    <w:rPr>
      <w:vertAlign w:val="superscript"/>
    </w:rPr>
  </w:style>
  <w:style w:type="paragraph" w:styleId="Revision">
    <w:name w:val="Revision"/>
    <w:hidden/>
    <w:uiPriority w:val="99"/>
    <w:semiHidden/>
    <w:rsid w:val="00DD3358"/>
    <w:rPr>
      <w:sz w:val="22"/>
      <w:szCs w:val="22"/>
      <w:lang w:val="en-GB" w:eastAsia="en-US"/>
    </w:rPr>
  </w:style>
  <w:style w:type="paragraph" w:styleId="Header">
    <w:name w:val="header"/>
    <w:basedOn w:val="Normal"/>
    <w:link w:val="HeaderChar"/>
    <w:uiPriority w:val="99"/>
    <w:semiHidden/>
    <w:unhideWhenUsed/>
    <w:rsid w:val="00BC4EFC"/>
    <w:pPr>
      <w:tabs>
        <w:tab w:val="center" w:pos="4513"/>
        <w:tab w:val="right" w:pos="9026"/>
      </w:tabs>
    </w:pPr>
  </w:style>
  <w:style w:type="character" w:customStyle="1" w:styleId="HeaderChar">
    <w:name w:val="Header Char"/>
    <w:link w:val="Header"/>
    <w:uiPriority w:val="99"/>
    <w:semiHidden/>
    <w:rsid w:val="00BC4EFC"/>
    <w:rPr>
      <w:sz w:val="22"/>
      <w:szCs w:val="22"/>
      <w:lang w:val="en-GB" w:eastAsia="en-US"/>
    </w:rPr>
  </w:style>
  <w:style w:type="paragraph" w:styleId="Footer">
    <w:name w:val="footer"/>
    <w:basedOn w:val="Normal"/>
    <w:link w:val="FooterChar"/>
    <w:uiPriority w:val="99"/>
    <w:semiHidden/>
    <w:unhideWhenUsed/>
    <w:rsid w:val="00BC4EFC"/>
    <w:pPr>
      <w:tabs>
        <w:tab w:val="center" w:pos="4513"/>
        <w:tab w:val="right" w:pos="9026"/>
      </w:tabs>
    </w:pPr>
  </w:style>
  <w:style w:type="character" w:customStyle="1" w:styleId="FooterChar">
    <w:name w:val="Footer Char"/>
    <w:link w:val="Footer"/>
    <w:uiPriority w:val="99"/>
    <w:semiHidden/>
    <w:rsid w:val="00BC4EFC"/>
    <w:rPr>
      <w:sz w:val="22"/>
      <w:szCs w:val="22"/>
      <w:lang w:val="en-GB" w:eastAsia="en-US"/>
    </w:rPr>
  </w:style>
  <w:style w:type="character" w:styleId="Hyperlink">
    <w:name w:val="Hyperlink"/>
    <w:basedOn w:val="DefaultParagraphFont"/>
    <w:uiPriority w:val="99"/>
    <w:unhideWhenUsed/>
    <w:rsid w:val="00B364B9"/>
    <w:rPr>
      <w:color w:val="0563C1" w:themeColor="hyperlink"/>
      <w:u w:val="single"/>
    </w:rPr>
  </w:style>
  <w:style w:type="character" w:styleId="UnresolvedMention">
    <w:name w:val="Unresolved Mention"/>
    <w:basedOn w:val="DefaultParagraphFont"/>
    <w:uiPriority w:val="99"/>
    <w:semiHidden/>
    <w:unhideWhenUsed/>
    <w:rsid w:val="00B36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618229">
      <w:bodyDiv w:val="1"/>
      <w:marLeft w:val="0"/>
      <w:marRight w:val="0"/>
      <w:marTop w:val="0"/>
      <w:marBottom w:val="0"/>
      <w:divBdr>
        <w:top w:val="none" w:sz="0" w:space="0" w:color="auto"/>
        <w:left w:val="none" w:sz="0" w:space="0" w:color="auto"/>
        <w:bottom w:val="none" w:sz="0" w:space="0" w:color="auto"/>
        <w:right w:val="none" w:sz="0" w:space="0" w:color="auto"/>
      </w:divBdr>
    </w:div>
    <w:div w:id="1215775319">
      <w:bodyDiv w:val="1"/>
      <w:marLeft w:val="0"/>
      <w:marRight w:val="0"/>
      <w:marTop w:val="0"/>
      <w:marBottom w:val="0"/>
      <w:divBdr>
        <w:top w:val="none" w:sz="0" w:space="0" w:color="auto"/>
        <w:left w:val="none" w:sz="0" w:space="0" w:color="auto"/>
        <w:bottom w:val="none" w:sz="0" w:space="0" w:color="auto"/>
        <w:right w:val="none" w:sz="0" w:space="0" w:color="auto"/>
      </w:divBdr>
    </w:div>
    <w:div w:id="202816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52023DC0796" TargetMode="External"/><Relationship Id="rId2" Type="http://schemas.openxmlformats.org/officeDocument/2006/relationships/hyperlink" Target="https://eur-lex.europa.eu/legal-content/EN/TXT/?uri=CELEX:52024DC0062" TargetMode="External"/><Relationship Id="rId1" Type="http://schemas.openxmlformats.org/officeDocument/2006/relationships/hyperlink" Target="https://eur-lex.europa.eu/legal-content/EN/TXT/?uri=celex%3A52024DC0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522064-1c52-4531-b908-dbb41767943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94c34300-9c81-4544-a5e6-51f954ed30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0195177B60C64096702F86A45F3814" ma:contentTypeVersion="13" ma:contentTypeDescription="Create a new document." ma:contentTypeScope="" ma:versionID="817e464307736b34debd57aeb417a54d">
  <xsd:schema xmlns:xsd="http://www.w3.org/2001/XMLSchema" xmlns:xs="http://www.w3.org/2001/XMLSchema" xmlns:p="http://schemas.microsoft.com/office/2006/metadata/properties" xmlns:ns2="a8522064-1c52-4531-b908-dbb417679439" xmlns:ns3="94c34300-9c81-4544-a5e6-51f954ed307d" targetNamespace="http://schemas.microsoft.com/office/2006/metadata/properties" ma:root="true" ma:fieldsID="aadd68f604491a5535915ca56315b055" ns2:_="" ns3:_="">
    <xsd:import namespace="a8522064-1c52-4531-b908-dbb417679439"/>
    <xsd:import namespace="94c34300-9c81-4544-a5e6-51f954ed30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22064-1c52-4531-b908-dbb417679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c34300-9c81-4544-a5e6-51f954ed30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c661fc-423d-4aab-ad09-648d49989341}" ma:internalName="TaxCatchAll" ma:showField="CatchAllData" ma:web="94c34300-9c81-4544-a5e6-51f954ed30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8DCEF-9ECA-4902-97D1-D706639C9578}">
  <ds:schemaRef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terms/"/>
    <ds:schemaRef ds:uri="94c34300-9c81-4544-a5e6-51f954ed307d"/>
    <ds:schemaRef ds:uri="http://www.w3.org/XML/1998/namespace"/>
    <ds:schemaRef ds:uri="http://schemas.microsoft.com/office/infopath/2007/PartnerControls"/>
    <ds:schemaRef ds:uri="a8522064-1c52-4531-b908-dbb417679439"/>
  </ds:schemaRefs>
</ds:datastoreItem>
</file>

<file path=customXml/itemProps2.xml><?xml version="1.0" encoding="utf-8"?>
<ds:datastoreItem xmlns:ds="http://schemas.openxmlformats.org/officeDocument/2006/customXml" ds:itemID="{292B36B6-2992-4608-BB0F-5245638C7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22064-1c52-4531-b908-dbb417679439"/>
    <ds:schemaRef ds:uri="94c34300-9c81-4544-a5e6-51f954ed3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BC19E8-DDB3-4164-9414-09DC596AD0F6}">
  <ds:schemaRefs>
    <ds:schemaRef ds:uri="http://schemas.microsoft.com/sharepoint/v3/contenttype/forms"/>
  </ds:schemaRefs>
</ds:datastoreItem>
</file>

<file path=customXml/itemProps4.xml><?xml version="1.0" encoding="utf-8"?>
<ds:datastoreItem xmlns:ds="http://schemas.openxmlformats.org/officeDocument/2006/customXml" ds:itemID="{B90309DD-328C-4653-9D16-15EDC0699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1385</Words>
  <Characters>7773</Characters>
  <Application>Microsoft Office Word</Application>
  <DocSecurity>0</DocSecurity>
  <Lines>114</Lines>
  <Paragraphs>37</Paragraphs>
  <ScaleCrop>false</ScaleCrop>
  <Company>European Commission</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STEPIEN Beata (SG)</cp:lastModifiedBy>
  <cp:revision>2</cp:revision>
  <cp:lastPrinted>2013-02-28T12:02:00Z</cp:lastPrinted>
  <dcterms:created xsi:type="dcterms:W3CDTF">2025-05-13T16:08:00Z</dcterms:created>
  <dcterms:modified xsi:type="dcterms:W3CDTF">2025-05-13T16:08:00Z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0x010100860195177B60C64096702F86A45F3814</vt:lpwstr>
  </property>
  <property fmtid="{D5CDD505-2E9C-101B-9397-08002B2CF9AE}" pid="10" name="MediaServiceImageTags">
    <vt:lpwstr/>
  </property>
</Properties>
</file>