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7759" w:rsidR="00731B50" w:rsidP="00AC1FA9" w:rsidRDefault="00914FC5" w14:paraId="12680858" w14:textId="77777777">
      <w:pPr>
        <w:jc w:val="center"/>
        <w:rPr>
          <w:szCs w:val="22"/>
          <w:lang w:val="sl-SI"/>
        </w:rPr>
      </w:pPr>
      <w:r w:rsidRPr="00D27759">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8">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D27759" w:rsidR="001B7143">
        <w:rPr>
          <w:noProof/>
          <w:szCs w:val="22"/>
          <w:lang w:val="sl-SI" w:eastAsia="en-GB"/>
        </w:rPr>
        <mc:AlternateContent>
          <mc:Choice Requires="wps">
            <w:drawing>
              <wp:anchor distT="0" distB="0" distL="114300" distR="114300" simplePos="0" relativeHeight="251659776"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D27759" w:rsidR="00731B50" w:rsidP="00AC1FA9" w:rsidRDefault="00731B50" w14:paraId="3C14D99B" w14:textId="77777777">
      <w:pPr>
        <w:rPr>
          <w:szCs w:val="22"/>
          <w:lang w:val="sl-SI"/>
        </w:rPr>
      </w:pPr>
    </w:p>
    <w:p w:rsidRPr="00D27759" w:rsidR="00437105" w:rsidP="00AC1FA9" w:rsidRDefault="00437105" w14:paraId="06ECEDA6" w14:textId="77777777">
      <w:pPr>
        <w:rPr>
          <w:szCs w:val="22"/>
          <w:lang w:val="sl-SI"/>
        </w:rPr>
      </w:pPr>
    </w:p>
    <w:p w:rsidRPr="00D27759" w:rsidR="00437105" w:rsidP="00AC1FA9" w:rsidRDefault="00437105" w14:paraId="4A65A0B7" w14:textId="6C22B9C3">
      <w:pPr>
        <w:jc w:val="right"/>
        <w:rPr>
          <w:szCs w:val="22"/>
          <w:lang w:val="sl-SI"/>
        </w:rPr>
      </w:pPr>
      <w:r w:rsidRPr="00D27759">
        <w:rPr>
          <w:szCs w:val="22"/>
          <w:lang w:val="sl-SI"/>
        </w:rPr>
        <w:t xml:space="preserve">Bruselj, </w:t>
      </w:r>
      <w:r w:rsidRPr="00D27759" w:rsidR="000A5AD3">
        <w:rPr>
          <w:szCs w:val="22"/>
          <w:lang w:val="sl-SI"/>
        </w:rPr>
        <w:t>11. april 2025</w:t>
      </w:r>
    </w:p>
    <w:p w:rsidRPr="00D27759" w:rsidR="00437105" w:rsidP="00AC1FA9" w:rsidRDefault="00437105" w14:paraId="37D37B26" w14:textId="77777777">
      <w:pPr>
        <w:rPr>
          <w:szCs w:val="22"/>
          <w:lang w:val="sl-SI"/>
        </w:rPr>
      </w:pPr>
    </w:p>
    <w:p w:rsidRPr="00D27759" w:rsidR="00437105" w:rsidP="00AC1FA9" w:rsidRDefault="00437105" w14:paraId="47284582" w14:textId="1F01DEC0">
      <w:pPr>
        <w:rPr>
          <w:szCs w:val="22"/>
          <w:lang w:val="sl-SI"/>
        </w:rPr>
      </w:pPr>
    </w:p>
    <w:p w:rsidRPr="00D27759" w:rsidR="00437105" w:rsidP="00AC1FA9" w:rsidRDefault="00437105" w14:paraId="6EFF6ADC" w14:textId="77777777">
      <w:pPr>
        <w:rPr>
          <w:szCs w:val="22"/>
          <w:lang w:val="sl-SI"/>
        </w:rPr>
      </w:pPr>
    </w:p>
    <w:p w:rsidRPr="00D27759" w:rsidR="00437105" w:rsidP="00AC1FA9" w:rsidRDefault="00437105" w14:paraId="57B36392" w14:textId="77777777">
      <w:pPr>
        <w:rPr>
          <w:lang w:val="sl-SI"/>
        </w:rPr>
      </w:pPr>
    </w:p>
    <w:tbl>
      <w:tblPr>
        <w:tblW w:w="5000" w:type="pct"/>
        <w:tblLook w:val="0000" w:firstRow="0" w:lastRow="0" w:firstColumn="0" w:lastColumn="0" w:noHBand="0" w:noVBand="0"/>
      </w:tblPr>
      <w:tblGrid>
        <w:gridCol w:w="9287"/>
      </w:tblGrid>
      <w:tr w:rsidRPr="00D27759" w:rsidR="00437105" w:rsidTr="00437105" w14:paraId="48044EA7" w14:textId="77777777">
        <w:tc>
          <w:tcPr>
            <w:tcW w:w="5000" w:type="pct"/>
            <w:tcBorders>
              <w:bottom w:val="double" w:color="auto" w:sz="4" w:space="0"/>
            </w:tcBorders>
          </w:tcPr>
          <w:p w:rsidRPr="00D27759" w:rsidR="00437105" w:rsidP="00AC1FA9" w:rsidRDefault="000A5AD3" w14:paraId="17FFB660" w14:textId="1B71010F">
            <w:pPr>
              <w:jc w:val="center"/>
              <w:rPr>
                <w:lang w:val="sl-SI"/>
              </w:rPr>
            </w:pPr>
            <w:r w:rsidRPr="00D27759">
              <w:rPr>
                <w:b/>
                <w:sz w:val="32"/>
                <w:lang w:val="sl-SI"/>
              </w:rPr>
              <w:t>595.</w:t>
            </w:r>
            <w:r w:rsidRPr="00D27759" w:rsidR="00437105">
              <w:rPr>
                <w:b/>
                <w:sz w:val="32"/>
                <w:lang w:val="sl-SI"/>
              </w:rPr>
              <w:t> PLENARNO ZASEDANJE</w:t>
            </w:r>
            <w:r w:rsidRPr="00D27759" w:rsidR="00437105">
              <w:rPr>
                <w:b/>
                <w:sz w:val="32"/>
                <w:lang w:val="sl-SI"/>
              </w:rPr>
              <w:br/>
            </w:r>
            <w:r w:rsidRPr="00D27759" w:rsidR="00437105">
              <w:rPr>
                <w:b/>
                <w:sz w:val="32"/>
                <w:lang w:val="sl-SI"/>
              </w:rPr>
              <w:br/>
            </w:r>
            <w:r w:rsidRPr="00D27759">
              <w:rPr>
                <w:b/>
                <w:sz w:val="32"/>
                <w:lang w:val="sl-SI"/>
              </w:rPr>
              <w:t>26. IN 27. MAREC 2025</w:t>
            </w:r>
            <w:r w:rsidRPr="00D27759" w:rsidR="00437105">
              <w:rPr>
                <w:b/>
                <w:sz w:val="32"/>
                <w:lang w:val="sl-SI"/>
              </w:rPr>
              <w:br/>
            </w:r>
            <w:r w:rsidRPr="00D27759" w:rsidR="00437105">
              <w:rPr>
                <w:b/>
                <w:sz w:val="32"/>
                <w:lang w:val="sl-SI"/>
              </w:rPr>
              <w:br/>
              <w:t>POVZETEK SPREJETIH MNENJ</w:t>
            </w:r>
            <w:r w:rsidRPr="00D27759" w:rsidR="00302C4A">
              <w:rPr>
                <w:b/>
                <w:sz w:val="32"/>
                <w:lang w:val="sl-SI"/>
              </w:rPr>
              <w:t>, RESOLUCIJ IN INFORMATIVNIH POROČIL TER POROČIL O OCENI</w:t>
            </w:r>
            <w:r w:rsidRPr="00D27759" w:rsidR="00437105">
              <w:rPr>
                <w:b/>
                <w:sz w:val="32"/>
                <w:lang w:val="sl-SI"/>
              </w:rPr>
              <w:br/>
            </w:r>
            <w:r w:rsidRPr="00D27759" w:rsidR="00437105">
              <w:rPr>
                <w:b/>
                <w:sz w:val="32"/>
                <w:lang w:val="sl-SI"/>
              </w:rPr>
              <w:br/>
            </w:r>
          </w:p>
        </w:tc>
      </w:tr>
      <w:tr w:rsidRPr="00D27759"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D27759" w:rsidR="00437105" w:rsidP="00AC1FA9" w:rsidRDefault="00437105" w14:paraId="684A24F9" w14:textId="77777777">
            <w:pPr>
              <w:jc w:val="center"/>
              <w:rPr>
                <w:lang w:val="sl-SI"/>
              </w:rPr>
            </w:pPr>
          </w:p>
          <w:p w:rsidRPr="00D27759" w:rsidR="00437105" w:rsidP="00AC1FA9" w:rsidRDefault="00437105" w14:paraId="7F794928" w14:textId="77777777">
            <w:pPr>
              <w:jc w:val="center"/>
              <w:rPr>
                <w:spacing w:val="-2"/>
                <w:lang w:val="sl-SI"/>
              </w:rPr>
            </w:pPr>
            <w:r w:rsidRPr="00D27759">
              <w:rPr>
                <w:lang w:val="sl-SI"/>
              </w:rPr>
              <w:t xml:space="preserve">Dokument je v </w:t>
            </w:r>
            <w:r w:rsidRPr="00D27759" w:rsidR="00EA31FC">
              <w:rPr>
                <w:lang w:val="sl-SI"/>
              </w:rPr>
              <w:t xml:space="preserve">vseh </w:t>
            </w:r>
            <w:r w:rsidRPr="00D27759">
              <w:rPr>
                <w:lang w:val="sl-SI"/>
              </w:rPr>
              <w:t>uradnih jezikih Evropske unije na voljo na spletni strani EESO:</w:t>
            </w:r>
            <w:r w:rsidRPr="00D27759">
              <w:rPr>
                <w:lang w:val="sl-SI"/>
              </w:rPr>
              <w:br/>
            </w:r>
            <w:r w:rsidRPr="00D27759">
              <w:rPr>
                <w:lang w:val="sl-SI"/>
              </w:rPr>
              <w:br/>
            </w:r>
            <w:hyperlink w:history="1" r:id="rId9">
              <w:r w:rsidRPr="00D27759">
                <w:rPr>
                  <w:rStyle w:val="Hyperlink"/>
                  <w:rFonts w:eastAsiaTheme="majorEastAsia"/>
                  <w:spacing w:val="-2"/>
                  <w:lang w:val="sl-SI"/>
                </w:rPr>
                <w:t>https://www.eesc.europa.eu/sl/our-work/opinions-information-reports/plenary-session-summaries</w:t>
              </w:r>
            </w:hyperlink>
          </w:p>
          <w:p w:rsidRPr="00D27759" w:rsidR="00437105" w:rsidP="00AC1FA9" w:rsidRDefault="00437105" w14:paraId="6AF88887" w14:textId="77777777">
            <w:pPr>
              <w:jc w:val="center"/>
              <w:rPr>
                <w:lang w:val="sl-SI"/>
              </w:rPr>
            </w:pPr>
          </w:p>
          <w:p w:rsidRPr="00D27759" w:rsidR="00437105" w:rsidP="00AC1FA9" w:rsidRDefault="00437105" w14:paraId="5B9A8CC4" w14:textId="77777777">
            <w:pPr>
              <w:jc w:val="center"/>
              <w:rPr>
                <w:lang w:val="sl-SI"/>
              </w:rPr>
            </w:pPr>
          </w:p>
          <w:p w:rsidRPr="00D27759" w:rsidR="00437105" w:rsidP="00AC1FA9" w:rsidRDefault="00437105" w14:paraId="5317206E" w14:textId="70B22630">
            <w:pPr>
              <w:jc w:val="center"/>
              <w:rPr>
                <w:lang w:val="sl-SI"/>
              </w:rPr>
            </w:pPr>
            <w:r w:rsidRPr="00D27759">
              <w:rPr>
                <w:lang w:val="sl-SI"/>
              </w:rPr>
              <w:t xml:space="preserve">Navedena mnenja so na spletu dostopna prek iskalnika </w:t>
            </w:r>
            <w:r w:rsidRPr="00D27759" w:rsidR="00082A32">
              <w:rPr>
                <w:lang w:val="sl-SI"/>
              </w:rPr>
              <w:t>Odbora</w:t>
            </w:r>
            <w:r w:rsidRPr="00D27759">
              <w:rPr>
                <w:lang w:val="sl-SI"/>
              </w:rPr>
              <w:t>:</w:t>
            </w:r>
            <w:r w:rsidRPr="00D27759">
              <w:rPr>
                <w:lang w:val="sl-SI"/>
              </w:rPr>
              <w:br/>
            </w:r>
            <w:r w:rsidRPr="00D27759">
              <w:rPr>
                <w:lang w:val="sl-SI"/>
              </w:rPr>
              <w:br/>
            </w:r>
            <w:hyperlink w:history="1" r:id="rId10">
              <w:r w:rsidRPr="00D27759">
                <w:rPr>
                  <w:rStyle w:val="Hyperlink"/>
                  <w:rFonts w:eastAsiaTheme="majorEastAsia"/>
                  <w:lang w:val="sl-SI"/>
                </w:rPr>
                <w:t>https://dmsearch.eesc.europa.eu/search/opinion</w:t>
              </w:r>
            </w:hyperlink>
          </w:p>
          <w:p w:rsidRPr="00D27759" w:rsidR="00437105" w:rsidP="00AC1FA9" w:rsidRDefault="00437105" w14:paraId="39440503" w14:textId="77777777">
            <w:pPr>
              <w:jc w:val="center"/>
              <w:rPr>
                <w:lang w:val="sl-SI"/>
              </w:rPr>
            </w:pPr>
          </w:p>
        </w:tc>
      </w:tr>
    </w:tbl>
    <w:p w:rsidRPr="00D27759" w:rsidR="00437105" w:rsidP="00AC1FA9" w:rsidRDefault="00437105" w14:paraId="4F71DBA3" w14:textId="77777777">
      <w:pPr>
        <w:rPr>
          <w:lang w:val="sl-SI"/>
        </w:rPr>
      </w:pPr>
    </w:p>
    <w:p w:rsidRPr="00D27759" w:rsidR="00437105" w:rsidP="00AC1FA9" w:rsidRDefault="00437105" w14:paraId="5E03C9C4" w14:textId="77777777">
      <w:pPr>
        <w:rPr>
          <w:szCs w:val="22"/>
          <w:lang w:val="sl-SI"/>
        </w:rPr>
      </w:pPr>
    </w:p>
    <w:p w:rsidRPr="00D27759" w:rsidR="00437105" w:rsidP="00AC1FA9" w:rsidRDefault="00437105" w14:paraId="5260496E" w14:textId="77777777">
      <w:pPr>
        <w:rPr>
          <w:szCs w:val="22"/>
          <w:lang w:val="sl-SI"/>
        </w:rPr>
        <w:sectPr w:rsidRPr="00D27759" w:rsidR="00437105" w:rsidSect="008C2252">
          <w:footerReference w:type="default" r:id="rId11"/>
          <w:pgSz w:w="11907" w:h="16839" w:code="9"/>
          <w:pgMar w:top="1418" w:right="1418" w:bottom="1418" w:left="1418" w:header="709" w:footer="709" w:gutter="0"/>
          <w:pgNumType w:start="1"/>
          <w:cols w:space="720"/>
          <w:docGrid w:linePitch="299"/>
        </w:sectPr>
      </w:pPr>
    </w:p>
    <w:p w:rsidRPr="00D27759" w:rsidR="00437105" w:rsidP="00AC1FA9" w:rsidRDefault="00AC1FA9" w14:paraId="52EDEA02" w14:textId="77777777">
      <w:pPr>
        <w:rPr>
          <w:szCs w:val="22"/>
          <w:lang w:val="sl-SI"/>
        </w:rPr>
      </w:pPr>
      <w:r w:rsidRPr="00D27759">
        <w:rPr>
          <w:b/>
          <w:szCs w:val="22"/>
          <w:lang w:val="sl-SI"/>
        </w:rPr>
        <w:lastRenderedPageBreak/>
        <w:t>Vsebina</w:t>
      </w:r>
    </w:p>
    <w:p w:rsidRPr="00D27759" w:rsidR="00437105" w:rsidP="00AC1FA9" w:rsidRDefault="00437105" w14:paraId="0C3741E5" w14:textId="77777777">
      <w:pPr>
        <w:rPr>
          <w:szCs w:val="22"/>
          <w:lang w:val="sl-SI"/>
        </w:rPr>
      </w:pPr>
    </w:p>
    <w:p w:rsidRPr="00D27759" w:rsidR="00AC7C4F" w:rsidP="00AC1FA9" w:rsidRDefault="00AC7C4F" w14:paraId="3EE7A8A3" w14:textId="77777777">
      <w:pPr>
        <w:rPr>
          <w:szCs w:val="22"/>
          <w:lang w:val="sl-SI"/>
        </w:rPr>
      </w:pPr>
    </w:p>
    <w:p w:rsidRPr="00D27759" w:rsidR="00AC7C4F" w:rsidP="008B7E4C" w:rsidRDefault="00AC7C4F" w14:paraId="583D42C4" w14:textId="1683F20B">
      <w:pPr>
        <w:pStyle w:val="TOC1"/>
        <w:tabs>
          <w:tab w:val="left" w:pos="567"/>
          <w:tab w:val="right" w:leader="dot" w:pos="9061"/>
        </w:tabs>
        <w:spacing w:after="0" w:line="360" w:lineRule="auto"/>
        <w:ind w:left="567" w:hanging="567"/>
        <w:jc w:val="both"/>
        <w:rPr>
          <w:lang w:val="sl-SI" w:eastAsia="en-GB"/>
        </w:rPr>
      </w:pPr>
      <w:r w:rsidRPr="00D27759">
        <w:rPr>
          <w:lang w:val="sl-SI"/>
        </w:rPr>
        <w:fldChar w:fldCharType="begin"/>
      </w:r>
      <w:r w:rsidRPr="00D27759">
        <w:rPr>
          <w:lang w:val="sl-SI"/>
        </w:rPr>
        <w:instrText xml:space="preserve"> TOC \o "1-1" \h \z \u </w:instrText>
      </w:r>
      <w:r w:rsidRPr="00D27759">
        <w:rPr>
          <w:lang w:val="sl-SI"/>
        </w:rPr>
        <w:fldChar w:fldCharType="separate"/>
      </w:r>
      <w:hyperlink w:history="1" w:anchor="_Toc105440135">
        <w:r w:rsidRPr="00D27759">
          <w:rPr>
            <w:rStyle w:val="Hyperlink"/>
            <w:lang w:val="sl-SI"/>
          </w:rPr>
          <w:t>1.</w:t>
        </w:r>
        <w:r w:rsidRPr="00D27759">
          <w:rPr>
            <w:lang w:val="sl-SI" w:eastAsia="en-GB"/>
          </w:rPr>
          <w:tab/>
        </w:r>
        <w:r w:rsidRPr="00D27759">
          <w:rPr>
            <w:rStyle w:val="Hyperlink"/>
            <w:b/>
            <w:lang w:val="sl-SI"/>
          </w:rPr>
          <w:t>EKONOMSKA IN MONETARNA UNIJA TER EKONOMSKA IN SOCIALNA KOHEZIJA</w:t>
        </w:r>
        <w:r w:rsidRPr="00D27759">
          <w:rPr>
            <w:webHidden/>
            <w:lang w:val="sl-SI"/>
          </w:rPr>
          <w:tab/>
        </w:r>
        <w:r w:rsidRPr="00D27759">
          <w:rPr>
            <w:webHidden/>
            <w:lang w:val="sl-SI"/>
          </w:rPr>
          <w:fldChar w:fldCharType="begin"/>
        </w:r>
        <w:r w:rsidRPr="00D27759">
          <w:rPr>
            <w:webHidden/>
            <w:lang w:val="sl-SI"/>
          </w:rPr>
          <w:instrText xml:space="preserve"> PAGEREF _Toc105440135 \h </w:instrText>
        </w:r>
        <w:r w:rsidRPr="00D27759">
          <w:rPr>
            <w:webHidden/>
            <w:lang w:val="sl-SI"/>
          </w:rPr>
        </w:r>
        <w:r w:rsidRPr="00D27759">
          <w:rPr>
            <w:webHidden/>
            <w:lang w:val="sl-SI"/>
          </w:rPr>
          <w:fldChar w:fldCharType="separate"/>
        </w:r>
        <w:r w:rsidR="00EB3A12">
          <w:rPr>
            <w:noProof/>
            <w:webHidden/>
            <w:lang w:val="sl-SI"/>
          </w:rPr>
          <w:t>3</w:t>
        </w:r>
        <w:r w:rsidRPr="00D27759">
          <w:rPr>
            <w:webHidden/>
            <w:lang w:val="sl-SI"/>
          </w:rPr>
          <w:fldChar w:fldCharType="end"/>
        </w:r>
      </w:hyperlink>
    </w:p>
    <w:p w:rsidRPr="00D27759" w:rsidR="00AC7C4F" w:rsidP="008B7E4C" w:rsidRDefault="00AA6CE8" w14:paraId="413732F8" w14:textId="25F63BB3">
      <w:pPr>
        <w:pStyle w:val="TOC1"/>
        <w:tabs>
          <w:tab w:val="left" w:pos="567"/>
          <w:tab w:val="right" w:leader="dot" w:pos="9061"/>
        </w:tabs>
        <w:spacing w:after="0" w:line="360" w:lineRule="auto"/>
        <w:ind w:left="567" w:hanging="567"/>
        <w:jc w:val="both"/>
        <w:rPr>
          <w:lang w:val="sl-SI" w:eastAsia="en-GB"/>
        </w:rPr>
      </w:pPr>
      <w:hyperlink w:history="1" w:anchor="_Toc105440136">
        <w:r w:rsidRPr="00D27759" w:rsidR="00AC7C4F">
          <w:rPr>
            <w:rStyle w:val="Hyperlink"/>
            <w:lang w:val="sl-SI"/>
          </w:rPr>
          <w:t>2.</w:t>
        </w:r>
        <w:r w:rsidRPr="00D27759" w:rsidR="00AC7C4F">
          <w:rPr>
            <w:lang w:val="sl-SI" w:eastAsia="en-GB"/>
          </w:rPr>
          <w:tab/>
        </w:r>
        <w:r w:rsidRPr="00D27759" w:rsidR="00AC7C4F">
          <w:rPr>
            <w:rStyle w:val="Hyperlink"/>
            <w:b/>
            <w:lang w:val="sl-SI"/>
          </w:rPr>
          <w:t>ZAPOSLOVANJE, SOCIALNE ZADEVE IN DRŽAVLJANSTVO</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_Toc105440136 \h </w:instrText>
        </w:r>
        <w:r w:rsidRPr="00D27759" w:rsidR="00AC7C4F">
          <w:rPr>
            <w:webHidden/>
            <w:lang w:val="sl-SI"/>
          </w:rPr>
        </w:r>
        <w:r w:rsidRPr="00D27759" w:rsidR="00AC7C4F">
          <w:rPr>
            <w:webHidden/>
            <w:lang w:val="sl-SI"/>
          </w:rPr>
          <w:fldChar w:fldCharType="separate"/>
        </w:r>
        <w:r w:rsidR="00EB3A12">
          <w:rPr>
            <w:noProof/>
            <w:webHidden/>
            <w:lang w:val="sl-SI"/>
          </w:rPr>
          <w:t>5</w:t>
        </w:r>
        <w:r w:rsidRPr="00D27759" w:rsidR="00AC7C4F">
          <w:rPr>
            <w:webHidden/>
            <w:lang w:val="sl-SI"/>
          </w:rPr>
          <w:fldChar w:fldCharType="end"/>
        </w:r>
      </w:hyperlink>
    </w:p>
    <w:p w:rsidRPr="00D27759" w:rsidR="00AC7C4F" w:rsidP="008B7E4C" w:rsidRDefault="00AA6CE8" w14:paraId="7DAB1ECB" w14:textId="7850AD56">
      <w:pPr>
        <w:pStyle w:val="TOC1"/>
        <w:tabs>
          <w:tab w:val="left" w:pos="567"/>
          <w:tab w:val="right" w:leader="dot" w:pos="9061"/>
        </w:tabs>
        <w:spacing w:after="0" w:line="360" w:lineRule="auto"/>
        <w:ind w:left="567" w:hanging="567"/>
        <w:jc w:val="both"/>
        <w:rPr>
          <w:lang w:val="sl-SI" w:eastAsia="en-GB"/>
        </w:rPr>
      </w:pPr>
      <w:hyperlink w:history="1" w:anchor="_Toc105440137">
        <w:r w:rsidRPr="00D27759" w:rsidR="00AC7C4F">
          <w:rPr>
            <w:rStyle w:val="Hyperlink"/>
            <w:lang w:val="sl-SI"/>
          </w:rPr>
          <w:t>3.</w:t>
        </w:r>
        <w:r w:rsidRPr="00D27759" w:rsidR="00AC7C4F">
          <w:rPr>
            <w:lang w:val="sl-SI" w:eastAsia="en-GB"/>
          </w:rPr>
          <w:tab/>
        </w:r>
        <w:r w:rsidRPr="00D27759" w:rsidR="00AC7C4F">
          <w:rPr>
            <w:rStyle w:val="Hyperlink"/>
            <w:b/>
            <w:lang w:val="sl-SI"/>
          </w:rPr>
          <w:t>PROMET, ENERGIJA, INFRASTRUKTURA IN INFORMACIJSKA DRUŽBA</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_Toc105440137 \h </w:instrText>
        </w:r>
        <w:r w:rsidRPr="00D27759" w:rsidR="00AC7C4F">
          <w:rPr>
            <w:webHidden/>
            <w:lang w:val="sl-SI"/>
          </w:rPr>
        </w:r>
        <w:r w:rsidRPr="00D27759" w:rsidR="00AC7C4F">
          <w:rPr>
            <w:webHidden/>
            <w:lang w:val="sl-SI"/>
          </w:rPr>
          <w:fldChar w:fldCharType="separate"/>
        </w:r>
        <w:r w:rsidR="00EB3A12">
          <w:rPr>
            <w:noProof/>
            <w:webHidden/>
            <w:lang w:val="sl-SI"/>
          </w:rPr>
          <w:t>12</w:t>
        </w:r>
        <w:r w:rsidRPr="00D27759" w:rsidR="00AC7C4F">
          <w:rPr>
            <w:webHidden/>
            <w:lang w:val="sl-SI"/>
          </w:rPr>
          <w:fldChar w:fldCharType="end"/>
        </w:r>
      </w:hyperlink>
    </w:p>
    <w:p w:rsidRPr="00D27759" w:rsidR="00AC7C4F" w:rsidP="008B7E4C" w:rsidRDefault="00AA6CE8" w14:paraId="28C9559F" w14:textId="6342CA70">
      <w:pPr>
        <w:pStyle w:val="TOC1"/>
        <w:tabs>
          <w:tab w:val="left" w:pos="567"/>
          <w:tab w:val="right" w:leader="dot" w:pos="9061"/>
        </w:tabs>
        <w:spacing w:after="0" w:line="360" w:lineRule="auto"/>
        <w:ind w:left="567" w:hanging="567"/>
        <w:jc w:val="both"/>
        <w:rPr>
          <w:lang w:val="sl-SI" w:eastAsia="en-GB"/>
        </w:rPr>
      </w:pPr>
      <w:hyperlink w:history="1" w:anchor="_Toc105440138">
        <w:r w:rsidRPr="00D27759" w:rsidR="00AC7C4F">
          <w:rPr>
            <w:rStyle w:val="Hyperlink"/>
            <w:lang w:val="sl-SI"/>
          </w:rPr>
          <w:t>4.</w:t>
        </w:r>
        <w:r w:rsidRPr="00D27759" w:rsidR="00AC7C4F">
          <w:rPr>
            <w:lang w:val="sl-SI" w:eastAsia="en-GB"/>
          </w:rPr>
          <w:tab/>
        </w:r>
        <w:r w:rsidRPr="00D27759" w:rsidR="00AC7C4F">
          <w:rPr>
            <w:rStyle w:val="Hyperlink"/>
            <w:b/>
            <w:lang w:val="sl-SI"/>
          </w:rPr>
          <w:t>ENOTNI TRG, PROIZVODNJA IN POTROŠNJA</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_Toc105440138 \h </w:instrText>
        </w:r>
        <w:r w:rsidRPr="00D27759" w:rsidR="00AC7C4F">
          <w:rPr>
            <w:webHidden/>
            <w:lang w:val="sl-SI"/>
          </w:rPr>
        </w:r>
        <w:r w:rsidRPr="00D27759" w:rsidR="00AC7C4F">
          <w:rPr>
            <w:webHidden/>
            <w:lang w:val="sl-SI"/>
          </w:rPr>
          <w:fldChar w:fldCharType="separate"/>
        </w:r>
        <w:r w:rsidR="00EB3A12">
          <w:rPr>
            <w:noProof/>
            <w:webHidden/>
            <w:lang w:val="sl-SI"/>
          </w:rPr>
          <w:t>13</w:t>
        </w:r>
        <w:r w:rsidRPr="00D27759" w:rsidR="00AC7C4F">
          <w:rPr>
            <w:webHidden/>
            <w:lang w:val="sl-SI"/>
          </w:rPr>
          <w:fldChar w:fldCharType="end"/>
        </w:r>
      </w:hyperlink>
    </w:p>
    <w:p w:rsidRPr="00D27759" w:rsidR="00AC7C4F" w:rsidP="008B7E4C" w:rsidRDefault="00AA6CE8" w14:paraId="4EE6829D" w14:textId="526BFF38">
      <w:pPr>
        <w:pStyle w:val="TOC1"/>
        <w:tabs>
          <w:tab w:val="left" w:pos="567"/>
          <w:tab w:val="right" w:leader="dot" w:pos="9061"/>
        </w:tabs>
        <w:spacing w:after="0" w:line="360" w:lineRule="auto"/>
        <w:ind w:left="567" w:hanging="567"/>
        <w:jc w:val="both"/>
        <w:rPr>
          <w:lang w:val="sl-SI" w:eastAsia="en-GB"/>
        </w:rPr>
      </w:pPr>
      <w:hyperlink w:history="1" w:anchor="_Toc105440139">
        <w:r w:rsidRPr="00D27759" w:rsidR="00AC7C4F">
          <w:rPr>
            <w:rStyle w:val="Hyperlink"/>
            <w:lang w:val="sl-SI"/>
          </w:rPr>
          <w:t>5.</w:t>
        </w:r>
        <w:r w:rsidRPr="00D27759" w:rsidR="00AC7C4F">
          <w:rPr>
            <w:lang w:val="sl-SI" w:eastAsia="en-GB"/>
          </w:rPr>
          <w:tab/>
        </w:r>
        <w:r w:rsidRPr="00D27759" w:rsidR="00AC7C4F">
          <w:rPr>
            <w:rStyle w:val="Hyperlink"/>
            <w:b/>
            <w:lang w:val="sl-SI"/>
          </w:rPr>
          <w:t>KMETIJSTVO, RAZVOJ PODEŽELJA IN OKOLJE</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_Toc105440139 \h </w:instrText>
        </w:r>
        <w:r w:rsidRPr="00D27759" w:rsidR="00AC7C4F">
          <w:rPr>
            <w:webHidden/>
            <w:lang w:val="sl-SI"/>
          </w:rPr>
        </w:r>
        <w:r w:rsidRPr="00D27759" w:rsidR="00AC7C4F">
          <w:rPr>
            <w:webHidden/>
            <w:lang w:val="sl-SI"/>
          </w:rPr>
          <w:fldChar w:fldCharType="separate"/>
        </w:r>
        <w:r w:rsidR="00EB3A12">
          <w:rPr>
            <w:noProof/>
            <w:webHidden/>
            <w:lang w:val="sl-SI"/>
          </w:rPr>
          <w:t>14</w:t>
        </w:r>
        <w:r w:rsidRPr="00D27759" w:rsidR="00AC7C4F">
          <w:rPr>
            <w:webHidden/>
            <w:lang w:val="sl-SI"/>
          </w:rPr>
          <w:fldChar w:fldCharType="end"/>
        </w:r>
      </w:hyperlink>
    </w:p>
    <w:p w:rsidRPr="00D27759" w:rsidR="00AC7C4F" w:rsidP="008B7E4C" w:rsidRDefault="00AA6CE8" w14:paraId="7C2D904E" w14:textId="4D01EEC1">
      <w:pPr>
        <w:pStyle w:val="TOC1"/>
        <w:tabs>
          <w:tab w:val="left" w:pos="567"/>
          <w:tab w:val="right" w:leader="dot" w:pos="9061"/>
        </w:tabs>
        <w:spacing w:after="0" w:line="360" w:lineRule="auto"/>
        <w:ind w:left="567" w:hanging="567"/>
        <w:jc w:val="both"/>
        <w:rPr>
          <w:lang w:val="sl-SI" w:eastAsia="en-GB"/>
        </w:rPr>
      </w:pPr>
      <w:hyperlink w:history="1" w:anchor="_Toc105440140">
        <w:r w:rsidRPr="00D27759" w:rsidR="00AC7C4F">
          <w:rPr>
            <w:rStyle w:val="Hyperlink"/>
            <w:lang w:val="sl-SI"/>
          </w:rPr>
          <w:t>6.</w:t>
        </w:r>
        <w:r w:rsidRPr="00D27759" w:rsidR="00AC7C4F">
          <w:rPr>
            <w:lang w:val="sl-SI" w:eastAsia="en-GB"/>
          </w:rPr>
          <w:tab/>
        </w:r>
        <w:r w:rsidRPr="00D27759" w:rsidR="00AC7C4F">
          <w:rPr>
            <w:rStyle w:val="Hyperlink"/>
            <w:b/>
            <w:lang w:val="sl-SI"/>
          </w:rPr>
          <w:t>ZUNANJI ODNOSI</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_Toc105440140 \h </w:instrText>
        </w:r>
        <w:r w:rsidRPr="00D27759" w:rsidR="00AC7C4F">
          <w:rPr>
            <w:webHidden/>
            <w:lang w:val="sl-SI"/>
          </w:rPr>
        </w:r>
        <w:r w:rsidRPr="00D27759" w:rsidR="00AC7C4F">
          <w:rPr>
            <w:webHidden/>
            <w:lang w:val="sl-SI"/>
          </w:rPr>
          <w:fldChar w:fldCharType="separate"/>
        </w:r>
        <w:r w:rsidR="00EB3A12">
          <w:rPr>
            <w:noProof/>
            <w:webHidden/>
            <w:lang w:val="sl-SI"/>
          </w:rPr>
          <w:t>18</w:t>
        </w:r>
        <w:r w:rsidRPr="00D27759" w:rsidR="00AC7C4F">
          <w:rPr>
            <w:webHidden/>
            <w:lang w:val="sl-SI"/>
          </w:rPr>
          <w:fldChar w:fldCharType="end"/>
        </w:r>
      </w:hyperlink>
    </w:p>
    <w:p w:rsidRPr="00D27759" w:rsidR="00AC7C4F" w:rsidP="008B7E4C" w:rsidRDefault="00AA6CE8" w14:paraId="7B060747" w14:textId="2103FAC1">
      <w:pPr>
        <w:pStyle w:val="TOC1"/>
        <w:tabs>
          <w:tab w:val="left" w:pos="567"/>
          <w:tab w:val="right" w:leader="dot" w:pos="9061"/>
        </w:tabs>
        <w:spacing w:after="0" w:line="360" w:lineRule="auto"/>
        <w:ind w:left="567" w:hanging="567"/>
        <w:jc w:val="both"/>
        <w:rPr>
          <w:lang w:val="sl-SI" w:eastAsia="en-GB"/>
        </w:rPr>
      </w:pPr>
      <w:hyperlink w:history="1" w:anchor="_Toc105440141">
        <w:r w:rsidRPr="00D27759" w:rsidR="00AC7C4F">
          <w:rPr>
            <w:rStyle w:val="Hyperlink"/>
            <w:lang w:val="sl-SI"/>
          </w:rPr>
          <w:t>7.</w:t>
        </w:r>
        <w:r w:rsidRPr="00D27759" w:rsidR="00AC7C4F">
          <w:rPr>
            <w:lang w:val="sl-SI" w:eastAsia="en-GB"/>
          </w:rPr>
          <w:tab/>
        </w:r>
        <w:r w:rsidRPr="00D27759" w:rsidR="00AC7C4F">
          <w:rPr>
            <w:rStyle w:val="Hyperlink"/>
            <w:b/>
            <w:lang w:val="sl-SI"/>
          </w:rPr>
          <w:t>POSVETOVALNA KOMISIJA ZA SPREMEMBE V INDUSTRIJI</w:t>
        </w:r>
        <w:r w:rsidRPr="00D27759" w:rsidR="00AC7C4F">
          <w:rPr>
            <w:webHidden/>
            <w:lang w:val="sl-SI"/>
          </w:rPr>
          <w:tab/>
        </w:r>
        <w:r w:rsidRPr="00D27759" w:rsidR="00AC7C4F">
          <w:rPr>
            <w:webHidden/>
            <w:lang w:val="sl-SI"/>
          </w:rPr>
          <w:fldChar w:fldCharType="begin"/>
        </w:r>
        <w:r w:rsidRPr="00D27759" w:rsidR="00AC7C4F">
          <w:rPr>
            <w:webHidden/>
            <w:lang w:val="sl-SI"/>
          </w:rPr>
          <w:instrText xml:space="preserve"> PAGEREF _Toc105440141 \h </w:instrText>
        </w:r>
        <w:r w:rsidRPr="00D27759" w:rsidR="00AC7C4F">
          <w:rPr>
            <w:webHidden/>
            <w:lang w:val="sl-SI"/>
          </w:rPr>
        </w:r>
        <w:r w:rsidRPr="00D27759" w:rsidR="00AC7C4F">
          <w:rPr>
            <w:webHidden/>
            <w:lang w:val="sl-SI"/>
          </w:rPr>
          <w:fldChar w:fldCharType="separate"/>
        </w:r>
        <w:r w:rsidR="00EB3A12">
          <w:rPr>
            <w:noProof/>
            <w:webHidden/>
            <w:lang w:val="sl-SI"/>
          </w:rPr>
          <w:t>22</w:t>
        </w:r>
        <w:r w:rsidRPr="00D27759" w:rsidR="00AC7C4F">
          <w:rPr>
            <w:webHidden/>
            <w:lang w:val="sl-SI"/>
          </w:rPr>
          <w:fldChar w:fldCharType="end"/>
        </w:r>
      </w:hyperlink>
    </w:p>
    <w:p w:rsidRPr="00D27759" w:rsidR="00437105" w:rsidP="00AC1FA9" w:rsidRDefault="00AC7C4F" w14:paraId="3152343E" w14:textId="77777777">
      <w:pPr>
        <w:rPr>
          <w:szCs w:val="22"/>
          <w:lang w:val="sl-SI"/>
        </w:rPr>
      </w:pPr>
      <w:r w:rsidRPr="00D27759">
        <w:rPr>
          <w:szCs w:val="22"/>
          <w:lang w:val="sl-SI"/>
        </w:rPr>
        <w:fldChar w:fldCharType="end"/>
      </w:r>
    </w:p>
    <w:p w:rsidRPr="00D27759" w:rsidR="00437105" w:rsidP="00AC1FA9" w:rsidRDefault="00437105" w14:paraId="39AAF555" w14:textId="77777777">
      <w:pPr>
        <w:pStyle w:val="Heading1"/>
        <w:pageBreakBefore/>
        <w:overflowPunct/>
        <w:autoSpaceDE/>
        <w:autoSpaceDN/>
        <w:adjustRightInd/>
        <w:ind w:left="567" w:hanging="567"/>
        <w:textAlignment w:val="auto"/>
        <w:rPr>
          <w:lang w:val="sl-SI"/>
        </w:rPr>
      </w:pPr>
      <w:bookmarkStart w:name="_Toc76390233" w:id="0"/>
      <w:bookmarkStart w:name="_Toc103071391" w:id="1"/>
      <w:bookmarkStart w:name="_Toc105440135" w:id="2"/>
      <w:r w:rsidRPr="00D27759">
        <w:rPr>
          <w:b/>
          <w:lang w:val="sl-SI"/>
        </w:rPr>
        <w:lastRenderedPageBreak/>
        <w:t>EKONOMSKA IN MONETARNA UNIJA TER EKONOMSKA IN SOCIALNA KOHEZIJA</w:t>
      </w:r>
      <w:bookmarkEnd w:id="0"/>
      <w:bookmarkEnd w:id="1"/>
      <w:bookmarkEnd w:id="2"/>
    </w:p>
    <w:p w:rsidRPr="00D27759" w:rsidR="00437105" w:rsidP="00AC1FA9" w:rsidRDefault="00437105" w14:paraId="6E928A4E" w14:textId="5ED0B94B">
      <w:pPr>
        <w:rPr>
          <w:lang w:val="sl-SI"/>
        </w:rPr>
      </w:pPr>
    </w:p>
    <w:p w:rsidRPr="00D27759" w:rsidR="00BB1A0B" w:rsidP="00AC1FA9" w:rsidRDefault="00AA6CE8" w14:paraId="06D0B6AB" w14:textId="2934DDF8">
      <w:pPr>
        <w:numPr>
          <w:ilvl w:val="0"/>
          <w:numId w:val="7"/>
        </w:numPr>
        <w:tabs>
          <w:tab w:val="clear" w:pos="0"/>
        </w:tabs>
        <w:ind w:left="567" w:hanging="567"/>
        <w:rPr>
          <w:sz w:val="28"/>
          <w:szCs w:val="22"/>
          <w:lang w:val="sl-SI"/>
        </w:rPr>
      </w:pPr>
      <w:hyperlink w:history="1" r:id="rId12">
        <w:r w:rsidRPr="00D27759" w:rsidR="008C2252">
          <w:rPr>
            <w:rStyle w:val="Hyperlink"/>
            <w:b/>
            <w:bCs/>
            <w:i/>
            <w:iCs/>
            <w:sz w:val="28"/>
            <w:szCs w:val="24"/>
            <w:lang w:val="sl-SI"/>
          </w:rPr>
          <w:t>Naknadna ocena Evropskega sklada za regionalni razvoj in Kohezijskega sklada za obdobje 2014–2020</w:t>
        </w:r>
      </w:hyperlink>
    </w:p>
    <w:p w:rsidRPr="00D27759" w:rsidR="00BB1A0B" w:rsidP="00AC1FA9" w:rsidRDefault="00BB1A0B" w14:paraId="0FFC79FE"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BB1A0B" w:rsidTr="00F50D00" w14:paraId="1D59124D" w14:textId="77777777">
        <w:tc>
          <w:tcPr>
            <w:tcW w:w="974" w:type="pct"/>
          </w:tcPr>
          <w:p w:rsidRPr="00D27759" w:rsidR="00BB1A0B" w:rsidP="00AC1FA9" w:rsidRDefault="00BB1A0B" w14:paraId="63E0BDC4" w14:textId="1BC099E0">
            <w:pPr>
              <w:rPr>
                <w:b/>
                <w:szCs w:val="22"/>
                <w:lang w:val="sl-SI"/>
              </w:rPr>
            </w:pPr>
            <w:r w:rsidRPr="00D27759">
              <w:rPr>
                <w:b/>
                <w:szCs w:val="22"/>
                <w:lang w:val="sl-SI"/>
              </w:rPr>
              <w:t>Poročeval</w:t>
            </w:r>
            <w:r w:rsidRPr="00D27759" w:rsidR="008C2252">
              <w:rPr>
                <w:b/>
                <w:szCs w:val="22"/>
                <w:lang w:val="sl-SI"/>
              </w:rPr>
              <w:t>ka</w:t>
            </w:r>
          </w:p>
        </w:tc>
        <w:tc>
          <w:tcPr>
            <w:tcW w:w="4026" w:type="pct"/>
          </w:tcPr>
          <w:p w:rsidRPr="00D27759" w:rsidR="00BB1A0B" w:rsidP="00AC1FA9" w:rsidRDefault="008C2252" w14:paraId="3FDD06C2" w14:textId="312E14FC">
            <w:pPr>
              <w:rPr>
                <w:szCs w:val="22"/>
                <w:lang w:val="sl-SI"/>
              </w:rPr>
            </w:pPr>
            <w:r w:rsidRPr="00D27759">
              <w:rPr>
                <w:szCs w:val="22"/>
                <w:lang w:val="sl-SI"/>
              </w:rPr>
              <w:t>María del Carmen BARRERA CHAMORRO (skupina delojemalcev – ES)</w:t>
            </w:r>
          </w:p>
        </w:tc>
      </w:tr>
      <w:tr w:rsidRPr="00D27759" w:rsidR="00BB1A0B" w:rsidTr="00F50D00" w14:paraId="0609AACA" w14:textId="77777777">
        <w:tc>
          <w:tcPr>
            <w:tcW w:w="5000" w:type="pct"/>
            <w:gridSpan w:val="2"/>
          </w:tcPr>
          <w:p w:rsidRPr="00D27759" w:rsidR="00BB1A0B" w:rsidP="00AC1FA9" w:rsidRDefault="00BB1A0B" w14:paraId="35151D16" w14:textId="77777777">
            <w:pPr>
              <w:rPr>
                <w:sz w:val="16"/>
                <w:szCs w:val="22"/>
                <w:lang w:val="sl-SI"/>
              </w:rPr>
            </w:pPr>
          </w:p>
        </w:tc>
      </w:tr>
      <w:tr w:rsidRPr="00D27759" w:rsidR="00BB1A0B" w:rsidTr="00F50D00" w14:paraId="686A22CF" w14:textId="77777777">
        <w:tc>
          <w:tcPr>
            <w:tcW w:w="974" w:type="pct"/>
            <w:vMerge w:val="restart"/>
          </w:tcPr>
          <w:p w:rsidRPr="00D27759" w:rsidR="00BB1A0B" w:rsidP="00AC1FA9" w:rsidRDefault="00BB1A0B" w14:paraId="3BE9BA09" w14:textId="77777777">
            <w:pPr>
              <w:rPr>
                <w:b/>
                <w:szCs w:val="22"/>
                <w:lang w:val="sl-SI"/>
              </w:rPr>
            </w:pPr>
            <w:r w:rsidRPr="00D27759">
              <w:rPr>
                <w:b/>
                <w:szCs w:val="22"/>
                <w:lang w:val="sl-SI"/>
              </w:rPr>
              <w:t xml:space="preserve">Referenčni </w:t>
            </w:r>
            <w:r w:rsidRPr="00D27759" w:rsidR="0011267C">
              <w:rPr>
                <w:b/>
                <w:szCs w:val="22"/>
                <w:lang w:val="sl-SI"/>
              </w:rPr>
              <w:t>dok</w:t>
            </w:r>
            <w:r w:rsidRPr="00D27759">
              <w:rPr>
                <w:b/>
                <w:szCs w:val="22"/>
                <w:lang w:val="sl-SI"/>
              </w:rPr>
              <w:t>ument</w:t>
            </w:r>
          </w:p>
        </w:tc>
        <w:tc>
          <w:tcPr>
            <w:tcW w:w="4026" w:type="pct"/>
          </w:tcPr>
          <w:p w:rsidRPr="00D27759" w:rsidR="00BB1A0B" w:rsidP="008C2252" w:rsidRDefault="008C2252" w14:paraId="1092BD05" w14:textId="0ADEA2B0">
            <w:pPr>
              <w:rPr>
                <w:szCs w:val="22"/>
                <w:lang w:val="sl-SI"/>
              </w:rPr>
            </w:pPr>
            <w:r w:rsidRPr="00D27759">
              <w:rPr>
                <w:szCs w:val="22"/>
                <w:lang w:val="sl-SI"/>
              </w:rPr>
              <w:t>poročilo o oceni</w:t>
            </w:r>
            <w:r w:rsidRPr="00D27759" w:rsidR="00490402">
              <w:rPr>
                <w:szCs w:val="22"/>
                <w:lang w:val="sl-SI"/>
              </w:rPr>
              <w:t xml:space="preserve"> na zaprosilo Evropske komisije</w:t>
            </w:r>
          </w:p>
        </w:tc>
      </w:tr>
      <w:tr w:rsidRPr="00D27759" w:rsidR="00BB1A0B" w:rsidTr="00F50D00" w14:paraId="3B1AA2B5" w14:textId="77777777">
        <w:tc>
          <w:tcPr>
            <w:tcW w:w="974" w:type="pct"/>
            <w:vMerge/>
          </w:tcPr>
          <w:p w:rsidRPr="00D27759" w:rsidR="00BB1A0B" w:rsidP="00AC1FA9" w:rsidRDefault="00BB1A0B" w14:paraId="4AC64FAB" w14:textId="77777777">
            <w:pPr>
              <w:tabs>
                <w:tab w:val="center" w:pos="284"/>
              </w:tabs>
              <w:ind w:left="266" w:hanging="266"/>
              <w:rPr>
                <w:b/>
                <w:szCs w:val="22"/>
                <w:lang w:val="sl-SI"/>
              </w:rPr>
            </w:pPr>
          </w:p>
        </w:tc>
        <w:tc>
          <w:tcPr>
            <w:tcW w:w="4026" w:type="pct"/>
          </w:tcPr>
          <w:p w:rsidRPr="00D27759" w:rsidR="00BB1A0B" w:rsidP="00AC1FA9" w:rsidRDefault="008C2252" w14:paraId="34EB1F40" w14:textId="6178EA26">
            <w:pPr>
              <w:rPr>
                <w:szCs w:val="22"/>
                <w:lang w:val="sl-SI"/>
              </w:rPr>
            </w:pPr>
            <w:r w:rsidRPr="00D27759">
              <w:rPr>
                <w:szCs w:val="22"/>
                <w:lang w:val="sl-SI"/>
              </w:rPr>
              <w:t>EESC-2024-03238-00-00-RE</w:t>
            </w:r>
          </w:p>
        </w:tc>
      </w:tr>
    </w:tbl>
    <w:p w:rsidRPr="00D27759" w:rsidR="00BB1A0B" w:rsidP="00AC1FA9" w:rsidRDefault="00BB1A0B" w14:paraId="07E0C609" w14:textId="77777777">
      <w:pPr>
        <w:rPr>
          <w:szCs w:val="22"/>
          <w:lang w:val="sl-SI"/>
        </w:rPr>
      </w:pPr>
    </w:p>
    <w:p w:rsidRPr="00D27759" w:rsidR="00BB1A0B" w:rsidP="00AC1FA9" w:rsidRDefault="00BB1A0B" w14:paraId="5519F74C" w14:textId="77777777">
      <w:pPr>
        <w:rPr>
          <w:lang w:val="sl-SI"/>
        </w:rPr>
      </w:pPr>
      <w:r w:rsidRPr="00D27759">
        <w:rPr>
          <w:b/>
          <w:lang w:val="sl-SI"/>
        </w:rPr>
        <w:t>Glavne točke</w:t>
      </w:r>
    </w:p>
    <w:p w:rsidRPr="00D27759" w:rsidR="00BB1A0B" w:rsidP="00AC1FA9" w:rsidRDefault="00BB1A0B" w14:paraId="60310902" w14:textId="77777777">
      <w:pPr>
        <w:rPr>
          <w:szCs w:val="22"/>
          <w:lang w:val="sl-SI"/>
        </w:rPr>
      </w:pPr>
    </w:p>
    <w:p w:rsidRPr="00D27759" w:rsidR="00BB1A0B" w:rsidP="00AC1FA9" w:rsidRDefault="00BB1A0B" w14:paraId="543368DE" w14:textId="77777777">
      <w:pPr>
        <w:rPr>
          <w:bCs/>
          <w:iCs/>
          <w:szCs w:val="22"/>
          <w:lang w:val="sl-SI"/>
        </w:rPr>
      </w:pPr>
      <w:r w:rsidRPr="00D27759">
        <w:rPr>
          <w:bCs/>
          <w:iCs/>
          <w:szCs w:val="22"/>
          <w:lang w:val="sl-SI"/>
        </w:rPr>
        <w:t>EESO:</w:t>
      </w:r>
    </w:p>
    <w:p w:rsidRPr="00D27759" w:rsidR="00BB1A0B" w:rsidP="00AC1FA9" w:rsidRDefault="00BB1A0B" w14:paraId="534AF001" w14:textId="77777777">
      <w:pPr>
        <w:rPr>
          <w:szCs w:val="22"/>
          <w:lang w:val="sl-SI"/>
        </w:rPr>
      </w:pPr>
    </w:p>
    <w:p w:rsidRPr="00D27759" w:rsidR="00C76262" w:rsidP="00C76262" w:rsidRDefault="00C76262" w14:paraId="7C0900C8" w14:textId="6680637C">
      <w:pPr>
        <w:widowControl w:val="0"/>
        <w:numPr>
          <w:ilvl w:val="0"/>
          <w:numId w:val="9"/>
        </w:numPr>
        <w:tabs>
          <w:tab w:val="clear" w:pos="0"/>
        </w:tabs>
        <w:ind w:left="567" w:hanging="567"/>
        <w:rPr>
          <w:szCs w:val="22"/>
          <w:lang w:val="sl-SI"/>
        </w:rPr>
      </w:pPr>
      <w:r w:rsidRPr="00D27759">
        <w:rPr>
          <w:szCs w:val="22"/>
          <w:lang w:val="sl-SI"/>
        </w:rPr>
        <w:t>meni, da bi se morala Evropski sklad za regionalni razvoj (ESRR) in Kohezijski sklad osredotočiti tudi na povečanje dostopa do preusposabljanja in izpopolnjevanja ter na razvoj priložnosti za gospodarsko rast za vse državljane EU;</w:t>
      </w:r>
    </w:p>
    <w:p w:rsidRPr="00D27759" w:rsidR="00C76262" w:rsidP="00C76262" w:rsidRDefault="00C76262" w14:paraId="006FF02C" w14:textId="7F5CCF68">
      <w:pPr>
        <w:widowControl w:val="0"/>
        <w:numPr>
          <w:ilvl w:val="0"/>
          <w:numId w:val="9"/>
        </w:numPr>
        <w:tabs>
          <w:tab w:val="clear" w:pos="0"/>
        </w:tabs>
        <w:ind w:left="567" w:hanging="567"/>
        <w:rPr>
          <w:szCs w:val="22"/>
          <w:lang w:val="sl-SI"/>
        </w:rPr>
      </w:pPr>
      <w:r w:rsidRPr="00D27759">
        <w:rPr>
          <w:szCs w:val="22"/>
          <w:lang w:val="sl-SI"/>
        </w:rPr>
        <w:t>poudarja, da je socialni dialog lahko pri tem koristno orodje;</w:t>
      </w:r>
    </w:p>
    <w:p w:rsidRPr="00D27759" w:rsidR="00C76262" w:rsidP="00C76262" w:rsidRDefault="00C76262" w14:paraId="615D70AB" w14:textId="21D074F8">
      <w:pPr>
        <w:widowControl w:val="0"/>
        <w:numPr>
          <w:ilvl w:val="0"/>
          <w:numId w:val="9"/>
        </w:numPr>
        <w:tabs>
          <w:tab w:val="clear" w:pos="0"/>
        </w:tabs>
        <w:ind w:left="567" w:hanging="567"/>
        <w:rPr>
          <w:szCs w:val="22"/>
          <w:lang w:val="sl-SI"/>
        </w:rPr>
      </w:pPr>
      <w:r w:rsidRPr="00D27759">
        <w:rPr>
          <w:szCs w:val="22"/>
          <w:lang w:val="sl-SI"/>
        </w:rPr>
        <w:t>meni, da bi se ESRR in Kohezijski sklad morala bolj osredotočiti na ranljive skupine prebivalstva, saj doseženi rezultati še vedno niso zadovoljivi;</w:t>
      </w:r>
    </w:p>
    <w:p w:rsidRPr="00D27759" w:rsidR="00C76262" w:rsidP="00C76262" w:rsidRDefault="00C76262" w14:paraId="58B84229" w14:textId="71DCD61A">
      <w:pPr>
        <w:widowControl w:val="0"/>
        <w:numPr>
          <w:ilvl w:val="0"/>
          <w:numId w:val="9"/>
        </w:numPr>
        <w:tabs>
          <w:tab w:val="clear" w:pos="0"/>
        </w:tabs>
        <w:ind w:left="567" w:hanging="567"/>
        <w:rPr>
          <w:szCs w:val="22"/>
          <w:lang w:val="sl-SI"/>
        </w:rPr>
      </w:pPr>
      <w:r w:rsidRPr="00D27759">
        <w:rPr>
          <w:szCs w:val="22"/>
          <w:lang w:val="sl-SI"/>
        </w:rPr>
        <w:t>meni, da bi bilo treba posebno pozornost nameniti tudi zagotavljanju uravnoteženega teritorialnega razvoja vseh regij;</w:t>
      </w:r>
    </w:p>
    <w:p w:rsidRPr="00D27759" w:rsidR="00C76262" w:rsidP="00C76262" w:rsidRDefault="00C76262" w14:paraId="2FCF15BB" w14:textId="0EF70881">
      <w:pPr>
        <w:widowControl w:val="0"/>
        <w:numPr>
          <w:ilvl w:val="0"/>
          <w:numId w:val="9"/>
        </w:numPr>
        <w:tabs>
          <w:tab w:val="clear" w:pos="0"/>
        </w:tabs>
        <w:ind w:left="567" w:hanging="567"/>
        <w:rPr>
          <w:szCs w:val="22"/>
          <w:lang w:val="sl-SI"/>
        </w:rPr>
      </w:pPr>
      <w:r w:rsidRPr="00D27759">
        <w:rPr>
          <w:szCs w:val="22"/>
          <w:lang w:val="sl-SI"/>
        </w:rPr>
        <w:t>meni, da so temeljna načela kohezije (načelo partnerstva, deljeno upravljanje in upravljanje na več ravneh) še vedno ustrezna in bi jih bilo treba ohraniti kot vodilna načela;</w:t>
      </w:r>
    </w:p>
    <w:p w:rsidRPr="00D27759" w:rsidR="00C76262" w:rsidP="00C76262" w:rsidRDefault="00C76262" w14:paraId="368183EC" w14:textId="608C138D">
      <w:pPr>
        <w:widowControl w:val="0"/>
        <w:numPr>
          <w:ilvl w:val="0"/>
          <w:numId w:val="9"/>
        </w:numPr>
        <w:tabs>
          <w:tab w:val="clear" w:pos="0"/>
        </w:tabs>
        <w:ind w:left="567" w:hanging="567"/>
        <w:rPr>
          <w:szCs w:val="22"/>
          <w:lang w:val="sl-SI"/>
        </w:rPr>
      </w:pPr>
      <w:r w:rsidRPr="00D27759">
        <w:rPr>
          <w:szCs w:val="22"/>
          <w:lang w:val="sl-SI"/>
        </w:rPr>
        <w:t>priznava, da izboljšanje posvetovanja s civilno družbo pomeni tudi zagotavljanje, da se njene povratne informacije smiselno vključijo v načrtovanje programov EU;</w:t>
      </w:r>
    </w:p>
    <w:p w:rsidRPr="00D27759" w:rsidR="00C76262" w:rsidP="00C76262" w:rsidRDefault="00C76262" w14:paraId="21AEB82C" w14:textId="710D6AA3">
      <w:pPr>
        <w:widowControl w:val="0"/>
        <w:numPr>
          <w:ilvl w:val="0"/>
          <w:numId w:val="9"/>
        </w:numPr>
        <w:tabs>
          <w:tab w:val="clear" w:pos="0"/>
        </w:tabs>
        <w:ind w:left="567" w:hanging="567"/>
        <w:rPr>
          <w:szCs w:val="22"/>
          <w:lang w:val="sl-SI"/>
        </w:rPr>
      </w:pPr>
      <w:r w:rsidRPr="00D27759">
        <w:rPr>
          <w:szCs w:val="22"/>
          <w:lang w:val="sl-SI"/>
        </w:rPr>
        <w:t>poziva, naj se ustrezno oceni gospodarski in socialni učinek naložb evropskih skladov;</w:t>
      </w:r>
    </w:p>
    <w:p w:rsidRPr="00D27759" w:rsidR="00C76262" w:rsidP="00C76262" w:rsidRDefault="00C76262" w14:paraId="46DC35BE" w14:textId="736454B4">
      <w:pPr>
        <w:widowControl w:val="0"/>
        <w:numPr>
          <w:ilvl w:val="0"/>
          <w:numId w:val="9"/>
        </w:numPr>
        <w:tabs>
          <w:tab w:val="clear" w:pos="0"/>
        </w:tabs>
        <w:ind w:left="567" w:hanging="567"/>
        <w:rPr>
          <w:szCs w:val="22"/>
          <w:lang w:val="sl-SI"/>
        </w:rPr>
      </w:pPr>
      <w:r w:rsidRPr="00D27759">
        <w:rPr>
          <w:szCs w:val="22"/>
          <w:lang w:val="sl-SI"/>
        </w:rPr>
        <w:t>opozarja, da je treba povečati upravno zmogljivost, da bodo lahko akterji civilne družbe imeli dejavnejšo vlogo;</w:t>
      </w:r>
    </w:p>
    <w:p w:rsidRPr="00D27759" w:rsidR="00C76262" w:rsidP="00C76262" w:rsidRDefault="00C76262" w14:paraId="090697FD" w14:textId="176BE9B2">
      <w:pPr>
        <w:widowControl w:val="0"/>
        <w:numPr>
          <w:ilvl w:val="0"/>
          <w:numId w:val="9"/>
        </w:numPr>
        <w:tabs>
          <w:tab w:val="clear" w:pos="0"/>
        </w:tabs>
        <w:ind w:left="567" w:hanging="567"/>
        <w:rPr>
          <w:szCs w:val="22"/>
          <w:lang w:val="sl-SI"/>
        </w:rPr>
      </w:pPr>
      <w:r w:rsidRPr="00D27759">
        <w:rPr>
          <w:szCs w:val="22"/>
          <w:lang w:val="sl-SI"/>
        </w:rPr>
        <w:t>priporoča osredotočenost na dolgoročno gospodarsko vzdržnost. To bi pomenilo vključevanje socialnih in okoljskih dejavnikov ter dejavnikov dostopnosti v načrtovanje infrastrukture;</w:t>
      </w:r>
    </w:p>
    <w:p w:rsidRPr="00D27759" w:rsidR="00C76262" w:rsidP="00C76262" w:rsidRDefault="00C76262" w14:paraId="5D016FD8" w14:textId="16AE7DB3">
      <w:pPr>
        <w:widowControl w:val="0"/>
        <w:numPr>
          <w:ilvl w:val="0"/>
          <w:numId w:val="9"/>
        </w:numPr>
        <w:tabs>
          <w:tab w:val="clear" w:pos="0"/>
        </w:tabs>
        <w:ind w:left="567" w:hanging="567"/>
        <w:rPr>
          <w:szCs w:val="22"/>
          <w:lang w:val="sl-SI"/>
        </w:rPr>
      </w:pPr>
      <w:r w:rsidRPr="00D27759">
        <w:rPr>
          <w:szCs w:val="22"/>
          <w:lang w:val="sl-SI"/>
        </w:rPr>
        <w:t>meni, da je potrebnih več programov za mala in srednja podjetja ter samozaposlene. Ti skupini sta hrbtenica gospodarstev večine držav članic EU;</w:t>
      </w:r>
    </w:p>
    <w:p w:rsidRPr="00D27759" w:rsidR="00C76262" w:rsidP="00C76262" w:rsidRDefault="00C76262" w14:paraId="1B2C8E62" w14:textId="1380891C">
      <w:pPr>
        <w:widowControl w:val="0"/>
        <w:numPr>
          <w:ilvl w:val="0"/>
          <w:numId w:val="9"/>
        </w:numPr>
        <w:tabs>
          <w:tab w:val="clear" w:pos="0"/>
        </w:tabs>
        <w:ind w:left="567" w:hanging="567"/>
        <w:rPr>
          <w:szCs w:val="22"/>
          <w:lang w:val="sl-SI"/>
        </w:rPr>
      </w:pPr>
      <w:r w:rsidRPr="00D27759">
        <w:rPr>
          <w:szCs w:val="22"/>
          <w:lang w:val="sl-SI"/>
        </w:rPr>
        <w:t>meni, da je posvetovanje s civilno družbo pomembno in nujno za celoten proces kohezijske politike in z njo povezane sklade, zlasti glede na prihodnji predlog novega večletnega finančnega okvira, ki se pričakuje v tretjem četrtletju leta 2025;</w:t>
      </w:r>
    </w:p>
    <w:p w:rsidRPr="00D27759" w:rsidR="00C76262" w:rsidP="00C76262" w:rsidRDefault="00C76262" w14:paraId="175F0212" w14:textId="63A45A4B">
      <w:pPr>
        <w:widowControl w:val="0"/>
        <w:numPr>
          <w:ilvl w:val="0"/>
          <w:numId w:val="9"/>
        </w:numPr>
        <w:tabs>
          <w:tab w:val="clear" w:pos="0"/>
        </w:tabs>
        <w:ind w:left="567" w:hanging="567"/>
        <w:rPr>
          <w:szCs w:val="22"/>
          <w:lang w:val="sl-SI"/>
        </w:rPr>
      </w:pPr>
      <w:r w:rsidRPr="00D27759">
        <w:rPr>
          <w:szCs w:val="22"/>
          <w:lang w:val="sl-SI"/>
        </w:rPr>
        <w:t>poudarja, da je socialna vključenost pomembna in jo je treba še okrepiti;</w:t>
      </w:r>
    </w:p>
    <w:p w:rsidRPr="00D27759" w:rsidR="00C76262" w:rsidP="00C76262" w:rsidRDefault="00C76262" w14:paraId="32DF366B" w14:textId="03AF643A">
      <w:pPr>
        <w:widowControl w:val="0"/>
        <w:numPr>
          <w:ilvl w:val="0"/>
          <w:numId w:val="9"/>
        </w:numPr>
        <w:tabs>
          <w:tab w:val="clear" w:pos="0"/>
        </w:tabs>
        <w:ind w:left="567" w:hanging="567"/>
        <w:rPr>
          <w:szCs w:val="22"/>
          <w:lang w:val="sl-SI"/>
        </w:rPr>
      </w:pPr>
      <w:r w:rsidRPr="00D27759">
        <w:rPr>
          <w:szCs w:val="22"/>
          <w:lang w:val="sl-SI"/>
        </w:rPr>
        <w:t>priporoča, da se upravičenci učinkoviteje vključijo v načrtovanje ESRR in Kohezijskega sklada, saj dobro poznajo aktualne izzive in vedo, katere prednostne naloge bi bilo treba določiti. Take programe je težko oblikovati brez dejavnega sodelovanja vseh deležnikov;</w:t>
      </w:r>
    </w:p>
    <w:p w:rsidRPr="00D27759" w:rsidR="00C76262" w:rsidP="00C76262" w:rsidRDefault="00C76262" w14:paraId="38378475" w14:textId="301A3529">
      <w:pPr>
        <w:widowControl w:val="0"/>
        <w:numPr>
          <w:ilvl w:val="0"/>
          <w:numId w:val="9"/>
        </w:numPr>
        <w:tabs>
          <w:tab w:val="clear" w:pos="0"/>
        </w:tabs>
        <w:ind w:left="567" w:hanging="567"/>
        <w:rPr>
          <w:szCs w:val="22"/>
          <w:lang w:val="sl-SI"/>
        </w:rPr>
      </w:pPr>
      <w:r w:rsidRPr="00D27759">
        <w:rPr>
          <w:szCs w:val="22"/>
          <w:lang w:val="sl-SI"/>
        </w:rPr>
        <w:t>meni, da je za učinkovito izvajanje ključen občutek odgovornosti za programe, prav tako pa je ključno nevladnim organizacijam zagotoviti zadostne vire za spremljanje in nadzor uporabe sredstev EU;</w:t>
      </w:r>
    </w:p>
    <w:p w:rsidRPr="00D27759" w:rsidR="00C76262" w:rsidP="00490402" w:rsidRDefault="00C76262" w14:paraId="44E15153" w14:textId="16B82BA3">
      <w:pPr>
        <w:keepNext/>
        <w:keepLines/>
        <w:widowControl w:val="0"/>
        <w:numPr>
          <w:ilvl w:val="0"/>
          <w:numId w:val="9"/>
        </w:numPr>
        <w:tabs>
          <w:tab w:val="clear" w:pos="0"/>
        </w:tabs>
        <w:ind w:left="567" w:hanging="567"/>
        <w:rPr>
          <w:szCs w:val="22"/>
          <w:lang w:val="sl-SI"/>
        </w:rPr>
      </w:pPr>
      <w:r w:rsidRPr="00D27759">
        <w:rPr>
          <w:szCs w:val="22"/>
          <w:lang w:val="sl-SI"/>
        </w:rPr>
        <w:lastRenderedPageBreak/>
        <w:t>meni, da je</w:t>
      </w:r>
      <w:r w:rsidRPr="00D27759">
        <w:rPr>
          <w:lang w:val="sl-SI"/>
        </w:rPr>
        <w:t xml:space="preserve"> poenostavitev postopkov oddaje vloge in izvajanja bistvenega pomena za </w:t>
      </w:r>
      <w:r w:rsidRPr="00D27759">
        <w:rPr>
          <w:szCs w:val="22"/>
          <w:lang w:val="sl-SI"/>
        </w:rPr>
        <w:t>olajšanje udeležbe in sodelovanja;</w:t>
      </w:r>
    </w:p>
    <w:p w:rsidRPr="00D27759" w:rsidR="00C76262" w:rsidP="00C76262" w:rsidRDefault="00C76262" w14:paraId="12F9A84F" w14:textId="229529BD">
      <w:pPr>
        <w:widowControl w:val="0"/>
        <w:numPr>
          <w:ilvl w:val="0"/>
          <w:numId w:val="9"/>
        </w:numPr>
        <w:tabs>
          <w:tab w:val="clear" w:pos="0"/>
        </w:tabs>
        <w:ind w:left="567" w:hanging="567"/>
        <w:rPr>
          <w:szCs w:val="22"/>
          <w:lang w:val="sl-SI"/>
        </w:rPr>
      </w:pPr>
      <w:r w:rsidRPr="00D27759">
        <w:rPr>
          <w:szCs w:val="22"/>
          <w:lang w:val="sl-SI"/>
        </w:rPr>
        <w:t>meni, da bi bilo treba spodbujati dopolnjevanje skladov EU, saj bi se s tem izboljšali učinkovitost in uspešnost;</w:t>
      </w:r>
    </w:p>
    <w:p w:rsidRPr="00D27759" w:rsidR="00C76262" w:rsidP="00C76262" w:rsidRDefault="00C76262" w14:paraId="0EBA994C" w14:textId="3A9D5EB5">
      <w:pPr>
        <w:widowControl w:val="0"/>
        <w:numPr>
          <w:ilvl w:val="0"/>
          <w:numId w:val="9"/>
        </w:numPr>
        <w:tabs>
          <w:tab w:val="clear" w:pos="0"/>
        </w:tabs>
        <w:ind w:left="567" w:hanging="567"/>
        <w:rPr>
          <w:szCs w:val="22"/>
          <w:lang w:val="sl-SI"/>
        </w:rPr>
      </w:pPr>
      <w:r w:rsidRPr="00D27759">
        <w:rPr>
          <w:szCs w:val="22"/>
          <w:lang w:val="sl-SI"/>
        </w:rPr>
        <w:t>priporoča, da se načini sodelovanja razširijo na vse vrste in nove oblike, da bi bili vanj zajeti vsi in vključene vse faze ter da ne bi bilo omejeno na nekatere primere;</w:t>
      </w:r>
    </w:p>
    <w:p w:rsidRPr="00D27759" w:rsidR="00C76262" w:rsidP="00C76262" w:rsidRDefault="00C76262" w14:paraId="2797ADBC" w14:textId="6B915246">
      <w:pPr>
        <w:widowControl w:val="0"/>
        <w:numPr>
          <w:ilvl w:val="0"/>
          <w:numId w:val="9"/>
        </w:numPr>
        <w:tabs>
          <w:tab w:val="clear" w:pos="0"/>
        </w:tabs>
        <w:ind w:left="567" w:hanging="567"/>
        <w:rPr>
          <w:szCs w:val="22"/>
          <w:lang w:val="sl-SI"/>
        </w:rPr>
      </w:pPr>
      <w:r w:rsidRPr="00D27759">
        <w:rPr>
          <w:szCs w:val="22"/>
          <w:lang w:val="sl-SI"/>
        </w:rPr>
        <w:t>meni, da je krepitev institucionalne zmogljivosti socialnih partnerjev ključna za odpravo obstoječega nezaupanja;</w:t>
      </w:r>
    </w:p>
    <w:p w:rsidRPr="00D27759" w:rsidR="00C76262" w:rsidP="00C76262" w:rsidRDefault="00C76262" w14:paraId="00F0D6D3" w14:textId="11BC34C3">
      <w:pPr>
        <w:widowControl w:val="0"/>
        <w:numPr>
          <w:ilvl w:val="0"/>
          <w:numId w:val="9"/>
        </w:numPr>
        <w:tabs>
          <w:tab w:val="clear" w:pos="0"/>
        </w:tabs>
        <w:ind w:left="567" w:hanging="567"/>
        <w:rPr>
          <w:szCs w:val="22"/>
          <w:lang w:val="sl-SI"/>
        </w:rPr>
      </w:pPr>
      <w:r w:rsidRPr="00D27759">
        <w:rPr>
          <w:szCs w:val="22"/>
          <w:lang w:val="sl-SI"/>
        </w:rPr>
        <w:t>predlaga, naj bo upravna prožnost osrednji cilj vsake kohezijske politike;</w:t>
      </w:r>
    </w:p>
    <w:p w:rsidRPr="00D27759" w:rsidR="00BB1A0B" w:rsidP="00C76262" w:rsidRDefault="00C76262" w14:paraId="53219D9C" w14:textId="0E3800C8">
      <w:pPr>
        <w:widowControl w:val="0"/>
        <w:numPr>
          <w:ilvl w:val="0"/>
          <w:numId w:val="9"/>
        </w:numPr>
        <w:tabs>
          <w:tab w:val="clear" w:pos="0"/>
        </w:tabs>
        <w:ind w:left="567" w:hanging="567"/>
        <w:rPr>
          <w:szCs w:val="22"/>
          <w:lang w:val="sl-SI"/>
        </w:rPr>
      </w:pPr>
      <w:r w:rsidRPr="00D27759">
        <w:rPr>
          <w:szCs w:val="22"/>
          <w:lang w:val="sl-SI"/>
        </w:rPr>
        <w:t>meni, da bi bilo treba storiti več za obmejne regije, ki se v zadnjih letih srečujejo z velikimi težavami.</w:t>
      </w:r>
    </w:p>
    <w:p w:rsidRPr="00D27759" w:rsidR="00C76262" w:rsidP="00AC1FA9" w:rsidRDefault="00C76262" w14:paraId="29E12B98"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F50D00" w:rsidTr="00F50D00" w14:paraId="290945AD" w14:textId="77777777">
        <w:tc>
          <w:tcPr>
            <w:tcW w:w="974" w:type="pct"/>
          </w:tcPr>
          <w:p w:rsidRPr="00D27759" w:rsidR="00F50D00" w:rsidP="00AC1FA9" w:rsidRDefault="00F50D00" w14:paraId="4BA853FF" w14:textId="77777777">
            <w:pPr>
              <w:rPr>
                <w:lang w:val="sl-SI"/>
              </w:rPr>
            </w:pPr>
            <w:r w:rsidRPr="00D27759">
              <w:rPr>
                <w:b/>
                <w:i/>
                <w:szCs w:val="22"/>
                <w:lang w:val="sl-SI"/>
              </w:rPr>
              <w:t>Kontaktna oseba</w:t>
            </w:r>
          </w:p>
        </w:tc>
        <w:tc>
          <w:tcPr>
            <w:tcW w:w="4026" w:type="pct"/>
          </w:tcPr>
          <w:p w:rsidRPr="00D27759" w:rsidR="00F50D00" w:rsidP="00AC1FA9" w:rsidRDefault="00C76262" w14:paraId="13AB2DD0" w14:textId="6C5608B4">
            <w:pPr>
              <w:rPr>
                <w:i/>
                <w:lang w:val="sl-SI"/>
              </w:rPr>
            </w:pPr>
            <w:r w:rsidRPr="00D27759">
              <w:rPr>
                <w:i/>
                <w:lang w:val="sl-SI"/>
              </w:rPr>
              <w:t>Georgios Meleas</w:t>
            </w:r>
          </w:p>
        </w:tc>
      </w:tr>
      <w:tr w:rsidRPr="00D27759" w:rsidR="00F50D00" w:rsidTr="00F50D00" w14:paraId="57A228B3" w14:textId="77777777">
        <w:tc>
          <w:tcPr>
            <w:tcW w:w="974" w:type="pct"/>
          </w:tcPr>
          <w:p w:rsidRPr="00D27759" w:rsidR="00F50D00" w:rsidP="00AC1FA9" w:rsidRDefault="006926AD" w14:paraId="63C2D1C4" w14:textId="77777777">
            <w:pPr>
              <w:rPr>
                <w:lang w:val="sl-SI"/>
              </w:rPr>
            </w:pPr>
            <w:r w:rsidRPr="00D27759">
              <w:rPr>
                <w:i/>
                <w:szCs w:val="22"/>
                <w:lang w:val="sl-SI"/>
              </w:rPr>
              <w:t>Telefon</w:t>
            </w:r>
          </w:p>
        </w:tc>
        <w:tc>
          <w:tcPr>
            <w:tcW w:w="4026" w:type="pct"/>
          </w:tcPr>
          <w:p w:rsidRPr="00D27759" w:rsidR="00F50D00" w:rsidP="00AC1FA9" w:rsidRDefault="000D558D" w14:paraId="43F636D3" w14:textId="5858DD45">
            <w:pPr>
              <w:rPr>
                <w:lang w:val="sl-SI"/>
              </w:rPr>
            </w:pPr>
            <w:r w:rsidRPr="00D27759">
              <w:rPr>
                <w:i/>
                <w:szCs w:val="22"/>
                <w:lang w:val="sl-SI"/>
              </w:rPr>
              <w:t>+</w:t>
            </w:r>
            <w:r w:rsidRPr="00D27759" w:rsidR="00F50D00">
              <w:rPr>
                <w:i/>
                <w:szCs w:val="22"/>
                <w:lang w:val="sl-SI"/>
              </w:rPr>
              <w:t>32 2 </w:t>
            </w:r>
            <w:r w:rsidRPr="00D27759" w:rsidR="00C76262">
              <w:rPr>
                <w:i/>
                <w:szCs w:val="22"/>
                <w:lang w:val="sl-SI"/>
              </w:rPr>
              <w:t>546 9795</w:t>
            </w:r>
          </w:p>
        </w:tc>
      </w:tr>
      <w:tr w:rsidRPr="00D27759" w:rsidR="00F50D00" w:rsidTr="00F50D00" w14:paraId="41343D56" w14:textId="77777777">
        <w:tc>
          <w:tcPr>
            <w:tcW w:w="974" w:type="pct"/>
          </w:tcPr>
          <w:p w:rsidRPr="00D27759" w:rsidR="00F50D00" w:rsidP="00AC1FA9" w:rsidRDefault="00F50D00" w14:paraId="03003206" w14:textId="77777777">
            <w:pPr>
              <w:rPr>
                <w:lang w:val="sl-SI"/>
              </w:rPr>
            </w:pPr>
            <w:r w:rsidRPr="00D27759">
              <w:rPr>
                <w:i/>
                <w:szCs w:val="22"/>
                <w:lang w:val="sl-SI"/>
              </w:rPr>
              <w:t>E-naslov</w:t>
            </w:r>
          </w:p>
        </w:tc>
        <w:tc>
          <w:tcPr>
            <w:tcW w:w="4026" w:type="pct"/>
          </w:tcPr>
          <w:p w:rsidRPr="00D27759" w:rsidR="00F50D00" w:rsidP="00AC1FA9" w:rsidRDefault="00AA6CE8" w14:paraId="398BBF3C" w14:textId="796E564A">
            <w:pPr>
              <w:rPr>
                <w:i/>
                <w:lang w:val="sl-SI"/>
              </w:rPr>
            </w:pPr>
            <w:hyperlink w:history="1" r:id="rId13">
              <w:r w:rsidRPr="00D27759" w:rsidR="00C76262">
                <w:rPr>
                  <w:rStyle w:val="Hyperlink"/>
                  <w:i/>
                  <w:lang w:val="sl-SI"/>
                </w:rPr>
                <w:t>Georgios.Meleas@eesc.europa.eu</w:t>
              </w:r>
            </w:hyperlink>
          </w:p>
        </w:tc>
      </w:tr>
    </w:tbl>
    <w:p w:rsidRPr="00D27759" w:rsidR="00F50D00" w:rsidP="00AC1FA9" w:rsidRDefault="00F50D00" w14:paraId="0C21E33D" w14:textId="77777777">
      <w:pPr>
        <w:rPr>
          <w:lang w:val="sl-SI"/>
        </w:rPr>
      </w:pPr>
    </w:p>
    <w:p w:rsidRPr="00D27759" w:rsidR="00437105" w:rsidP="00AC1FA9" w:rsidRDefault="00437105" w14:paraId="0B174A38" w14:textId="77777777">
      <w:pPr>
        <w:rPr>
          <w:lang w:val="sl-SI"/>
        </w:rPr>
      </w:pPr>
    </w:p>
    <w:p w:rsidRPr="00D27759" w:rsidR="00437105" w:rsidP="00057418" w:rsidRDefault="00437105" w14:paraId="1786FC85" w14:textId="77777777">
      <w:pPr>
        <w:pStyle w:val="Heading1"/>
        <w:pageBreakBefore/>
        <w:overflowPunct/>
        <w:autoSpaceDE/>
        <w:autoSpaceDN/>
        <w:adjustRightInd/>
        <w:spacing w:line="283" w:lineRule="auto"/>
        <w:ind w:left="567" w:hanging="567"/>
        <w:textAlignment w:val="auto"/>
        <w:rPr>
          <w:lang w:val="sl-SI"/>
        </w:rPr>
      </w:pPr>
      <w:bookmarkStart w:name="_Toc103071392" w:id="3"/>
      <w:bookmarkStart w:name="_Toc105440136" w:id="4"/>
      <w:r w:rsidRPr="00D27759">
        <w:rPr>
          <w:b/>
          <w:lang w:val="sl-SI"/>
        </w:rPr>
        <w:lastRenderedPageBreak/>
        <w:t>ZAPOSLOVANJE, SOCIALNE ZADEVE IN DRŽAVLJANSTVO</w:t>
      </w:r>
      <w:bookmarkEnd w:id="3"/>
      <w:bookmarkEnd w:id="4"/>
    </w:p>
    <w:p w:rsidRPr="00D27759" w:rsidR="00437105" w:rsidP="00057418" w:rsidRDefault="00437105" w14:paraId="30923A4E" w14:textId="2F1CED48">
      <w:pPr>
        <w:spacing w:line="283" w:lineRule="auto"/>
        <w:rPr>
          <w:lang w:val="sl-SI"/>
        </w:rPr>
      </w:pPr>
    </w:p>
    <w:p w:rsidRPr="00D27759" w:rsidR="00EA31FC" w:rsidP="00057418" w:rsidRDefault="00AA6CE8" w14:paraId="74D3A0D1" w14:textId="2160705B">
      <w:pPr>
        <w:numPr>
          <w:ilvl w:val="0"/>
          <w:numId w:val="7"/>
        </w:numPr>
        <w:tabs>
          <w:tab w:val="clear" w:pos="0"/>
        </w:tabs>
        <w:spacing w:line="283" w:lineRule="auto"/>
        <w:ind w:left="567" w:hanging="567"/>
        <w:rPr>
          <w:sz w:val="28"/>
          <w:szCs w:val="22"/>
          <w:lang w:val="sl-SI"/>
        </w:rPr>
      </w:pPr>
      <w:hyperlink w:history="1" r:id="rId14">
        <w:r w:rsidRPr="00D27759" w:rsidR="007A7B94">
          <w:rPr>
            <w:rStyle w:val="Hyperlink"/>
            <w:b/>
            <w:bCs/>
            <w:i/>
            <w:iCs/>
            <w:sz w:val="28"/>
            <w:szCs w:val="24"/>
            <w:lang w:val="sl-SI"/>
          </w:rPr>
          <w:t>Krize in krizni pojavi v sodobni Evropi in civilni družbi</w:t>
        </w:r>
      </w:hyperlink>
    </w:p>
    <w:p w:rsidRPr="00D27759" w:rsidR="00EA31FC" w:rsidP="00057418" w:rsidRDefault="00EA31FC" w14:paraId="75CD7400" w14:textId="77777777">
      <w:pPr>
        <w:spacing w:line="283"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1403F330" w14:textId="77777777">
        <w:tc>
          <w:tcPr>
            <w:tcW w:w="974" w:type="pct"/>
          </w:tcPr>
          <w:p w:rsidRPr="00D27759" w:rsidR="00437105" w:rsidP="00057418" w:rsidRDefault="00437105" w14:paraId="65E80A6D" w14:textId="453664A7">
            <w:pPr>
              <w:spacing w:line="283" w:lineRule="auto"/>
              <w:rPr>
                <w:b/>
                <w:szCs w:val="22"/>
                <w:lang w:val="sl-SI"/>
              </w:rPr>
            </w:pPr>
            <w:r w:rsidRPr="00D27759">
              <w:rPr>
                <w:b/>
                <w:szCs w:val="22"/>
                <w:lang w:val="sl-SI"/>
              </w:rPr>
              <w:t>Poročeval</w:t>
            </w:r>
            <w:r w:rsidRPr="00D27759" w:rsidR="00057418">
              <w:rPr>
                <w:b/>
                <w:szCs w:val="22"/>
                <w:lang w:val="sl-SI"/>
              </w:rPr>
              <w:t>ka</w:t>
            </w:r>
          </w:p>
        </w:tc>
        <w:tc>
          <w:tcPr>
            <w:tcW w:w="4026" w:type="pct"/>
          </w:tcPr>
          <w:p w:rsidRPr="00D27759" w:rsidR="00437105" w:rsidP="00057418" w:rsidRDefault="00057418" w14:paraId="11E4DD21" w14:textId="140BAE91">
            <w:pPr>
              <w:spacing w:line="283" w:lineRule="auto"/>
              <w:rPr>
                <w:szCs w:val="22"/>
                <w:lang w:val="sl-SI"/>
              </w:rPr>
            </w:pPr>
            <w:r w:rsidRPr="00D27759">
              <w:rPr>
                <w:szCs w:val="22"/>
                <w:lang w:val="sl-SI"/>
              </w:rPr>
              <w:t>Ariane RODERT (skupina organizacij civilne družbe – SE)</w:t>
            </w:r>
          </w:p>
        </w:tc>
      </w:tr>
      <w:tr w:rsidRPr="00D27759" w:rsidR="00437105" w:rsidTr="00993CB4" w14:paraId="652B9447" w14:textId="77777777">
        <w:tc>
          <w:tcPr>
            <w:tcW w:w="5000" w:type="pct"/>
            <w:gridSpan w:val="2"/>
          </w:tcPr>
          <w:p w:rsidRPr="00D27759" w:rsidR="00437105" w:rsidP="00057418" w:rsidRDefault="00437105" w14:paraId="6070DF18" w14:textId="77777777">
            <w:pPr>
              <w:spacing w:line="283" w:lineRule="auto"/>
              <w:rPr>
                <w:sz w:val="16"/>
                <w:szCs w:val="22"/>
                <w:lang w:val="sl-SI"/>
              </w:rPr>
            </w:pPr>
          </w:p>
        </w:tc>
      </w:tr>
      <w:tr w:rsidRPr="00D27759" w:rsidR="00437105" w:rsidTr="00993CB4" w14:paraId="24F3B288" w14:textId="77777777">
        <w:tc>
          <w:tcPr>
            <w:tcW w:w="974" w:type="pct"/>
            <w:vMerge w:val="restart"/>
          </w:tcPr>
          <w:p w:rsidRPr="00D27759" w:rsidR="00437105" w:rsidP="00057418" w:rsidRDefault="00437105" w14:paraId="53E44B99" w14:textId="77777777">
            <w:pPr>
              <w:spacing w:line="283" w:lineRule="auto"/>
              <w:rPr>
                <w:b/>
                <w:szCs w:val="22"/>
                <w:lang w:val="sl-SI"/>
              </w:rPr>
            </w:pPr>
            <w:r w:rsidRPr="00D27759">
              <w:rPr>
                <w:b/>
                <w:szCs w:val="22"/>
                <w:lang w:val="sl-SI"/>
              </w:rPr>
              <w:t>Referenčni dokument</w:t>
            </w:r>
          </w:p>
        </w:tc>
        <w:tc>
          <w:tcPr>
            <w:tcW w:w="4026" w:type="pct"/>
          </w:tcPr>
          <w:p w:rsidRPr="00D27759" w:rsidR="00437105" w:rsidP="00057418" w:rsidRDefault="00490402" w14:paraId="78350452" w14:textId="5AEF6B55">
            <w:pPr>
              <w:spacing w:line="283" w:lineRule="auto"/>
              <w:rPr>
                <w:szCs w:val="22"/>
                <w:lang w:val="sl-SI"/>
              </w:rPr>
            </w:pPr>
            <w:r w:rsidRPr="00D27759">
              <w:rPr>
                <w:szCs w:val="22"/>
                <w:lang w:val="sl-SI"/>
              </w:rPr>
              <w:t>raziskovalno mnenje na zaprosilo poljskega predsedstva Svetu EU</w:t>
            </w:r>
          </w:p>
        </w:tc>
      </w:tr>
      <w:tr w:rsidRPr="00D27759" w:rsidR="00437105" w:rsidTr="00993CB4" w14:paraId="5FA94651" w14:textId="77777777">
        <w:tc>
          <w:tcPr>
            <w:tcW w:w="974" w:type="pct"/>
            <w:vMerge/>
          </w:tcPr>
          <w:p w:rsidRPr="00D27759" w:rsidR="00437105" w:rsidP="00057418" w:rsidRDefault="00437105" w14:paraId="3414BEE2" w14:textId="77777777">
            <w:pPr>
              <w:tabs>
                <w:tab w:val="center" w:pos="284"/>
              </w:tabs>
              <w:spacing w:line="283" w:lineRule="auto"/>
              <w:ind w:left="266" w:hanging="266"/>
              <w:rPr>
                <w:b/>
                <w:szCs w:val="22"/>
                <w:lang w:val="sl-SI"/>
              </w:rPr>
            </w:pPr>
          </w:p>
        </w:tc>
        <w:tc>
          <w:tcPr>
            <w:tcW w:w="4026" w:type="pct"/>
          </w:tcPr>
          <w:p w:rsidRPr="00D27759" w:rsidR="00437105" w:rsidP="00057418" w:rsidRDefault="00057418" w14:paraId="1AEBB5C7" w14:textId="5D1F4E9C">
            <w:pPr>
              <w:spacing w:line="283" w:lineRule="auto"/>
              <w:rPr>
                <w:szCs w:val="22"/>
                <w:lang w:val="sl-SI"/>
              </w:rPr>
            </w:pPr>
            <w:r w:rsidRPr="00D27759">
              <w:rPr>
                <w:szCs w:val="22"/>
                <w:lang w:val="sl-SI"/>
              </w:rPr>
              <w:t>EESC-2024-03332-00-00-AC</w:t>
            </w:r>
          </w:p>
        </w:tc>
      </w:tr>
    </w:tbl>
    <w:p w:rsidRPr="00D27759" w:rsidR="00437105" w:rsidP="00057418" w:rsidRDefault="00437105" w14:paraId="7BFB8603" w14:textId="77777777">
      <w:pPr>
        <w:spacing w:line="283" w:lineRule="auto"/>
        <w:rPr>
          <w:szCs w:val="22"/>
          <w:lang w:val="sl-SI"/>
        </w:rPr>
      </w:pPr>
    </w:p>
    <w:p w:rsidRPr="00D27759" w:rsidR="00437105" w:rsidP="00057418" w:rsidRDefault="00437105" w14:paraId="7B511334" w14:textId="77777777">
      <w:pPr>
        <w:spacing w:line="283" w:lineRule="auto"/>
        <w:rPr>
          <w:lang w:val="sl-SI"/>
        </w:rPr>
      </w:pPr>
      <w:r w:rsidRPr="00D27759">
        <w:rPr>
          <w:b/>
          <w:lang w:val="sl-SI"/>
        </w:rPr>
        <w:t>Glavne točke</w:t>
      </w:r>
    </w:p>
    <w:p w:rsidRPr="00D27759" w:rsidR="00437105" w:rsidP="00057418" w:rsidRDefault="00437105" w14:paraId="705AA44E" w14:textId="77777777">
      <w:pPr>
        <w:spacing w:line="283" w:lineRule="auto"/>
        <w:rPr>
          <w:szCs w:val="22"/>
          <w:lang w:val="sl-SI"/>
        </w:rPr>
      </w:pPr>
    </w:p>
    <w:p w:rsidRPr="00D27759" w:rsidR="00437105" w:rsidP="00057418" w:rsidRDefault="00437105" w14:paraId="605E2C43" w14:textId="77777777">
      <w:pPr>
        <w:spacing w:line="283" w:lineRule="auto"/>
        <w:rPr>
          <w:bCs/>
          <w:iCs/>
          <w:szCs w:val="22"/>
          <w:lang w:val="sl-SI"/>
        </w:rPr>
      </w:pPr>
      <w:r w:rsidRPr="00D27759">
        <w:rPr>
          <w:bCs/>
          <w:iCs/>
          <w:szCs w:val="22"/>
          <w:lang w:val="sl-SI"/>
        </w:rPr>
        <w:t>EESO:</w:t>
      </w:r>
    </w:p>
    <w:p w:rsidRPr="00D27759" w:rsidR="00437105" w:rsidP="00057418" w:rsidRDefault="00437105" w14:paraId="17D4DDC9" w14:textId="77777777">
      <w:pPr>
        <w:spacing w:line="283" w:lineRule="auto"/>
        <w:rPr>
          <w:szCs w:val="22"/>
          <w:lang w:val="sl-SI"/>
        </w:rPr>
      </w:pPr>
    </w:p>
    <w:p w:rsidRPr="00D27759" w:rsidR="00057418" w:rsidP="00057418" w:rsidRDefault="00057418" w14:paraId="1BD040C0" w14:textId="4AB26332">
      <w:pPr>
        <w:widowControl w:val="0"/>
        <w:numPr>
          <w:ilvl w:val="0"/>
          <w:numId w:val="9"/>
        </w:numPr>
        <w:tabs>
          <w:tab w:val="clear" w:pos="0"/>
        </w:tabs>
        <w:spacing w:line="283" w:lineRule="auto"/>
        <w:ind w:left="567" w:hanging="567"/>
        <w:rPr>
          <w:szCs w:val="22"/>
          <w:lang w:val="sl-SI"/>
        </w:rPr>
      </w:pPr>
      <w:r w:rsidRPr="00D27759">
        <w:rPr>
          <w:szCs w:val="22"/>
          <w:lang w:val="sl-SI"/>
        </w:rPr>
        <w:t>pozdravlja osredotočenost EU na civilno pripravljenost in krizno upravljanje ter zaprosilo poljskega predsedstva EU za raziskovalno mnenje o vlogi in izkušnjah organizacij civilne družbe na tem področju;</w:t>
      </w:r>
    </w:p>
    <w:p w:rsidRPr="00D27759" w:rsidR="00057418" w:rsidP="00057418" w:rsidRDefault="00057418" w14:paraId="1F50B3AF" w14:textId="1C1628EF">
      <w:pPr>
        <w:widowControl w:val="0"/>
        <w:numPr>
          <w:ilvl w:val="0"/>
          <w:numId w:val="9"/>
        </w:numPr>
        <w:tabs>
          <w:tab w:val="clear" w:pos="0"/>
        </w:tabs>
        <w:spacing w:line="283" w:lineRule="auto"/>
        <w:ind w:left="567" w:hanging="567"/>
        <w:rPr>
          <w:szCs w:val="22"/>
          <w:lang w:val="sl-SI"/>
        </w:rPr>
      </w:pPr>
      <w:r w:rsidRPr="00D27759">
        <w:rPr>
          <w:szCs w:val="22"/>
          <w:lang w:val="sl-SI"/>
        </w:rPr>
        <w:t>je pripravljen v dodatnih mnenjih predstaviti stališča civilne družbe o nadaljnjih ukrepih;</w:t>
      </w:r>
    </w:p>
    <w:p w:rsidRPr="00D27759" w:rsidR="00057418" w:rsidP="00057418" w:rsidRDefault="00057418" w14:paraId="760A014F" w14:textId="146FFDE4">
      <w:pPr>
        <w:widowControl w:val="0"/>
        <w:numPr>
          <w:ilvl w:val="0"/>
          <w:numId w:val="9"/>
        </w:numPr>
        <w:tabs>
          <w:tab w:val="clear" w:pos="0"/>
        </w:tabs>
        <w:spacing w:line="283" w:lineRule="auto"/>
        <w:ind w:left="567" w:hanging="567"/>
        <w:rPr>
          <w:szCs w:val="22"/>
          <w:lang w:val="sl-SI"/>
        </w:rPr>
      </w:pPr>
      <w:r w:rsidRPr="00D27759">
        <w:rPr>
          <w:szCs w:val="22"/>
          <w:lang w:val="sl-SI"/>
        </w:rPr>
        <w:t>poudarja, da je za pripravljenost potrebna sprememba miselnosti na vseh ravneh družbe in v vseh generacijah;</w:t>
      </w:r>
    </w:p>
    <w:p w:rsidRPr="00D27759" w:rsidR="00057418" w:rsidP="00057418" w:rsidRDefault="00057418" w14:paraId="78E13180" w14:textId="655A5772">
      <w:pPr>
        <w:widowControl w:val="0"/>
        <w:numPr>
          <w:ilvl w:val="0"/>
          <w:numId w:val="9"/>
        </w:numPr>
        <w:tabs>
          <w:tab w:val="clear" w:pos="0"/>
        </w:tabs>
        <w:spacing w:line="283" w:lineRule="auto"/>
        <w:ind w:left="567" w:hanging="567"/>
        <w:rPr>
          <w:szCs w:val="22"/>
          <w:lang w:val="sl-SI"/>
        </w:rPr>
      </w:pPr>
      <w:r w:rsidRPr="00D27759">
        <w:rPr>
          <w:szCs w:val="22"/>
          <w:lang w:val="sl-SI"/>
        </w:rPr>
        <w:t>poudarja, da morajo biti pobude za pripravljenost usmerjene v pravičen in trajen mir, obravnavati temeljne vzroke konfliktov in spodbujati pogoje, ki podpirajo dostojanstvo, enake možnosti in družbeni napredek;</w:t>
      </w:r>
    </w:p>
    <w:p w:rsidRPr="00D27759" w:rsidR="00057418" w:rsidP="00057418" w:rsidRDefault="00057418" w14:paraId="7234FACD" w14:textId="4A85DC7E">
      <w:pPr>
        <w:widowControl w:val="0"/>
        <w:numPr>
          <w:ilvl w:val="0"/>
          <w:numId w:val="9"/>
        </w:numPr>
        <w:tabs>
          <w:tab w:val="clear" w:pos="0"/>
        </w:tabs>
        <w:spacing w:line="283" w:lineRule="auto"/>
        <w:ind w:left="567" w:hanging="567"/>
        <w:rPr>
          <w:szCs w:val="22"/>
          <w:lang w:val="sl-SI"/>
        </w:rPr>
      </w:pPr>
      <w:r w:rsidRPr="00D27759">
        <w:rPr>
          <w:szCs w:val="22"/>
          <w:lang w:val="sl-SI"/>
        </w:rPr>
        <w:t>poudarja, da je civilna pripravljenost bistvena za odpornost, vendar opozarja, da morajo EU in države članice ostati odgovorne za zaščito državljanov;</w:t>
      </w:r>
    </w:p>
    <w:p w:rsidRPr="00D27759" w:rsidR="00057418" w:rsidP="00057418" w:rsidRDefault="00057418" w14:paraId="75867BB0" w14:textId="28712B2C">
      <w:pPr>
        <w:widowControl w:val="0"/>
        <w:numPr>
          <w:ilvl w:val="0"/>
          <w:numId w:val="9"/>
        </w:numPr>
        <w:tabs>
          <w:tab w:val="clear" w:pos="0"/>
        </w:tabs>
        <w:spacing w:line="283" w:lineRule="auto"/>
        <w:ind w:left="567" w:hanging="567"/>
        <w:rPr>
          <w:szCs w:val="22"/>
          <w:lang w:val="sl-SI"/>
        </w:rPr>
      </w:pPr>
      <w:r w:rsidRPr="00D27759">
        <w:rPr>
          <w:szCs w:val="22"/>
          <w:lang w:val="sl-SI"/>
        </w:rPr>
        <w:t>priznava, da ima civilna družba v državah članicah različne vloge in poziva k razvoju skupnega razumevanja med civilno družbo in vlado na ravni držav članic o različnih vlogah in odgovornosti posameznih deležnikov;</w:t>
      </w:r>
    </w:p>
    <w:p w:rsidRPr="00D27759" w:rsidR="00057418" w:rsidP="00057418" w:rsidRDefault="00057418" w14:paraId="4343FA76" w14:textId="4C62BBAD">
      <w:pPr>
        <w:widowControl w:val="0"/>
        <w:numPr>
          <w:ilvl w:val="0"/>
          <w:numId w:val="9"/>
        </w:numPr>
        <w:tabs>
          <w:tab w:val="clear" w:pos="0"/>
        </w:tabs>
        <w:spacing w:line="283" w:lineRule="auto"/>
        <w:ind w:left="567" w:hanging="567"/>
        <w:rPr>
          <w:szCs w:val="22"/>
          <w:lang w:val="sl-SI"/>
        </w:rPr>
      </w:pPr>
      <w:r w:rsidRPr="00D27759">
        <w:rPr>
          <w:szCs w:val="22"/>
          <w:lang w:val="sl-SI"/>
        </w:rPr>
        <w:t>poudarja, da civilna družba na veliko načinov prispeva k pripravljenosti, med drugim s krepitvijo zaupanja, socialno kohezijo, aktivnim državljanstvom, ozaveščanjem, prepoznavanjem tveganj, doseganjem ranljivih skupin, mobilizacijo prostovoljcev, humanitarno pomočjo ter varovanjem temeljnih pravic in svoboščin;</w:t>
      </w:r>
    </w:p>
    <w:p w:rsidRPr="00D27759" w:rsidR="00057418" w:rsidP="00057418" w:rsidRDefault="00057418" w14:paraId="21EC4D85" w14:textId="14F71F3F">
      <w:pPr>
        <w:widowControl w:val="0"/>
        <w:numPr>
          <w:ilvl w:val="0"/>
          <w:numId w:val="9"/>
        </w:numPr>
        <w:tabs>
          <w:tab w:val="clear" w:pos="0"/>
        </w:tabs>
        <w:spacing w:line="283" w:lineRule="auto"/>
        <w:ind w:left="567" w:hanging="567"/>
        <w:rPr>
          <w:szCs w:val="22"/>
          <w:lang w:val="sl-SI"/>
        </w:rPr>
      </w:pPr>
      <w:r w:rsidRPr="00D27759">
        <w:rPr>
          <w:szCs w:val="22"/>
          <w:lang w:val="sl-SI"/>
        </w:rPr>
        <w:t>poziva Evropsko komisijo in države članice, naj ustvarijo potrebne pogoje, da bo lahko civilna družba sodelovala pri krepitvi civilne pripravljenosti, prispevala k njej in delovala na tem področju enakovredno z drugimi deležniki;</w:t>
      </w:r>
    </w:p>
    <w:p w:rsidRPr="00D27759" w:rsidR="00057418" w:rsidP="00057418" w:rsidRDefault="00057418" w14:paraId="0166BA31" w14:textId="25DBB466">
      <w:pPr>
        <w:widowControl w:val="0"/>
        <w:numPr>
          <w:ilvl w:val="0"/>
          <w:numId w:val="9"/>
        </w:numPr>
        <w:tabs>
          <w:tab w:val="clear" w:pos="0"/>
        </w:tabs>
        <w:spacing w:line="283" w:lineRule="auto"/>
        <w:ind w:left="567" w:hanging="567"/>
        <w:rPr>
          <w:szCs w:val="22"/>
          <w:lang w:val="sl-SI"/>
        </w:rPr>
      </w:pPr>
      <w:r w:rsidRPr="00D27759">
        <w:rPr>
          <w:szCs w:val="22"/>
          <w:lang w:val="sl-SI"/>
        </w:rPr>
        <w:t>poziva k proaktivnim naložbam v civilno družbo v času miru, da bi zagotovili odpornost in zmogljivost odzivanja na krize v težkih časih;</w:t>
      </w:r>
    </w:p>
    <w:p w:rsidRPr="00D27759" w:rsidR="00057418" w:rsidP="00057418" w:rsidRDefault="00057418" w14:paraId="5D01993B" w14:textId="479870F3">
      <w:pPr>
        <w:widowControl w:val="0"/>
        <w:numPr>
          <w:ilvl w:val="0"/>
          <w:numId w:val="9"/>
        </w:numPr>
        <w:tabs>
          <w:tab w:val="clear" w:pos="0"/>
        </w:tabs>
        <w:spacing w:line="283" w:lineRule="auto"/>
        <w:ind w:left="567" w:hanging="567"/>
        <w:rPr>
          <w:szCs w:val="22"/>
          <w:lang w:val="sl-SI"/>
        </w:rPr>
      </w:pPr>
      <w:r w:rsidRPr="00D27759">
        <w:rPr>
          <w:szCs w:val="22"/>
          <w:lang w:val="sl-SI"/>
        </w:rPr>
        <w:t>izraža zaskrbljenost zaradi krčenja prostora civilne družbe in groženj demokraciji ter poziva k obsežni strategiji in akcijskemu načrtu;</w:t>
      </w:r>
    </w:p>
    <w:p w:rsidRPr="00D27759" w:rsidR="00057418" w:rsidP="00057418" w:rsidRDefault="00057418" w14:paraId="21604574" w14:textId="4CBA2C5E">
      <w:pPr>
        <w:widowControl w:val="0"/>
        <w:numPr>
          <w:ilvl w:val="0"/>
          <w:numId w:val="9"/>
        </w:numPr>
        <w:tabs>
          <w:tab w:val="clear" w:pos="0"/>
        </w:tabs>
        <w:spacing w:line="283" w:lineRule="auto"/>
        <w:ind w:left="567" w:hanging="567"/>
        <w:rPr>
          <w:szCs w:val="22"/>
          <w:lang w:val="sl-SI"/>
        </w:rPr>
      </w:pPr>
      <w:r w:rsidRPr="00D27759">
        <w:rPr>
          <w:szCs w:val="22"/>
          <w:lang w:val="sl-SI"/>
        </w:rPr>
        <w:t>poudarja potrebno po preglednem javnem financiranju za pripravljenost civilne družbe, vključno s krepitvijo zmogljivosti in krizno podporo;</w:t>
      </w:r>
    </w:p>
    <w:p w:rsidRPr="00D27759" w:rsidR="00437105" w:rsidP="00057418" w:rsidRDefault="00057418" w14:paraId="53F6EA72" w14:textId="049BAC46">
      <w:pPr>
        <w:widowControl w:val="0"/>
        <w:numPr>
          <w:ilvl w:val="0"/>
          <w:numId w:val="9"/>
        </w:numPr>
        <w:tabs>
          <w:tab w:val="clear" w:pos="0"/>
        </w:tabs>
        <w:spacing w:line="283" w:lineRule="auto"/>
        <w:ind w:left="567" w:hanging="567"/>
        <w:rPr>
          <w:lang w:val="sl-SI"/>
        </w:rPr>
      </w:pPr>
      <w:r w:rsidRPr="00D27759">
        <w:rPr>
          <w:szCs w:val="22"/>
          <w:lang w:val="sl-SI"/>
        </w:rPr>
        <w:t>priporoča zmanjšanje</w:t>
      </w:r>
      <w:r w:rsidRPr="00D27759">
        <w:rPr>
          <w:lang w:val="sl-SI"/>
        </w:rPr>
        <w:t xml:space="preserve"> ovir za čezmejno sodelovanje, da se okrepita krizno odzivanje in pomoč.</w:t>
      </w:r>
    </w:p>
    <w:p w:rsidRPr="00D27759" w:rsidR="00057418" w:rsidP="00057418" w:rsidRDefault="00057418" w14:paraId="72323357" w14:textId="77777777">
      <w:pPr>
        <w:spacing w:line="283"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129F25A5" w14:textId="77777777">
        <w:tc>
          <w:tcPr>
            <w:tcW w:w="974" w:type="pct"/>
          </w:tcPr>
          <w:p w:rsidRPr="00D27759" w:rsidR="00437105" w:rsidP="00057418" w:rsidRDefault="00437105" w14:paraId="428CEA96" w14:textId="77777777">
            <w:pPr>
              <w:spacing w:line="283" w:lineRule="auto"/>
              <w:rPr>
                <w:lang w:val="sl-SI"/>
              </w:rPr>
            </w:pPr>
            <w:r w:rsidRPr="00D27759">
              <w:rPr>
                <w:b/>
                <w:i/>
                <w:szCs w:val="22"/>
                <w:lang w:val="sl-SI"/>
              </w:rPr>
              <w:t>Kontaktna oseba</w:t>
            </w:r>
          </w:p>
        </w:tc>
        <w:tc>
          <w:tcPr>
            <w:tcW w:w="4026" w:type="pct"/>
          </w:tcPr>
          <w:p w:rsidRPr="00D27759" w:rsidR="00437105" w:rsidP="00057418" w:rsidRDefault="00057418" w14:paraId="331047CC" w14:textId="15C855A6">
            <w:pPr>
              <w:spacing w:line="283" w:lineRule="auto"/>
              <w:rPr>
                <w:i/>
                <w:lang w:val="sl-SI"/>
              </w:rPr>
            </w:pPr>
            <w:r w:rsidRPr="00D27759">
              <w:rPr>
                <w:i/>
                <w:lang w:val="sl-SI"/>
              </w:rPr>
              <w:t>Jean-Marie Rogue</w:t>
            </w:r>
          </w:p>
        </w:tc>
      </w:tr>
      <w:tr w:rsidRPr="00D27759" w:rsidR="00437105" w:rsidTr="00993CB4" w14:paraId="4AA3C7A8" w14:textId="77777777">
        <w:tc>
          <w:tcPr>
            <w:tcW w:w="974" w:type="pct"/>
          </w:tcPr>
          <w:p w:rsidRPr="00D27759" w:rsidR="00437105" w:rsidP="00057418" w:rsidRDefault="006926AD" w14:paraId="7E73D7D2" w14:textId="77777777">
            <w:pPr>
              <w:spacing w:line="283" w:lineRule="auto"/>
              <w:rPr>
                <w:lang w:val="sl-SI"/>
              </w:rPr>
            </w:pPr>
            <w:r w:rsidRPr="00D27759">
              <w:rPr>
                <w:i/>
                <w:szCs w:val="22"/>
                <w:lang w:val="sl-SI"/>
              </w:rPr>
              <w:t>Telefon</w:t>
            </w:r>
          </w:p>
        </w:tc>
        <w:tc>
          <w:tcPr>
            <w:tcW w:w="4026" w:type="pct"/>
          </w:tcPr>
          <w:p w:rsidRPr="00D27759" w:rsidR="00437105" w:rsidP="00057418" w:rsidRDefault="000D558D" w14:paraId="3D2B8BED" w14:textId="5F2E1A96">
            <w:pPr>
              <w:spacing w:line="283" w:lineRule="auto"/>
              <w:rPr>
                <w:lang w:val="sl-SI"/>
              </w:rPr>
            </w:pPr>
            <w:r w:rsidRPr="00D27759">
              <w:rPr>
                <w:i/>
                <w:szCs w:val="22"/>
                <w:lang w:val="sl-SI"/>
              </w:rPr>
              <w:t>+</w:t>
            </w:r>
            <w:r w:rsidRPr="00D27759" w:rsidR="00437105">
              <w:rPr>
                <w:i/>
                <w:szCs w:val="22"/>
                <w:lang w:val="sl-SI"/>
              </w:rPr>
              <w:t>32 2 </w:t>
            </w:r>
            <w:r w:rsidRPr="00D27759" w:rsidR="00057418">
              <w:rPr>
                <w:i/>
                <w:szCs w:val="22"/>
                <w:lang w:val="sl-SI"/>
              </w:rPr>
              <w:t>546 8909</w:t>
            </w:r>
          </w:p>
        </w:tc>
      </w:tr>
      <w:tr w:rsidRPr="00D27759" w:rsidR="00437105" w:rsidTr="00993CB4" w14:paraId="012312B5" w14:textId="77777777">
        <w:tc>
          <w:tcPr>
            <w:tcW w:w="974" w:type="pct"/>
          </w:tcPr>
          <w:p w:rsidRPr="00D27759" w:rsidR="00437105" w:rsidP="00057418" w:rsidRDefault="00437105" w14:paraId="082F5997" w14:textId="77777777">
            <w:pPr>
              <w:spacing w:line="283" w:lineRule="auto"/>
              <w:rPr>
                <w:lang w:val="sl-SI"/>
              </w:rPr>
            </w:pPr>
            <w:r w:rsidRPr="00D27759">
              <w:rPr>
                <w:i/>
                <w:szCs w:val="22"/>
                <w:lang w:val="sl-SI"/>
              </w:rPr>
              <w:t>E-naslov</w:t>
            </w:r>
          </w:p>
        </w:tc>
        <w:tc>
          <w:tcPr>
            <w:tcW w:w="4026" w:type="pct"/>
          </w:tcPr>
          <w:p w:rsidRPr="00D27759" w:rsidR="00437105" w:rsidP="00057418" w:rsidRDefault="00AA6CE8" w14:paraId="1B8CBC5E" w14:textId="1140F9BB">
            <w:pPr>
              <w:spacing w:line="283" w:lineRule="auto"/>
              <w:rPr>
                <w:i/>
                <w:lang w:val="sl-SI"/>
              </w:rPr>
            </w:pPr>
            <w:hyperlink w:history="1" r:id="rId15">
              <w:r w:rsidRPr="00D27759" w:rsidR="00057418">
                <w:rPr>
                  <w:rStyle w:val="Hyperlink"/>
                  <w:i/>
                  <w:lang w:val="sl-SI"/>
                </w:rPr>
                <w:t>JeanMarie.Rogue@eesc.europa.eu</w:t>
              </w:r>
            </w:hyperlink>
          </w:p>
        </w:tc>
      </w:tr>
    </w:tbl>
    <w:p w:rsidRPr="00D27759" w:rsidR="00437105" w:rsidP="00057418" w:rsidRDefault="00437105" w14:paraId="399151D7" w14:textId="77777777">
      <w:pPr>
        <w:spacing w:line="283" w:lineRule="auto"/>
        <w:rPr>
          <w:lang w:val="sl-SI"/>
        </w:rPr>
      </w:pPr>
    </w:p>
    <w:p w:rsidRPr="00D27759" w:rsidR="008C2252" w:rsidP="008C2252" w:rsidRDefault="00AA6CE8" w14:paraId="5AF29BE5" w14:textId="205161A4">
      <w:pPr>
        <w:numPr>
          <w:ilvl w:val="0"/>
          <w:numId w:val="7"/>
        </w:numPr>
        <w:tabs>
          <w:tab w:val="clear" w:pos="0"/>
        </w:tabs>
        <w:ind w:left="567" w:hanging="567"/>
        <w:rPr>
          <w:sz w:val="28"/>
          <w:szCs w:val="22"/>
          <w:lang w:val="sl-SI"/>
        </w:rPr>
      </w:pPr>
      <w:hyperlink w:history="1" r:id="rId16">
        <w:r w:rsidRPr="00D27759" w:rsidR="00057418">
          <w:rPr>
            <w:rStyle w:val="Hyperlink"/>
            <w:b/>
            <w:bCs/>
            <w:i/>
            <w:iCs/>
            <w:sz w:val="28"/>
            <w:szCs w:val="28"/>
            <w:lang w:val="sl-SI"/>
          </w:rPr>
          <w:t>Naknadna ocena Sklada za azil, migracije in vključevanje za programsko obdobje 2014–2020</w:t>
        </w:r>
      </w:hyperlink>
    </w:p>
    <w:p w:rsidRPr="00D27759" w:rsidR="008C2252" w:rsidP="008C2252" w:rsidRDefault="008C2252" w14:paraId="28539348" w14:textId="1E10BE0D">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23327217" w14:textId="77777777">
        <w:tc>
          <w:tcPr>
            <w:tcW w:w="974" w:type="pct"/>
          </w:tcPr>
          <w:p w:rsidRPr="00D27759" w:rsidR="008C2252" w:rsidP="00145601" w:rsidRDefault="008C2252" w14:paraId="29460AFF" w14:textId="6105666A">
            <w:pPr>
              <w:rPr>
                <w:b/>
                <w:szCs w:val="22"/>
                <w:lang w:val="sl-SI"/>
              </w:rPr>
            </w:pPr>
            <w:r w:rsidRPr="00D27759">
              <w:rPr>
                <w:b/>
                <w:szCs w:val="22"/>
                <w:lang w:val="sl-SI"/>
              </w:rPr>
              <w:t>Poročeval</w:t>
            </w:r>
            <w:r w:rsidRPr="00D27759" w:rsidR="00057418">
              <w:rPr>
                <w:b/>
                <w:szCs w:val="22"/>
                <w:lang w:val="sl-SI"/>
              </w:rPr>
              <w:t>ka</w:t>
            </w:r>
          </w:p>
        </w:tc>
        <w:tc>
          <w:tcPr>
            <w:tcW w:w="4026" w:type="pct"/>
          </w:tcPr>
          <w:p w:rsidRPr="00D27759" w:rsidR="008C2252" w:rsidP="00145601" w:rsidRDefault="00057418" w14:paraId="7F20AA4E" w14:textId="619AE87F">
            <w:pPr>
              <w:rPr>
                <w:szCs w:val="22"/>
                <w:lang w:val="sl-SI"/>
              </w:rPr>
            </w:pPr>
            <w:r w:rsidRPr="00D27759">
              <w:rPr>
                <w:szCs w:val="22"/>
                <w:lang w:val="sl-SI"/>
              </w:rPr>
              <w:t>Nicoletta MERLO (skupina delojemalcev – IT)</w:t>
            </w:r>
          </w:p>
        </w:tc>
      </w:tr>
      <w:tr w:rsidRPr="00D27759" w:rsidR="008C2252" w:rsidTr="00145601" w14:paraId="37349CB2" w14:textId="77777777">
        <w:tc>
          <w:tcPr>
            <w:tcW w:w="5000" w:type="pct"/>
            <w:gridSpan w:val="2"/>
          </w:tcPr>
          <w:p w:rsidRPr="00D27759" w:rsidR="008C2252" w:rsidP="00145601" w:rsidRDefault="008C2252" w14:paraId="0A609B5B" w14:textId="77777777">
            <w:pPr>
              <w:rPr>
                <w:sz w:val="16"/>
                <w:szCs w:val="22"/>
                <w:lang w:val="sl-SI"/>
              </w:rPr>
            </w:pPr>
          </w:p>
        </w:tc>
      </w:tr>
      <w:tr w:rsidRPr="00D27759" w:rsidR="008C2252" w:rsidTr="00145601" w14:paraId="6245876C" w14:textId="77777777">
        <w:tc>
          <w:tcPr>
            <w:tcW w:w="974" w:type="pct"/>
            <w:vMerge w:val="restart"/>
          </w:tcPr>
          <w:p w:rsidRPr="00D27759" w:rsidR="008C2252" w:rsidP="00145601" w:rsidRDefault="008C2252" w14:paraId="786C19B3" w14:textId="77777777">
            <w:pPr>
              <w:rPr>
                <w:b/>
                <w:szCs w:val="22"/>
                <w:lang w:val="sl-SI"/>
              </w:rPr>
            </w:pPr>
            <w:r w:rsidRPr="00D27759">
              <w:rPr>
                <w:b/>
                <w:szCs w:val="22"/>
                <w:lang w:val="sl-SI"/>
              </w:rPr>
              <w:t>Referenčni dokument</w:t>
            </w:r>
          </w:p>
        </w:tc>
        <w:tc>
          <w:tcPr>
            <w:tcW w:w="4026" w:type="pct"/>
          </w:tcPr>
          <w:p w:rsidRPr="00D27759" w:rsidR="008C2252" w:rsidP="00145601" w:rsidRDefault="00490B3E" w14:paraId="6622DB57" w14:textId="1666F5E1">
            <w:pPr>
              <w:rPr>
                <w:szCs w:val="22"/>
                <w:lang w:val="sl-SI"/>
              </w:rPr>
            </w:pPr>
            <w:r w:rsidRPr="00D27759">
              <w:rPr>
                <w:szCs w:val="22"/>
                <w:lang w:val="sl-SI"/>
              </w:rPr>
              <w:t>poročilo o oceni na zaprosilo Evropske komisije</w:t>
            </w:r>
          </w:p>
        </w:tc>
      </w:tr>
      <w:tr w:rsidRPr="00D27759" w:rsidR="008C2252" w:rsidTr="00145601" w14:paraId="4A5F409A" w14:textId="77777777">
        <w:tc>
          <w:tcPr>
            <w:tcW w:w="974" w:type="pct"/>
            <w:vMerge/>
          </w:tcPr>
          <w:p w:rsidRPr="00D27759" w:rsidR="008C2252" w:rsidP="00145601" w:rsidRDefault="008C2252" w14:paraId="20692CE0" w14:textId="77777777">
            <w:pPr>
              <w:tabs>
                <w:tab w:val="center" w:pos="284"/>
              </w:tabs>
              <w:ind w:left="266" w:hanging="266"/>
              <w:rPr>
                <w:b/>
                <w:szCs w:val="22"/>
                <w:lang w:val="sl-SI"/>
              </w:rPr>
            </w:pPr>
          </w:p>
        </w:tc>
        <w:tc>
          <w:tcPr>
            <w:tcW w:w="4026" w:type="pct"/>
          </w:tcPr>
          <w:p w:rsidRPr="00D27759" w:rsidR="008C2252" w:rsidP="00145601" w:rsidRDefault="00057418" w14:paraId="7DEB63C4" w14:textId="2B70E591">
            <w:pPr>
              <w:rPr>
                <w:szCs w:val="22"/>
                <w:lang w:val="sl-SI"/>
              </w:rPr>
            </w:pPr>
            <w:r w:rsidRPr="00D27759">
              <w:rPr>
                <w:szCs w:val="22"/>
                <w:lang w:val="sl-SI"/>
              </w:rPr>
              <w:t>EESC-2024-01881-00-00-RE</w:t>
            </w:r>
          </w:p>
        </w:tc>
      </w:tr>
    </w:tbl>
    <w:p w:rsidRPr="00D27759" w:rsidR="008C2252" w:rsidP="008C2252" w:rsidRDefault="008C2252" w14:paraId="433E2B16" w14:textId="77777777">
      <w:pPr>
        <w:rPr>
          <w:szCs w:val="22"/>
          <w:lang w:val="sl-SI"/>
        </w:rPr>
      </w:pPr>
    </w:p>
    <w:p w:rsidRPr="00D27759" w:rsidR="008C2252" w:rsidP="008C2252" w:rsidRDefault="008C2252" w14:paraId="4307CE59" w14:textId="77777777">
      <w:pPr>
        <w:rPr>
          <w:lang w:val="sl-SI"/>
        </w:rPr>
      </w:pPr>
      <w:r w:rsidRPr="00D27759">
        <w:rPr>
          <w:b/>
          <w:lang w:val="sl-SI"/>
        </w:rPr>
        <w:t>Glavne točke</w:t>
      </w:r>
    </w:p>
    <w:p w:rsidRPr="00D27759" w:rsidR="008C2252" w:rsidP="008C2252" w:rsidRDefault="008C2252" w14:paraId="1D8400A1" w14:textId="77777777">
      <w:pPr>
        <w:rPr>
          <w:szCs w:val="22"/>
          <w:lang w:val="sl-SI"/>
        </w:rPr>
      </w:pPr>
    </w:p>
    <w:p w:rsidRPr="00D27759" w:rsidR="008C2252" w:rsidP="008C2252" w:rsidRDefault="008C2252" w14:paraId="6C18E139" w14:textId="77777777">
      <w:pPr>
        <w:rPr>
          <w:bCs/>
          <w:iCs/>
          <w:szCs w:val="22"/>
          <w:lang w:val="sl-SI"/>
        </w:rPr>
      </w:pPr>
      <w:r w:rsidRPr="00D27759">
        <w:rPr>
          <w:bCs/>
          <w:iCs/>
          <w:szCs w:val="22"/>
          <w:lang w:val="sl-SI"/>
        </w:rPr>
        <w:t>EESO:</w:t>
      </w:r>
    </w:p>
    <w:p w:rsidRPr="00D27759" w:rsidR="008C2252" w:rsidP="008C2252" w:rsidRDefault="008C2252" w14:paraId="11854584" w14:textId="77777777">
      <w:pPr>
        <w:rPr>
          <w:szCs w:val="22"/>
          <w:lang w:val="sl-SI"/>
        </w:rPr>
      </w:pPr>
    </w:p>
    <w:p w:rsidRPr="00D27759" w:rsidR="008C2252" w:rsidP="008C2252" w:rsidRDefault="00057418" w14:paraId="40C88B88" w14:textId="158445AE">
      <w:pPr>
        <w:widowControl w:val="0"/>
        <w:numPr>
          <w:ilvl w:val="0"/>
          <w:numId w:val="9"/>
        </w:numPr>
        <w:tabs>
          <w:tab w:val="clear" w:pos="0"/>
        </w:tabs>
        <w:ind w:left="567" w:hanging="567"/>
        <w:rPr>
          <w:bCs/>
          <w:iCs/>
          <w:szCs w:val="22"/>
          <w:lang w:val="sl-SI"/>
        </w:rPr>
      </w:pPr>
      <w:r w:rsidRPr="00D27759">
        <w:rPr>
          <w:szCs w:val="22"/>
          <w:lang w:val="sl-SI"/>
        </w:rPr>
        <w:t xml:space="preserve">priznava, da je bil Sklad za azil, migracije in vključevanje (v nadaljevanju: sklad) </w:t>
      </w:r>
      <w:r w:rsidRPr="00D27759">
        <w:rPr>
          <w:b/>
          <w:szCs w:val="22"/>
          <w:lang w:val="sl-SI"/>
        </w:rPr>
        <w:t>ključnega pomena</w:t>
      </w:r>
      <w:r w:rsidRPr="00D27759">
        <w:rPr>
          <w:szCs w:val="22"/>
          <w:lang w:val="sl-SI"/>
        </w:rPr>
        <w:t xml:space="preserve"> pri izpolnjevanju potreb držav članic na področju azila, migracij in vključevanja. Vendar so </w:t>
      </w:r>
      <w:r w:rsidRPr="00D27759">
        <w:rPr>
          <w:b/>
          <w:szCs w:val="22"/>
          <w:lang w:val="sl-SI"/>
        </w:rPr>
        <w:t>projekti zaradi upravnega bremena manj učinkoviti</w:t>
      </w:r>
      <w:r w:rsidRPr="00D27759">
        <w:rPr>
          <w:szCs w:val="22"/>
          <w:lang w:val="sl-SI"/>
        </w:rPr>
        <w:t>, saj mora osebje več časa nameniti administrativnemu delu kot pa dejavnostim na kraju samem;</w:t>
      </w:r>
    </w:p>
    <w:p w:rsidRPr="00D27759" w:rsidR="008C2252" w:rsidP="008C2252" w:rsidRDefault="00057418" w14:paraId="689DAB2F" w14:textId="258909E4">
      <w:pPr>
        <w:widowControl w:val="0"/>
        <w:numPr>
          <w:ilvl w:val="0"/>
          <w:numId w:val="9"/>
        </w:numPr>
        <w:tabs>
          <w:tab w:val="clear" w:pos="0"/>
        </w:tabs>
        <w:ind w:left="567" w:hanging="567"/>
        <w:rPr>
          <w:bCs/>
          <w:iCs/>
          <w:szCs w:val="22"/>
          <w:lang w:val="sl-SI"/>
        </w:rPr>
      </w:pPr>
      <w:r w:rsidRPr="00D27759">
        <w:rPr>
          <w:szCs w:val="22"/>
          <w:lang w:val="sl-SI"/>
        </w:rPr>
        <w:t xml:space="preserve">priporoča </w:t>
      </w:r>
      <w:r w:rsidRPr="00D27759">
        <w:rPr>
          <w:b/>
          <w:szCs w:val="22"/>
          <w:lang w:val="sl-SI"/>
        </w:rPr>
        <w:t>dodatno izboljšanje</w:t>
      </w:r>
      <w:r w:rsidRPr="00D27759">
        <w:rPr>
          <w:szCs w:val="22"/>
          <w:lang w:val="sl-SI"/>
        </w:rPr>
        <w:t xml:space="preserve"> </w:t>
      </w:r>
      <w:r w:rsidRPr="00D27759">
        <w:rPr>
          <w:b/>
          <w:szCs w:val="22"/>
          <w:lang w:val="sl-SI"/>
        </w:rPr>
        <w:t>zasnove in izvajanja</w:t>
      </w:r>
      <w:r w:rsidRPr="00D27759">
        <w:rPr>
          <w:szCs w:val="22"/>
          <w:lang w:val="sl-SI"/>
        </w:rPr>
        <w:t xml:space="preserve"> sklada, da se upoštevajo </w:t>
      </w:r>
      <w:r w:rsidRPr="00D27759">
        <w:rPr>
          <w:b/>
          <w:szCs w:val="22"/>
          <w:lang w:val="sl-SI"/>
        </w:rPr>
        <w:t>specifični izzivi</w:t>
      </w:r>
      <w:r w:rsidRPr="00D27759">
        <w:rPr>
          <w:szCs w:val="22"/>
          <w:lang w:val="sl-SI"/>
        </w:rPr>
        <w:t xml:space="preserve"> in </w:t>
      </w:r>
      <w:r w:rsidRPr="00D27759">
        <w:rPr>
          <w:b/>
          <w:szCs w:val="22"/>
          <w:lang w:val="sl-SI"/>
        </w:rPr>
        <w:t>potrebe vseh držav EU</w:t>
      </w:r>
      <w:r w:rsidRPr="00D27759">
        <w:rPr>
          <w:szCs w:val="22"/>
          <w:lang w:val="sl-SI"/>
        </w:rPr>
        <w:t xml:space="preserve"> (odvisno od tega, ali gre za državo prvega vstopa, državo tranzita ali državo gostiteljico) ter njihove strukture in zmogljivosti;</w:t>
      </w:r>
    </w:p>
    <w:p w:rsidRPr="00D27759" w:rsidR="008C2252" w:rsidP="008C2252" w:rsidRDefault="00057418" w14:paraId="03BD0E8F" w14:textId="2FDF9F86">
      <w:pPr>
        <w:widowControl w:val="0"/>
        <w:numPr>
          <w:ilvl w:val="0"/>
          <w:numId w:val="9"/>
        </w:numPr>
        <w:tabs>
          <w:tab w:val="clear" w:pos="0"/>
        </w:tabs>
        <w:ind w:left="567" w:hanging="567"/>
        <w:rPr>
          <w:bCs/>
          <w:iCs/>
          <w:szCs w:val="22"/>
          <w:lang w:val="sl-SI"/>
        </w:rPr>
      </w:pPr>
      <w:r w:rsidRPr="00D27759">
        <w:rPr>
          <w:szCs w:val="22"/>
          <w:lang w:val="sl-SI"/>
        </w:rPr>
        <w:t xml:space="preserve">priporoča, naj se </w:t>
      </w:r>
      <w:r w:rsidRPr="00D27759">
        <w:rPr>
          <w:b/>
          <w:szCs w:val="22"/>
          <w:lang w:val="sl-SI"/>
        </w:rPr>
        <w:t>med predhodnim in vmesnim ocenjevanjem</w:t>
      </w:r>
      <w:r w:rsidRPr="00D27759">
        <w:rPr>
          <w:szCs w:val="22"/>
          <w:lang w:val="sl-SI"/>
        </w:rPr>
        <w:t xml:space="preserve"> zberejo prispevki EESO, socialnih partnerjev, organizacij civilne družbe in drugih deležnikov, ki sodelujejo pri projektih, ter vključijo v oblikovanje in izvajanje prihodnjega programa, da bo učinkovitejši;</w:t>
      </w:r>
    </w:p>
    <w:p w:rsidRPr="00D27759" w:rsidR="00057418" w:rsidP="008C2252" w:rsidRDefault="00057418" w14:paraId="30F7B424" w14:textId="24BB0AC7">
      <w:pPr>
        <w:widowControl w:val="0"/>
        <w:numPr>
          <w:ilvl w:val="0"/>
          <w:numId w:val="9"/>
        </w:numPr>
        <w:tabs>
          <w:tab w:val="clear" w:pos="0"/>
        </w:tabs>
        <w:ind w:left="567" w:hanging="567"/>
        <w:rPr>
          <w:bCs/>
          <w:iCs/>
          <w:szCs w:val="22"/>
          <w:lang w:val="sl-SI"/>
        </w:rPr>
      </w:pPr>
      <w:r w:rsidRPr="00D27759">
        <w:rPr>
          <w:szCs w:val="22"/>
          <w:lang w:val="sl-SI"/>
        </w:rPr>
        <w:t xml:space="preserve">poudarja, da je treba </w:t>
      </w:r>
      <w:r w:rsidRPr="00D27759">
        <w:rPr>
          <w:b/>
          <w:szCs w:val="22"/>
          <w:lang w:val="sl-SI"/>
        </w:rPr>
        <w:t>dejavnosti izvajati bolj prožno</w:t>
      </w:r>
      <w:r w:rsidRPr="00D27759">
        <w:rPr>
          <w:szCs w:val="22"/>
          <w:lang w:val="sl-SI"/>
        </w:rPr>
        <w:t>, da bi se pravočasno upoštevale prioritete in potrebe lokalne ravni ter posameznikov, zlasti tistih, ki so posebej ranljivi;</w:t>
      </w:r>
    </w:p>
    <w:p w:rsidRPr="00D27759" w:rsidR="00057418" w:rsidP="008C2252" w:rsidRDefault="00057418" w14:paraId="369935C8" w14:textId="5CB8FDA6">
      <w:pPr>
        <w:widowControl w:val="0"/>
        <w:numPr>
          <w:ilvl w:val="0"/>
          <w:numId w:val="9"/>
        </w:numPr>
        <w:tabs>
          <w:tab w:val="clear" w:pos="0"/>
        </w:tabs>
        <w:ind w:left="567" w:hanging="567"/>
        <w:rPr>
          <w:bCs/>
          <w:iCs/>
          <w:szCs w:val="22"/>
          <w:lang w:val="sl-SI"/>
        </w:rPr>
      </w:pPr>
      <w:r w:rsidRPr="00D27759">
        <w:rPr>
          <w:szCs w:val="22"/>
          <w:lang w:val="sl-SI"/>
        </w:rPr>
        <w:t xml:space="preserve">ugotavlja, da morajo nosilci projektov </w:t>
      </w:r>
      <w:r w:rsidRPr="00D27759">
        <w:rPr>
          <w:b/>
          <w:szCs w:val="22"/>
          <w:lang w:val="sl-SI"/>
        </w:rPr>
        <w:t>v razumnem roku</w:t>
      </w:r>
      <w:r w:rsidRPr="00D27759">
        <w:rPr>
          <w:szCs w:val="22"/>
          <w:lang w:val="sl-SI"/>
        </w:rPr>
        <w:t xml:space="preserve"> dobiti potrditev </w:t>
      </w:r>
      <w:r w:rsidRPr="00D27759">
        <w:rPr>
          <w:b/>
          <w:szCs w:val="22"/>
          <w:lang w:val="sl-SI"/>
        </w:rPr>
        <w:t>financiranja, sredstva pa morajo zadoščati</w:t>
      </w:r>
      <w:r w:rsidRPr="00D27759">
        <w:rPr>
          <w:szCs w:val="22"/>
          <w:lang w:val="sl-SI"/>
        </w:rPr>
        <w:t xml:space="preserve"> za celotno trajanje projekta in morajo </w:t>
      </w:r>
      <w:r w:rsidRPr="00D27759">
        <w:rPr>
          <w:b/>
          <w:szCs w:val="22"/>
          <w:lang w:val="sl-SI"/>
        </w:rPr>
        <w:t>prispeti pravočasno</w:t>
      </w:r>
      <w:r w:rsidRPr="00D27759">
        <w:rPr>
          <w:szCs w:val="22"/>
          <w:lang w:val="sl-SI"/>
        </w:rPr>
        <w:t>:</w:t>
      </w:r>
    </w:p>
    <w:p w:rsidRPr="00D27759" w:rsidR="00057418" w:rsidP="008C2252" w:rsidRDefault="00057418" w14:paraId="3FE7C191" w14:textId="74045988">
      <w:pPr>
        <w:widowControl w:val="0"/>
        <w:numPr>
          <w:ilvl w:val="0"/>
          <w:numId w:val="9"/>
        </w:numPr>
        <w:tabs>
          <w:tab w:val="clear" w:pos="0"/>
        </w:tabs>
        <w:ind w:left="567" w:hanging="567"/>
        <w:rPr>
          <w:bCs/>
          <w:iCs/>
          <w:szCs w:val="22"/>
          <w:lang w:val="sl-SI"/>
        </w:rPr>
      </w:pPr>
      <w:r w:rsidRPr="00D27759">
        <w:rPr>
          <w:szCs w:val="22"/>
          <w:lang w:val="sl-SI"/>
        </w:rPr>
        <w:t xml:space="preserve">poudarja, da je treba </w:t>
      </w:r>
      <w:r w:rsidRPr="00D27759">
        <w:rPr>
          <w:b/>
          <w:szCs w:val="22"/>
          <w:lang w:val="sl-SI"/>
        </w:rPr>
        <w:t>racionalizirati in poenostaviti birokracijo in upravne zahteve</w:t>
      </w:r>
      <w:r w:rsidRPr="00D27759">
        <w:rPr>
          <w:szCs w:val="22"/>
          <w:lang w:val="sl-SI"/>
        </w:rPr>
        <w:t xml:space="preserve"> ter zmanjšati upravno breme;</w:t>
      </w:r>
    </w:p>
    <w:p w:rsidRPr="00D27759" w:rsidR="00057418" w:rsidP="008C2252" w:rsidRDefault="00057418" w14:paraId="65EBB1BC" w14:textId="7D170988">
      <w:pPr>
        <w:widowControl w:val="0"/>
        <w:numPr>
          <w:ilvl w:val="0"/>
          <w:numId w:val="9"/>
        </w:numPr>
        <w:tabs>
          <w:tab w:val="clear" w:pos="0"/>
        </w:tabs>
        <w:ind w:left="567" w:hanging="567"/>
        <w:rPr>
          <w:bCs/>
          <w:iCs/>
          <w:szCs w:val="22"/>
          <w:lang w:val="sl-SI"/>
        </w:rPr>
      </w:pPr>
      <w:r w:rsidRPr="00D27759">
        <w:rPr>
          <w:b/>
          <w:szCs w:val="22"/>
          <w:lang w:val="sl-SI"/>
        </w:rPr>
        <w:t>poudarja</w:t>
      </w:r>
      <w:r w:rsidRPr="00D27759">
        <w:rPr>
          <w:szCs w:val="22"/>
          <w:lang w:val="sl-SI"/>
        </w:rPr>
        <w:t xml:space="preserve">, da so s skladom nastale </w:t>
      </w:r>
      <w:r w:rsidRPr="00D27759">
        <w:rPr>
          <w:b/>
          <w:szCs w:val="22"/>
          <w:lang w:val="sl-SI"/>
        </w:rPr>
        <w:t>odlične priložnosti</w:t>
      </w:r>
      <w:r w:rsidRPr="00D27759">
        <w:rPr>
          <w:szCs w:val="22"/>
          <w:lang w:val="sl-SI"/>
        </w:rPr>
        <w:t xml:space="preserve"> za navezovanje </w:t>
      </w:r>
      <w:r w:rsidRPr="00D27759">
        <w:rPr>
          <w:b/>
          <w:szCs w:val="22"/>
          <w:lang w:val="sl-SI"/>
        </w:rPr>
        <w:t>tesnejših stikov in vzpostavljanje mrež med deležniki</w:t>
      </w:r>
      <w:r w:rsidRPr="00D27759">
        <w:rPr>
          <w:szCs w:val="22"/>
          <w:lang w:val="sl-SI"/>
        </w:rPr>
        <w:t>. Izboljšati bi bilo treba komuniciranje in sodelovanje med nosilci projektov in odgovornimi javnimi oblastmi;</w:t>
      </w:r>
    </w:p>
    <w:p w:rsidRPr="00D27759" w:rsidR="00057418" w:rsidP="008C2252" w:rsidRDefault="00057418" w14:paraId="77D5AD80" w14:textId="2B06842B">
      <w:pPr>
        <w:widowControl w:val="0"/>
        <w:numPr>
          <w:ilvl w:val="0"/>
          <w:numId w:val="9"/>
        </w:numPr>
        <w:tabs>
          <w:tab w:val="clear" w:pos="0"/>
        </w:tabs>
        <w:ind w:left="567" w:hanging="567"/>
        <w:rPr>
          <w:bCs/>
          <w:iCs/>
          <w:szCs w:val="22"/>
          <w:lang w:val="sl-SI"/>
        </w:rPr>
      </w:pPr>
      <w:r w:rsidRPr="00D27759">
        <w:rPr>
          <w:szCs w:val="22"/>
          <w:lang w:val="sl-SI"/>
        </w:rPr>
        <w:t>poudarja, da bi bilo treba v vseh državah članicah ustanoviti</w:t>
      </w:r>
      <w:r w:rsidRPr="00D27759">
        <w:rPr>
          <w:b/>
          <w:szCs w:val="22"/>
          <w:lang w:val="sl-SI"/>
        </w:rPr>
        <w:t xml:space="preserve"> odbore za spremljanje oziroma nadzorne odbore</w:t>
      </w:r>
      <w:r w:rsidRPr="00D27759">
        <w:rPr>
          <w:szCs w:val="22"/>
          <w:lang w:val="sl-SI"/>
        </w:rPr>
        <w:t xml:space="preserve"> za sklad, vanje pa morajo biti v</w:t>
      </w:r>
      <w:r w:rsidRPr="00D27759">
        <w:rPr>
          <w:b/>
          <w:szCs w:val="22"/>
          <w:lang w:val="sl-SI"/>
        </w:rPr>
        <w:t xml:space="preserve"> celoti</w:t>
      </w:r>
      <w:r w:rsidRPr="00D27759">
        <w:rPr>
          <w:szCs w:val="22"/>
          <w:lang w:val="sl-SI"/>
        </w:rPr>
        <w:t xml:space="preserve"> vključeni organizacije civilne družbe in socialni partnerji.</w:t>
      </w:r>
    </w:p>
    <w:p w:rsidRPr="00D27759" w:rsidR="008C2252" w:rsidP="008C2252" w:rsidRDefault="008C2252" w14:paraId="06E42752"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49AF1D49" w14:textId="77777777">
        <w:tc>
          <w:tcPr>
            <w:tcW w:w="974" w:type="pct"/>
          </w:tcPr>
          <w:p w:rsidRPr="00D27759" w:rsidR="008C2252" w:rsidP="00145601" w:rsidRDefault="008C2252" w14:paraId="79C51E12" w14:textId="77777777">
            <w:pPr>
              <w:rPr>
                <w:lang w:val="sl-SI"/>
              </w:rPr>
            </w:pPr>
            <w:r w:rsidRPr="00D27759">
              <w:rPr>
                <w:b/>
                <w:i/>
                <w:szCs w:val="22"/>
                <w:lang w:val="sl-SI"/>
              </w:rPr>
              <w:t>Kontaktna oseba</w:t>
            </w:r>
          </w:p>
        </w:tc>
        <w:tc>
          <w:tcPr>
            <w:tcW w:w="4026" w:type="pct"/>
          </w:tcPr>
          <w:p w:rsidRPr="00D27759" w:rsidR="008C2252" w:rsidP="00145601" w:rsidRDefault="00057418" w14:paraId="1A1F9BF7" w14:textId="43E32D20">
            <w:pPr>
              <w:rPr>
                <w:i/>
                <w:lang w:val="sl-SI"/>
              </w:rPr>
            </w:pPr>
            <w:r w:rsidRPr="00D27759">
              <w:rPr>
                <w:i/>
                <w:lang w:val="sl-SI"/>
              </w:rPr>
              <w:t>Triin Aasmaa Gomes</w:t>
            </w:r>
          </w:p>
        </w:tc>
      </w:tr>
      <w:tr w:rsidRPr="00D27759" w:rsidR="008C2252" w:rsidTr="00145601" w14:paraId="14F14117" w14:textId="77777777">
        <w:tc>
          <w:tcPr>
            <w:tcW w:w="974" w:type="pct"/>
          </w:tcPr>
          <w:p w:rsidRPr="00D27759" w:rsidR="008C2252" w:rsidP="00145601" w:rsidRDefault="008C2252" w14:paraId="5E034918" w14:textId="77777777">
            <w:pPr>
              <w:rPr>
                <w:lang w:val="sl-SI"/>
              </w:rPr>
            </w:pPr>
            <w:r w:rsidRPr="00D27759">
              <w:rPr>
                <w:i/>
                <w:szCs w:val="22"/>
                <w:lang w:val="sl-SI"/>
              </w:rPr>
              <w:t>Telefon</w:t>
            </w:r>
          </w:p>
        </w:tc>
        <w:tc>
          <w:tcPr>
            <w:tcW w:w="4026" w:type="pct"/>
          </w:tcPr>
          <w:p w:rsidRPr="00D27759" w:rsidR="008C2252" w:rsidP="00145601" w:rsidRDefault="008C2252" w14:paraId="3F17F3D0" w14:textId="5BD78650">
            <w:pPr>
              <w:rPr>
                <w:lang w:val="sl-SI"/>
              </w:rPr>
            </w:pPr>
            <w:r w:rsidRPr="00D27759">
              <w:rPr>
                <w:i/>
                <w:szCs w:val="22"/>
                <w:lang w:val="sl-SI"/>
              </w:rPr>
              <w:t>+32 2 </w:t>
            </w:r>
            <w:r w:rsidRPr="00D27759" w:rsidR="00057418">
              <w:rPr>
                <w:i/>
                <w:szCs w:val="22"/>
                <w:lang w:val="sl-SI"/>
              </w:rPr>
              <w:t>546 9524</w:t>
            </w:r>
          </w:p>
        </w:tc>
      </w:tr>
      <w:tr w:rsidRPr="00D27759" w:rsidR="008C2252" w:rsidTr="00145601" w14:paraId="1D75E2FF" w14:textId="77777777">
        <w:tc>
          <w:tcPr>
            <w:tcW w:w="974" w:type="pct"/>
          </w:tcPr>
          <w:p w:rsidRPr="00D27759" w:rsidR="008C2252" w:rsidP="00145601" w:rsidRDefault="008C2252" w14:paraId="065AD09F" w14:textId="77777777">
            <w:pPr>
              <w:rPr>
                <w:lang w:val="sl-SI"/>
              </w:rPr>
            </w:pPr>
            <w:r w:rsidRPr="00D27759">
              <w:rPr>
                <w:i/>
                <w:szCs w:val="22"/>
                <w:lang w:val="sl-SI"/>
              </w:rPr>
              <w:t>E-naslov</w:t>
            </w:r>
          </w:p>
        </w:tc>
        <w:tc>
          <w:tcPr>
            <w:tcW w:w="4026" w:type="pct"/>
          </w:tcPr>
          <w:p w:rsidRPr="00D27759" w:rsidR="008C2252" w:rsidP="00145601" w:rsidRDefault="00AA6CE8" w14:paraId="65021F41" w14:textId="7017B9EB">
            <w:pPr>
              <w:rPr>
                <w:i/>
                <w:lang w:val="sl-SI"/>
              </w:rPr>
            </w:pPr>
            <w:hyperlink w:history="1" r:id="rId17">
              <w:r w:rsidRPr="00D27759" w:rsidR="00057418">
                <w:rPr>
                  <w:rStyle w:val="Hyperlink"/>
                  <w:i/>
                  <w:lang w:val="sl-SI"/>
                </w:rPr>
                <w:t>Triin.AasmaaGomes@eesc.europa.eu</w:t>
              </w:r>
            </w:hyperlink>
          </w:p>
        </w:tc>
      </w:tr>
    </w:tbl>
    <w:p w:rsidRPr="00D27759" w:rsidR="008C2252" w:rsidP="008C2252" w:rsidRDefault="008C2252" w14:paraId="558BDD7D" w14:textId="418D953F">
      <w:pPr>
        <w:rPr>
          <w:lang w:val="sl-SI"/>
        </w:rPr>
      </w:pPr>
    </w:p>
    <w:p w:rsidRPr="00D27759" w:rsidR="008C2252" w:rsidP="003A22D3" w:rsidRDefault="00AA6CE8" w14:paraId="59490E87" w14:textId="439BDC2F">
      <w:pPr>
        <w:keepNext/>
        <w:keepLines/>
        <w:numPr>
          <w:ilvl w:val="0"/>
          <w:numId w:val="7"/>
        </w:numPr>
        <w:tabs>
          <w:tab w:val="clear" w:pos="0"/>
        </w:tabs>
        <w:ind w:left="567" w:hanging="567"/>
        <w:rPr>
          <w:sz w:val="28"/>
          <w:szCs w:val="22"/>
          <w:lang w:val="sl-SI"/>
        </w:rPr>
      </w:pPr>
      <w:hyperlink w:history="1" r:id="rId18">
        <w:r w:rsidRPr="00D27759" w:rsidR="00490B3E">
          <w:rPr>
            <w:rStyle w:val="Hyperlink"/>
            <w:b/>
            <w:bCs/>
            <w:i/>
            <w:iCs/>
            <w:sz w:val="28"/>
            <w:szCs w:val="24"/>
            <w:lang w:val="sl-SI"/>
          </w:rPr>
          <w:t>Zdravje in varnost pri delu – sedanji in prihodnji izzivi v luči tradicionalnih in novih tehnologij s poudarkom na umetni inteligenci</w:t>
        </w:r>
      </w:hyperlink>
    </w:p>
    <w:p w:rsidRPr="00D27759" w:rsidR="008C2252" w:rsidP="003A22D3" w:rsidRDefault="008C2252" w14:paraId="62BF45DB"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31006B03" w14:textId="77777777">
        <w:tc>
          <w:tcPr>
            <w:tcW w:w="974" w:type="pct"/>
          </w:tcPr>
          <w:p w:rsidRPr="00D27759" w:rsidR="008C2252" w:rsidP="003A22D3" w:rsidRDefault="008C2252" w14:paraId="5EE7C337" w14:textId="77777777">
            <w:pPr>
              <w:keepNext/>
              <w:keepLines/>
              <w:rPr>
                <w:b/>
                <w:szCs w:val="22"/>
                <w:lang w:val="sl-SI"/>
              </w:rPr>
            </w:pPr>
            <w:r w:rsidRPr="00D27759">
              <w:rPr>
                <w:b/>
                <w:szCs w:val="22"/>
                <w:lang w:val="sl-SI"/>
              </w:rPr>
              <w:t>Poročevalec</w:t>
            </w:r>
          </w:p>
        </w:tc>
        <w:tc>
          <w:tcPr>
            <w:tcW w:w="4026" w:type="pct"/>
          </w:tcPr>
          <w:p w:rsidRPr="00D27759" w:rsidR="008C2252" w:rsidP="003A22D3" w:rsidRDefault="003A22D3" w14:paraId="7C38FAF4" w14:textId="667625FB">
            <w:pPr>
              <w:keepNext/>
              <w:keepLines/>
              <w:rPr>
                <w:szCs w:val="22"/>
                <w:lang w:val="sl-SI"/>
              </w:rPr>
            </w:pPr>
            <w:r w:rsidRPr="00D27759">
              <w:rPr>
                <w:szCs w:val="22"/>
                <w:lang w:val="sl-SI"/>
              </w:rPr>
              <w:t>Carlos Manuel TRINDADE (skupina delojemalcev – PT)</w:t>
            </w:r>
          </w:p>
        </w:tc>
      </w:tr>
      <w:tr w:rsidRPr="00D27759" w:rsidR="008C2252" w:rsidTr="00145601" w14:paraId="3A357E8F" w14:textId="77777777">
        <w:tc>
          <w:tcPr>
            <w:tcW w:w="5000" w:type="pct"/>
            <w:gridSpan w:val="2"/>
          </w:tcPr>
          <w:p w:rsidRPr="00D27759" w:rsidR="008C2252" w:rsidP="003A22D3" w:rsidRDefault="008C2252" w14:paraId="22EB5C02" w14:textId="77777777">
            <w:pPr>
              <w:keepNext/>
              <w:keepLines/>
              <w:rPr>
                <w:sz w:val="16"/>
                <w:szCs w:val="22"/>
                <w:lang w:val="sl-SI"/>
              </w:rPr>
            </w:pPr>
          </w:p>
        </w:tc>
      </w:tr>
      <w:tr w:rsidRPr="00D27759" w:rsidR="008C2252" w:rsidTr="00145601" w14:paraId="7CA5BA4A" w14:textId="77777777">
        <w:tc>
          <w:tcPr>
            <w:tcW w:w="974" w:type="pct"/>
            <w:vMerge w:val="restart"/>
          </w:tcPr>
          <w:p w:rsidRPr="00D27759" w:rsidR="008C2252" w:rsidP="003A22D3" w:rsidRDefault="008C2252" w14:paraId="314518E1" w14:textId="77777777">
            <w:pPr>
              <w:keepNext/>
              <w:keepLines/>
              <w:rPr>
                <w:b/>
                <w:szCs w:val="22"/>
                <w:lang w:val="sl-SI"/>
              </w:rPr>
            </w:pPr>
            <w:r w:rsidRPr="00D27759">
              <w:rPr>
                <w:b/>
                <w:szCs w:val="22"/>
                <w:lang w:val="sl-SI"/>
              </w:rPr>
              <w:t>Referenčni dokument</w:t>
            </w:r>
          </w:p>
        </w:tc>
        <w:tc>
          <w:tcPr>
            <w:tcW w:w="4026" w:type="pct"/>
          </w:tcPr>
          <w:p w:rsidRPr="00D27759" w:rsidR="008C2252" w:rsidP="003A22D3" w:rsidRDefault="00490B3E" w14:paraId="42D83CEA" w14:textId="001C19E3">
            <w:pPr>
              <w:keepNext/>
              <w:keepLines/>
              <w:rPr>
                <w:szCs w:val="22"/>
                <w:lang w:val="sl-SI"/>
              </w:rPr>
            </w:pPr>
            <w:r w:rsidRPr="00D27759">
              <w:rPr>
                <w:szCs w:val="22"/>
                <w:lang w:val="sl-SI"/>
              </w:rPr>
              <w:t>raziskovalno mnenje na zaprosilo poljskega predsedstva Svetu EU</w:t>
            </w:r>
          </w:p>
        </w:tc>
      </w:tr>
      <w:tr w:rsidRPr="00D27759" w:rsidR="008C2252" w:rsidTr="00145601" w14:paraId="34D4BF3E" w14:textId="77777777">
        <w:tc>
          <w:tcPr>
            <w:tcW w:w="974" w:type="pct"/>
            <w:vMerge/>
          </w:tcPr>
          <w:p w:rsidRPr="00D27759" w:rsidR="008C2252" w:rsidP="003A22D3" w:rsidRDefault="008C2252" w14:paraId="7CE8AE8D" w14:textId="77777777">
            <w:pPr>
              <w:keepNext/>
              <w:keepLines/>
              <w:tabs>
                <w:tab w:val="center" w:pos="284"/>
              </w:tabs>
              <w:ind w:left="266" w:hanging="266"/>
              <w:rPr>
                <w:b/>
                <w:szCs w:val="22"/>
                <w:lang w:val="sl-SI"/>
              </w:rPr>
            </w:pPr>
          </w:p>
        </w:tc>
        <w:tc>
          <w:tcPr>
            <w:tcW w:w="4026" w:type="pct"/>
          </w:tcPr>
          <w:p w:rsidRPr="00D27759" w:rsidR="008C2252" w:rsidP="003A22D3" w:rsidRDefault="003A22D3" w14:paraId="057D593A" w14:textId="3BB47603">
            <w:pPr>
              <w:keepNext/>
              <w:keepLines/>
              <w:rPr>
                <w:szCs w:val="22"/>
                <w:lang w:val="sl-SI"/>
              </w:rPr>
            </w:pPr>
            <w:r w:rsidRPr="00D27759">
              <w:rPr>
                <w:szCs w:val="22"/>
                <w:lang w:val="sl-SI"/>
              </w:rPr>
              <w:t>EESC-2024-03858-00-00-AC</w:t>
            </w:r>
          </w:p>
        </w:tc>
      </w:tr>
    </w:tbl>
    <w:p w:rsidRPr="00D27759" w:rsidR="008C2252" w:rsidP="003A22D3" w:rsidRDefault="008C2252" w14:paraId="60B977B3" w14:textId="77777777">
      <w:pPr>
        <w:keepNext/>
        <w:keepLines/>
        <w:rPr>
          <w:szCs w:val="22"/>
          <w:lang w:val="sl-SI"/>
        </w:rPr>
      </w:pPr>
    </w:p>
    <w:p w:rsidRPr="00D27759" w:rsidR="008C2252" w:rsidP="003A22D3" w:rsidRDefault="008C2252" w14:paraId="4632077C" w14:textId="77777777">
      <w:pPr>
        <w:keepNext/>
        <w:keepLines/>
        <w:rPr>
          <w:lang w:val="sl-SI"/>
        </w:rPr>
      </w:pPr>
      <w:r w:rsidRPr="00D27759">
        <w:rPr>
          <w:b/>
          <w:lang w:val="sl-SI"/>
        </w:rPr>
        <w:t>Glavne točke</w:t>
      </w:r>
    </w:p>
    <w:p w:rsidRPr="00D27759" w:rsidR="008C2252" w:rsidP="003A22D3" w:rsidRDefault="008C2252" w14:paraId="08560AC0" w14:textId="77777777">
      <w:pPr>
        <w:keepNext/>
        <w:keepLines/>
        <w:rPr>
          <w:szCs w:val="22"/>
          <w:lang w:val="sl-SI"/>
        </w:rPr>
      </w:pPr>
    </w:p>
    <w:p w:rsidRPr="00D27759" w:rsidR="008C2252" w:rsidP="008C2252" w:rsidRDefault="008C2252" w14:paraId="67E70E09" w14:textId="77777777">
      <w:pPr>
        <w:rPr>
          <w:bCs/>
          <w:iCs/>
          <w:szCs w:val="22"/>
          <w:lang w:val="sl-SI"/>
        </w:rPr>
      </w:pPr>
      <w:r w:rsidRPr="00D27759">
        <w:rPr>
          <w:bCs/>
          <w:iCs/>
          <w:szCs w:val="22"/>
          <w:lang w:val="sl-SI"/>
        </w:rPr>
        <w:t>EESO:</w:t>
      </w:r>
    </w:p>
    <w:p w:rsidRPr="00D27759" w:rsidR="008C2252" w:rsidP="008C2252" w:rsidRDefault="008C2252" w14:paraId="26126881" w14:textId="77777777">
      <w:pPr>
        <w:rPr>
          <w:szCs w:val="22"/>
          <w:lang w:val="sl-SI"/>
        </w:rPr>
      </w:pPr>
    </w:p>
    <w:p w:rsidRPr="00D27759" w:rsidR="003A22D3" w:rsidP="003A22D3" w:rsidRDefault="003A22D3" w14:paraId="0591251D" w14:textId="53C15356">
      <w:pPr>
        <w:widowControl w:val="0"/>
        <w:numPr>
          <w:ilvl w:val="0"/>
          <w:numId w:val="9"/>
        </w:numPr>
        <w:tabs>
          <w:tab w:val="clear" w:pos="0"/>
        </w:tabs>
        <w:ind w:left="567" w:hanging="567"/>
        <w:rPr>
          <w:szCs w:val="22"/>
          <w:lang w:val="sl-SI"/>
        </w:rPr>
      </w:pPr>
      <w:r w:rsidRPr="00D27759">
        <w:rPr>
          <w:szCs w:val="22"/>
          <w:lang w:val="sl-SI"/>
        </w:rPr>
        <w:t>opozarja, da je okvirna direktiva 89/391/EGS bistveno izboljšala varnost in zdravje delavcev v državah članicah EU, vendar so potrebna nadaljnja prizadevanja za zagotovitev popolnega in učinkovitega izvajanja njenih določb. Na vrhu o pregledu stanja na področju varnosti in zdravja pri delu leta 2023 je bila poudarjena potreba po boljšem izvrševanju;</w:t>
      </w:r>
    </w:p>
    <w:p w:rsidRPr="00D27759" w:rsidR="003A22D3" w:rsidP="003A22D3" w:rsidRDefault="003A22D3" w14:paraId="2C4969FB" w14:textId="525D72E5">
      <w:pPr>
        <w:widowControl w:val="0"/>
        <w:numPr>
          <w:ilvl w:val="0"/>
          <w:numId w:val="9"/>
        </w:numPr>
        <w:tabs>
          <w:tab w:val="clear" w:pos="0"/>
        </w:tabs>
        <w:ind w:left="567" w:hanging="567"/>
        <w:rPr>
          <w:szCs w:val="22"/>
          <w:lang w:val="sl-SI"/>
        </w:rPr>
      </w:pPr>
      <w:r w:rsidRPr="00D27759">
        <w:rPr>
          <w:szCs w:val="22"/>
          <w:lang w:val="sl-SI"/>
        </w:rPr>
        <w:t>priznava potencial umetne inteligence in robotike za ustvarjanje bolj varnih in zdravih delovnih mest. Poudarja pomen izvajanja strateškega okvira EU za varnost in zdravje pri delu s politikami, ki temeljijo na dokazih, in tristranskim sodelovanjem. Za preprečevanje tveganj, povezanih z digitalizacijo, je potrebna učinkovita regulacija;</w:t>
      </w:r>
    </w:p>
    <w:p w:rsidRPr="00D27759" w:rsidR="003A22D3" w:rsidP="003A22D3" w:rsidRDefault="003A22D3" w14:paraId="17738E9D" w14:textId="412D518D">
      <w:pPr>
        <w:widowControl w:val="0"/>
        <w:numPr>
          <w:ilvl w:val="0"/>
          <w:numId w:val="9"/>
        </w:numPr>
        <w:tabs>
          <w:tab w:val="clear" w:pos="0"/>
        </w:tabs>
        <w:ind w:left="567" w:hanging="567"/>
        <w:rPr>
          <w:szCs w:val="22"/>
          <w:lang w:val="sl-SI"/>
        </w:rPr>
      </w:pPr>
      <w:r w:rsidRPr="00D27759">
        <w:rPr>
          <w:szCs w:val="22"/>
          <w:lang w:val="sl-SI"/>
        </w:rPr>
        <w:t>ugotavlja, da se delo spreminja, saj se krepijo interakcija med človekom in strojem, odločanje na podlagi umetne inteligence in delo na daljavo. Pandemija COVID-19 je pospešila digitalno preobrazbo in podvojila obseg dela na daljavo. Zaradi teh sprememb je treba posodobiti politike na področju varnosti in zdravja pri delu in tako zaščititi delavce;</w:t>
      </w:r>
    </w:p>
    <w:p w:rsidRPr="00D27759" w:rsidR="003A22D3" w:rsidP="003A22D3" w:rsidRDefault="003A22D3" w14:paraId="4732DB00" w14:textId="039CCC18">
      <w:pPr>
        <w:widowControl w:val="0"/>
        <w:numPr>
          <w:ilvl w:val="0"/>
          <w:numId w:val="9"/>
        </w:numPr>
        <w:tabs>
          <w:tab w:val="clear" w:pos="0"/>
        </w:tabs>
        <w:ind w:left="567" w:hanging="567"/>
        <w:rPr>
          <w:szCs w:val="22"/>
          <w:lang w:val="sl-SI"/>
        </w:rPr>
      </w:pPr>
      <w:r w:rsidRPr="00D27759">
        <w:rPr>
          <w:szCs w:val="22"/>
          <w:lang w:val="sl-SI"/>
        </w:rPr>
        <w:t>poudarja, da lahko digitalne tehnologije zmanjšajo tveganja na delovnem mestu ali povzročijo nova, zato je potrebna pozornost pri pripravi predpisov. Za učinkovito obvladovanje nastajajočih tveganj so potrebni pravni ukrepi in ukrepi v sklopu pogajanj. Proaktiven pristop je bistven za zagotovitev varnosti delavcev v digitaliziranem delovnem okolju;</w:t>
      </w:r>
    </w:p>
    <w:p w:rsidRPr="00D27759" w:rsidR="003A22D3" w:rsidP="003A22D3" w:rsidRDefault="003A22D3" w14:paraId="05087129" w14:textId="5AFFB4DE">
      <w:pPr>
        <w:widowControl w:val="0"/>
        <w:numPr>
          <w:ilvl w:val="0"/>
          <w:numId w:val="9"/>
        </w:numPr>
        <w:tabs>
          <w:tab w:val="clear" w:pos="0"/>
        </w:tabs>
        <w:ind w:left="567" w:hanging="567"/>
        <w:rPr>
          <w:szCs w:val="22"/>
          <w:lang w:val="sl-SI"/>
        </w:rPr>
      </w:pPr>
      <w:r w:rsidRPr="00D27759">
        <w:rPr>
          <w:szCs w:val="22"/>
          <w:lang w:val="sl-SI"/>
        </w:rPr>
        <w:t>opozarja na zaostanek EU pri digitalni preobrazbi, zlasti na področju umetne inteligence in digitalnih inovacij, ki vpliva na njeno konkurenčnost. Digitalni prehod je priložnost za izboljšanje produktivnosti ob ohranjanju socialne kohezije. Evropa mora okrepiti svoja prizadevanja pri doseganju tehnološkega napredka, da bi lahko odpravila digitalno vrzel;</w:t>
      </w:r>
    </w:p>
    <w:p w:rsidRPr="00D27759" w:rsidR="003A22D3" w:rsidP="003A22D3" w:rsidRDefault="003A22D3" w14:paraId="2FE9E36C" w14:textId="00BAC8E5">
      <w:pPr>
        <w:widowControl w:val="0"/>
        <w:numPr>
          <w:ilvl w:val="0"/>
          <w:numId w:val="9"/>
        </w:numPr>
        <w:tabs>
          <w:tab w:val="clear" w:pos="0"/>
        </w:tabs>
        <w:ind w:left="567" w:hanging="567"/>
        <w:rPr>
          <w:lang w:val="sl-SI"/>
        </w:rPr>
      </w:pPr>
      <w:r w:rsidRPr="00D27759">
        <w:rPr>
          <w:szCs w:val="22"/>
          <w:lang w:val="sl-SI"/>
        </w:rPr>
        <w:t>poudarja, da je treba razvijati digitalna znanja in spretnosti, da bi delavci ostali pomembni na trgu dela in ohranili avtonomijo. Zaradi umetnointeligenčnih sistemov upravljanja dela obstaja nevarnost dekvalifikacije. Politike bi se morale osredotočiti na vseživljenjsko učenje in usposabljanje, prilagojeno</w:t>
      </w:r>
      <w:r w:rsidRPr="00D27759">
        <w:rPr>
          <w:lang w:val="sl-SI"/>
        </w:rPr>
        <w:t xml:space="preserve"> digitalni preobrazbi;</w:t>
      </w:r>
    </w:p>
    <w:p w:rsidRPr="00D27759" w:rsidR="003A22D3" w:rsidP="003A22D3" w:rsidRDefault="003A22D3" w14:paraId="3AC6828C" w14:textId="0044BD66">
      <w:pPr>
        <w:widowControl w:val="0"/>
        <w:numPr>
          <w:ilvl w:val="0"/>
          <w:numId w:val="9"/>
        </w:numPr>
        <w:tabs>
          <w:tab w:val="clear" w:pos="0"/>
        </w:tabs>
        <w:ind w:left="567" w:hanging="567"/>
        <w:rPr>
          <w:szCs w:val="22"/>
          <w:lang w:val="sl-SI"/>
        </w:rPr>
      </w:pPr>
      <w:r w:rsidRPr="00D27759">
        <w:rPr>
          <w:lang w:val="sl-SI"/>
        </w:rPr>
        <w:t xml:space="preserve">poziva k strogi ureditvi umetne inteligence in pravicam delavcev, da bi zagotovili človeški nadzor </w:t>
      </w:r>
      <w:r w:rsidRPr="00D27759">
        <w:rPr>
          <w:szCs w:val="22"/>
          <w:lang w:val="sl-SI"/>
        </w:rPr>
        <w:t>nad sistemi upravljanja dela, ki jih poganja umetna inteligenca. Delavci, zlasti platformni, bi morali imeti pravico, da se z njimi opravi posvetovanje o uvajanju umetne inteligence. Za preprečevanje pristranskosti in diskriminacije v aplikacijah umetne inteligence so potrebne pregledne politike;</w:t>
      </w:r>
    </w:p>
    <w:p w:rsidRPr="00D27759" w:rsidR="003A22D3" w:rsidP="003A22D3" w:rsidRDefault="003A22D3" w14:paraId="6C8B064E" w14:textId="2B3C90FB">
      <w:pPr>
        <w:widowControl w:val="0"/>
        <w:numPr>
          <w:ilvl w:val="0"/>
          <w:numId w:val="9"/>
        </w:numPr>
        <w:tabs>
          <w:tab w:val="clear" w:pos="0"/>
        </w:tabs>
        <w:ind w:left="567" w:hanging="567"/>
        <w:rPr>
          <w:lang w:val="sl-SI"/>
        </w:rPr>
      </w:pPr>
      <w:r w:rsidRPr="00D27759">
        <w:rPr>
          <w:szCs w:val="22"/>
          <w:lang w:val="sl-SI"/>
        </w:rPr>
        <w:t>poudarja pomen usposabljanja in pismenosti na področju varnosti in zdravja pri delu, zlasti ob uvajanju novih tehnologij. Številni delavci nimajo osnovne pismenosti in ne znajo reševati problemov, kar vpliva na</w:t>
      </w:r>
      <w:r w:rsidRPr="00D27759">
        <w:rPr>
          <w:lang w:val="sl-SI"/>
        </w:rPr>
        <w:t xml:space="preserve"> njihovo sposobnost razumevanja varnostnih navodil. Odpravljanje teh pomanjkljivosti je ključnega pomena za varnost na delovnem mestu;</w:t>
      </w:r>
    </w:p>
    <w:p w:rsidRPr="00D27759" w:rsidR="003A22D3" w:rsidP="00FB3F9A" w:rsidRDefault="003A22D3" w14:paraId="2C7DC92F" w14:textId="24224504">
      <w:pPr>
        <w:keepNext/>
        <w:keepLines/>
        <w:widowControl w:val="0"/>
        <w:numPr>
          <w:ilvl w:val="0"/>
          <w:numId w:val="9"/>
        </w:numPr>
        <w:tabs>
          <w:tab w:val="clear" w:pos="0"/>
        </w:tabs>
        <w:ind w:left="567" w:hanging="567"/>
        <w:rPr>
          <w:szCs w:val="22"/>
          <w:lang w:val="sl-SI"/>
        </w:rPr>
      </w:pPr>
      <w:r w:rsidRPr="00D27759">
        <w:rPr>
          <w:lang w:val="sl-SI"/>
        </w:rPr>
        <w:lastRenderedPageBreak/>
        <w:t xml:space="preserve">opozarja na etične in pravne pomisleke, povezane z umetno inteligenco, saj lahko slednja utrjuje </w:t>
      </w:r>
      <w:r w:rsidRPr="00D27759">
        <w:rPr>
          <w:szCs w:val="22"/>
          <w:lang w:val="sl-SI"/>
        </w:rPr>
        <w:t>predsodke, povezane s spolom, raso, starostjo in invalidnostjo, kar predstavlja tveganje za varnost in zdravje pri delu. Pravni okvir EU obsega 116 zakonodajnih aktov, ki obravnavajo vpliv umetne inteligence na delovnem mestu. Za zagotavljanje varnih in poštenih delovnih pogojev je potrebna močna vključenost delavcev v uvajanje umetne inteligence;</w:t>
      </w:r>
    </w:p>
    <w:p w:rsidRPr="00D27759" w:rsidR="003A22D3" w:rsidP="003A22D3" w:rsidRDefault="003A22D3" w14:paraId="709BEACF" w14:textId="26CCEB3C">
      <w:pPr>
        <w:widowControl w:val="0"/>
        <w:numPr>
          <w:ilvl w:val="0"/>
          <w:numId w:val="9"/>
        </w:numPr>
        <w:tabs>
          <w:tab w:val="clear" w:pos="0"/>
        </w:tabs>
        <w:ind w:left="567" w:hanging="567"/>
        <w:rPr>
          <w:szCs w:val="22"/>
          <w:lang w:val="sl-SI"/>
        </w:rPr>
      </w:pPr>
      <w:r w:rsidRPr="00D27759">
        <w:rPr>
          <w:szCs w:val="22"/>
          <w:lang w:val="sl-SI"/>
        </w:rPr>
        <w:t>izraža zaskrbljenost glede nadzora na delovnem mestu in varstva podatkov ter svari pred vsiljivim elektronskim nadzorom, hkrati pa priznava njegove varnostne koristi. EU bi morala spremljati učinkovitost obstoječih predpisov in po potrebi uvesti dodatne ukrepe. Prednost je treba dati preglednosti pri odločanju na podlagi umetne inteligence in varnosti podatkov;</w:t>
      </w:r>
    </w:p>
    <w:p w:rsidRPr="00D27759" w:rsidR="008C2252" w:rsidP="003A22D3" w:rsidRDefault="003A22D3" w14:paraId="3B6CC22B" w14:textId="0440EE64">
      <w:pPr>
        <w:widowControl w:val="0"/>
        <w:numPr>
          <w:ilvl w:val="0"/>
          <w:numId w:val="9"/>
        </w:numPr>
        <w:tabs>
          <w:tab w:val="clear" w:pos="0"/>
        </w:tabs>
        <w:ind w:left="567" w:hanging="567"/>
        <w:rPr>
          <w:lang w:val="sl-SI"/>
        </w:rPr>
      </w:pPr>
      <w:r w:rsidRPr="00D27759">
        <w:rPr>
          <w:szCs w:val="22"/>
          <w:lang w:val="sl-SI"/>
        </w:rPr>
        <w:t xml:space="preserve">spodbuja socialne partnerje, da s kolektivnimi pogodbami dejavno sodelujejo pri urejanju umetne inteligence na delovnem mestu. Glede na omejeno število takšnih pogodb poziva k okrepljenemu socialnemu dialogu, da bi zagotovili pristop k umetni inteligenci, osredotočen na človeka. Evropsko komisijo tudi poziva, naj socialnim partnerjem zagotovi potrebne vire, vključno s krepitvijo zmogljivosti </w:t>
      </w:r>
      <w:r w:rsidRPr="00D27759">
        <w:rPr>
          <w:lang w:val="sl-SI"/>
        </w:rPr>
        <w:t>in znanjem o obstoječem regulativnem okviru, da bi se lahko učinkovito spopadli z izzivi digitalizacije.</w:t>
      </w:r>
    </w:p>
    <w:p w:rsidRPr="00D27759" w:rsidR="003A22D3" w:rsidP="008C2252" w:rsidRDefault="003A22D3" w14:paraId="0CAF83A2"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02A7D77D" w14:textId="77777777">
        <w:tc>
          <w:tcPr>
            <w:tcW w:w="974" w:type="pct"/>
          </w:tcPr>
          <w:p w:rsidRPr="00D27759" w:rsidR="008C2252" w:rsidP="00145601" w:rsidRDefault="008C2252" w14:paraId="5661B5B9" w14:textId="77777777">
            <w:pPr>
              <w:rPr>
                <w:lang w:val="sl-SI"/>
              </w:rPr>
            </w:pPr>
            <w:r w:rsidRPr="00D27759">
              <w:rPr>
                <w:b/>
                <w:i/>
                <w:szCs w:val="22"/>
                <w:lang w:val="sl-SI"/>
              </w:rPr>
              <w:t>Kontaktna oseba</w:t>
            </w:r>
          </w:p>
        </w:tc>
        <w:tc>
          <w:tcPr>
            <w:tcW w:w="4026" w:type="pct"/>
          </w:tcPr>
          <w:p w:rsidRPr="00D27759" w:rsidR="008C2252" w:rsidP="00145601" w:rsidRDefault="003A22D3" w14:paraId="7D856CB2" w14:textId="32B78543">
            <w:pPr>
              <w:rPr>
                <w:i/>
                <w:lang w:val="sl-SI"/>
              </w:rPr>
            </w:pPr>
            <w:r w:rsidRPr="00D27759">
              <w:rPr>
                <w:i/>
                <w:lang w:val="sl-SI"/>
              </w:rPr>
              <w:t>Alessia Cova</w:t>
            </w:r>
          </w:p>
        </w:tc>
      </w:tr>
      <w:tr w:rsidRPr="00D27759" w:rsidR="008C2252" w:rsidTr="00145601" w14:paraId="597A09DD" w14:textId="77777777">
        <w:tc>
          <w:tcPr>
            <w:tcW w:w="974" w:type="pct"/>
          </w:tcPr>
          <w:p w:rsidRPr="00D27759" w:rsidR="008C2252" w:rsidP="00145601" w:rsidRDefault="008C2252" w14:paraId="7C027C65" w14:textId="77777777">
            <w:pPr>
              <w:rPr>
                <w:lang w:val="sl-SI"/>
              </w:rPr>
            </w:pPr>
            <w:r w:rsidRPr="00D27759">
              <w:rPr>
                <w:i/>
                <w:szCs w:val="22"/>
                <w:lang w:val="sl-SI"/>
              </w:rPr>
              <w:t>Telefon</w:t>
            </w:r>
          </w:p>
        </w:tc>
        <w:tc>
          <w:tcPr>
            <w:tcW w:w="4026" w:type="pct"/>
          </w:tcPr>
          <w:p w:rsidRPr="00D27759" w:rsidR="008C2252" w:rsidP="00145601" w:rsidRDefault="008C2252" w14:paraId="066B326C" w14:textId="342FE4E9">
            <w:pPr>
              <w:rPr>
                <w:lang w:val="sl-SI"/>
              </w:rPr>
            </w:pPr>
            <w:r w:rsidRPr="00D27759">
              <w:rPr>
                <w:i/>
                <w:szCs w:val="22"/>
                <w:lang w:val="sl-SI"/>
              </w:rPr>
              <w:t>+32 2 </w:t>
            </w:r>
            <w:r w:rsidRPr="00D27759" w:rsidR="003A22D3">
              <w:rPr>
                <w:i/>
                <w:szCs w:val="22"/>
                <w:lang w:val="sl-SI"/>
              </w:rPr>
              <w:t>546 9426</w:t>
            </w:r>
          </w:p>
        </w:tc>
      </w:tr>
      <w:tr w:rsidRPr="00D27759" w:rsidR="008C2252" w:rsidTr="00145601" w14:paraId="742BC372" w14:textId="77777777">
        <w:tc>
          <w:tcPr>
            <w:tcW w:w="974" w:type="pct"/>
          </w:tcPr>
          <w:p w:rsidRPr="00D27759" w:rsidR="008C2252" w:rsidP="00145601" w:rsidRDefault="008C2252" w14:paraId="39D938B4" w14:textId="77777777">
            <w:pPr>
              <w:rPr>
                <w:lang w:val="sl-SI"/>
              </w:rPr>
            </w:pPr>
            <w:r w:rsidRPr="00D27759">
              <w:rPr>
                <w:i/>
                <w:szCs w:val="22"/>
                <w:lang w:val="sl-SI"/>
              </w:rPr>
              <w:t>E-naslov</w:t>
            </w:r>
          </w:p>
        </w:tc>
        <w:tc>
          <w:tcPr>
            <w:tcW w:w="4026" w:type="pct"/>
          </w:tcPr>
          <w:p w:rsidRPr="00D27759" w:rsidR="008C2252" w:rsidP="00145601" w:rsidRDefault="00AA6CE8" w14:paraId="5D612DED" w14:textId="63C1E14E">
            <w:pPr>
              <w:rPr>
                <w:i/>
                <w:lang w:val="sl-SI"/>
              </w:rPr>
            </w:pPr>
            <w:hyperlink w:history="1" r:id="rId19">
              <w:r w:rsidRPr="00D27759" w:rsidR="003A22D3">
                <w:rPr>
                  <w:rStyle w:val="Hyperlink"/>
                  <w:i/>
                  <w:lang w:val="sl-SI"/>
                </w:rPr>
                <w:t>Alessia.Cova@eesc.europa.eu</w:t>
              </w:r>
            </w:hyperlink>
          </w:p>
        </w:tc>
      </w:tr>
    </w:tbl>
    <w:p w:rsidRPr="00D27759" w:rsidR="008C2252" w:rsidP="008C2252" w:rsidRDefault="008C2252" w14:paraId="4DF5F143" w14:textId="77777777">
      <w:pPr>
        <w:rPr>
          <w:lang w:val="sl-SI"/>
        </w:rPr>
      </w:pPr>
    </w:p>
    <w:p w:rsidRPr="00D27759" w:rsidR="008C2252" w:rsidP="00133CCA" w:rsidRDefault="00AA6CE8" w14:paraId="035C0A4C" w14:textId="109C053C">
      <w:pPr>
        <w:keepNext/>
        <w:keepLines/>
        <w:numPr>
          <w:ilvl w:val="0"/>
          <w:numId w:val="7"/>
        </w:numPr>
        <w:tabs>
          <w:tab w:val="clear" w:pos="0"/>
        </w:tabs>
        <w:spacing w:line="240" w:lineRule="auto"/>
        <w:ind w:left="567" w:hanging="567"/>
        <w:rPr>
          <w:sz w:val="28"/>
          <w:szCs w:val="22"/>
          <w:lang w:val="sl-SI"/>
        </w:rPr>
      </w:pPr>
      <w:hyperlink w:history="1" r:id="rId20">
        <w:r w:rsidRPr="00D27759" w:rsidR="00133CCA">
          <w:rPr>
            <w:rStyle w:val="Hyperlink"/>
            <w:b/>
            <w:bCs/>
            <w:i/>
            <w:iCs/>
            <w:sz w:val="28"/>
            <w:szCs w:val="24"/>
            <w:lang w:val="sl-SI"/>
          </w:rPr>
          <w:t>Delovni čas, gospodarska učinkovitost in dobro počutje delavcev (tudi glede na digitalne spremembe in avtomatizacijo dela): pravna in primerjalna analiza stanja v državah članicah EU</w:t>
        </w:r>
      </w:hyperlink>
    </w:p>
    <w:p w:rsidRPr="00D27759" w:rsidR="008C2252" w:rsidP="00133CCA" w:rsidRDefault="008C2252" w14:paraId="7D03BCC1" w14:textId="77777777">
      <w:pPr>
        <w:keepNext/>
        <w:keepLines/>
        <w:spacing w:line="240"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669942D6" w14:textId="77777777">
        <w:tc>
          <w:tcPr>
            <w:tcW w:w="974" w:type="pct"/>
          </w:tcPr>
          <w:p w:rsidRPr="00D27759" w:rsidR="008C2252" w:rsidP="00133CCA" w:rsidRDefault="008C2252" w14:paraId="136D2C55" w14:textId="002EEC49">
            <w:pPr>
              <w:keepNext/>
              <w:keepLines/>
              <w:spacing w:line="240" w:lineRule="auto"/>
              <w:rPr>
                <w:b/>
                <w:szCs w:val="22"/>
                <w:lang w:val="sl-SI"/>
              </w:rPr>
            </w:pPr>
            <w:r w:rsidRPr="00D27759">
              <w:rPr>
                <w:b/>
                <w:szCs w:val="22"/>
                <w:lang w:val="sl-SI"/>
              </w:rPr>
              <w:t>Poročeval</w:t>
            </w:r>
            <w:r w:rsidRPr="00D27759" w:rsidR="00FB3F9A">
              <w:rPr>
                <w:b/>
                <w:szCs w:val="22"/>
                <w:lang w:val="sl-SI"/>
              </w:rPr>
              <w:t>ka</w:t>
            </w:r>
          </w:p>
        </w:tc>
        <w:tc>
          <w:tcPr>
            <w:tcW w:w="4026" w:type="pct"/>
          </w:tcPr>
          <w:p w:rsidRPr="00D27759" w:rsidR="008C2252" w:rsidP="00133CCA" w:rsidRDefault="00FB3F9A" w14:paraId="5E4A61DD" w14:textId="4622C9A0">
            <w:pPr>
              <w:keepNext/>
              <w:keepLines/>
              <w:spacing w:line="240" w:lineRule="auto"/>
              <w:rPr>
                <w:szCs w:val="22"/>
                <w:lang w:val="sl-SI"/>
              </w:rPr>
            </w:pPr>
            <w:r w:rsidRPr="00D27759">
              <w:rPr>
                <w:szCs w:val="22"/>
                <w:lang w:val="sl-SI"/>
              </w:rPr>
              <w:t>María del Carmen BARRERA CHAMORRO (skupina delojemalcev – ES)</w:t>
            </w:r>
          </w:p>
        </w:tc>
      </w:tr>
      <w:tr w:rsidRPr="00D27759" w:rsidR="008C2252" w:rsidTr="00145601" w14:paraId="590F7782" w14:textId="77777777">
        <w:tc>
          <w:tcPr>
            <w:tcW w:w="5000" w:type="pct"/>
            <w:gridSpan w:val="2"/>
          </w:tcPr>
          <w:p w:rsidRPr="00D27759" w:rsidR="008C2252" w:rsidP="00133CCA" w:rsidRDefault="008C2252" w14:paraId="78C28259" w14:textId="77777777">
            <w:pPr>
              <w:keepNext/>
              <w:keepLines/>
              <w:spacing w:line="240" w:lineRule="auto"/>
              <w:rPr>
                <w:sz w:val="16"/>
                <w:szCs w:val="22"/>
                <w:lang w:val="sl-SI"/>
              </w:rPr>
            </w:pPr>
          </w:p>
        </w:tc>
      </w:tr>
      <w:tr w:rsidRPr="00D27759" w:rsidR="008C2252" w:rsidTr="00145601" w14:paraId="6A06DC71" w14:textId="77777777">
        <w:tc>
          <w:tcPr>
            <w:tcW w:w="974" w:type="pct"/>
            <w:vMerge w:val="restart"/>
          </w:tcPr>
          <w:p w:rsidRPr="00D27759" w:rsidR="008C2252" w:rsidP="00133CCA" w:rsidRDefault="008C2252" w14:paraId="416894B6" w14:textId="77777777">
            <w:pPr>
              <w:keepNext/>
              <w:keepLines/>
              <w:spacing w:line="240" w:lineRule="auto"/>
              <w:rPr>
                <w:b/>
                <w:szCs w:val="22"/>
                <w:lang w:val="sl-SI"/>
              </w:rPr>
            </w:pPr>
            <w:r w:rsidRPr="00D27759">
              <w:rPr>
                <w:b/>
                <w:szCs w:val="22"/>
                <w:lang w:val="sl-SI"/>
              </w:rPr>
              <w:t>Referenčni dokument</w:t>
            </w:r>
          </w:p>
        </w:tc>
        <w:tc>
          <w:tcPr>
            <w:tcW w:w="4026" w:type="pct"/>
          </w:tcPr>
          <w:p w:rsidRPr="00D27759" w:rsidR="008C2252" w:rsidP="00133CCA" w:rsidRDefault="00133CCA" w14:paraId="641DE5D4" w14:textId="58E7715B">
            <w:pPr>
              <w:keepNext/>
              <w:keepLines/>
              <w:spacing w:line="240" w:lineRule="auto"/>
              <w:rPr>
                <w:szCs w:val="22"/>
                <w:lang w:val="sl-SI"/>
              </w:rPr>
            </w:pPr>
            <w:r w:rsidRPr="00D27759">
              <w:rPr>
                <w:szCs w:val="22"/>
                <w:lang w:val="sl-SI"/>
              </w:rPr>
              <w:t>raziskovalno mnenje na zaprosilo poljskega predsedstva Svetu EU</w:t>
            </w:r>
          </w:p>
        </w:tc>
      </w:tr>
      <w:tr w:rsidRPr="00D27759" w:rsidR="008C2252" w:rsidTr="00145601" w14:paraId="7A4804F0" w14:textId="77777777">
        <w:tc>
          <w:tcPr>
            <w:tcW w:w="974" w:type="pct"/>
            <w:vMerge/>
          </w:tcPr>
          <w:p w:rsidRPr="00D27759" w:rsidR="008C2252" w:rsidP="00133CCA" w:rsidRDefault="008C2252" w14:paraId="2443C081" w14:textId="77777777">
            <w:pPr>
              <w:keepNext/>
              <w:keepLines/>
              <w:tabs>
                <w:tab w:val="center" w:pos="284"/>
              </w:tabs>
              <w:spacing w:line="240" w:lineRule="auto"/>
              <w:ind w:left="266" w:hanging="266"/>
              <w:rPr>
                <w:b/>
                <w:szCs w:val="22"/>
                <w:lang w:val="sl-SI"/>
              </w:rPr>
            </w:pPr>
          </w:p>
        </w:tc>
        <w:tc>
          <w:tcPr>
            <w:tcW w:w="4026" w:type="pct"/>
          </w:tcPr>
          <w:p w:rsidRPr="00D27759" w:rsidR="008C2252" w:rsidP="00133CCA" w:rsidRDefault="00FB3F9A" w14:paraId="563CEC74" w14:textId="698C6992">
            <w:pPr>
              <w:keepNext/>
              <w:keepLines/>
              <w:spacing w:line="240" w:lineRule="auto"/>
              <w:rPr>
                <w:szCs w:val="22"/>
                <w:lang w:val="sl-SI"/>
              </w:rPr>
            </w:pPr>
            <w:r w:rsidRPr="00D27759">
              <w:rPr>
                <w:szCs w:val="22"/>
                <w:lang w:val="sl-SI"/>
              </w:rPr>
              <w:t>EESC-2024-03947-00-00-AC</w:t>
            </w:r>
          </w:p>
        </w:tc>
      </w:tr>
    </w:tbl>
    <w:p w:rsidRPr="00D27759" w:rsidR="008C2252" w:rsidP="00133CCA" w:rsidRDefault="008C2252" w14:paraId="37F2737C" w14:textId="77777777">
      <w:pPr>
        <w:keepNext/>
        <w:keepLines/>
        <w:spacing w:line="240" w:lineRule="auto"/>
        <w:rPr>
          <w:szCs w:val="22"/>
          <w:lang w:val="sl-SI"/>
        </w:rPr>
      </w:pPr>
    </w:p>
    <w:p w:rsidRPr="00D27759" w:rsidR="008C2252" w:rsidP="00133CCA" w:rsidRDefault="008C2252" w14:paraId="6B451F1B" w14:textId="77777777">
      <w:pPr>
        <w:keepNext/>
        <w:keepLines/>
        <w:spacing w:line="240" w:lineRule="auto"/>
        <w:rPr>
          <w:lang w:val="sl-SI"/>
        </w:rPr>
      </w:pPr>
      <w:r w:rsidRPr="00D27759">
        <w:rPr>
          <w:b/>
          <w:lang w:val="sl-SI"/>
        </w:rPr>
        <w:t>Glavne točke</w:t>
      </w:r>
    </w:p>
    <w:p w:rsidRPr="00D27759" w:rsidR="008C2252" w:rsidP="00133CCA" w:rsidRDefault="008C2252" w14:paraId="55C73E73" w14:textId="77777777">
      <w:pPr>
        <w:keepNext/>
        <w:keepLines/>
        <w:spacing w:line="240" w:lineRule="auto"/>
        <w:rPr>
          <w:szCs w:val="22"/>
          <w:lang w:val="sl-SI"/>
        </w:rPr>
      </w:pPr>
    </w:p>
    <w:p w:rsidRPr="00D27759" w:rsidR="008C2252" w:rsidP="00133CCA" w:rsidRDefault="008C2252" w14:paraId="57B3B47E" w14:textId="77777777">
      <w:pPr>
        <w:keepNext/>
        <w:keepLines/>
        <w:spacing w:line="240" w:lineRule="auto"/>
        <w:rPr>
          <w:bCs/>
          <w:iCs/>
          <w:szCs w:val="22"/>
          <w:lang w:val="sl-SI"/>
        </w:rPr>
      </w:pPr>
      <w:r w:rsidRPr="00D27759">
        <w:rPr>
          <w:bCs/>
          <w:iCs/>
          <w:szCs w:val="22"/>
          <w:lang w:val="sl-SI"/>
        </w:rPr>
        <w:t>EESO:</w:t>
      </w:r>
    </w:p>
    <w:p w:rsidRPr="00D27759" w:rsidR="008C2252" w:rsidP="00133CCA" w:rsidRDefault="008C2252" w14:paraId="24202323" w14:textId="628F6186">
      <w:pPr>
        <w:keepNext/>
        <w:keepLines/>
        <w:spacing w:line="240" w:lineRule="auto"/>
        <w:rPr>
          <w:szCs w:val="22"/>
          <w:lang w:val="sl-SI"/>
        </w:rPr>
      </w:pPr>
    </w:p>
    <w:p w:rsidRPr="00D27759" w:rsidR="00FB3F9A" w:rsidP="00133CCA" w:rsidRDefault="00FB3F9A" w14:paraId="01A855F0" w14:textId="008269A8">
      <w:pPr>
        <w:keepNext/>
        <w:keepLines/>
        <w:widowControl w:val="0"/>
        <w:numPr>
          <w:ilvl w:val="0"/>
          <w:numId w:val="9"/>
        </w:numPr>
        <w:tabs>
          <w:tab w:val="clear" w:pos="0"/>
        </w:tabs>
        <w:spacing w:line="240" w:lineRule="auto"/>
        <w:ind w:left="567" w:hanging="567"/>
        <w:rPr>
          <w:szCs w:val="22"/>
          <w:lang w:val="sl-SI"/>
        </w:rPr>
      </w:pPr>
      <w:r w:rsidRPr="00D27759">
        <w:rPr>
          <w:szCs w:val="22"/>
          <w:lang w:val="sl-SI"/>
        </w:rPr>
        <w:t>uporablja pojem skrajšanje delovnega časa v smislu, da delavec v referenčnem obdobju dela manj ur za enako veliko plačo, torej obstaja jasna razlika med krajšimi delovnimi dnevi v obliki dela s krajšim delovnim časom in strnjenimi delovnimi dnevi (tj. enako število delovnih ur, opravljenih v manj dneh, na primer 4 dnevi po 10 ur);</w:t>
      </w:r>
    </w:p>
    <w:p w:rsidRPr="00D27759" w:rsidR="00FB3F9A" w:rsidP="00133CCA" w:rsidRDefault="00FB3F9A" w14:paraId="31F58033" w14:textId="4A37AA2D">
      <w:pPr>
        <w:keepNext/>
        <w:keepLines/>
        <w:widowControl w:val="0"/>
        <w:numPr>
          <w:ilvl w:val="0"/>
          <w:numId w:val="9"/>
        </w:numPr>
        <w:tabs>
          <w:tab w:val="clear" w:pos="0"/>
        </w:tabs>
        <w:spacing w:line="240" w:lineRule="auto"/>
        <w:ind w:left="567" w:hanging="567"/>
        <w:rPr>
          <w:szCs w:val="22"/>
          <w:lang w:val="sl-SI"/>
        </w:rPr>
      </w:pPr>
      <w:r w:rsidRPr="00D27759">
        <w:rPr>
          <w:szCs w:val="22"/>
          <w:lang w:val="sl-SI"/>
        </w:rPr>
        <w:t>meni, da je delovni čas eden od vidikov dela, ki najbolj vpliva na kakovost življenja ljudi in je ključnega pomena za učinkovito organizacijo gospodarske dejavnosti v podjetjih;</w:t>
      </w:r>
    </w:p>
    <w:p w:rsidRPr="00D27759" w:rsidR="00FB3F9A" w:rsidP="00133CCA" w:rsidRDefault="00FB3F9A" w14:paraId="3243FE38" w14:textId="07D2E0AD">
      <w:pPr>
        <w:keepNext/>
        <w:keepLines/>
        <w:widowControl w:val="0"/>
        <w:numPr>
          <w:ilvl w:val="0"/>
          <w:numId w:val="9"/>
        </w:numPr>
        <w:tabs>
          <w:tab w:val="clear" w:pos="0"/>
        </w:tabs>
        <w:spacing w:line="240" w:lineRule="auto"/>
        <w:ind w:left="567" w:hanging="567"/>
        <w:rPr>
          <w:szCs w:val="22"/>
          <w:lang w:val="sl-SI"/>
        </w:rPr>
      </w:pPr>
      <w:r w:rsidRPr="00D27759">
        <w:rPr>
          <w:szCs w:val="22"/>
          <w:lang w:val="sl-SI"/>
        </w:rPr>
        <w:t>ugotavlja velike razlike med državami in med sektorji, čeprav evropski delovni teden traja v povprečju 37,1 ure. Znanstveni dokazi, ki so na voljo na podlagi pilotnih projektov, razkrivajo, da morda obstaja pozitivno razmerje med krajšim delovnim tednom in produktivnostjo: krajši ko je povprečni delovni teden, večja je produktivnost. Zato bi veljalo nadalje preučiti sektorske poskuse in pilotne projekte za ugotavljanje razmerja med skrajšanim delovnim tednom in produktivnostjo;</w:t>
      </w:r>
    </w:p>
    <w:p w:rsidRPr="00D27759" w:rsidR="00FB3F9A" w:rsidP="00133CCA" w:rsidRDefault="00FB3F9A" w14:paraId="757C7994" w14:textId="08A64FBC">
      <w:pPr>
        <w:keepNext/>
        <w:keepLines/>
        <w:widowControl w:val="0"/>
        <w:numPr>
          <w:ilvl w:val="0"/>
          <w:numId w:val="9"/>
        </w:numPr>
        <w:tabs>
          <w:tab w:val="clear" w:pos="0"/>
        </w:tabs>
        <w:spacing w:line="240" w:lineRule="auto"/>
        <w:ind w:left="567" w:hanging="567"/>
        <w:rPr>
          <w:lang w:val="sl-SI"/>
        </w:rPr>
      </w:pPr>
      <w:r w:rsidRPr="00D27759">
        <w:rPr>
          <w:szCs w:val="22"/>
          <w:lang w:val="sl-SI"/>
        </w:rPr>
        <w:t>meni, da so socialni partnerji ključni akterji pri spodbujanju ukrepov s ciljem, da čim več sektorjev</w:t>
      </w:r>
      <w:r w:rsidRPr="00D27759">
        <w:rPr>
          <w:lang w:val="sl-SI"/>
        </w:rPr>
        <w:t xml:space="preserve"> in podjetij sprejme ureditev, ki se jim zdi primerna. Vendar socialni partnerji v vseh državah niti v vseh sektorjih ne morejo sklepati takšnih sporazumov. Institucije EU in države članice bi bilo treba spodbujati k ustvarjanju ugodnih pogojev v smislu pobud in zakonodaje za sektorje oziroma podjetja, ki želijo take ureditve preskusiti ali sprejeti;</w:t>
      </w:r>
    </w:p>
    <w:p w:rsidRPr="00D27759" w:rsidR="00FB3F9A" w:rsidP="00133CCA" w:rsidRDefault="00FB3F9A" w14:paraId="4351130C" w14:textId="02972EFE">
      <w:pPr>
        <w:keepNext/>
        <w:keepLines/>
        <w:widowControl w:val="0"/>
        <w:numPr>
          <w:ilvl w:val="0"/>
          <w:numId w:val="9"/>
        </w:numPr>
        <w:tabs>
          <w:tab w:val="clear" w:pos="0"/>
        </w:tabs>
        <w:spacing w:line="240" w:lineRule="auto"/>
        <w:ind w:left="567" w:hanging="567"/>
        <w:rPr>
          <w:szCs w:val="22"/>
          <w:lang w:val="sl-SI"/>
        </w:rPr>
      </w:pPr>
      <w:r w:rsidRPr="00D27759">
        <w:rPr>
          <w:szCs w:val="22"/>
          <w:lang w:val="sl-SI"/>
        </w:rPr>
        <w:t>spodbuja uvedbo prožnih oblik organizacije delovnega časa, da bi upoštevali položaj različnih ranljivih skupin in zagotovili dostojno delo;</w:t>
      </w:r>
    </w:p>
    <w:p w:rsidRPr="00D27759" w:rsidR="00FB3F9A" w:rsidP="00133CCA" w:rsidRDefault="00FB3F9A" w14:paraId="1854815D" w14:textId="6EC24353">
      <w:pPr>
        <w:widowControl w:val="0"/>
        <w:numPr>
          <w:ilvl w:val="0"/>
          <w:numId w:val="9"/>
        </w:numPr>
        <w:tabs>
          <w:tab w:val="clear" w:pos="0"/>
        </w:tabs>
        <w:spacing w:line="240" w:lineRule="auto"/>
        <w:ind w:left="567" w:hanging="567"/>
        <w:rPr>
          <w:szCs w:val="22"/>
          <w:lang w:val="sl-SI"/>
        </w:rPr>
      </w:pPr>
      <w:r w:rsidRPr="00D27759">
        <w:rPr>
          <w:szCs w:val="22"/>
          <w:lang w:val="sl-SI"/>
        </w:rPr>
        <w:t>meni, da imajo socialni partnerji na vseh ravneh imajo pomembno vlogo pri razpravi o prožnih ureditvah, tudi v zvezi s skrajšanjem delovnega časa. Socialne partnerje je treba z vsemi potrebnimi sredstvi dejavno spodbujati in podpirati, da bi povečali zdravje, usklajevanje poklicnega in zasebnega življenja ter koristi krajšega in/ali prožnejšega delovnega časa za učinkovitost;</w:t>
      </w:r>
    </w:p>
    <w:p w:rsidRPr="00D27759" w:rsidR="00FB3F9A" w:rsidP="00133CCA" w:rsidRDefault="00FB3F9A" w14:paraId="7CF383A1" w14:textId="35217DC9">
      <w:pPr>
        <w:widowControl w:val="0"/>
        <w:numPr>
          <w:ilvl w:val="0"/>
          <w:numId w:val="9"/>
        </w:numPr>
        <w:tabs>
          <w:tab w:val="clear" w:pos="0"/>
        </w:tabs>
        <w:spacing w:line="240" w:lineRule="auto"/>
        <w:ind w:left="567" w:hanging="567"/>
        <w:rPr>
          <w:szCs w:val="22"/>
          <w:lang w:val="sl-SI"/>
        </w:rPr>
      </w:pPr>
      <w:r w:rsidRPr="00D27759">
        <w:rPr>
          <w:szCs w:val="22"/>
          <w:lang w:val="sl-SI"/>
        </w:rPr>
        <w:t>priporoča spodbujanje novih modelov prožnosti, o katerih se dogovorijo socialni partnerji, vključno s štiridnevnim delovnim tednom in/ali skrajšanjem delovnega časa, da bi lažje dosegli ravnovesje med poklicnim in zasebnim življenjem. S prožnimi ureditvami delovnega časa se išče ravnovesje med interesom delodajalcev za večanje produktivnosti in interesom zaposlenih za boljše usklajevanje poklicnega in zasebnega življenja ter njihovim občutkom, da lahko vplivajo na ureditev delovnega časa;</w:t>
      </w:r>
    </w:p>
    <w:p w:rsidRPr="00D27759" w:rsidR="00FB3F9A" w:rsidP="00133CCA" w:rsidRDefault="00FB3F9A" w14:paraId="250DB632" w14:textId="67CE4E44">
      <w:pPr>
        <w:widowControl w:val="0"/>
        <w:numPr>
          <w:ilvl w:val="0"/>
          <w:numId w:val="9"/>
        </w:numPr>
        <w:tabs>
          <w:tab w:val="clear" w:pos="0"/>
        </w:tabs>
        <w:spacing w:line="240" w:lineRule="auto"/>
        <w:ind w:left="567" w:hanging="567"/>
        <w:rPr>
          <w:szCs w:val="22"/>
          <w:lang w:val="sl-SI"/>
        </w:rPr>
      </w:pPr>
      <w:r w:rsidRPr="00D27759">
        <w:rPr>
          <w:szCs w:val="22"/>
          <w:lang w:val="sl-SI"/>
        </w:rPr>
        <w:t>poudarja pozitivne učinke skrajšanega delovnega časa na družbo, kot so demografska obnova, enakost spolov, manjše breme za zdravstveni sistem in morebitno daljše ohranjanje delavcev v svetu dela, s katerimi se ustvarja pozitivno okolje, ki spodbuja ustvarjalnost in inovacije. Dobro socialno okolje ne koristi le državi, temveč tudi podjetjem in delavcem;</w:t>
      </w:r>
    </w:p>
    <w:p w:rsidRPr="00D27759" w:rsidR="008C2252" w:rsidP="00133CCA" w:rsidRDefault="00FB3F9A" w14:paraId="3CEDD338" w14:textId="13A3F54C">
      <w:pPr>
        <w:widowControl w:val="0"/>
        <w:numPr>
          <w:ilvl w:val="0"/>
          <w:numId w:val="9"/>
        </w:numPr>
        <w:tabs>
          <w:tab w:val="clear" w:pos="0"/>
        </w:tabs>
        <w:spacing w:line="240" w:lineRule="auto"/>
        <w:ind w:left="567" w:hanging="567"/>
        <w:rPr>
          <w:lang w:val="sl-SI"/>
        </w:rPr>
      </w:pPr>
      <w:r w:rsidRPr="00D27759">
        <w:rPr>
          <w:szCs w:val="22"/>
          <w:lang w:val="sl-SI"/>
        </w:rPr>
        <w:t xml:space="preserve">spodbuja </w:t>
      </w:r>
      <w:r w:rsidRPr="00D27759">
        <w:rPr>
          <w:lang w:val="sl-SI"/>
        </w:rPr>
        <w:t>institucije EU, vlade držav članic in socialne partnerje, naj pospešijo priznavanje digitalnega odklopa kot pravico vseh delavcev v EU.</w:t>
      </w:r>
    </w:p>
    <w:p w:rsidRPr="00D27759" w:rsidR="00FB3F9A" w:rsidP="00133CCA" w:rsidRDefault="00FB3F9A" w14:paraId="56AA9115" w14:textId="77777777">
      <w:pPr>
        <w:spacing w:line="240"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75B4F7AB" w14:textId="77777777">
        <w:tc>
          <w:tcPr>
            <w:tcW w:w="974" w:type="pct"/>
          </w:tcPr>
          <w:p w:rsidRPr="00D27759" w:rsidR="008C2252" w:rsidP="00133CCA" w:rsidRDefault="008C2252" w14:paraId="0ACCCDF5" w14:textId="77777777">
            <w:pPr>
              <w:spacing w:line="240" w:lineRule="auto"/>
              <w:rPr>
                <w:lang w:val="sl-SI"/>
              </w:rPr>
            </w:pPr>
            <w:r w:rsidRPr="00D27759">
              <w:rPr>
                <w:b/>
                <w:i/>
                <w:szCs w:val="22"/>
                <w:lang w:val="sl-SI"/>
              </w:rPr>
              <w:t>Kontaktna oseba</w:t>
            </w:r>
          </w:p>
        </w:tc>
        <w:tc>
          <w:tcPr>
            <w:tcW w:w="4026" w:type="pct"/>
          </w:tcPr>
          <w:p w:rsidRPr="00D27759" w:rsidR="008C2252" w:rsidP="00133CCA" w:rsidRDefault="00FB3F9A" w14:paraId="6E05F5D6" w14:textId="4994D892">
            <w:pPr>
              <w:spacing w:line="240" w:lineRule="auto"/>
              <w:rPr>
                <w:i/>
                <w:lang w:val="sl-SI"/>
              </w:rPr>
            </w:pPr>
            <w:r w:rsidRPr="00D27759">
              <w:rPr>
                <w:i/>
                <w:lang w:val="sl-SI"/>
              </w:rPr>
              <w:t>Ana Dumitrache</w:t>
            </w:r>
          </w:p>
        </w:tc>
      </w:tr>
      <w:tr w:rsidRPr="00D27759" w:rsidR="008C2252" w:rsidTr="00145601" w14:paraId="4CC0EA48" w14:textId="77777777">
        <w:tc>
          <w:tcPr>
            <w:tcW w:w="974" w:type="pct"/>
          </w:tcPr>
          <w:p w:rsidRPr="00D27759" w:rsidR="008C2252" w:rsidP="00133CCA" w:rsidRDefault="008C2252" w14:paraId="3A8E4EBC" w14:textId="77777777">
            <w:pPr>
              <w:spacing w:line="240" w:lineRule="auto"/>
              <w:rPr>
                <w:lang w:val="sl-SI"/>
              </w:rPr>
            </w:pPr>
            <w:r w:rsidRPr="00D27759">
              <w:rPr>
                <w:i/>
                <w:szCs w:val="22"/>
                <w:lang w:val="sl-SI"/>
              </w:rPr>
              <w:t>Telefon</w:t>
            </w:r>
          </w:p>
        </w:tc>
        <w:tc>
          <w:tcPr>
            <w:tcW w:w="4026" w:type="pct"/>
          </w:tcPr>
          <w:p w:rsidRPr="00D27759" w:rsidR="008C2252" w:rsidP="00133CCA" w:rsidRDefault="008C2252" w14:paraId="006F66A1" w14:textId="3156E478">
            <w:pPr>
              <w:spacing w:line="240" w:lineRule="auto"/>
              <w:rPr>
                <w:lang w:val="sl-SI"/>
              </w:rPr>
            </w:pPr>
            <w:r w:rsidRPr="00D27759">
              <w:rPr>
                <w:i/>
                <w:szCs w:val="22"/>
                <w:lang w:val="sl-SI"/>
              </w:rPr>
              <w:t>+32 2 </w:t>
            </w:r>
            <w:r w:rsidRPr="00D27759" w:rsidR="00FB3F9A">
              <w:rPr>
                <w:i/>
                <w:szCs w:val="22"/>
                <w:lang w:val="sl-SI"/>
              </w:rPr>
              <w:t>546 8131</w:t>
            </w:r>
          </w:p>
        </w:tc>
      </w:tr>
      <w:tr w:rsidRPr="00D27759" w:rsidR="008C2252" w:rsidTr="00145601" w14:paraId="48DE3025" w14:textId="77777777">
        <w:tc>
          <w:tcPr>
            <w:tcW w:w="974" w:type="pct"/>
          </w:tcPr>
          <w:p w:rsidRPr="00D27759" w:rsidR="008C2252" w:rsidP="00133CCA" w:rsidRDefault="008C2252" w14:paraId="1FE8A40D" w14:textId="77777777">
            <w:pPr>
              <w:spacing w:line="240" w:lineRule="auto"/>
              <w:rPr>
                <w:lang w:val="sl-SI"/>
              </w:rPr>
            </w:pPr>
            <w:r w:rsidRPr="00D27759">
              <w:rPr>
                <w:i/>
                <w:szCs w:val="22"/>
                <w:lang w:val="sl-SI"/>
              </w:rPr>
              <w:t>E-naslov</w:t>
            </w:r>
          </w:p>
        </w:tc>
        <w:tc>
          <w:tcPr>
            <w:tcW w:w="4026" w:type="pct"/>
          </w:tcPr>
          <w:p w:rsidRPr="00D27759" w:rsidR="008C2252" w:rsidP="00133CCA" w:rsidRDefault="00FB3F9A" w14:paraId="3AEA4823" w14:textId="31C1A59E">
            <w:pPr>
              <w:spacing w:line="240" w:lineRule="auto"/>
              <w:rPr>
                <w:i/>
                <w:lang w:val="sl-SI"/>
              </w:rPr>
            </w:pPr>
            <w:r w:rsidRPr="00D27759">
              <w:rPr>
                <w:i/>
                <w:lang w:val="sl-SI"/>
              </w:rPr>
              <w:t>Ana.Dumitrache@eesc.europa.eu</w:t>
            </w:r>
          </w:p>
        </w:tc>
      </w:tr>
    </w:tbl>
    <w:p w:rsidRPr="00D27759" w:rsidR="008C2252" w:rsidP="00133CCA" w:rsidRDefault="008C2252" w14:paraId="0EE9D595" w14:textId="77777777">
      <w:pPr>
        <w:spacing w:line="240" w:lineRule="auto"/>
        <w:rPr>
          <w:lang w:val="sl-SI"/>
        </w:rPr>
      </w:pPr>
    </w:p>
    <w:p w:rsidRPr="00D27759" w:rsidR="008C2252" w:rsidP="00133CCA" w:rsidRDefault="00AA6CE8" w14:paraId="63902F13" w14:textId="6BC3EA1A">
      <w:pPr>
        <w:keepNext/>
        <w:keepLines/>
        <w:numPr>
          <w:ilvl w:val="0"/>
          <w:numId w:val="7"/>
        </w:numPr>
        <w:tabs>
          <w:tab w:val="clear" w:pos="0"/>
        </w:tabs>
        <w:ind w:left="567" w:hanging="567"/>
        <w:rPr>
          <w:bCs/>
          <w:sz w:val="28"/>
          <w:szCs w:val="22"/>
          <w:lang w:val="sl-SI"/>
        </w:rPr>
      </w:pPr>
      <w:hyperlink w:history="1" r:id="rId21">
        <w:r w:rsidRPr="00D27759" w:rsidR="001C0373">
          <w:rPr>
            <w:rStyle w:val="Hyperlink"/>
            <w:b/>
            <w:i/>
            <w:iCs/>
            <w:sz w:val="28"/>
            <w:szCs w:val="28"/>
            <w:lang w:val="sl-SI"/>
          </w:rPr>
          <w:t>Vključevanje invalidov v luči razvoja novih tehnologij in umetne inteligence – možnosti, izzivi, tveganja in priložnosti</w:t>
        </w:r>
      </w:hyperlink>
    </w:p>
    <w:p w:rsidRPr="00D27759" w:rsidR="008C2252" w:rsidP="00133CCA" w:rsidRDefault="008C2252" w14:paraId="2D6AD0FB" w14:textId="3445D832">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761086CC" w14:textId="77777777">
        <w:tc>
          <w:tcPr>
            <w:tcW w:w="974" w:type="pct"/>
          </w:tcPr>
          <w:p w:rsidRPr="00D27759" w:rsidR="008C2252" w:rsidP="00133CCA" w:rsidRDefault="008C2252" w14:paraId="75E0084B" w14:textId="52828FDF">
            <w:pPr>
              <w:keepNext/>
              <w:keepLines/>
              <w:rPr>
                <w:b/>
                <w:szCs w:val="22"/>
                <w:lang w:val="sl-SI"/>
              </w:rPr>
            </w:pPr>
            <w:r w:rsidRPr="00D27759">
              <w:rPr>
                <w:b/>
                <w:szCs w:val="22"/>
                <w:lang w:val="sl-SI"/>
              </w:rPr>
              <w:t>Poročeval</w:t>
            </w:r>
            <w:r w:rsidRPr="00D27759" w:rsidR="004C2267">
              <w:rPr>
                <w:b/>
                <w:szCs w:val="22"/>
                <w:lang w:val="sl-SI"/>
              </w:rPr>
              <w:t>ka</w:t>
            </w:r>
          </w:p>
        </w:tc>
        <w:tc>
          <w:tcPr>
            <w:tcW w:w="4026" w:type="pct"/>
          </w:tcPr>
          <w:p w:rsidRPr="00D27759" w:rsidR="008C2252" w:rsidP="00133CCA" w:rsidRDefault="004C2267" w14:paraId="2EAB20A8" w14:textId="1EFC1D49">
            <w:pPr>
              <w:keepNext/>
              <w:keepLines/>
              <w:rPr>
                <w:szCs w:val="22"/>
                <w:lang w:val="sl-SI"/>
              </w:rPr>
            </w:pPr>
            <w:r w:rsidRPr="00D27759">
              <w:rPr>
                <w:szCs w:val="22"/>
                <w:lang w:val="sl-SI"/>
              </w:rPr>
              <w:t>Dovilė JUODKAITĖ (skupina organizacij civilne družbe – LT)</w:t>
            </w:r>
          </w:p>
        </w:tc>
      </w:tr>
      <w:tr w:rsidRPr="00D27759" w:rsidR="008C2252" w:rsidTr="00145601" w14:paraId="59CB63CB" w14:textId="77777777">
        <w:tc>
          <w:tcPr>
            <w:tcW w:w="5000" w:type="pct"/>
            <w:gridSpan w:val="2"/>
          </w:tcPr>
          <w:p w:rsidRPr="00D27759" w:rsidR="008C2252" w:rsidP="00133CCA" w:rsidRDefault="008C2252" w14:paraId="3217E57B" w14:textId="77777777">
            <w:pPr>
              <w:keepNext/>
              <w:keepLines/>
              <w:rPr>
                <w:sz w:val="16"/>
                <w:szCs w:val="22"/>
                <w:lang w:val="sl-SI"/>
              </w:rPr>
            </w:pPr>
          </w:p>
        </w:tc>
      </w:tr>
      <w:tr w:rsidRPr="00D27759" w:rsidR="008C2252" w:rsidTr="00145601" w14:paraId="4316706A" w14:textId="77777777">
        <w:tc>
          <w:tcPr>
            <w:tcW w:w="974" w:type="pct"/>
            <w:vMerge w:val="restart"/>
          </w:tcPr>
          <w:p w:rsidRPr="00D27759" w:rsidR="008C2252" w:rsidP="00133CCA" w:rsidRDefault="008C2252" w14:paraId="6AC040DB" w14:textId="77777777">
            <w:pPr>
              <w:keepNext/>
              <w:keepLines/>
              <w:rPr>
                <w:b/>
                <w:szCs w:val="22"/>
                <w:lang w:val="sl-SI"/>
              </w:rPr>
            </w:pPr>
            <w:r w:rsidRPr="00D27759">
              <w:rPr>
                <w:b/>
                <w:szCs w:val="22"/>
                <w:lang w:val="sl-SI"/>
              </w:rPr>
              <w:t>Referenčni dokument</w:t>
            </w:r>
          </w:p>
        </w:tc>
        <w:tc>
          <w:tcPr>
            <w:tcW w:w="4026" w:type="pct"/>
          </w:tcPr>
          <w:p w:rsidRPr="00D27759" w:rsidR="008C2252" w:rsidP="00133CCA" w:rsidRDefault="004C2267" w14:paraId="6C84F0CA" w14:textId="4201400B">
            <w:pPr>
              <w:keepNext/>
              <w:keepLines/>
              <w:rPr>
                <w:szCs w:val="22"/>
                <w:lang w:val="sl-SI"/>
              </w:rPr>
            </w:pPr>
            <w:r w:rsidRPr="00D27759">
              <w:rPr>
                <w:szCs w:val="22"/>
                <w:lang w:val="sl-SI"/>
              </w:rPr>
              <w:t xml:space="preserve">raziskovalno mnenje na zaprosilo poljskega predsedstva </w:t>
            </w:r>
            <w:r w:rsidRPr="00D27759" w:rsidR="001C0373">
              <w:rPr>
                <w:szCs w:val="22"/>
                <w:lang w:val="sl-SI"/>
              </w:rPr>
              <w:t xml:space="preserve">Sveta </w:t>
            </w:r>
            <w:r w:rsidRPr="00D27759">
              <w:rPr>
                <w:szCs w:val="22"/>
                <w:lang w:val="sl-SI"/>
              </w:rPr>
              <w:t>EU</w:t>
            </w:r>
          </w:p>
        </w:tc>
      </w:tr>
      <w:tr w:rsidRPr="00D27759" w:rsidR="008C2252" w:rsidTr="00145601" w14:paraId="1D17ED53" w14:textId="77777777">
        <w:tc>
          <w:tcPr>
            <w:tcW w:w="974" w:type="pct"/>
            <w:vMerge/>
          </w:tcPr>
          <w:p w:rsidRPr="00D27759" w:rsidR="008C2252" w:rsidP="00133CCA" w:rsidRDefault="008C2252" w14:paraId="4EE3763D" w14:textId="77777777">
            <w:pPr>
              <w:keepNext/>
              <w:keepLines/>
              <w:tabs>
                <w:tab w:val="center" w:pos="284"/>
              </w:tabs>
              <w:ind w:left="266" w:hanging="266"/>
              <w:rPr>
                <w:b/>
                <w:szCs w:val="22"/>
                <w:lang w:val="sl-SI"/>
              </w:rPr>
            </w:pPr>
          </w:p>
        </w:tc>
        <w:tc>
          <w:tcPr>
            <w:tcW w:w="4026" w:type="pct"/>
          </w:tcPr>
          <w:p w:rsidRPr="00D27759" w:rsidR="008C2252" w:rsidP="00133CCA" w:rsidRDefault="004C2267" w14:paraId="073BD2F0" w14:textId="16AE446E">
            <w:pPr>
              <w:keepNext/>
              <w:keepLines/>
              <w:rPr>
                <w:szCs w:val="22"/>
                <w:lang w:val="sl-SI"/>
              </w:rPr>
            </w:pPr>
            <w:r w:rsidRPr="00D27759">
              <w:rPr>
                <w:szCs w:val="22"/>
                <w:lang w:val="sl-SI"/>
              </w:rPr>
              <w:t>EESC-2024-04195-00-00-AC</w:t>
            </w:r>
          </w:p>
        </w:tc>
      </w:tr>
    </w:tbl>
    <w:p w:rsidRPr="00D27759" w:rsidR="008C2252" w:rsidP="00133CCA" w:rsidRDefault="008C2252" w14:paraId="39F83C1B" w14:textId="77777777">
      <w:pPr>
        <w:keepNext/>
        <w:keepLines/>
        <w:rPr>
          <w:szCs w:val="22"/>
          <w:lang w:val="sl-SI"/>
        </w:rPr>
      </w:pPr>
    </w:p>
    <w:p w:rsidRPr="00D27759" w:rsidR="008C2252" w:rsidP="00133CCA" w:rsidRDefault="008C2252" w14:paraId="03269F12" w14:textId="77777777">
      <w:pPr>
        <w:keepNext/>
        <w:keepLines/>
        <w:rPr>
          <w:lang w:val="sl-SI"/>
        </w:rPr>
      </w:pPr>
      <w:r w:rsidRPr="00D27759">
        <w:rPr>
          <w:b/>
          <w:lang w:val="sl-SI"/>
        </w:rPr>
        <w:t>Glavne točke</w:t>
      </w:r>
    </w:p>
    <w:p w:rsidRPr="00D27759" w:rsidR="008C2252" w:rsidP="00133CCA" w:rsidRDefault="008C2252" w14:paraId="7BB11F0C" w14:textId="77777777">
      <w:pPr>
        <w:keepNext/>
        <w:keepLines/>
        <w:rPr>
          <w:szCs w:val="22"/>
          <w:lang w:val="sl-SI"/>
        </w:rPr>
      </w:pPr>
    </w:p>
    <w:p w:rsidRPr="00D27759" w:rsidR="008C2252" w:rsidP="00133CCA" w:rsidRDefault="008C2252" w14:paraId="55010154" w14:textId="77777777">
      <w:pPr>
        <w:keepNext/>
        <w:keepLines/>
        <w:rPr>
          <w:bCs/>
          <w:iCs/>
          <w:szCs w:val="22"/>
          <w:lang w:val="sl-SI"/>
        </w:rPr>
      </w:pPr>
      <w:r w:rsidRPr="00D27759">
        <w:rPr>
          <w:bCs/>
          <w:iCs/>
          <w:szCs w:val="22"/>
          <w:lang w:val="sl-SI"/>
        </w:rPr>
        <w:t>EESO:</w:t>
      </w:r>
    </w:p>
    <w:p w:rsidRPr="00D27759" w:rsidR="008C2252" w:rsidP="00133CCA" w:rsidRDefault="008C2252" w14:paraId="229CC890" w14:textId="77777777">
      <w:pPr>
        <w:keepNext/>
        <w:keepLines/>
        <w:rPr>
          <w:szCs w:val="22"/>
          <w:lang w:val="sl-SI"/>
        </w:rPr>
      </w:pPr>
    </w:p>
    <w:p w:rsidRPr="00D27759" w:rsidR="004C2267" w:rsidP="00133CCA" w:rsidRDefault="004C2267" w14:paraId="1F5C1EBA" w14:textId="52333613">
      <w:pPr>
        <w:keepNext/>
        <w:keepLines/>
        <w:widowControl w:val="0"/>
        <w:numPr>
          <w:ilvl w:val="0"/>
          <w:numId w:val="9"/>
        </w:numPr>
        <w:tabs>
          <w:tab w:val="clear" w:pos="0"/>
        </w:tabs>
        <w:ind w:left="567" w:hanging="567"/>
        <w:rPr>
          <w:szCs w:val="22"/>
          <w:lang w:val="sl-SI"/>
        </w:rPr>
      </w:pPr>
      <w:r w:rsidRPr="00D27759">
        <w:rPr>
          <w:szCs w:val="22"/>
          <w:lang w:val="sl-SI"/>
        </w:rPr>
        <w:t>meni, da je invalide bistveno vključiti v celotni proces zasnove, razvoja, ocenjevanja in izvajanja novih tehnologij in aplikacij, ki temeljijo na umetni inteligenci. Njihovo sodelovanje je bistveno za zmanjšanje morebitnih diskriminatornih tveganj;</w:t>
      </w:r>
    </w:p>
    <w:p w:rsidRPr="00D27759" w:rsidR="004C2267" w:rsidP="004C2267" w:rsidRDefault="004C2267" w14:paraId="2C1385EF" w14:textId="1FD928EE">
      <w:pPr>
        <w:widowControl w:val="0"/>
        <w:numPr>
          <w:ilvl w:val="0"/>
          <w:numId w:val="9"/>
        </w:numPr>
        <w:tabs>
          <w:tab w:val="clear" w:pos="0"/>
        </w:tabs>
        <w:ind w:left="567" w:hanging="567"/>
        <w:rPr>
          <w:szCs w:val="22"/>
          <w:lang w:val="sl-SI"/>
        </w:rPr>
      </w:pPr>
      <w:r w:rsidRPr="00D27759">
        <w:rPr>
          <w:szCs w:val="22"/>
          <w:lang w:val="sl-SI"/>
        </w:rPr>
        <w:t>poziva države članice in EU, naj opravijo revizijo in ocenijo, v kolikšni meri so aplikacije umetne inteligence na kritičnih področjih vključujoče;</w:t>
      </w:r>
    </w:p>
    <w:p w:rsidRPr="00D27759" w:rsidR="004C2267" w:rsidP="004C2267" w:rsidRDefault="004C2267" w14:paraId="0405FCCB" w14:textId="446360D9">
      <w:pPr>
        <w:widowControl w:val="0"/>
        <w:numPr>
          <w:ilvl w:val="0"/>
          <w:numId w:val="9"/>
        </w:numPr>
        <w:tabs>
          <w:tab w:val="clear" w:pos="0"/>
        </w:tabs>
        <w:ind w:left="567" w:hanging="567"/>
        <w:rPr>
          <w:szCs w:val="22"/>
          <w:lang w:val="sl-SI"/>
        </w:rPr>
      </w:pPr>
      <w:r w:rsidRPr="00D27759">
        <w:rPr>
          <w:szCs w:val="22"/>
          <w:lang w:val="sl-SI"/>
        </w:rPr>
        <w:t>meni, da so potrebni nadaljnji ukrepi za zaščito invalidov pred škodljivo uporabo sistemov z domnevno omejenim tveganjem, zlasti na področju zaposlovanja in najemanja;</w:t>
      </w:r>
    </w:p>
    <w:p w:rsidRPr="00D27759" w:rsidR="004C2267" w:rsidP="004C2267" w:rsidRDefault="004C2267" w14:paraId="74BF987D" w14:textId="0C21DABB">
      <w:pPr>
        <w:widowControl w:val="0"/>
        <w:numPr>
          <w:ilvl w:val="0"/>
          <w:numId w:val="9"/>
        </w:numPr>
        <w:tabs>
          <w:tab w:val="clear" w:pos="0"/>
        </w:tabs>
        <w:ind w:left="567" w:hanging="567"/>
        <w:rPr>
          <w:szCs w:val="22"/>
          <w:lang w:val="sl-SI"/>
        </w:rPr>
      </w:pPr>
      <w:r w:rsidRPr="00D27759">
        <w:rPr>
          <w:szCs w:val="22"/>
          <w:lang w:val="sl-SI"/>
        </w:rPr>
        <w:t>poudarja, da je pomembno zagotoviti splošno dostopnost storitev in blaga, pri katerih se uporabljajo nove tehnologije in umetnointeligenčne rešitve;</w:t>
      </w:r>
    </w:p>
    <w:p w:rsidRPr="00D27759" w:rsidR="004C2267" w:rsidP="004C2267" w:rsidRDefault="004C2267" w14:paraId="7549DBB5" w14:textId="5B6FBB38">
      <w:pPr>
        <w:widowControl w:val="0"/>
        <w:numPr>
          <w:ilvl w:val="0"/>
          <w:numId w:val="9"/>
        </w:numPr>
        <w:tabs>
          <w:tab w:val="clear" w:pos="0"/>
        </w:tabs>
        <w:ind w:left="567" w:hanging="567"/>
        <w:rPr>
          <w:szCs w:val="22"/>
          <w:lang w:val="sl-SI"/>
        </w:rPr>
      </w:pPr>
      <w:r w:rsidRPr="00D27759">
        <w:rPr>
          <w:szCs w:val="22"/>
          <w:lang w:val="sl-SI"/>
        </w:rPr>
        <w:t>meni, da morajo države članice zagotoviti, da delodajalci možnosti, ki jih ustvarjajo nov tehnološki razvoj in aplikacije umetne inteligence, uporabijo tudi za izboljšanje dostopnosti in razumne prilagoditve za invalidne delavce;</w:t>
      </w:r>
    </w:p>
    <w:p w:rsidRPr="00D27759" w:rsidR="004C2267" w:rsidP="004C2267" w:rsidRDefault="004C2267" w14:paraId="2D7EA8F7" w14:textId="402EFF40">
      <w:pPr>
        <w:widowControl w:val="0"/>
        <w:numPr>
          <w:ilvl w:val="0"/>
          <w:numId w:val="9"/>
        </w:numPr>
        <w:tabs>
          <w:tab w:val="clear" w:pos="0"/>
        </w:tabs>
        <w:ind w:left="567" w:hanging="567"/>
        <w:rPr>
          <w:szCs w:val="22"/>
          <w:lang w:val="sl-SI"/>
        </w:rPr>
      </w:pPr>
      <w:r w:rsidRPr="00D27759">
        <w:rPr>
          <w:szCs w:val="22"/>
          <w:lang w:val="sl-SI"/>
        </w:rPr>
        <w:t>priporoča povečanje javnih izdatkov za raziskave in razvoj umetnointeligenčnih rešitev za dostopnost in tehnološko pomoč ter se zavzema za večjo seznanjenost javnosti s tem tehnološkim napredkom;</w:t>
      </w:r>
    </w:p>
    <w:p w:rsidRPr="00D27759" w:rsidR="004C2267" w:rsidP="004C2267" w:rsidRDefault="004C2267" w14:paraId="6F24C918" w14:textId="5B823A0E">
      <w:pPr>
        <w:widowControl w:val="0"/>
        <w:numPr>
          <w:ilvl w:val="0"/>
          <w:numId w:val="9"/>
        </w:numPr>
        <w:tabs>
          <w:tab w:val="clear" w:pos="0"/>
        </w:tabs>
        <w:ind w:left="567" w:hanging="567"/>
        <w:rPr>
          <w:szCs w:val="22"/>
          <w:lang w:val="sl-SI"/>
        </w:rPr>
      </w:pPr>
      <w:r w:rsidRPr="00D27759">
        <w:rPr>
          <w:szCs w:val="22"/>
          <w:lang w:val="sl-SI"/>
        </w:rPr>
        <w:t>poziva države članice, naj izvajajo in okrepijo obstoječe programe za digitalno usposabljanje invalidov, da bi izboljšali njihov položaj in kvalifikacije na teh področjih, hkrati pa naj si prizadevajo za večjo vključenost invalidov v terciarno izobraževanje in poklicno usposabljanje v tehnoloških sektorjih;</w:t>
      </w:r>
    </w:p>
    <w:p w:rsidRPr="00D27759" w:rsidR="008C2252" w:rsidP="004C2267" w:rsidRDefault="004C2267" w14:paraId="31A49B3F" w14:textId="77356AE9">
      <w:pPr>
        <w:widowControl w:val="0"/>
        <w:numPr>
          <w:ilvl w:val="0"/>
          <w:numId w:val="9"/>
        </w:numPr>
        <w:tabs>
          <w:tab w:val="clear" w:pos="0"/>
        </w:tabs>
        <w:ind w:left="567" w:hanging="567"/>
        <w:rPr>
          <w:lang w:val="sl-SI"/>
        </w:rPr>
      </w:pPr>
      <w:r w:rsidRPr="00D27759">
        <w:rPr>
          <w:szCs w:val="22"/>
          <w:lang w:val="sl-SI"/>
        </w:rPr>
        <w:t>poudarja, da je treba spodbujati razumne prilagoditve za zaposlene invalide na delovnem mestu, pri postopkih zaposlovanja v javnem in zasebnem sektorju ter pri usposabljanju in poklicnem usposabljanju,</w:t>
      </w:r>
      <w:r w:rsidRPr="00D27759">
        <w:rPr>
          <w:lang w:val="sl-SI"/>
        </w:rPr>
        <w:t xml:space="preserve"> pa tudi v terciarnem izobraževanju.</w:t>
      </w:r>
    </w:p>
    <w:p w:rsidRPr="00D27759" w:rsidR="004C2267" w:rsidP="008C2252" w:rsidRDefault="004C2267" w14:paraId="654E1A1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1761B72A" w14:textId="77777777">
        <w:tc>
          <w:tcPr>
            <w:tcW w:w="974" w:type="pct"/>
          </w:tcPr>
          <w:p w:rsidRPr="00D27759" w:rsidR="008C2252" w:rsidP="00145601" w:rsidRDefault="008C2252" w14:paraId="12E49622" w14:textId="77777777">
            <w:pPr>
              <w:rPr>
                <w:lang w:val="sl-SI"/>
              </w:rPr>
            </w:pPr>
            <w:r w:rsidRPr="00D27759">
              <w:rPr>
                <w:b/>
                <w:i/>
                <w:szCs w:val="22"/>
                <w:lang w:val="sl-SI"/>
              </w:rPr>
              <w:t>Kontaktna oseba</w:t>
            </w:r>
          </w:p>
        </w:tc>
        <w:tc>
          <w:tcPr>
            <w:tcW w:w="4026" w:type="pct"/>
          </w:tcPr>
          <w:p w:rsidRPr="00D27759" w:rsidR="008C2252" w:rsidP="00145601" w:rsidRDefault="004C2267" w14:paraId="66604C73" w14:textId="7F0B6091">
            <w:pPr>
              <w:rPr>
                <w:i/>
                <w:lang w:val="sl-SI"/>
              </w:rPr>
            </w:pPr>
            <w:r w:rsidRPr="00D27759">
              <w:rPr>
                <w:i/>
                <w:lang w:val="sl-SI"/>
              </w:rPr>
              <w:t>Valeria Atzori</w:t>
            </w:r>
          </w:p>
        </w:tc>
      </w:tr>
      <w:tr w:rsidRPr="00D27759" w:rsidR="008C2252" w:rsidTr="00145601" w14:paraId="5F2252B0" w14:textId="77777777">
        <w:tc>
          <w:tcPr>
            <w:tcW w:w="974" w:type="pct"/>
          </w:tcPr>
          <w:p w:rsidRPr="00D27759" w:rsidR="008C2252" w:rsidP="00145601" w:rsidRDefault="008C2252" w14:paraId="1ABC8281" w14:textId="77777777">
            <w:pPr>
              <w:rPr>
                <w:lang w:val="sl-SI"/>
              </w:rPr>
            </w:pPr>
            <w:r w:rsidRPr="00D27759">
              <w:rPr>
                <w:i/>
                <w:szCs w:val="22"/>
                <w:lang w:val="sl-SI"/>
              </w:rPr>
              <w:t>Telefon</w:t>
            </w:r>
          </w:p>
        </w:tc>
        <w:tc>
          <w:tcPr>
            <w:tcW w:w="4026" w:type="pct"/>
          </w:tcPr>
          <w:p w:rsidRPr="00D27759" w:rsidR="008C2252" w:rsidP="00145601" w:rsidRDefault="008C2252" w14:paraId="4CE743D6" w14:textId="2863C0D8">
            <w:pPr>
              <w:rPr>
                <w:lang w:val="sl-SI"/>
              </w:rPr>
            </w:pPr>
            <w:r w:rsidRPr="00D27759">
              <w:rPr>
                <w:i/>
                <w:szCs w:val="22"/>
                <w:lang w:val="sl-SI"/>
              </w:rPr>
              <w:t>+32 2 </w:t>
            </w:r>
            <w:r w:rsidRPr="00D27759" w:rsidR="004C2267">
              <w:rPr>
                <w:i/>
                <w:szCs w:val="22"/>
                <w:lang w:val="sl-SI"/>
              </w:rPr>
              <w:t>546 8774</w:t>
            </w:r>
          </w:p>
        </w:tc>
      </w:tr>
      <w:tr w:rsidRPr="00D27759" w:rsidR="008C2252" w:rsidTr="00145601" w14:paraId="17C34C1C" w14:textId="77777777">
        <w:tc>
          <w:tcPr>
            <w:tcW w:w="974" w:type="pct"/>
          </w:tcPr>
          <w:p w:rsidRPr="00D27759" w:rsidR="008C2252" w:rsidP="00145601" w:rsidRDefault="008C2252" w14:paraId="42CB23FF" w14:textId="77777777">
            <w:pPr>
              <w:rPr>
                <w:lang w:val="sl-SI"/>
              </w:rPr>
            </w:pPr>
            <w:r w:rsidRPr="00D27759">
              <w:rPr>
                <w:i/>
                <w:szCs w:val="22"/>
                <w:lang w:val="sl-SI"/>
              </w:rPr>
              <w:t>E-naslov</w:t>
            </w:r>
          </w:p>
        </w:tc>
        <w:tc>
          <w:tcPr>
            <w:tcW w:w="4026" w:type="pct"/>
          </w:tcPr>
          <w:p w:rsidRPr="00D27759" w:rsidR="008C2252" w:rsidP="00145601" w:rsidRDefault="00AA6CE8" w14:paraId="0630C35C" w14:textId="32670F07">
            <w:pPr>
              <w:rPr>
                <w:i/>
                <w:lang w:val="sl-SI"/>
              </w:rPr>
            </w:pPr>
            <w:hyperlink w:history="1" r:id="rId22">
              <w:r w:rsidRPr="00D27759" w:rsidR="004C2267">
                <w:rPr>
                  <w:rStyle w:val="Hyperlink"/>
                  <w:i/>
                  <w:lang w:val="sl-SI"/>
                </w:rPr>
                <w:t>Valeria.Atzori@eesc.europa.eu</w:t>
              </w:r>
            </w:hyperlink>
          </w:p>
        </w:tc>
      </w:tr>
    </w:tbl>
    <w:p w:rsidRPr="00D27759" w:rsidR="008C2252" w:rsidP="008C2252" w:rsidRDefault="008C2252" w14:paraId="3A4B7DAD" w14:textId="77777777">
      <w:pPr>
        <w:rPr>
          <w:lang w:val="sl-SI"/>
        </w:rPr>
      </w:pPr>
    </w:p>
    <w:p w:rsidRPr="003E18E4" w:rsidR="003E18E4" w:rsidP="003E18E4" w:rsidRDefault="00AA6CE8" w14:paraId="17175B55" w14:textId="68AA9DD0">
      <w:pPr>
        <w:keepNext/>
        <w:keepLines/>
        <w:numPr>
          <w:ilvl w:val="0"/>
          <w:numId w:val="11"/>
        </w:numPr>
        <w:ind w:left="567" w:hanging="567"/>
        <w:textAlignment w:val="auto"/>
        <w:rPr>
          <w:sz w:val="28"/>
          <w:szCs w:val="22"/>
          <w:lang w:val="sl-SI"/>
        </w:rPr>
      </w:pPr>
      <w:hyperlink w:history="1" r:id="rId23">
        <w:r w:rsidRPr="003E18E4" w:rsidR="003E18E4">
          <w:rPr>
            <w:rStyle w:val="Hyperlink"/>
            <w:b/>
            <w:bCs/>
            <w:i/>
            <w:iCs/>
            <w:sz w:val="28"/>
            <w:szCs w:val="28"/>
            <w:lang w:val="sl-SI"/>
          </w:rPr>
          <w:t>Dostop samozaposlenih do socialne zaščite – analiza stanja, omejitev in možnosti za izboljšanje njihovega položaja</w:t>
        </w:r>
      </w:hyperlink>
    </w:p>
    <w:p w:rsidR="003E18E4" w:rsidP="003E18E4" w:rsidRDefault="003E18E4" w14:paraId="76179980"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003E18E4" w:rsidTr="003E18E4" w14:paraId="3B2F0704" w14:textId="77777777">
        <w:tc>
          <w:tcPr>
            <w:tcW w:w="974" w:type="pct"/>
            <w:hideMark/>
          </w:tcPr>
          <w:p w:rsidR="003E18E4" w:rsidP="003E18E4" w:rsidRDefault="003E18E4" w14:paraId="0268CA9A" w14:textId="77777777">
            <w:pPr>
              <w:keepNext/>
              <w:keepLines/>
              <w:rPr>
                <w:b/>
                <w:szCs w:val="22"/>
                <w:lang w:val="sl-SI"/>
              </w:rPr>
            </w:pPr>
            <w:r>
              <w:rPr>
                <w:b/>
                <w:szCs w:val="22"/>
                <w:lang w:val="sl-SI"/>
              </w:rPr>
              <w:t>Poročevalec</w:t>
            </w:r>
          </w:p>
        </w:tc>
        <w:tc>
          <w:tcPr>
            <w:tcW w:w="4026" w:type="pct"/>
          </w:tcPr>
          <w:p w:rsidR="003E18E4" w:rsidP="003E18E4" w:rsidRDefault="003E18E4" w14:paraId="0931163E" w14:textId="586AFD65">
            <w:pPr>
              <w:keepNext/>
              <w:keepLines/>
              <w:rPr>
                <w:szCs w:val="22"/>
                <w:lang w:val="sl-SI"/>
              </w:rPr>
            </w:pPr>
            <w:r w:rsidRPr="003E18E4">
              <w:rPr>
                <w:szCs w:val="22"/>
                <w:lang w:val="sl-SI"/>
              </w:rPr>
              <w:t>Marcin Antoni ZIELENIECKI (skupina delojemalcev – PL)</w:t>
            </w:r>
          </w:p>
        </w:tc>
      </w:tr>
      <w:tr w:rsidR="003E18E4" w:rsidTr="003E18E4" w14:paraId="2475399D" w14:textId="77777777">
        <w:tc>
          <w:tcPr>
            <w:tcW w:w="5000" w:type="pct"/>
            <w:gridSpan w:val="2"/>
          </w:tcPr>
          <w:p w:rsidR="003E18E4" w:rsidP="003E18E4" w:rsidRDefault="003E18E4" w14:paraId="222FF275" w14:textId="77777777">
            <w:pPr>
              <w:keepNext/>
              <w:keepLines/>
              <w:rPr>
                <w:sz w:val="16"/>
                <w:szCs w:val="22"/>
                <w:lang w:val="sl-SI"/>
              </w:rPr>
            </w:pPr>
          </w:p>
        </w:tc>
      </w:tr>
      <w:tr w:rsidR="003E18E4" w:rsidTr="003E18E4" w14:paraId="041E26A2" w14:textId="77777777">
        <w:tc>
          <w:tcPr>
            <w:tcW w:w="974" w:type="pct"/>
            <w:vMerge w:val="restart"/>
            <w:hideMark/>
          </w:tcPr>
          <w:p w:rsidR="003E18E4" w:rsidP="003E18E4" w:rsidRDefault="003E18E4" w14:paraId="402FFDF9" w14:textId="77777777">
            <w:pPr>
              <w:keepNext/>
              <w:keepLines/>
              <w:rPr>
                <w:b/>
                <w:szCs w:val="22"/>
                <w:lang w:val="sl-SI"/>
              </w:rPr>
            </w:pPr>
            <w:r>
              <w:rPr>
                <w:b/>
                <w:szCs w:val="22"/>
                <w:lang w:val="sl-SI"/>
              </w:rPr>
              <w:t>Referenčni dokument</w:t>
            </w:r>
          </w:p>
        </w:tc>
        <w:tc>
          <w:tcPr>
            <w:tcW w:w="4026" w:type="pct"/>
          </w:tcPr>
          <w:p w:rsidR="003E18E4" w:rsidP="003E18E4" w:rsidRDefault="003E18E4" w14:paraId="0C2F0D4E" w14:textId="77777777">
            <w:pPr>
              <w:keepNext/>
              <w:keepLines/>
              <w:rPr>
                <w:szCs w:val="22"/>
                <w:lang w:val="sl-SI"/>
              </w:rPr>
            </w:pPr>
          </w:p>
        </w:tc>
      </w:tr>
      <w:tr w:rsidR="003E18E4" w:rsidTr="003E18E4" w14:paraId="20C3563A" w14:textId="77777777">
        <w:tc>
          <w:tcPr>
            <w:tcW w:w="0" w:type="auto"/>
            <w:vMerge/>
            <w:vAlign w:val="center"/>
            <w:hideMark/>
          </w:tcPr>
          <w:p w:rsidR="003E18E4" w:rsidP="003E18E4" w:rsidRDefault="003E18E4" w14:paraId="13BCB84C" w14:textId="77777777">
            <w:pPr>
              <w:keepNext/>
              <w:keepLines/>
              <w:overflowPunct/>
              <w:autoSpaceDE/>
              <w:autoSpaceDN/>
              <w:adjustRightInd/>
              <w:spacing w:line="240" w:lineRule="auto"/>
              <w:jc w:val="left"/>
              <w:rPr>
                <w:b/>
                <w:szCs w:val="22"/>
                <w:lang w:val="sl-SI"/>
              </w:rPr>
            </w:pPr>
          </w:p>
        </w:tc>
        <w:tc>
          <w:tcPr>
            <w:tcW w:w="4026" w:type="pct"/>
          </w:tcPr>
          <w:p w:rsidR="003E18E4" w:rsidP="003E18E4" w:rsidRDefault="003E18E4" w14:paraId="49F6EBDD" w14:textId="1BBFBB1E">
            <w:pPr>
              <w:keepNext/>
              <w:keepLines/>
              <w:rPr>
                <w:szCs w:val="22"/>
                <w:lang w:val="sl-SI"/>
              </w:rPr>
            </w:pPr>
            <w:r w:rsidRPr="003E18E4">
              <w:rPr>
                <w:szCs w:val="22"/>
                <w:lang w:val="sl-SI"/>
              </w:rPr>
              <w:t>EESC-2024-03442-00-00-AC</w:t>
            </w:r>
          </w:p>
        </w:tc>
      </w:tr>
    </w:tbl>
    <w:p w:rsidR="003E18E4" w:rsidP="003E18E4" w:rsidRDefault="003E18E4" w14:paraId="00CFB9DA" w14:textId="77777777">
      <w:pPr>
        <w:keepNext/>
        <w:keepLines/>
        <w:rPr>
          <w:szCs w:val="22"/>
          <w:lang w:val="sl-SI"/>
        </w:rPr>
      </w:pPr>
    </w:p>
    <w:p w:rsidR="003E18E4" w:rsidP="003E18E4" w:rsidRDefault="003E18E4" w14:paraId="3C199E50" w14:textId="77777777">
      <w:pPr>
        <w:keepNext/>
        <w:keepLines/>
        <w:rPr>
          <w:lang w:val="sl-SI"/>
        </w:rPr>
      </w:pPr>
      <w:r>
        <w:rPr>
          <w:b/>
          <w:lang w:val="sl-SI"/>
        </w:rPr>
        <w:t>Glavne točke</w:t>
      </w:r>
    </w:p>
    <w:p w:rsidR="003E18E4" w:rsidP="003E18E4" w:rsidRDefault="003E18E4" w14:paraId="3DDB2CCB" w14:textId="77777777">
      <w:pPr>
        <w:keepNext/>
        <w:keepLines/>
        <w:rPr>
          <w:szCs w:val="22"/>
          <w:lang w:val="sl-SI"/>
        </w:rPr>
      </w:pPr>
    </w:p>
    <w:p w:rsidR="003E18E4" w:rsidP="003E18E4" w:rsidRDefault="003E18E4" w14:paraId="1C5242DD" w14:textId="77777777">
      <w:pPr>
        <w:keepNext/>
        <w:keepLines/>
        <w:rPr>
          <w:bCs/>
          <w:iCs/>
          <w:szCs w:val="22"/>
          <w:lang w:val="sl-SI"/>
        </w:rPr>
      </w:pPr>
      <w:r>
        <w:rPr>
          <w:bCs/>
          <w:iCs/>
          <w:szCs w:val="22"/>
          <w:lang w:val="sl-SI"/>
        </w:rPr>
        <w:t>EESO:</w:t>
      </w:r>
    </w:p>
    <w:p w:rsidR="003E18E4" w:rsidP="003E18E4" w:rsidRDefault="003E18E4" w14:paraId="1ADBC6F8" w14:textId="77777777">
      <w:pPr>
        <w:keepNext/>
        <w:keepLines/>
        <w:rPr>
          <w:szCs w:val="22"/>
          <w:lang w:val="sl-SI"/>
        </w:rPr>
      </w:pPr>
    </w:p>
    <w:p w:rsidRPr="003E18E4" w:rsidR="003E18E4" w:rsidP="003E18E4" w:rsidRDefault="003E18E4" w14:paraId="72712FE8" w14:textId="4534F38D">
      <w:pPr>
        <w:widowControl w:val="0"/>
        <w:numPr>
          <w:ilvl w:val="0"/>
          <w:numId w:val="9"/>
        </w:numPr>
        <w:tabs>
          <w:tab w:val="clear" w:pos="0"/>
        </w:tabs>
        <w:ind w:left="567" w:hanging="567"/>
        <w:rPr>
          <w:szCs w:val="22"/>
          <w:lang w:val="sl-SI"/>
        </w:rPr>
      </w:pPr>
      <w:r w:rsidRPr="003E18E4">
        <w:rPr>
          <w:szCs w:val="22"/>
          <w:lang w:val="sl-SI"/>
        </w:rPr>
        <w:t>opozarja na načelo 12 evropskega stebra socialnih pravic, ki določa, da imajo vsi delavci in – pod primerljivimi pogoji – samozaposlene osebe pravico do socialne zaščite, ne glede na vrsto in trajanje njihove zaposlitve;</w:t>
      </w:r>
    </w:p>
    <w:p w:rsidRPr="003E18E4" w:rsidR="003E18E4" w:rsidP="003E18E4" w:rsidRDefault="003E18E4" w14:paraId="7B47C6D9" w14:textId="2E3E78B4">
      <w:pPr>
        <w:widowControl w:val="0"/>
        <w:numPr>
          <w:ilvl w:val="0"/>
          <w:numId w:val="9"/>
        </w:numPr>
        <w:tabs>
          <w:tab w:val="clear" w:pos="0"/>
        </w:tabs>
        <w:ind w:left="567" w:hanging="567"/>
        <w:rPr>
          <w:szCs w:val="22"/>
          <w:lang w:val="sl-SI"/>
        </w:rPr>
      </w:pPr>
      <w:r w:rsidRPr="003E18E4">
        <w:rPr>
          <w:szCs w:val="22"/>
          <w:lang w:val="sl-SI"/>
        </w:rPr>
        <w:t>opozarja na priporočilo Sveta iz leta 2019 o dostopu do socialne zaščite in države članice poziva, naj vsem delavcem, tudi tistim z nestandardnimi oblikami zaposlitve in samozaposlenim osebam, zlasti osebam, ki opravljajo platformno delo, zagotovijo dejansko kritje;</w:t>
      </w:r>
    </w:p>
    <w:p w:rsidRPr="003E18E4" w:rsidR="003E18E4" w:rsidP="003E18E4" w:rsidRDefault="003E18E4" w14:paraId="0BA45E82" w14:textId="04302C69">
      <w:pPr>
        <w:widowControl w:val="0"/>
        <w:numPr>
          <w:ilvl w:val="0"/>
          <w:numId w:val="9"/>
        </w:numPr>
        <w:tabs>
          <w:tab w:val="clear" w:pos="0"/>
        </w:tabs>
        <w:ind w:left="567" w:hanging="567"/>
        <w:rPr>
          <w:szCs w:val="22"/>
          <w:lang w:val="sl-SI"/>
        </w:rPr>
      </w:pPr>
      <w:r w:rsidRPr="003E18E4">
        <w:rPr>
          <w:szCs w:val="22"/>
          <w:lang w:val="sl-SI"/>
        </w:rPr>
        <w:t>priznava pretekla prizadevanja za izboljšanje socialne zaščite samozaposlenih in poudarja potrebo po nadaljnjem ukrepanju EU, saj je napredek na tem področju omejen, pri čemer je treba v celoti spoštovati pristojnosti držav članic in EU na tem področju;</w:t>
      </w:r>
    </w:p>
    <w:p w:rsidRPr="003E18E4" w:rsidR="003E18E4" w:rsidP="003E18E4" w:rsidRDefault="003E18E4" w14:paraId="3BCA5574" w14:textId="6A31B36C">
      <w:pPr>
        <w:widowControl w:val="0"/>
        <w:numPr>
          <w:ilvl w:val="0"/>
          <w:numId w:val="9"/>
        </w:numPr>
        <w:tabs>
          <w:tab w:val="clear" w:pos="0"/>
        </w:tabs>
        <w:ind w:left="567" w:hanging="567"/>
        <w:rPr>
          <w:szCs w:val="22"/>
          <w:lang w:val="sl-SI"/>
        </w:rPr>
      </w:pPr>
      <w:r w:rsidRPr="003E18E4">
        <w:rPr>
          <w:szCs w:val="22"/>
          <w:lang w:val="sl-SI"/>
        </w:rPr>
        <w:t>poudarja, da je treba oblikovati in ohraniti vzdržne sheme za ohranjanje delovnih mest, ki bi morale vključevati tudi samozaposlene osebe, ter podpira ustrezne in vzdržne sisteme socialne zaščite v skladu z modelom Mednarodne organizacije dela, ki so bistveni za kakovost življenja vseh ljudi;</w:t>
      </w:r>
    </w:p>
    <w:p w:rsidRPr="003E18E4" w:rsidR="003E18E4" w:rsidP="003E18E4" w:rsidRDefault="003E18E4" w14:paraId="5C3D0DC5" w14:textId="491D0AE2">
      <w:pPr>
        <w:widowControl w:val="0"/>
        <w:numPr>
          <w:ilvl w:val="0"/>
          <w:numId w:val="9"/>
        </w:numPr>
        <w:tabs>
          <w:tab w:val="clear" w:pos="0"/>
        </w:tabs>
        <w:ind w:left="567" w:hanging="567"/>
        <w:rPr>
          <w:lang w:val="sl-SI"/>
        </w:rPr>
      </w:pPr>
      <w:r w:rsidRPr="003E18E4">
        <w:rPr>
          <w:szCs w:val="22"/>
          <w:lang w:val="sl-SI"/>
        </w:rPr>
        <w:t>poziva države članice, naj v skladu s svojo nacionalno prakso oblikujejo sisteme socialne zaščite za vse državljane, ne samo za delavce z nestandardnimi ali standardnimi oblikami zaposlitve. S temi sistemi bi morali v skladu z načelom 14 evropskega stebra socialnih pravic tistim, ki niso sposobni za delo, zagotavljati minimalni dohodek, s spodbudami in pomočjo pa podpreti delovno sposobne pri njihovem vračanju na trg dela, pri tem pa poskrbeti, da so sistemi socialne zaščite ves čas finančno stabilni</w:t>
      </w:r>
      <w:r w:rsidRPr="003E18E4">
        <w:rPr>
          <w:lang w:val="sl-SI"/>
        </w:rPr>
        <w:t>;</w:t>
      </w:r>
    </w:p>
    <w:p w:rsidRPr="003E18E4" w:rsidR="003E18E4" w:rsidP="003E18E4" w:rsidRDefault="003E18E4" w14:paraId="2D46151C" w14:textId="57A99AF3">
      <w:pPr>
        <w:widowControl w:val="0"/>
        <w:numPr>
          <w:ilvl w:val="0"/>
          <w:numId w:val="9"/>
        </w:numPr>
        <w:tabs>
          <w:tab w:val="clear" w:pos="0"/>
        </w:tabs>
        <w:ind w:left="567" w:hanging="567"/>
        <w:rPr>
          <w:szCs w:val="22"/>
          <w:lang w:val="sl-SI"/>
        </w:rPr>
      </w:pPr>
      <w:r w:rsidRPr="003E18E4">
        <w:rPr>
          <w:szCs w:val="22"/>
          <w:lang w:val="sl-SI"/>
        </w:rPr>
        <w:t>poziva k dodatnim ukrepom za uskladitev politik trga dela in socialne zaščite ter k nadaljnjemu spremljanju vprašanj socialne zaščite v okviru evropskega semestra, zlasti vprašanj, ki se nanašajo na nestandardne oblike dela in samozaposlene osebe, da bi uspešno in učinkovito opredelili in odpravili vrzeli;</w:t>
      </w:r>
    </w:p>
    <w:p w:rsidR="003E18E4" w:rsidP="003E18E4" w:rsidRDefault="003E18E4" w14:paraId="766E2639" w14:textId="71975CC7">
      <w:pPr>
        <w:widowControl w:val="0"/>
        <w:numPr>
          <w:ilvl w:val="0"/>
          <w:numId w:val="9"/>
        </w:numPr>
        <w:tabs>
          <w:tab w:val="clear" w:pos="0"/>
        </w:tabs>
        <w:ind w:left="567" w:hanging="567"/>
        <w:rPr>
          <w:lang w:val="sl-SI"/>
        </w:rPr>
      </w:pPr>
      <w:r w:rsidRPr="003E18E4">
        <w:rPr>
          <w:szCs w:val="22"/>
          <w:lang w:val="sl-SI"/>
        </w:rPr>
        <w:t>se zavzema za nadaljnjo izmenjavo primerov dobre prakse med državami članicami, da bi prilagodile svoje sisteme socialne zaščite ob ustreznem sodelovanju z organizacijami socialnih partnerjev</w:t>
      </w:r>
      <w:r w:rsidRPr="003E18E4">
        <w:rPr>
          <w:lang w:val="sl-SI"/>
        </w:rPr>
        <w:t>.</w:t>
      </w:r>
    </w:p>
    <w:p w:rsidR="003E18E4" w:rsidP="003E18E4" w:rsidRDefault="003E18E4" w14:paraId="2F5897D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003E18E4" w:rsidTr="003E18E4" w14:paraId="445AFDF8" w14:textId="77777777">
        <w:tc>
          <w:tcPr>
            <w:tcW w:w="974" w:type="pct"/>
            <w:hideMark/>
          </w:tcPr>
          <w:p w:rsidR="003E18E4" w:rsidRDefault="003E18E4" w14:paraId="7ABD5C47" w14:textId="77777777">
            <w:pPr>
              <w:rPr>
                <w:lang w:val="sl-SI"/>
              </w:rPr>
            </w:pPr>
            <w:r>
              <w:rPr>
                <w:b/>
                <w:i/>
                <w:szCs w:val="22"/>
                <w:lang w:val="sl-SI"/>
              </w:rPr>
              <w:t>Kontaktna oseba</w:t>
            </w:r>
          </w:p>
        </w:tc>
        <w:tc>
          <w:tcPr>
            <w:tcW w:w="4026" w:type="pct"/>
          </w:tcPr>
          <w:p w:rsidR="003E18E4" w:rsidRDefault="003E18E4" w14:paraId="4D8A0E7F" w14:textId="7D994244">
            <w:pPr>
              <w:rPr>
                <w:i/>
                <w:lang w:val="sl-SI"/>
              </w:rPr>
            </w:pPr>
            <w:r w:rsidRPr="003E18E4">
              <w:rPr>
                <w:i/>
                <w:lang w:val="sl-SI"/>
              </w:rPr>
              <w:t>Bartek Bednarowicz</w:t>
            </w:r>
          </w:p>
        </w:tc>
      </w:tr>
      <w:tr w:rsidR="003E18E4" w:rsidTr="003E18E4" w14:paraId="609673C7" w14:textId="77777777">
        <w:tc>
          <w:tcPr>
            <w:tcW w:w="974" w:type="pct"/>
            <w:hideMark/>
          </w:tcPr>
          <w:p w:rsidR="003E18E4" w:rsidRDefault="003E18E4" w14:paraId="71CDF925" w14:textId="77777777">
            <w:pPr>
              <w:rPr>
                <w:lang w:val="sl-SI"/>
              </w:rPr>
            </w:pPr>
            <w:r>
              <w:rPr>
                <w:i/>
                <w:szCs w:val="22"/>
                <w:lang w:val="sl-SI"/>
              </w:rPr>
              <w:t>Telefon</w:t>
            </w:r>
          </w:p>
        </w:tc>
        <w:tc>
          <w:tcPr>
            <w:tcW w:w="4026" w:type="pct"/>
            <w:hideMark/>
          </w:tcPr>
          <w:p w:rsidR="003E18E4" w:rsidRDefault="003E18E4" w14:paraId="05DBE96B" w14:textId="2170E2D6">
            <w:pPr>
              <w:rPr>
                <w:lang w:val="sl-SI"/>
              </w:rPr>
            </w:pPr>
            <w:r>
              <w:rPr>
                <w:i/>
                <w:szCs w:val="22"/>
                <w:lang w:val="sl-SI"/>
              </w:rPr>
              <w:t>+32 2 </w:t>
            </w:r>
            <w:r w:rsidRPr="003E18E4">
              <w:rPr>
                <w:i/>
                <w:szCs w:val="22"/>
                <w:lang w:val="sl-SI"/>
              </w:rPr>
              <w:t>546</w:t>
            </w:r>
            <w:r>
              <w:rPr>
                <w:i/>
                <w:szCs w:val="22"/>
                <w:lang w:val="sl-SI"/>
              </w:rPr>
              <w:t> </w:t>
            </w:r>
            <w:r w:rsidRPr="003E18E4">
              <w:rPr>
                <w:i/>
                <w:szCs w:val="22"/>
                <w:lang w:val="sl-SI"/>
              </w:rPr>
              <w:t>9229</w:t>
            </w:r>
          </w:p>
        </w:tc>
      </w:tr>
      <w:tr w:rsidR="003E18E4" w:rsidTr="003E18E4" w14:paraId="48DABC38" w14:textId="77777777">
        <w:tc>
          <w:tcPr>
            <w:tcW w:w="974" w:type="pct"/>
            <w:hideMark/>
          </w:tcPr>
          <w:p w:rsidR="003E18E4" w:rsidRDefault="003E18E4" w14:paraId="06E48532" w14:textId="77777777">
            <w:pPr>
              <w:rPr>
                <w:lang w:val="sl-SI"/>
              </w:rPr>
            </w:pPr>
            <w:r>
              <w:rPr>
                <w:i/>
                <w:szCs w:val="22"/>
                <w:lang w:val="sl-SI"/>
              </w:rPr>
              <w:t>E-naslov</w:t>
            </w:r>
          </w:p>
        </w:tc>
        <w:tc>
          <w:tcPr>
            <w:tcW w:w="4026" w:type="pct"/>
          </w:tcPr>
          <w:p w:rsidR="003E18E4" w:rsidRDefault="00AA6CE8" w14:paraId="07D671DC" w14:textId="5F47EBD2">
            <w:pPr>
              <w:rPr>
                <w:i/>
                <w:lang w:val="sl-SI"/>
              </w:rPr>
            </w:pPr>
            <w:hyperlink w:history="1" r:id="rId24">
              <w:r w:rsidRPr="006A351D" w:rsidR="003E18E4">
                <w:rPr>
                  <w:rStyle w:val="Hyperlink"/>
                  <w:i/>
                  <w:lang w:val="sl-SI"/>
                </w:rPr>
                <w:t>Bartek.Bednarowicz@eesc.europa.eu</w:t>
              </w:r>
            </w:hyperlink>
          </w:p>
        </w:tc>
      </w:tr>
    </w:tbl>
    <w:p w:rsidR="003E18E4" w:rsidP="003E18E4" w:rsidRDefault="003E18E4" w14:paraId="0A738C22" w14:textId="77777777">
      <w:pPr>
        <w:rPr>
          <w:lang w:val="sl-SI"/>
        </w:rPr>
      </w:pPr>
    </w:p>
    <w:p w:rsidRPr="00D27759" w:rsidR="005F4CB4" w:rsidP="008C2252" w:rsidRDefault="005F4CB4" w14:paraId="7DF08945" w14:textId="77777777">
      <w:pPr>
        <w:rPr>
          <w:lang w:val="sl-SI"/>
        </w:rPr>
      </w:pPr>
    </w:p>
    <w:p w:rsidRPr="00D27759" w:rsidR="00437105" w:rsidP="00AC1FA9" w:rsidRDefault="00437105" w14:paraId="17017B49" w14:textId="77777777">
      <w:pPr>
        <w:pStyle w:val="Heading1"/>
        <w:pageBreakBefore/>
        <w:overflowPunct/>
        <w:autoSpaceDE/>
        <w:autoSpaceDN/>
        <w:adjustRightInd/>
        <w:ind w:left="567" w:hanging="567"/>
        <w:textAlignment w:val="auto"/>
        <w:rPr>
          <w:lang w:val="sl-SI"/>
        </w:rPr>
      </w:pPr>
      <w:bookmarkStart w:name="_Toc103071393" w:id="5"/>
      <w:bookmarkStart w:name="_Toc105440137" w:id="6"/>
      <w:r w:rsidRPr="00D27759">
        <w:rPr>
          <w:b/>
          <w:lang w:val="sl-SI"/>
        </w:rPr>
        <w:lastRenderedPageBreak/>
        <w:t>PROMET, ENERGIJA, INFRASTRUKTURA IN INFORMACIJSKA DRUŽBA</w:t>
      </w:r>
      <w:bookmarkEnd w:id="5"/>
      <w:bookmarkEnd w:id="6"/>
    </w:p>
    <w:p w:rsidRPr="00D27759" w:rsidR="00437105" w:rsidP="00AC1FA9" w:rsidRDefault="00437105" w14:paraId="2EE35326" w14:textId="1C94635D">
      <w:pPr>
        <w:rPr>
          <w:lang w:val="sl-SI"/>
        </w:rPr>
      </w:pPr>
    </w:p>
    <w:p w:rsidRPr="00D27759" w:rsidR="00EA31FC" w:rsidP="00EA31FC" w:rsidRDefault="00AA6CE8" w14:paraId="61F9920C" w14:textId="070FDCBD">
      <w:pPr>
        <w:numPr>
          <w:ilvl w:val="0"/>
          <w:numId w:val="7"/>
        </w:numPr>
        <w:tabs>
          <w:tab w:val="clear" w:pos="0"/>
        </w:tabs>
        <w:ind w:left="567" w:hanging="567"/>
        <w:rPr>
          <w:sz w:val="28"/>
          <w:szCs w:val="22"/>
          <w:lang w:val="sl-SI"/>
        </w:rPr>
      </w:pPr>
      <w:hyperlink w:history="1" r:id="rId25">
        <w:r w:rsidRPr="00D27759" w:rsidR="00D27759">
          <w:rPr>
            <w:rStyle w:val="Hyperlink"/>
            <w:b/>
            <w:bCs/>
            <w:i/>
            <w:iCs/>
            <w:sz w:val="28"/>
            <w:szCs w:val="24"/>
            <w:lang w:val="sl-SI"/>
          </w:rPr>
          <w:t>Revizija uredbe o skladiščenju plina</w:t>
        </w:r>
      </w:hyperlink>
    </w:p>
    <w:p w:rsidRPr="00D27759" w:rsidR="00EA31FC" w:rsidP="00EA31FC" w:rsidRDefault="00EA31FC" w14:paraId="3E64CDDF"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29606DAB" w14:textId="77777777">
        <w:tc>
          <w:tcPr>
            <w:tcW w:w="974" w:type="pct"/>
            <w:vMerge w:val="restart"/>
          </w:tcPr>
          <w:p w:rsidRPr="00D27759" w:rsidR="00437105" w:rsidP="00AC1FA9" w:rsidRDefault="00437105" w14:paraId="7FF8C935" w14:textId="2B269BB7">
            <w:pPr>
              <w:rPr>
                <w:b/>
                <w:szCs w:val="22"/>
                <w:lang w:val="sl-SI"/>
              </w:rPr>
            </w:pPr>
            <w:r w:rsidRPr="00D27759">
              <w:rPr>
                <w:b/>
                <w:szCs w:val="22"/>
                <w:lang w:val="sl-SI"/>
              </w:rPr>
              <w:t>Referenčn</w:t>
            </w:r>
            <w:r w:rsidRPr="00D27759" w:rsidR="006620C6">
              <w:rPr>
                <w:b/>
                <w:szCs w:val="22"/>
                <w:lang w:val="sl-SI"/>
              </w:rPr>
              <w:t>a</w:t>
            </w:r>
            <w:r w:rsidRPr="00D27759">
              <w:rPr>
                <w:b/>
                <w:szCs w:val="22"/>
                <w:lang w:val="sl-SI"/>
              </w:rPr>
              <w:t xml:space="preserve"> dokument</w:t>
            </w:r>
            <w:r w:rsidRPr="00D27759" w:rsidR="006620C6">
              <w:rPr>
                <w:b/>
                <w:szCs w:val="22"/>
                <w:lang w:val="sl-SI"/>
              </w:rPr>
              <w:t>a</w:t>
            </w:r>
          </w:p>
        </w:tc>
        <w:tc>
          <w:tcPr>
            <w:tcW w:w="4026" w:type="pct"/>
          </w:tcPr>
          <w:p w:rsidRPr="00D27759" w:rsidR="00437105" w:rsidP="006620C6" w:rsidRDefault="00C71F53" w14:paraId="064BEA19" w14:textId="57F62CD0">
            <w:pPr>
              <w:rPr>
                <w:szCs w:val="22"/>
                <w:lang w:val="sl-SI"/>
              </w:rPr>
            </w:pPr>
            <w:r w:rsidRPr="00D27759">
              <w:rPr>
                <w:szCs w:val="22"/>
                <w:lang w:val="sl-SI"/>
              </w:rPr>
              <w:t>mnenje kategorije C</w:t>
            </w:r>
          </w:p>
        </w:tc>
      </w:tr>
      <w:tr w:rsidRPr="00D27759" w:rsidR="00C71F53" w:rsidTr="00993CB4" w14:paraId="4C35F3C5" w14:textId="77777777">
        <w:tc>
          <w:tcPr>
            <w:tcW w:w="974" w:type="pct"/>
            <w:vMerge/>
          </w:tcPr>
          <w:p w:rsidRPr="00D27759" w:rsidR="00C71F53" w:rsidP="00AC1FA9" w:rsidRDefault="00C71F53" w14:paraId="36A62E88" w14:textId="77777777">
            <w:pPr>
              <w:rPr>
                <w:b/>
                <w:szCs w:val="22"/>
                <w:lang w:val="sl-SI"/>
              </w:rPr>
            </w:pPr>
          </w:p>
        </w:tc>
        <w:tc>
          <w:tcPr>
            <w:tcW w:w="4026" w:type="pct"/>
          </w:tcPr>
          <w:p w:rsidRPr="00D27759" w:rsidR="00C71F53" w:rsidP="006620C6" w:rsidRDefault="00C71F53" w14:paraId="2053DC45" w14:textId="024C09F6">
            <w:pPr>
              <w:rPr>
                <w:szCs w:val="22"/>
                <w:lang w:val="sl-SI"/>
              </w:rPr>
            </w:pPr>
            <w:r w:rsidRPr="00D27759">
              <w:rPr>
                <w:szCs w:val="22"/>
                <w:lang w:val="sl-SI"/>
              </w:rPr>
              <w:t>COM(2025) 99 final</w:t>
            </w:r>
          </w:p>
        </w:tc>
      </w:tr>
      <w:tr w:rsidRPr="00D27759" w:rsidR="00437105" w:rsidTr="00993CB4" w14:paraId="168F67D1" w14:textId="77777777">
        <w:tc>
          <w:tcPr>
            <w:tcW w:w="974" w:type="pct"/>
            <w:vMerge/>
          </w:tcPr>
          <w:p w:rsidRPr="00D27759" w:rsidR="00437105" w:rsidP="00AC1FA9" w:rsidRDefault="00437105" w14:paraId="735BEF84" w14:textId="77777777">
            <w:pPr>
              <w:tabs>
                <w:tab w:val="center" w:pos="284"/>
              </w:tabs>
              <w:ind w:left="266" w:hanging="266"/>
              <w:rPr>
                <w:b/>
                <w:szCs w:val="22"/>
                <w:lang w:val="sl-SI"/>
              </w:rPr>
            </w:pPr>
          </w:p>
        </w:tc>
        <w:tc>
          <w:tcPr>
            <w:tcW w:w="4026" w:type="pct"/>
          </w:tcPr>
          <w:p w:rsidRPr="00D27759" w:rsidR="00437105" w:rsidP="00AC1FA9" w:rsidRDefault="006620C6" w14:paraId="29009636" w14:textId="3B9F8946">
            <w:pPr>
              <w:rPr>
                <w:szCs w:val="22"/>
                <w:lang w:val="sl-SI"/>
              </w:rPr>
            </w:pPr>
            <w:r w:rsidRPr="00D27759">
              <w:rPr>
                <w:szCs w:val="22"/>
                <w:lang w:val="sl-SI"/>
              </w:rPr>
              <w:t>EESC-2025-00873-00-00-AC</w:t>
            </w:r>
          </w:p>
        </w:tc>
      </w:tr>
    </w:tbl>
    <w:p w:rsidRPr="00D27759" w:rsidR="00437105" w:rsidP="00AC1FA9" w:rsidRDefault="00437105" w14:paraId="168E7A5F" w14:textId="77777777">
      <w:pPr>
        <w:rPr>
          <w:szCs w:val="22"/>
          <w:lang w:val="sl-SI"/>
        </w:rPr>
      </w:pPr>
    </w:p>
    <w:p w:rsidRPr="00D27759" w:rsidR="00437105" w:rsidP="00AC1FA9" w:rsidRDefault="00437105" w14:paraId="72F93FE3" w14:textId="77777777">
      <w:pPr>
        <w:rPr>
          <w:lang w:val="sl-SI"/>
        </w:rPr>
      </w:pPr>
      <w:r w:rsidRPr="00D27759">
        <w:rPr>
          <w:b/>
          <w:lang w:val="sl-SI"/>
        </w:rPr>
        <w:t>Glavne točke</w:t>
      </w:r>
    </w:p>
    <w:p w:rsidRPr="00D27759" w:rsidR="00437105" w:rsidP="00AC1FA9" w:rsidRDefault="00437105" w14:paraId="5F14DC34" w14:textId="77777777">
      <w:pPr>
        <w:rPr>
          <w:szCs w:val="22"/>
          <w:lang w:val="sl-SI"/>
        </w:rPr>
      </w:pPr>
    </w:p>
    <w:p w:rsidRPr="00D27759" w:rsidR="00437105" w:rsidP="00AC1FA9" w:rsidRDefault="006620C6" w14:paraId="60753EB2" w14:textId="7EE316DA">
      <w:pPr>
        <w:widowControl w:val="0"/>
        <w:numPr>
          <w:ilvl w:val="0"/>
          <w:numId w:val="9"/>
        </w:numPr>
        <w:tabs>
          <w:tab w:val="clear" w:pos="0"/>
        </w:tabs>
        <w:ind w:left="567" w:hanging="567"/>
        <w:rPr>
          <w:bCs/>
          <w:iCs/>
          <w:szCs w:val="22"/>
          <w:lang w:val="sl-SI"/>
        </w:rPr>
      </w:pPr>
      <w:r w:rsidRPr="00D27759">
        <w:rPr>
          <w:szCs w:val="22"/>
          <w:lang w:val="sl-SI"/>
        </w:rPr>
        <w:t>Odbor se strinja s podaljšanjem obstoječega okvira do konca leta 2027, zato je sklenil ta predlog podpreti.</w:t>
      </w:r>
    </w:p>
    <w:p w:rsidRPr="00D27759" w:rsidR="00437105" w:rsidP="00AC1FA9" w:rsidRDefault="00437105" w14:paraId="1255462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0ED69208" w14:textId="77777777">
        <w:tc>
          <w:tcPr>
            <w:tcW w:w="974" w:type="pct"/>
          </w:tcPr>
          <w:p w:rsidRPr="00D27759" w:rsidR="00437105" w:rsidP="00AC1FA9" w:rsidRDefault="00437105" w14:paraId="6C701A81" w14:textId="77777777">
            <w:pPr>
              <w:rPr>
                <w:lang w:val="sl-SI"/>
              </w:rPr>
            </w:pPr>
            <w:r w:rsidRPr="00D27759">
              <w:rPr>
                <w:b/>
                <w:i/>
                <w:szCs w:val="22"/>
                <w:lang w:val="sl-SI"/>
              </w:rPr>
              <w:t>Kontaktna oseba</w:t>
            </w:r>
          </w:p>
        </w:tc>
        <w:tc>
          <w:tcPr>
            <w:tcW w:w="4026" w:type="pct"/>
          </w:tcPr>
          <w:p w:rsidRPr="00D27759" w:rsidR="00437105" w:rsidP="00AC1FA9" w:rsidRDefault="006620C6" w14:paraId="23B5C1BF" w14:textId="7B894180">
            <w:pPr>
              <w:rPr>
                <w:i/>
                <w:lang w:val="sl-SI"/>
              </w:rPr>
            </w:pPr>
            <w:r w:rsidRPr="00D27759">
              <w:rPr>
                <w:i/>
                <w:lang w:val="sl-SI"/>
              </w:rPr>
              <w:t>Giorgia Bordignon</w:t>
            </w:r>
          </w:p>
        </w:tc>
      </w:tr>
      <w:tr w:rsidRPr="00D27759" w:rsidR="00437105" w:rsidTr="00993CB4" w14:paraId="16D7EF62" w14:textId="77777777">
        <w:tc>
          <w:tcPr>
            <w:tcW w:w="974" w:type="pct"/>
          </w:tcPr>
          <w:p w:rsidRPr="00D27759" w:rsidR="00437105" w:rsidP="00AC1FA9" w:rsidRDefault="006926AD" w14:paraId="58AD07FC" w14:textId="77777777">
            <w:pPr>
              <w:rPr>
                <w:lang w:val="sl-SI"/>
              </w:rPr>
            </w:pPr>
            <w:r w:rsidRPr="00D27759">
              <w:rPr>
                <w:i/>
                <w:szCs w:val="22"/>
                <w:lang w:val="sl-SI"/>
              </w:rPr>
              <w:t>Telefon</w:t>
            </w:r>
          </w:p>
        </w:tc>
        <w:tc>
          <w:tcPr>
            <w:tcW w:w="4026" w:type="pct"/>
          </w:tcPr>
          <w:p w:rsidRPr="00D27759" w:rsidR="00437105" w:rsidP="00AC1FA9" w:rsidRDefault="000D558D" w14:paraId="0118288A" w14:textId="6DCD3855">
            <w:pPr>
              <w:rPr>
                <w:lang w:val="sl-SI"/>
              </w:rPr>
            </w:pPr>
            <w:r w:rsidRPr="00D27759">
              <w:rPr>
                <w:i/>
                <w:szCs w:val="22"/>
                <w:lang w:val="sl-SI"/>
              </w:rPr>
              <w:t>+</w:t>
            </w:r>
            <w:r w:rsidRPr="00D27759" w:rsidR="00437105">
              <w:rPr>
                <w:i/>
                <w:szCs w:val="22"/>
                <w:lang w:val="sl-SI"/>
              </w:rPr>
              <w:t>32 2 </w:t>
            </w:r>
            <w:r w:rsidRPr="00D27759" w:rsidR="006620C6">
              <w:rPr>
                <w:i/>
                <w:szCs w:val="22"/>
                <w:lang w:val="sl-SI"/>
              </w:rPr>
              <w:t>546 8535</w:t>
            </w:r>
          </w:p>
        </w:tc>
      </w:tr>
      <w:tr w:rsidRPr="00D27759" w:rsidR="00437105" w:rsidTr="00993CB4" w14:paraId="52280772" w14:textId="77777777">
        <w:tc>
          <w:tcPr>
            <w:tcW w:w="974" w:type="pct"/>
          </w:tcPr>
          <w:p w:rsidRPr="00D27759" w:rsidR="00437105" w:rsidP="00AC1FA9" w:rsidRDefault="00437105" w14:paraId="75072D62" w14:textId="77777777">
            <w:pPr>
              <w:rPr>
                <w:lang w:val="sl-SI"/>
              </w:rPr>
            </w:pPr>
            <w:r w:rsidRPr="00D27759">
              <w:rPr>
                <w:i/>
                <w:szCs w:val="22"/>
                <w:lang w:val="sl-SI"/>
              </w:rPr>
              <w:t>E-naslov</w:t>
            </w:r>
          </w:p>
        </w:tc>
        <w:tc>
          <w:tcPr>
            <w:tcW w:w="4026" w:type="pct"/>
          </w:tcPr>
          <w:p w:rsidRPr="00D27759" w:rsidR="00437105" w:rsidP="00AC1FA9" w:rsidRDefault="00AA6CE8" w14:paraId="2F650971" w14:textId="7C9BAA3D">
            <w:pPr>
              <w:rPr>
                <w:i/>
                <w:lang w:val="sl-SI"/>
              </w:rPr>
            </w:pPr>
            <w:hyperlink w:history="1" r:id="rId26">
              <w:r w:rsidRPr="00D27759" w:rsidR="00E14492">
                <w:rPr>
                  <w:rStyle w:val="Hyperlink"/>
                  <w:i/>
                  <w:lang w:val="sl-SI"/>
                </w:rPr>
                <w:t>GiorgiaAndrea.Bordignon@eesc.europa.eu</w:t>
              </w:r>
            </w:hyperlink>
          </w:p>
        </w:tc>
      </w:tr>
    </w:tbl>
    <w:p w:rsidRPr="00D27759" w:rsidR="00437105" w:rsidP="00AC1FA9" w:rsidRDefault="00437105" w14:paraId="64B2809F" w14:textId="77777777">
      <w:pPr>
        <w:rPr>
          <w:lang w:val="sl-SI"/>
        </w:rPr>
      </w:pPr>
    </w:p>
    <w:p w:rsidRPr="00D27759" w:rsidR="008C2252" w:rsidP="008C2252" w:rsidRDefault="00AA6CE8" w14:paraId="3A65719A" w14:textId="0D33B217">
      <w:pPr>
        <w:numPr>
          <w:ilvl w:val="0"/>
          <w:numId w:val="7"/>
        </w:numPr>
        <w:tabs>
          <w:tab w:val="clear" w:pos="0"/>
        </w:tabs>
        <w:ind w:left="567" w:hanging="567"/>
        <w:rPr>
          <w:sz w:val="28"/>
          <w:szCs w:val="22"/>
          <w:lang w:val="sl-SI"/>
        </w:rPr>
      </w:pPr>
      <w:hyperlink w:history="1" r:id="rId27">
        <w:r w:rsidRPr="00D27759" w:rsidR="00E14492">
          <w:rPr>
            <w:rStyle w:val="Hyperlink"/>
            <w:b/>
            <w:bCs/>
            <w:i/>
            <w:iCs/>
            <w:sz w:val="28"/>
            <w:szCs w:val="24"/>
            <w:lang w:val="sl-SI"/>
          </w:rPr>
          <w:t>Program za raziskave in usposabljanje Evropske skupnosti za atomsko energijo za obdobje 2026–2027</w:t>
        </w:r>
      </w:hyperlink>
    </w:p>
    <w:p w:rsidRPr="00D27759" w:rsidR="008C2252" w:rsidP="008C2252" w:rsidRDefault="008C2252" w14:paraId="60C40114" w14:textId="4CA772AE">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247A85F2" w14:textId="77777777">
        <w:tc>
          <w:tcPr>
            <w:tcW w:w="974" w:type="pct"/>
            <w:vMerge w:val="restart"/>
          </w:tcPr>
          <w:p w:rsidRPr="00D27759" w:rsidR="008C2252" w:rsidP="00145601" w:rsidRDefault="008C2252" w14:paraId="2D3938D5" w14:textId="4CCEFF0F">
            <w:pPr>
              <w:rPr>
                <w:b/>
                <w:szCs w:val="22"/>
                <w:lang w:val="sl-SI"/>
              </w:rPr>
            </w:pPr>
            <w:r w:rsidRPr="00D27759">
              <w:rPr>
                <w:b/>
                <w:szCs w:val="22"/>
                <w:lang w:val="sl-SI"/>
              </w:rPr>
              <w:t>Referenčn</w:t>
            </w:r>
            <w:r w:rsidRPr="00D27759" w:rsidR="00E14492">
              <w:rPr>
                <w:b/>
                <w:szCs w:val="22"/>
                <w:lang w:val="sl-SI"/>
              </w:rPr>
              <w:t>a</w:t>
            </w:r>
            <w:r w:rsidRPr="00D27759">
              <w:rPr>
                <w:b/>
                <w:szCs w:val="22"/>
                <w:lang w:val="sl-SI"/>
              </w:rPr>
              <w:t xml:space="preserve"> dokument</w:t>
            </w:r>
            <w:r w:rsidRPr="00D27759" w:rsidR="00E14492">
              <w:rPr>
                <w:b/>
                <w:szCs w:val="22"/>
                <w:lang w:val="sl-SI"/>
              </w:rPr>
              <w:t>a</w:t>
            </w:r>
          </w:p>
        </w:tc>
        <w:tc>
          <w:tcPr>
            <w:tcW w:w="4026" w:type="pct"/>
          </w:tcPr>
          <w:p w:rsidRPr="00D27759" w:rsidR="008C2252" w:rsidP="00E14492" w:rsidRDefault="007D31D0" w14:paraId="074606AB" w14:textId="628FC164">
            <w:pPr>
              <w:rPr>
                <w:szCs w:val="22"/>
                <w:lang w:val="sl-SI"/>
              </w:rPr>
            </w:pPr>
            <w:r w:rsidRPr="00D27759">
              <w:rPr>
                <w:szCs w:val="22"/>
                <w:lang w:val="sl-SI"/>
              </w:rPr>
              <w:t>mnenje kategorije C</w:t>
            </w:r>
          </w:p>
        </w:tc>
      </w:tr>
      <w:tr w:rsidRPr="00D27759" w:rsidR="007D31D0" w:rsidTr="00145601" w14:paraId="6C408A67" w14:textId="77777777">
        <w:tc>
          <w:tcPr>
            <w:tcW w:w="974" w:type="pct"/>
            <w:vMerge/>
          </w:tcPr>
          <w:p w:rsidRPr="00D27759" w:rsidR="007D31D0" w:rsidP="00145601" w:rsidRDefault="007D31D0" w14:paraId="5613F7B1" w14:textId="77777777">
            <w:pPr>
              <w:rPr>
                <w:b/>
                <w:szCs w:val="22"/>
                <w:lang w:val="sl-SI"/>
              </w:rPr>
            </w:pPr>
          </w:p>
        </w:tc>
        <w:tc>
          <w:tcPr>
            <w:tcW w:w="4026" w:type="pct"/>
          </w:tcPr>
          <w:p w:rsidRPr="00D27759" w:rsidR="007D31D0" w:rsidP="00E14492" w:rsidRDefault="007D31D0" w14:paraId="57121871" w14:textId="3807C028">
            <w:pPr>
              <w:rPr>
                <w:szCs w:val="22"/>
                <w:lang w:val="sl-SI"/>
              </w:rPr>
            </w:pPr>
            <w:r w:rsidRPr="00D27759">
              <w:rPr>
                <w:szCs w:val="22"/>
                <w:lang w:val="sl-SI"/>
              </w:rPr>
              <w:t>COM(2025) 60 final</w:t>
            </w:r>
          </w:p>
        </w:tc>
      </w:tr>
      <w:tr w:rsidRPr="00D27759" w:rsidR="008C2252" w:rsidTr="00145601" w14:paraId="7E367758" w14:textId="77777777">
        <w:tc>
          <w:tcPr>
            <w:tcW w:w="974" w:type="pct"/>
            <w:vMerge/>
          </w:tcPr>
          <w:p w:rsidRPr="00D27759" w:rsidR="008C2252" w:rsidP="00145601" w:rsidRDefault="008C2252" w14:paraId="0B7154C2" w14:textId="77777777">
            <w:pPr>
              <w:tabs>
                <w:tab w:val="center" w:pos="284"/>
              </w:tabs>
              <w:ind w:left="266" w:hanging="266"/>
              <w:rPr>
                <w:b/>
                <w:szCs w:val="22"/>
                <w:lang w:val="sl-SI"/>
              </w:rPr>
            </w:pPr>
          </w:p>
        </w:tc>
        <w:tc>
          <w:tcPr>
            <w:tcW w:w="4026" w:type="pct"/>
          </w:tcPr>
          <w:p w:rsidRPr="00D27759" w:rsidR="008C2252" w:rsidP="00145601" w:rsidRDefault="00E14492" w14:paraId="15CD40AA" w14:textId="4D6EF6B1">
            <w:pPr>
              <w:rPr>
                <w:szCs w:val="22"/>
                <w:lang w:val="sl-SI"/>
              </w:rPr>
            </w:pPr>
            <w:r w:rsidRPr="00D27759">
              <w:rPr>
                <w:szCs w:val="22"/>
                <w:lang w:val="sl-SI"/>
              </w:rPr>
              <w:t>EESC-2025-00986-00-00-AC</w:t>
            </w:r>
          </w:p>
        </w:tc>
      </w:tr>
    </w:tbl>
    <w:p w:rsidRPr="00D27759" w:rsidR="008C2252" w:rsidP="008C2252" w:rsidRDefault="008C2252" w14:paraId="0A8D7703" w14:textId="5FB05D90">
      <w:pPr>
        <w:rPr>
          <w:szCs w:val="22"/>
          <w:lang w:val="sl-SI"/>
        </w:rPr>
      </w:pPr>
    </w:p>
    <w:p w:rsidRPr="00D27759" w:rsidR="008C2252" w:rsidP="008C2252" w:rsidRDefault="008C2252" w14:paraId="701B744C" w14:textId="77777777">
      <w:pPr>
        <w:rPr>
          <w:lang w:val="sl-SI"/>
        </w:rPr>
      </w:pPr>
      <w:r w:rsidRPr="00D27759">
        <w:rPr>
          <w:b/>
          <w:lang w:val="sl-SI"/>
        </w:rPr>
        <w:t>Glavne točke</w:t>
      </w:r>
    </w:p>
    <w:p w:rsidRPr="00D27759" w:rsidR="008C2252" w:rsidP="008C2252" w:rsidRDefault="008C2252" w14:paraId="68496904" w14:textId="77777777">
      <w:pPr>
        <w:rPr>
          <w:szCs w:val="22"/>
          <w:lang w:val="sl-SI"/>
        </w:rPr>
      </w:pPr>
    </w:p>
    <w:p w:rsidRPr="00D27759" w:rsidR="008C2252" w:rsidP="008C2252" w:rsidRDefault="008C2252" w14:paraId="634E9D63" w14:textId="77777777">
      <w:pPr>
        <w:rPr>
          <w:bCs/>
          <w:iCs/>
          <w:szCs w:val="22"/>
          <w:lang w:val="sl-SI"/>
        </w:rPr>
      </w:pPr>
      <w:r w:rsidRPr="00D27759">
        <w:rPr>
          <w:bCs/>
          <w:iCs/>
          <w:szCs w:val="22"/>
          <w:lang w:val="sl-SI"/>
        </w:rPr>
        <w:t>EESO:</w:t>
      </w:r>
    </w:p>
    <w:p w:rsidRPr="00D27759" w:rsidR="008C2252" w:rsidP="008C2252" w:rsidRDefault="008C2252" w14:paraId="59F8BE1F" w14:textId="77777777">
      <w:pPr>
        <w:rPr>
          <w:szCs w:val="22"/>
          <w:lang w:val="sl-SI"/>
        </w:rPr>
      </w:pPr>
    </w:p>
    <w:p w:rsidRPr="00D27759" w:rsidR="008C2252" w:rsidP="008C2252" w:rsidRDefault="00E14492" w14:paraId="36A29F54" w14:textId="4A614382">
      <w:pPr>
        <w:widowControl w:val="0"/>
        <w:numPr>
          <w:ilvl w:val="0"/>
          <w:numId w:val="9"/>
        </w:numPr>
        <w:tabs>
          <w:tab w:val="clear" w:pos="0"/>
        </w:tabs>
        <w:ind w:left="567" w:hanging="567"/>
        <w:rPr>
          <w:bCs/>
          <w:iCs/>
          <w:szCs w:val="22"/>
          <w:lang w:val="sl-SI"/>
        </w:rPr>
      </w:pPr>
      <w:r w:rsidRPr="00D27759">
        <w:rPr>
          <w:szCs w:val="22"/>
          <w:lang w:val="sl-SI"/>
        </w:rPr>
        <w:t>Odbor se strinja s predlogom uredbe Sveta o vzpostavitvi Programa za raziskave in usposabljanje Evropske skupnosti za atomsko energijo za obdobje 2026–2027, ki dopolnjuje okvirni program za raziskave in inovacije Obzorje Evropa, ter razveljavitvi Uredbe Sveta (Euratom) 2021/765, zato je sklenil ta predlog v celoti podpreti.</w:t>
      </w:r>
    </w:p>
    <w:p w:rsidRPr="00D27759" w:rsidR="008C2252" w:rsidP="008C2252" w:rsidRDefault="008C2252" w14:paraId="4E19CC13"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32B7DDD9" w14:textId="77777777">
        <w:tc>
          <w:tcPr>
            <w:tcW w:w="974" w:type="pct"/>
          </w:tcPr>
          <w:p w:rsidRPr="00D27759" w:rsidR="008C2252" w:rsidP="00145601" w:rsidRDefault="008C2252" w14:paraId="4EB6E213" w14:textId="77777777">
            <w:pPr>
              <w:rPr>
                <w:lang w:val="sl-SI"/>
              </w:rPr>
            </w:pPr>
            <w:r w:rsidRPr="00D27759">
              <w:rPr>
                <w:b/>
                <w:i/>
                <w:szCs w:val="22"/>
                <w:lang w:val="sl-SI"/>
              </w:rPr>
              <w:t>Kontaktna oseba</w:t>
            </w:r>
          </w:p>
        </w:tc>
        <w:tc>
          <w:tcPr>
            <w:tcW w:w="4026" w:type="pct"/>
          </w:tcPr>
          <w:p w:rsidRPr="00D27759" w:rsidR="008C2252" w:rsidP="00145601" w:rsidRDefault="00E14492" w14:paraId="590BBF54" w14:textId="35820C61">
            <w:pPr>
              <w:rPr>
                <w:i/>
                <w:lang w:val="sl-SI"/>
              </w:rPr>
            </w:pPr>
            <w:r w:rsidRPr="00D27759">
              <w:rPr>
                <w:i/>
                <w:lang w:val="sl-SI"/>
              </w:rPr>
              <w:t>Albert Precup</w:t>
            </w:r>
          </w:p>
        </w:tc>
      </w:tr>
      <w:tr w:rsidRPr="00D27759" w:rsidR="008C2252" w:rsidTr="00145601" w14:paraId="36A050C4" w14:textId="77777777">
        <w:tc>
          <w:tcPr>
            <w:tcW w:w="974" w:type="pct"/>
          </w:tcPr>
          <w:p w:rsidRPr="00D27759" w:rsidR="008C2252" w:rsidP="00145601" w:rsidRDefault="008C2252" w14:paraId="52C689A0" w14:textId="77777777">
            <w:pPr>
              <w:rPr>
                <w:lang w:val="sl-SI"/>
              </w:rPr>
            </w:pPr>
            <w:r w:rsidRPr="00D27759">
              <w:rPr>
                <w:i/>
                <w:szCs w:val="22"/>
                <w:lang w:val="sl-SI"/>
              </w:rPr>
              <w:t>Telefon</w:t>
            </w:r>
          </w:p>
        </w:tc>
        <w:tc>
          <w:tcPr>
            <w:tcW w:w="4026" w:type="pct"/>
          </w:tcPr>
          <w:p w:rsidRPr="00D27759" w:rsidR="008C2252" w:rsidP="00145601" w:rsidRDefault="008C2252" w14:paraId="259A9705" w14:textId="1157E4B7">
            <w:pPr>
              <w:rPr>
                <w:lang w:val="sl-SI"/>
              </w:rPr>
            </w:pPr>
            <w:r w:rsidRPr="00D27759">
              <w:rPr>
                <w:i/>
                <w:szCs w:val="22"/>
                <w:lang w:val="sl-SI"/>
              </w:rPr>
              <w:t>+32 2 </w:t>
            </w:r>
            <w:r w:rsidRPr="00D27759" w:rsidR="00E14492">
              <w:rPr>
                <w:i/>
                <w:szCs w:val="22"/>
                <w:lang w:val="sl-SI"/>
              </w:rPr>
              <w:t>546 9326</w:t>
            </w:r>
          </w:p>
        </w:tc>
      </w:tr>
      <w:tr w:rsidRPr="00D27759" w:rsidR="008C2252" w:rsidTr="00145601" w14:paraId="1D20B1C2" w14:textId="77777777">
        <w:tc>
          <w:tcPr>
            <w:tcW w:w="974" w:type="pct"/>
          </w:tcPr>
          <w:p w:rsidRPr="00D27759" w:rsidR="008C2252" w:rsidP="00145601" w:rsidRDefault="008C2252" w14:paraId="3F4740A7" w14:textId="77777777">
            <w:pPr>
              <w:rPr>
                <w:lang w:val="sl-SI"/>
              </w:rPr>
            </w:pPr>
            <w:r w:rsidRPr="00D27759">
              <w:rPr>
                <w:i/>
                <w:szCs w:val="22"/>
                <w:lang w:val="sl-SI"/>
              </w:rPr>
              <w:t>E-naslov</w:t>
            </w:r>
          </w:p>
        </w:tc>
        <w:tc>
          <w:tcPr>
            <w:tcW w:w="4026" w:type="pct"/>
          </w:tcPr>
          <w:p w:rsidRPr="00D27759" w:rsidR="008C2252" w:rsidP="00145601" w:rsidRDefault="00AA6CE8" w14:paraId="2B880B27" w14:textId="559FFE94">
            <w:pPr>
              <w:rPr>
                <w:i/>
                <w:lang w:val="sl-SI"/>
              </w:rPr>
            </w:pPr>
            <w:hyperlink w:history="1" r:id="rId28">
              <w:r w:rsidRPr="00D27759" w:rsidR="00E14492">
                <w:rPr>
                  <w:rStyle w:val="Hyperlink"/>
                  <w:i/>
                  <w:lang w:val="sl-SI"/>
                </w:rPr>
                <w:t>Albert.Precup@eesc.europa.eu</w:t>
              </w:r>
            </w:hyperlink>
          </w:p>
        </w:tc>
      </w:tr>
    </w:tbl>
    <w:p w:rsidRPr="00D27759" w:rsidR="008C2252" w:rsidP="008C2252" w:rsidRDefault="008C2252" w14:paraId="0A502A1C" w14:textId="77777777">
      <w:pPr>
        <w:rPr>
          <w:lang w:val="sl-SI"/>
        </w:rPr>
      </w:pPr>
    </w:p>
    <w:p w:rsidRPr="00D27759" w:rsidR="008C2252" w:rsidP="00AC1FA9" w:rsidRDefault="008C2252" w14:paraId="1869496B" w14:textId="77777777">
      <w:pPr>
        <w:rPr>
          <w:lang w:val="sl-SI"/>
        </w:rPr>
      </w:pPr>
    </w:p>
    <w:p w:rsidRPr="00D27759" w:rsidR="00437105" w:rsidP="00AC1FA9" w:rsidRDefault="00437105" w14:paraId="4318AF9E" w14:textId="77777777">
      <w:pPr>
        <w:pStyle w:val="Heading1"/>
        <w:pageBreakBefore/>
        <w:overflowPunct/>
        <w:autoSpaceDE/>
        <w:autoSpaceDN/>
        <w:adjustRightInd/>
        <w:ind w:left="567" w:hanging="567"/>
        <w:textAlignment w:val="auto"/>
        <w:rPr>
          <w:lang w:val="sl-SI"/>
        </w:rPr>
      </w:pPr>
      <w:bookmarkStart w:name="_Toc103071394" w:id="7"/>
      <w:bookmarkStart w:name="_Toc105440138" w:id="8"/>
      <w:r w:rsidRPr="00D27759">
        <w:rPr>
          <w:b/>
          <w:lang w:val="sl-SI"/>
        </w:rPr>
        <w:lastRenderedPageBreak/>
        <w:t>ENOTNI TRG, PROIZVODNJA IN POTROŠNJA</w:t>
      </w:r>
      <w:bookmarkEnd w:id="7"/>
      <w:bookmarkEnd w:id="8"/>
    </w:p>
    <w:p w:rsidRPr="00D27759" w:rsidR="00437105" w:rsidP="00AC1FA9" w:rsidRDefault="00437105" w14:paraId="2516081B" w14:textId="6DCC4DDD">
      <w:pPr>
        <w:rPr>
          <w:lang w:val="sl-SI"/>
        </w:rPr>
      </w:pPr>
    </w:p>
    <w:p w:rsidRPr="00D27759" w:rsidR="00EA31FC" w:rsidP="00EA31FC" w:rsidRDefault="00AA6CE8" w14:paraId="5941C721" w14:textId="4596988F">
      <w:pPr>
        <w:numPr>
          <w:ilvl w:val="0"/>
          <w:numId w:val="7"/>
        </w:numPr>
        <w:tabs>
          <w:tab w:val="clear" w:pos="0"/>
        </w:tabs>
        <w:ind w:left="567" w:hanging="567"/>
        <w:rPr>
          <w:sz w:val="28"/>
          <w:szCs w:val="22"/>
          <w:lang w:val="sl-SI"/>
        </w:rPr>
      </w:pPr>
      <w:hyperlink w:history="1" r:id="rId29">
        <w:r w:rsidRPr="00D27759" w:rsidR="00273075">
          <w:rPr>
            <w:rStyle w:val="Hyperlink"/>
            <w:b/>
            <w:bCs/>
            <w:i/>
            <w:iCs/>
            <w:sz w:val="28"/>
            <w:szCs w:val="24"/>
            <w:lang w:val="sl-SI"/>
          </w:rPr>
          <w:t>Roki za uporabo in poročanje / direktiva o poročanju podjetij o trajnostnosti in direktiva o skrbnem pregledu v podjetjih glede trajnostnosti</w:t>
        </w:r>
      </w:hyperlink>
    </w:p>
    <w:p w:rsidRPr="00D27759" w:rsidR="00EA31FC" w:rsidP="00EA31FC" w:rsidRDefault="00EA31FC" w14:paraId="4B81163A"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CE31174" w14:textId="77777777">
        <w:tc>
          <w:tcPr>
            <w:tcW w:w="974" w:type="pct"/>
            <w:vMerge w:val="restart"/>
          </w:tcPr>
          <w:p w:rsidRPr="00D27759" w:rsidR="00437105" w:rsidP="00AC1FA9" w:rsidRDefault="00437105" w14:paraId="60F1F663" w14:textId="7DF69142">
            <w:pPr>
              <w:rPr>
                <w:b/>
                <w:szCs w:val="22"/>
                <w:lang w:val="sl-SI"/>
              </w:rPr>
            </w:pPr>
            <w:r w:rsidRPr="00D27759">
              <w:rPr>
                <w:b/>
                <w:szCs w:val="22"/>
                <w:lang w:val="sl-SI"/>
              </w:rPr>
              <w:t>Referenčn</w:t>
            </w:r>
            <w:r w:rsidRPr="00D27759" w:rsidR="00B54D47">
              <w:rPr>
                <w:b/>
                <w:szCs w:val="22"/>
                <w:lang w:val="sl-SI"/>
              </w:rPr>
              <w:t>a</w:t>
            </w:r>
            <w:r w:rsidRPr="00D27759">
              <w:rPr>
                <w:b/>
                <w:szCs w:val="22"/>
                <w:lang w:val="sl-SI"/>
              </w:rPr>
              <w:t xml:space="preserve"> dokument</w:t>
            </w:r>
            <w:r w:rsidRPr="00D27759" w:rsidR="00B54D47">
              <w:rPr>
                <w:b/>
                <w:szCs w:val="22"/>
                <w:lang w:val="sl-SI"/>
              </w:rPr>
              <w:t>a</w:t>
            </w:r>
          </w:p>
        </w:tc>
        <w:tc>
          <w:tcPr>
            <w:tcW w:w="4026" w:type="pct"/>
          </w:tcPr>
          <w:p w:rsidRPr="00D27759" w:rsidR="00437105" w:rsidP="00AC1FA9" w:rsidRDefault="006875AE" w14:paraId="3D861BBE" w14:textId="14F30EAE">
            <w:pPr>
              <w:rPr>
                <w:szCs w:val="22"/>
                <w:lang w:val="sl-SI"/>
              </w:rPr>
            </w:pPr>
            <w:r w:rsidRPr="00D27759">
              <w:rPr>
                <w:szCs w:val="22"/>
                <w:lang w:val="sl-SI"/>
              </w:rPr>
              <w:t>mnenje kategorije C</w:t>
            </w:r>
          </w:p>
        </w:tc>
      </w:tr>
      <w:tr w:rsidRPr="00D27759" w:rsidR="006875AE" w:rsidTr="00993CB4" w14:paraId="3AD8032E" w14:textId="77777777">
        <w:tc>
          <w:tcPr>
            <w:tcW w:w="974" w:type="pct"/>
            <w:vMerge/>
          </w:tcPr>
          <w:p w:rsidRPr="00D27759" w:rsidR="006875AE" w:rsidP="00AC1FA9" w:rsidRDefault="006875AE" w14:paraId="23E52756" w14:textId="77777777">
            <w:pPr>
              <w:rPr>
                <w:b/>
                <w:szCs w:val="22"/>
                <w:lang w:val="sl-SI"/>
              </w:rPr>
            </w:pPr>
          </w:p>
        </w:tc>
        <w:tc>
          <w:tcPr>
            <w:tcW w:w="4026" w:type="pct"/>
          </w:tcPr>
          <w:p w:rsidRPr="00D27759" w:rsidR="006875AE" w:rsidP="00AC1FA9" w:rsidRDefault="006875AE" w14:paraId="2922E5D6" w14:textId="6362E7CF">
            <w:pPr>
              <w:rPr>
                <w:szCs w:val="22"/>
                <w:lang w:val="sl-SI"/>
              </w:rPr>
            </w:pPr>
            <w:r w:rsidRPr="00D27759">
              <w:rPr>
                <w:szCs w:val="22"/>
                <w:lang w:val="sl-SI"/>
              </w:rPr>
              <w:t>COM(2025) 80 final</w:t>
            </w:r>
          </w:p>
        </w:tc>
      </w:tr>
      <w:tr w:rsidRPr="00D27759" w:rsidR="00437105" w:rsidTr="00993CB4" w14:paraId="0BEFF084" w14:textId="77777777">
        <w:tc>
          <w:tcPr>
            <w:tcW w:w="974" w:type="pct"/>
            <w:vMerge/>
          </w:tcPr>
          <w:p w:rsidRPr="00D27759" w:rsidR="00437105" w:rsidP="00AC1FA9" w:rsidRDefault="00437105" w14:paraId="0E216948" w14:textId="77777777">
            <w:pPr>
              <w:tabs>
                <w:tab w:val="center" w:pos="284"/>
              </w:tabs>
              <w:ind w:left="266" w:hanging="266"/>
              <w:rPr>
                <w:b/>
                <w:szCs w:val="22"/>
                <w:lang w:val="sl-SI"/>
              </w:rPr>
            </w:pPr>
          </w:p>
        </w:tc>
        <w:tc>
          <w:tcPr>
            <w:tcW w:w="4026" w:type="pct"/>
          </w:tcPr>
          <w:p w:rsidRPr="00D27759" w:rsidR="00437105" w:rsidP="00AC1FA9" w:rsidRDefault="00B54D47" w14:paraId="32D0B657" w14:textId="7BFA79DC">
            <w:pPr>
              <w:rPr>
                <w:szCs w:val="22"/>
                <w:lang w:val="sl-SI"/>
              </w:rPr>
            </w:pPr>
            <w:r w:rsidRPr="00D27759">
              <w:rPr>
                <w:szCs w:val="22"/>
                <w:lang w:val="sl-SI"/>
              </w:rPr>
              <w:t>EESC-2025-00963-00-00-AC</w:t>
            </w:r>
          </w:p>
        </w:tc>
      </w:tr>
    </w:tbl>
    <w:p w:rsidRPr="00D27759" w:rsidR="00437105" w:rsidP="00AC1FA9" w:rsidRDefault="00437105" w14:paraId="0EEAA151" w14:textId="77777777">
      <w:pPr>
        <w:rPr>
          <w:szCs w:val="22"/>
          <w:lang w:val="sl-SI"/>
        </w:rPr>
      </w:pPr>
    </w:p>
    <w:p w:rsidRPr="00D27759" w:rsidR="00437105" w:rsidP="00AC1FA9" w:rsidRDefault="00437105" w14:paraId="5A3B5E17" w14:textId="77777777">
      <w:pPr>
        <w:rPr>
          <w:lang w:val="sl-SI"/>
        </w:rPr>
      </w:pPr>
      <w:r w:rsidRPr="00D27759">
        <w:rPr>
          <w:b/>
          <w:lang w:val="sl-SI"/>
        </w:rPr>
        <w:t>Glavne točke</w:t>
      </w:r>
    </w:p>
    <w:p w:rsidRPr="00D27759" w:rsidR="00437105" w:rsidP="00AC1FA9" w:rsidRDefault="00437105" w14:paraId="32958501" w14:textId="77777777">
      <w:pPr>
        <w:rPr>
          <w:szCs w:val="22"/>
          <w:lang w:val="sl-SI"/>
        </w:rPr>
      </w:pPr>
    </w:p>
    <w:p w:rsidRPr="00D27759" w:rsidR="00437105" w:rsidP="00AC1FA9" w:rsidRDefault="00B54D47" w14:paraId="2D1C3960" w14:textId="1C464B18">
      <w:pPr>
        <w:rPr>
          <w:bCs/>
          <w:iCs/>
          <w:szCs w:val="22"/>
          <w:lang w:val="sl-SI"/>
        </w:rPr>
      </w:pPr>
      <w:r w:rsidRPr="00D27759">
        <w:rPr>
          <w:bCs/>
          <w:iCs/>
          <w:szCs w:val="22"/>
          <w:lang w:val="sl-SI"/>
        </w:rPr>
        <w:t>EESO se strinja z vsebino predloga in nima nobenih pripomb.</w:t>
      </w:r>
    </w:p>
    <w:p w:rsidRPr="00D27759" w:rsidR="00437105" w:rsidP="00AC1FA9" w:rsidRDefault="00437105" w14:paraId="2ED1F2B1" w14:textId="77777777">
      <w:pPr>
        <w:rPr>
          <w:szCs w:val="22"/>
          <w:lang w:val="sl-SI"/>
        </w:rPr>
      </w:pPr>
    </w:p>
    <w:p w:rsidRPr="00D27759" w:rsidR="00437105" w:rsidP="00AC1FA9" w:rsidRDefault="00437105" w14:paraId="628635E5"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750C426A" w14:textId="77777777">
        <w:tc>
          <w:tcPr>
            <w:tcW w:w="974" w:type="pct"/>
          </w:tcPr>
          <w:p w:rsidRPr="00D27759" w:rsidR="00437105" w:rsidP="00AC1FA9" w:rsidRDefault="00437105" w14:paraId="51CE8535" w14:textId="77777777">
            <w:pPr>
              <w:rPr>
                <w:lang w:val="sl-SI"/>
              </w:rPr>
            </w:pPr>
            <w:r w:rsidRPr="00D27759">
              <w:rPr>
                <w:b/>
                <w:i/>
                <w:szCs w:val="22"/>
                <w:lang w:val="sl-SI"/>
              </w:rPr>
              <w:t>Kontaktna oseba</w:t>
            </w:r>
          </w:p>
        </w:tc>
        <w:tc>
          <w:tcPr>
            <w:tcW w:w="4026" w:type="pct"/>
          </w:tcPr>
          <w:p w:rsidRPr="00D27759" w:rsidR="00437105" w:rsidP="00AC1FA9" w:rsidRDefault="00B54D47" w14:paraId="7AD9151F" w14:textId="216DBCA9">
            <w:pPr>
              <w:rPr>
                <w:i/>
                <w:lang w:val="sl-SI"/>
              </w:rPr>
            </w:pPr>
            <w:r w:rsidRPr="00D27759">
              <w:rPr>
                <w:i/>
                <w:lang w:val="sl-SI"/>
              </w:rPr>
              <w:t>Alice Tétu</w:t>
            </w:r>
          </w:p>
        </w:tc>
      </w:tr>
      <w:tr w:rsidRPr="00D27759" w:rsidR="00437105" w:rsidTr="00993CB4" w14:paraId="1ABCF2D0" w14:textId="77777777">
        <w:tc>
          <w:tcPr>
            <w:tcW w:w="974" w:type="pct"/>
          </w:tcPr>
          <w:p w:rsidRPr="00D27759" w:rsidR="00437105" w:rsidP="00AC1FA9" w:rsidRDefault="006926AD" w14:paraId="725CDBF5" w14:textId="77777777">
            <w:pPr>
              <w:rPr>
                <w:lang w:val="sl-SI"/>
              </w:rPr>
            </w:pPr>
            <w:r w:rsidRPr="00D27759">
              <w:rPr>
                <w:i/>
                <w:szCs w:val="22"/>
                <w:lang w:val="sl-SI"/>
              </w:rPr>
              <w:t>Telefon</w:t>
            </w:r>
          </w:p>
        </w:tc>
        <w:tc>
          <w:tcPr>
            <w:tcW w:w="4026" w:type="pct"/>
          </w:tcPr>
          <w:p w:rsidRPr="00D27759" w:rsidR="00437105" w:rsidP="00AC1FA9" w:rsidRDefault="000D558D" w14:paraId="6F6F4528" w14:textId="42F491EA">
            <w:pPr>
              <w:rPr>
                <w:lang w:val="sl-SI"/>
              </w:rPr>
            </w:pPr>
            <w:r w:rsidRPr="00D27759">
              <w:rPr>
                <w:i/>
                <w:szCs w:val="22"/>
                <w:lang w:val="sl-SI"/>
              </w:rPr>
              <w:t>+</w:t>
            </w:r>
            <w:r w:rsidRPr="00D27759" w:rsidR="00437105">
              <w:rPr>
                <w:i/>
                <w:szCs w:val="22"/>
                <w:lang w:val="sl-SI"/>
              </w:rPr>
              <w:t>32 2 </w:t>
            </w:r>
            <w:r w:rsidRPr="00D27759" w:rsidR="00B54D47">
              <w:rPr>
                <w:i/>
                <w:szCs w:val="22"/>
                <w:lang w:val="sl-SI"/>
              </w:rPr>
              <w:t>546 8286</w:t>
            </w:r>
          </w:p>
        </w:tc>
      </w:tr>
      <w:tr w:rsidRPr="00D27759" w:rsidR="00437105" w:rsidTr="00993CB4" w14:paraId="4D52E5E5" w14:textId="77777777">
        <w:tc>
          <w:tcPr>
            <w:tcW w:w="974" w:type="pct"/>
          </w:tcPr>
          <w:p w:rsidRPr="00D27759" w:rsidR="00437105" w:rsidP="00AC1FA9" w:rsidRDefault="00437105" w14:paraId="5DBBE2F6" w14:textId="77777777">
            <w:pPr>
              <w:rPr>
                <w:lang w:val="sl-SI"/>
              </w:rPr>
            </w:pPr>
            <w:r w:rsidRPr="00D27759">
              <w:rPr>
                <w:i/>
                <w:szCs w:val="22"/>
                <w:lang w:val="sl-SI"/>
              </w:rPr>
              <w:t>E-naslov</w:t>
            </w:r>
          </w:p>
        </w:tc>
        <w:tc>
          <w:tcPr>
            <w:tcW w:w="4026" w:type="pct"/>
          </w:tcPr>
          <w:p w:rsidRPr="00D27759" w:rsidR="00437105" w:rsidP="00AC1FA9" w:rsidRDefault="00AA6CE8" w14:paraId="0BFEE990" w14:textId="56A670CD">
            <w:pPr>
              <w:rPr>
                <w:i/>
                <w:lang w:val="sl-SI"/>
              </w:rPr>
            </w:pPr>
            <w:hyperlink w:history="1" r:id="rId30">
              <w:r w:rsidRPr="00D27759" w:rsidR="00B54D47">
                <w:rPr>
                  <w:rStyle w:val="Hyperlink"/>
                  <w:i/>
                  <w:lang w:val="sl-SI"/>
                </w:rPr>
                <w:t>Alice.Tetu@eesc.europa.eu</w:t>
              </w:r>
            </w:hyperlink>
          </w:p>
        </w:tc>
      </w:tr>
    </w:tbl>
    <w:p w:rsidRPr="00D27759" w:rsidR="00437105" w:rsidP="00AC1FA9" w:rsidRDefault="00437105" w14:paraId="004A5EF5" w14:textId="77777777">
      <w:pPr>
        <w:rPr>
          <w:lang w:val="sl-SI"/>
        </w:rPr>
      </w:pPr>
    </w:p>
    <w:p w:rsidRPr="00D27759" w:rsidR="00437105" w:rsidP="00AC1FA9" w:rsidRDefault="00437105" w14:paraId="40298B89" w14:textId="77777777">
      <w:pPr>
        <w:rPr>
          <w:lang w:val="sl-SI"/>
        </w:rPr>
      </w:pPr>
    </w:p>
    <w:p w:rsidRPr="00D27759" w:rsidR="00437105" w:rsidP="0021720F" w:rsidRDefault="00437105" w14:paraId="14DAD8E5" w14:textId="77777777">
      <w:pPr>
        <w:pStyle w:val="Heading1"/>
        <w:pageBreakBefore/>
        <w:overflowPunct/>
        <w:autoSpaceDE/>
        <w:autoSpaceDN/>
        <w:adjustRightInd/>
        <w:spacing w:line="264" w:lineRule="auto"/>
        <w:ind w:left="567" w:hanging="567"/>
        <w:textAlignment w:val="auto"/>
        <w:rPr>
          <w:lang w:val="sl-SI"/>
        </w:rPr>
      </w:pPr>
      <w:bookmarkStart w:name="_Toc103071395" w:id="9"/>
      <w:bookmarkStart w:name="_Toc105440139" w:id="10"/>
      <w:r w:rsidRPr="00D27759">
        <w:rPr>
          <w:b/>
          <w:lang w:val="sl-SI"/>
        </w:rPr>
        <w:lastRenderedPageBreak/>
        <w:t>KMETIJSTVO, RAZVOJ PODEŽELJA IN OKOLJE</w:t>
      </w:r>
      <w:bookmarkEnd w:id="9"/>
      <w:bookmarkEnd w:id="10"/>
    </w:p>
    <w:p w:rsidRPr="00D27759" w:rsidR="00437105" w:rsidP="0021720F" w:rsidRDefault="00437105" w14:paraId="2ABF8E0D" w14:textId="2E43EAB5">
      <w:pPr>
        <w:spacing w:line="264" w:lineRule="auto"/>
        <w:rPr>
          <w:lang w:val="sl-SI"/>
        </w:rPr>
      </w:pPr>
    </w:p>
    <w:p w:rsidRPr="00D27759" w:rsidR="00EA31FC" w:rsidP="0021720F" w:rsidRDefault="00AA6CE8" w14:paraId="11B95FCB" w14:textId="398CF534">
      <w:pPr>
        <w:numPr>
          <w:ilvl w:val="0"/>
          <w:numId w:val="7"/>
        </w:numPr>
        <w:tabs>
          <w:tab w:val="clear" w:pos="0"/>
        </w:tabs>
        <w:spacing w:line="264" w:lineRule="auto"/>
        <w:ind w:left="567" w:hanging="567"/>
        <w:rPr>
          <w:sz w:val="28"/>
          <w:szCs w:val="22"/>
          <w:lang w:val="sl-SI"/>
        </w:rPr>
      </w:pPr>
      <w:hyperlink w:history="1" r:id="rId31">
        <w:r w:rsidR="0021720F">
          <w:rPr>
            <w:rStyle w:val="Hyperlink"/>
            <w:b/>
            <w:bCs/>
            <w:i/>
            <w:iCs/>
            <w:sz w:val="28"/>
            <w:szCs w:val="24"/>
            <w:lang w:val="sl-SI"/>
          </w:rPr>
          <w:t>Ocena Direktive (EU) 2019/633 z dne 17. aprila 2019 o nepoštenih trgovinskih praksah med podjetji v verigi preskrbe s kmetijskimi in živilskimi proizvodi (vključno z evidenco nacionalnih zakonodaj o nepoštenih trgovinskih praksah)</w:t>
        </w:r>
      </w:hyperlink>
    </w:p>
    <w:p w:rsidRPr="00D27759" w:rsidR="00EA31FC" w:rsidP="0021720F" w:rsidRDefault="00EA31FC" w14:paraId="0F9CA4C6" w14:textId="77777777">
      <w:pPr>
        <w:spacing w:line="26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416959B" w14:textId="77777777">
        <w:tc>
          <w:tcPr>
            <w:tcW w:w="974" w:type="pct"/>
          </w:tcPr>
          <w:p w:rsidRPr="00D27759" w:rsidR="00437105" w:rsidP="0021720F" w:rsidRDefault="00437105" w14:paraId="0769F1FC" w14:textId="3D0130F7">
            <w:pPr>
              <w:spacing w:line="264" w:lineRule="auto"/>
              <w:rPr>
                <w:b/>
                <w:szCs w:val="22"/>
                <w:lang w:val="sl-SI"/>
              </w:rPr>
            </w:pPr>
            <w:r w:rsidRPr="00D27759">
              <w:rPr>
                <w:b/>
                <w:szCs w:val="22"/>
                <w:lang w:val="sl-SI"/>
              </w:rPr>
              <w:t>Poročeval</w:t>
            </w:r>
            <w:r w:rsidRPr="00D27759" w:rsidR="00381571">
              <w:rPr>
                <w:b/>
                <w:szCs w:val="22"/>
                <w:lang w:val="sl-SI"/>
              </w:rPr>
              <w:t>ka</w:t>
            </w:r>
          </w:p>
        </w:tc>
        <w:tc>
          <w:tcPr>
            <w:tcW w:w="4026" w:type="pct"/>
          </w:tcPr>
          <w:p w:rsidRPr="00D27759" w:rsidR="00437105" w:rsidP="0021720F" w:rsidRDefault="00381571" w14:paraId="067510EA" w14:textId="5ADB3DFC">
            <w:pPr>
              <w:spacing w:line="264" w:lineRule="auto"/>
              <w:rPr>
                <w:szCs w:val="22"/>
                <w:lang w:val="sl-SI"/>
              </w:rPr>
            </w:pPr>
            <w:r w:rsidRPr="00D27759">
              <w:rPr>
                <w:szCs w:val="22"/>
                <w:lang w:val="sl-SI"/>
              </w:rPr>
              <w:t>Antje Sabine GERSTEIN (skupina delodajalcev – DE)</w:t>
            </w:r>
          </w:p>
        </w:tc>
      </w:tr>
      <w:tr w:rsidRPr="00D27759" w:rsidR="00437105" w:rsidTr="00993CB4" w14:paraId="024BB512" w14:textId="77777777">
        <w:tc>
          <w:tcPr>
            <w:tcW w:w="974" w:type="pct"/>
          </w:tcPr>
          <w:p w:rsidRPr="00D27759" w:rsidR="00437105" w:rsidP="0021720F" w:rsidRDefault="00437105" w14:paraId="017648C8" w14:textId="77777777">
            <w:pPr>
              <w:spacing w:line="264" w:lineRule="auto"/>
              <w:rPr>
                <w:b/>
                <w:szCs w:val="22"/>
                <w:lang w:val="sl-SI"/>
              </w:rPr>
            </w:pPr>
            <w:r w:rsidRPr="00D27759">
              <w:rPr>
                <w:b/>
                <w:szCs w:val="22"/>
                <w:lang w:val="sl-SI"/>
              </w:rPr>
              <w:t>Soporočevalec</w:t>
            </w:r>
          </w:p>
        </w:tc>
        <w:tc>
          <w:tcPr>
            <w:tcW w:w="4026" w:type="pct"/>
          </w:tcPr>
          <w:p w:rsidRPr="00D27759" w:rsidR="00437105" w:rsidP="0021720F" w:rsidRDefault="00381571" w14:paraId="31D2E298" w14:textId="309520F5">
            <w:pPr>
              <w:spacing w:line="264" w:lineRule="auto"/>
              <w:rPr>
                <w:szCs w:val="22"/>
                <w:lang w:val="sl-SI"/>
              </w:rPr>
            </w:pPr>
            <w:r w:rsidRPr="00D27759">
              <w:rPr>
                <w:szCs w:val="22"/>
                <w:lang w:val="sl-SI"/>
              </w:rPr>
              <w:t>Branko RAVNIK (skupina organizacij civilne družbe – SI)</w:t>
            </w:r>
          </w:p>
        </w:tc>
      </w:tr>
      <w:tr w:rsidRPr="00D27759" w:rsidR="00437105" w:rsidTr="00993CB4" w14:paraId="734DA38C" w14:textId="77777777">
        <w:tc>
          <w:tcPr>
            <w:tcW w:w="5000" w:type="pct"/>
            <w:gridSpan w:val="2"/>
          </w:tcPr>
          <w:p w:rsidRPr="00D27759" w:rsidR="00437105" w:rsidP="0021720F" w:rsidRDefault="00437105" w14:paraId="2D6E15F8" w14:textId="77777777">
            <w:pPr>
              <w:spacing w:line="264" w:lineRule="auto"/>
              <w:rPr>
                <w:sz w:val="16"/>
                <w:szCs w:val="22"/>
                <w:lang w:val="sl-SI"/>
              </w:rPr>
            </w:pPr>
          </w:p>
        </w:tc>
      </w:tr>
      <w:tr w:rsidRPr="00D27759" w:rsidR="00437105" w:rsidTr="00993CB4" w14:paraId="25FAACC2" w14:textId="77777777">
        <w:tc>
          <w:tcPr>
            <w:tcW w:w="974" w:type="pct"/>
            <w:vMerge w:val="restart"/>
          </w:tcPr>
          <w:p w:rsidRPr="00D27759" w:rsidR="00437105" w:rsidP="0021720F" w:rsidRDefault="00437105" w14:paraId="04881FE5" w14:textId="77777777">
            <w:pPr>
              <w:spacing w:line="264" w:lineRule="auto"/>
              <w:rPr>
                <w:b/>
                <w:szCs w:val="22"/>
                <w:lang w:val="sl-SI"/>
              </w:rPr>
            </w:pPr>
            <w:r w:rsidRPr="00D27759">
              <w:rPr>
                <w:b/>
                <w:szCs w:val="22"/>
                <w:lang w:val="sl-SI"/>
              </w:rPr>
              <w:t>Referenčni dokument</w:t>
            </w:r>
          </w:p>
        </w:tc>
        <w:tc>
          <w:tcPr>
            <w:tcW w:w="4026" w:type="pct"/>
          </w:tcPr>
          <w:p w:rsidRPr="00D27759" w:rsidR="00437105" w:rsidP="0021720F" w:rsidRDefault="00437105" w14:paraId="753C50F5" w14:textId="77777777">
            <w:pPr>
              <w:spacing w:line="264" w:lineRule="auto"/>
              <w:rPr>
                <w:szCs w:val="22"/>
                <w:lang w:val="sl-SI"/>
              </w:rPr>
            </w:pPr>
          </w:p>
        </w:tc>
      </w:tr>
      <w:tr w:rsidRPr="00D27759" w:rsidR="00437105" w:rsidTr="00993CB4" w14:paraId="7CB5C3D6" w14:textId="77777777">
        <w:tc>
          <w:tcPr>
            <w:tcW w:w="974" w:type="pct"/>
            <w:vMerge/>
          </w:tcPr>
          <w:p w:rsidRPr="00D27759" w:rsidR="00437105" w:rsidP="0021720F" w:rsidRDefault="00437105" w14:paraId="1CC25BBB" w14:textId="77777777">
            <w:pPr>
              <w:tabs>
                <w:tab w:val="center" w:pos="284"/>
              </w:tabs>
              <w:spacing w:line="264" w:lineRule="auto"/>
              <w:ind w:left="266" w:hanging="266"/>
              <w:rPr>
                <w:b/>
                <w:szCs w:val="22"/>
                <w:lang w:val="sl-SI"/>
              </w:rPr>
            </w:pPr>
          </w:p>
        </w:tc>
        <w:tc>
          <w:tcPr>
            <w:tcW w:w="4026" w:type="pct"/>
          </w:tcPr>
          <w:p w:rsidRPr="00D27759" w:rsidR="00437105" w:rsidP="0021720F" w:rsidRDefault="00381571" w14:paraId="6745D2D3" w14:textId="547AB4A7">
            <w:pPr>
              <w:spacing w:line="264" w:lineRule="auto"/>
              <w:rPr>
                <w:szCs w:val="22"/>
                <w:lang w:val="sl-SI"/>
              </w:rPr>
            </w:pPr>
            <w:r w:rsidRPr="00D27759">
              <w:rPr>
                <w:szCs w:val="22"/>
                <w:lang w:val="sl-SI"/>
              </w:rPr>
              <w:t>EESC-2024-02156-00-00-RE</w:t>
            </w:r>
          </w:p>
        </w:tc>
      </w:tr>
    </w:tbl>
    <w:p w:rsidRPr="00D27759" w:rsidR="00437105" w:rsidP="0021720F" w:rsidRDefault="00437105" w14:paraId="6426EB1E" w14:textId="77777777">
      <w:pPr>
        <w:spacing w:line="264" w:lineRule="auto"/>
        <w:rPr>
          <w:szCs w:val="22"/>
          <w:lang w:val="sl-SI"/>
        </w:rPr>
      </w:pPr>
    </w:p>
    <w:p w:rsidRPr="00D27759" w:rsidR="00437105" w:rsidP="0021720F" w:rsidRDefault="00437105" w14:paraId="4416B9D6" w14:textId="77777777">
      <w:pPr>
        <w:spacing w:line="264" w:lineRule="auto"/>
        <w:rPr>
          <w:lang w:val="sl-SI"/>
        </w:rPr>
      </w:pPr>
      <w:r w:rsidRPr="00D27759">
        <w:rPr>
          <w:b/>
          <w:lang w:val="sl-SI"/>
        </w:rPr>
        <w:t>Glavne točke</w:t>
      </w:r>
    </w:p>
    <w:p w:rsidRPr="00D27759" w:rsidR="00437105" w:rsidP="0021720F" w:rsidRDefault="00437105" w14:paraId="36E41BB6" w14:textId="77777777">
      <w:pPr>
        <w:spacing w:line="264" w:lineRule="auto"/>
        <w:rPr>
          <w:szCs w:val="22"/>
          <w:lang w:val="sl-SI"/>
        </w:rPr>
      </w:pPr>
    </w:p>
    <w:p w:rsidRPr="00D27759" w:rsidR="00437105" w:rsidP="0021720F" w:rsidRDefault="00437105" w14:paraId="6807EE34" w14:textId="77777777">
      <w:pPr>
        <w:spacing w:line="264" w:lineRule="auto"/>
        <w:rPr>
          <w:bCs/>
          <w:iCs/>
          <w:szCs w:val="22"/>
          <w:lang w:val="sl-SI"/>
        </w:rPr>
      </w:pPr>
      <w:r w:rsidRPr="00D27759">
        <w:rPr>
          <w:bCs/>
          <w:iCs/>
          <w:szCs w:val="22"/>
          <w:lang w:val="sl-SI"/>
        </w:rPr>
        <w:t>EESO:</w:t>
      </w:r>
    </w:p>
    <w:p w:rsidRPr="00D27759" w:rsidR="00437105" w:rsidP="0021720F" w:rsidRDefault="00437105" w14:paraId="134A3FF9" w14:textId="77777777">
      <w:pPr>
        <w:spacing w:line="264" w:lineRule="auto"/>
        <w:rPr>
          <w:szCs w:val="22"/>
          <w:lang w:val="sl-SI"/>
        </w:rPr>
      </w:pPr>
    </w:p>
    <w:p w:rsidRPr="00D27759" w:rsidR="00381571" w:rsidP="0021720F" w:rsidRDefault="00381571" w14:paraId="53AA1003" w14:textId="432F4F08">
      <w:pPr>
        <w:widowControl w:val="0"/>
        <w:numPr>
          <w:ilvl w:val="0"/>
          <w:numId w:val="9"/>
        </w:numPr>
        <w:tabs>
          <w:tab w:val="clear" w:pos="0"/>
        </w:tabs>
        <w:spacing w:line="264" w:lineRule="auto"/>
        <w:ind w:left="567" w:hanging="567"/>
        <w:rPr>
          <w:szCs w:val="22"/>
          <w:lang w:val="sl-SI"/>
        </w:rPr>
      </w:pPr>
      <w:r w:rsidRPr="00D27759">
        <w:rPr>
          <w:szCs w:val="22"/>
          <w:lang w:val="sl-SI"/>
        </w:rPr>
        <w:t>priporoča, naj se okrepijo mehanizmi izvrševanja na ravni EU, da bi zagotovili večjo pravno varnost, enake konkurenčne pogoje po vsej EU in močnejšo zaščito, zlasti za šibkejše akterje v verigi preskrbe;</w:t>
      </w:r>
    </w:p>
    <w:p w:rsidRPr="00D27759" w:rsidR="00381571" w:rsidP="0021720F" w:rsidRDefault="00381571" w14:paraId="3E35124A" w14:textId="196FB602">
      <w:pPr>
        <w:widowControl w:val="0"/>
        <w:numPr>
          <w:ilvl w:val="0"/>
          <w:numId w:val="9"/>
        </w:numPr>
        <w:tabs>
          <w:tab w:val="clear" w:pos="0"/>
        </w:tabs>
        <w:spacing w:line="264" w:lineRule="auto"/>
        <w:ind w:left="567" w:hanging="567"/>
        <w:rPr>
          <w:szCs w:val="22"/>
          <w:lang w:val="sl-SI"/>
        </w:rPr>
      </w:pPr>
      <w:r w:rsidRPr="00D27759">
        <w:rPr>
          <w:szCs w:val="22"/>
          <w:lang w:val="sl-SI"/>
        </w:rPr>
        <w:t>priporoča, naj si prizadevamo za uskladitev direktive, da bo primerna za enotni trg;</w:t>
      </w:r>
    </w:p>
    <w:p w:rsidRPr="00D27759" w:rsidR="00381571" w:rsidP="0021720F" w:rsidRDefault="00381571" w14:paraId="150B7A80" w14:textId="7FEDB366">
      <w:pPr>
        <w:widowControl w:val="0"/>
        <w:numPr>
          <w:ilvl w:val="0"/>
          <w:numId w:val="9"/>
        </w:numPr>
        <w:tabs>
          <w:tab w:val="clear" w:pos="0"/>
        </w:tabs>
        <w:spacing w:line="264" w:lineRule="auto"/>
        <w:ind w:left="567" w:hanging="567"/>
        <w:rPr>
          <w:szCs w:val="22"/>
          <w:lang w:val="sl-SI"/>
        </w:rPr>
      </w:pPr>
      <w:r w:rsidRPr="00D27759">
        <w:rPr>
          <w:szCs w:val="22"/>
          <w:lang w:val="sl-SI"/>
        </w:rPr>
        <w:t>predlaga, da se stroški trajnostnega razvoja porazdelijo med vse deležnike, vključno s potrošniki, da bi vzpostavili pravičnejši sistem, ter da se podprejo prizadevanja za večjo preglednost cen;</w:t>
      </w:r>
    </w:p>
    <w:p w:rsidRPr="00D27759" w:rsidR="00381571" w:rsidP="0021720F" w:rsidRDefault="00381571" w14:paraId="74673D44" w14:textId="4AD98A9B">
      <w:pPr>
        <w:widowControl w:val="0"/>
        <w:numPr>
          <w:ilvl w:val="0"/>
          <w:numId w:val="9"/>
        </w:numPr>
        <w:tabs>
          <w:tab w:val="clear" w:pos="0"/>
        </w:tabs>
        <w:spacing w:line="264" w:lineRule="auto"/>
        <w:ind w:left="567" w:hanging="567"/>
        <w:rPr>
          <w:szCs w:val="22"/>
          <w:lang w:val="sl-SI"/>
        </w:rPr>
      </w:pPr>
      <w:r w:rsidRPr="00D27759">
        <w:rPr>
          <w:szCs w:val="22"/>
          <w:lang w:val="sl-SI"/>
        </w:rPr>
        <w:t>predlaga, da se obravnavajo izzivi, kot so nestanovitnost cen, sezonska pomanjkanja in upravna bremena, in sicer z izboljšanjem obvladovanja tveganja in boljšo podporo proizvajalcem, ter da se poveča raven zaščite za proizvajalce, vključno s strožjimi prepovedmi logističnih pristojbin, nerazkritih popustov in prodajnih bonusov;</w:t>
      </w:r>
    </w:p>
    <w:p w:rsidRPr="00D27759" w:rsidR="00381571" w:rsidP="0021720F" w:rsidRDefault="00381571" w14:paraId="37A63F75" w14:textId="612B98FB">
      <w:pPr>
        <w:widowControl w:val="0"/>
        <w:numPr>
          <w:ilvl w:val="0"/>
          <w:numId w:val="9"/>
        </w:numPr>
        <w:tabs>
          <w:tab w:val="clear" w:pos="0"/>
        </w:tabs>
        <w:spacing w:line="264" w:lineRule="auto"/>
        <w:ind w:left="567" w:hanging="567"/>
        <w:rPr>
          <w:szCs w:val="22"/>
          <w:lang w:val="sl-SI"/>
        </w:rPr>
      </w:pPr>
      <w:r w:rsidRPr="00D27759">
        <w:rPr>
          <w:szCs w:val="22"/>
          <w:lang w:val="sl-SI"/>
        </w:rPr>
        <w:t>predlaga okrepitev ukrepov za ohranitev malih kmetij in izvajanje ustreznih kazni za kršitve, da bi imela direktiva odvračilni učinek in da bi povečali skladnost;</w:t>
      </w:r>
    </w:p>
    <w:p w:rsidRPr="00D27759" w:rsidR="00381571" w:rsidP="0021720F" w:rsidRDefault="00381571" w14:paraId="7FDD38C0" w14:textId="72EAC066">
      <w:pPr>
        <w:widowControl w:val="0"/>
        <w:numPr>
          <w:ilvl w:val="0"/>
          <w:numId w:val="9"/>
        </w:numPr>
        <w:tabs>
          <w:tab w:val="clear" w:pos="0"/>
        </w:tabs>
        <w:spacing w:line="264" w:lineRule="auto"/>
        <w:ind w:left="567" w:hanging="567"/>
        <w:rPr>
          <w:szCs w:val="22"/>
          <w:lang w:val="sl-SI"/>
        </w:rPr>
      </w:pPr>
      <w:r w:rsidRPr="00D27759">
        <w:rPr>
          <w:szCs w:val="22"/>
          <w:lang w:val="sl-SI"/>
        </w:rPr>
        <w:t xml:space="preserve">priporoča, naj se izboljšajo informacijske kampanje, da bodo deležniki seznanjeni s svojimi pravicami in obveznostmi, zaščitnimi postopki in delovanjem organov; </w:t>
      </w:r>
    </w:p>
    <w:p w:rsidRPr="00D27759" w:rsidR="00381571" w:rsidP="0021720F" w:rsidRDefault="00381571" w14:paraId="64D7285E" w14:textId="7FF6D6B2">
      <w:pPr>
        <w:widowControl w:val="0"/>
        <w:numPr>
          <w:ilvl w:val="0"/>
          <w:numId w:val="9"/>
        </w:numPr>
        <w:tabs>
          <w:tab w:val="clear" w:pos="0"/>
        </w:tabs>
        <w:spacing w:line="264" w:lineRule="auto"/>
        <w:ind w:left="567" w:hanging="567"/>
        <w:rPr>
          <w:szCs w:val="22"/>
          <w:lang w:val="sl-SI"/>
        </w:rPr>
      </w:pPr>
      <w:r w:rsidRPr="00D27759">
        <w:rPr>
          <w:szCs w:val="22"/>
          <w:lang w:val="sl-SI"/>
        </w:rPr>
        <w:t>predlaga, da se na ravni EU vzpostavi portal za prijavljanje nepoštenih trgovinskih praks, da ne bi bilo strahu pred povračilnimi ukrepi in bi izboljšali mehanizme za pritožbe, na nacionalni in evropski ravni pa naj se vzpostavi forum za spodbujanje dialoga in sodelovanja med deležniki verige preskrbe s hrano. Priznava, da je ustanovitev Evropskega odbora za kmetijstvo in prehrano na podlagi odprtega dialoga v okviru strateškega dialoga o prihodnosti kmetijstva v EU pomemben korak naprej;</w:t>
      </w:r>
    </w:p>
    <w:p w:rsidRPr="00D27759" w:rsidR="00381571" w:rsidP="0021720F" w:rsidRDefault="00381571" w14:paraId="2D34797D" w14:textId="0D96BB0C">
      <w:pPr>
        <w:widowControl w:val="0"/>
        <w:numPr>
          <w:ilvl w:val="0"/>
          <w:numId w:val="9"/>
        </w:numPr>
        <w:tabs>
          <w:tab w:val="clear" w:pos="0"/>
        </w:tabs>
        <w:spacing w:line="264" w:lineRule="auto"/>
        <w:ind w:left="567" w:hanging="567"/>
        <w:rPr>
          <w:szCs w:val="22"/>
          <w:lang w:val="sl-SI"/>
        </w:rPr>
      </w:pPr>
      <w:r w:rsidRPr="00D27759">
        <w:rPr>
          <w:szCs w:val="22"/>
          <w:lang w:val="sl-SI"/>
        </w:rPr>
        <w:t>Komisijo spodbuja, naj predstavi osnutek revizije uredbe o zagotavljanju informacij o živilih potrošnikom, da bi izboljšali informacije o poreklu proizvodov in izboljšali sledljivost;</w:t>
      </w:r>
    </w:p>
    <w:p w:rsidRPr="00D27759" w:rsidR="00437105" w:rsidP="0021720F" w:rsidRDefault="00381571" w14:paraId="4BB77CC2" w14:textId="43CC0997">
      <w:pPr>
        <w:widowControl w:val="0"/>
        <w:numPr>
          <w:ilvl w:val="0"/>
          <w:numId w:val="9"/>
        </w:numPr>
        <w:tabs>
          <w:tab w:val="clear" w:pos="0"/>
        </w:tabs>
        <w:spacing w:line="264" w:lineRule="auto"/>
        <w:ind w:left="567" w:hanging="567"/>
        <w:rPr>
          <w:lang w:val="sl-SI"/>
        </w:rPr>
      </w:pPr>
      <w:r w:rsidRPr="00D27759">
        <w:rPr>
          <w:szCs w:val="22"/>
          <w:lang w:val="sl-SI"/>
        </w:rPr>
        <w:t>priporoča, naj se preuči področje uporabe direktive za odpravo razlik v pogajalski moči, spodbujanje učinkovitosti vzdolž verige preskrbe in zagotavljanje pravičnosti, vključno z ustrezno porazdelitvijo</w:t>
      </w:r>
      <w:r w:rsidRPr="00D27759">
        <w:rPr>
          <w:lang w:val="sl-SI"/>
        </w:rPr>
        <w:t xml:space="preserve"> tveganj in dobičkov, v odnosih z dobavitelji ter povečanje skladnosti s prepovedjo nekaterih praks, da se učinkovito zaščitijo vsi udeleženci na trgu.</w:t>
      </w:r>
    </w:p>
    <w:p w:rsidRPr="00D27759" w:rsidR="00381571" w:rsidP="0021720F" w:rsidRDefault="00381571" w14:paraId="6F1E29EA" w14:textId="77777777">
      <w:pPr>
        <w:spacing w:line="26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732CA87" w14:textId="77777777">
        <w:tc>
          <w:tcPr>
            <w:tcW w:w="974" w:type="pct"/>
          </w:tcPr>
          <w:p w:rsidRPr="00D27759" w:rsidR="00437105" w:rsidP="0021720F" w:rsidRDefault="00437105" w14:paraId="5939ECA0" w14:textId="77777777">
            <w:pPr>
              <w:spacing w:line="264" w:lineRule="auto"/>
              <w:rPr>
                <w:lang w:val="sl-SI"/>
              </w:rPr>
            </w:pPr>
            <w:r w:rsidRPr="00D27759">
              <w:rPr>
                <w:b/>
                <w:i/>
                <w:szCs w:val="22"/>
                <w:lang w:val="sl-SI"/>
              </w:rPr>
              <w:t>Kontaktna oseba</w:t>
            </w:r>
          </w:p>
        </w:tc>
        <w:tc>
          <w:tcPr>
            <w:tcW w:w="4026" w:type="pct"/>
          </w:tcPr>
          <w:p w:rsidRPr="00D27759" w:rsidR="00437105" w:rsidP="0021720F" w:rsidRDefault="00381571" w14:paraId="1E37A146" w14:textId="1A8D5D4A">
            <w:pPr>
              <w:spacing w:line="264" w:lineRule="auto"/>
              <w:rPr>
                <w:i/>
                <w:lang w:val="sl-SI"/>
              </w:rPr>
            </w:pPr>
            <w:r w:rsidRPr="00D27759">
              <w:rPr>
                <w:i/>
                <w:lang w:val="sl-SI"/>
              </w:rPr>
              <w:t>Myrto Kolyva</w:t>
            </w:r>
          </w:p>
        </w:tc>
      </w:tr>
      <w:tr w:rsidRPr="00D27759" w:rsidR="00437105" w:rsidTr="00993CB4" w14:paraId="441F8E97" w14:textId="77777777">
        <w:tc>
          <w:tcPr>
            <w:tcW w:w="974" w:type="pct"/>
          </w:tcPr>
          <w:p w:rsidRPr="00D27759" w:rsidR="00437105" w:rsidP="0021720F" w:rsidRDefault="006926AD" w14:paraId="52907D8D" w14:textId="77777777">
            <w:pPr>
              <w:spacing w:line="264" w:lineRule="auto"/>
              <w:rPr>
                <w:lang w:val="sl-SI"/>
              </w:rPr>
            </w:pPr>
            <w:r w:rsidRPr="00D27759">
              <w:rPr>
                <w:i/>
                <w:szCs w:val="22"/>
                <w:lang w:val="sl-SI"/>
              </w:rPr>
              <w:t>Telefon</w:t>
            </w:r>
          </w:p>
        </w:tc>
        <w:tc>
          <w:tcPr>
            <w:tcW w:w="4026" w:type="pct"/>
          </w:tcPr>
          <w:p w:rsidRPr="00D27759" w:rsidR="00437105" w:rsidP="0021720F" w:rsidRDefault="000D558D" w14:paraId="0C2D6244" w14:textId="7AC3EF2D">
            <w:pPr>
              <w:spacing w:line="264" w:lineRule="auto"/>
              <w:rPr>
                <w:lang w:val="sl-SI"/>
              </w:rPr>
            </w:pPr>
            <w:r w:rsidRPr="00D27759">
              <w:rPr>
                <w:i/>
                <w:szCs w:val="22"/>
                <w:lang w:val="sl-SI"/>
              </w:rPr>
              <w:t>+</w:t>
            </w:r>
            <w:r w:rsidRPr="00D27759" w:rsidR="00437105">
              <w:rPr>
                <w:i/>
                <w:szCs w:val="22"/>
                <w:lang w:val="sl-SI"/>
              </w:rPr>
              <w:t>32 2 </w:t>
            </w:r>
            <w:r w:rsidRPr="00D27759" w:rsidR="00381571">
              <w:rPr>
                <w:i/>
                <w:szCs w:val="22"/>
                <w:lang w:val="sl-SI"/>
              </w:rPr>
              <w:t>546 8718</w:t>
            </w:r>
          </w:p>
        </w:tc>
      </w:tr>
      <w:tr w:rsidRPr="00D27759" w:rsidR="00437105" w:rsidTr="00993CB4" w14:paraId="3F913EE8" w14:textId="77777777">
        <w:tc>
          <w:tcPr>
            <w:tcW w:w="974" w:type="pct"/>
          </w:tcPr>
          <w:p w:rsidRPr="00D27759" w:rsidR="00437105" w:rsidP="0021720F" w:rsidRDefault="00437105" w14:paraId="09AE0010" w14:textId="77777777">
            <w:pPr>
              <w:spacing w:line="264" w:lineRule="auto"/>
              <w:rPr>
                <w:lang w:val="sl-SI"/>
              </w:rPr>
            </w:pPr>
            <w:r w:rsidRPr="00D27759">
              <w:rPr>
                <w:i/>
                <w:szCs w:val="22"/>
                <w:lang w:val="sl-SI"/>
              </w:rPr>
              <w:t>E-naslov</w:t>
            </w:r>
          </w:p>
        </w:tc>
        <w:tc>
          <w:tcPr>
            <w:tcW w:w="4026" w:type="pct"/>
          </w:tcPr>
          <w:p w:rsidRPr="00D27759" w:rsidR="00437105" w:rsidP="0021720F" w:rsidRDefault="00AA6CE8" w14:paraId="73452B0B" w14:textId="022C6D50">
            <w:pPr>
              <w:spacing w:line="264" w:lineRule="auto"/>
              <w:rPr>
                <w:i/>
                <w:lang w:val="sl-SI"/>
              </w:rPr>
            </w:pPr>
            <w:hyperlink w:history="1" r:id="rId32">
              <w:r w:rsidRPr="00D27759" w:rsidR="00381571">
                <w:rPr>
                  <w:rStyle w:val="Hyperlink"/>
                  <w:i/>
                  <w:lang w:val="sl-SI"/>
                </w:rPr>
                <w:t>Myrto.Kolyva@eesc.europa.eu</w:t>
              </w:r>
            </w:hyperlink>
          </w:p>
        </w:tc>
      </w:tr>
    </w:tbl>
    <w:p w:rsidRPr="00D27759" w:rsidR="00437105" w:rsidP="0021720F" w:rsidRDefault="00437105" w14:paraId="42271223" w14:textId="77777777">
      <w:pPr>
        <w:spacing w:line="264" w:lineRule="auto"/>
        <w:rPr>
          <w:lang w:val="sl-SI"/>
        </w:rPr>
      </w:pPr>
    </w:p>
    <w:p w:rsidRPr="00D27759" w:rsidR="008C2252" w:rsidP="00EB17ED" w:rsidRDefault="00AA6CE8" w14:paraId="299DFF99" w14:textId="4639C95E">
      <w:pPr>
        <w:keepNext/>
        <w:keepLines/>
        <w:numPr>
          <w:ilvl w:val="0"/>
          <w:numId w:val="7"/>
        </w:numPr>
        <w:tabs>
          <w:tab w:val="clear" w:pos="0"/>
        </w:tabs>
        <w:spacing w:line="250" w:lineRule="auto"/>
        <w:ind w:left="567" w:hanging="567"/>
        <w:rPr>
          <w:sz w:val="28"/>
          <w:szCs w:val="22"/>
          <w:lang w:val="sl-SI"/>
        </w:rPr>
      </w:pPr>
      <w:hyperlink w:history="1" r:id="rId33">
        <w:r w:rsidRPr="00D27759" w:rsidR="00AA486B">
          <w:rPr>
            <w:rStyle w:val="Hyperlink"/>
            <w:b/>
            <w:bCs/>
            <w:i/>
            <w:iCs/>
            <w:sz w:val="28"/>
            <w:szCs w:val="24"/>
            <w:lang w:val="sl-SI"/>
          </w:rPr>
          <w:t>Priporočila civilne družbe za evropski pakt za oceane</w:t>
        </w:r>
      </w:hyperlink>
    </w:p>
    <w:p w:rsidRPr="00D27759" w:rsidR="008C2252" w:rsidP="00EB17ED" w:rsidRDefault="008C2252" w14:paraId="2D636002" w14:textId="77777777">
      <w:pPr>
        <w:keepNext/>
        <w:keepLines/>
        <w:spacing w:line="250"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60D72386" w14:textId="77777777">
        <w:tc>
          <w:tcPr>
            <w:tcW w:w="974" w:type="pct"/>
          </w:tcPr>
          <w:p w:rsidRPr="00D27759" w:rsidR="008C2252" w:rsidP="00EB17ED" w:rsidRDefault="008C2252" w14:paraId="5866F4E2" w14:textId="77777777">
            <w:pPr>
              <w:keepNext/>
              <w:keepLines/>
              <w:spacing w:line="250" w:lineRule="auto"/>
              <w:rPr>
                <w:b/>
                <w:szCs w:val="22"/>
                <w:lang w:val="sl-SI"/>
              </w:rPr>
            </w:pPr>
            <w:r w:rsidRPr="00D27759">
              <w:rPr>
                <w:b/>
                <w:szCs w:val="22"/>
                <w:lang w:val="sl-SI"/>
              </w:rPr>
              <w:t>Poročevalec</w:t>
            </w:r>
          </w:p>
        </w:tc>
        <w:tc>
          <w:tcPr>
            <w:tcW w:w="4026" w:type="pct"/>
          </w:tcPr>
          <w:p w:rsidRPr="00D27759" w:rsidR="008C2252" w:rsidP="00EB17ED" w:rsidRDefault="00AA486B" w14:paraId="00CD58DF" w14:textId="59506431">
            <w:pPr>
              <w:keepNext/>
              <w:keepLines/>
              <w:spacing w:line="250" w:lineRule="auto"/>
              <w:rPr>
                <w:szCs w:val="22"/>
                <w:lang w:val="sl-SI"/>
              </w:rPr>
            </w:pPr>
            <w:r w:rsidRPr="00D27759">
              <w:rPr>
                <w:szCs w:val="22"/>
                <w:lang w:val="sl-SI"/>
              </w:rPr>
              <w:t>Francisco Javier GARAT PÉREZ (skupina organizacij civilne družbe – ES)</w:t>
            </w:r>
          </w:p>
        </w:tc>
      </w:tr>
      <w:tr w:rsidRPr="00D27759" w:rsidR="008C2252" w:rsidTr="00145601" w14:paraId="2D12FB79" w14:textId="77777777">
        <w:tc>
          <w:tcPr>
            <w:tcW w:w="5000" w:type="pct"/>
            <w:gridSpan w:val="2"/>
          </w:tcPr>
          <w:p w:rsidRPr="00D27759" w:rsidR="008C2252" w:rsidP="00EB17ED" w:rsidRDefault="008C2252" w14:paraId="6981A139" w14:textId="77777777">
            <w:pPr>
              <w:keepNext/>
              <w:keepLines/>
              <w:spacing w:line="250" w:lineRule="auto"/>
              <w:rPr>
                <w:sz w:val="16"/>
                <w:szCs w:val="22"/>
                <w:lang w:val="sl-SI"/>
              </w:rPr>
            </w:pPr>
          </w:p>
        </w:tc>
      </w:tr>
      <w:tr w:rsidRPr="00D27759" w:rsidR="008C2252" w:rsidTr="00145601" w14:paraId="6349697D" w14:textId="77777777">
        <w:tc>
          <w:tcPr>
            <w:tcW w:w="974" w:type="pct"/>
            <w:vMerge w:val="restart"/>
          </w:tcPr>
          <w:p w:rsidRPr="00D27759" w:rsidR="008C2252" w:rsidP="00EB17ED" w:rsidRDefault="008C2252" w14:paraId="4C461CC9" w14:textId="77777777">
            <w:pPr>
              <w:keepNext/>
              <w:keepLines/>
              <w:spacing w:line="250" w:lineRule="auto"/>
              <w:rPr>
                <w:b/>
                <w:szCs w:val="22"/>
                <w:lang w:val="sl-SI"/>
              </w:rPr>
            </w:pPr>
            <w:r w:rsidRPr="00D27759">
              <w:rPr>
                <w:b/>
                <w:szCs w:val="22"/>
                <w:lang w:val="sl-SI"/>
              </w:rPr>
              <w:t>Referenčni dokument</w:t>
            </w:r>
          </w:p>
        </w:tc>
        <w:tc>
          <w:tcPr>
            <w:tcW w:w="4026" w:type="pct"/>
          </w:tcPr>
          <w:p w:rsidRPr="00D27759" w:rsidR="008C2252" w:rsidP="00EB17ED" w:rsidRDefault="00CA5F81" w14:paraId="38CB1DF7" w14:textId="69A38D02">
            <w:pPr>
              <w:keepNext/>
              <w:keepLines/>
              <w:spacing w:line="250" w:lineRule="auto"/>
              <w:rPr>
                <w:szCs w:val="22"/>
                <w:lang w:val="sl-SI"/>
              </w:rPr>
            </w:pPr>
            <w:r w:rsidRPr="00CA5F81">
              <w:rPr>
                <w:szCs w:val="22"/>
                <w:lang w:val="sl-SI"/>
              </w:rPr>
              <w:t xml:space="preserve">raziskovalno mnenje na zaprosilo </w:t>
            </w:r>
            <w:r>
              <w:rPr>
                <w:szCs w:val="22"/>
                <w:lang w:val="sl-SI"/>
              </w:rPr>
              <w:t>Evropske komisije</w:t>
            </w:r>
          </w:p>
        </w:tc>
      </w:tr>
      <w:tr w:rsidRPr="00D27759" w:rsidR="008C2252" w:rsidTr="00145601" w14:paraId="01B4845D" w14:textId="77777777">
        <w:tc>
          <w:tcPr>
            <w:tcW w:w="974" w:type="pct"/>
            <w:vMerge/>
          </w:tcPr>
          <w:p w:rsidRPr="00D27759" w:rsidR="008C2252" w:rsidP="00EB17ED" w:rsidRDefault="008C2252" w14:paraId="1260DBAC" w14:textId="77777777">
            <w:pPr>
              <w:keepNext/>
              <w:keepLines/>
              <w:tabs>
                <w:tab w:val="center" w:pos="284"/>
              </w:tabs>
              <w:spacing w:line="250" w:lineRule="auto"/>
              <w:ind w:left="266" w:hanging="266"/>
              <w:rPr>
                <w:b/>
                <w:szCs w:val="22"/>
                <w:lang w:val="sl-SI"/>
              </w:rPr>
            </w:pPr>
          </w:p>
        </w:tc>
        <w:tc>
          <w:tcPr>
            <w:tcW w:w="4026" w:type="pct"/>
          </w:tcPr>
          <w:p w:rsidRPr="00D27759" w:rsidR="008C2252" w:rsidP="00EB17ED" w:rsidRDefault="00AA486B" w14:paraId="28D8013F" w14:textId="1D110E75">
            <w:pPr>
              <w:keepNext/>
              <w:keepLines/>
              <w:spacing w:line="250" w:lineRule="auto"/>
              <w:rPr>
                <w:szCs w:val="22"/>
                <w:lang w:val="sl-SI"/>
              </w:rPr>
            </w:pPr>
            <w:r w:rsidRPr="00D27759">
              <w:rPr>
                <w:szCs w:val="22"/>
                <w:lang w:val="sl-SI"/>
              </w:rPr>
              <w:t>EESC-2024-04595-00-00-AC</w:t>
            </w:r>
          </w:p>
        </w:tc>
      </w:tr>
    </w:tbl>
    <w:p w:rsidRPr="00D27759" w:rsidR="008C2252" w:rsidP="00EB17ED" w:rsidRDefault="008C2252" w14:paraId="0546994A" w14:textId="77777777">
      <w:pPr>
        <w:keepNext/>
        <w:keepLines/>
        <w:spacing w:line="250" w:lineRule="auto"/>
        <w:rPr>
          <w:szCs w:val="22"/>
          <w:lang w:val="sl-SI"/>
        </w:rPr>
      </w:pPr>
    </w:p>
    <w:p w:rsidRPr="00D27759" w:rsidR="008C2252" w:rsidP="00EB17ED" w:rsidRDefault="008C2252" w14:paraId="00735387" w14:textId="77777777">
      <w:pPr>
        <w:keepNext/>
        <w:keepLines/>
        <w:spacing w:line="250" w:lineRule="auto"/>
        <w:rPr>
          <w:lang w:val="sl-SI"/>
        </w:rPr>
      </w:pPr>
      <w:r w:rsidRPr="00D27759">
        <w:rPr>
          <w:b/>
          <w:lang w:val="sl-SI"/>
        </w:rPr>
        <w:t>Glavne točke</w:t>
      </w:r>
    </w:p>
    <w:p w:rsidRPr="00D27759" w:rsidR="008C2252" w:rsidP="00EB17ED" w:rsidRDefault="008C2252" w14:paraId="63580985" w14:textId="77777777">
      <w:pPr>
        <w:keepNext/>
        <w:keepLines/>
        <w:spacing w:line="250" w:lineRule="auto"/>
        <w:rPr>
          <w:szCs w:val="22"/>
          <w:lang w:val="sl-SI"/>
        </w:rPr>
      </w:pPr>
    </w:p>
    <w:p w:rsidRPr="00D27759" w:rsidR="008C2252" w:rsidP="00EB17ED" w:rsidRDefault="008C2252" w14:paraId="437219B3" w14:textId="77777777">
      <w:pPr>
        <w:keepNext/>
        <w:keepLines/>
        <w:spacing w:line="250" w:lineRule="auto"/>
        <w:rPr>
          <w:bCs/>
          <w:iCs/>
          <w:szCs w:val="22"/>
          <w:lang w:val="sl-SI"/>
        </w:rPr>
      </w:pPr>
      <w:r w:rsidRPr="00D27759">
        <w:rPr>
          <w:bCs/>
          <w:iCs/>
          <w:szCs w:val="22"/>
          <w:lang w:val="sl-SI"/>
        </w:rPr>
        <w:t>EESO:</w:t>
      </w:r>
    </w:p>
    <w:p w:rsidRPr="00D27759" w:rsidR="008C2252" w:rsidP="00EB17ED" w:rsidRDefault="008C2252" w14:paraId="0B50B309" w14:textId="77777777">
      <w:pPr>
        <w:keepNext/>
        <w:keepLines/>
        <w:spacing w:line="250" w:lineRule="auto"/>
        <w:rPr>
          <w:szCs w:val="22"/>
          <w:lang w:val="sl-SI"/>
        </w:rPr>
      </w:pPr>
    </w:p>
    <w:p w:rsidRPr="00D27759" w:rsidR="00AA486B" w:rsidP="00EB17ED" w:rsidRDefault="00AA486B" w14:paraId="38800DED" w14:textId="06898565">
      <w:pPr>
        <w:widowControl w:val="0"/>
        <w:numPr>
          <w:ilvl w:val="0"/>
          <w:numId w:val="9"/>
        </w:numPr>
        <w:tabs>
          <w:tab w:val="clear" w:pos="0"/>
        </w:tabs>
        <w:spacing w:line="250" w:lineRule="auto"/>
        <w:ind w:left="567" w:hanging="567"/>
        <w:rPr>
          <w:szCs w:val="22"/>
          <w:lang w:val="sl-SI"/>
        </w:rPr>
      </w:pPr>
      <w:r w:rsidRPr="00D27759">
        <w:rPr>
          <w:szCs w:val="22"/>
          <w:lang w:val="sl-SI"/>
        </w:rPr>
        <w:t>pozdravlja dejstvo, da je evropski pakt za oceane med prednostnimi nalogami Komisije v novem mandatu, ter poziva k celostnemu pristopu, ki bi gospodarsko blaginjo in konkurenčnost povezoval z okoljsko prenovo in spodbujanjem socialne pravičnosti;</w:t>
      </w:r>
    </w:p>
    <w:p w:rsidRPr="00D27759" w:rsidR="00AA486B" w:rsidP="00EB17ED" w:rsidRDefault="00AA486B" w14:paraId="23A31045" w14:textId="3759C4FC">
      <w:pPr>
        <w:widowControl w:val="0"/>
        <w:numPr>
          <w:ilvl w:val="0"/>
          <w:numId w:val="9"/>
        </w:numPr>
        <w:tabs>
          <w:tab w:val="clear" w:pos="0"/>
        </w:tabs>
        <w:spacing w:line="250" w:lineRule="auto"/>
        <w:ind w:left="567" w:hanging="567"/>
        <w:rPr>
          <w:szCs w:val="22"/>
          <w:lang w:val="sl-SI"/>
        </w:rPr>
      </w:pPr>
      <w:r w:rsidRPr="00D27759">
        <w:rPr>
          <w:szCs w:val="22"/>
          <w:lang w:val="sl-SI"/>
        </w:rPr>
        <w:t>priporoča, naj bo pakt tesno usklajen s strategijo EU za modro gospodarstvo, cilji trajnostnega razvoja in evropskim zelenim dogovorom. Osredotočen bi moral biti tako na pomorsko kot kopensko industrijo. Za večji učinek ga je treba uskladiti z drugimi politikami EU, zlasti s sporazumom o čisti industriji, strategijo za pomorsko industrijo in okvirno direktivo o morski strategiji. EESO meni tudi, da je nujno izboljšati strategijo EU za pomorsko varnost in oceniti obstoječe politike, denimo skupno ribiško politiko;</w:t>
      </w:r>
    </w:p>
    <w:p w:rsidRPr="00D27759" w:rsidR="00AA486B" w:rsidP="00EB17ED" w:rsidRDefault="00AA486B" w14:paraId="41B3F25F" w14:textId="7786EA0C">
      <w:pPr>
        <w:widowControl w:val="0"/>
        <w:numPr>
          <w:ilvl w:val="0"/>
          <w:numId w:val="9"/>
        </w:numPr>
        <w:tabs>
          <w:tab w:val="clear" w:pos="0"/>
        </w:tabs>
        <w:spacing w:line="250" w:lineRule="auto"/>
        <w:ind w:left="567" w:hanging="567"/>
        <w:rPr>
          <w:szCs w:val="22"/>
          <w:lang w:val="sl-SI"/>
        </w:rPr>
      </w:pPr>
      <w:r w:rsidRPr="00D27759">
        <w:rPr>
          <w:szCs w:val="22"/>
          <w:lang w:val="sl-SI"/>
        </w:rPr>
        <w:t>poziva, naj se z učinkovitejšim usklajevanjem obstoječih politik in organov ter preprečevanjem razdrobljenosti in podvajanja ukrepov okrepi in izboljša evropski okvir za gospodarjenje z morjem ter naj se izboljšajo diplomatska prizadevanja in podprejo mreže sodelovanja med obalnimi skupnostmi, proizvodnimi sektorji in znanstveniki. Zato priporoča, da se v vseh evropskih institucijah oblikujejo posebne delovne skupine za morja in oceane;</w:t>
      </w:r>
    </w:p>
    <w:p w:rsidRPr="00D27759" w:rsidR="00AA486B" w:rsidP="00EB17ED" w:rsidRDefault="00AA486B" w14:paraId="2F65EF0B" w14:textId="348D1D6A">
      <w:pPr>
        <w:widowControl w:val="0"/>
        <w:numPr>
          <w:ilvl w:val="0"/>
          <w:numId w:val="9"/>
        </w:numPr>
        <w:tabs>
          <w:tab w:val="clear" w:pos="0"/>
        </w:tabs>
        <w:spacing w:line="250" w:lineRule="auto"/>
        <w:ind w:left="567" w:hanging="567"/>
        <w:rPr>
          <w:szCs w:val="22"/>
          <w:lang w:val="sl-SI"/>
        </w:rPr>
      </w:pPr>
      <w:r w:rsidRPr="00D27759">
        <w:rPr>
          <w:szCs w:val="22"/>
          <w:lang w:val="sl-SI"/>
        </w:rPr>
        <w:t>poziva Komisijo, naj vzpostavi mehanizem sodelovanja med evropskimi agencijami, pristojnimi za oceane, da bi čim bolj izboljšali zbiranje podatkov in dognanj. Znanost je ključnega pomena za učinkovito upravljanje oceanov;</w:t>
      </w:r>
    </w:p>
    <w:p w:rsidRPr="00D27759" w:rsidR="00AA486B" w:rsidP="00EB17ED" w:rsidRDefault="00AA486B" w14:paraId="74904C3D" w14:textId="7E030AF2">
      <w:pPr>
        <w:widowControl w:val="0"/>
        <w:numPr>
          <w:ilvl w:val="0"/>
          <w:numId w:val="9"/>
        </w:numPr>
        <w:tabs>
          <w:tab w:val="clear" w:pos="0"/>
        </w:tabs>
        <w:spacing w:line="250" w:lineRule="auto"/>
        <w:ind w:left="567" w:hanging="567"/>
        <w:rPr>
          <w:lang w:val="sl-SI"/>
        </w:rPr>
      </w:pPr>
      <w:r w:rsidRPr="00D27759">
        <w:rPr>
          <w:szCs w:val="22"/>
          <w:lang w:val="sl-SI"/>
        </w:rPr>
        <w:t>priporoča revizijo pomorskega prostorskega načrtovanja, da bi omogočili sinergije in uskladili navzkrižja interesov, do katerih prihaja zaradi širjenja novih pomorskih panog. Podpreti je treba pristop pozitivnega soobstoja</w:t>
      </w:r>
      <w:r w:rsidRPr="00D27759">
        <w:rPr>
          <w:lang w:val="sl-SI"/>
        </w:rPr>
        <w:t xml:space="preserve"> in sistemski pristop;</w:t>
      </w:r>
    </w:p>
    <w:p w:rsidRPr="00D27759" w:rsidR="00AA486B" w:rsidP="00EB17ED" w:rsidRDefault="00AA486B" w14:paraId="5EC9B8CB" w14:textId="1C9C5634">
      <w:pPr>
        <w:widowControl w:val="0"/>
        <w:numPr>
          <w:ilvl w:val="0"/>
          <w:numId w:val="9"/>
        </w:numPr>
        <w:tabs>
          <w:tab w:val="clear" w:pos="0"/>
        </w:tabs>
        <w:spacing w:line="250" w:lineRule="auto"/>
        <w:ind w:left="567" w:hanging="567"/>
        <w:rPr>
          <w:szCs w:val="22"/>
          <w:lang w:val="sl-SI"/>
        </w:rPr>
      </w:pPr>
      <w:r w:rsidRPr="00D27759">
        <w:rPr>
          <w:szCs w:val="22"/>
          <w:lang w:val="sl-SI"/>
        </w:rPr>
        <w:t>poziva k oblikovanju „industrijskega zavezništva za vrednostne verige modrega gospodarstva“, v katerem bi bili vsi ustrezni deležniki (podjetja, socialni partnerji, raziskovalne ustanove, oblikovalci politik, vlagatelji in drugi);</w:t>
      </w:r>
    </w:p>
    <w:p w:rsidRPr="00D27759" w:rsidR="00AA486B" w:rsidP="00EB17ED" w:rsidRDefault="00AA486B" w14:paraId="7BC32EAA" w14:textId="67ADE21C">
      <w:pPr>
        <w:widowControl w:val="0"/>
        <w:numPr>
          <w:ilvl w:val="0"/>
          <w:numId w:val="9"/>
        </w:numPr>
        <w:tabs>
          <w:tab w:val="clear" w:pos="0"/>
        </w:tabs>
        <w:spacing w:line="250" w:lineRule="auto"/>
        <w:ind w:left="567" w:hanging="567"/>
        <w:rPr>
          <w:szCs w:val="22"/>
          <w:lang w:val="sl-SI"/>
        </w:rPr>
      </w:pPr>
      <w:r w:rsidRPr="00D27759">
        <w:rPr>
          <w:szCs w:val="22"/>
          <w:lang w:val="sl-SI"/>
        </w:rPr>
        <w:t>poziva k financiranju ukrepov na področju oceanov, da se podpre cilj trajnostnega razvoja št. 14. Pri tem je bistveno mobilizirati javna in zasebna sredstva. EESO priporoča, da se v horizontalnih skladih, kot sta Obzorje in Evropski socialni sklad, predvidijo posebne proračunske postavke za oceane, ter da se okrepijo sektorski skladi, kot je Evropski sklad za pomorstvo, ribištvo in akvakulturo;</w:t>
      </w:r>
    </w:p>
    <w:p w:rsidRPr="00D27759" w:rsidR="00AA486B" w:rsidP="00EB17ED" w:rsidRDefault="00AA486B" w14:paraId="09E237AE" w14:textId="179701DA">
      <w:pPr>
        <w:widowControl w:val="0"/>
        <w:numPr>
          <w:ilvl w:val="0"/>
          <w:numId w:val="9"/>
        </w:numPr>
        <w:tabs>
          <w:tab w:val="clear" w:pos="0"/>
        </w:tabs>
        <w:spacing w:line="250" w:lineRule="auto"/>
        <w:ind w:left="567" w:hanging="567"/>
        <w:rPr>
          <w:szCs w:val="22"/>
          <w:lang w:val="sl-SI"/>
        </w:rPr>
      </w:pPr>
      <w:r w:rsidRPr="00D27759">
        <w:rPr>
          <w:szCs w:val="22"/>
          <w:lang w:val="sl-SI"/>
        </w:rPr>
        <w:t>poziva Komisijo, naj v paktu upošteva socialno razsežnost ter s celovito podporo delavcem poskrbi za pravičen in digitalni prehod v pomorskem sektorju, s privabljanjem mladih spodbuja generacijsko pomladitev, izboljša zaščito delavcev ter olajša preusposabljanje in izpopolnjevanje;</w:t>
      </w:r>
    </w:p>
    <w:p w:rsidRPr="00D27759" w:rsidR="00AA486B" w:rsidP="00EB17ED" w:rsidRDefault="00AA486B" w14:paraId="467ED4DE" w14:textId="2D104449">
      <w:pPr>
        <w:widowControl w:val="0"/>
        <w:numPr>
          <w:ilvl w:val="0"/>
          <w:numId w:val="9"/>
        </w:numPr>
        <w:tabs>
          <w:tab w:val="clear" w:pos="0"/>
        </w:tabs>
        <w:spacing w:line="250" w:lineRule="auto"/>
        <w:ind w:left="567" w:hanging="567"/>
        <w:rPr>
          <w:lang w:val="sl-SI"/>
        </w:rPr>
      </w:pPr>
      <w:r w:rsidRPr="00D27759">
        <w:rPr>
          <w:szCs w:val="22"/>
          <w:lang w:val="sl-SI"/>
        </w:rPr>
        <w:t>poziva,</w:t>
      </w:r>
      <w:r w:rsidRPr="00D27759">
        <w:rPr>
          <w:lang w:val="sl-SI"/>
        </w:rPr>
        <w:t xml:space="preserve"> naj se za uspešnost in obstanek pomorskega sektorja v Evropi ustvarijo enaki konkurenčni pogoji in oblikuje močan pomorski grozd z jasnimi cilji glede razogljičenja;</w:t>
      </w:r>
    </w:p>
    <w:p w:rsidRPr="00D27759" w:rsidR="008C2252" w:rsidP="00EB17ED" w:rsidRDefault="00AA486B" w14:paraId="359C53E1" w14:textId="16BB3C33">
      <w:pPr>
        <w:widowControl w:val="0"/>
        <w:numPr>
          <w:ilvl w:val="0"/>
          <w:numId w:val="9"/>
        </w:numPr>
        <w:tabs>
          <w:tab w:val="clear" w:pos="0"/>
        </w:tabs>
        <w:spacing w:line="250" w:lineRule="auto"/>
        <w:ind w:left="567" w:hanging="567"/>
        <w:rPr>
          <w:lang w:val="sl-SI"/>
        </w:rPr>
      </w:pPr>
      <w:r w:rsidRPr="00D27759">
        <w:rPr>
          <w:szCs w:val="22"/>
          <w:lang w:val="sl-SI"/>
        </w:rPr>
        <w:t>priporoča</w:t>
      </w:r>
      <w:r w:rsidRPr="00D27759">
        <w:rPr>
          <w:lang w:val="sl-SI"/>
        </w:rPr>
        <w:t xml:space="preserve"> oblikovanje celovitega mehanizma za ocenjevanje in spremljanje napredka pakta, pri katerem bi moral sodelovati tudi EESO.</w:t>
      </w:r>
    </w:p>
    <w:p w:rsidRPr="00D27759" w:rsidR="00AA486B" w:rsidP="00EB17ED" w:rsidRDefault="00AA486B" w14:paraId="4E25BF4C" w14:textId="77777777">
      <w:pPr>
        <w:spacing w:line="250"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2243D7D8" w14:textId="77777777">
        <w:tc>
          <w:tcPr>
            <w:tcW w:w="974" w:type="pct"/>
          </w:tcPr>
          <w:p w:rsidRPr="00D27759" w:rsidR="008C2252" w:rsidP="00EB17ED" w:rsidRDefault="008C2252" w14:paraId="494AB80D" w14:textId="77777777">
            <w:pPr>
              <w:spacing w:line="250" w:lineRule="auto"/>
              <w:rPr>
                <w:lang w:val="sl-SI"/>
              </w:rPr>
            </w:pPr>
            <w:r w:rsidRPr="00D27759">
              <w:rPr>
                <w:b/>
                <w:i/>
                <w:szCs w:val="22"/>
                <w:lang w:val="sl-SI"/>
              </w:rPr>
              <w:t>Kontaktna oseba</w:t>
            </w:r>
          </w:p>
        </w:tc>
        <w:tc>
          <w:tcPr>
            <w:tcW w:w="4026" w:type="pct"/>
          </w:tcPr>
          <w:p w:rsidRPr="00D27759" w:rsidR="008C2252" w:rsidP="00EB17ED" w:rsidRDefault="00AA486B" w14:paraId="5283B858" w14:textId="795DBEEB">
            <w:pPr>
              <w:spacing w:line="250" w:lineRule="auto"/>
              <w:rPr>
                <w:i/>
                <w:lang w:val="sl-SI"/>
              </w:rPr>
            </w:pPr>
            <w:r w:rsidRPr="00D27759">
              <w:rPr>
                <w:i/>
                <w:lang w:val="sl-SI"/>
              </w:rPr>
              <w:t>Gaia Bottoni</w:t>
            </w:r>
          </w:p>
        </w:tc>
      </w:tr>
      <w:tr w:rsidRPr="00D27759" w:rsidR="008C2252" w:rsidTr="00145601" w14:paraId="24E1B1AD" w14:textId="77777777">
        <w:tc>
          <w:tcPr>
            <w:tcW w:w="974" w:type="pct"/>
          </w:tcPr>
          <w:p w:rsidRPr="00D27759" w:rsidR="008C2252" w:rsidP="00EB17ED" w:rsidRDefault="008C2252" w14:paraId="1FBC4513" w14:textId="77777777">
            <w:pPr>
              <w:spacing w:line="250" w:lineRule="auto"/>
              <w:rPr>
                <w:lang w:val="sl-SI"/>
              </w:rPr>
            </w:pPr>
            <w:r w:rsidRPr="00D27759">
              <w:rPr>
                <w:i/>
                <w:szCs w:val="22"/>
                <w:lang w:val="sl-SI"/>
              </w:rPr>
              <w:t>Telefon</w:t>
            </w:r>
          </w:p>
        </w:tc>
        <w:tc>
          <w:tcPr>
            <w:tcW w:w="4026" w:type="pct"/>
          </w:tcPr>
          <w:p w:rsidRPr="00D27759" w:rsidR="008C2252" w:rsidP="00EB17ED" w:rsidRDefault="008C2252" w14:paraId="14B2A7F2" w14:textId="282193F3">
            <w:pPr>
              <w:spacing w:line="250" w:lineRule="auto"/>
              <w:rPr>
                <w:lang w:val="sl-SI"/>
              </w:rPr>
            </w:pPr>
            <w:r w:rsidRPr="00D27759">
              <w:rPr>
                <w:i/>
                <w:szCs w:val="22"/>
                <w:lang w:val="sl-SI"/>
              </w:rPr>
              <w:t>+32 2 </w:t>
            </w:r>
            <w:r w:rsidRPr="00D27759" w:rsidR="00AA486B">
              <w:rPr>
                <w:i/>
                <w:szCs w:val="22"/>
                <w:lang w:val="sl-SI"/>
              </w:rPr>
              <w:t>546 9447</w:t>
            </w:r>
          </w:p>
        </w:tc>
      </w:tr>
      <w:tr w:rsidRPr="00D27759" w:rsidR="008C2252" w:rsidTr="00145601" w14:paraId="7EAF70EA" w14:textId="77777777">
        <w:tc>
          <w:tcPr>
            <w:tcW w:w="974" w:type="pct"/>
          </w:tcPr>
          <w:p w:rsidRPr="00D27759" w:rsidR="008C2252" w:rsidP="00EB17ED" w:rsidRDefault="008C2252" w14:paraId="016A0D9F" w14:textId="77777777">
            <w:pPr>
              <w:spacing w:line="250" w:lineRule="auto"/>
              <w:rPr>
                <w:lang w:val="sl-SI"/>
              </w:rPr>
            </w:pPr>
            <w:r w:rsidRPr="00D27759">
              <w:rPr>
                <w:i/>
                <w:szCs w:val="22"/>
                <w:lang w:val="sl-SI"/>
              </w:rPr>
              <w:t>E-naslov</w:t>
            </w:r>
          </w:p>
        </w:tc>
        <w:tc>
          <w:tcPr>
            <w:tcW w:w="4026" w:type="pct"/>
          </w:tcPr>
          <w:p w:rsidRPr="00D27759" w:rsidR="008C2252" w:rsidP="00EB17ED" w:rsidRDefault="00AA6CE8" w14:paraId="5C994315" w14:textId="41B76234">
            <w:pPr>
              <w:spacing w:line="250" w:lineRule="auto"/>
              <w:rPr>
                <w:i/>
                <w:lang w:val="sl-SI"/>
              </w:rPr>
            </w:pPr>
            <w:hyperlink w:history="1" r:id="rId34">
              <w:r w:rsidRPr="00D27759" w:rsidR="00AA486B">
                <w:rPr>
                  <w:rStyle w:val="Hyperlink"/>
                  <w:i/>
                  <w:lang w:val="sl-SI"/>
                </w:rPr>
                <w:t>Gaia.Bottoni@eesc.europa.eu</w:t>
              </w:r>
            </w:hyperlink>
          </w:p>
        </w:tc>
      </w:tr>
    </w:tbl>
    <w:p w:rsidRPr="00D27759" w:rsidR="008C2252" w:rsidP="00EB17ED" w:rsidRDefault="008C2252" w14:paraId="2B8BC914" w14:textId="77777777">
      <w:pPr>
        <w:spacing w:line="250" w:lineRule="auto"/>
        <w:rPr>
          <w:lang w:val="sl-SI"/>
        </w:rPr>
      </w:pPr>
    </w:p>
    <w:p w:rsidRPr="00D27759" w:rsidR="008C2252" w:rsidP="0046753C" w:rsidRDefault="00AA6CE8" w14:paraId="3D4FFB1D" w14:textId="2F4A8F82">
      <w:pPr>
        <w:keepNext/>
        <w:keepLines/>
        <w:numPr>
          <w:ilvl w:val="0"/>
          <w:numId w:val="7"/>
        </w:numPr>
        <w:tabs>
          <w:tab w:val="clear" w:pos="0"/>
        </w:tabs>
        <w:ind w:left="567" w:hanging="567"/>
        <w:rPr>
          <w:sz w:val="28"/>
          <w:szCs w:val="22"/>
          <w:lang w:val="sl-SI"/>
        </w:rPr>
      </w:pPr>
      <w:hyperlink w:history="1" r:id="rId35">
        <w:r w:rsidRPr="00D27759" w:rsidR="00DA1EA5">
          <w:rPr>
            <w:rStyle w:val="Hyperlink"/>
            <w:b/>
            <w:bCs/>
            <w:i/>
            <w:iCs/>
            <w:sz w:val="28"/>
            <w:szCs w:val="28"/>
            <w:lang w:val="sl-SI"/>
          </w:rPr>
          <w:t>Nova pravila o čezmejnem zatiranju nepoštenih trgovinskih praks</w:t>
        </w:r>
      </w:hyperlink>
    </w:p>
    <w:p w:rsidRPr="00D27759" w:rsidR="008C2252" w:rsidP="0046753C" w:rsidRDefault="008C2252" w14:paraId="40616199" w14:textId="60C04D9A">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782C1315" w14:textId="77777777">
        <w:tc>
          <w:tcPr>
            <w:tcW w:w="974" w:type="pct"/>
          </w:tcPr>
          <w:p w:rsidRPr="00D27759" w:rsidR="008C2252" w:rsidP="0046753C" w:rsidRDefault="008C2252" w14:paraId="72EA1128" w14:textId="01EE3846">
            <w:pPr>
              <w:keepNext/>
              <w:keepLines/>
              <w:rPr>
                <w:b/>
                <w:szCs w:val="22"/>
                <w:lang w:val="sl-SI"/>
              </w:rPr>
            </w:pPr>
            <w:r w:rsidRPr="00D27759">
              <w:rPr>
                <w:b/>
                <w:szCs w:val="22"/>
                <w:lang w:val="sl-SI"/>
              </w:rPr>
              <w:t>Poročeval</w:t>
            </w:r>
            <w:r w:rsidRPr="00D27759" w:rsidR="00DA1EA5">
              <w:rPr>
                <w:b/>
                <w:szCs w:val="22"/>
                <w:lang w:val="sl-SI"/>
              </w:rPr>
              <w:t>ka</w:t>
            </w:r>
          </w:p>
        </w:tc>
        <w:tc>
          <w:tcPr>
            <w:tcW w:w="4026" w:type="pct"/>
          </w:tcPr>
          <w:p w:rsidRPr="00D27759" w:rsidR="008C2252" w:rsidP="0046753C" w:rsidRDefault="00DA1EA5" w14:paraId="18A11EEC" w14:textId="25A9E78E">
            <w:pPr>
              <w:keepNext/>
              <w:keepLines/>
              <w:rPr>
                <w:szCs w:val="22"/>
                <w:lang w:val="sl-SI"/>
              </w:rPr>
            </w:pPr>
            <w:r w:rsidRPr="00D27759">
              <w:rPr>
                <w:szCs w:val="22"/>
                <w:lang w:val="sl-SI"/>
              </w:rPr>
              <w:t>Émilie PROUZET (skupina delodajalcev – FR)</w:t>
            </w:r>
          </w:p>
        </w:tc>
      </w:tr>
      <w:tr w:rsidRPr="00D27759" w:rsidR="008C2252" w:rsidTr="00145601" w14:paraId="5F815399" w14:textId="77777777">
        <w:tc>
          <w:tcPr>
            <w:tcW w:w="5000" w:type="pct"/>
            <w:gridSpan w:val="2"/>
          </w:tcPr>
          <w:p w:rsidRPr="00D27759" w:rsidR="008C2252" w:rsidP="0046753C" w:rsidRDefault="008C2252" w14:paraId="7CB5A4D4" w14:textId="77777777">
            <w:pPr>
              <w:keepNext/>
              <w:keepLines/>
              <w:rPr>
                <w:sz w:val="16"/>
                <w:szCs w:val="22"/>
                <w:lang w:val="sl-SI"/>
              </w:rPr>
            </w:pPr>
          </w:p>
        </w:tc>
      </w:tr>
      <w:tr w:rsidRPr="00D27759" w:rsidR="008C2252" w:rsidTr="00145601" w14:paraId="73343AA2" w14:textId="77777777">
        <w:tc>
          <w:tcPr>
            <w:tcW w:w="974" w:type="pct"/>
            <w:vMerge w:val="restart"/>
          </w:tcPr>
          <w:p w:rsidRPr="00D27759" w:rsidR="008C2252" w:rsidP="0046753C" w:rsidRDefault="008C2252" w14:paraId="7F70F4B6" w14:textId="071CFCED">
            <w:pPr>
              <w:keepNext/>
              <w:keepLines/>
              <w:rPr>
                <w:b/>
                <w:szCs w:val="22"/>
                <w:lang w:val="sl-SI"/>
              </w:rPr>
            </w:pPr>
            <w:r w:rsidRPr="00D27759">
              <w:rPr>
                <w:b/>
                <w:szCs w:val="22"/>
                <w:lang w:val="sl-SI"/>
              </w:rPr>
              <w:t>Referenčn</w:t>
            </w:r>
            <w:r w:rsidR="002C1D13">
              <w:rPr>
                <w:b/>
                <w:szCs w:val="22"/>
                <w:lang w:val="sl-SI"/>
              </w:rPr>
              <w:t>a</w:t>
            </w:r>
            <w:r w:rsidRPr="00D27759">
              <w:rPr>
                <w:b/>
                <w:szCs w:val="22"/>
                <w:lang w:val="sl-SI"/>
              </w:rPr>
              <w:t xml:space="preserve"> dokument</w:t>
            </w:r>
            <w:r w:rsidR="002C1D13">
              <w:rPr>
                <w:b/>
                <w:szCs w:val="22"/>
                <w:lang w:val="sl-SI"/>
              </w:rPr>
              <w:t>a</w:t>
            </w:r>
          </w:p>
        </w:tc>
        <w:tc>
          <w:tcPr>
            <w:tcW w:w="4026" w:type="pct"/>
          </w:tcPr>
          <w:p w:rsidRPr="00D27759" w:rsidR="008C2252" w:rsidP="0046753C" w:rsidRDefault="00BD1EE2" w14:paraId="2B68EC0B" w14:textId="46DCE4F3">
            <w:pPr>
              <w:keepNext/>
              <w:keepLines/>
              <w:rPr>
                <w:szCs w:val="22"/>
                <w:lang w:val="sl-SI"/>
              </w:rPr>
            </w:pPr>
            <w:r>
              <w:rPr>
                <w:szCs w:val="22"/>
                <w:lang w:val="sl-SI"/>
              </w:rPr>
              <w:t>COM(2024) 576 final</w:t>
            </w:r>
          </w:p>
        </w:tc>
      </w:tr>
      <w:tr w:rsidRPr="00D27759" w:rsidR="008C2252" w:rsidTr="00145601" w14:paraId="09945348" w14:textId="77777777">
        <w:tc>
          <w:tcPr>
            <w:tcW w:w="974" w:type="pct"/>
            <w:vMerge/>
          </w:tcPr>
          <w:p w:rsidRPr="00D27759" w:rsidR="008C2252" w:rsidP="0046753C" w:rsidRDefault="008C2252" w14:paraId="35BA547C" w14:textId="77777777">
            <w:pPr>
              <w:keepNext/>
              <w:keepLines/>
              <w:tabs>
                <w:tab w:val="center" w:pos="284"/>
              </w:tabs>
              <w:ind w:left="266" w:hanging="266"/>
              <w:rPr>
                <w:b/>
                <w:szCs w:val="22"/>
                <w:lang w:val="sl-SI"/>
              </w:rPr>
            </w:pPr>
          </w:p>
        </w:tc>
        <w:tc>
          <w:tcPr>
            <w:tcW w:w="4026" w:type="pct"/>
          </w:tcPr>
          <w:p w:rsidRPr="00D27759" w:rsidR="008C2252" w:rsidP="0046753C" w:rsidRDefault="00DA1EA5" w14:paraId="4847E7CC" w14:textId="636C7BE3">
            <w:pPr>
              <w:keepNext/>
              <w:keepLines/>
              <w:rPr>
                <w:szCs w:val="22"/>
                <w:lang w:val="sl-SI"/>
              </w:rPr>
            </w:pPr>
            <w:r w:rsidRPr="00D27759">
              <w:rPr>
                <w:szCs w:val="22"/>
                <w:lang w:val="sl-SI"/>
              </w:rPr>
              <w:t>EESC-2024-04652-00-00-AC</w:t>
            </w:r>
          </w:p>
        </w:tc>
      </w:tr>
    </w:tbl>
    <w:p w:rsidRPr="00D27759" w:rsidR="008C2252" w:rsidP="0046753C" w:rsidRDefault="008C2252" w14:paraId="1A4BA04A" w14:textId="77777777">
      <w:pPr>
        <w:keepNext/>
        <w:keepLines/>
        <w:rPr>
          <w:szCs w:val="22"/>
          <w:lang w:val="sl-SI"/>
        </w:rPr>
      </w:pPr>
    </w:p>
    <w:p w:rsidRPr="00D27759" w:rsidR="008C2252" w:rsidP="0046753C" w:rsidRDefault="008C2252" w14:paraId="6250F406" w14:textId="77777777">
      <w:pPr>
        <w:keepNext/>
        <w:keepLines/>
        <w:rPr>
          <w:lang w:val="sl-SI"/>
        </w:rPr>
      </w:pPr>
      <w:r w:rsidRPr="00D27759">
        <w:rPr>
          <w:b/>
          <w:lang w:val="sl-SI"/>
        </w:rPr>
        <w:t>Glavne točke</w:t>
      </w:r>
    </w:p>
    <w:p w:rsidRPr="00D27759" w:rsidR="008C2252" w:rsidP="0046753C" w:rsidRDefault="008C2252" w14:paraId="56AE6C69" w14:textId="77777777">
      <w:pPr>
        <w:keepNext/>
        <w:keepLines/>
        <w:rPr>
          <w:szCs w:val="22"/>
          <w:lang w:val="sl-SI"/>
        </w:rPr>
      </w:pPr>
    </w:p>
    <w:p w:rsidRPr="00D27759" w:rsidR="008C2252" w:rsidP="0046753C" w:rsidRDefault="008C2252" w14:paraId="7C81D700" w14:textId="77777777">
      <w:pPr>
        <w:keepNext/>
        <w:keepLines/>
        <w:rPr>
          <w:bCs/>
          <w:iCs/>
          <w:szCs w:val="22"/>
          <w:lang w:val="sl-SI"/>
        </w:rPr>
      </w:pPr>
      <w:r w:rsidRPr="00D27759">
        <w:rPr>
          <w:bCs/>
          <w:iCs/>
          <w:szCs w:val="22"/>
          <w:lang w:val="sl-SI"/>
        </w:rPr>
        <w:t>EESO:</w:t>
      </w:r>
    </w:p>
    <w:p w:rsidRPr="00D27759" w:rsidR="008C2252" w:rsidP="0046753C" w:rsidRDefault="008C2252" w14:paraId="1C22198E" w14:textId="77777777">
      <w:pPr>
        <w:keepNext/>
        <w:keepLines/>
        <w:rPr>
          <w:szCs w:val="22"/>
          <w:lang w:val="sl-SI"/>
        </w:rPr>
      </w:pPr>
    </w:p>
    <w:p w:rsidRPr="00D27759" w:rsidR="00DA1EA5" w:rsidP="0046753C" w:rsidRDefault="00DA1EA5" w14:paraId="1BD46F77" w14:textId="4782C500">
      <w:pPr>
        <w:keepNext/>
        <w:keepLines/>
        <w:widowControl w:val="0"/>
        <w:numPr>
          <w:ilvl w:val="0"/>
          <w:numId w:val="9"/>
        </w:numPr>
        <w:tabs>
          <w:tab w:val="clear" w:pos="0"/>
        </w:tabs>
        <w:ind w:left="567" w:hanging="567"/>
        <w:rPr>
          <w:szCs w:val="22"/>
          <w:lang w:val="sl-SI"/>
        </w:rPr>
      </w:pPr>
      <w:r w:rsidRPr="00D27759">
        <w:rPr>
          <w:szCs w:val="22"/>
          <w:lang w:val="sl-SI"/>
        </w:rPr>
        <w:t>podpira krepitev sodelovanja nacionalnih organov na notranjem trgu in duh odprtega dialoga med različnimi akterji v verigi preskrbe s hrano, ki je v zadnjih mesecih prevladoval zlasti v okviru strateškega dialoga, ter upa, da se bo ta duh nadaljeval v okviru nedavno ustanovljenega Evropskega odbora za agroživilski sektor (EBAF);</w:t>
      </w:r>
    </w:p>
    <w:p w:rsidRPr="00D27759" w:rsidR="00DA1EA5" w:rsidP="00DA1EA5" w:rsidRDefault="00DA1EA5" w14:paraId="3FC4EBE4" w14:textId="5A73A60A">
      <w:pPr>
        <w:widowControl w:val="0"/>
        <w:numPr>
          <w:ilvl w:val="0"/>
          <w:numId w:val="9"/>
        </w:numPr>
        <w:tabs>
          <w:tab w:val="clear" w:pos="0"/>
        </w:tabs>
        <w:ind w:left="567" w:hanging="567"/>
        <w:rPr>
          <w:szCs w:val="22"/>
          <w:lang w:val="sl-SI"/>
        </w:rPr>
      </w:pPr>
      <w:r w:rsidRPr="00D27759">
        <w:rPr>
          <w:szCs w:val="22"/>
          <w:lang w:val="sl-SI"/>
        </w:rPr>
        <w:t>ugotavlja, da si je bistveno prizadevati za boljšo komunikacijo, usklajevanje in sodelovanje med nacionalnimi organi, da bi se izboljšala zlasti podpora pritožnikom. Pri tem EESO ponovno poudarja ključno vlogo tolmačev in prevajalcev. Jeziki so še vedno velika ovira, ki omejuje dostop do postopkov;</w:t>
      </w:r>
    </w:p>
    <w:p w:rsidRPr="00D27759" w:rsidR="00DA1EA5" w:rsidP="00DA1EA5" w:rsidRDefault="00DA1EA5" w14:paraId="009A647F" w14:textId="60147F2E">
      <w:pPr>
        <w:widowControl w:val="0"/>
        <w:numPr>
          <w:ilvl w:val="0"/>
          <w:numId w:val="9"/>
        </w:numPr>
        <w:tabs>
          <w:tab w:val="clear" w:pos="0"/>
        </w:tabs>
        <w:ind w:left="567" w:hanging="567"/>
        <w:rPr>
          <w:szCs w:val="22"/>
          <w:lang w:val="sl-SI"/>
        </w:rPr>
      </w:pPr>
      <w:r w:rsidRPr="00D27759">
        <w:rPr>
          <w:szCs w:val="22"/>
          <w:lang w:val="sl-SI"/>
        </w:rPr>
        <w:t>pozdravlja odločitev Komisije, da hitro začne vključevati priporočila iz poročila o strateškem dialogu o prihodnosti evropskega kmetijstva v zakonodajni postopek;</w:t>
      </w:r>
    </w:p>
    <w:p w:rsidRPr="00D27759" w:rsidR="00DA1EA5" w:rsidP="00DA1EA5" w:rsidRDefault="00DA1EA5" w14:paraId="3E0E075F" w14:textId="09FC772D">
      <w:pPr>
        <w:widowControl w:val="0"/>
        <w:numPr>
          <w:ilvl w:val="0"/>
          <w:numId w:val="9"/>
        </w:numPr>
        <w:tabs>
          <w:tab w:val="clear" w:pos="0"/>
        </w:tabs>
        <w:ind w:left="567" w:hanging="567"/>
        <w:rPr>
          <w:szCs w:val="22"/>
          <w:lang w:val="sl-SI"/>
        </w:rPr>
      </w:pPr>
      <w:r w:rsidRPr="00D27759">
        <w:rPr>
          <w:szCs w:val="22"/>
          <w:lang w:val="sl-SI"/>
        </w:rPr>
        <w:t>razume, da ni ocene učinka, glede na to, da je predlog uredbe namenjen zgolj pojasnitvi načinov sodelovanja med nacionalnimi organi, ki so že določeni v direktivi o nepoštenih poslovnih praksah;</w:t>
      </w:r>
    </w:p>
    <w:p w:rsidRPr="00D27759" w:rsidR="00DA1EA5" w:rsidP="00DA1EA5" w:rsidRDefault="00DA1EA5" w14:paraId="3B3D99EF" w14:textId="55BECADB">
      <w:pPr>
        <w:widowControl w:val="0"/>
        <w:numPr>
          <w:ilvl w:val="0"/>
          <w:numId w:val="9"/>
        </w:numPr>
        <w:tabs>
          <w:tab w:val="clear" w:pos="0"/>
        </w:tabs>
        <w:ind w:left="567" w:hanging="567"/>
        <w:rPr>
          <w:szCs w:val="22"/>
          <w:lang w:val="sl-SI"/>
        </w:rPr>
      </w:pPr>
      <w:r w:rsidRPr="00D27759">
        <w:rPr>
          <w:szCs w:val="22"/>
          <w:lang w:val="sl-SI"/>
        </w:rPr>
        <w:t>poziva sozakonodajalca, naj zagotovita, da bo predlagana uredba ostala zakonodajni akt, katerega cilj je izključno opredeliti upravne in postopkovne ukrepe, pa tudi to, da bodo podjetja, ki delujejo na notranjem trgu, deležna pravne varnosti, da bodo lahko za svoje pogodbe svobodno izbirala pravo in pristojnost, ob spoštovanju konkurenčnega prava;</w:t>
      </w:r>
    </w:p>
    <w:p w:rsidRPr="00D27759" w:rsidR="00DA1EA5" w:rsidP="00DA1EA5" w:rsidRDefault="00DA1EA5" w14:paraId="454743A2" w14:textId="00813AEA">
      <w:pPr>
        <w:widowControl w:val="0"/>
        <w:numPr>
          <w:ilvl w:val="0"/>
          <w:numId w:val="9"/>
        </w:numPr>
        <w:tabs>
          <w:tab w:val="clear" w:pos="0"/>
        </w:tabs>
        <w:ind w:left="567" w:hanging="567"/>
        <w:rPr>
          <w:szCs w:val="22"/>
          <w:lang w:val="sl-SI"/>
        </w:rPr>
      </w:pPr>
      <w:r w:rsidRPr="00D27759">
        <w:rPr>
          <w:szCs w:val="22"/>
          <w:lang w:val="sl-SI"/>
        </w:rPr>
        <w:t>poziva, naj se ukrepi iz uredbe uporabljajo le za sodelovanje med izvršilnimi organi, ki nadzorujejo izvajanje zakonodaje o nepoštenih trgovinskih praksah in pragov, ki so usklajeni na ravni EU v členih 3 in 4 direktive o nepoštenih trgovinskih praksah;</w:t>
      </w:r>
    </w:p>
    <w:p w:rsidRPr="00D27759" w:rsidR="008C2252" w:rsidP="00DA1EA5" w:rsidRDefault="00DA1EA5" w14:paraId="23183E50" w14:textId="25120D71">
      <w:pPr>
        <w:widowControl w:val="0"/>
        <w:numPr>
          <w:ilvl w:val="0"/>
          <w:numId w:val="9"/>
        </w:numPr>
        <w:tabs>
          <w:tab w:val="clear" w:pos="0"/>
        </w:tabs>
        <w:ind w:left="567" w:hanging="567"/>
        <w:rPr>
          <w:szCs w:val="22"/>
          <w:lang w:val="sl-SI"/>
        </w:rPr>
      </w:pPr>
      <w:r w:rsidRPr="00D27759">
        <w:rPr>
          <w:szCs w:val="22"/>
          <w:lang w:val="sl-SI"/>
        </w:rPr>
        <w:t>poziva sozakonodajalca, naj poskrbita, da imajo izvršilni organi absolutno pravico do zavrnitve prošenj za informacije o nacionalnih pravilih, ki niso usklajena z direktivo o nepoštenih trgovinskih praksah, in naj ne predlagata ukrepov, ki bi privedli do ponovne nacionalizacije preskrbe v Evropi in s tem legitimirali omejitve lokalne preskrbe, kar ima lahko hude posledice za potrošnike in trajnostnost proizvodov.</w:t>
      </w:r>
    </w:p>
    <w:p w:rsidRPr="00D27759" w:rsidR="00DA1EA5" w:rsidP="008C2252" w:rsidRDefault="00DA1EA5" w14:paraId="4E7C48F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2829A8CC" w14:textId="77777777">
        <w:tc>
          <w:tcPr>
            <w:tcW w:w="974" w:type="pct"/>
          </w:tcPr>
          <w:p w:rsidRPr="00D27759" w:rsidR="008C2252" w:rsidP="00145601" w:rsidRDefault="008C2252" w14:paraId="741B4B71" w14:textId="77777777">
            <w:pPr>
              <w:rPr>
                <w:lang w:val="sl-SI"/>
              </w:rPr>
            </w:pPr>
            <w:r w:rsidRPr="00D27759">
              <w:rPr>
                <w:b/>
                <w:i/>
                <w:szCs w:val="22"/>
                <w:lang w:val="sl-SI"/>
              </w:rPr>
              <w:t>Kontaktna oseba</w:t>
            </w:r>
          </w:p>
        </w:tc>
        <w:tc>
          <w:tcPr>
            <w:tcW w:w="4026" w:type="pct"/>
          </w:tcPr>
          <w:p w:rsidRPr="00D27759" w:rsidR="008C2252" w:rsidP="00145601" w:rsidRDefault="00DA1EA5" w14:paraId="562A19B9" w14:textId="7F4083AB">
            <w:pPr>
              <w:rPr>
                <w:i/>
                <w:lang w:val="sl-SI"/>
              </w:rPr>
            </w:pPr>
            <w:r w:rsidRPr="00D27759">
              <w:rPr>
                <w:i/>
                <w:lang w:val="sl-SI"/>
              </w:rPr>
              <w:t>Myrto Kolyva</w:t>
            </w:r>
          </w:p>
        </w:tc>
      </w:tr>
      <w:tr w:rsidRPr="00D27759" w:rsidR="008C2252" w:rsidTr="00145601" w14:paraId="5D2605DC" w14:textId="77777777">
        <w:tc>
          <w:tcPr>
            <w:tcW w:w="974" w:type="pct"/>
          </w:tcPr>
          <w:p w:rsidRPr="00D27759" w:rsidR="008C2252" w:rsidP="00145601" w:rsidRDefault="008C2252" w14:paraId="613D64BC" w14:textId="77777777">
            <w:pPr>
              <w:rPr>
                <w:lang w:val="sl-SI"/>
              </w:rPr>
            </w:pPr>
            <w:r w:rsidRPr="00D27759">
              <w:rPr>
                <w:i/>
                <w:szCs w:val="22"/>
                <w:lang w:val="sl-SI"/>
              </w:rPr>
              <w:t>Telefon</w:t>
            </w:r>
          </w:p>
        </w:tc>
        <w:tc>
          <w:tcPr>
            <w:tcW w:w="4026" w:type="pct"/>
          </w:tcPr>
          <w:p w:rsidRPr="00D27759" w:rsidR="008C2252" w:rsidP="00145601" w:rsidRDefault="008C2252" w14:paraId="0B4E7D35" w14:textId="58375057">
            <w:pPr>
              <w:rPr>
                <w:lang w:val="sl-SI"/>
              </w:rPr>
            </w:pPr>
            <w:r w:rsidRPr="00D27759">
              <w:rPr>
                <w:i/>
                <w:szCs w:val="22"/>
                <w:lang w:val="sl-SI"/>
              </w:rPr>
              <w:t>+32 2 </w:t>
            </w:r>
            <w:r w:rsidRPr="00D27759" w:rsidR="00DA1EA5">
              <w:rPr>
                <w:i/>
                <w:szCs w:val="22"/>
                <w:lang w:val="sl-SI"/>
              </w:rPr>
              <w:t>546 8718</w:t>
            </w:r>
          </w:p>
        </w:tc>
      </w:tr>
      <w:tr w:rsidRPr="00D27759" w:rsidR="008C2252" w:rsidTr="00145601" w14:paraId="1D79B2F7" w14:textId="77777777">
        <w:tc>
          <w:tcPr>
            <w:tcW w:w="974" w:type="pct"/>
          </w:tcPr>
          <w:p w:rsidRPr="00D27759" w:rsidR="008C2252" w:rsidP="00145601" w:rsidRDefault="008C2252" w14:paraId="16BBBE30" w14:textId="77777777">
            <w:pPr>
              <w:rPr>
                <w:lang w:val="sl-SI"/>
              </w:rPr>
            </w:pPr>
            <w:r w:rsidRPr="00D27759">
              <w:rPr>
                <w:i/>
                <w:szCs w:val="22"/>
                <w:lang w:val="sl-SI"/>
              </w:rPr>
              <w:t>E-naslov</w:t>
            </w:r>
          </w:p>
        </w:tc>
        <w:tc>
          <w:tcPr>
            <w:tcW w:w="4026" w:type="pct"/>
          </w:tcPr>
          <w:p w:rsidRPr="00D27759" w:rsidR="008C2252" w:rsidP="00145601" w:rsidRDefault="00AA6CE8" w14:paraId="3B7BF52E" w14:textId="0469A2FD">
            <w:pPr>
              <w:rPr>
                <w:i/>
                <w:lang w:val="sl-SI"/>
              </w:rPr>
            </w:pPr>
            <w:hyperlink w:history="1" r:id="rId36">
              <w:r w:rsidRPr="00D27759" w:rsidR="00DA1EA5">
                <w:rPr>
                  <w:rStyle w:val="Hyperlink"/>
                  <w:i/>
                  <w:lang w:val="sl-SI"/>
                </w:rPr>
                <w:t>Myrto.Kolyva@eesc.europa.eu</w:t>
              </w:r>
            </w:hyperlink>
          </w:p>
        </w:tc>
      </w:tr>
    </w:tbl>
    <w:p w:rsidRPr="00D27759" w:rsidR="008C2252" w:rsidP="008C2252" w:rsidRDefault="008C2252" w14:paraId="60D36B9F" w14:textId="77777777">
      <w:pPr>
        <w:rPr>
          <w:lang w:val="sl-SI"/>
        </w:rPr>
      </w:pPr>
    </w:p>
    <w:p w:rsidRPr="00D27759" w:rsidR="008C2252" w:rsidP="00C2160D" w:rsidRDefault="00AA6CE8" w14:paraId="75371372" w14:textId="70B4841E">
      <w:pPr>
        <w:keepNext/>
        <w:keepLines/>
        <w:numPr>
          <w:ilvl w:val="0"/>
          <w:numId w:val="7"/>
        </w:numPr>
        <w:tabs>
          <w:tab w:val="clear" w:pos="0"/>
        </w:tabs>
        <w:spacing w:line="283" w:lineRule="auto"/>
        <w:ind w:left="567" w:hanging="567"/>
        <w:rPr>
          <w:sz w:val="28"/>
          <w:szCs w:val="22"/>
          <w:lang w:val="sl-SI"/>
        </w:rPr>
      </w:pPr>
      <w:hyperlink w:history="1" r:id="rId37">
        <w:r w:rsidRPr="00D27759" w:rsidR="0046753C">
          <w:rPr>
            <w:rStyle w:val="Hyperlink"/>
            <w:b/>
            <w:bCs/>
            <w:i/>
            <w:iCs/>
            <w:sz w:val="28"/>
            <w:szCs w:val="24"/>
            <w:lang w:val="sl-SI"/>
          </w:rPr>
          <w:t>Sprememba uredbe o skupni ureditvi trgov (SUT) v zvezi s pravili o pogodbah, organizacijah proizvajalcev in sodelovanju med kmeti</w:t>
        </w:r>
      </w:hyperlink>
    </w:p>
    <w:p w:rsidRPr="00D27759" w:rsidR="008C2252" w:rsidP="00C2160D" w:rsidRDefault="008C2252" w14:paraId="5CF20395" w14:textId="77777777">
      <w:pPr>
        <w:keepNext/>
        <w:keepLines/>
        <w:spacing w:line="283"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0535BD8C" w14:textId="77777777">
        <w:tc>
          <w:tcPr>
            <w:tcW w:w="974" w:type="pct"/>
          </w:tcPr>
          <w:p w:rsidRPr="00D27759" w:rsidR="008C2252" w:rsidP="00C2160D" w:rsidRDefault="008C2252" w14:paraId="4B805F0B" w14:textId="77777777">
            <w:pPr>
              <w:keepNext/>
              <w:keepLines/>
              <w:spacing w:line="283" w:lineRule="auto"/>
              <w:rPr>
                <w:b/>
                <w:szCs w:val="22"/>
                <w:lang w:val="sl-SI"/>
              </w:rPr>
            </w:pPr>
            <w:r w:rsidRPr="00D27759">
              <w:rPr>
                <w:b/>
                <w:szCs w:val="22"/>
                <w:lang w:val="sl-SI"/>
              </w:rPr>
              <w:t>Poročevalec</w:t>
            </w:r>
          </w:p>
        </w:tc>
        <w:tc>
          <w:tcPr>
            <w:tcW w:w="4026" w:type="pct"/>
          </w:tcPr>
          <w:p w:rsidRPr="00D27759" w:rsidR="008C2252" w:rsidP="00C2160D" w:rsidRDefault="0046753C" w14:paraId="16CB02C3" w14:textId="61223852">
            <w:pPr>
              <w:keepNext/>
              <w:keepLines/>
              <w:spacing w:line="283" w:lineRule="auto"/>
              <w:rPr>
                <w:szCs w:val="22"/>
                <w:lang w:val="sl-SI"/>
              </w:rPr>
            </w:pPr>
            <w:r w:rsidRPr="00D27759">
              <w:rPr>
                <w:szCs w:val="22"/>
                <w:lang w:val="sl-SI"/>
              </w:rPr>
              <w:t>Stoyan TCHOUKANOV (skupina organizacij civilne družbe – BG)</w:t>
            </w:r>
          </w:p>
        </w:tc>
      </w:tr>
      <w:tr w:rsidRPr="00D27759" w:rsidR="008C2252" w:rsidTr="00145601" w14:paraId="4C53D8E1" w14:textId="77777777">
        <w:tc>
          <w:tcPr>
            <w:tcW w:w="5000" w:type="pct"/>
            <w:gridSpan w:val="2"/>
          </w:tcPr>
          <w:p w:rsidRPr="00D27759" w:rsidR="008C2252" w:rsidP="00C2160D" w:rsidRDefault="008C2252" w14:paraId="08735A17" w14:textId="77777777">
            <w:pPr>
              <w:keepNext/>
              <w:keepLines/>
              <w:spacing w:line="283" w:lineRule="auto"/>
              <w:rPr>
                <w:sz w:val="16"/>
                <w:szCs w:val="22"/>
                <w:lang w:val="sl-SI"/>
              </w:rPr>
            </w:pPr>
          </w:p>
        </w:tc>
      </w:tr>
      <w:tr w:rsidRPr="00D27759" w:rsidR="008C2252" w:rsidTr="00145601" w14:paraId="632A3D99" w14:textId="77777777">
        <w:tc>
          <w:tcPr>
            <w:tcW w:w="974" w:type="pct"/>
            <w:vMerge w:val="restart"/>
          </w:tcPr>
          <w:p w:rsidRPr="00D27759" w:rsidR="008C2252" w:rsidP="00C2160D" w:rsidRDefault="008C2252" w14:paraId="47B4163D" w14:textId="3B29AECB">
            <w:pPr>
              <w:keepNext/>
              <w:keepLines/>
              <w:spacing w:line="283" w:lineRule="auto"/>
              <w:rPr>
                <w:b/>
                <w:szCs w:val="22"/>
                <w:lang w:val="sl-SI"/>
              </w:rPr>
            </w:pPr>
            <w:r w:rsidRPr="00D27759">
              <w:rPr>
                <w:b/>
                <w:szCs w:val="22"/>
                <w:lang w:val="sl-SI"/>
              </w:rPr>
              <w:t>Referenčn</w:t>
            </w:r>
            <w:r w:rsidR="002C1D13">
              <w:rPr>
                <w:b/>
                <w:szCs w:val="22"/>
                <w:lang w:val="sl-SI"/>
              </w:rPr>
              <w:t>a</w:t>
            </w:r>
            <w:r w:rsidRPr="00D27759">
              <w:rPr>
                <w:b/>
                <w:szCs w:val="22"/>
                <w:lang w:val="sl-SI"/>
              </w:rPr>
              <w:t xml:space="preserve"> dokument</w:t>
            </w:r>
            <w:r w:rsidR="002C1D13">
              <w:rPr>
                <w:b/>
                <w:szCs w:val="22"/>
                <w:lang w:val="sl-SI"/>
              </w:rPr>
              <w:t>a</w:t>
            </w:r>
          </w:p>
        </w:tc>
        <w:tc>
          <w:tcPr>
            <w:tcW w:w="4026" w:type="pct"/>
          </w:tcPr>
          <w:p w:rsidRPr="00D27759" w:rsidR="008C2252" w:rsidP="00C2160D" w:rsidRDefault="002C1D13" w14:paraId="62C60E94" w14:textId="76AC1759">
            <w:pPr>
              <w:keepNext/>
              <w:keepLines/>
              <w:spacing w:line="283" w:lineRule="auto"/>
              <w:rPr>
                <w:szCs w:val="22"/>
                <w:lang w:val="sl-SI"/>
              </w:rPr>
            </w:pPr>
            <w:r w:rsidRPr="002C1D13">
              <w:rPr>
                <w:szCs w:val="22"/>
                <w:lang w:val="sl-SI"/>
              </w:rPr>
              <w:t>COM(2024) 577 final</w:t>
            </w:r>
          </w:p>
        </w:tc>
      </w:tr>
      <w:tr w:rsidRPr="00D27759" w:rsidR="008C2252" w:rsidTr="00145601" w14:paraId="582BAE35" w14:textId="77777777">
        <w:tc>
          <w:tcPr>
            <w:tcW w:w="974" w:type="pct"/>
            <w:vMerge/>
          </w:tcPr>
          <w:p w:rsidRPr="00D27759" w:rsidR="008C2252" w:rsidP="00C2160D" w:rsidRDefault="008C2252" w14:paraId="6689FDC2" w14:textId="77777777">
            <w:pPr>
              <w:keepNext/>
              <w:keepLines/>
              <w:tabs>
                <w:tab w:val="center" w:pos="284"/>
              </w:tabs>
              <w:spacing w:line="283" w:lineRule="auto"/>
              <w:ind w:left="266" w:hanging="266"/>
              <w:rPr>
                <w:b/>
                <w:szCs w:val="22"/>
                <w:lang w:val="sl-SI"/>
              </w:rPr>
            </w:pPr>
          </w:p>
        </w:tc>
        <w:tc>
          <w:tcPr>
            <w:tcW w:w="4026" w:type="pct"/>
          </w:tcPr>
          <w:p w:rsidRPr="00D27759" w:rsidR="008C2252" w:rsidP="00C2160D" w:rsidRDefault="0046753C" w14:paraId="56D8D9E3" w14:textId="7DBDF8FE">
            <w:pPr>
              <w:keepNext/>
              <w:keepLines/>
              <w:spacing w:line="283" w:lineRule="auto"/>
              <w:rPr>
                <w:szCs w:val="22"/>
                <w:lang w:val="sl-SI"/>
              </w:rPr>
            </w:pPr>
            <w:r w:rsidRPr="00D27759">
              <w:rPr>
                <w:szCs w:val="22"/>
                <w:lang w:val="sl-SI"/>
              </w:rPr>
              <w:t>EESC-2024-04584-00-00-AC</w:t>
            </w:r>
          </w:p>
        </w:tc>
      </w:tr>
    </w:tbl>
    <w:p w:rsidRPr="00D27759" w:rsidR="008C2252" w:rsidP="00C2160D" w:rsidRDefault="008C2252" w14:paraId="1EC711CE" w14:textId="77777777">
      <w:pPr>
        <w:keepNext/>
        <w:keepLines/>
        <w:spacing w:line="283" w:lineRule="auto"/>
        <w:rPr>
          <w:szCs w:val="22"/>
          <w:lang w:val="sl-SI"/>
        </w:rPr>
      </w:pPr>
    </w:p>
    <w:p w:rsidRPr="00D27759" w:rsidR="008C2252" w:rsidP="00C2160D" w:rsidRDefault="008C2252" w14:paraId="5602CA8D" w14:textId="77777777">
      <w:pPr>
        <w:keepNext/>
        <w:keepLines/>
        <w:spacing w:line="283" w:lineRule="auto"/>
        <w:rPr>
          <w:lang w:val="sl-SI"/>
        </w:rPr>
      </w:pPr>
      <w:r w:rsidRPr="00D27759">
        <w:rPr>
          <w:b/>
          <w:lang w:val="sl-SI"/>
        </w:rPr>
        <w:t>Glavne točke</w:t>
      </w:r>
    </w:p>
    <w:p w:rsidRPr="00D27759" w:rsidR="008C2252" w:rsidP="00C2160D" w:rsidRDefault="008C2252" w14:paraId="44215E56" w14:textId="77777777">
      <w:pPr>
        <w:keepNext/>
        <w:keepLines/>
        <w:spacing w:line="283" w:lineRule="auto"/>
        <w:rPr>
          <w:szCs w:val="22"/>
          <w:lang w:val="sl-SI"/>
        </w:rPr>
      </w:pPr>
    </w:p>
    <w:p w:rsidRPr="00D27759" w:rsidR="008C2252" w:rsidP="00C2160D" w:rsidRDefault="008C2252" w14:paraId="4F2CDE49" w14:textId="77777777">
      <w:pPr>
        <w:keepNext/>
        <w:keepLines/>
        <w:spacing w:line="283" w:lineRule="auto"/>
        <w:rPr>
          <w:bCs/>
          <w:iCs/>
          <w:szCs w:val="22"/>
          <w:lang w:val="sl-SI"/>
        </w:rPr>
      </w:pPr>
      <w:r w:rsidRPr="00D27759">
        <w:rPr>
          <w:bCs/>
          <w:iCs/>
          <w:szCs w:val="22"/>
          <w:lang w:val="sl-SI"/>
        </w:rPr>
        <w:t>EESO:</w:t>
      </w:r>
    </w:p>
    <w:p w:rsidRPr="00D27759" w:rsidR="008C2252" w:rsidP="00C2160D" w:rsidRDefault="008C2252" w14:paraId="07587695" w14:textId="77777777">
      <w:pPr>
        <w:keepNext/>
        <w:keepLines/>
        <w:spacing w:line="283" w:lineRule="auto"/>
        <w:rPr>
          <w:szCs w:val="22"/>
          <w:lang w:val="sl-SI"/>
        </w:rPr>
      </w:pPr>
    </w:p>
    <w:p w:rsidRPr="00D27759" w:rsidR="0046753C" w:rsidP="00C2160D" w:rsidRDefault="0046753C" w14:paraId="3A4A760A" w14:textId="426889D4">
      <w:pPr>
        <w:widowControl w:val="0"/>
        <w:numPr>
          <w:ilvl w:val="0"/>
          <w:numId w:val="9"/>
        </w:numPr>
        <w:tabs>
          <w:tab w:val="clear" w:pos="0"/>
        </w:tabs>
        <w:spacing w:line="283" w:lineRule="auto"/>
        <w:ind w:left="567" w:hanging="567"/>
        <w:rPr>
          <w:szCs w:val="22"/>
          <w:lang w:val="sl-SI"/>
        </w:rPr>
      </w:pPr>
      <w:r w:rsidRPr="00D27759">
        <w:rPr>
          <w:szCs w:val="22"/>
          <w:lang w:val="sl-SI"/>
        </w:rPr>
        <w:t>podpira predlog Evropske komisije, ki omogoča krepitev položaja proizvajalcev v agroživilski verigi, ter hkrati priporoča nadaljnje izboljšave;</w:t>
      </w:r>
    </w:p>
    <w:p w:rsidRPr="00D27759" w:rsidR="0046753C" w:rsidP="00C2160D" w:rsidRDefault="0046753C" w14:paraId="559F263D" w14:textId="18AC1143">
      <w:pPr>
        <w:widowControl w:val="0"/>
        <w:numPr>
          <w:ilvl w:val="0"/>
          <w:numId w:val="9"/>
        </w:numPr>
        <w:tabs>
          <w:tab w:val="clear" w:pos="0"/>
        </w:tabs>
        <w:spacing w:line="283" w:lineRule="auto"/>
        <w:ind w:left="567" w:hanging="567"/>
        <w:rPr>
          <w:szCs w:val="22"/>
          <w:lang w:val="sl-SI"/>
        </w:rPr>
      </w:pPr>
      <w:r w:rsidRPr="00D27759">
        <w:rPr>
          <w:szCs w:val="22"/>
          <w:lang w:val="sl-SI"/>
        </w:rPr>
        <w:t>pozdravlja zahtevano uporabo pisnih pogodb za dobavo kmetijskih proizvodov ter v njih zajete objektivne kazalnike o proizvodnih stroških in informacije o tržnih cenah; priporoča, naj se na ravni EU določi izvzetje iz praga vrednosti do zneska v višini 5 000 EUR;</w:t>
      </w:r>
    </w:p>
    <w:p w:rsidRPr="00D27759" w:rsidR="0046753C" w:rsidP="00C2160D" w:rsidRDefault="0046753C" w14:paraId="558ACC5F" w14:textId="772EE218">
      <w:pPr>
        <w:widowControl w:val="0"/>
        <w:numPr>
          <w:ilvl w:val="0"/>
          <w:numId w:val="9"/>
        </w:numPr>
        <w:tabs>
          <w:tab w:val="clear" w:pos="0"/>
        </w:tabs>
        <w:spacing w:line="283" w:lineRule="auto"/>
        <w:ind w:left="567" w:hanging="567"/>
        <w:rPr>
          <w:szCs w:val="22"/>
          <w:lang w:val="sl-SI"/>
        </w:rPr>
      </w:pPr>
      <w:r w:rsidRPr="00D27759">
        <w:rPr>
          <w:szCs w:val="22"/>
          <w:lang w:val="sl-SI"/>
        </w:rPr>
        <w:t>priporoča, naj vsaka država članica opredeli in objavi objektivne in pregledne nacionalne in/ali regionalne kazalnike v zvezi s proizvodnimi stroški in informacije v zvezi z tržnimi cenami ob posvetovanju z vsemi deležniki v vrednostni verigi;</w:t>
      </w:r>
    </w:p>
    <w:p w:rsidRPr="00D27759" w:rsidR="0046753C" w:rsidP="00C2160D" w:rsidRDefault="0046753C" w14:paraId="48CF4D06" w14:textId="068FE8A1">
      <w:pPr>
        <w:widowControl w:val="0"/>
        <w:numPr>
          <w:ilvl w:val="0"/>
          <w:numId w:val="9"/>
        </w:numPr>
        <w:tabs>
          <w:tab w:val="clear" w:pos="0"/>
        </w:tabs>
        <w:spacing w:line="283" w:lineRule="auto"/>
        <w:ind w:left="567" w:hanging="567"/>
        <w:rPr>
          <w:szCs w:val="22"/>
          <w:lang w:val="sl-SI"/>
        </w:rPr>
      </w:pPr>
      <w:r w:rsidRPr="00D27759">
        <w:rPr>
          <w:szCs w:val="22"/>
          <w:lang w:val="sl-SI"/>
        </w:rPr>
        <w:t>podpira vključitev obvezne revizijske klavzule v pisne pogodbe, ki jo bo lahko sprožil proizvajalec in bo omogočila nova pogajanja glede cen, plačanih kmetom, glede na spremembe proizvodnih stroškov in tržnih cen, ob upoštevanju meril trajnostnosti, ter hrkati predlaga pogoje za ta pogajanja;</w:t>
      </w:r>
    </w:p>
    <w:p w:rsidRPr="00D27759" w:rsidR="0046753C" w:rsidP="00C2160D" w:rsidRDefault="0046753C" w14:paraId="53CACA54" w14:textId="7DB28849">
      <w:pPr>
        <w:widowControl w:val="0"/>
        <w:numPr>
          <w:ilvl w:val="0"/>
          <w:numId w:val="9"/>
        </w:numPr>
        <w:tabs>
          <w:tab w:val="clear" w:pos="0"/>
        </w:tabs>
        <w:spacing w:line="283" w:lineRule="auto"/>
        <w:ind w:left="567" w:hanging="567"/>
        <w:rPr>
          <w:szCs w:val="22"/>
          <w:lang w:val="sl-SI"/>
        </w:rPr>
      </w:pPr>
      <w:r w:rsidRPr="00D27759">
        <w:rPr>
          <w:szCs w:val="22"/>
          <w:lang w:val="sl-SI"/>
        </w:rPr>
        <w:t>podpira kratkoročno vzpostavitev mehanizmov za mediacijo v vseh državah članicah, pri čemer se upoštevajo morebitni obstoječi enakovredni mehanizmi; meni, da je treba uvesti mehanizem odločanja v kratkih rokih;</w:t>
      </w:r>
    </w:p>
    <w:p w:rsidRPr="00D27759" w:rsidR="0046753C" w:rsidP="00C2160D" w:rsidRDefault="0046753C" w14:paraId="25C0C89E" w14:textId="291EFA6F">
      <w:pPr>
        <w:widowControl w:val="0"/>
        <w:numPr>
          <w:ilvl w:val="0"/>
          <w:numId w:val="9"/>
        </w:numPr>
        <w:tabs>
          <w:tab w:val="clear" w:pos="0"/>
        </w:tabs>
        <w:spacing w:line="283" w:lineRule="auto"/>
        <w:ind w:left="567" w:hanging="567"/>
        <w:rPr>
          <w:szCs w:val="22"/>
          <w:lang w:val="sl-SI"/>
        </w:rPr>
      </w:pPr>
      <w:r w:rsidRPr="00D27759">
        <w:rPr>
          <w:szCs w:val="22"/>
          <w:lang w:val="sl-SI"/>
        </w:rPr>
        <w:t>podpira predlog, da se nepriznanim organizacijam proizvajalcev dovoli uporaba enakih izjem od pravil o konkurenci, kot veljajo za priznane organizacije proizvajalcev, vendar predlaga, da je ta možnost prehodna stopnja pred uradnim priznanjem, ki ga je treba pridobiti v največ dveh letih;</w:t>
      </w:r>
    </w:p>
    <w:p w:rsidRPr="00D27759" w:rsidR="0046753C" w:rsidP="00C2160D" w:rsidRDefault="0046753C" w14:paraId="6FDD0F8A" w14:textId="16BA5F9D">
      <w:pPr>
        <w:widowControl w:val="0"/>
        <w:numPr>
          <w:ilvl w:val="0"/>
          <w:numId w:val="9"/>
        </w:numPr>
        <w:tabs>
          <w:tab w:val="clear" w:pos="0"/>
        </w:tabs>
        <w:spacing w:line="283" w:lineRule="auto"/>
        <w:ind w:left="567" w:hanging="567"/>
        <w:rPr>
          <w:szCs w:val="22"/>
          <w:lang w:val="sl-SI"/>
        </w:rPr>
      </w:pPr>
      <w:r w:rsidRPr="00D27759">
        <w:rPr>
          <w:szCs w:val="22"/>
          <w:lang w:val="sl-SI"/>
        </w:rPr>
        <w:t>podpira opredelitev pogojev za uporabo izrazov „pošten“, „pravičen“ in „kratke dobavne verige“ ter priporoča, da se pojma „pošten“ in „pravičen“ podrobneje določita tako, da bi zajela tudi plačilo proizvajalcem in omogočila pošten življenjski standard za agroživilsko skupnost;</w:t>
      </w:r>
    </w:p>
    <w:p w:rsidRPr="00D27759" w:rsidR="0046753C" w:rsidP="00C2160D" w:rsidRDefault="0046753C" w14:paraId="0EAA1F8A" w14:textId="601C5996">
      <w:pPr>
        <w:widowControl w:val="0"/>
        <w:numPr>
          <w:ilvl w:val="0"/>
          <w:numId w:val="9"/>
        </w:numPr>
        <w:tabs>
          <w:tab w:val="clear" w:pos="0"/>
        </w:tabs>
        <w:spacing w:line="283" w:lineRule="auto"/>
        <w:ind w:left="567" w:hanging="567"/>
        <w:rPr>
          <w:szCs w:val="22"/>
          <w:lang w:val="sl-SI"/>
        </w:rPr>
      </w:pPr>
      <w:r w:rsidRPr="00D27759">
        <w:rPr>
          <w:szCs w:val="22"/>
          <w:lang w:val="sl-SI"/>
        </w:rPr>
        <w:t>podpira predlog Komisije za nadgradnjo ciljev trajnostnosti v okviru usklajenih ravnanj med proizvajalci (tudi glede delovnih in varnostnih pogojev);</w:t>
      </w:r>
    </w:p>
    <w:p w:rsidRPr="00D27759" w:rsidR="0046753C" w:rsidP="00C2160D" w:rsidRDefault="0046753C" w14:paraId="2F88B518" w14:textId="01766948">
      <w:pPr>
        <w:widowControl w:val="0"/>
        <w:numPr>
          <w:ilvl w:val="0"/>
          <w:numId w:val="9"/>
        </w:numPr>
        <w:tabs>
          <w:tab w:val="clear" w:pos="0"/>
        </w:tabs>
        <w:spacing w:line="283" w:lineRule="auto"/>
        <w:ind w:left="567" w:hanging="567"/>
        <w:rPr>
          <w:szCs w:val="22"/>
          <w:lang w:val="sl-SI"/>
        </w:rPr>
      </w:pPr>
      <w:r w:rsidRPr="00D27759">
        <w:rPr>
          <w:szCs w:val="22"/>
          <w:lang w:val="sl-SI"/>
        </w:rPr>
        <w:t>priporoča revizijo in posodobitev referenčnih pragov za kmetijske proizvode, da bi ustrezali trenutnim gospodarskim razmeram;</w:t>
      </w:r>
    </w:p>
    <w:p w:rsidRPr="00D27759" w:rsidR="008C2252" w:rsidP="00C2160D" w:rsidRDefault="0046753C" w14:paraId="3462E16F" w14:textId="008125E2">
      <w:pPr>
        <w:widowControl w:val="0"/>
        <w:numPr>
          <w:ilvl w:val="0"/>
          <w:numId w:val="9"/>
        </w:numPr>
        <w:tabs>
          <w:tab w:val="clear" w:pos="0"/>
        </w:tabs>
        <w:spacing w:line="283" w:lineRule="auto"/>
        <w:ind w:left="567" w:hanging="567"/>
        <w:rPr>
          <w:lang w:val="sl-SI"/>
        </w:rPr>
      </w:pPr>
      <w:r w:rsidRPr="00D27759">
        <w:rPr>
          <w:szCs w:val="22"/>
          <w:lang w:val="sl-SI"/>
        </w:rPr>
        <w:t>predlaga, da se za podporo gospodarskim subjektom v primeru hudega tržnega neravnovesja namesto kmetijske</w:t>
      </w:r>
      <w:r w:rsidRPr="00D27759">
        <w:rPr>
          <w:lang w:val="sl-SI"/>
        </w:rPr>
        <w:t xml:space="preserve"> rezerve uporabi ad hoc finančna podpora.</w:t>
      </w:r>
    </w:p>
    <w:p w:rsidRPr="00D27759" w:rsidR="0046753C" w:rsidP="00C2160D" w:rsidRDefault="0046753C" w14:paraId="518E70C5" w14:textId="77777777">
      <w:pPr>
        <w:spacing w:line="283"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7EF2D991" w14:textId="77777777">
        <w:tc>
          <w:tcPr>
            <w:tcW w:w="974" w:type="pct"/>
          </w:tcPr>
          <w:p w:rsidRPr="00D27759" w:rsidR="008C2252" w:rsidP="00C2160D" w:rsidRDefault="008C2252" w14:paraId="506F3B69" w14:textId="77777777">
            <w:pPr>
              <w:spacing w:line="283" w:lineRule="auto"/>
              <w:rPr>
                <w:lang w:val="sl-SI"/>
              </w:rPr>
            </w:pPr>
            <w:r w:rsidRPr="00D27759">
              <w:rPr>
                <w:b/>
                <w:i/>
                <w:szCs w:val="22"/>
                <w:lang w:val="sl-SI"/>
              </w:rPr>
              <w:t>Kontaktna oseba</w:t>
            </w:r>
          </w:p>
        </w:tc>
        <w:tc>
          <w:tcPr>
            <w:tcW w:w="4026" w:type="pct"/>
          </w:tcPr>
          <w:p w:rsidRPr="00D27759" w:rsidR="008C2252" w:rsidP="00C2160D" w:rsidRDefault="0046753C" w14:paraId="56470E0D" w14:textId="7875B600">
            <w:pPr>
              <w:spacing w:line="283" w:lineRule="auto"/>
              <w:rPr>
                <w:i/>
                <w:lang w:val="sl-SI"/>
              </w:rPr>
            </w:pPr>
            <w:r w:rsidRPr="00D27759">
              <w:rPr>
                <w:i/>
                <w:lang w:val="sl-SI"/>
              </w:rPr>
              <w:t>Martine Delanoy</w:t>
            </w:r>
          </w:p>
        </w:tc>
      </w:tr>
      <w:tr w:rsidRPr="00D27759" w:rsidR="008C2252" w:rsidTr="00145601" w14:paraId="02DC4FD3" w14:textId="77777777">
        <w:tc>
          <w:tcPr>
            <w:tcW w:w="974" w:type="pct"/>
          </w:tcPr>
          <w:p w:rsidRPr="00D27759" w:rsidR="008C2252" w:rsidP="00C2160D" w:rsidRDefault="008C2252" w14:paraId="45918F81" w14:textId="77777777">
            <w:pPr>
              <w:spacing w:line="283" w:lineRule="auto"/>
              <w:rPr>
                <w:lang w:val="sl-SI"/>
              </w:rPr>
            </w:pPr>
            <w:r w:rsidRPr="00D27759">
              <w:rPr>
                <w:i/>
                <w:szCs w:val="22"/>
                <w:lang w:val="sl-SI"/>
              </w:rPr>
              <w:t>Telefon</w:t>
            </w:r>
          </w:p>
        </w:tc>
        <w:tc>
          <w:tcPr>
            <w:tcW w:w="4026" w:type="pct"/>
          </w:tcPr>
          <w:p w:rsidRPr="00D27759" w:rsidR="008C2252" w:rsidP="00C2160D" w:rsidRDefault="008C2252" w14:paraId="7C3B1D34" w14:textId="209AA7C1">
            <w:pPr>
              <w:spacing w:line="283" w:lineRule="auto"/>
              <w:rPr>
                <w:lang w:val="sl-SI"/>
              </w:rPr>
            </w:pPr>
            <w:r w:rsidRPr="00D27759">
              <w:rPr>
                <w:i/>
                <w:szCs w:val="22"/>
                <w:lang w:val="sl-SI"/>
              </w:rPr>
              <w:t>+32 2 </w:t>
            </w:r>
            <w:r w:rsidRPr="00D27759" w:rsidR="0046753C">
              <w:rPr>
                <w:i/>
                <w:szCs w:val="22"/>
                <w:lang w:val="sl-SI"/>
              </w:rPr>
              <w:t>546 9802</w:t>
            </w:r>
          </w:p>
        </w:tc>
      </w:tr>
      <w:tr w:rsidRPr="00D27759" w:rsidR="008C2252" w:rsidTr="00145601" w14:paraId="1684AF4C" w14:textId="77777777">
        <w:tc>
          <w:tcPr>
            <w:tcW w:w="974" w:type="pct"/>
          </w:tcPr>
          <w:p w:rsidRPr="00D27759" w:rsidR="008C2252" w:rsidP="00C2160D" w:rsidRDefault="008C2252" w14:paraId="58EF15E9" w14:textId="77777777">
            <w:pPr>
              <w:spacing w:line="283" w:lineRule="auto"/>
              <w:rPr>
                <w:lang w:val="sl-SI"/>
              </w:rPr>
            </w:pPr>
            <w:r w:rsidRPr="00D27759">
              <w:rPr>
                <w:i/>
                <w:szCs w:val="22"/>
                <w:lang w:val="sl-SI"/>
              </w:rPr>
              <w:t>E-naslov</w:t>
            </w:r>
          </w:p>
        </w:tc>
        <w:tc>
          <w:tcPr>
            <w:tcW w:w="4026" w:type="pct"/>
          </w:tcPr>
          <w:p w:rsidRPr="00D27759" w:rsidR="008C2252" w:rsidP="00C2160D" w:rsidRDefault="00AA6CE8" w14:paraId="672877B1" w14:textId="440E7A72">
            <w:pPr>
              <w:spacing w:line="283" w:lineRule="auto"/>
              <w:rPr>
                <w:i/>
                <w:lang w:val="sl-SI"/>
              </w:rPr>
            </w:pPr>
            <w:hyperlink w:history="1" r:id="rId38">
              <w:r w:rsidRPr="00D27759" w:rsidR="0046753C">
                <w:rPr>
                  <w:rStyle w:val="Hyperlink"/>
                  <w:i/>
                  <w:lang w:val="sl-SI"/>
                </w:rPr>
                <w:t>Martine.Delanoy@eesc.europa.eu</w:t>
              </w:r>
            </w:hyperlink>
          </w:p>
        </w:tc>
      </w:tr>
    </w:tbl>
    <w:p w:rsidRPr="00D27759" w:rsidR="008C2252" w:rsidP="00C2160D" w:rsidRDefault="008C2252" w14:paraId="7B45C2F5" w14:textId="77777777">
      <w:pPr>
        <w:spacing w:line="283" w:lineRule="auto"/>
        <w:rPr>
          <w:lang w:val="sl-SI"/>
        </w:rPr>
      </w:pPr>
    </w:p>
    <w:p w:rsidRPr="00D27759" w:rsidR="008C2252" w:rsidP="00C2160D" w:rsidRDefault="008C2252" w14:paraId="1810C819" w14:textId="77777777">
      <w:pPr>
        <w:spacing w:line="283" w:lineRule="auto"/>
        <w:rPr>
          <w:lang w:val="sl-SI"/>
        </w:rPr>
      </w:pPr>
    </w:p>
    <w:p w:rsidRPr="00D27759" w:rsidR="00437105" w:rsidP="00AC1FA9" w:rsidRDefault="00437105" w14:paraId="58588674" w14:textId="77777777">
      <w:pPr>
        <w:pStyle w:val="Heading1"/>
        <w:pageBreakBefore/>
        <w:overflowPunct/>
        <w:autoSpaceDE/>
        <w:autoSpaceDN/>
        <w:adjustRightInd/>
        <w:ind w:left="567" w:hanging="567"/>
        <w:textAlignment w:val="auto"/>
        <w:rPr>
          <w:lang w:val="sl-SI"/>
        </w:rPr>
      </w:pPr>
      <w:bookmarkStart w:name="_Toc103071396" w:id="11"/>
      <w:bookmarkStart w:name="_Toc105440140" w:id="12"/>
      <w:r w:rsidRPr="00D27759">
        <w:rPr>
          <w:b/>
          <w:lang w:val="sl-SI"/>
        </w:rPr>
        <w:lastRenderedPageBreak/>
        <w:t>ZUNANJI ODNOSI</w:t>
      </w:r>
      <w:bookmarkEnd w:id="11"/>
      <w:bookmarkEnd w:id="12"/>
    </w:p>
    <w:p w:rsidRPr="00D27759" w:rsidR="00437105" w:rsidP="00AC1FA9" w:rsidRDefault="00437105" w14:paraId="572AF79E" w14:textId="29CC410F">
      <w:pPr>
        <w:rPr>
          <w:lang w:val="sl-SI"/>
        </w:rPr>
      </w:pPr>
    </w:p>
    <w:p w:rsidRPr="00D27759" w:rsidR="00EA31FC" w:rsidP="00EA31FC" w:rsidRDefault="00AA6CE8" w14:paraId="266A3C52" w14:textId="70AF4F8F">
      <w:pPr>
        <w:numPr>
          <w:ilvl w:val="0"/>
          <w:numId w:val="7"/>
        </w:numPr>
        <w:tabs>
          <w:tab w:val="clear" w:pos="0"/>
        </w:tabs>
        <w:ind w:left="567" w:hanging="567"/>
        <w:rPr>
          <w:bCs/>
          <w:iCs/>
          <w:sz w:val="28"/>
          <w:szCs w:val="22"/>
          <w:lang w:val="sl-SI"/>
        </w:rPr>
      </w:pPr>
      <w:hyperlink w:history="1" r:id="rId39">
        <w:r w:rsidRPr="00D27759" w:rsidR="00AD1B0E">
          <w:rPr>
            <w:rStyle w:val="Hyperlink"/>
            <w:b/>
            <w:i/>
            <w:sz w:val="28"/>
            <w:szCs w:val="24"/>
            <w:lang w:val="sl-SI"/>
          </w:rPr>
          <w:t>Konkurenčnost in gospodarska varnost – kako naj trgovinska politika EU prispeva k ciljem iz Draghijevega poročila?</w:t>
        </w:r>
      </w:hyperlink>
    </w:p>
    <w:p w:rsidRPr="00D27759" w:rsidR="00EA31FC" w:rsidP="00EA31FC" w:rsidRDefault="00EA31FC" w14:paraId="5498DA0C"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0387759" w14:textId="77777777">
        <w:tc>
          <w:tcPr>
            <w:tcW w:w="974" w:type="pct"/>
          </w:tcPr>
          <w:p w:rsidRPr="00D27759" w:rsidR="00437105" w:rsidP="00AC1FA9" w:rsidRDefault="00437105" w14:paraId="06F1EA69" w14:textId="77777777">
            <w:pPr>
              <w:rPr>
                <w:b/>
                <w:szCs w:val="22"/>
                <w:lang w:val="sl-SI"/>
              </w:rPr>
            </w:pPr>
            <w:r w:rsidRPr="00D27759">
              <w:rPr>
                <w:b/>
                <w:szCs w:val="22"/>
                <w:lang w:val="sl-SI"/>
              </w:rPr>
              <w:t>Poročevalec</w:t>
            </w:r>
          </w:p>
        </w:tc>
        <w:tc>
          <w:tcPr>
            <w:tcW w:w="4026" w:type="pct"/>
          </w:tcPr>
          <w:p w:rsidRPr="00D27759" w:rsidR="00437105" w:rsidP="00AC1FA9" w:rsidRDefault="00AD1B0E" w14:paraId="09BA6EC7" w14:textId="07413267">
            <w:pPr>
              <w:rPr>
                <w:szCs w:val="22"/>
                <w:lang w:val="sl-SI"/>
              </w:rPr>
            </w:pPr>
            <w:r w:rsidRPr="00D27759">
              <w:rPr>
                <w:szCs w:val="22"/>
                <w:lang w:val="sl-SI"/>
              </w:rPr>
              <w:t>Georgi STOEV (skupina delodajalcev – BG)</w:t>
            </w:r>
          </w:p>
        </w:tc>
      </w:tr>
      <w:tr w:rsidRPr="00D27759" w:rsidR="00437105" w:rsidTr="00993CB4" w14:paraId="11DFCAE8" w14:textId="77777777">
        <w:tc>
          <w:tcPr>
            <w:tcW w:w="5000" w:type="pct"/>
            <w:gridSpan w:val="2"/>
          </w:tcPr>
          <w:p w:rsidRPr="00D27759" w:rsidR="00437105" w:rsidP="00AC1FA9" w:rsidRDefault="00437105" w14:paraId="244BFAC3" w14:textId="77777777">
            <w:pPr>
              <w:rPr>
                <w:sz w:val="16"/>
                <w:szCs w:val="22"/>
                <w:lang w:val="sl-SI"/>
              </w:rPr>
            </w:pPr>
          </w:p>
        </w:tc>
      </w:tr>
      <w:tr w:rsidRPr="00D27759" w:rsidR="00437105" w:rsidTr="00993CB4" w14:paraId="4F12DD3F" w14:textId="77777777">
        <w:tc>
          <w:tcPr>
            <w:tcW w:w="974" w:type="pct"/>
            <w:vMerge w:val="restart"/>
          </w:tcPr>
          <w:p w:rsidRPr="00D27759" w:rsidR="00437105" w:rsidP="00AC1FA9" w:rsidRDefault="00437105" w14:paraId="5177E55F" w14:textId="77777777">
            <w:pPr>
              <w:rPr>
                <w:b/>
                <w:szCs w:val="22"/>
                <w:lang w:val="sl-SI"/>
              </w:rPr>
            </w:pPr>
            <w:r w:rsidRPr="00D27759">
              <w:rPr>
                <w:b/>
                <w:szCs w:val="22"/>
                <w:lang w:val="sl-SI"/>
              </w:rPr>
              <w:t>Referenčni dokument</w:t>
            </w:r>
          </w:p>
        </w:tc>
        <w:tc>
          <w:tcPr>
            <w:tcW w:w="4026" w:type="pct"/>
          </w:tcPr>
          <w:p w:rsidRPr="00D27759" w:rsidR="00437105" w:rsidP="00AC1FA9" w:rsidRDefault="00261578" w14:paraId="7FA74519" w14:textId="079B21EF">
            <w:pPr>
              <w:rPr>
                <w:szCs w:val="22"/>
                <w:lang w:val="sl-SI"/>
              </w:rPr>
            </w:pPr>
            <w:r w:rsidRPr="00261578">
              <w:rPr>
                <w:szCs w:val="22"/>
                <w:lang w:val="sl-SI"/>
              </w:rPr>
              <w:t>raziskovalno mnenje na zaprosilo poljskega predsedstva Svetu EU</w:t>
            </w:r>
          </w:p>
        </w:tc>
      </w:tr>
      <w:tr w:rsidRPr="00D27759" w:rsidR="00437105" w:rsidTr="00993CB4" w14:paraId="6701881A" w14:textId="77777777">
        <w:tc>
          <w:tcPr>
            <w:tcW w:w="974" w:type="pct"/>
            <w:vMerge/>
          </w:tcPr>
          <w:p w:rsidRPr="00D27759" w:rsidR="00437105" w:rsidP="00AC1FA9" w:rsidRDefault="00437105" w14:paraId="21BE9BD2" w14:textId="77777777">
            <w:pPr>
              <w:tabs>
                <w:tab w:val="center" w:pos="284"/>
              </w:tabs>
              <w:ind w:left="266" w:hanging="266"/>
              <w:rPr>
                <w:b/>
                <w:szCs w:val="22"/>
                <w:lang w:val="sl-SI"/>
              </w:rPr>
            </w:pPr>
          </w:p>
        </w:tc>
        <w:tc>
          <w:tcPr>
            <w:tcW w:w="4026" w:type="pct"/>
          </w:tcPr>
          <w:p w:rsidRPr="00D27759" w:rsidR="00437105" w:rsidP="00AC1FA9" w:rsidRDefault="00AD1B0E" w14:paraId="286C8A47" w14:textId="06D721BE">
            <w:pPr>
              <w:rPr>
                <w:szCs w:val="22"/>
                <w:lang w:val="sl-SI"/>
              </w:rPr>
            </w:pPr>
            <w:r w:rsidRPr="00D27759">
              <w:rPr>
                <w:szCs w:val="22"/>
                <w:lang w:val="sl-SI"/>
              </w:rPr>
              <w:t>EESC-2025-00020-00-00-AC</w:t>
            </w:r>
          </w:p>
        </w:tc>
      </w:tr>
    </w:tbl>
    <w:p w:rsidRPr="00D27759" w:rsidR="00437105" w:rsidP="00AC1FA9" w:rsidRDefault="00437105" w14:paraId="40CF4422" w14:textId="77777777">
      <w:pPr>
        <w:rPr>
          <w:szCs w:val="22"/>
          <w:lang w:val="sl-SI"/>
        </w:rPr>
      </w:pPr>
    </w:p>
    <w:p w:rsidRPr="00D27759" w:rsidR="00437105" w:rsidP="00AC1FA9" w:rsidRDefault="00437105" w14:paraId="6A759B66" w14:textId="77777777">
      <w:pPr>
        <w:rPr>
          <w:lang w:val="sl-SI"/>
        </w:rPr>
      </w:pPr>
      <w:r w:rsidRPr="00D27759">
        <w:rPr>
          <w:b/>
          <w:lang w:val="sl-SI"/>
        </w:rPr>
        <w:t>Glavne točke</w:t>
      </w:r>
    </w:p>
    <w:p w:rsidRPr="00D27759" w:rsidR="00437105" w:rsidP="00AC1FA9" w:rsidRDefault="00437105" w14:paraId="3CD78A19" w14:textId="77777777">
      <w:pPr>
        <w:rPr>
          <w:szCs w:val="22"/>
          <w:lang w:val="sl-SI"/>
        </w:rPr>
      </w:pPr>
    </w:p>
    <w:p w:rsidRPr="00D27759" w:rsidR="00437105" w:rsidP="00AC1FA9" w:rsidRDefault="00437105" w14:paraId="33D9A618" w14:textId="77777777">
      <w:pPr>
        <w:rPr>
          <w:bCs/>
          <w:iCs/>
          <w:szCs w:val="22"/>
          <w:lang w:val="sl-SI"/>
        </w:rPr>
      </w:pPr>
      <w:r w:rsidRPr="00D27759">
        <w:rPr>
          <w:bCs/>
          <w:iCs/>
          <w:szCs w:val="22"/>
          <w:lang w:val="sl-SI"/>
        </w:rPr>
        <w:t>EESO:</w:t>
      </w:r>
    </w:p>
    <w:p w:rsidRPr="00D27759" w:rsidR="00437105" w:rsidP="00AC1FA9" w:rsidRDefault="00437105" w14:paraId="3FC5A55C" w14:textId="77777777">
      <w:pPr>
        <w:rPr>
          <w:szCs w:val="22"/>
          <w:lang w:val="sl-SI"/>
        </w:rPr>
      </w:pPr>
    </w:p>
    <w:p w:rsidRPr="00D27759" w:rsidR="00AD1B0E" w:rsidP="00AD1B0E" w:rsidRDefault="00AD1B0E" w14:paraId="582079AC" w14:textId="46E80894">
      <w:pPr>
        <w:widowControl w:val="0"/>
        <w:numPr>
          <w:ilvl w:val="0"/>
          <w:numId w:val="9"/>
        </w:numPr>
        <w:tabs>
          <w:tab w:val="clear" w:pos="0"/>
        </w:tabs>
        <w:ind w:left="567" w:hanging="567"/>
        <w:rPr>
          <w:szCs w:val="22"/>
          <w:lang w:val="sl-SI"/>
        </w:rPr>
      </w:pPr>
      <w:r w:rsidRPr="00D27759">
        <w:rPr>
          <w:szCs w:val="22"/>
          <w:lang w:val="sl-SI"/>
        </w:rPr>
        <w:t>meni, da je treba trgovinsko politiko tesno usklajevati z industrijsko politiko in evropsko politiko gospodarske varnosti, da bo trgovina lahko dejansko prispevala k ciljem Draghijevega poročila. Za to je potrebna skupna evropska strategija za zunanjo in varnostno politiko, eden njenih glavnih elementov pa je zunanja gospodarska in trgovinska politika;</w:t>
      </w:r>
    </w:p>
    <w:p w:rsidRPr="00D27759" w:rsidR="00AD1B0E" w:rsidP="00AD1B0E" w:rsidRDefault="00AD1B0E" w14:paraId="70E899BE" w14:textId="05292565">
      <w:pPr>
        <w:widowControl w:val="0"/>
        <w:numPr>
          <w:ilvl w:val="0"/>
          <w:numId w:val="9"/>
        </w:numPr>
        <w:tabs>
          <w:tab w:val="clear" w:pos="0"/>
        </w:tabs>
        <w:ind w:left="567" w:hanging="567"/>
        <w:rPr>
          <w:szCs w:val="22"/>
          <w:lang w:val="sl-SI"/>
        </w:rPr>
      </w:pPr>
      <w:r w:rsidRPr="00D27759">
        <w:rPr>
          <w:szCs w:val="22"/>
          <w:lang w:val="sl-SI"/>
        </w:rPr>
        <w:t>poudarja, da bi morali biti glavni cilji političnega usklajevanja v skladu s celostnim konceptom odprte, trajnostne in odločne trgovinske politike, ki je usmerjena v: a)</w:t>
      </w:r>
      <w:r w:rsidR="00131C5E">
        <w:rPr>
          <w:szCs w:val="22"/>
          <w:lang w:val="sl-SI"/>
        </w:rPr>
        <w:t> </w:t>
      </w:r>
      <w:r w:rsidRPr="00D27759">
        <w:rPr>
          <w:szCs w:val="22"/>
          <w:lang w:val="sl-SI"/>
        </w:rPr>
        <w:t>zagotavljanje oskrbe s kritičnimi surovinami in trajnostnost oskrbovalnih verig na splošno; b)</w:t>
      </w:r>
      <w:r w:rsidR="00131C5E">
        <w:rPr>
          <w:szCs w:val="22"/>
          <w:lang w:val="sl-SI"/>
        </w:rPr>
        <w:t> </w:t>
      </w:r>
      <w:r w:rsidRPr="00D27759">
        <w:rPr>
          <w:szCs w:val="22"/>
          <w:lang w:val="sl-SI"/>
        </w:rPr>
        <w:t>sposobnost Evrope, da je konkurenčna, da v proizvodnji uporablja najnaprednejše tehnologije ter da izpelje pravičen in trajnosten zeleni in digitalni prehod; in c)</w:t>
      </w:r>
      <w:r w:rsidR="00131C5E">
        <w:rPr>
          <w:szCs w:val="22"/>
          <w:lang w:val="sl-SI"/>
        </w:rPr>
        <w:t> </w:t>
      </w:r>
      <w:r w:rsidRPr="00D27759">
        <w:rPr>
          <w:szCs w:val="22"/>
          <w:lang w:val="sl-SI"/>
        </w:rPr>
        <w:t>znatno znižanje cen energije, kar je glavni dejavnik izgube konkurenčnosti evropskega gospodarstva;</w:t>
      </w:r>
    </w:p>
    <w:p w:rsidRPr="00D27759" w:rsidR="00AD1B0E" w:rsidP="00AD1B0E" w:rsidRDefault="00AD1B0E" w14:paraId="265F06A9" w14:textId="0118736F">
      <w:pPr>
        <w:widowControl w:val="0"/>
        <w:numPr>
          <w:ilvl w:val="0"/>
          <w:numId w:val="9"/>
        </w:numPr>
        <w:tabs>
          <w:tab w:val="clear" w:pos="0"/>
        </w:tabs>
        <w:ind w:left="567" w:hanging="567"/>
        <w:rPr>
          <w:szCs w:val="22"/>
          <w:lang w:val="sl-SI"/>
        </w:rPr>
      </w:pPr>
      <w:r w:rsidRPr="00D27759">
        <w:rPr>
          <w:szCs w:val="22"/>
          <w:lang w:val="sl-SI"/>
        </w:rPr>
        <w:t>meni, da je glede na sedanje spreminjajoče se razmere potrebno enotno ukrepanje in po možnosti odziv na ravni EU. Za to bo potrebno močno vodstvo, med drugim z uporabo obstoječih orodij trgovinske zaščite, če bodo tarife uvedene nezakonito, vključno s povračilnimi carinskimi dajatvami, ukrepi gospodarske diplomacije in postopki pri Svetovni trgovinski organizaciji (STO). Močno se priporoča tudi diverzifikacija trgovine;</w:t>
      </w:r>
    </w:p>
    <w:p w:rsidRPr="00D27759" w:rsidR="00AD1B0E" w:rsidP="00AD1B0E" w:rsidRDefault="00AD1B0E" w14:paraId="268F45F5" w14:textId="13594908">
      <w:pPr>
        <w:widowControl w:val="0"/>
        <w:numPr>
          <w:ilvl w:val="0"/>
          <w:numId w:val="9"/>
        </w:numPr>
        <w:tabs>
          <w:tab w:val="clear" w:pos="0"/>
        </w:tabs>
        <w:ind w:left="567" w:hanging="567"/>
        <w:rPr>
          <w:szCs w:val="22"/>
          <w:lang w:val="sl-SI"/>
        </w:rPr>
      </w:pPr>
      <w:r w:rsidRPr="00D27759">
        <w:rPr>
          <w:szCs w:val="22"/>
          <w:lang w:val="sl-SI"/>
        </w:rPr>
        <w:t>predlaga ustanovitev Investicijskega sklada EU za gospodarsko odpornost in trajnostno konkurenčnost, ki bi pripomogel h krepitvi finančne zmogljivosti EU in posojilne zmogljivosti EIB za podporo programom InvestEU. Dokončanje bančne unije in unije kapitalskih trgov bi pripomoglo k znatno višji stopnji prenosa zasebnega kapitala v naložbe;</w:t>
      </w:r>
    </w:p>
    <w:p w:rsidRPr="00D27759" w:rsidR="00437105" w:rsidP="00AD1B0E" w:rsidRDefault="00AD1B0E" w14:paraId="1C8EA993" w14:textId="7D32CDB3">
      <w:pPr>
        <w:widowControl w:val="0"/>
        <w:numPr>
          <w:ilvl w:val="0"/>
          <w:numId w:val="9"/>
        </w:numPr>
        <w:tabs>
          <w:tab w:val="clear" w:pos="0"/>
        </w:tabs>
        <w:ind w:left="567" w:hanging="567"/>
        <w:rPr>
          <w:lang w:val="sl-SI"/>
        </w:rPr>
      </w:pPr>
      <w:r w:rsidRPr="00D27759">
        <w:rPr>
          <w:szCs w:val="22"/>
          <w:lang w:val="sl-SI"/>
        </w:rPr>
        <w:t>Poudarja, da mora v pogajalskih postopkih sodelovati civilna družba, da bodo trgovinski standardi EU še naprej uspešno ščitili širše interese EU. S strukturiranim sodelovanjem v obliki posvetovanj med pogajanji bi organizacijam civilne družbe omogočili, da opozorijo na nekatera kritična vprašanja</w:t>
      </w:r>
      <w:r w:rsidRPr="00D27759">
        <w:rPr>
          <w:lang w:val="sl-SI"/>
        </w:rPr>
        <w:t xml:space="preserve"> v zvezi z učinkom sporazumov pred njihovo odobritvijo.</w:t>
      </w:r>
    </w:p>
    <w:p w:rsidRPr="00D27759" w:rsidR="00AD1B0E" w:rsidP="00AC1FA9" w:rsidRDefault="00AD1B0E" w14:paraId="2E528DDF"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E273740" w14:textId="77777777">
        <w:tc>
          <w:tcPr>
            <w:tcW w:w="974" w:type="pct"/>
          </w:tcPr>
          <w:p w:rsidRPr="00D27759" w:rsidR="00437105" w:rsidP="00AC1FA9" w:rsidRDefault="00437105" w14:paraId="280C3E3A" w14:textId="77777777">
            <w:pPr>
              <w:rPr>
                <w:lang w:val="sl-SI"/>
              </w:rPr>
            </w:pPr>
            <w:r w:rsidRPr="00D27759">
              <w:rPr>
                <w:b/>
                <w:i/>
                <w:szCs w:val="22"/>
                <w:lang w:val="sl-SI"/>
              </w:rPr>
              <w:t>Kontaktna oseba</w:t>
            </w:r>
          </w:p>
        </w:tc>
        <w:tc>
          <w:tcPr>
            <w:tcW w:w="4026" w:type="pct"/>
          </w:tcPr>
          <w:p w:rsidRPr="00D27759" w:rsidR="00437105" w:rsidP="00AC1FA9" w:rsidRDefault="00AD1B0E" w14:paraId="78BBF808" w14:textId="34527510">
            <w:pPr>
              <w:rPr>
                <w:i/>
                <w:lang w:val="sl-SI"/>
              </w:rPr>
            </w:pPr>
            <w:r w:rsidRPr="00D27759">
              <w:rPr>
                <w:i/>
                <w:lang w:val="sl-SI"/>
              </w:rPr>
              <w:t>Marco Ristori</w:t>
            </w:r>
          </w:p>
        </w:tc>
      </w:tr>
      <w:tr w:rsidRPr="00D27759" w:rsidR="00437105" w:rsidTr="00993CB4" w14:paraId="0A416133" w14:textId="77777777">
        <w:tc>
          <w:tcPr>
            <w:tcW w:w="974" w:type="pct"/>
          </w:tcPr>
          <w:p w:rsidRPr="00D27759" w:rsidR="00437105" w:rsidP="00AC1FA9" w:rsidRDefault="006926AD" w14:paraId="217F8544" w14:textId="77777777">
            <w:pPr>
              <w:rPr>
                <w:lang w:val="sl-SI"/>
              </w:rPr>
            </w:pPr>
            <w:r w:rsidRPr="00D27759">
              <w:rPr>
                <w:i/>
                <w:szCs w:val="22"/>
                <w:lang w:val="sl-SI"/>
              </w:rPr>
              <w:t>Telefon</w:t>
            </w:r>
          </w:p>
        </w:tc>
        <w:tc>
          <w:tcPr>
            <w:tcW w:w="4026" w:type="pct"/>
          </w:tcPr>
          <w:p w:rsidRPr="00D27759" w:rsidR="00437105" w:rsidP="00AC1FA9" w:rsidRDefault="000D558D" w14:paraId="34285493" w14:textId="7F9502AE">
            <w:pPr>
              <w:rPr>
                <w:lang w:val="sl-SI"/>
              </w:rPr>
            </w:pPr>
            <w:r w:rsidRPr="00D27759">
              <w:rPr>
                <w:i/>
                <w:szCs w:val="22"/>
                <w:lang w:val="sl-SI"/>
              </w:rPr>
              <w:t>+</w:t>
            </w:r>
            <w:r w:rsidRPr="00D27759" w:rsidR="00437105">
              <w:rPr>
                <w:i/>
                <w:szCs w:val="22"/>
                <w:lang w:val="sl-SI"/>
              </w:rPr>
              <w:t>32 2 </w:t>
            </w:r>
            <w:r w:rsidRPr="00D27759" w:rsidR="00AD1B0E">
              <w:rPr>
                <w:i/>
                <w:szCs w:val="22"/>
                <w:lang w:val="sl-SI"/>
              </w:rPr>
              <w:t>546 9969</w:t>
            </w:r>
          </w:p>
        </w:tc>
      </w:tr>
      <w:tr w:rsidRPr="00D27759" w:rsidR="00437105" w:rsidTr="00993CB4" w14:paraId="488DBADD" w14:textId="77777777">
        <w:tc>
          <w:tcPr>
            <w:tcW w:w="974" w:type="pct"/>
          </w:tcPr>
          <w:p w:rsidRPr="00D27759" w:rsidR="00437105" w:rsidP="00AC1FA9" w:rsidRDefault="00437105" w14:paraId="093A942F" w14:textId="77777777">
            <w:pPr>
              <w:rPr>
                <w:lang w:val="sl-SI"/>
              </w:rPr>
            </w:pPr>
            <w:r w:rsidRPr="00D27759">
              <w:rPr>
                <w:i/>
                <w:szCs w:val="22"/>
                <w:lang w:val="sl-SI"/>
              </w:rPr>
              <w:t>E-naslov</w:t>
            </w:r>
          </w:p>
        </w:tc>
        <w:tc>
          <w:tcPr>
            <w:tcW w:w="4026" w:type="pct"/>
          </w:tcPr>
          <w:p w:rsidRPr="00D27759" w:rsidR="00437105" w:rsidP="00AC1FA9" w:rsidRDefault="00AA6CE8" w14:paraId="27537A76" w14:textId="61D75FA4">
            <w:pPr>
              <w:rPr>
                <w:i/>
                <w:lang w:val="sl-SI"/>
              </w:rPr>
            </w:pPr>
            <w:hyperlink w:history="1" r:id="rId40">
              <w:r w:rsidRPr="00D27759" w:rsidR="00AD1B0E">
                <w:rPr>
                  <w:rStyle w:val="Hyperlink"/>
                  <w:i/>
                  <w:lang w:val="sl-SI"/>
                </w:rPr>
                <w:t>Marco.Ristori@eesc.europa.eu</w:t>
              </w:r>
            </w:hyperlink>
          </w:p>
        </w:tc>
      </w:tr>
    </w:tbl>
    <w:p w:rsidRPr="00D27759" w:rsidR="00437105" w:rsidP="00AC1FA9" w:rsidRDefault="00437105" w14:paraId="00467A65" w14:textId="522361F9">
      <w:pPr>
        <w:rPr>
          <w:lang w:val="sl-SI"/>
        </w:rPr>
      </w:pPr>
    </w:p>
    <w:p w:rsidRPr="00D27759" w:rsidR="008C2252" w:rsidP="00AD1B0E" w:rsidRDefault="00AA6CE8" w14:paraId="1F195F47" w14:textId="3A4ACF73">
      <w:pPr>
        <w:keepNext/>
        <w:keepLines/>
        <w:numPr>
          <w:ilvl w:val="0"/>
          <w:numId w:val="7"/>
        </w:numPr>
        <w:tabs>
          <w:tab w:val="clear" w:pos="0"/>
        </w:tabs>
        <w:ind w:left="567" w:hanging="567"/>
        <w:rPr>
          <w:sz w:val="28"/>
          <w:szCs w:val="22"/>
          <w:lang w:val="sl-SI"/>
        </w:rPr>
      </w:pPr>
      <w:hyperlink w:history="1" r:id="rId41">
        <w:r w:rsidRPr="00D27759" w:rsidR="00AD1B0E">
          <w:rPr>
            <w:rStyle w:val="Hyperlink"/>
            <w:b/>
            <w:bCs/>
            <w:i/>
            <w:iCs/>
            <w:sz w:val="28"/>
            <w:szCs w:val="24"/>
            <w:lang w:val="sl-SI"/>
          </w:rPr>
          <w:t>Strateško partnerstvo med EU in Indijo</w:t>
        </w:r>
      </w:hyperlink>
    </w:p>
    <w:p w:rsidRPr="00D27759" w:rsidR="008C2252" w:rsidP="00AD1B0E" w:rsidRDefault="008C2252" w14:paraId="2B68D806"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59AD00F0" w14:textId="77777777">
        <w:tc>
          <w:tcPr>
            <w:tcW w:w="974" w:type="pct"/>
          </w:tcPr>
          <w:p w:rsidRPr="00D27759" w:rsidR="008C2252" w:rsidP="00AD1B0E" w:rsidRDefault="008C2252" w14:paraId="70341E9E" w14:textId="77777777">
            <w:pPr>
              <w:keepNext/>
              <w:keepLines/>
              <w:rPr>
                <w:b/>
                <w:szCs w:val="22"/>
                <w:lang w:val="sl-SI"/>
              </w:rPr>
            </w:pPr>
            <w:r w:rsidRPr="00D27759">
              <w:rPr>
                <w:b/>
                <w:szCs w:val="22"/>
                <w:lang w:val="sl-SI"/>
              </w:rPr>
              <w:t>Poročevalec</w:t>
            </w:r>
          </w:p>
        </w:tc>
        <w:tc>
          <w:tcPr>
            <w:tcW w:w="4026" w:type="pct"/>
          </w:tcPr>
          <w:p w:rsidRPr="00D27759" w:rsidR="008C2252" w:rsidP="00AD1B0E" w:rsidRDefault="00AD1B0E" w14:paraId="1A877555" w14:textId="21788DAC">
            <w:pPr>
              <w:keepNext/>
              <w:keepLines/>
              <w:rPr>
                <w:szCs w:val="22"/>
                <w:lang w:val="sl-SI"/>
              </w:rPr>
            </w:pPr>
            <w:r w:rsidRPr="00D27759">
              <w:rPr>
                <w:szCs w:val="22"/>
                <w:lang w:val="sl-SI"/>
              </w:rPr>
              <w:t>Aurel Laurenţiu PLOSCEANU (skupina delodajalcev – RO)</w:t>
            </w:r>
          </w:p>
        </w:tc>
      </w:tr>
      <w:tr w:rsidRPr="00D27759" w:rsidR="008C2252" w:rsidTr="00145601" w14:paraId="5DA696CA" w14:textId="77777777">
        <w:tc>
          <w:tcPr>
            <w:tcW w:w="5000" w:type="pct"/>
            <w:gridSpan w:val="2"/>
          </w:tcPr>
          <w:p w:rsidRPr="00D27759" w:rsidR="008C2252" w:rsidP="00AD1B0E" w:rsidRDefault="008C2252" w14:paraId="2F2FF3BE" w14:textId="77777777">
            <w:pPr>
              <w:keepNext/>
              <w:keepLines/>
              <w:rPr>
                <w:sz w:val="16"/>
                <w:szCs w:val="22"/>
                <w:lang w:val="sl-SI"/>
              </w:rPr>
            </w:pPr>
          </w:p>
        </w:tc>
      </w:tr>
      <w:tr w:rsidRPr="00D27759" w:rsidR="008C2252" w:rsidTr="00145601" w14:paraId="78910C9A" w14:textId="77777777">
        <w:tc>
          <w:tcPr>
            <w:tcW w:w="974" w:type="pct"/>
            <w:vMerge w:val="restart"/>
          </w:tcPr>
          <w:p w:rsidRPr="00D27759" w:rsidR="008C2252" w:rsidP="00AD1B0E" w:rsidRDefault="008C2252" w14:paraId="5AF3AA42" w14:textId="77777777">
            <w:pPr>
              <w:keepNext/>
              <w:keepLines/>
              <w:rPr>
                <w:b/>
                <w:szCs w:val="22"/>
                <w:lang w:val="sl-SI"/>
              </w:rPr>
            </w:pPr>
            <w:r w:rsidRPr="00D27759">
              <w:rPr>
                <w:b/>
                <w:szCs w:val="22"/>
                <w:lang w:val="sl-SI"/>
              </w:rPr>
              <w:t>Referenčni dokument</w:t>
            </w:r>
          </w:p>
        </w:tc>
        <w:tc>
          <w:tcPr>
            <w:tcW w:w="4026" w:type="pct"/>
          </w:tcPr>
          <w:p w:rsidRPr="00D27759" w:rsidR="008C2252" w:rsidP="00AD1B0E" w:rsidRDefault="003D5AF7" w14:paraId="50D78EE0" w14:textId="3B54E663">
            <w:pPr>
              <w:keepNext/>
              <w:keepLines/>
              <w:rPr>
                <w:szCs w:val="22"/>
                <w:lang w:val="sl-SI"/>
              </w:rPr>
            </w:pPr>
            <w:r>
              <w:rPr>
                <w:szCs w:val="22"/>
                <w:lang w:val="sl-SI"/>
              </w:rPr>
              <w:t>mnenje na lastno pobudo</w:t>
            </w:r>
          </w:p>
        </w:tc>
      </w:tr>
      <w:tr w:rsidRPr="00D27759" w:rsidR="008C2252" w:rsidTr="00145601" w14:paraId="039F9851" w14:textId="77777777">
        <w:tc>
          <w:tcPr>
            <w:tcW w:w="974" w:type="pct"/>
            <w:vMerge/>
          </w:tcPr>
          <w:p w:rsidRPr="00D27759" w:rsidR="008C2252" w:rsidP="00AD1B0E" w:rsidRDefault="008C2252" w14:paraId="6F9D58FE" w14:textId="77777777">
            <w:pPr>
              <w:keepNext/>
              <w:keepLines/>
              <w:tabs>
                <w:tab w:val="center" w:pos="284"/>
              </w:tabs>
              <w:ind w:left="266" w:hanging="266"/>
              <w:rPr>
                <w:b/>
                <w:szCs w:val="22"/>
                <w:lang w:val="sl-SI"/>
              </w:rPr>
            </w:pPr>
          </w:p>
        </w:tc>
        <w:tc>
          <w:tcPr>
            <w:tcW w:w="4026" w:type="pct"/>
          </w:tcPr>
          <w:p w:rsidRPr="00D27759" w:rsidR="008C2252" w:rsidP="00AD1B0E" w:rsidRDefault="00AD1B0E" w14:paraId="026BFB98" w14:textId="7225B145">
            <w:pPr>
              <w:keepNext/>
              <w:keepLines/>
              <w:rPr>
                <w:szCs w:val="22"/>
                <w:lang w:val="sl-SI"/>
              </w:rPr>
            </w:pPr>
            <w:r w:rsidRPr="00D27759">
              <w:rPr>
                <w:szCs w:val="22"/>
                <w:lang w:val="sl-SI"/>
              </w:rPr>
              <w:t>EESC-2024-04035-00-00-AC</w:t>
            </w:r>
          </w:p>
        </w:tc>
      </w:tr>
    </w:tbl>
    <w:p w:rsidRPr="00D27759" w:rsidR="008C2252" w:rsidP="00AD1B0E" w:rsidRDefault="008C2252" w14:paraId="1CA30158" w14:textId="77777777">
      <w:pPr>
        <w:keepNext/>
        <w:keepLines/>
        <w:rPr>
          <w:szCs w:val="22"/>
          <w:lang w:val="sl-SI"/>
        </w:rPr>
      </w:pPr>
    </w:p>
    <w:p w:rsidRPr="00D27759" w:rsidR="008C2252" w:rsidP="00AD1B0E" w:rsidRDefault="008C2252" w14:paraId="347753FE" w14:textId="77777777">
      <w:pPr>
        <w:keepNext/>
        <w:keepLines/>
        <w:rPr>
          <w:lang w:val="sl-SI"/>
        </w:rPr>
      </w:pPr>
      <w:r w:rsidRPr="00D27759">
        <w:rPr>
          <w:b/>
          <w:lang w:val="sl-SI"/>
        </w:rPr>
        <w:t>Glavne točke</w:t>
      </w:r>
    </w:p>
    <w:p w:rsidRPr="00D27759" w:rsidR="008C2252" w:rsidP="00AD1B0E" w:rsidRDefault="008C2252" w14:paraId="60DE095B" w14:textId="77777777">
      <w:pPr>
        <w:keepNext/>
        <w:keepLines/>
        <w:rPr>
          <w:szCs w:val="22"/>
          <w:lang w:val="sl-SI"/>
        </w:rPr>
      </w:pPr>
    </w:p>
    <w:p w:rsidRPr="00D27759" w:rsidR="008C2252" w:rsidP="00AD1B0E" w:rsidRDefault="008C2252" w14:paraId="4119D498" w14:textId="77777777">
      <w:pPr>
        <w:keepNext/>
        <w:keepLines/>
        <w:rPr>
          <w:bCs/>
          <w:iCs/>
          <w:szCs w:val="22"/>
          <w:lang w:val="sl-SI"/>
        </w:rPr>
      </w:pPr>
      <w:r w:rsidRPr="00D27759">
        <w:rPr>
          <w:bCs/>
          <w:iCs/>
          <w:szCs w:val="22"/>
          <w:lang w:val="sl-SI"/>
        </w:rPr>
        <w:t>EESO:</w:t>
      </w:r>
    </w:p>
    <w:p w:rsidRPr="00D27759" w:rsidR="008C2252" w:rsidP="00AD1B0E" w:rsidRDefault="008C2252" w14:paraId="16FD9600" w14:textId="77777777">
      <w:pPr>
        <w:keepNext/>
        <w:keepLines/>
        <w:rPr>
          <w:szCs w:val="22"/>
          <w:lang w:val="sl-SI"/>
        </w:rPr>
      </w:pPr>
    </w:p>
    <w:p w:rsidRPr="00D27759" w:rsidR="00AD1B0E" w:rsidP="00AD1B0E" w:rsidRDefault="00AD1B0E" w14:paraId="39BEAD37" w14:textId="7B6EDDB6">
      <w:pPr>
        <w:widowControl w:val="0"/>
        <w:numPr>
          <w:ilvl w:val="0"/>
          <w:numId w:val="9"/>
        </w:numPr>
        <w:tabs>
          <w:tab w:val="clear" w:pos="0"/>
        </w:tabs>
        <w:ind w:left="567" w:hanging="567"/>
        <w:rPr>
          <w:szCs w:val="22"/>
          <w:lang w:val="sl-SI"/>
        </w:rPr>
      </w:pPr>
      <w:r w:rsidRPr="00D27759">
        <w:rPr>
          <w:szCs w:val="22"/>
          <w:lang w:val="sl-SI"/>
        </w:rPr>
        <w:t>poziva Evropsko komisijo, naj si dosledno prizadeva za nadgradnjo strateškega partnerstva z Indijo, ki je formalno največja demokracija na svetu, in predlaga nov ambiciozen načrt, ki bo ustrezal sedanjim političnim in strateškim okoliščinam;</w:t>
      </w:r>
    </w:p>
    <w:p w:rsidRPr="00D27759" w:rsidR="00AD1B0E" w:rsidP="00AD1B0E" w:rsidRDefault="00AD1B0E" w14:paraId="6307FB28" w14:textId="3F6C46C4">
      <w:pPr>
        <w:widowControl w:val="0"/>
        <w:numPr>
          <w:ilvl w:val="0"/>
          <w:numId w:val="9"/>
        </w:numPr>
        <w:tabs>
          <w:tab w:val="clear" w:pos="0"/>
        </w:tabs>
        <w:ind w:left="567" w:hanging="567"/>
        <w:rPr>
          <w:szCs w:val="22"/>
          <w:lang w:val="sl-SI"/>
        </w:rPr>
      </w:pPr>
      <w:r w:rsidRPr="00D27759">
        <w:rPr>
          <w:szCs w:val="22"/>
          <w:lang w:val="sl-SI"/>
        </w:rPr>
        <w:t>poziva Evropsko komisijo, naj nujno okrepi pogajanja z Indijo o sporazumu o prosti trgovini, da bi jo s strateškega vidika opredelili kot preferencialno partnerico Evropske unije;</w:t>
      </w:r>
    </w:p>
    <w:p w:rsidRPr="00D27759" w:rsidR="00AD1B0E" w:rsidP="00AD1B0E" w:rsidRDefault="00AD1B0E" w14:paraId="443B281D" w14:textId="13E212DC">
      <w:pPr>
        <w:widowControl w:val="0"/>
        <w:numPr>
          <w:ilvl w:val="0"/>
          <w:numId w:val="9"/>
        </w:numPr>
        <w:tabs>
          <w:tab w:val="clear" w:pos="0"/>
        </w:tabs>
        <w:ind w:left="567" w:hanging="567"/>
        <w:rPr>
          <w:szCs w:val="22"/>
          <w:lang w:val="sl-SI"/>
        </w:rPr>
      </w:pPr>
      <w:r w:rsidRPr="00D27759">
        <w:rPr>
          <w:szCs w:val="22"/>
          <w:lang w:val="sl-SI"/>
        </w:rPr>
        <w:t>se zavzema za širitev sodelovanja med EU in Indijo na vseh področjih ter nadaljnje spodbujanje pravične, vključujoče in na pravilih temelječe mednarodne trgovine na podlagi skupne zgodovine in vrednot naših starodavnih civilizacij ter skupnega razumevanja sedanjih razmer;</w:t>
      </w:r>
    </w:p>
    <w:p w:rsidRPr="00D27759" w:rsidR="00AD1B0E" w:rsidP="00AD1B0E" w:rsidRDefault="00AD1B0E" w14:paraId="2C7EC0AB" w14:textId="5752C4FF">
      <w:pPr>
        <w:widowControl w:val="0"/>
        <w:numPr>
          <w:ilvl w:val="0"/>
          <w:numId w:val="9"/>
        </w:numPr>
        <w:tabs>
          <w:tab w:val="clear" w:pos="0"/>
        </w:tabs>
        <w:ind w:left="567" w:hanging="567"/>
        <w:rPr>
          <w:szCs w:val="22"/>
          <w:lang w:val="sl-SI"/>
        </w:rPr>
      </w:pPr>
      <w:r w:rsidRPr="00D27759">
        <w:rPr>
          <w:szCs w:val="22"/>
          <w:lang w:val="sl-SI"/>
        </w:rPr>
        <w:t>priporoča krepitev sodelovanja EU in držav članic z Indijo pri dvostranskih in večstranskih projektih na področju infrastrukture, gradnje – zlasti globokomorskih pristanišč in letališč – ter energetske povezanosti;</w:t>
      </w:r>
    </w:p>
    <w:p w:rsidRPr="00D27759" w:rsidR="00AD1B0E" w:rsidP="00AD1B0E" w:rsidRDefault="00AD1B0E" w14:paraId="15B23BB0" w14:textId="44FD0D19">
      <w:pPr>
        <w:widowControl w:val="0"/>
        <w:numPr>
          <w:ilvl w:val="0"/>
          <w:numId w:val="9"/>
        </w:numPr>
        <w:tabs>
          <w:tab w:val="clear" w:pos="0"/>
        </w:tabs>
        <w:ind w:left="567" w:hanging="567"/>
        <w:rPr>
          <w:szCs w:val="22"/>
          <w:lang w:val="sl-SI"/>
        </w:rPr>
      </w:pPr>
      <w:r w:rsidRPr="00D27759">
        <w:rPr>
          <w:szCs w:val="22"/>
          <w:lang w:val="sl-SI"/>
        </w:rPr>
        <w:t>se zavzema za nadaljnjo poglobitev sodelovanja EU in držav članic z Indijo na obrambnem in varnostnem področju, zlasti v sektorju raziskav, razvoja in inovacij, tudi v okviru skupnih vesoljskih projektov in projektov z dvojno rabo, s posebnim poudarkom na prispevku malih in srednjih podjetij (MSP);</w:t>
      </w:r>
    </w:p>
    <w:p w:rsidRPr="00D27759" w:rsidR="00AD1B0E" w:rsidP="00AD1B0E" w:rsidRDefault="00AD1B0E" w14:paraId="71A88110" w14:textId="7267A24B">
      <w:pPr>
        <w:widowControl w:val="0"/>
        <w:numPr>
          <w:ilvl w:val="0"/>
          <w:numId w:val="9"/>
        </w:numPr>
        <w:tabs>
          <w:tab w:val="clear" w:pos="0"/>
        </w:tabs>
        <w:ind w:left="567" w:hanging="567"/>
        <w:rPr>
          <w:szCs w:val="22"/>
          <w:lang w:val="sl-SI"/>
        </w:rPr>
      </w:pPr>
      <w:r w:rsidRPr="00D27759">
        <w:rPr>
          <w:szCs w:val="22"/>
          <w:lang w:val="sl-SI"/>
        </w:rPr>
        <w:t>priporoča krepitev sodelovanja EU in držav članic z Indijo pri skupnih projektih pomorske varnosti, zlasti v zahodnem Indijskem oceanu in na plovnih poteh, ki ga prečkajo;</w:t>
      </w:r>
    </w:p>
    <w:p w:rsidRPr="00D27759" w:rsidR="00AD1B0E" w:rsidP="00AD1B0E" w:rsidRDefault="00AD1B0E" w14:paraId="686C3081" w14:textId="6B48D597">
      <w:pPr>
        <w:widowControl w:val="0"/>
        <w:numPr>
          <w:ilvl w:val="0"/>
          <w:numId w:val="9"/>
        </w:numPr>
        <w:tabs>
          <w:tab w:val="clear" w:pos="0"/>
        </w:tabs>
        <w:ind w:left="567" w:hanging="567"/>
        <w:rPr>
          <w:szCs w:val="22"/>
          <w:lang w:val="sl-SI"/>
        </w:rPr>
      </w:pPr>
      <w:r w:rsidRPr="00D27759">
        <w:rPr>
          <w:szCs w:val="22"/>
          <w:lang w:val="sl-SI"/>
        </w:rPr>
        <w:t>priporoča nadaljnjo širitev kulturnih izmenjav med EU in njenimi državami članicami ter Indijo, zlasti prek univerzitetnega sodelovanja in izmenjav študentov ter pedagoškega in znanstvenega osebja;</w:t>
      </w:r>
    </w:p>
    <w:p w:rsidRPr="00D27759" w:rsidR="00AD1B0E" w:rsidP="00AD1B0E" w:rsidRDefault="00AD1B0E" w14:paraId="198DC212" w14:textId="760AFA3A">
      <w:pPr>
        <w:widowControl w:val="0"/>
        <w:numPr>
          <w:ilvl w:val="0"/>
          <w:numId w:val="9"/>
        </w:numPr>
        <w:tabs>
          <w:tab w:val="clear" w:pos="0"/>
        </w:tabs>
        <w:ind w:left="567" w:hanging="567"/>
        <w:rPr>
          <w:szCs w:val="22"/>
          <w:lang w:val="sl-SI"/>
        </w:rPr>
      </w:pPr>
      <w:r w:rsidRPr="00D27759">
        <w:rPr>
          <w:szCs w:val="22"/>
          <w:lang w:val="sl-SI"/>
        </w:rPr>
        <w:t>priporoča razširitev sodelovanja z Indijo v okviru gospodarskega koridorja med Indijo, Bližnjim vzhodom in Evropo (IMEC). V ta namen bo kmalu pripravil celovito mnenje o projektu IMEC in njegovih obetih;</w:t>
      </w:r>
    </w:p>
    <w:p w:rsidRPr="00D27759" w:rsidR="00AD1B0E" w:rsidP="00AD1B0E" w:rsidRDefault="00AD1B0E" w14:paraId="6E5AF405" w14:textId="709C9C7B">
      <w:pPr>
        <w:widowControl w:val="0"/>
        <w:numPr>
          <w:ilvl w:val="0"/>
          <w:numId w:val="9"/>
        </w:numPr>
        <w:tabs>
          <w:tab w:val="clear" w:pos="0"/>
        </w:tabs>
        <w:ind w:left="567" w:hanging="567"/>
        <w:rPr>
          <w:szCs w:val="22"/>
          <w:lang w:val="sl-SI"/>
        </w:rPr>
      </w:pPr>
      <w:r w:rsidRPr="00D27759">
        <w:rPr>
          <w:szCs w:val="22"/>
          <w:lang w:val="sl-SI"/>
        </w:rPr>
        <w:t>poziva Evropski svet, Evropsko komisijo in države članice EU, naj v sodelovanju s civilno družbo nujno ponovno aktivirajo njegovo okroglo mizo EU-Indija;</w:t>
      </w:r>
    </w:p>
    <w:p w:rsidRPr="00D27759" w:rsidR="008C2252" w:rsidP="00AD1B0E" w:rsidRDefault="00AD1B0E" w14:paraId="4FE7FFC7" w14:textId="2CD222C7">
      <w:pPr>
        <w:widowControl w:val="0"/>
        <w:numPr>
          <w:ilvl w:val="0"/>
          <w:numId w:val="9"/>
        </w:numPr>
        <w:tabs>
          <w:tab w:val="clear" w:pos="0"/>
        </w:tabs>
        <w:ind w:left="567" w:hanging="567"/>
        <w:rPr>
          <w:lang w:val="sl-SI"/>
        </w:rPr>
      </w:pPr>
      <w:r w:rsidRPr="00D27759">
        <w:rPr>
          <w:szCs w:val="22"/>
          <w:lang w:val="sl-SI"/>
        </w:rPr>
        <w:t>pozdravlja</w:t>
      </w:r>
      <w:r w:rsidRPr="00D27759">
        <w:rPr>
          <w:lang w:val="sl-SI"/>
        </w:rPr>
        <w:t xml:space="preserve"> prihodnji vrh EU-Indija, vključno z mladinskim vrhom, ki bo potekal v njegovem okviru, in je pripravljen k temu ustrezno prispevati.</w:t>
      </w:r>
    </w:p>
    <w:p w:rsidRPr="00D27759" w:rsidR="00AD1B0E" w:rsidP="008C2252" w:rsidRDefault="00AD1B0E" w14:paraId="4BC0546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40508F87" w14:textId="77777777">
        <w:tc>
          <w:tcPr>
            <w:tcW w:w="974" w:type="pct"/>
          </w:tcPr>
          <w:p w:rsidRPr="00D27759" w:rsidR="008C2252" w:rsidP="00145601" w:rsidRDefault="008C2252" w14:paraId="124C56B4" w14:textId="77777777">
            <w:pPr>
              <w:rPr>
                <w:lang w:val="sl-SI"/>
              </w:rPr>
            </w:pPr>
            <w:r w:rsidRPr="00D27759">
              <w:rPr>
                <w:b/>
                <w:i/>
                <w:szCs w:val="22"/>
                <w:lang w:val="sl-SI"/>
              </w:rPr>
              <w:t>Kontaktna oseba</w:t>
            </w:r>
          </w:p>
        </w:tc>
        <w:tc>
          <w:tcPr>
            <w:tcW w:w="4026" w:type="pct"/>
          </w:tcPr>
          <w:p w:rsidRPr="00D27759" w:rsidR="008C2252" w:rsidP="00145601" w:rsidRDefault="00AD1B0E" w14:paraId="15A6EFF7" w14:textId="0DFEAA90">
            <w:pPr>
              <w:rPr>
                <w:i/>
                <w:lang w:val="sl-SI"/>
              </w:rPr>
            </w:pPr>
            <w:r w:rsidRPr="00D27759">
              <w:rPr>
                <w:i/>
                <w:lang w:val="sl-SI"/>
              </w:rPr>
              <w:t>Tena Vukelic</w:t>
            </w:r>
          </w:p>
        </w:tc>
      </w:tr>
      <w:tr w:rsidRPr="00D27759" w:rsidR="008C2252" w:rsidTr="00145601" w14:paraId="53929508" w14:textId="77777777">
        <w:tc>
          <w:tcPr>
            <w:tcW w:w="974" w:type="pct"/>
          </w:tcPr>
          <w:p w:rsidRPr="00D27759" w:rsidR="008C2252" w:rsidP="00145601" w:rsidRDefault="008C2252" w14:paraId="6D9EFBBE" w14:textId="77777777">
            <w:pPr>
              <w:rPr>
                <w:lang w:val="sl-SI"/>
              </w:rPr>
            </w:pPr>
            <w:r w:rsidRPr="00D27759">
              <w:rPr>
                <w:i/>
                <w:szCs w:val="22"/>
                <w:lang w:val="sl-SI"/>
              </w:rPr>
              <w:t>Telefon</w:t>
            </w:r>
          </w:p>
        </w:tc>
        <w:tc>
          <w:tcPr>
            <w:tcW w:w="4026" w:type="pct"/>
          </w:tcPr>
          <w:p w:rsidRPr="00D27759" w:rsidR="008C2252" w:rsidP="00145601" w:rsidRDefault="008C2252" w14:paraId="072C8FBA" w14:textId="4F089681">
            <w:pPr>
              <w:rPr>
                <w:lang w:val="sl-SI"/>
              </w:rPr>
            </w:pPr>
            <w:r w:rsidRPr="00D27759">
              <w:rPr>
                <w:i/>
                <w:szCs w:val="22"/>
                <w:lang w:val="sl-SI"/>
              </w:rPr>
              <w:t>+32 2 </w:t>
            </w:r>
            <w:r w:rsidRPr="00D27759" w:rsidR="00AD1B0E">
              <w:rPr>
                <w:i/>
                <w:szCs w:val="22"/>
                <w:lang w:val="sl-SI"/>
              </w:rPr>
              <w:t>546 9277</w:t>
            </w:r>
          </w:p>
        </w:tc>
      </w:tr>
      <w:tr w:rsidRPr="00D27759" w:rsidR="008C2252" w:rsidTr="00145601" w14:paraId="1045E264" w14:textId="77777777">
        <w:tc>
          <w:tcPr>
            <w:tcW w:w="974" w:type="pct"/>
          </w:tcPr>
          <w:p w:rsidRPr="00D27759" w:rsidR="008C2252" w:rsidP="00145601" w:rsidRDefault="008C2252" w14:paraId="396C322B" w14:textId="77777777">
            <w:pPr>
              <w:rPr>
                <w:lang w:val="sl-SI"/>
              </w:rPr>
            </w:pPr>
            <w:r w:rsidRPr="00D27759">
              <w:rPr>
                <w:i/>
                <w:szCs w:val="22"/>
                <w:lang w:val="sl-SI"/>
              </w:rPr>
              <w:t>E-naslov</w:t>
            </w:r>
          </w:p>
        </w:tc>
        <w:tc>
          <w:tcPr>
            <w:tcW w:w="4026" w:type="pct"/>
          </w:tcPr>
          <w:p w:rsidRPr="00D27759" w:rsidR="008C2252" w:rsidP="00145601" w:rsidRDefault="00AA6CE8" w14:paraId="06CD626F" w14:textId="6F68BB79">
            <w:pPr>
              <w:rPr>
                <w:i/>
                <w:lang w:val="sl-SI"/>
              </w:rPr>
            </w:pPr>
            <w:hyperlink w:history="1" r:id="rId42">
              <w:r w:rsidRPr="00D27759" w:rsidR="00AD1B0E">
                <w:rPr>
                  <w:rStyle w:val="Hyperlink"/>
                  <w:i/>
                  <w:lang w:val="sl-SI"/>
                </w:rPr>
                <w:t>Tena.Vukelic@eesc.europa.eu</w:t>
              </w:r>
            </w:hyperlink>
          </w:p>
        </w:tc>
      </w:tr>
    </w:tbl>
    <w:p w:rsidRPr="00D27759" w:rsidR="008C2252" w:rsidP="008C2252" w:rsidRDefault="008C2252" w14:paraId="0E7F2368" w14:textId="77777777">
      <w:pPr>
        <w:rPr>
          <w:lang w:val="sl-SI"/>
        </w:rPr>
      </w:pPr>
    </w:p>
    <w:p w:rsidRPr="00D27759" w:rsidR="008C2252" w:rsidP="00755ACF" w:rsidRDefault="00AA6CE8" w14:paraId="6D861217" w14:textId="69FB4494">
      <w:pPr>
        <w:keepNext/>
        <w:keepLines/>
        <w:numPr>
          <w:ilvl w:val="0"/>
          <w:numId w:val="7"/>
        </w:numPr>
        <w:tabs>
          <w:tab w:val="clear" w:pos="0"/>
        </w:tabs>
        <w:spacing w:line="250" w:lineRule="auto"/>
        <w:ind w:left="567" w:hanging="567"/>
        <w:rPr>
          <w:sz w:val="28"/>
          <w:szCs w:val="22"/>
          <w:lang w:val="sl-SI"/>
        </w:rPr>
      </w:pPr>
      <w:hyperlink w:history="1" r:id="rId43">
        <w:r w:rsidRPr="00D27759" w:rsidR="005F5640">
          <w:rPr>
            <w:rStyle w:val="Hyperlink"/>
            <w:b/>
            <w:bCs/>
            <w:i/>
            <w:iCs/>
            <w:sz w:val="28"/>
            <w:szCs w:val="28"/>
            <w:lang w:val="sl-SI"/>
          </w:rPr>
          <w:t>Načrt za rast za Moldavijo</w:t>
        </w:r>
      </w:hyperlink>
    </w:p>
    <w:p w:rsidRPr="00D27759" w:rsidR="008C2252" w:rsidP="00755ACF" w:rsidRDefault="008C2252" w14:paraId="4B70F630" w14:textId="2BF335E7">
      <w:pPr>
        <w:keepNext/>
        <w:keepLines/>
        <w:spacing w:line="250"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36C514F1" w14:textId="77777777">
        <w:tc>
          <w:tcPr>
            <w:tcW w:w="974" w:type="pct"/>
          </w:tcPr>
          <w:p w:rsidRPr="00D27759" w:rsidR="008C2252" w:rsidP="00755ACF" w:rsidRDefault="008C2252" w14:paraId="47A176C3" w14:textId="77777777">
            <w:pPr>
              <w:keepNext/>
              <w:keepLines/>
              <w:spacing w:line="250" w:lineRule="auto"/>
              <w:rPr>
                <w:b/>
                <w:szCs w:val="22"/>
                <w:lang w:val="sl-SI"/>
              </w:rPr>
            </w:pPr>
            <w:r w:rsidRPr="00D27759">
              <w:rPr>
                <w:b/>
                <w:szCs w:val="22"/>
                <w:lang w:val="sl-SI"/>
              </w:rPr>
              <w:t>Poročevalec</w:t>
            </w:r>
          </w:p>
        </w:tc>
        <w:tc>
          <w:tcPr>
            <w:tcW w:w="4026" w:type="pct"/>
          </w:tcPr>
          <w:p w:rsidRPr="00D27759" w:rsidR="008C2252" w:rsidP="00755ACF" w:rsidRDefault="005F5640" w14:paraId="18560330" w14:textId="4BB5C9CA">
            <w:pPr>
              <w:keepNext/>
              <w:keepLines/>
              <w:spacing w:line="250" w:lineRule="auto"/>
              <w:rPr>
                <w:szCs w:val="22"/>
                <w:lang w:val="sl-SI"/>
              </w:rPr>
            </w:pPr>
            <w:r w:rsidRPr="00D27759">
              <w:rPr>
                <w:szCs w:val="22"/>
                <w:lang w:val="sl-SI"/>
              </w:rPr>
              <w:t>Dumitru FORNEA (skupina delojemalcev – RO)</w:t>
            </w:r>
          </w:p>
        </w:tc>
      </w:tr>
      <w:tr w:rsidRPr="00D27759" w:rsidR="008C2252" w:rsidTr="00145601" w14:paraId="53304F63" w14:textId="77777777">
        <w:tc>
          <w:tcPr>
            <w:tcW w:w="5000" w:type="pct"/>
            <w:gridSpan w:val="2"/>
          </w:tcPr>
          <w:p w:rsidRPr="00D27759" w:rsidR="008C2252" w:rsidP="00755ACF" w:rsidRDefault="008C2252" w14:paraId="209A1BFC" w14:textId="77777777">
            <w:pPr>
              <w:keepNext/>
              <w:keepLines/>
              <w:spacing w:line="250" w:lineRule="auto"/>
              <w:rPr>
                <w:sz w:val="16"/>
                <w:szCs w:val="22"/>
                <w:lang w:val="sl-SI"/>
              </w:rPr>
            </w:pPr>
          </w:p>
        </w:tc>
      </w:tr>
      <w:tr w:rsidRPr="00D27759" w:rsidR="008C2252" w:rsidTr="00145601" w14:paraId="48087336" w14:textId="77777777">
        <w:tc>
          <w:tcPr>
            <w:tcW w:w="974" w:type="pct"/>
            <w:vMerge w:val="restart"/>
          </w:tcPr>
          <w:p w:rsidRPr="00D27759" w:rsidR="008C2252" w:rsidP="00755ACF" w:rsidRDefault="008C2252" w14:paraId="7F6275AF" w14:textId="2EF9007B">
            <w:pPr>
              <w:keepNext/>
              <w:keepLines/>
              <w:spacing w:line="250" w:lineRule="auto"/>
              <w:rPr>
                <w:b/>
                <w:szCs w:val="22"/>
                <w:lang w:val="sl-SI"/>
              </w:rPr>
            </w:pPr>
            <w:r w:rsidRPr="00D27759">
              <w:rPr>
                <w:b/>
                <w:szCs w:val="22"/>
                <w:lang w:val="sl-SI"/>
              </w:rPr>
              <w:t>Referenčn</w:t>
            </w:r>
            <w:r w:rsidR="0067467A">
              <w:rPr>
                <w:b/>
                <w:szCs w:val="22"/>
                <w:lang w:val="sl-SI"/>
              </w:rPr>
              <w:t>a</w:t>
            </w:r>
            <w:r w:rsidRPr="00D27759">
              <w:rPr>
                <w:b/>
                <w:szCs w:val="22"/>
                <w:lang w:val="sl-SI"/>
              </w:rPr>
              <w:t xml:space="preserve"> dokument</w:t>
            </w:r>
            <w:r w:rsidR="0067467A">
              <w:rPr>
                <w:b/>
                <w:szCs w:val="22"/>
                <w:lang w:val="sl-SI"/>
              </w:rPr>
              <w:t>a</w:t>
            </w:r>
          </w:p>
        </w:tc>
        <w:tc>
          <w:tcPr>
            <w:tcW w:w="4026" w:type="pct"/>
          </w:tcPr>
          <w:p w:rsidRPr="00D27759" w:rsidR="008C2252" w:rsidP="00755ACF" w:rsidRDefault="0067467A" w14:paraId="7F49A9EA" w14:textId="397BFFE3">
            <w:pPr>
              <w:keepNext/>
              <w:keepLines/>
              <w:spacing w:line="250" w:lineRule="auto"/>
              <w:rPr>
                <w:szCs w:val="22"/>
                <w:lang w:val="sl-SI"/>
              </w:rPr>
            </w:pPr>
            <w:r w:rsidRPr="0067467A">
              <w:rPr>
                <w:szCs w:val="22"/>
                <w:lang w:val="sl-SI"/>
              </w:rPr>
              <w:t>COM(2024) 470 final</w:t>
            </w:r>
          </w:p>
        </w:tc>
      </w:tr>
      <w:tr w:rsidRPr="00D27759" w:rsidR="008C2252" w:rsidTr="00145601" w14:paraId="3B8D9C6F" w14:textId="77777777">
        <w:tc>
          <w:tcPr>
            <w:tcW w:w="974" w:type="pct"/>
            <w:vMerge/>
          </w:tcPr>
          <w:p w:rsidRPr="00D27759" w:rsidR="008C2252" w:rsidP="00755ACF" w:rsidRDefault="008C2252" w14:paraId="0738CC8A" w14:textId="77777777">
            <w:pPr>
              <w:keepNext/>
              <w:keepLines/>
              <w:tabs>
                <w:tab w:val="center" w:pos="284"/>
              </w:tabs>
              <w:spacing w:line="250" w:lineRule="auto"/>
              <w:ind w:left="266" w:hanging="266"/>
              <w:rPr>
                <w:b/>
                <w:szCs w:val="22"/>
                <w:lang w:val="sl-SI"/>
              </w:rPr>
            </w:pPr>
          </w:p>
        </w:tc>
        <w:tc>
          <w:tcPr>
            <w:tcW w:w="4026" w:type="pct"/>
          </w:tcPr>
          <w:p w:rsidRPr="00D27759" w:rsidR="008C2252" w:rsidP="00755ACF" w:rsidRDefault="005F5640" w14:paraId="290B8F85" w14:textId="22A48178">
            <w:pPr>
              <w:keepNext/>
              <w:keepLines/>
              <w:spacing w:line="250" w:lineRule="auto"/>
              <w:rPr>
                <w:szCs w:val="22"/>
                <w:lang w:val="sl-SI"/>
              </w:rPr>
            </w:pPr>
            <w:r w:rsidRPr="00D27759">
              <w:rPr>
                <w:szCs w:val="22"/>
                <w:lang w:val="sl-SI"/>
              </w:rPr>
              <w:t>EESC-2024-04655-00-00-AC</w:t>
            </w:r>
          </w:p>
        </w:tc>
      </w:tr>
    </w:tbl>
    <w:p w:rsidRPr="00D27759" w:rsidR="008C2252" w:rsidP="00755ACF" w:rsidRDefault="008C2252" w14:paraId="42B7343A" w14:textId="77777777">
      <w:pPr>
        <w:keepNext/>
        <w:keepLines/>
        <w:spacing w:line="250" w:lineRule="auto"/>
        <w:rPr>
          <w:szCs w:val="22"/>
          <w:lang w:val="sl-SI"/>
        </w:rPr>
      </w:pPr>
    </w:p>
    <w:p w:rsidRPr="00D27759" w:rsidR="008C2252" w:rsidP="00755ACF" w:rsidRDefault="008C2252" w14:paraId="095B701D" w14:textId="77777777">
      <w:pPr>
        <w:keepNext/>
        <w:keepLines/>
        <w:spacing w:line="250" w:lineRule="auto"/>
        <w:rPr>
          <w:lang w:val="sl-SI"/>
        </w:rPr>
      </w:pPr>
      <w:r w:rsidRPr="00D27759">
        <w:rPr>
          <w:b/>
          <w:lang w:val="sl-SI"/>
        </w:rPr>
        <w:t>Glavne točke</w:t>
      </w:r>
    </w:p>
    <w:p w:rsidRPr="00D27759" w:rsidR="008C2252" w:rsidP="00755ACF" w:rsidRDefault="008C2252" w14:paraId="13E8B040" w14:textId="77777777">
      <w:pPr>
        <w:keepNext/>
        <w:keepLines/>
        <w:spacing w:line="250" w:lineRule="auto"/>
        <w:rPr>
          <w:szCs w:val="22"/>
          <w:lang w:val="sl-SI"/>
        </w:rPr>
      </w:pPr>
    </w:p>
    <w:p w:rsidRPr="00D27759" w:rsidR="008C2252" w:rsidP="00755ACF" w:rsidRDefault="008C2252" w14:paraId="60BE4510" w14:textId="77777777">
      <w:pPr>
        <w:keepNext/>
        <w:keepLines/>
        <w:spacing w:line="250" w:lineRule="auto"/>
        <w:rPr>
          <w:bCs/>
          <w:iCs/>
          <w:szCs w:val="22"/>
          <w:lang w:val="sl-SI"/>
        </w:rPr>
      </w:pPr>
      <w:r w:rsidRPr="00D27759">
        <w:rPr>
          <w:bCs/>
          <w:iCs/>
          <w:szCs w:val="22"/>
          <w:lang w:val="sl-SI"/>
        </w:rPr>
        <w:t>EESO:</w:t>
      </w:r>
    </w:p>
    <w:p w:rsidRPr="00D27759" w:rsidR="008C2252" w:rsidP="00755ACF" w:rsidRDefault="008C2252" w14:paraId="7E6C7164" w14:textId="77777777">
      <w:pPr>
        <w:keepNext/>
        <w:keepLines/>
        <w:spacing w:line="250" w:lineRule="auto"/>
        <w:rPr>
          <w:szCs w:val="22"/>
          <w:lang w:val="sl-SI"/>
        </w:rPr>
      </w:pPr>
    </w:p>
    <w:p w:rsidR="005F5640" w:rsidP="00755ACF" w:rsidRDefault="005F5640" w14:paraId="70017655" w14:textId="4F3704E1">
      <w:pPr>
        <w:numPr>
          <w:ilvl w:val="0"/>
          <w:numId w:val="9"/>
        </w:numPr>
        <w:tabs>
          <w:tab w:val="clear" w:pos="0"/>
        </w:tabs>
        <w:spacing w:line="250" w:lineRule="auto"/>
        <w:ind w:left="567" w:hanging="567"/>
        <w:rPr>
          <w:szCs w:val="22"/>
          <w:lang w:val="sl-SI"/>
        </w:rPr>
      </w:pPr>
      <w:r w:rsidRPr="00D27759">
        <w:rPr>
          <w:szCs w:val="22"/>
          <w:lang w:val="sl-SI"/>
        </w:rPr>
        <w:t>podpira pobudo Evropske komisije in poročilo Evropskega parlamenta o načrtu za rast za Moldavijo (v nadaljevanju: načrt) – največjemu svežnju finančne podpore, ki ga je EU doslej namenila tej državi;</w:t>
      </w:r>
    </w:p>
    <w:p w:rsidRPr="00D27759" w:rsidR="00755ACF" w:rsidP="00755ACF" w:rsidRDefault="00755ACF" w14:paraId="0CC30E1F" w14:textId="77777777">
      <w:pPr>
        <w:spacing w:line="250" w:lineRule="auto"/>
        <w:rPr>
          <w:szCs w:val="22"/>
          <w:lang w:val="sl-SI"/>
        </w:rPr>
      </w:pPr>
    </w:p>
    <w:p w:rsidR="005F5640" w:rsidP="00755ACF" w:rsidRDefault="005F5640" w14:paraId="03259325" w14:textId="6EFE28F3">
      <w:pPr>
        <w:numPr>
          <w:ilvl w:val="0"/>
          <w:numId w:val="9"/>
        </w:numPr>
        <w:tabs>
          <w:tab w:val="clear" w:pos="0"/>
        </w:tabs>
        <w:spacing w:line="250" w:lineRule="auto"/>
        <w:ind w:left="567" w:hanging="567"/>
        <w:rPr>
          <w:szCs w:val="22"/>
          <w:lang w:val="sl-SI"/>
        </w:rPr>
      </w:pPr>
      <w:r w:rsidRPr="00D27759">
        <w:rPr>
          <w:szCs w:val="22"/>
          <w:lang w:val="sl-SI"/>
        </w:rPr>
        <w:t>poudarja, da je treba socialne partnerje, organizacije civilne družbe, strokovno skupnost, akademske kroge in lokalne oblasti vključiti v razvoj, spremljanje in izvajanje programa reform, pa tudi v oblikovanje in spremljanje specifičnih in vmesnih kazalnikov za merjenje napredka. Pomembno je, da predstavniki organizirane civilne družbe sodelujejo pri pripravi preglednice kazalnikov za načrt ter pri neodvisnem spremljanju izvajanja programa reform;</w:t>
      </w:r>
    </w:p>
    <w:p w:rsidRPr="00D27759" w:rsidR="00755ACF" w:rsidP="00755ACF" w:rsidRDefault="00755ACF" w14:paraId="2775E1D9" w14:textId="77777777">
      <w:pPr>
        <w:spacing w:line="250" w:lineRule="auto"/>
        <w:rPr>
          <w:szCs w:val="22"/>
          <w:lang w:val="sl-SI"/>
        </w:rPr>
      </w:pPr>
    </w:p>
    <w:p w:rsidR="005F5640" w:rsidP="00755ACF" w:rsidRDefault="005F5640" w14:paraId="538A9415" w14:textId="2E4AA80D">
      <w:pPr>
        <w:numPr>
          <w:ilvl w:val="0"/>
          <w:numId w:val="9"/>
        </w:numPr>
        <w:tabs>
          <w:tab w:val="clear" w:pos="0"/>
        </w:tabs>
        <w:spacing w:line="250" w:lineRule="auto"/>
        <w:ind w:left="567" w:hanging="567"/>
        <w:rPr>
          <w:szCs w:val="22"/>
          <w:lang w:val="sl-SI"/>
        </w:rPr>
      </w:pPr>
      <w:r w:rsidRPr="00D27759">
        <w:rPr>
          <w:szCs w:val="22"/>
          <w:lang w:val="sl-SI"/>
        </w:rPr>
        <w:t>priporoča, naj se nepovratna sredstva v okviru načrta za rast dodelijo za podporo dejavnostim organizacij civilne družbe, ki prispevajo k izvajanju načrta;</w:t>
      </w:r>
    </w:p>
    <w:p w:rsidRPr="00D27759" w:rsidR="00755ACF" w:rsidP="00755ACF" w:rsidRDefault="00755ACF" w14:paraId="011DC714" w14:textId="77777777">
      <w:pPr>
        <w:spacing w:line="250" w:lineRule="auto"/>
        <w:rPr>
          <w:szCs w:val="22"/>
          <w:lang w:val="sl-SI"/>
        </w:rPr>
      </w:pPr>
    </w:p>
    <w:p w:rsidRPr="00D27759" w:rsidR="005F5640" w:rsidP="00755ACF" w:rsidRDefault="005F5640" w14:paraId="065FD8D4" w14:textId="67ADEB35">
      <w:pPr>
        <w:numPr>
          <w:ilvl w:val="0"/>
          <w:numId w:val="9"/>
        </w:numPr>
        <w:tabs>
          <w:tab w:val="clear" w:pos="0"/>
        </w:tabs>
        <w:spacing w:line="250" w:lineRule="auto"/>
        <w:ind w:left="567" w:hanging="567"/>
        <w:rPr>
          <w:lang w:val="sl-SI"/>
        </w:rPr>
      </w:pPr>
      <w:r w:rsidRPr="00D27759">
        <w:rPr>
          <w:szCs w:val="22"/>
          <w:lang w:val="sl-SI"/>
        </w:rPr>
        <w:t>priporoča</w:t>
      </w:r>
      <w:r w:rsidRPr="00D27759">
        <w:rPr>
          <w:lang w:val="sl-SI"/>
        </w:rPr>
        <w:t xml:space="preserve"> dve vsebinski prilagoditvi parametrov podpore, in sicer:</w:t>
      </w:r>
    </w:p>
    <w:p w:rsidRPr="00D27759" w:rsidR="005F5640" w:rsidP="00755ACF" w:rsidRDefault="005F5640" w14:paraId="260DF66A" w14:textId="77777777">
      <w:pPr>
        <w:spacing w:line="250" w:lineRule="auto"/>
        <w:rPr>
          <w:lang w:val="sl-SI"/>
        </w:rPr>
      </w:pPr>
    </w:p>
    <w:p w:rsidRPr="00D27759" w:rsidR="005F5640" w:rsidP="00755ACF" w:rsidRDefault="005F5640" w14:paraId="00B2F93C" w14:textId="5B5BF5E0">
      <w:pPr>
        <w:numPr>
          <w:ilvl w:val="0"/>
          <w:numId w:val="9"/>
        </w:numPr>
        <w:tabs>
          <w:tab w:val="clear" w:pos="0"/>
        </w:tabs>
        <w:spacing w:line="250" w:lineRule="auto"/>
        <w:ind w:left="851" w:hanging="284"/>
        <w:rPr>
          <w:szCs w:val="22"/>
          <w:lang w:val="sl-SI"/>
        </w:rPr>
      </w:pPr>
      <w:r w:rsidRPr="00D27759">
        <w:rPr>
          <w:szCs w:val="22"/>
          <w:lang w:val="sl-SI"/>
        </w:rPr>
        <w:t>povečanje deleža subvencij s sedanjih 16</w:t>
      </w:r>
      <w:r w:rsidR="00755ACF">
        <w:rPr>
          <w:szCs w:val="22"/>
          <w:lang w:val="sl-SI"/>
        </w:rPr>
        <w:t xml:space="preserve"> % </w:t>
      </w:r>
      <w:r w:rsidRPr="00D27759">
        <w:rPr>
          <w:szCs w:val="22"/>
          <w:lang w:val="sl-SI"/>
        </w:rPr>
        <w:t>na 35</w:t>
      </w:r>
      <w:r w:rsidR="00755ACF">
        <w:rPr>
          <w:szCs w:val="22"/>
          <w:lang w:val="sl-SI"/>
        </w:rPr>
        <w:t> %</w:t>
      </w:r>
      <w:r w:rsidRPr="00D27759">
        <w:rPr>
          <w:szCs w:val="22"/>
          <w:lang w:val="sl-SI"/>
        </w:rPr>
        <w:t>, čemur naj sledi sorazmerno zmanjšanje deleža ugodnih posojil, ter</w:t>
      </w:r>
    </w:p>
    <w:p w:rsidRPr="00D27759" w:rsidR="005F5640" w:rsidP="00755ACF" w:rsidRDefault="005F5640" w14:paraId="6D10132A" w14:textId="26100E11">
      <w:pPr>
        <w:numPr>
          <w:ilvl w:val="0"/>
          <w:numId w:val="9"/>
        </w:numPr>
        <w:tabs>
          <w:tab w:val="clear" w:pos="0"/>
        </w:tabs>
        <w:spacing w:line="250" w:lineRule="auto"/>
        <w:ind w:left="851" w:hanging="284"/>
        <w:rPr>
          <w:szCs w:val="22"/>
          <w:lang w:val="sl-SI"/>
        </w:rPr>
      </w:pPr>
      <w:r w:rsidRPr="00D27759">
        <w:rPr>
          <w:szCs w:val="22"/>
          <w:lang w:val="sl-SI"/>
        </w:rPr>
        <w:t>povečanje minimalnega deleža skupnega zneska posojil, ki ga je treba nameniti za naložbe, s 25</w:t>
      </w:r>
      <w:r w:rsidR="00755ACF">
        <w:rPr>
          <w:szCs w:val="22"/>
          <w:lang w:val="sl-SI"/>
        </w:rPr>
        <w:t xml:space="preserve"> % </w:t>
      </w:r>
      <w:r w:rsidRPr="00D27759">
        <w:rPr>
          <w:szCs w:val="22"/>
          <w:lang w:val="sl-SI"/>
        </w:rPr>
        <w:t>na 35</w:t>
      </w:r>
      <w:r w:rsidR="00755ACF">
        <w:rPr>
          <w:szCs w:val="22"/>
          <w:lang w:val="sl-SI"/>
        </w:rPr>
        <w:t> %</w:t>
      </w:r>
      <w:r w:rsidRPr="00D27759">
        <w:rPr>
          <w:szCs w:val="22"/>
          <w:lang w:val="sl-SI"/>
        </w:rPr>
        <w:t>;</w:t>
      </w:r>
    </w:p>
    <w:p w:rsidRPr="00D27759" w:rsidR="005F5640" w:rsidP="00755ACF" w:rsidRDefault="005F5640" w14:paraId="1CBC1E15" w14:textId="77777777">
      <w:pPr>
        <w:spacing w:line="250" w:lineRule="auto"/>
        <w:rPr>
          <w:lang w:val="sl-SI"/>
        </w:rPr>
      </w:pPr>
    </w:p>
    <w:p w:rsidR="005F5640" w:rsidP="00755ACF" w:rsidRDefault="005F5640" w14:paraId="77DAD954" w14:textId="40C3649D">
      <w:pPr>
        <w:numPr>
          <w:ilvl w:val="0"/>
          <w:numId w:val="9"/>
        </w:numPr>
        <w:tabs>
          <w:tab w:val="clear" w:pos="0"/>
        </w:tabs>
        <w:spacing w:line="250" w:lineRule="auto"/>
        <w:ind w:left="567" w:hanging="567"/>
        <w:rPr>
          <w:szCs w:val="22"/>
          <w:lang w:val="sl-SI"/>
        </w:rPr>
      </w:pPr>
      <w:r w:rsidRPr="00D27759">
        <w:rPr>
          <w:lang w:val="sl-SI"/>
        </w:rPr>
        <w:t xml:space="preserve">podpira </w:t>
      </w:r>
      <w:r w:rsidRPr="00D27759">
        <w:rPr>
          <w:szCs w:val="22"/>
          <w:lang w:val="sl-SI"/>
        </w:rPr>
        <w:t>tri stebre načrta, saj bodo pospešili gospodarsko in pravno zbliževanje te države s standardi EU; hkrati opozarja na druge vidike, ki jih je treba upoštevati pri izvajanju načrta: okoljsko razsežnost, digitalizacijo, socialne naložbe, decentralizacijo in lokalno avtonomijo, spoštovanje standardov EU o kakovosti in varnosti hrane itd.;</w:t>
      </w:r>
    </w:p>
    <w:p w:rsidRPr="00D27759" w:rsidR="00755ACF" w:rsidP="00755ACF" w:rsidRDefault="00755ACF" w14:paraId="22F7B25E" w14:textId="77777777">
      <w:pPr>
        <w:spacing w:line="250" w:lineRule="auto"/>
        <w:rPr>
          <w:szCs w:val="22"/>
          <w:lang w:val="sl-SI"/>
        </w:rPr>
      </w:pPr>
    </w:p>
    <w:p w:rsidR="005F5640" w:rsidP="00755ACF" w:rsidRDefault="005F5640" w14:paraId="21D05338" w14:textId="09ED3E99">
      <w:pPr>
        <w:numPr>
          <w:ilvl w:val="0"/>
          <w:numId w:val="9"/>
        </w:numPr>
        <w:tabs>
          <w:tab w:val="clear" w:pos="0"/>
        </w:tabs>
        <w:spacing w:line="250" w:lineRule="auto"/>
        <w:ind w:left="567" w:hanging="567"/>
        <w:rPr>
          <w:szCs w:val="22"/>
          <w:lang w:val="sl-SI"/>
        </w:rPr>
      </w:pPr>
      <w:r w:rsidRPr="00D27759">
        <w:rPr>
          <w:szCs w:val="22"/>
          <w:lang w:val="sl-SI"/>
        </w:rPr>
        <w:t>poudarja, da je treba povečati učinkovitost moldavskih podjetij v državni lasti;</w:t>
      </w:r>
    </w:p>
    <w:p w:rsidRPr="00D27759" w:rsidR="00755ACF" w:rsidP="00755ACF" w:rsidRDefault="00755ACF" w14:paraId="6D8735F7" w14:textId="77777777">
      <w:pPr>
        <w:spacing w:line="250" w:lineRule="auto"/>
        <w:rPr>
          <w:szCs w:val="22"/>
          <w:lang w:val="sl-SI"/>
        </w:rPr>
      </w:pPr>
    </w:p>
    <w:p w:rsidR="005F5640" w:rsidP="00755ACF" w:rsidRDefault="005F5640" w14:paraId="50154DCE" w14:textId="6625295C">
      <w:pPr>
        <w:numPr>
          <w:ilvl w:val="0"/>
          <w:numId w:val="9"/>
        </w:numPr>
        <w:tabs>
          <w:tab w:val="clear" w:pos="0"/>
        </w:tabs>
        <w:spacing w:line="250" w:lineRule="auto"/>
        <w:ind w:left="567" w:hanging="567"/>
        <w:rPr>
          <w:szCs w:val="22"/>
          <w:lang w:val="sl-SI"/>
        </w:rPr>
      </w:pPr>
      <w:r w:rsidRPr="00D27759">
        <w:rPr>
          <w:szCs w:val="22"/>
          <w:lang w:val="sl-SI"/>
        </w:rPr>
        <w:t>priporoča, naj se vsaj 20</w:t>
      </w:r>
      <w:r w:rsidR="00755ACF">
        <w:rPr>
          <w:szCs w:val="22"/>
          <w:lang w:val="sl-SI"/>
        </w:rPr>
        <w:t xml:space="preserve"> % </w:t>
      </w:r>
      <w:r w:rsidRPr="00D27759">
        <w:rPr>
          <w:szCs w:val="22"/>
          <w:lang w:val="sl-SI"/>
        </w:rPr>
        <w:t>vseh naložb usmeri v lokalni in regionalni razvoj za uravnotežen in trajnostni razvoj celotne države;</w:t>
      </w:r>
    </w:p>
    <w:p w:rsidRPr="00D27759" w:rsidR="00755ACF" w:rsidP="00755ACF" w:rsidRDefault="00755ACF" w14:paraId="17BD1F5D" w14:textId="77777777">
      <w:pPr>
        <w:spacing w:line="250" w:lineRule="auto"/>
        <w:rPr>
          <w:szCs w:val="22"/>
          <w:lang w:val="sl-SI"/>
        </w:rPr>
      </w:pPr>
    </w:p>
    <w:p w:rsidR="005F5640" w:rsidP="00755ACF" w:rsidRDefault="005F5640" w14:paraId="5C56B618" w14:textId="0F705A29">
      <w:pPr>
        <w:numPr>
          <w:ilvl w:val="0"/>
          <w:numId w:val="9"/>
        </w:numPr>
        <w:tabs>
          <w:tab w:val="clear" w:pos="0"/>
        </w:tabs>
        <w:spacing w:line="250" w:lineRule="auto"/>
        <w:ind w:left="567" w:hanging="567"/>
        <w:rPr>
          <w:szCs w:val="22"/>
          <w:lang w:val="sl-SI"/>
        </w:rPr>
      </w:pPr>
      <w:r w:rsidRPr="00D27759">
        <w:rPr>
          <w:szCs w:val="22"/>
          <w:lang w:val="sl-SI"/>
        </w:rPr>
        <w:t>poudarja, da bi bilo treba vprašanja človekovih pravic, vključno z uravnoteženo zastopanostjo spolov, vključevanjem invalidov in načelom, da nihče ne sme biti prezrt, v vseh projektih, ki se izvajajo v okviru načrta, obravnavati kot horizontalne prednostne naloge;</w:t>
      </w:r>
    </w:p>
    <w:p w:rsidRPr="00D27759" w:rsidR="00755ACF" w:rsidP="00755ACF" w:rsidRDefault="00755ACF" w14:paraId="643F8EF0" w14:textId="77777777">
      <w:pPr>
        <w:spacing w:line="250" w:lineRule="auto"/>
        <w:rPr>
          <w:szCs w:val="22"/>
          <w:lang w:val="sl-SI"/>
        </w:rPr>
      </w:pPr>
    </w:p>
    <w:p w:rsidRPr="00D27759" w:rsidR="008C2252" w:rsidP="00755ACF" w:rsidRDefault="005F5640" w14:paraId="3A6B662E" w14:textId="0CCF22EB">
      <w:pPr>
        <w:numPr>
          <w:ilvl w:val="0"/>
          <w:numId w:val="9"/>
        </w:numPr>
        <w:tabs>
          <w:tab w:val="clear" w:pos="0"/>
        </w:tabs>
        <w:spacing w:line="250" w:lineRule="auto"/>
        <w:ind w:left="567" w:hanging="567"/>
        <w:rPr>
          <w:lang w:val="sl-SI"/>
        </w:rPr>
      </w:pPr>
      <w:r w:rsidRPr="00D27759">
        <w:rPr>
          <w:szCs w:val="22"/>
          <w:lang w:val="sl-SI"/>
        </w:rPr>
        <w:t>meni, da bi bilo treba zagotoviti ustrezno financiranje za ustanovitev ekonomsko-socialnega sveta Republike Moldavije</w:t>
      </w:r>
      <w:r w:rsidRPr="00D27759">
        <w:rPr>
          <w:lang w:val="sl-SI"/>
        </w:rPr>
        <w:t>.</w:t>
      </w:r>
    </w:p>
    <w:p w:rsidRPr="00D27759" w:rsidR="005F5640" w:rsidP="00755ACF" w:rsidRDefault="005F5640" w14:paraId="44F06309" w14:textId="77777777">
      <w:pPr>
        <w:spacing w:line="250"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225EC669" w14:textId="77777777">
        <w:tc>
          <w:tcPr>
            <w:tcW w:w="974" w:type="pct"/>
          </w:tcPr>
          <w:p w:rsidRPr="00D27759" w:rsidR="008C2252" w:rsidP="00755ACF" w:rsidRDefault="008C2252" w14:paraId="453BC9ED" w14:textId="77777777">
            <w:pPr>
              <w:spacing w:line="250" w:lineRule="auto"/>
              <w:rPr>
                <w:lang w:val="sl-SI"/>
              </w:rPr>
            </w:pPr>
            <w:r w:rsidRPr="00D27759">
              <w:rPr>
                <w:b/>
                <w:i/>
                <w:szCs w:val="22"/>
                <w:lang w:val="sl-SI"/>
              </w:rPr>
              <w:t>Kontaktna oseba</w:t>
            </w:r>
          </w:p>
        </w:tc>
        <w:tc>
          <w:tcPr>
            <w:tcW w:w="4026" w:type="pct"/>
          </w:tcPr>
          <w:p w:rsidRPr="00D27759" w:rsidR="008C2252" w:rsidP="00755ACF" w:rsidRDefault="005F5640" w14:paraId="21BE736C" w14:textId="4E06F0EF">
            <w:pPr>
              <w:spacing w:line="250" w:lineRule="auto"/>
              <w:rPr>
                <w:i/>
                <w:lang w:val="sl-SI"/>
              </w:rPr>
            </w:pPr>
            <w:r w:rsidRPr="00D27759">
              <w:rPr>
                <w:i/>
                <w:lang w:val="sl-SI"/>
              </w:rPr>
              <w:t>Katarina Albrechtova</w:t>
            </w:r>
          </w:p>
        </w:tc>
      </w:tr>
      <w:tr w:rsidRPr="00D27759" w:rsidR="008C2252" w:rsidTr="00145601" w14:paraId="4ECAB9D0" w14:textId="77777777">
        <w:tc>
          <w:tcPr>
            <w:tcW w:w="974" w:type="pct"/>
          </w:tcPr>
          <w:p w:rsidRPr="00D27759" w:rsidR="008C2252" w:rsidP="00755ACF" w:rsidRDefault="008C2252" w14:paraId="28EE6B42" w14:textId="77777777">
            <w:pPr>
              <w:spacing w:line="250" w:lineRule="auto"/>
              <w:rPr>
                <w:lang w:val="sl-SI"/>
              </w:rPr>
            </w:pPr>
            <w:r w:rsidRPr="00D27759">
              <w:rPr>
                <w:i/>
                <w:szCs w:val="22"/>
                <w:lang w:val="sl-SI"/>
              </w:rPr>
              <w:t>Telefon</w:t>
            </w:r>
          </w:p>
        </w:tc>
        <w:tc>
          <w:tcPr>
            <w:tcW w:w="4026" w:type="pct"/>
          </w:tcPr>
          <w:p w:rsidRPr="00D27759" w:rsidR="008C2252" w:rsidP="00755ACF" w:rsidRDefault="008C2252" w14:paraId="5D9596E5" w14:textId="6C046C54">
            <w:pPr>
              <w:spacing w:line="250" w:lineRule="auto"/>
              <w:rPr>
                <w:lang w:val="sl-SI"/>
              </w:rPr>
            </w:pPr>
            <w:r w:rsidRPr="00D27759">
              <w:rPr>
                <w:i/>
                <w:szCs w:val="22"/>
                <w:lang w:val="sl-SI"/>
              </w:rPr>
              <w:t>+32 2 </w:t>
            </w:r>
            <w:r w:rsidRPr="00D27759" w:rsidR="005F5640">
              <w:rPr>
                <w:i/>
                <w:szCs w:val="22"/>
                <w:lang w:val="sl-SI"/>
              </w:rPr>
              <w:t>546 9460</w:t>
            </w:r>
          </w:p>
        </w:tc>
      </w:tr>
      <w:tr w:rsidRPr="00D27759" w:rsidR="008C2252" w:rsidTr="00145601" w14:paraId="488EF62D" w14:textId="77777777">
        <w:tc>
          <w:tcPr>
            <w:tcW w:w="974" w:type="pct"/>
          </w:tcPr>
          <w:p w:rsidRPr="00D27759" w:rsidR="008C2252" w:rsidP="00755ACF" w:rsidRDefault="008C2252" w14:paraId="52474C9C" w14:textId="77777777">
            <w:pPr>
              <w:spacing w:line="250" w:lineRule="auto"/>
              <w:rPr>
                <w:lang w:val="sl-SI"/>
              </w:rPr>
            </w:pPr>
            <w:r w:rsidRPr="00D27759">
              <w:rPr>
                <w:i/>
                <w:szCs w:val="22"/>
                <w:lang w:val="sl-SI"/>
              </w:rPr>
              <w:t>E-naslov</w:t>
            </w:r>
          </w:p>
        </w:tc>
        <w:tc>
          <w:tcPr>
            <w:tcW w:w="4026" w:type="pct"/>
          </w:tcPr>
          <w:p w:rsidRPr="00D27759" w:rsidR="008C2252" w:rsidP="00755ACF" w:rsidRDefault="00AA6CE8" w14:paraId="1452D3AB" w14:textId="4DEE8DB9">
            <w:pPr>
              <w:spacing w:line="250" w:lineRule="auto"/>
              <w:rPr>
                <w:i/>
                <w:lang w:val="sl-SI"/>
              </w:rPr>
            </w:pPr>
            <w:hyperlink w:history="1" r:id="rId44">
              <w:r w:rsidRPr="00D27759" w:rsidR="005F5640">
                <w:rPr>
                  <w:rStyle w:val="Hyperlink"/>
                  <w:i/>
                  <w:lang w:val="sl-SI"/>
                </w:rPr>
                <w:t>Katarina.Albrechtova@eesc.europa.eu</w:t>
              </w:r>
            </w:hyperlink>
          </w:p>
        </w:tc>
      </w:tr>
    </w:tbl>
    <w:p w:rsidRPr="00D27759" w:rsidR="008C2252" w:rsidP="00755ACF" w:rsidRDefault="008C2252" w14:paraId="2F86F8E3" w14:textId="77777777">
      <w:pPr>
        <w:spacing w:line="250" w:lineRule="auto"/>
        <w:rPr>
          <w:lang w:val="sl-SI"/>
        </w:rPr>
      </w:pPr>
    </w:p>
    <w:p w:rsidRPr="00D27759" w:rsidR="008C2252" w:rsidP="005F5640" w:rsidRDefault="00AA6CE8" w14:paraId="405933C5" w14:textId="20A54412">
      <w:pPr>
        <w:keepNext/>
        <w:keepLines/>
        <w:numPr>
          <w:ilvl w:val="0"/>
          <w:numId w:val="7"/>
        </w:numPr>
        <w:tabs>
          <w:tab w:val="clear" w:pos="0"/>
        </w:tabs>
        <w:ind w:left="567" w:hanging="567"/>
        <w:rPr>
          <w:sz w:val="28"/>
          <w:szCs w:val="22"/>
          <w:lang w:val="sl-SI"/>
        </w:rPr>
      </w:pPr>
      <w:hyperlink w:history="1" r:id="rId45">
        <w:r w:rsidRPr="00D27759" w:rsidR="00EB602A">
          <w:rPr>
            <w:rStyle w:val="Hyperlink"/>
            <w:b/>
            <w:bCs/>
            <w:i/>
            <w:iCs/>
            <w:sz w:val="28"/>
            <w:szCs w:val="24"/>
            <w:lang w:val="sl-SI"/>
          </w:rPr>
          <w:t>Akcijski načrt za krepitev sodelovanja med organizacijami civilne družbe v Evropski uniji in Kazahstanu v okviru izvajanja nove strategije za Srednjo Azijo in strategije Global Gateway</w:t>
        </w:r>
      </w:hyperlink>
    </w:p>
    <w:p w:rsidRPr="00D27759" w:rsidR="008C2252" w:rsidP="005F5640" w:rsidRDefault="008C2252" w14:paraId="3923E85B"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1D5A20E8" w14:textId="77777777">
        <w:tc>
          <w:tcPr>
            <w:tcW w:w="974" w:type="pct"/>
          </w:tcPr>
          <w:p w:rsidRPr="00D27759" w:rsidR="008C2252" w:rsidP="005F5640" w:rsidRDefault="008C2252" w14:paraId="3195B218" w14:textId="77777777">
            <w:pPr>
              <w:keepNext/>
              <w:keepLines/>
              <w:rPr>
                <w:b/>
                <w:szCs w:val="22"/>
                <w:lang w:val="sl-SI"/>
              </w:rPr>
            </w:pPr>
            <w:r w:rsidRPr="00D27759">
              <w:rPr>
                <w:b/>
                <w:szCs w:val="22"/>
                <w:lang w:val="sl-SI"/>
              </w:rPr>
              <w:t>Poročevalec</w:t>
            </w:r>
          </w:p>
        </w:tc>
        <w:tc>
          <w:tcPr>
            <w:tcW w:w="4026" w:type="pct"/>
          </w:tcPr>
          <w:p w:rsidRPr="00D27759" w:rsidR="008C2252" w:rsidP="005F5640" w:rsidRDefault="005F5640" w14:paraId="56DDFDB0" w14:textId="5871F530">
            <w:pPr>
              <w:keepNext/>
              <w:keepLines/>
              <w:rPr>
                <w:szCs w:val="22"/>
                <w:lang w:val="sl-SI"/>
              </w:rPr>
            </w:pPr>
            <w:r w:rsidRPr="00D27759">
              <w:rPr>
                <w:szCs w:val="22"/>
                <w:lang w:val="sl-SI"/>
              </w:rPr>
              <w:t>Dumitru FORNEA (skupina delojemalcev – RO)</w:t>
            </w:r>
          </w:p>
        </w:tc>
      </w:tr>
      <w:tr w:rsidRPr="00D27759" w:rsidR="008C2252" w:rsidTr="00145601" w14:paraId="53A0A285" w14:textId="77777777">
        <w:tc>
          <w:tcPr>
            <w:tcW w:w="5000" w:type="pct"/>
            <w:gridSpan w:val="2"/>
          </w:tcPr>
          <w:p w:rsidRPr="00D27759" w:rsidR="008C2252" w:rsidP="005F5640" w:rsidRDefault="008C2252" w14:paraId="1993BC04" w14:textId="77777777">
            <w:pPr>
              <w:keepNext/>
              <w:keepLines/>
              <w:rPr>
                <w:sz w:val="16"/>
                <w:szCs w:val="22"/>
                <w:lang w:val="sl-SI"/>
              </w:rPr>
            </w:pPr>
          </w:p>
        </w:tc>
      </w:tr>
      <w:tr w:rsidRPr="00D27759" w:rsidR="008C2252" w:rsidTr="00145601" w14:paraId="4A1C4234" w14:textId="77777777">
        <w:tc>
          <w:tcPr>
            <w:tcW w:w="974" w:type="pct"/>
            <w:vMerge w:val="restart"/>
          </w:tcPr>
          <w:p w:rsidRPr="00D27759" w:rsidR="008C2252" w:rsidP="005F5640" w:rsidRDefault="008C2252" w14:paraId="5487A394" w14:textId="77777777">
            <w:pPr>
              <w:keepNext/>
              <w:keepLines/>
              <w:rPr>
                <w:b/>
                <w:szCs w:val="22"/>
                <w:lang w:val="sl-SI"/>
              </w:rPr>
            </w:pPr>
            <w:r w:rsidRPr="00D27759">
              <w:rPr>
                <w:b/>
                <w:szCs w:val="22"/>
                <w:lang w:val="sl-SI"/>
              </w:rPr>
              <w:t>Referenčni dokument</w:t>
            </w:r>
          </w:p>
        </w:tc>
        <w:tc>
          <w:tcPr>
            <w:tcW w:w="4026" w:type="pct"/>
          </w:tcPr>
          <w:p w:rsidRPr="00D27759" w:rsidR="008C2252" w:rsidP="005F5640" w:rsidRDefault="00C21629" w14:paraId="729B47BE" w14:textId="201BC6B5">
            <w:pPr>
              <w:keepNext/>
              <w:keepLines/>
              <w:rPr>
                <w:szCs w:val="22"/>
                <w:lang w:val="sl-SI"/>
              </w:rPr>
            </w:pPr>
            <w:r w:rsidRPr="00C21629">
              <w:rPr>
                <w:szCs w:val="22"/>
                <w:lang w:val="sl-SI"/>
              </w:rPr>
              <w:t>mnenje na lastno pobudo</w:t>
            </w:r>
          </w:p>
        </w:tc>
      </w:tr>
      <w:tr w:rsidRPr="00D27759" w:rsidR="008C2252" w:rsidTr="00145601" w14:paraId="78C96B41" w14:textId="77777777">
        <w:tc>
          <w:tcPr>
            <w:tcW w:w="974" w:type="pct"/>
            <w:vMerge/>
          </w:tcPr>
          <w:p w:rsidRPr="00D27759" w:rsidR="008C2252" w:rsidP="005F5640" w:rsidRDefault="008C2252" w14:paraId="39249A3C" w14:textId="77777777">
            <w:pPr>
              <w:keepNext/>
              <w:keepLines/>
              <w:tabs>
                <w:tab w:val="center" w:pos="284"/>
              </w:tabs>
              <w:ind w:left="266" w:hanging="266"/>
              <w:rPr>
                <w:b/>
                <w:szCs w:val="22"/>
                <w:lang w:val="sl-SI"/>
              </w:rPr>
            </w:pPr>
          </w:p>
        </w:tc>
        <w:tc>
          <w:tcPr>
            <w:tcW w:w="4026" w:type="pct"/>
          </w:tcPr>
          <w:p w:rsidRPr="00D27759" w:rsidR="008C2252" w:rsidP="005F5640" w:rsidRDefault="005F5640" w14:paraId="4C3DC55D" w14:textId="037C08D6">
            <w:pPr>
              <w:keepNext/>
              <w:keepLines/>
              <w:rPr>
                <w:szCs w:val="22"/>
                <w:lang w:val="sl-SI"/>
              </w:rPr>
            </w:pPr>
            <w:r w:rsidRPr="00D27759">
              <w:rPr>
                <w:szCs w:val="22"/>
                <w:lang w:val="sl-SI"/>
              </w:rPr>
              <w:t>EESC-2024-02254-00-00-AC</w:t>
            </w:r>
          </w:p>
        </w:tc>
      </w:tr>
    </w:tbl>
    <w:p w:rsidRPr="00D27759" w:rsidR="008C2252" w:rsidP="005F5640" w:rsidRDefault="008C2252" w14:paraId="6224A116" w14:textId="77777777">
      <w:pPr>
        <w:keepNext/>
        <w:keepLines/>
        <w:rPr>
          <w:szCs w:val="22"/>
          <w:lang w:val="sl-SI"/>
        </w:rPr>
      </w:pPr>
    </w:p>
    <w:p w:rsidRPr="00D27759" w:rsidR="008C2252" w:rsidP="005F5640" w:rsidRDefault="008C2252" w14:paraId="3244A83A" w14:textId="77777777">
      <w:pPr>
        <w:keepNext/>
        <w:keepLines/>
        <w:rPr>
          <w:lang w:val="sl-SI"/>
        </w:rPr>
      </w:pPr>
      <w:r w:rsidRPr="00D27759">
        <w:rPr>
          <w:b/>
          <w:lang w:val="sl-SI"/>
        </w:rPr>
        <w:t>Glavne točke</w:t>
      </w:r>
    </w:p>
    <w:p w:rsidRPr="00D27759" w:rsidR="008C2252" w:rsidP="005F5640" w:rsidRDefault="008C2252" w14:paraId="0EF68DBE" w14:textId="77777777">
      <w:pPr>
        <w:keepNext/>
        <w:keepLines/>
        <w:rPr>
          <w:szCs w:val="22"/>
          <w:lang w:val="sl-SI"/>
        </w:rPr>
      </w:pPr>
    </w:p>
    <w:p w:rsidRPr="00D27759" w:rsidR="008C2252" w:rsidP="005F5640" w:rsidRDefault="008C2252" w14:paraId="23A86F3E" w14:textId="77777777">
      <w:pPr>
        <w:keepNext/>
        <w:keepLines/>
        <w:rPr>
          <w:bCs/>
          <w:iCs/>
          <w:szCs w:val="22"/>
          <w:lang w:val="sl-SI"/>
        </w:rPr>
      </w:pPr>
      <w:r w:rsidRPr="00D27759">
        <w:rPr>
          <w:bCs/>
          <w:iCs/>
          <w:szCs w:val="22"/>
          <w:lang w:val="sl-SI"/>
        </w:rPr>
        <w:t>EESO:</w:t>
      </w:r>
    </w:p>
    <w:p w:rsidRPr="00D27759" w:rsidR="008C2252" w:rsidP="005F5640" w:rsidRDefault="008C2252" w14:paraId="0FC0605D" w14:textId="77777777">
      <w:pPr>
        <w:keepNext/>
        <w:keepLines/>
        <w:rPr>
          <w:szCs w:val="22"/>
          <w:lang w:val="sl-SI"/>
        </w:rPr>
      </w:pPr>
    </w:p>
    <w:p w:rsidRPr="00D27759" w:rsidR="005F5640" w:rsidP="005F5640" w:rsidRDefault="005F5640" w14:paraId="22618710" w14:textId="687B5A98">
      <w:pPr>
        <w:widowControl w:val="0"/>
        <w:numPr>
          <w:ilvl w:val="0"/>
          <w:numId w:val="9"/>
        </w:numPr>
        <w:tabs>
          <w:tab w:val="clear" w:pos="0"/>
        </w:tabs>
        <w:ind w:left="567" w:hanging="567"/>
        <w:rPr>
          <w:szCs w:val="22"/>
          <w:lang w:val="sl-SI"/>
        </w:rPr>
      </w:pPr>
      <w:r w:rsidRPr="00D27759">
        <w:rPr>
          <w:szCs w:val="22"/>
          <w:lang w:val="sl-SI"/>
        </w:rPr>
        <w:t>podpira krepitev sodelovanja med Evropsko unijo in Kazahstanom, ob upoštevanju prednostnih nalog in priložnosti, ki izhajajo iz izvajanja nove strategije EU za Srednjo Azijo in pobude Global Gateway;</w:t>
      </w:r>
    </w:p>
    <w:p w:rsidRPr="00D27759" w:rsidR="005F5640" w:rsidP="005F5640" w:rsidRDefault="005F5640" w14:paraId="12872AE3" w14:textId="32966A91">
      <w:pPr>
        <w:widowControl w:val="0"/>
        <w:numPr>
          <w:ilvl w:val="0"/>
          <w:numId w:val="9"/>
        </w:numPr>
        <w:tabs>
          <w:tab w:val="clear" w:pos="0"/>
        </w:tabs>
        <w:ind w:left="567" w:hanging="567"/>
        <w:rPr>
          <w:szCs w:val="22"/>
          <w:lang w:val="sl-SI"/>
        </w:rPr>
      </w:pPr>
      <w:r w:rsidRPr="00D27759">
        <w:rPr>
          <w:szCs w:val="22"/>
          <w:lang w:val="sl-SI"/>
        </w:rPr>
        <w:t>priznava, da partnerstvo z EU ostaja temelj zunanje politike Kazahstana, prve države v srednjeazijski regiji, ki je z EU podpisala sporazum o okrepljenem partnerstvu in sodelovanju. Ta je spodbudil tesnejše sodelovanje v ključnih sektorjih, kot so trgovina, naložbe, energija, kmetijstvo in povezljivost. EU je največja trgovinska partnerica Kazahstana in ta država z razvojem povezljivosti in prometnih omrežij „gradi mostove“ med Azijo in Evropo;</w:t>
      </w:r>
    </w:p>
    <w:p w:rsidRPr="00D27759" w:rsidR="005F5640" w:rsidP="005F5640" w:rsidRDefault="005F5640" w14:paraId="6684F12C" w14:textId="7DC21696">
      <w:pPr>
        <w:widowControl w:val="0"/>
        <w:numPr>
          <w:ilvl w:val="0"/>
          <w:numId w:val="9"/>
        </w:numPr>
        <w:tabs>
          <w:tab w:val="clear" w:pos="0"/>
        </w:tabs>
        <w:ind w:left="567" w:hanging="567"/>
        <w:rPr>
          <w:szCs w:val="22"/>
          <w:lang w:val="sl-SI"/>
        </w:rPr>
      </w:pPr>
      <w:r w:rsidRPr="00D27759">
        <w:rPr>
          <w:szCs w:val="22"/>
          <w:lang w:val="sl-SI"/>
        </w:rPr>
        <w:t>meni, da je bistveno zagotoviti, da se v teh odnosih daje prednost trajnostnosti, človekovim pravicam in vključevanju ter da potekajo skladno z vrednotami in strateškimi cilji EU, in sicer z vključevanjem okoljskih, socialnih in geopolitičnih vprašanj. Kazahstan se lahko brez velikih težav uskladi z EU pri programih za socialni in državljanski dialog, po zaslugi izkušenj, ki jih je že pridobil z letnimi forumi civilne družbe EU in Srednje Azije;</w:t>
      </w:r>
    </w:p>
    <w:p w:rsidRPr="00D27759" w:rsidR="005F5640" w:rsidP="005F5640" w:rsidRDefault="005F5640" w14:paraId="1525135B" w14:textId="352FD7B8">
      <w:pPr>
        <w:widowControl w:val="0"/>
        <w:numPr>
          <w:ilvl w:val="0"/>
          <w:numId w:val="9"/>
        </w:numPr>
        <w:tabs>
          <w:tab w:val="clear" w:pos="0"/>
        </w:tabs>
        <w:ind w:left="567" w:hanging="567"/>
        <w:rPr>
          <w:szCs w:val="22"/>
          <w:lang w:val="sl-SI"/>
        </w:rPr>
      </w:pPr>
      <w:r w:rsidRPr="00D27759">
        <w:rPr>
          <w:szCs w:val="22"/>
          <w:lang w:val="sl-SI"/>
        </w:rPr>
        <w:t>podpira razvoj državljanskega in socialnega dialoga v Srednji Aziji ter se zavzema za njegovo formalizacijo po zgledu dobrih praks v odnosih z organizirano civilno družbo v drugih regijah, kot je Zahodni Balkan;</w:t>
      </w:r>
    </w:p>
    <w:p w:rsidRPr="00D27759" w:rsidR="005F5640" w:rsidP="005F5640" w:rsidRDefault="005F5640" w14:paraId="4A6452E3" w14:textId="67745EE4">
      <w:pPr>
        <w:widowControl w:val="0"/>
        <w:numPr>
          <w:ilvl w:val="0"/>
          <w:numId w:val="9"/>
        </w:numPr>
        <w:tabs>
          <w:tab w:val="clear" w:pos="0"/>
        </w:tabs>
        <w:ind w:left="567" w:hanging="567"/>
        <w:rPr>
          <w:szCs w:val="22"/>
          <w:lang w:val="sl-SI"/>
        </w:rPr>
      </w:pPr>
      <w:r w:rsidRPr="00D27759">
        <w:rPr>
          <w:szCs w:val="22"/>
          <w:lang w:val="sl-SI"/>
        </w:rPr>
        <w:t>je prepričan, da se lahko odnosi med organizirano civilno družbo v EU in Kazahstanu strukturirano razvijajo na podlagi akcijskega načrta, ki bi imel več prednostnih nalog in bil usklajen s cilji nove strategije EU za Srednjo Azijo. Financiranje je treba zagotoviti v okviru pobude Global Gateway s sorazmernim prispevkom vlad držav v tej regiji in drugih mednarodnih donatorjev;</w:t>
      </w:r>
    </w:p>
    <w:p w:rsidRPr="00D27759" w:rsidR="005F5640" w:rsidP="005F5640" w:rsidRDefault="005F5640" w14:paraId="05CCBD96" w14:textId="45B494B3">
      <w:pPr>
        <w:widowControl w:val="0"/>
        <w:numPr>
          <w:ilvl w:val="0"/>
          <w:numId w:val="9"/>
        </w:numPr>
        <w:tabs>
          <w:tab w:val="clear" w:pos="0"/>
        </w:tabs>
        <w:ind w:left="567" w:hanging="567"/>
        <w:rPr>
          <w:szCs w:val="22"/>
          <w:lang w:val="sl-SI"/>
        </w:rPr>
      </w:pPr>
      <w:r w:rsidRPr="00D27759">
        <w:rPr>
          <w:szCs w:val="22"/>
          <w:lang w:val="sl-SI"/>
        </w:rPr>
        <w:t>meni, da bi lahko EU pomagala podpreti razvoj in utrditev civilne družbe v Kazahstanu z oblikovanjem programa za izmenjavo izkušenj med javnimi uslužbenci;</w:t>
      </w:r>
    </w:p>
    <w:p w:rsidRPr="00D27759" w:rsidR="008C2252" w:rsidP="005F5640" w:rsidRDefault="005F5640" w14:paraId="4BB9E66B" w14:textId="64E68603">
      <w:pPr>
        <w:widowControl w:val="0"/>
        <w:numPr>
          <w:ilvl w:val="0"/>
          <w:numId w:val="9"/>
        </w:numPr>
        <w:tabs>
          <w:tab w:val="clear" w:pos="0"/>
        </w:tabs>
        <w:ind w:left="567" w:hanging="567"/>
        <w:rPr>
          <w:lang w:val="sl-SI"/>
        </w:rPr>
      </w:pPr>
      <w:r w:rsidRPr="00D27759">
        <w:rPr>
          <w:szCs w:val="22"/>
          <w:lang w:val="sl-SI"/>
        </w:rPr>
        <w:t>je prepričan, da bi morala EU razvoj civilne družbe v Kazahstanu podpreti tudi s povečanjem izobraževalnih</w:t>
      </w:r>
      <w:r w:rsidRPr="00D27759">
        <w:rPr>
          <w:lang w:val="sl-SI"/>
        </w:rPr>
        <w:t xml:space="preserve"> priložnosti za mlade Kazahstance prek programa Erasmus.</w:t>
      </w:r>
    </w:p>
    <w:p w:rsidRPr="00D27759" w:rsidR="005F5640" w:rsidP="008C2252" w:rsidRDefault="005F5640" w14:paraId="3CA9300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8C2252" w:rsidTr="00145601" w14:paraId="1C8F9BD9" w14:textId="77777777">
        <w:tc>
          <w:tcPr>
            <w:tcW w:w="974" w:type="pct"/>
          </w:tcPr>
          <w:p w:rsidRPr="00D27759" w:rsidR="008C2252" w:rsidP="00145601" w:rsidRDefault="008C2252" w14:paraId="35C965B2" w14:textId="77777777">
            <w:pPr>
              <w:rPr>
                <w:lang w:val="sl-SI"/>
              </w:rPr>
            </w:pPr>
            <w:r w:rsidRPr="00D27759">
              <w:rPr>
                <w:b/>
                <w:i/>
                <w:szCs w:val="22"/>
                <w:lang w:val="sl-SI"/>
              </w:rPr>
              <w:t>Kontaktna oseba</w:t>
            </w:r>
          </w:p>
        </w:tc>
        <w:tc>
          <w:tcPr>
            <w:tcW w:w="4026" w:type="pct"/>
          </w:tcPr>
          <w:p w:rsidRPr="00D27759" w:rsidR="008C2252" w:rsidP="00145601" w:rsidRDefault="005F5640" w14:paraId="0A4F3ACE" w14:textId="5AC24992">
            <w:pPr>
              <w:rPr>
                <w:i/>
                <w:lang w:val="sl-SI"/>
              </w:rPr>
            </w:pPr>
            <w:r w:rsidRPr="00D27759">
              <w:rPr>
                <w:i/>
                <w:lang w:val="sl-SI"/>
              </w:rPr>
              <w:t>Daniele Vitali</w:t>
            </w:r>
          </w:p>
        </w:tc>
      </w:tr>
      <w:tr w:rsidRPr="00D27759" w:rsidR="008C2252" w:rsidTr="00145601" w14:paraId="569A8A40" w14:textId="77777777">
        <w:tc>
          <w:tcPr>
            <w:tcW w:w="974" w:type="pct"/>
          </w:tcPr>
          <w:p w:rsidRPr="00D27759" w:rsidR="008C2252" w:rsidP="00145601" w:rsidRDefault="008C2252" w14:paraId="4C5A9159" w14:textId="77777777">
            <w:pPr>
              <w:rPr>
                <w:lang w:val="sl-SI"/>
              </w:rPr>
            </w:pPr>
            <w:r w:rsidRPr="00D27759">
              <w:rPr>
                <w:i/>
                <w:szCs w:val="22"/>
                <w:lang w:val="sl-SI"/>
              </w:rPr>
              <w:t>Telefon</w:t>
            </w:r>
          </w:p>
        </w:tc>
        <w:tc>
          <w:tcPr>
            <w:tcW w:w="4026" w:type="pct"/>
          </w:tcPr>
          <w:p w:rsidRPr="00D27759" w:rsidR="008C2252" w:rsidP="00145601" w:rsidRDefault="008C2252" w14:paraId="4986E20B" w14:textId="2CED236A">
            <w:pPr>
              <w:rPr>
                <w:lang w:val="sl-SI"/>
              </w:rPr>
            </w:pPr>
            <w:r w:rsidRPr="00D27759">
              <w:rPr>
                <w:i/>
                <w:szCs w:val="22"/>
                <w:lang w:val="sl-SI"/>
              </w:rPr>
              <w:t>+32 2 </w:t>
            </w:r>
            <w:r w:rsidRPr="00D27759" w:rsidR="005F5640">
              <w:rPr>
                <w:i/>
                <w:szCs w:val="22"/>
                <w:lang w:val="sl-SI"/>
              </w:rPr>
              <w:t>546 8817</w:t>
            </w:r>
          </w:p>
        </w:tc>
      </w:tr>
      <w:tr w:rsidRPr="00D27759" w:rsidR="008C2252" w:rsidTr="00145601" w14:paraId="74C2429B" w14:textId="77777777">
        <w:tc>
          <w:tcPr>
            <w:tcW w:w="974" w:type="pct"/>
          </w:tcPr>
          <w:p w:rsidRPr="00D27759" w:rsidR="008C2252" w:rsidP="00145601" w:rsidRDefault="008C2252" w14:paraId="01B69351" w14:textId="77777777">
            <w:pPr>
              <w:rPr>
                <w:lang w:val="sl-SI"/>
              </w:rPr>
            </w:pPr>
            <w:r w:rsidRPr="00D27759">
              <w:rPr>
                <w:i/>
                <w:szCs w:val="22"/>
                <w:lang w:val="sl-SI"/>
              </w:rPr>
              <w:t>E-naslov</w:t>
            </w:r>
          </w:p>
        </w:tc>
        <w:tc>
          <w:tcPr>
            <w:tcW w:w="4026" w:type="pct"/>
          </w:tcPr>
          <w:p w:rsidRPr="00D27759" w:rsidR="008C2252" w:rsidP="00145601" w:rsidRDefault="00AA6CE8" w14:paraId="543E4AA3" w14:textId="265F695F">
            <w:pPr>
              <w:rPr>
                <w:i/>
                <w:lang w:val="sl-SI"/>
              </w:rPr>
            </w:pPr>
            <w:hyperlink w:history="1" r:id="rId46">
              <w:r w:rsidRPr="00D27759" w:rsidR="005F5640">
                <w:rPr>
                  <w:rStyle w:val="Hyperlink"/>
                  <w:i/>
                  <w:lang w:val="sl-SI"/>
                </w:rPr>
                <w:t>Daniele.Vitali@eesc.europa.eu</w:t>
              </w:r>
            </w:hyperlink>
          </w:p>
        </w:tc>
      </w:tr>
    </w:tbl>
    <w:p w:rsidRPr="00D27759" w:rsidR="008C2252" w:rsidP="008C2252" w:rsidRDefault="008C2252" w14:paraId="5B821AA9" w14:textId="77777777">
      <w:pPr>
        <w:rPr>
          <w:lang w:val="sl-SI"/>
        </w:rPr>
      </w:pPr>
    </w:p>
    <w:p w:rsidRPr="00D27759" w:rsidR="008C2252" w:rsidP="00AC1FA9" w:rsidRDefault="008C2252" w14:paraId="4CF71B42" w14:textId="77777777">
      <w:pPr>
        <w:rPr>
          <w:lang w:val="sl-SI"/>
        </w:rPr>
      </w:pPr>
    </w:p>
    <w:p w:rsidRPr="00D27759" w:rsidR="00437105" w:rsidP="00AC1FA9" w:rsidRDefault="00AC7C4F" w14:paraId="594DC2F6" w14:textId="77777777">
      <w:pPr>
        <w:pStyle w:val="Heading1"/>
        <w:pageBreakBefore/>
        <w:overflowPunct/>
        <w:autoSpaceDE/>
        <w:autoSpaceDN/>
        <w:adjustRightInd/>
        <w:ind w:left="567" w:hanging="567"/>
        <w:textAlignment w:val="auto"/>
        <w:rPr>
          <w:lang w:val="sl-SI"/>
        </w:rPr>
      </w:pPr>
      <w:bookmarkStart w:name="_Toc105440141" w:id="13"/>
      <w:r w:rsidRPr="00D27759">
        <w:rPr>
          <w:b/>
          <w:lang w:val="sl-SI"/>
        </w:rPr>
        <w:lastRenderedPageBreak/>
        <w:t>POSVETOVALNA KOMISIJA ZA SPREMEMBE V INDUSTRIJI</w:t>
      </w:r>
      <w:bookmarkEnd w:id="13"/>
    </w:p>
    <w:p w:rsidRPr="00D27759" w:rsidR="00437105" w:rsidP="00AC1FA9" w:rsidRDefault="00437105" w14:paraId="173D3209" w14:textId="1BF9F866">
      <w:pPr>
        <w:rPr>
          <w:lang w:val="sl-SI"/>
        </w:rPr>
      </w:pPr>
    </w:p>
    <w:p w:rsidRPr="00D27759" w:rsidR="00EA31FC" w:rsidP="00EA31FC" w:rsidRDefault="00AA6CE8" w14:paraId="21B52E81" w14:textId="1E4A8D24">
      <w:pPr>
        <w:numPr>
          <w:ilvl w:val="0"/>
          <w:numId w:val="7"/>
        </w:numPr>
        <w:tabs>
          <w:tab w:val="clear" w:pos="0"/>
        </w:tabs>
        <w:ind w:left="567" w:hanging="567"/>
        <w:rPr>
          <w:sz w:val="28"/>
          <w:szCs w:val="22"/>
          <w:lang w:val="sl-SI"/>
        </w:rPr>
      </w:pPr>
      <w:hyperlink w:history="1" r:id="rId47">
        <w:r w:rsidR="00C21629">
          <w:rPr>
            <w:rStyle w:val="Hyperlink"/>
            <w:b/>
            <w:bCs/>
            <w:i/>
            <w:iCs/>
            <w:sz w:val="28"/>
            <w:szCs w:val="24"/>
            <w:lang w:val="sl-SI"/>
          </w:rPr>
          <w:t>Evropska strategija za tekoča goriva za trajnosten, cenovno dostopen in odporen prehod na nizkoogljično gospodarstvo</w:t>
        </w:r>
      </w:hyperlink>
    </w:p>
    <w:p w:rsidRPr="00D27759" w:rsidR="00EA31FC" w:rsidP="00EA31FC" w:rsidRDefault="00EA31FC" w14:paraId="3EC5DD49"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4904F0A" w14:textId="77777777">
        <w:tc>
          <w:tcPr>
            <w:tcW w:w="974" w:type="pct"/>
          </w:tcPr>
          <w:p w:rsidRPr="00D27759" w:rsidR="00437105" w:rsidP="00AC1FA9" w:rsidRDefault="00437105" w14:paraId="47C70BDE" w14:textId="77777777">
            <w:pPr>
              <w:rPr>
                <w:b/>
                <w:szCs w:val="22"/>
                <w:lang w:val="sl-SI"/>
              </w:rPr>
            </w:pPr>
            <w:r w:rsidRPr="00D27759">
              <w:rPr>
                <w:b/>
                <w:szCs w:val="22"/>
                <w:lang w:val="sl-SI"/>
              </w:rPr>
              <w:t>Poročevalec</w:t>
            </w:r>
          </w:p>
        </w:tc>
        <w:tc>
          <w:tcPr>
            <w:tcW w:w="4026" w:type="pct"/>
          </w:tcPr>
          <w:p w:rsidRPr="00D27759" w:rsidR="00437105" w:rsidP="00AC1FA9" w:rsidRDefault="006C0DE1" w14:paraId="3A1F0F07" w14:textId="7C716439">
            <w:pPr>
              <w:rPr>
                <w:szCs w:val="22"/>
                <w:lang w:val="sl-SI"/>
              </w:rPr>
            </w:pPr>
            <w:r w:rsidRPr="00D27759">
              <w:rPr>
                <w:szCs w:val="22"/>
                <w:lang w:val="sl-SI"/>
              </w:rPr>
              <w:t>Veselin MITOV (skupina delojemalcev – BG)</w:t>
            </w:r>
          </w:p>
        </w:tc>
      </w:tr>
      <w:tr w:rsidRPr="00D27759" w:rsidR="00437105" w:rsidTr="00993CB4" w14:paraId="3F764E88" w14:textId="77777777">
        <w:tc>
          <w:tcPr>
            <w:tcW w:w="974" w:type="pct"/>
          </w:tcPr>
          <w:p w:rsidRPr="00D27759" w:rsidR="00437105" w:rsidP="00AC1FA9" w:rsidRDefault="00437105" w14:paraId="3F35281F" w14:textId="77777777">
            <w:pPr>
              <w:rPr>
                <w:b/>
                <w:szCs w:val="22"/>
                <w:lang w:val="sl-SI"/>
              </w:rPr>
            </w:pPr>
            <w:r w:rsidRPr="00D27759">
              <w:rPr>
                <w:b/>
                <w:szCs w:val="22"/>
                <w:lang w:val="sl-SI"/>
              </w:rPr>
              <w:t>Soporočevalec</w:t>
            </w:r>
          </w:p>
        </w:tc>
        <w:tc>
          <w:tcPr>
            <w:tcW w:w="4026" w:type="pct"/>
          </w:tcPr>
          <w:p w:rsidRPr="00D27759" w:rsidR="00437105" w:rsidP="00AC1FA9" w:rsidRDefault="006C0DE1" w14:paraId="7550FFE8" w14:textId="5B660661">
            <w:pPr>
              <w:rPr>
                <w:szCs w:val="22"/>
                <w:lang w:val="sl-SI"/>
              </w:rPr>
            </w:pPr>
            <w:r w:rsidRPr="00D27759">
              <w:rPr>
                <w:szCs w:val="22"/>
                <w:lang w:val="sl-SI"/>
              </w:rPr>
              <w:t>Alessandro BARTELLONI (</w:t>
            </w:r>
            <w:r w:rsidR="00C21629">
              <w:rPr>
                <w:szCs w:val="22"/>
                <w:lang w:val="sl-SI"/>
              </w:rPr>
              <w:t>1. kategorija</w:t>
            </w:r>
            <w:r w:rsidRPr="00D27759">
              <w:rPr>
                <w:szCs w:val="22"/>
                <w:lang w:val="sl-SI"/>
              </w:rPr>
              <w:t xml:space="preserve"> – IT)</w:t>
            </w:r>
          </w:p>
        </w:tc>
      </w:tr>
      <w:tr w:rsidRPr="00D27759" w:rsidR="00437105" w:rsidTr="00993CB4" w14:paraId="44245B62" w14:textId="77777777">
        <w:tc>
          <w:tcPr>
            <w:tcW w:w="5000" w:type="pct"/>
            <w:gridSpan w:val="2"/>
          </w:tcPr>
          <w:p w:rsidRPr="00D27759" w:rsidR="00437105" w:rsidP="00AC1FA9" w:rsidRDefault="00437105" w14:paraId="38AF9CEF" w14:textId="77777777">
            <w:pPr>
              <w:rPr>
                <w:sz w:val="16"/>
                <w:szCs w:val="22"/>
                <w:lang w:val="sl-SI"/>
              </w:rPr>
            </w:pPr>
          </w:p>
        </w:tc>
      </w:tr>
      <w:tr w:rsidRPr="00D27759" w:rsidR="00437105" w:rsidTr="00993CB4" w14:paraId="447D79B2" w14:textId="77777777">
        <w:tc>
          <w:tcPr>
            <w:tcW w:w="974" w:type="pct"/>
            <w:vMerge w:val="restart"/>
          </w:tcPr>
          <w:p w:rsidRPr="00D27759" w:rsidR="00437105" w:rsidP="00AC1FA9" w:rsidRDefault="00437105" w14:paraId="41D2A148" w14:textId="77777777">
            <w:pPr>
              <w:rPr>
                <w:b/>
                <w:szCs w:val="22"/>
                <w:lang w:val="sl-SI"/>
              </w:rPr>
            </w:pPr>
            <w:r w:rsidRPr="00D27759">
              <w:rPr>
                <w:b/>
                <w:szCs w:val="22"/>
                <w:lang w:val="sl-SI"/>
              </w:rPr>
              <w:t>Referenčni dokument</w:t>
            </w:r>
          </w:p>
        </w:tc>
        <w:tc>
          <w:tcPr>
            <w:tcW w:w="4026" w:type="pct"/>
          </w:tcPr>
          <w:p w:rsidRPr="00D27759" w:rsidR="00437105" w:rsidP="00AC1FA9" w:rsidRDefault="002972BA" w14:paraId="48822976" w14:textId="006F3065">
            <w:pPr>
              <w:rPr>
                <w:szCs w:val="22"/>
                <w:lang w:val="sl-SI"/>
              </w:rPr>
            </w:pPr>
            <w:r>
              <w:rPr>
                <w:szCs w:val="22"/>
                <w:lang w:val="sl-SI"/>
              </w:rPr>
              <w:t>mnenje na lastno pobudo</w:t>
            </w:r>
          </w:p>
        </w:tc>
      </w:tr>
      <w:tr w:rsidRPr="00D27759" w:rsidR="00437105" w:rsidTr="00993CB4" w14:paraId="2236E894" w14:textId="77777777">
        <w:tc>
          <w:tcPr>
            <w:tcW w:w="974" w:type="pct"/>
            <w:vMerge/>
          </w:tcPr>
          <w:p w:rsidRPr="00D27759" w:rsidR="00437105" w:rsidP="00AC1FA9" w:rsidRDefault="00437105" w14:paraId="1CB275BC" w14:textId="77777777">
            <w:pPr>
              <w:tabs>
                <w:tab w:val="center" w:pos="284"/>
              </w:tabs>
              <w:ind w:left="266" w:hanging="266"/>
              <w:rPr>
                <w:b/>
                <w:szCs w:val="22"/>
                <w:lang w:val="sl-SI"/>
              </w:rPr>
            </w:pPr>
          </w:p>
        </w:tc>
        <w:tc>
          <w:tcPr>
            <w:tcW w:w="4026" w:type="pct"/>
          </w:tcPr>
          <w:p w:rsidRPr="00D27759" w:rsidR="00437105" w:rsidP="00AC1FA9" w:rsidRDefault="006C0DE1" w14:paraId="055B7F7F" w14:textId="4D0AF020">
            <w:pPr>
              <w:rPr>
                <w:szCs w:val="22"/>
                <w:lang w:val="sl-SI"/>
              </w:rPr>
            </w:pPr>
            <w:r w:rsidRPr="00D27759">
              <w:rPr>
                <w:szCs w:val="22"/>
                <w:lang w:val="sl-SI"/>
              </w:rPr>
              <w:t>EESC-2025-03709-00-00-AC</w:t>
            </w:r>
          </w:p>
        </w:tc>
      </w:tr>
    </w:tbl>
    <w:p w:rsidRPr="00D27759" w:rsidR="00437105" w:rsidP="00AC1FA9" w:rsidRDefault="00437105" w14:paraId="2F854D82" w14:textId="77777777">
      <w:pPr>
        <w:rPr>
          <w:szCs w:val="22"/>
          <w:lang w:val="sl-SI"/>
        </w:rPr>
      </w:pPr>
    </w:p>
    <w:p w:rsidRPr="00D27759" w:rsidR="00437105" w:rsidP="00AC1FA9" w:rsidRDefault="00437105" w14:paraId="27FB429A" w14:textId="77777777">
      <w:pPr>
        <w:rPr>
          <w:lang w:val="sl-SI"/>
        </w:rPr>
      </w:pPr>
      <w:r w:rsidRPr="00D27759">
        <w:rPr>
          <w:b/>
          <w:lang w:val="sl-SI"/>
        </w:rPr>
        <w:t>Glavne točke</w:t>
      </w:r>
    </w:p>
    <w:p w:rsidRPr="00D27759" w:rsidR="00437105" w:rsidP="00AC1FA9" w:rsidRDefault="00437105" w14:paraId="6D36E7A2" w14:textId="77777777">
      <w:pPr>
        <w:rPr>
          <w:szCs w:val="22"/>
          <w:lang w:val="sl-SI"/>
        </w:rPr>
      </w:pPr>
    </w:p>
    <w:p w:rsidRPr="00D27759" w:rsidR="00437105" w:rsidP="00AC1FA9" w:rsidRDefault="00437105" w14:paraId="6E611BF3" w14:textId="77777777">
      <w:pPr>
        <w:rPr>
          <w:bCs/>
          <w:iCs/>
          <w:szCs w:val="22"/>
          <w:lang w:val="sl-SI"/>
        </w:rPr>
      </w:pPr>
      <w:r w:rsidRPr="00D27759">
        <w:rPr>
          <w:bCs/>
          <w:iCs/>
          <w:szCs w:val="22"/>
          <w:lang w:val="sl-SI"/>
        </w:rPr>
        <w:t>EESO:</w:t>
      </w:r>
    </w:p>
    <w:p w:rsidRPr="00D27759" w:rsidR="00437105" w:rsidP="00AC1FA9" w:rsidRDefault="00437105" w14:paraId="1E7A1AE9" w14:textId="77777777">
      <w:pPr>
        <w:rPr>
          <w:szCs w:val="22"/>
          <w:lang w:val="sl-SI"/>
        </w:rPr>
      </w:pPr>
    </w:p>
    <w:p w:rsidRPr="00D27759" w:rsidR="006C0DE1" w:rsidP="006C0DE1" w:rsidRDefault="006C0DE1" w14:paraId="2CDF37D2" w14:textId="6EC8B2B7">
      <w:pPr>
        <w:widowControl w:val="0"/>
        <w:numPr>
          <w:ilvl w:val="0"/>
          <w:numId w:val="9"/>
        </w:numPr>
        <w:tabs>
          <w:tab w:val="clear" w:pos="0"/>
        </w:tabs>
        <w:ind w:left="567" w:hanging="567"/>
        <w:rPr>
          <w:szCs w:val="22"/>
          <w:lang w:val="sl-SI"/>
        </w:rPr>
      </w:pPr>
      <w:r w:rsidRPr="00D27759">
        <w:rPr>
          <w:szCs w:val="22"/>
          <w:lang w:val="sl-SI"/>
        </w:rPr>
        <w:t>poziva k oblikovanju strategije EU za tekoča goriva, ki bo omogočala prehod s fosilnih goriv na razogljičene in obnovljive alternative ter obravnavala trajnostnost, cenovno dostopnost in zanesljivost vseh načinov prevoza;</w:t>
      </w:r>
    </w:p>
    <w:p w:rsidRPr="00D27759" w:rsidR="006C0DE1" w:rsidP="006C0DE1" w:rsidRDefault="006C0DE1" w14:paraId="0A6D3D2C" w14:textId="013E10B9">
      <w:pPr>
        <w:widowControl w:val="0"/>
        <w:numPr>
          <w:ilvl w:val="0"/>
          <w:numId w:val="9"/>
        </w:numPr>
        <w:tabs>
          <w:tab w:val="clear" w:pos="0"/>
        </w:tabs>
        <w:ind w:left="567" w:hanging="567"/>
        <w:rPr>
          <w:szCs w:val="22"/>
          <w:lang w:val="sl-SI"/>
        </w:rPr>
      </w:pPr>
      <w:r w:rsidRPr="00D27759">
        <w:rPr>
          <w:szCs w:val="22"/>
          <w:lang w:val="sl-SI"/>
        </w:rPr>
        <w:t>ugotavlja, da takšna strategija ne bi le podpirala podnebnih ciljev, temveč bi predvsem pomagala diverzificirati vire energije, hkrati pa bi izboljšala zanesljivost oskrbe, spodbujala naložbe v obnovljive vire energije, krožno gospodarstvo, standardizirala proizvodnjo biogoriv in e-goriv za čezmejno trgovino in jo uskladila s trajnostjo ter služila kot alternativa tam, kjer je elektrifikacija težje izvedljiva;</w:t>
      </w:r>
    </w:p>
    <w:p w:rsidRPr="00D27759" w:rsidR="006C0DE1" w:rsidP="006C0DE1" w:rsidRDefault="006C0DE1" w14:paraId="1BD07836" w14:textId="42988746">
      <w:pPr>
        <w:widowControl w:val="0"/>
        <w:numPr>
          <w:ilvl w:val="0"/>
          <w:numId w:val="9"/>
        </w:numPr>
        <w:tabs>
          <w:tab w:val="clear" w:pos="0"/>
        </w:tabs>
        <w:ind w:left="567" w:hanging="567"/>
        <w:rPr>
          <w:szCs w:val="22"/>
          <w:lang w:val="sl-SI"/>
        </w:rPr>
      </w:pPr>
      <w:r w:rsidRPr="00D27759">
        <w:rPr>
          <w:szCs w:val="22"/>
          <w:lang w:val="sl-SI"/>
        </w:rPr>
        <w:t>priporoča povečanje učinkovitosti dobavnih verig razogljičenih in obnovljivih tekočih goriv z izboljšanjem pridobivanja, mešanja in shranjevanja surovin ter z optimizacijo logistike prek industrijskih vozlišč;</w:t>
      </w:r>
    </w:p>
    <w:p w:rsidRPr="00D27759" w:rsidR="006C0DE1" w:rsidP="006C0DE1" w:rsidRDefault="006C0DE1" w14:paraId="27A05E13" w14:textId="11C10A7B">
      <w:pPr>
        <w:widowControl w:val="0"/>
        <w:numPr>
          <w:ilvl w:val="0"/>
          <w:numId w:val="9"/>
        </w:numPr>
        <w:tabs>
          <w:tab w:val="clear" w:pos="0"/>
        </w:tabs>
        <w:ind w:left="567" w:hanging="567"/>
        <w:rPr>
          <w:szCs w:val="22"/>
          <w:lang w:val="sl-SI"/>
        </w:rPr>
      </w:pPr>
      <w:r w:rsidRPr="00D27759">
        <w:rPr>
          <w:szCs w:val="22"/>
          <w:lang w:val="sl-SI"/>
        </w:rPr>
        <w:t>poudarja potrebo po uporabi obstoječe infrastrukture za razogljičena in obnovljiva tekoča goriva, ki lahko sprejme trajnostna tekoča goriva, da se čim bolj zmanjšajo visoki stroški za družbo;</w:t>
      </w:r>
    </w:p>
    <w:p w:rsidRPr="00D27759" w:rsidR="006C0DE1" w:rsidP="006C0DE1" w:rsidRDefault="006C0DE1" w14:paraId="4E45CA0E" w14:textId="40C62D75">
      <w:pPr>
        <w:widowControl w:val="0"/>
        <w:numPr>
          <w:ilvl w:val="0"/>
          <w:numId w:val="9"/>
        </w:numPr>
        <w:tabs>
          <w:tab w:val="clear" w:pos="0"/>
        </w:tabs>
        <w:ind w:left="567" w:hanging="567"/>
        <w:rPr>
          <w:szCs w:val="22"/>
          <w:lang w:val="sl-SI"/>
        </w:rPr>
      </w:pPr>
      <w:r w:rsidRPr="00D27759">
        <w:rPr>
          <w:szCs w:val="22"/>
          <w:lang w:val="sl-SI"/>
        </w:rPr>
        <w:t>poziva k izkoristku vsega potenciala trajnostne biomase in k odprtemu dialogu s ključnimi industrijami;</w:t>
      </w:r>
    </w:p>
    <w:p w:rsidRPr="00D27759" w:rsidR="006C0DE1" w:rsidP="006C0DE1" w:rsidRDefault="006C0DE1" w14:paraId="66655C0B" w14:textId="7A05A850">
      <w:pPr>
        <w:widowControl w:val="0"/>
        <w:numPr>
          <w:ilvl w:val="0"/>
          <w:numId w:val="9"/>
        </w:numPr>
        <w:tabs>
          <w:tab w:val="clear" w:pos="0"/>
        </w:tabs>
        <w:ind w:left="567" w:hanging="567"/>
        <w:rPr>
          <w:lang w:val="sl-SI"/>
        </w:rPr>
      </w:pPr>
      <w:r w:rsidRPr="00D27759">
        <w:rPr>
          <w:szCs w:val="22"/>
          <w:lang w:val="sl-SI"/>
        </w:rPr>
        <w:t>poudarja</w:t>
      </w:r>
      <w:r w:rsidRPr="00D27759">
        <w:rPr>
          <w:lang w:val="sl-SI"/>
        </w:rPr>
        <w:t xml:space="preserve"> pomen zmanjšanja proizvodnih stroškov razogljičenih goriv in goriv iz obnovljivih virov z omogočanjem stroškovno učinkovitega dostopa do čiste električne energije in surovin, povečanjem proizvodnih zmogljivosti, ob sočasnem izvajanju pobud EU za raziskave in razvoj, vključno z uporabo inovacijskega sklada sistema EU za trgovanje z emisijami, za spodbujanje inovacij in naložb v nizkoogljične tehnologije za proizvodnjo trajnostnih tekočih goriv;</w:t>
      </w:r>
    </w:p>
    <w:p w:rsidRPr="00D27759" w:rsidR="00437105" w:rsidP="006C0DE1" w:rsidRDefault="006C0DE1" w14:paraId="1712CAC5" w14:textId="61D06317">
      <w:pPr>
        <w:widowControl w:val="0"/>
        <w:numPr>
          <w:ilvl w:val="0"/>
          <w:numId w:val="9"/>
        </w:numPr>
        <w:tabs>
          <w:tab w:val="clear" w:pos="0"/>
        </w:tabs>
        <w:ind w:left="567" w:hanging="567"/>
        <w:rPr>
          <w:lang w:val="sl-SI"/>
        </w:rPr>
      </w:pPr>
      <w:r w:rsidRPr="00D27759">
        <w:rPr>
          <w:lang w:val="sl-SI"/>
        </w:rPr>
        <w:t xml:space="preserve">poziva k uvedbi programov usposabljanja in izobraževalnih pobud za izboljšanje znanj in spretnosti </w:t>
      </w:r>
      <w:r w:rsidRPr="00D27759">
        <w:rPr>
          <w:szCs w:val="22"/>
          <w:lang w:val="sl-SI"/>
        </w:rPr>
        <w:t>delovne</w:t>
      </w:r>
      <w:r w:rsidRPr="00D27759">
        <w:rPr>
          <w:lang w:val="sl-SI"/>
        </w:rPr>
        <w:t xml:space="preserve"> sile na podlagi socialnega dialoga, povečanje zaposljivosti in ustvarjanje „dostojnih zelenih delovnih mest“, ki so bistvena za gospodarstvo.</w:t>
      </w:r>
    </w:p>
    <w:p w:rsidRPr="00D27759" w:rsidR="006C0DE1" w:rsidP="00AC1FA9" w:rsidRDefault="006C0DE1" w14:paraId="03A0DCE0"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D27759" w:rsidR="00437105" w:rsidTr="00993CB4" w14:paraId="5C4D0106" w14:textId="77777777">
        <w:tc>
          <w:tcPr>
            <w:tcW w:w="974" w:type="pct"/>
          </w:tcPr>
          <w:p w:rsidRPr="00D27759" w:rsidR="00437105" w:rsidP="00AC1FA9" w:rsidRDefault="00437105" w14:paraId="46F9B56B" w14:textId="77777777">
            <w:pPr>
              <w:rPr>
                <w:lang w:val="sl-SI"/>
              </w:rPr>
            </w:pPr>
            <w:r w:rsidRPr="00D27759">
              <w:rPr>
                <w:b/>
                <w:i/>
                <w:szCs w:val="22"/>
                <w:lang w:val="sl-SI"/>
              </w:rPr>
              <w:t>Kontaktna oseba</w:t>
            </w:r>
          </w:p>
        </w:tc>
        <w:tc>
          <w:tcPr>
            <w:tcW w:w="4026" w:type="pct"/>
          </w:tcPr>
          <w:p w:rsidRPr="00D27759" w:rsidR="00437105" w:rsidP="00AC1FA9" w:rsidRDefault="006C0DE1" w14:paraId="74B19924" w14:textId="5A0FE250">
            <w:pPr>
              <w:rPr>
                <w:i/>
                <w:lang w:val="sl-SI"/>
              </w:rPr>
            </w:pPr>
            <w:r w:rsidRPr="00D27759">
              <w:rPr>
                <w:i/>
                <w:lang w:val="sl-SI"/>
              </w:rPr>
              <w:t>Adam Dorywalski</w:t>
            </w:r>
          </w:p>
        </w:tc>
      </w:tr>
      <w:tr w:rsidRPr="00D27759" w:rsidR="00437105" w:rsidTr="00993CB4" w14:paraId="07A8FB26" w14:textId="77777777">
        <w:tc>
          <w:tcPr>
            <w:tcW w:w="974" w:type="pct"/>
          </w:tcPr>
          <w:p w:rsidRPr="00D27759" w:rsidR="00437105" w:rsidP="00AC1FA9" w:rsidRDefault="006926AD" w14:paraId="112D2244" w14:textId="77777777">
            <w:pPr>
              <w:rPr>
                <w:lang w:val="sl-SI"/>
              </w:rPr>
            </w:pPr>
            <w:r w:rsidRPr="00D27759">
              <w:rPr>
                <w:i/>
                <w:szCs w:val="22"/>
                <w:lang w:val="sl-SI"/>
              </w:rPr>
              <w:t>Telefon</w:t>
            </w:r>
          </w:p>
        </w:tc>
        <w:tc>
          <w:tcPr>
            <w:tcW w:w="4026" w:type="pct"/>
          </w:tcPr>
          <w:p w:rsidRPr="00D27759" w:rsidR="00437105" w:rsidP="00AC1FA9" w:rsidRDefault="000D558D" w14:paraId="0B885170" w14:textId="41D0080E">
            <w:pPr>
              <w:rPr>
                <w:lang w:val="sl-SI"/>
              </w:rPr>
            </w:pPr>
            <w:r w:rsidRPr="00D27759">
              <w:rPr>
                <w:i/>
                <w:szCs w:val="22"/>
                <w:lang w:val="sl-SI"/>
              </w:rPr>
              <w:t>+</w:t>
            </w:r>
            <w:r w:rsidRPr="00D27759" w:rsidR="00437105">
              <w:rPr>
                <w:i/>
                <w:szCs w:val="22"/>
                <w:lang w:val="sl-SI"/>
              </w:rPr>
              <w:t>32 2 </w:t>
            </w:r>
            <w:r w:rsidRPr="00D27759" w:rsidR="006C0DE1">
              <w:rPr>
                <w:i/>
                <w:szCs w:val="22"/>
                <w:lang w:val="sl-SI"/>
              </w:rPr>
              <w:t>546 9397</w:t>
            </w:r>
          </w:p>
        </w:tc>
      </w:tr>
      <w:tr w:rsidRPr="00D27759" w:rsidR="00437105" w:rsidTr="00993CB4" w14:paraId="2FCBCA29" w14:textId="77777777">
        <w:tc>
          <w:tcPr>
            <w:tcW w:w="974" w:type="pct"/>
          </w:tcPr>
          <w:p w:rsidRPr="00D27759" w:rsidR="00437105" w:rsidP="00AC1FA9" w:rsidRDefault="00437105" w14:paraId="78B7A2E3" w14:textId="77777777">
            <w:pPr>
              <w:rPr>
                <w:lang w:val="sl-SI"/>
              </w:rPr>
            </w:pPr>
            <w:r w:rsidRPr="00D27759">
              <w:rPr>
                <w:i/>
                <w:szCs w:val="22"/>
                <w:lang w:val="sl-SI"/>
              </w:rPr>
              <w:t>E-naslov</w:t>
            </w:r>
          </w:p>
        </w:tc>
        <w:tc>
          <w:tcPr>
            <w:tcW w:w="4026" w:type="pct"/>
          </w:tcPr>
          <w:p w:rsidRPr="00D27759" w:rsidR="00437105" w:rsidP="00AC1FA9" w:rsidRDefault="00AA6CE8" w14:paraId="37F0E69C" w14:textId="0AE2A7CE">
            <w:pPr>
              <w:rPr>
                <w:i/>
                <w:lang w:val="sl-SI"/>
              </w:rPr>
            </w:pPr>
            <w:hyperlink w:history="1" r:id="rId48">
              <w:r w:rsidRPr="00D27759" w:rsidR="006C0DE1">
                <w:rPr>
                  <w:rStyle w:val="Hyperlink"/>
                  <w:i/>
                  <w:lang w:val="sl-SI"/>
                </w:rPr>
                <w:t>Adam.Dorywalski@eesc.europa.eu</w:t>
              </w:r>
            </w:hyperlink>
          </w:p>
        </w:tc>
      </w:tr>
    </w:tbl>
    <w:p w:rsidRPr="00D27759" w:rsidR="00437105" w:rsidP="00AC1FA9" w:rsidRDefault="00437105" w14:paraId="3817586B" w14:textId="77777777">
      <w:pPr>
        <w:rPr>
          <w:lang w:val="sl-SI"/>
        </w:rPr>
      </w:pPr>
    </w:p>
    <w:p w:rsidRPr="00057418" w:rsidR="009546DC" w:rsidP="00AC1FA9" w:rsidRDefault="009546DC" w14:paraId="72A7CC52" w14:textId="77777777">
      <w:pPr>
        <w:jc w:val="center"/>
        <w:rPr>
          <w:lang w:val="sl-SI"/>
        </w:rPr>
      </w:pPr>
      <w:r w:rsidRPr="00D27759">
        <w:rPr>
          <w:lang w:val="sl-SI"/>
        </w:rPr>
        <w:t>_____________</w:t>
      </w:r>
    </w:p>
    <w:sectPr w:rsidRPr="00057418" w:rsidR="009546DC" w:rsidSect="008C2252">
      <w:headerReference w:type="even" r:id="rId49"/>
      <w:headerReference w:type="default" r:id="rId50"/>
      <w:footerReference w:type="even" r:id="rId51"/>
      <w:footerReference w:type="default" r:id="rId52"/>
      <w:headerReference w:type="first" r:id="rId53"/>
      <w:footerReference w:type="first" r:id="rId54"/>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323178FC" w:rsidR="00682432" w:rsidRPr="008C2252" w:rsidRDefault="004F4D14" w:rsidP="008C2252">
    <w:pPr>
      <w:pStyle w:val="Footer"/>
      <w:rPr>
        <w:lang w:val="sl-SI"/>
      </w:rPr>
    </w:pPr>
    <w:r>
      <w:rPr>
        <w:lang w:val="sl-SI"/>
      </w:rPr>
      <w:t>EESC-2025-00818-00-01-TCD-TRA</w:t>
    </w:r>
    <w:r w:rsidR="008C2252" w:rsidRPr="008C2252">
      <w:rPr>
        <w:lang w:val="sl-SI"/>
      </w:rPr>
      <w:t xml:space="preserve"> (EN) </w:t>
    </w:r>
    <w:r w:rsidR="008C2252" w:rsidRPr="008C2252">
      <w:rPr>
        <w:lang w:val="sl-SI"/>
      </w:rPr>
      <w:fldChar w:fldCharType="begin"/>
    </w:r>
    <w:r w:rsidR="008C2252" w:rsidRPr="008C2252">
      <w:rPr>
        <w:lang w:val="sl-SI"/>
      </w:rPr>
      <w:instrText xml:space="preserve"> PAGE  \* Arabic  \* MERGEFORMAT </w:instrText>
    </w:r>
    <w:r w:rsidR="008C2252" w:rsidRPr="008C2252">
      <w:rPr>
        <w:lang w:val="sl-SI"/>
      </w:rPr>
      <w:fldChar w:fldCharType="separate"/>
    </w:r>
    <w:r w:rsidR="008C2252" w:rsidRPr="008C2252">
      <w:rPr>
        <w:lang w:val="sl-SI"/>
      </w:rPr>
      <w:t>1</w:t>
    </w:r>
    <w:r w:rsidR="008C2252" w:rsidRPr="008C2252">
      <w:rPr>
        <w:lang w:val="sl-SI"/>
      </w:rPr>
      <w:fldChar w:fldCharType="end"/>
    </w:r>
    <w:r w:rsidR="008C2252" w:rsidRPr="008C2252">
      <w:rPr>
        <w:lang w:val="sl-SI"/>
      </w:rPr>
      <w:t>/</w:t>
    </w:r>
    <w:r w:rsidR="008C2252" w:rsidRPr="008C2252">
      <w:rPr>
        <w:lang w:val="sl-SI"/>
      </w:rPr>
      <w:fldChar w:fldCharType="begin"/>
    </w:r>
    <w:r w:rsidR="008C2252" w:rsidRPr="008C2252">
      <w:rPr>
        <w:lang w:val="sl-SI"/>
      </w:rPr>
      <w:instrText xml:space="preserve"> = </w:instrText>
    </w:r>
    <w:r w:rsidR="008C2252" w:rsidRPr="008C2252">
      <w:rPr>
        <w:lang w:val="sl-SI"/>
      </w:rPr>
      <w:fldChar w:fldCharType="begin"/>
    </w:r>
    <w:r w:rsidR="008C2252" w:rsidRPr="008C2252">
      <w:rPr>
        <w:lang w:val="sl-SI"/>
      </w:rPr>
      <w:instrText xml:space="preserve"> NUMPAGES </w:instrText>
    </w:r>
    <w:r w:rsidR="008C2252" w:rsidRPr="008C2252">
      <w:rPr>
        <w:lang w:val="sl-SI"/>
      </w:rPr>
      <w:fldChar w:fldCharType="separate"/>
    </w:r>
    <w:r w:rsidR="00AA6CE8">
      <w:rPr>
        <w:noProof/>
        <w:lang w:val="sl-SI"/>
      </w:rPr>
      <w:instrText>22</w:instrText>
    </w:r>
    <w:r w:rsidR="008C2252" w:rsidRPr="008C2252">
      <w:rPr>
        <w:lang w:val="sl-SI"/>
      </w:rPr>
      <w:fldChar w:fldCharType="end"/>
    </w:r>
    <w:r w:rsidR="008C2252" w:rsidRPr="008C2252">
      <w:rPr>
        <w:lang w:val="sl-SI"/>
      </w:rPr>
      <w:instrText xml:space="preserve"> -0 </w:instrText>
    </w:r>
    <w:r w:rsidR="008C2252" w:rsidRPr="008C2252">
      <w:rPr>
        <w:lang w:val="sl-SI"/>
      </w:rPr>
      <w:fldChar w:fldCharType="separate"/>
    </w:r>
    <w:r w:rsidR="00AA6CE8">
      <w:rPr>
        <w:noProof/>
        <w:lang w:val="sl-SI"/>
      </w:rPr>
      <w:t>22</w:t>
    </w:r>
    <w:r w:rsidR="008C2252" w:rsidRPr="008C2252">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1FB4" w14:textId="77777777" w:rsidR="008C2252" w:rsidRPr="008C2252" w:rsidRDefault="008C2252" w:rsidP="008C2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408F" w14:textId="61B0A24F" w:rsidR="008C2252" w:rsidRPr="008C2252" w:rsidRDefault="004F4D14" w:rsidP="008C2252">
    <w:pPr>
      <w:pStyle w:val="Footer"/>
      <w:rPr>
        <w:lang w:val="sl-SI"/>
      </w:rPr>
    </w:pPr>
    <w:r>
      <w:rPr>
        <w:lang w:val="sl-SI"/>
      </w:rPr>
      <w:t>EESC-2025-00818-00-01-TCD-TRA</w:t>
    </w:r>
    <w:r w:rsidR="008C2252" w:rsidRPr="008C2252">
      <w:rPr>
        <w:lang w:val="sl-SI"/>
      </w:rPr>
      <w:t xml:space="preserve"> (EN) </w:t>
    </w:r>
    <w:r w:rsidR="008C2252" w:rsidRPr="008C2252">
      <w:rPr>
        <w:lang w:val="sl-SI"/>
      </w:rPr>
      <w:fldChar w:fldCharType="begin"/>
    </w:r>
    <w:r w:rsidR="008C2252" w:rsidRPr="008C2252">
      <w:rPr>
        <w:lang w:val="sl-SI"/>
      </w:rPr>
      <w:instrText xml:space="preserve"> PAGE  \* Arabic  \* MERGEFORMAT </w:instrText>
    </w:r>
    <w:r w:rsidR="008C2252" w:rsidRPr="008C2252">
      <w:rPr>
        <w:lang w:val="sl-SI"/>
      </w:rPr>
      <w:fldChar w:fldCharType="separate"/>
    </w:r>
    <w:r w:rsidR="008C2252" w:rsidRPr="008C2252">
      <w:rPr>
        <w:lang w:val="sl-SI"/>
      </w:rPr>
      <w:t>2</w:t>
    </w:r>
    <w:r w:rsidR="008C2252" w:rsidRPr="008C2252">
      <w:rPr>
        <w:lang w:val="sl-SI"/>
      </w:rPr>
      <w:fldChar w:fldCharType="end"/>
    </w:r>
    <w:r w:rsidR="008C2252" w:rsidRPr="008C2252">
      <w:rPr>
        <w:lang w:val="sl-SI"/>
      </w:rPr>
      <w:t>/</w:t>
    </w:r>
    <w:r w:rsidR="008C2252" w:rsidRPr="008C2252">
      <w:rPr>
        <w:lang w:val="sl-SI"/>
      </w:rPr>
      <w:fldChar w:fldCharType="begin"/>
    </w:r>
    <w:r w:rsidR="008C2252" w:rsidRPr="008C2252">
      <w:rPr>
        <w:lang w:val="sl-SI"/>
      </w:rPr>
      <w:instrText xml:space="preserve"> = </w:instrText>
    </w:r>
    <w:r w:rsidR="008C2252" w:rsidRPr="008C2252">
      <w:rPr>
        <w:lang w:val="sl-SI"/>
      </w:rPr>
      <w:fldChar w:fldCharType="begin"/>
    </w:r>
    <w:r w:rsidR="008C2252" w:rsidRPr="008C2252">
      <w:rPr>
        <w:lang w:val="sl-SI"/>
      </w:rPr>
      <w:instrText xml:space="preserve"> NUMPAGES </w:instrText>
    </w:r>
    <w:r w:rsidR="008C2252" w:rsidRPr="008C2252">
      <w:rPr>
        <w:lang w:val="sl-SI"/>
      </w:rPr>
      <w:fldChar w:fldCharType="separate"/>
    </w:r>
    <w:r w:rsidR="00EB3A12">
      <w:rPr>
        <w:noProof/>
        <w:lang w:val="sl-SI"/>
      </w:rPr>
      <w:instrText>22</w:instrText>
    </w:r>
    <w:r w:rsidR="008C2252" w:rsidRPr="008C2252">
      <w:rPr>
        <w:lang w:val="sl-SI"/>
      </w:rPr>
      <w:fldChar w:fldCharType="end"/>
    </w:r>
    <w:r w:rsidR="008C2252" w:rsidRPr="008C2252">
      <w:rPr>
        <w:lang w:val="sl-SI"/>
      </w:rPr>
      <w:instrText xml:space="preserve"> -0 </w:instrText>
    </w:r>
    <w:r w:rsidR="008C2252" w:rsidRPr="008C2252">
      <w:rPr>
        <w:lang w:val="sl-SI"/>
      </w:rPr>
      <w:fldChar w:fldCharType="separate"/>
    </w:r>
    <w:r w:rsidR="00EB3A12">
      <w:rPr>
        <w:noProof/>
        <w:lang w:val="sl-SI"/>
      </w:rPr>
      <w:t>22</w:t>
    </w:r>
    <w:r w:rsidR="008C2252" w:rsidRPr="008C2252">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6D4A" w14:textId="77777777" w:rsidR="008C2252" w:rsidRPr="008C2252" w:rsidRDefault="008C2252" w:rsidP="008C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C114" w14:textId="77777777" w:rsidR="008C2252" w:rsidRPr="008C2252" w:rsidRDefault="008C2252" w:rsidP="008C2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4D5B" w14:textId="77777777" w:rsidR="008C2252" w:rsidRPr="008C2252" w:rsidRDefault="008C2252" w:rsidP="008C2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953A" w14:textId="77777777" w:rsidR="008C2252" w:rsidRPr="008C2252" w:rsidRDefault="008C2252" w:rsidP="008C2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3"/>
  </w:num>
  <w:num w:numId="7">
    <w:abstractNumId w:val="7"/>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8FB"/>
    <w:rsid w:val="000113B2"/>
    <w:rsid w:val="00011D71"/>
    <w:rsid w:val="0001332E"/>
    <w:rsid w:val="00022CEC"/>
    <w:rsid w:val="00033ACA"/>
    <w:rsid w:val="00054D01"/>
    <w:rsid w:val="00057418"/>
    <w:rsid w:val="00082A32"/>
    <w:rsid w:val="00096EFE"/>
    <w:rsid w:val="000A5AD3"/>
    <w:rsid w:val="000D1504"/>
    <w:rsid w:val="000D558D"/>
    <w:rsid w:val="000E0BC9"/>
    <w:rsid w:val="000E1648"/>
    <w:rsid w:val="0011267C"/>
    <w:rsid w:val="00123CE7"/>
    <w:rsid w:val="00131C5E"/>
    <w:rsid w:val="00133CCA"/>
    <w:rsid w:val="001476FE"/>
    <w:rsid w:val="001816D7"/>
    <w:rsid w:val="00187B18"/>
    <w:rsid w:val="001B3FFC"/>
    <w:rsid w:val="001B7143"/>
    <w:rsid w:val="001C0373"/>
    <w:rsid w:val="001C47D5"/>
    <w:rsid w:val="001D1EE1"/>
    <w:rsid w:val="001F4DE5"/>
    <w:rsid w:val="001F6CEF"/>
    <w:rsid w:val="00214BCD"/>
    <w:rsid w:val="0021720F"/>
    <w:rsid w:val="00237C3D"/>
    <w:rsid w:val="002605EE"/>
    <w:rsid w:val="00261578"/>
    <w:rsid w:val="00270279"/>
    <w:rsid w:val="00270E47"/>
    <w:rsid w:val="00273075"/>
    <w:rsid w:val="002749D1"/>
    <w:rsid w:val="002939DD"/>
    <w:rsid w:val="002972BA"/>
    <w:rsid w:val="002C1D13"/>
    <w:rsid w:val="00300CFE"/>
    <w:rsid w:val="00302C4A"/>
    <w:rsid w:val="0032242F"/>
    <w:rsid w:val="003467FD"/>
    <w:rsid w:val="00352363"/>
    <w:rsid w:val="00352524"/>
    <w:rsid w:val="00363BFA"/>
    <w:rsid w:val="0037727F"/>
    <w:rsid w:val="00381571"/>
    <w:rsid w:val="003830A7"/>
    <w:rsid w:val="00383C0D"/>
    <w:rsid w:val="003A22D3"/>
    <w:rsid w:val="003A5D23"/>
    <w:rsid w:val="003D5AF7"/>
    <w:rsid w:val="003E18E4"/>
    <w:rsid w:val="004069C3"/>
    <w:rsid w:val="00437105"/>
    <w:rsid w:val="0046753C"/>
    <w:rsid w:val="00474CD2"/>
    <w:rsid w:val="00490402"/>
    <w:rsid w:val="00490B3E"/>
    <w:rsid w:val="00494E90"/>
    <w:rsid w:val="004C2267"/>
    <w:rsid w:val="004D0B32"/>
    <w:rsid w:val="004D41CF"/>
    <w:rsid w:val="004D6639"/>
    <w:rsid w:val="004F4D14"/>
    <w:rsid w:val="0053121B"/>
    <w:rsid w:val="0054629F"/>
    <w:rsid w:val="00564551"/>
    <w:rsid w:val="005676E1"/>
    <w:rsid w:val="0057358F"/>
    <w:rsid w:val="005A5B95"/>
    <w:rsid w:val="005B2477"/>
    <w:rsid w:val="005E406C"/>
    <w:rsid w:val="005F4CB4"/>
    <w:rsid w:val="005F5640"/>
    <w:rsid w:val="006016D5"/>
    <w:rsid w:val="00632EDB"/>
    <w:rsid w:val="00636CA6"/>
    <w:rsid w:val="0064498C"/>
    <w:rsid w:val="006620C6"/>
    <w:rsid w:val="0067467A"/>
    <w:rsid w:val="00682432"/>
    <w:rsid w:val="006875AE"/>
    <w:rsid w:val="006926AD"/>
    <w:rsid w:val="006C0DE1"/>
    <w:rsid w:val="006F2CCA"/>
    <w:rsid w:val="006F686A"/>
    <w:rsid w:val="00721808"/>
    <w:rsid w:val="00731B50"/>
    <w:rsid w:val="00746889"/>
    <w:rsid w:val="00755ACF"/>
    <w:rsid w:val="00784CC7"/>
    <w:rsid w:val="007865A6"/>
    <w:rsid w:val="00796003"/>
    <w:rsid w:val="007A7B94"/>
    <w:rsid w:val="007C6F79"/>
    <w:rsid w:val="007D31D0"/>
    <w:rsid w:val="008103E3"/>
    <w:rsid w:val="00816C98"/>
    <w:rsid w:val="00820E9A"/>
    <w:rsid w:val="00826265"/>
    <w:rsid w:val="00835145"/>
    <w:rsid w:val="00836295"/>
    <w:rsid w:val="00845F84"/>
    <w:rsid w:val="00862AEB"/>
    <w:rsid w:val="00877C3D"/>
    <w:rsid w:val="00882B0F"/>
    <w:rsid w:val="00887E42"/>
    <w:rsid w:val="00895274"/>
    <w:rsid w:val="008A0221"/>
    <w:rsid w:val="008A0456"/>
    <w:rsid w:val="008B7E4C"/>
    <w:rsid w:val="008C2252"/>
    <w:rsid w:val="008E0793"/>
    <w:rsid w:val="008E29BB"/>
    <w:rsid w:val="00907EBA"/>
    <w:rsid w:val="00914FC5"/>
    <w:rsid w:val="00936BE0"/>
    <w:rsid w:val="009418F4"/>
    <w:rsid w:val="009546DC"/>
    <w:rsid w:val="00955CD3"/>
    <w:rsid w:val="00963234"/>
    <w:rsid w:val="009741EB"/>
    <w:rsid w:val="00984BC4"/>
    <w:rsid w:val="00997258"/>
    <w:rsid w:val="009B760E"/>
    <w:rsid w:val="009E7380"/>
    <w:rsid w:val="009F547F"/>
    <w:rsid w:val="00A125B2"/>
    <w:rsid w:val="00A5029E"/>
    <w:rsid w:val="00A74DAA"/>
    <w:rsid w:val="00A85F7E"/>
    <w:rsid w:val="00A8615C"/>
    <w:rsid w:val="00A92425"/>
    <w:rsid w:val="00AA3CA8"/>
    <w:rsid w:val="00AA486B"/>
    <w:rsid w:val="00AA6CE8"/>
    <w:rsid w:val="00AB3324"/>
    <w:rsid w:val="00AC1FA9"/>
    <w:rsid w:val="00AC4E7C"/>
    <w:rsid w:val="00AC7C4F"/>
    <w:rsid w:val="00AD1B0E"/>
    <w:rsid w:val="00AE23AB"/>
    <w:rsid w:val="00B0375C"/>
    <w:rsid w:val="00B05B44"/>
    <w:rsid w:val="00B3726D"/>
    <w:rsid w:val="00B40E89"/>
    <w:rsid w:val="00B414F6"/>
    <w:rsid w:val="00B54D47"/>
    <w:rsid w:val="00B95E70"/>
    <w:rsid w:val="00BA5C09"/>
    <w:rsid w:val="00BB1A0B"/>
    <w:rsid w:val="00BC13BE"/>
    <w:rsid w:val="00BD1EE2"/>
    <w:rsid w:val="00BD3623"/>
    <w:rsid w:val="00BE4D3D"/>
    <w:rsid w:val="00BF2D63"/>
    <w:rsid w:val="00BF7633"/>
    <w:rsid w:val="00C16D7A"/>
    <w:rsid w:val="00C2160D"/>
    <w:rsid w:val="00C21629"/>
    <w:rsid w:val="00C360DD"/>
    <w:rsid w:val="00C416B7"/>
    <w:rsid w:val="00C57454"/>
    <w:rsid w:val="00C6660F"/>
    <w:rsid w:val="00C71F53"/>
    <w:rsid w:val="00C76262"/>
    <w:rsid w:val="00C91DC2"/>
    <w:rsid w:val="00CA2619"/>
    <w:rsid w:val="00CA5F81"/>
    <w:rsid w:val="00CE2181"/>
    <w:rsid w:val="00CF22A9"/>
    <w:rsid w:val="00D01A90"/>
    <w:rsid w:val="00D10030"/>
    <w:rsid w:val="00D14BAF"/>
    <w:rsid w:val="00D27759"/>
    <w:rsid w:val="00D31C94"/>
    <w:rsid w:val="00D43695"/>
    <w:rsid w:val="00D51D30"/>
    <w:rsid w:val="00D568B5"/>
    <w:rsid w:val="00D86E3B"/>
    <w:rsid w:val="00D876EE"/>
    <w:rsid w:val="00D9379D"/>
    <w:rsid w:val="00DA1EA5"/>
    <w:rsid w:val="00DC6FB9"/>
    <w:rsid w:val="00E07012"/>
    <w:rsid w:val="00E14492"/>
    <w:rsid w:val="00E26FA5"/>
    <w:rsid w:val="00E317AE"/>
    <w:rsid w:val="00E33E3F"/>
    <w:rsid w:val="00E561FC"/>
    <w:rsid w:val="00E82C6E"/>
    <w:rsid w:val="00E854DA"/>
    <w:rsid w:val="00E85F5A"/>
    <w:rsid w:val="00EA31FC"/>
    <w:rsid w:val="00EA3BE7"/>
    <w:rsid w:val="00EB17ED"/>
    <w:rsid w:val="00EB3A12"/>
    <w:rsid w:val="00EB602A"/>
    <w:rsid w:val="00EC1D75"/>
    <w:rsid w:val="00EC3359"/>
    <w:rsid w:val="00EC4961"/>
    <w:rsid w:val="00EC7D23"/>
    <w:rsid w:val="00ED2A5B"/>
    <w:rsid w:val="00EE2677"/>
    <w:rsid w:val="00EE5962"/>
    <w:rsid w:val="00F21D20"/>
    <w:rsid w:val="00F24E43"/>
    <w:rsid w:val="00F4670C"/>
    <w:rsid w:val="00F50206"/>
    <w:rsid w:val="00F50D00"/>
    <w:rsid w:val="00F543A3"/>
    <w:rsid w:val="00F61355"/>
    <w:rsid w:val="00F75633"/>
    <w:rsid w:val="00FB2461"/>
    <w:rsid w:val="00FB3F9A"/>
    <w:rsid w:val="00FB7D17"/>
    <w:rsid w:val="00FE27EE"/>
    <w:rsid w:val="00FE4317"/>
    <w:rsid w:val="00FF1D0D"/>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37105"/>
    <w:pPr>
      <w:overflowPunct/>
      <w:autoSpaceDE/>
      <w:autoSpaceDN/>
      <w:adjustRightInd/>
      <w:spacing w:after="100" w:line="259" w:lineRule="auto"/>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8C2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orgios.Meleas@eesc.europa.eu" TargetMode="External"/><Relationship Id="rId18" Type="http://schemas.openxmlformats.org/officeDocument/2006/relationships/hyperlink" Target="https://www.eesc.europa.eu/sl/our-work/opinions-information-reports/opinions/health-and-safety-work-current-and-future-challenges-light-traditional-and-new-technologies-focus-ai" TargetMode="External"/><Relationship Id="rId26" Type="http://schemas.openxmlformats.org/officeDocument/2006/relationships/hyperlink" Target="mailto:GiorgiaAndrea.Bordignon@eesc.europa.eu" TargetMode="External"/><Relationship Id="rId39" Type="http://schemas.openxmlformats.org/officeDocument/2006/relationships/hyperlink" Target="https://www.eesc.europa.eu/sl/our-work/opinions-information-reports/opinions/competitiveness-and-economic-security-how-should-eu-trade-policy-contribute-objectives-draghi-report" TargetMode="External"/><Relationship Id="rId21" Type="http://schemas.openxmlformats.org/officeDocument/2006/relationships/hyperlink" Target="https://www.eesc.europa.eu/sl/our-work/opinions-information-reports/opinions/including-persons-disabilities-development-new-technologies-and-ai-possibilities-challenges-risks-and-opportunities" TargetMode="External"/><Relationship Id="rId34" Type="http://schemas.openxmlformats.org/officeDocument/2006/relationships/hyperlink" Target="mailto:Gaia.Bottoni@eesc.europa.eu" TargetMode="External"/><Relationship Id="rId42" Type="http://schemas.openxmlformats.org/officeDocument/2006/relationships/hyperlink" Target="mailto:Tena.Vukelic@eesc.europa.eu" TargetMode="External"/><Relationship Id="rId47" Type="http://schemas.openxmlformats.org/officeDocument/2006/relationships/hyperlink" Target="https://www.eesc.europa.eu/sl/our-work/opinions-information-reports/opinions/european-liquid-fuels-strategy-sustainable-affordable-and-resilient-low-carbon-transition"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esc.europa.eu/sl/our-work/opinions-information-reports/information-reports/ex-post-evaluation-asylum-migration-and-integration-fund-2014-2020-programming-period" TargetMode="External"/><Relationship Id="rId29" Type="http://schemas.openxmlformats.org/officeDocument/2006/relationships/hyperlink" Target="https://www.eesc.europa.eu/sl/our-work/opinions-information-reports/opinions/application-and-reporting-deadlinescsrd-and-csddd" TargetMode="External"/><Relationship Id="rId11" Type="http://schemas.openxmlformats.org/officeDocument/2006/relationships/footer" Target="footer1.xml"/><Relationship Id="rId24" Type="http://schemas.openxmlformats.org/officeDocument/2006/relationships/hyperlink" Target="mailto:Bartek.Bednarowicz@eesc.europa.eu" TargetMode="External"/><Relationship Id="rId32" Type="http://schemas.openxmlformats.org/officeDocument/2006/relationships/hyperlink" Target="mailto:Myrto.Kolyva@eesc.europa.eu" TargetMode="External"/><Relationship Id="rId37" Type="http://schemas.openxmlformats.org/officeDocument/2006/relationships/hyperlink" Target="https://www.eesc.europa.eu/sl/our-work/opinions-information-reports/opinions/amendment-common-markets-organisation-cmo-regulation-rules-contracts-producer-organisations-and-cooperation-between" TargetMode="External"/><Relationship Id="rId40" Type="http://schemas.openxmlformats.org/officeDocument/2006/relationships/hyperlink" Target="mailto:Marco.Ristori@eesc.europa.eu" TargetMode="External"/><Relationship Id="rId45" Type="http://schemas.openxmlformats.org/officeDocument/2006/relationships/hyperlink" Target="https://www.eesc.europa.eu/sl/our-work/opinions-information-reports/opinions/action-plan-enhancing-cooperation-between-civil-society-organisations-european-union-and-kazakhstan-framework" TargetMode="External"/><Relationship Id="rId53" Type="http://schemas.openxmlformats.org/officeDocument/2006/relationships/header" Target="header3.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mailto:Alessia.Cova@eesc.europa.eu" TargetMode="External"/><Relationship Id="rId4" Type="http://schemas.openxmlformats.org/officeDocument/2006/relationships/settings" Target="settings.xml"/><Relationship Id="rId9" Type="http://schemas.openxmlformats.org/officeDocument/2006/relationships/hyperlink" Target="https://www.eesc.europa.eu/sl/our-work/opinions-information-reports/plenary-session-summaries" TargetMode="External"/><Relationship Id="rId14" Type="http://schemas.openxmlformats.org/officeDocument/2006/relationships/hyperlink" Target="https://www.eesc.europa.eu/sl/our-work/opinions-information-reports/opinions/crises-and-crisis-phenomena-modern-europe-and-civil-society" TargetMode="External"/><Relationship Id="rId22" Type="http://schemas.openxmlformats.org/officeDocument/2006/relationships/hyperlink" Target="mailto:Valeria.Atzori@eesc.europa.eu" TargetMode="External"/><Relationship Id="rId27" Type="http://schemas.openxmlformats.org/officeDocument/2006/relationships/hyperlink" Target="https://www.eesc.europa.eu/sl/our-work/opinions-information-reports/opinions/research-and-training-programme-european-atomic-energy-community-2026-2027" TargetMode="External"/><Relationship Id="rId30" Type="http://schemas.openxmlformats.org/officeDocument/2006/relationships/hyperlink" Target="mailto:Alice.Tetu@eesc.europa.eu" TargetMode="External"/><Relationship Id="rId35" Type="http://schemas.openxmlformats.org/officeDocument/2006/relationships/hyperlink" Target="https://www.eesc.europa.eu/sl/our-work/opinions-information-reports/opinions/new-rules-cross-border-enforcement-against-unfair-trading-practices-0" TargetMode="External"/><Relationship Id="rId43" Type="http://schemas.openxmlformats.org/officeDocument/2006/relationships/hyperlink" Target="https://www.eesc.europa.eu/sl/our-work/opinions-information-reports/opinions/moldova-growth-plan/related-links-rex-595" TargetMode="External"/><Relationship Id="rId48" Type="http://schemas.openxmlformats.org/officeDocument/2006/relationships/hyperlink" Target="mailto:Adam.Dorywalski@eesc.europa.eu"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esc.europa.eu/sl/our-work/opinions-information-reports/information-reports/ex-post-evaluation-european-regional-development-fund-and-cohesion-fund-2014-2020" TargetMode="External"/><Relationship Id="rId17" Type="http://schemas.openxmlformats.org/officeDocument/2006/relationships/hyperlink" Target="mailto:Triin.AasmaaGomes@eesc.europa.eu" TargetMode="External"/><Relationship Id="rId25" Type="http://schemas.openxmlformats.org/officeDocument/2006/relationships/hyperlink" Target="https://www.eesc.europa.eu/sl/our-work/opinions-information-reports/opinions/revision-gas-storage-regulation" TargetMode="External"/><Relationship Id="rId33" Type="http://schemas.openxmlformats.org/officeDocument/2006/relationships/hyperlink" Target="https://www.eesc.europa.eu/sl/our-work/opinions-information-reports/opinions/civil-societys-vision-european-oceans-pact" TargetMode="External"/><Relationship Id="rId38" Type="http://schemas.openxmlformats.org/officeDocument/2006/relationships/hyperlink" Target="mailto:Martine.Delanoy@eesc.europa.eu" TargetMode="External"/><Relationship Id="rId46" Type="http://schemas.openxmlformats.org/officeDocument/2006/relationships/hyperlink" Target="mailto:Daniele.Vitali@eesc.europa.eu" TargetMode="External"/><Relationship Id="rId59" Type="http://schemas.openxmlformats.org/officeDocument/2006/relationships/customXml" Target="../customXml/item3.xml"/><Relationship Id="rId20" Type="http://schemas.openxmlformats.org/officeDocument/2006/relationships/hyperlink" Target="https://www.eesc.europa.eu/sl/our-work/opinions-information-reports/opinions/working-time-efficiency-economy-and-well-being-workers-including-context-digital-change-and-work-automation-legal-and" TargetMode="External"/><Relationship Id="rId41" Type="http://schemas.openxmlformats.org/officeDocument/2006/relationships/hyperlink" Target="https://www.eesc.europa.eu/sl/our-work/opinions-information-reports/opinions/eu-india-strategic-partnership" TargetMode="External"/><Relationship Id="rId54" Type="http://schemas.openxmlformats.org/officeDocument/2006/relationships/footer" Target="footer4.xml"/><Relationship Id="rId6" Type="http://schemas.openxmlformats.org/officeDocument/2006/relationships/footnotes" Target="footnotes.xml"/><Relationship Id="rId15" Type="http://schemas.openxmlformats.org/officeDocument/2006/relationships/hyperlink" Target="mailto:JeanMarie.Rogue@eesc.europa.eu" TargetMode="External"/><Relationship Id="rId23" Type="http://schemas.openxmlformats.org/officeDocument/2006/relationships/hyperlink" Target="https://www.eesc.europa.eu/sl/our-work/opinions-information-reports/opinions/access-social-welfare-self-employed-analysis-limitations-and-scope-improvement" TargetMode="External"/><Relationship Id="rId28" Type="http://schemas.openxmlformats.org/officeDocument/2006/relationships/hyperlink" Target="mailto:Albert.Precup@eesc.europa.eu" TargetMode="External"/><Relationship Id="rId36" Type="http://schemas.openxmlformats.org/officeDocument/2006/relationships/hyperlink" Target="mailto:Myrto.Kolyva@eesc.europa.eu" TargetMode="External"/><Relationship Id="rId49" Type="http://schemas.openxmlformats.org/officeDocument/2006/relationships/header" Target="header1.xml"/><Relationship Id="rId57" Type="http://schemas.openxmlformats.org/officeDocument/2006/relationships/customXml" Target="../customXml/item1.xml"/><Relationship Id="rId10" Type="http://schemas.openxmlformats.org/officeDocument/2006/relationships/hyperlink" Target="https://dmsearch.eesc.europa.eu/search/opinion" TargetMode="External"/><Relationship Id="rId31" Type="http://schemas.openxmlformats.org/officeDocument/2006/relationships/hyperlink" Target="https://www.eesc.europa.eu/sl/our-work/opinions-information-reports/information-reports/evaluation-directive-e-eu-2019633-17-april-2019-unfair-trading-practices-b2b-relationships-agricultural-and-food-supply" TargetMode="External"/><Relationship Id="rId44" Type="http://schemas.openxmlformats.org/officeDocument/2006/relationships/hyperlink" Target="mailto:Katarina.Albrechtova@eesc.europa.eu" TargetMode="External"/><Relationship Id="rId52" Type="http://schemas.openxmlformats.org/officeDocument/2006/relationships/footer" Target="footer3.xm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A6WAAD5KZT2Q-604569563-7482</_dlc_DocId>
    <_dlc_DocIdUrl xmlns="1a33af13-4045-4f88-9d7b-618e30f79918">
      <Url>http://dm/eesc/2025/_layouts/15/DocIdRedir.aspx?ID=A6WAAD5KZT2Q-604569563-7482</Url>
      <Description>A6WAAD5KZT2Q-604569563-7482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cumentVersion xmlns="1a33af13-4045-4f88-9d7b-618e30f79918">1</DocumentVersion>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Turel Metka</DisplayName>
        <AccountId>1536</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D78D7-0FA5-4D3B-A0AB-90EE53AE2C17}"/>
</file>

<file path=customXml/itemProps2.xml><?xml version="1.0" encoding="utf-8"?>
<ds:datastoreItem xmlns:ds="http://schemas.openxmlformats.org/officeDocument/2006/customXml" ds:itemID="{7AB221AB-68E7-4EFF-BF31-0C171887B430}"/>
</file>

<file path=customXml/itemProps3.xml><?xml version="1.0" encoding="utf-8"?>
<ds:datastoreItem xmlns:ds="http://schemas.openxmlformats.org/officeDocument/2006/customXml" ds:itemID="{95CD385C-42BF-45C5-813B-5A74468304B0}"/>
</file>

<file path=customXml/itemProps4.xml><?xml version="1.0" encoding="utf-8"?>
<ds:datastoreItem xmlns:ds="http://schemas.openxmlformats.org/officeDocument/2006/customXml" ds:itemID="{3900ED36-CB37-4DBF-A400-1F2475807516}"/>
</file>

<file path=docProps/app.xml><?xml version="1.0" encoding="utf-8"?>
<Properties xmlns="http://schemas.openxmlformats.org/officeDocument/2006/extended-properties" xmlns:vt="http://schemas.openxmlformats.org/officeDocument/2006/docPropsVTypes">
  <Template>Normal.dotm</Template>
  <TotalTime>0</TotalTime>
  <Pages>22</Pages>
  <Words>7536</Words>
  <Characters>42956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Vzorec Summary of opinions-SL</vt:lpstr>
    </vt:vector>
  </TitlesOfParts>
  <Company>CESE-CdR</Company>
  <LinksUpToDate>false</LinksUpToDate>
  <CharactersWithSpaces>50392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595. plenarnem zasedanju marca 2025</dc:title>
  <dc:subject>TCD</dc:subject>
  <dc:creator>Turel Metka</dc:creator>
  <cp:keywords>EESC-2025-00818-00-01-TCD-TRA-EN</cp:keywords>
  <dc:description>Rapporteur:  - Original language: EN - Date of document: 11/04/2025 - Date of meeting: 30/29/2025 14:30 - External documents:  - Administrator: MME TAMASAUSKIENE Julija</dc:description>
  <cp:lastModifiedBy>Turel Metka</cp:lastModifiedBy>
  <cp:revision>5</cp:revision>
  <cp:lastPrinted>2004-06-08T11:20:00Z</cp:lastPrinted>
  <dcterms:created xsi:type="dcterms:W3CDTF">2025-04-11T06:41:00Z</dcterms:created>
  <dcterms:modified xsi:type="dcterms:W3CDTF">2025-04-11T06:44:00Z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0x010100EA97B91038054C99906057A708A1480A006BB3B767F3CF4149BF520211D4A86BC0</vt:lpwstr>
  </property>
  <property fmtid="{D5CDD505-2E9C-101B-9397-08002B2CF9AE}" pid="3" name="_dlc_DocIdItemGuid">
    <vt:lpwstr>726e97fe-69b0-4c09-aaf2-85182b4022ce</vt:lpwstr>
  </property>
  <property fmtid="{D5CDD505-2E9C-101B-9397-08002B2CF9AE}" pid="4"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5" name="DocumentType_0">
    <vt:lpwstr>TCD|cd9d6eb6-3f4f-424a-b2d1-57c9d450eaaf</vt:lpwstr>
  </property>
  <property fmtid="{D5CDD505-2E9C-101B-9397-08002B2CF9AE}" pid="6" name="MeetingNumber">
    <vt:i4>596</vt:i4>
  </property>
  <property fmtid="{D5CDD505-2E9C-101B-9397-08002B2CF9AE}" pid="7" name="DossierName_0">
    <vt:lpwstr/>
  </property>
  <property fmtid="{D5CDD505-2E9C-101B-9397-08002B2CF9AE}" pid="8" name="DocumentSource_0">
    <vt:lpwstr>EESC|422833ec-8d7e-4e65-8e4e-8bed07ffb729</vt:lpwstr>
  </property>
  <property fmtid="{D5CDD505-2E9C-101B-9397-08002B2CF9AE}" pid="9" name="DocumentNumber">
    <vt:i4>818</vt:i4>
  </property>
  <property fmtid="{D5CDD505-2E9C-101B-9397-08002B2CF9AE}" pid="10" name="DocumentYear">
    <vt:i4>2025</vt:i4>
  </property>
  <property fmtid="{D5CDD505-2E9C-101B-9397-08002B2CF9AE}" pid="11" name="DocumentVersion">
    <vt:i4>1</vt:i4>
  </property>
  <property fmtid="{D5CDD505-2E9C-101B-9397-08002B2CF9AE}" pid="12" name="FicheNumber">
    <vt:i4>3948</vt:i4>
  </property>
  <property fmtid="{D5CDD505-2E9C-101B-9397-08002B2CF9AE}" pid="13" name="DocumentStatus">
    <vt:lpwstr>13;#TRA|150d2a88-1431-44e6-a8ca-0bb753ab8672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19;#TCD|cd9d6eb6-3f4f-424a-b2d1-57c9d450eaaf</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2025-04-29T12:00:00Z</vt:filetime>
  </property>
  <property fmtid="{D5CDD505-2E9C-101B-9397-08002B2CF9AE}" pid="26" name="AvailableTranslations_0">
    <vt:lpwstr>IT|0774613c-01ed-4e5d-a25d-11d2388de825;EN|f2175f21-25d7-44a3-96da-d6a61b075e1b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34;#IT|0774613c-01ed-4e5d-a25d-11d2388de825</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Language">
    <vt:lpwstr>31;#SL|98a412ae-eb01-49e9-ae3d-585a81724cfc</vt:lpwstr>
  </property>
  <property fmtid="{D5CDD505-2E9C-101B-9397-08002B2CF9AE}" pid="33" name="_docset_NoMedatataSyncRequired">
    <vt:lpwstr>False</vt:lpwstr>
  </property>
</Properties>
</file>