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73C8F" w:rsidR="004D7AC0" w:rsidP="004D7AC0" w:rsidRDefault="0081023C" w14:paraId="4982DD4D" w14:textId="4C0DB803">
      <w:pPr>
        <w:jc w:val="center"/>
      </w:pPr>
      <w:r w:rsidRPr="00073C8F">
        <w:drawing>
          <wp:inline distT="0" distB="0" distL="0" distR="0" wp14:anchorId="3C006984" wp14:editId="28547B5F">
            <wp:extent cx="1792605" cy="1239520"/>
            <wp:effectExtent l="0" t="0" r="0" b="0"/>
            <wp:docPr id="1" name="Picture 1" title="EESCLogo_PL"/>
            <wp:cNvGraphicFramePr/>
            <a:graphic xmlns:a="http://schemas.openxmlformats.org/drawingml/2006/main">
              <a:graphicData uri="http://schemas.openxmlformats.org/drawingml/2006/picture">
                <pic:pic xmlns:pic="http://schemas.openxmlformats.org/drawingml/2006/picture">
                  <pic:nvPicPr>
                    <pic:cNvPr id="1" name="Picture 1" title="EESCLogo_P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Pr="00073C8F" w:rsidR="004D7AC0">
        <w:rPr>
          <w:sz w:val="20"/>
        </w:rPr>
        <mc:AlternateContent>
          <mc:Choice Requires="wps">
            <w:drawing>
              <wp:anchor distT="0" distB="0" distL="114300" distR="114300" simplePos="0" relativeHeight="251659264" behindDoc="1" locked="0" layoutInCell="0" allowOverlap="1" wp14:editId="45593663" wp14:anchorId="4982DE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073C8F" w:rsidR="004D7AC0" w:rsidP="004D7AC0" w:rsidRDefault="004D7AC0" w14:paraId="4982DE54" w14:textId="77777777">
                            <w:pPr>
                              <w:jc w:val="center"/>
                              <w:rPr>
                                <w:rFonts w:ascii="Arial" w:hAnsi="Arial" w:cs="Arial"/>
                                <w:b/>
                                <w:bCs/>
                                <w:sz w:val="48"/>
                              </w:rPr>
                            </w:pPr>
                            <w:r w:rsidRPr="00073C8F">
                              <w:rPr>
                                <w:rFonts w:ascii="Arial" w:hAnsi="Arial"/>
                                <w:b/>
                                <w:sz w:val="48"/>
                              </w:rPr>
                              <w:t>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073C8F" w:rsidR="004D7AC0" w:rsidP="004D7AC0" w:rsidRDefault="004D7AC0" w14:paraId="4982DE54" w14:textId="77777777">
                      <w:pPr>
                        <w:jc w:val="center"/>
                        <w:rPr>
                          <w:rFonts w:ascii="Arial" w:hAnsi="Arial" w:cs="Arial"/>
                          <w:b/>
                          <w:bCs/>
                          <w:sz w:val="48"/>
                        </w:rPr>
                      </w:pPr>
                      <w:r w:rsidRPr="00073C8F">
                        <w:rPr>
                          <w:rFonts w:ascii="Arial" w:hAnsi="Arial"/>
                          <w:b/>
                          <w:sz w:val="48"/>
                        </w:rPr>
                        <w:t>PL</w:t>
                      </w:r>
                    </w:p>
                  </w:txbxContent>
                </v:textbox>
                <w10:wrap anchorx="page" anchory="page"/>
              </v:shape>
            </w:pict>
          </mc:Fallback>
        </mc:AlternateContent>
      </w:r>
    </w:p>
    <w:p w:rsidRPr="00073C8F" w:rsidR="004D7AC0" w:rsidP="004D7AC0" w:rsidRDefault="004D7AC0" w14:paraId="4982DD4E" w14:textId="77777777"/>
    <w:p w:rsidRPr="00073C8F" w:rsidR="004D7AC0" w:rsidP="004D7AC0" w:rsidRDefault="004D7AC0" w14:paraId="4982DD4F" w14:textId="16E54E6B">
      <w:pPr>
        <w:jc w:val="right"/>
      </w:pPr>
      <w:r w:rsidRPr="00073C8F">
        <w:t>Bruksela, 11 kwietnia 2025 r.</w:t>
      </w:r>
    </w:p>
    <w:p w:rsidRPr="00073C8F" w:rsidR="004D7AC0" w:rsidP="004D7AC0" w:rsidRDefault="004D7AC0" w14:paraId="4982DD50" w14:textId="77777777"/>
    <w:p w:rsidR="004D7AC0" w:rsidP="004D7AC0" w:rsidRDefault="004D7AC0" w14:paraId="4982DD52" w14:textId="05A50F7C"/>
    <w:p w:rsidR="000A7AB2" w:rsidP="004D7AC0" w:rsidRDefault="000A7AB2" w14:paraId="284FCBDC" w14:textId="5F0BF1A9"/>
    <w:p w:rsidRPr="00073C8F" w:rsidR="000A7AB2" w:rsidP="004D7AC0" w:rsidRDefault="000A7AB2" w14:paraId="6842DA00" w14:textId="77777777"/>
    <w:tbl>
      <w:tblPr>
        <w:tblW w:w="0" w:type="auto"/>
        <w:tblLook w:val="04A0" w:firstRow="1" w:lastRow="0" w:firstColumn="1" w:lastColumn="0" w:noHBand="0" w:noVBand="1"/>
      </w:tblPr>
      <w:tblGrid>
        <w:gridCol w:w="9289"/>
      </w:tblGrid>
      <w:tr w:rsidRPr="00073C8F" w:rsidR="004D7AC0" w:rsidTr="00600C84" w14:paraId="4982DD59" w14:textId="77777777">
        <w:tc>
          <w:tcPr>
            <w:tcW w:w="9289" w:type="dxa"/>
            <w:tcBorders>
              <w:bottom w:val="double" w:color="auto" w:sz="4" w:space="0"/>
            </w:tcBorders>
          </w:tcPr>
          <w:p w:rsidRPr="00073C8F" w:rsidR="003066BE" w:rsidP="00600C84" w:rsidRDefault="0077632F" w14:paraId="4982DD53" w14:textId="3273EB14">
            <w:pPr>
              <w:snapToGrid w:val="0"/>
              <w:jc w:val="center"/>
              <w:rPr>
                <w:b/>
                <w:sz w:val="32"/>
                <w:szCs w:val="32"/>
              </w:rPr>
            </w:pPr>
            <w:r w:rsidRPr="00073C8F">
              <w:rPr>
                <w:b/>
                <w:sz w:val="32"/>
              </w:rPr>
              <w:t>595. SESJA PLENARNA</w:t>
            </w:r>
          </w:p>
          <w:p w:rsidRPr="00073C8F" w:rsidR="003066BE" w:rsidP="00600C84" w:rsidRDefault="003066BE" w14:paraId="4982DD54" w14:textId="77777777">
            <w:pPr>
              <w:snapToGrid w:val="0"/>
              <w:jc w:val="center"/>
              <w:rPr>
                <w:b/>
                <w:sz w:val="32"/>
                <w:szCs w:val="32"/>
              </w:rPr>
            </w:pPr>
          </w:p>
          <w:p w:rsidRPr="00073C8F" w:rsidR="003066BE" w:rsidP="00600C84" w:rsidRDefault="0077632F" w14:paraId="4982DD55" w14:textId="64134870">
            <w:pPr>
              <w:snapToGrid w:val="0"/>
              <w:jc w:val="center"/>
              <w:rPr>
                <w:b/>
                <w:sz w:val="32"/>
                <w:szCs w:val="32"/>
              </w:rPr>
            </w:pPr>
            <w:r w:rsidRPr="00073C8F">
              <w:rPr>
                <w:b/>
                <w:sz w:val="32"/>
              </w:rPr>
              <w:t>26 i 27 marca 2025 r.</w:t>
            </w:r>
          </w:p>
          <w:p w:rsidRPr="00073C8F" w:rsidR="003066BE" w:rsidP="00600C84" w:rsidRDefault="003066BE" w14:paraId="4982DD56" w14:textId="77777777">
            <w:pPr>
              <w:snapToGrid w:val="0"/>
              <w:jc w:val="center"/>
              <w:rPr>
                <w:b/>
                <w:sz w:val="32"/>
                <w:szCs w:val="32"/>
              </w:rPr>
            </w:pPr>
          </w:p>
          <w:p w:rsidRPr="00073C8F" w:rsidR="004D7AC0" w:rsidP="00600C84" w:rsidRDefault="00754027" w14:paraId="4982DD57" w14:textId="17B931F6">
            <w:pPr>
              <w:snapToGrid w:val="0"/>
              <w:jc w:val="center"/>
              <w:rPr>
                <w:rFonts w:eastAsia="MS Mincho"/>
                <w:b/>
                <w:sz w:val="32"/>
                <w:szCs w:val="32"/>
              </w:rPr>
            </w:pPr>
            <w:r w:rsidRPr="00073C8F">
              <w:rPr>
                <w:b/>
                <w:sz w:val="32"/>
              </w:rPr>
              <w:t>STRESZCZENIE PRZYJĘTYCH OPINII, REZOLUCJI</w:t>
            </w:r>
            <w:r w:rsidRPr="00073C8F">
              <w:rPr>
                <w:b/>
                <w:sz w:val="32"/>
              </w:rPr>
              <w:br/>
              <w:t>ORAZ RAPORTÓW INFORMACYJNYCH/</w:t>
            </w:r>
            <w:r w:rsidRPr="00073C8F">
              <w:rPr>
                <w:b/>
                <w:sz w:val="32"/>
              </w:rPr>
              <w:br/>
              <w:t>RAPORTÓW Z OCENY</w:t>
            </w:r>
          </w:p>
          <w:p w:rsidRPr="00073C8F" w:rsidR="004D7AC0" w:rsidP="00600C84" w:rsidRDefault="004D7AC0" w14:paraId="4982DD58" w14:textId="77777777">
            <w:pPr>
              <w:snapToGrid w:val="0"/>
            </w:pPr>
          </w:p>
        </w:tc>
      </w:tr>
      <w:tr w:rsidRPr="00073C8F" w:rsidR="004D7AC0" w:rsidTr="00600C84" w14:paraId="4982DD5F" w14:textId="77777777">
        <w:tc>
          <w:tcPr>
            <w:tcW w:w="9289" w:type="dxa"/>
            <w:tcBorders>
              <w:top w:val="double" w:color="auto" w:sz="4" w:space="0"/>
              <w:left w:val="double" w:color="auto" w:sz="4" w:space="0"/>
              <w:bottom w:val="double" w:color="auto" w:sz="4" w:space="0"/>
              <w:right w:val="double" w:color="auto" w:sz="4" w:space="0"/>
            </w:tcBorders>
          </w:tcPr>
          <w:p w:rsidR="009D4171" w:rsidP="00600C84" w:rsidRDefault="009D4171" w14:paraId="1581F522" w14:textId="77777777">
            <w:pPr>
              <w:snapToGrid w:val="0"/>
              <w:jc w:val="center"/>
            </w:pPr>
          </w:p>
          <w:p w:rsidRPr="00073C8F" w:rsidR="004D7AC0" w:rsidP="00600C84" w:rsidRDefault="004D7AC0" w14:paraId="4982DD5A" w14:textId="7F76D47A">
            <w:pPr>
              <w:snapToGrid w:val="0"/>
              <w:jc w:val="center"/>
            </w:pPr>
            <w:r w:rsidRPr="00073C8F">
              <w:t xml:space="preserve">Niniejszy dokument jest dostępny w językach urzędowych Unii Europejskiej </w:t>
            </w:r>
            <w:r w:rsidR="009D4171">
              <w:br/>
            </w:r>
            <w:r w:rsidRPr="00073C8F">
              <w:t>na stronie internetowej EKES-u pod adresem:</w:t>
            </w:r>
            <w:r w:rsidRPr="00073C8F">
              <w:br/>
            </w:r>
            <w:r w:rsidRPr="00073C8F">
              <w:br/>
            </w:r>
            <w:hyperlink w:history="1" r:id="rId12">
              <w:r w:rsidRPr="00073C8F">
                <w:rPr>
                  <w:rStyle w:val="Hyperlink"/>
                </w:rPr>
                <w:t>https://www.eesc.europa.eu/pl/our-work/opinions-information-reports/plenary-session-summaries</w:t>
              </w:r>
            </w:hyperlink>
          </w:p>
          <w:p w:rsidRPr="00073C8F" w:rsidR="004D7AC0" w:rsidP="00600C84" w:rsidRDefault="004D7AC0" w14:paraId="4982DD5B" w14:textId="77777777">
            <w:pPr>
              <w:snapToGrid w:val="0"/>
              <w:jc w:val="center"/>
            </w:pPr>
          </w:p>
          <w:p w:rsidRPr="00073C8F" w:rsidR="004D7AC0" w:rsidP="00600C84" w:rsidRDefault="004D7AC0" w14:paraId="4982DD5D" w14:textId="46A62481">
            <w:pPr>
              <w:snapToGrid w:val="0"/>
              <w:jc w:val="center"/>
            </w:pPr>
            <w:r w:rsidRPr="00073C8F">
              <w:t xml:space="preserve">Niżej wymienione opinie można także znaleźć w formie elektronicznej </w:t>
            </w:r>
            <w:r w:rsidR="009D4171">
              <w:br/>
            </w:r>
            <w:r w:rsidRPr="00073C8F">
              <w:t>za pomocą internetowej wyszukiwarki EKES-u:</w:t>
            </w:r>
            <w:r w:rsidRPr="00073C8F">
              <w:br/>
            </w:r>
            <w:r w:rsidRPr="00073C8F">
              <w:br/>
            </w:r>
            <w:hyperlink w:history="1" r:id="rId13">
              <w:r w:rsidRPr="00073C8F">
                <w:rPr>
                  <w:rStyle w:val="Hyperlink"/>
                </w:rPr>
                <w:t>https://dmsearch.eesc.europa.eu/search/opinion</w:t>
              </w:r>
            </w:hyperlink>
          </w:p>
          <w:p w:rsidRPr="00073C8F" w:rsidR="004D7AC0" w:rsidP="00600C84" w:rsidRDefault="004D7AC0" w14:paraId="4982DD5E" w14:textId="77777777">
            <w:pPr>
              <w:snapToGrid w:val="0"/>
              <w:jc w:val="center"/>
            </w:pPr>
          </w:p>
        </w:tc>
      </w:tr>
    </w:tbl>
    <w:p w:rsidRPr="00073C8F" w:rsidR="004D7AC0" w:rsidP="004D7AC0" w:rsidRDefault="004D7AC0" w14:paraId="4982DD61" w14:textId="77777777"/>
    <w:p w:rsidRPr="00073C8F" w:rsidR="004D7AC0" w:rsidP="004D7AC0" w:rsidRDefault="004D7AC0" w14:paraId="4982DD62" w14:textId="77777777">
      <w:pPr>
        <w:sectPr w:rsidRPr="00073C8F" w:rsidR="004D7AC0" w:rsidSect="00073C8F">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073C8F" w:rsidR="004D7AC0" w:rsidP="004D7AC0" w:rsidRDefault="004D7AC0" w14:paraId="4982DD63" w14:textId="77777777">
      <w:pPr>
        <w:rPr>
          <w:b/>
        </w:rPr>
      </w:pPr>
      <w:r w:rsidRPr="00073C8F">
        <w:rPr>
          <w:b/>
        </w:rPr>
        <w:lastRenderedPageBreak/>
        <w:t>Spis treści:</w:t>
      </w:r>
    </w:p>
    <w:sdt>
      <w:sdtPr>
        <w:rPr>
          <w:rFonts w:ascii="Times New Roman" w:hAnsi="Times New Roman" w:eastAsia="Times New Roman" w:cs="Times New Roman"/>
          <w:color w:val="auto"/>
          <w:sz w:val="22"/>
          <w:szCs w:val="22"/>
        </w:rPr>
        <w:id w:val="-17007477"/>
        <w:docPartObj>
          <w:docPartGallery w:val="Table of Contents"/>
          <w:docPartUnique/>
        </w:docPartObj>
      </w:sdtPr>
      <w:sdtEndPr>
        <w:rPr>
          <w:b/>
          <w:bCs/>
        </w:rPr>
      </w:sdtEndPr>
      <w:sdtContent>
        <w:p w:rsidRPr="00073C8F" w:rsidR="004D7AC0" w:rsidP="00073C8F" w:rsidRDefault="004D7AC0" w14:paraId="4982DD64" w14:textId="77777777">
          <w:pPr>
            <w:pStyle w:val="TOCHeading"/>
            <w:spacing w:before="0"/>
            <w:rPr>
              <w:rFonts w:ascii="Times New Roman" w:hAnsi="Times New Roman" w:cs="Times New Roman"/>
              <w:color w:val="auto"/>
              <w:sz w:val="22"/>
              <w:szCs w:val="22"/>
            </w:rPr>
          </w:pPr>
        </w:p>
        <w:p w:rsidR="00BD69E6" w:rsidP="009E092A" w:rsidRDefault="004D7AC0" w14:paraId="699DD252" w14:textId="0A3A722B">
          <w:pPr>
            <w:pStyle w:val="TOC1"/>
            <w:tabs>
              <w:tab w:val="right" w:leader="dot" w:pos="9063"/>
            </w:tabs>
            <w:ind w:left="567" w:hanging="567"/>
            <w:rPr>
              <w:rFonts w:asciiTheme="minorHAnsi" w:hAnsiTheme="minorHAnsi" w:eastAsiaTheme="minorEastAsia" w:cstheme="minorBidi"/>
              <w:noProof/>
              <w:lang w:val="en-US"/>
            </w:rPr>
          </w:pPr>
          <w:r w:rsidRPr="00073C8F">
            <w:fldChar w:fldCharType="begin"/>
          </w:r>
          <w:r w:rsidRPr="00073C8F">
            <w:instrText xml:space="preserve"> TOC \o "1-3" \h \z \u </w:instrText>
          </w:r>
          <w:r w:rsidRPr="00073C8F">
            <w:fldChar w:fldCharType="separate"/>
          </w:r>
          <w:hyperlink w:history="1" w:anchor="_Toc195264685">
            <w:r w:rsidRPr="00EA3B84" w:rsidR="00BD69E6">
              <w:rPr>
                <w:rStyle w:val="Hyperlink"/>
                <w:b/>
                <w:noProof/>
              </w:rPr>
              <w:t>1.</w:t>
            </w:r>
            <w:r w:rsidR="00BD69E6">
              <w:rPr>
                <w:rFonts w:asciiTheme="minorHAnsi" w:hAnsiTheme="minorHAnsi" w:eastAsiaTheme="minorEastAsia" w:cstheme="minorBidi"/>
                <w:noProof/>
                <w:lang w:val="en-US"/>
              </w:rPr>
              <w:tab/>
            </w:r>
            <w:r w:rsidRPr="00EA3B84" w:rsidR="00BD69E6">
              <w:rPr>
                <w:rStyle w:val="Hyperlink"/>
                <w:b/>
                <w:noProof/>
              </w:rPr>
              <w:t>UNIA GOSPODARCZA I WALUTOWA ORAZ SPÓJNOŚĆ GOSPODARCZA I SPOŁECZNA</w:t>
            </w:r>
            <w:r w:rsidR="00BD69E6">
              <w:rPr>
                <w:noProof/>
                <w:webHidden/>
              </w:rPr>
              <w:tab/>
            </w:r>
            <w:r w:rsidR="00BD69E6">
              <w:rPr>
                <w:noProof/>
                <w:webHidden/>
              </w:rPr>
              <w:fldChar w:fldCharType="begin"/>
            </w:r>
            <w:r w:rsidR="00BD69E6">
              <w:rPr>
                <w:noProof/>
                <w:webHidden/>
              </w:rPr>
              <w:instrText xml:space="preserve"> PAGEREF _Toc195264685 \h </w:instrText>
            </w:r>
            <w:r w:rsidR="00BD69E6">
              <w:rPr>
                <w:noProof/>
                <w:webHidden/>
              </w:rPr>
            </w:r>
            <w:r w:rsidR="00BD69E6">
              <w:rPr>
                <w:noProof/>
                <w:webHidden/>
              </w:rPr>
              <w:fldChar w:fldCharType="separate"/>
            </w:r>
            <w:r w:rsidR="00BD69E6">
              <w:rPr>
                <w:noProof/>
                <w:webHidden/>
              </w:rPr>
              <w:t>3</w:t>
            </w:r>
            <w:r w:rsidR="00BD69E6">
              <w:rPr>
                <w:noProof/>
                <w:webHidden/>
              </w:rPr>
              <w:fldChar w:fldCharType="end"/>
            </w:r>
          </w:hyperlink>
        </w:p>
        <w:p w:rsidR="00BD69E6" w:rsidP="009E092A" w:rsidRDefault="00BD69E6" w14:paraId="669A8288" w14:textId="061C59E6">
          <w:pPr>
            <w:pStyle w:val="TOC1"/>
            <w:tabs>
              <w:tab w:val="right" w:leader="dot" w:pos="9063"/>
            </w:tabs>
            <w:ind w:left="567" w:hanging="567"/>
            <w:rPr>
              <w:rFonts w:asciiTheme="minorHAnsi" w:hAnsiTheme="minorHAnsi" w:eastAsiaTheme="minorEastAsia" w:cstheme="minorBidi"/>
              <w:noProof/>
              <w:lang w:val="en-US"/>
            </w:rPr>
          </w:pPr>
          <w:hyperlink w:history="1" w:anchor="_Toc195264686">
            <w:r w:rsidRPr="00EA3B84">
              <w:rPr>
                <w:rStyle w:val="Hyperlink"/>
                <w:b/>
                <w:noProof/>
              </w:rPr>
              <w:t>2.</w:t>
            </w:r>
            <w:r>
              <w:rPr>
                <w:rFonts w:asciiTheme="minorHAnsi" w:hAnsiTheme="minorHAnsi" w:eastAsiaTheme="minorEastAsia" w:cstheme="minorBidi"/>
                <w:noProof/>
                <w:lang w:val="en-US"/>
              </w:rPr>
              <w:tab/>
            </w:r>
            <w:r w:rsidRPr="00EA3B84">
              <w:rPr>
                <w:rStyle w:val="Hyperlink"/>
                <w:b/>
                <w:noProof/>
              </w:rPr>
              <w:t>ZATRUDNIENIE, SPRAWY SPOŁECZNE I OBYWATELSTWO</w:t>
            </w:r>
            <w:r>
              <w:rPr>
                <w:noProof/>
                <w:webHidden/>
              </w:rPr>
              <w:tab/>
            </w:r>
            <w:r>
              <w:rPr>
                <w:noProof/>
                <w:webHidden/>
              </w:rPr>
              <w:fldChar w:fldCharType="begin"/>
            </w:r>
            <w:r>
              <w:rPr>
                <w:noProof/>
                <w:webHidden/>
              </w:rPr>
              <w:instrText xml:space="preserve"> PAGEREF _Toc195264686 \h </w:instrText>
            </w:r>
            <w:r>
              <w:rPr>
                <w:noProof/>
                <w:webHidden/>
              </w:rPr>
            </w:r>
            <w:r>
              <w:rPr>
                <w:noProof/>
                <w:webHidden/>
              </w:rPr>
              <w:fldChar w:fldCharType="separate"/>
            </w:r>
            <w:r>
              <w:rPr>
                <w:noProof/>
                <w:webHidden/>
              </w:rPr>
              <w:t>5</w:t>
            </w:r>
            <w:r>
              <w:rPr>
                <w:noProof/>
                <w:webHidden/>
              </w:rPr>
              <w:fldChar w:fldCharType="end"/>
            </w:r>
          </w:hyperlink>
        </w:p>
        <w:p w:rsidR="00BD69E6" w:rsidP="009E092A" w:rsidRDefault="00BD69E6" w14:paraId="508E8714" w14:textId="6E804DCB">
          <w:pPr>
            <w:pStyle w:val="TOC1"/>
            <w:tabs>
              <w:tab w:val="right" w:leader="dot" w:pos="9063"/>
            </w:tabs>
            <w:ind w:left="567" w:hanging="567"/>
            <w:rPr>
              <w:rFonts w:asciiTheme="minorHAnsi" w:hAnsiTheme="minorHAnsi" w:eastAsiaTheme="minorEastAsia" w:cstheme="minorBidi"/>
              <w:noProof/>
              <w:lang w:val="en-US"/>
            </w:rPr>
          </w:pPr>
          <w:hyperlink w:history="1" w:anchor="_Toc195264687">
            <w:r w:rsidRPr="00EA3B84">
              <w:rPr>
                <w:rStyle w:val="Hyperlink"/>
                <w:b/>
                <w:noProof/>
              </w:rPr>
              <w:t>3.</w:t>
            </w:r>
            <w:r>
              <w:rPr>
                <w:rFonts w:asciiTheme="minorHAnsi" w:hAnsiTheme="minorHAnsi" w:eastAsiaTheme="minorEastAsia" w:cstheme="minorBidi"/>
                <w:noProof/>
                <w:lang w:val="en-US"/>
              </w:rPr>
              <w:tab/>
            </w:r>
            <w:r w:rsidRPr="00EA3B84">
              <w:rPr>
                <w:rStyle w:val="Hyperlink"/>
                <w:b/>
                <w:noProof/>
              </w:rPr>
              <w:t>TRANSPORT, ENERGIA, INFRASTRUKTURA I SPOŁECZEŃSTWO INFORMACYJNE</w:t>
            </w:r>
            <w:r>
              <w:rPr>
                <w:noProof/>
                <w:webHidden/>
              </w:rPr>
              <w:tab/>
            </w:r>
            <w:r>
              <w:rPr>
                <w:noProof/>
                <w:webHidden/>
              </w:rPr>
              <w:fldChar w:fldCharType="begin"/>
            </w:r>
            <w:r>
              <w:rPr>
                <w:noProof/>
                <w:webHidden/>
              </w:rPr>
              <w:instrText xml:space="preserve"> PAGEREF _Toc195264687 \h </w:instrText>
            </w:r>
            <w:r>
              <w:rPr>
                <w:noProof/>
                <w:webHidden/>
              </w:rPr>
            </w:r>
            <w:r>
              <w:rPr>
                <w:noProof/>
                <w:webHidden/>
              </w:rPr>
              <w:fldChar w:fldCharType="separate"/>
            </w:r>
            <w:r>
              <w:rPr>
                <w:noProof/>
                <w:webHidden/>
              </w:rPr>
              <w:t>14</w:t>
            </w:r>
            <w:r>
              <w:rPr>
                <w:noProof/>
                <w:webHidden/>
              </w:rPr>
              <w:fldChar w:fldCharType="end"/>
            </w:r>
          </w:hyperlink>
        </w:p>
        <w:p w:rsidR="00BD69E6" w:rsidP="009E092A" w:rsidRDefault="00BD69E6" w14:paraId="06E0E4C8" w14:textId="06B60E31">
          <w:pPr>
            <w:pStyle w:val="TOC1"/>
            <w:tabs>
              <w:tab w:val="right" w:leader="dot" w:pos="9063"/>
            </w:tabs>
            <w:ind w:left="567" w:hanging="567"/>
            <w:rPr>
              <w:rFonts w:asciiTheme="minorHAnsi" w:hAnsiTheme="minorHAnsi" w:eastAsiaTheme="minorEastAsia" w:cstheme="minorBidi"/>
              <w:noProof/>
              <w:lang w:val="en-US"/>
            </w:rPr>
          </w:pPr>
          <w:hyperlink w:history="1" w:anchor="_Toc195264688">
            <w:r w:rsidRPr="00EA3B84">
              <w:rPr>
                <w:rStyle w:val="Hyperlink"/>
                <w:b/>
                <w:noProof/>
              </w:rPr>
              <w:t>4.</w:t>
            </w:r>
            <w:r>
              <w:rPr>
                <w:rFonts w:asciiTheme="minorHAnsi" w:hAnsiTheme="minorHAnsi" w:eastAsiaTheme="minorEastAsia" w:cstheme="minorBidi"/>
                <w:noProof/>
                <w:lang w:val="en-US"/>
              </w:rPr>
              <w:tab/>
            </w:r>
            <w:r w:rsidRPr="00EA3B84">
              <w:rPr>
                <w:rStyle w:val="Hyperlink"/>
                <w:b/>
                <w:noProof/>
              </w:rPr>
              <w:t>JEDNOLITY RYNEK, PRODUKCJA I KONSUMPCJA</w:t>
            </w:r>
            <w:r>
              <w:rPr>
                <w:noProof/>
                <w:webHidden/>
              </w:rPr>
              <w:tab/>
            </w:r>
            <w:r>
              <w:rPr>
                <w:noProof/>
                <w:webHidden/>
              </w:rPr>
              <w:fldChar w:fldCharType="begin"/>
            </w:r>
            <w:r>
              <w:rPr>
                <w:noProof/>
                <w:webHidden/>
              </w:rPr>
              <w:instrText xml:space="preserve"> PAGEREF _Toc195264688 \h </w:instrText>
            </w:r>
            <w:r>
              <w:rPr>
                <w:noProof/>
                <w:webHidden/>
              </w:rPr>
            </w:r>
            <w:r>
              <w:rPr>
                <w:noProof/>
                <w:webHidden/>
              </w:rPr>
              <w:fldChar w:fldCharType="separate"/>
            </w:r>
            <w:r>
              <w:rPr>
                <w:noProof/>
                <w:webHidden/>
              </w:rPr>
              <w:t>16</w:t>
            </w:r>
            <w:r>
              <w:rPr>
                <w:noProof/>
                <w:webHidden/>
              </w:rPr>
              <w:fldChar w:fldCharType="end"/>
            </w:r>
          </w:hyperlink>
        </w:p>
        <w:p w:rsidR="00BD69E6" w:rsidP="009E092A" w:rsidRDefault="00BD69E6" w14:paraId="7CB59050" w14:textId="0E923F83">
          <w:pPr>
            <w:pStyle w:val="TOC1"/>
            <w:tabs>
              <w:tab w:val="right" w:leader="dot" w:pos="9063"/>
            </w:tabs>
            <w:ind w:left="567" w:hanging="567"/>
            <w:rPr>
              <w:rFonts w:asciiTheme="minorHAnsi" w:hAnsiTheme="minorHAnsi" w:eastAsiaTheme="minorEastAsia" w:cstheme="minorBidi"/>
              <w:noProof/>
              <w:lang w:val="en-US"/>
            </w:rPr>
          </w:pPr>
          <w:hyperlink w:history="1" w:anchor="_Toc195264689">
            <w:r w:rsidRPr="00EA3B84">
              <w:rPr>
                <w:rStyle w:val="Hyperlink"/>
                <w:b/>
                <w:noProof/>
              </w:rPr>
              <w:t>5.</w:t>
            </w:r>
            <w:r>
              <w:rPr>
                <w:rFonts w:asciiTheme="minorHAnsi" w:hAnsiTheme="minorHAnsi" w:eastAsiaTheme="minorEastAsia" w:cstheme="minorBidi"/>
                <w:noProof/>
                <w:lang w:val="en-US"/>
              </w:rPr>
              <w:tab/>
            </w:r>
            <w:r w:rsidRPr="00EA3B84">
              <w:rPr>
                <w:rStyle w:val="Hyperlink"/>
                <w:b/>
                <w:noProof/>
              </w:rPr>
              <w:t>ROLNICTWO, ROZWÓJ WSI I ŚRODOWISKO NATURALNE</w:t>
            </w:r>
            <w:r>
              <w:rPr>
                <w:noProof/>
                <w:webHidden/>
              </w:rPr>
              <w:tab/>
            </w:r>
            <w:r>
              <w:rPr>
                <w:noProof/>
                <w:webHidden/>
              </w:rPr>
              <w:fldChar w:fldCharType="begin"/>
            </w:r>
            <w:r>
              <w:rPr>
                <w:noProof/>
                <w:webHidden/>
              </w:rPr>
              <w:instrText xml:space="preserve"> PAGEREF _Toc195264689 \h </w:instrText>
            </w:r>
            <w:r>
              <w:rPr>
                <w:noProof/>
                <w:webHidden/>
              </w:rPr>
            </w:r>
            <w:r>
              <w:rPr>
                <w:noProof/>
                <w:webHidden/>
              </w:rPr>
              <w:fldChar w:fldCharType="separate"/>
            </w:r>
            <w:r>
              <w:rPr>
                <w:noProof/>
                <w:webHidden/>
              </w:rPr>
              <w:t>17</w:t>
            </w:r>
            <w:r>
              <w:rPr>
                <w:noProof/>
                <w:webHidden/>
              </w:rPr>
              <w:fldChar w:fldCharType="end"/>
            </w:r>
          </w:hyperlink>
        </w:p>
        <w:p w:rsidR="00BD69E6" w:rsidP="009E092A" w:rsidRDefault="00BD69E6" w14:paraId="5C6E4E16" w14:textId="2127BAB9">
          <w:pPr>
            <w:pStyle w:val="TOC1"/>
            <w:tabs>
              <w:tab w:val="right" w:leader="dot" w:pos="9063"/>
            </w:tabs>
            <w:ind w:left="567" w:hanging="567"/>
            <w:rPr>
              <w:rFonts w:asciiTheme="minorHAnsi" w:hAnsiTheme="minorHAnsi" w:eastAsiaTheme="minorEastAsia" w:cstheme="minorBidi"/>
              <w:noProof/>
              <w:lang w:val="en-US"/>
            </w:rPr>
          </w:pPr>
          <w:hyperlink w:history="1" w:anchor="_Toc195264690">
            <w:r w:rsidRPr="00EA3B84">
              <w:rPr>
                <w:rStyle w:val="Hyperlink"/>
                <w:b/>
                <w:noProof/>
              </w:rPr>
              <w:t>6.</w:t>
            </w:r>
            <w:r>
              <w:rPr>
                <w:rFonts w:asciiTheme="minorHAnsi" w:hAnsiTheme="minorHAnsi" w:eastAsiaTheme="minorEastAsia" w:cstheme="minorBidi"/>
                <w:noProof/>
                <w:lang w:val="en-US"/>
              </w:rPr>
              <w:tab/>
            </w:r>
            <w:r w:rsidRPr="00EA3B84">
              <w:rPr>
                <w:rStyle w:val="Hyperlink"/>
                <w:b/>
                <w:noProof/>
              </w:rPr>
              <w:t>STOSUNKI ZEWNĘTRZNE</w:t>
            </w:r>
            <w:r>
              <w:rPr>
                <w:noProof/>
                <w:webHidden/>
              </w:rPr>
              <w:tab/>
            </w:r>
            <w:r>
              <w:rPr>
                <w:noProof/>
                <w:webHidden/>
              </w:rPr>
              <w:fldChar w:fldCharType="begin"/>
            </w:r>
            <w:r>
              <w:rPr>
                <w:noProof/>
                <w:webHidden/>
              </w:rPr>
              <w:instrText xml:space="preserve"> PAGEREF _Toc195264690 \h </w:instrText>
            </w:r>
            <w:r>
              <w:rPr>
                <w:noProof/>
                <w:webHidden/>
              </w:rPr>
            </w:r>
            <w:r>
              <w:rPr>
                <w:noProof/>
                <w:webHidden/>
              </w:rPr>
              <w:fldChar w:fldCharType="separate"/>
            </w:r>
            <w:r>
              <w:rPr>
                <w:noProof/>
                <w:webHidden/>
              </w:rPr>
              <w:t>25</w:t>
            </w:r>
            <w:r>
              <w:rPr>
                <w:noProof/>
                <w:webHidden/>
              </w:rPr>
              <w:fldChar w:fldCharType="end"/>
            </w:r>
          </w:hyperlink>
        </w:p>
        <w:p w:rsidR="00BD69E6" w:rsidP="009E092A" w:rsidRDefault="00BD69E6" w14:paraId="0EB69A1B" w14:textId="3412A191">
          <w:pPr>
            <w:pStyle w:val="TOC1"/>
            <w:tabs>
              <w:tab w:val="right" w:leader="dot" w:pos="9063"/>
            </w:tabs>
            <w:ind w:left="567" w:hanging="567"/>
            <w:rPr>
              <w:rFonts w:asciiTheme="minorHAnsi" w:hAnsiTheme="minorHAnsi" w:eastAsiaTheme="minorEastAsia" w:cstheme="minorBidi"/>
              <w:noProof/>
              <w:lang w:val="en-US"/>
            </w:rPr>
          </w:pPr>
          <w:hyperlink w:history="1" w:anchor="_Toc195264691">
            <w:r w:rsidRPr="00EA3B84">
              <w:rPr>
                <w:rStyle w:val="Hyperlink"/>
                <w:b/>
                <w:noProof/>
              </w:rPr>
              <w:t>7.</w:t>
            </w:r>
            <w:r>
              <w:rPr>
                <w:rFonts w:asciiTheme="minorHAnsi" w:hAnsiTheme="minorHAnsi" w:eastAsiaTheme="minorEastAsia" w:cstheme="minorBidi"/>
                <w:noProof/>
                <w:lang w:val="en-US"/>
              </w:rPr>
              <w:tab/>
            </w:r>
            <w:r w:rsidRPr="00EA3B84">
              <w:rPr>
                <w:rStyle w:val="Hyperlink"/>
                <w:b/>
                <w:noProof/>
              </w:rPr>
              <w:t>KOMISJA KONSULTACYJNA DS. PRZEMIAN W PRZEMYŚLE</w:t>
            </w:r>
            <w:r>
              <w:rPr>
                <w:noProof/>
                <w:webHidden/>
              </w:rPr>
              <w:tab/>
            </w:r>
            <w:r>
              <w:rPr>
                <w:noProof/>
                <w:webHidden/>
              </w:rPr>
              <w:fldChar w:fldCharType="begin"/>
            </w:r>
            <w:r>
              <w:rPr>
                <w:noProof/>
                <w:webHidden/>
              </w:rPr>
              <w:instrText xml:space="preserve"> PAGEREF _Toc195264691 \h </w:instrText>
            </w:r>
            <w:r>
              <w:rPr>
                <w:noProof/>
                <w:webHidden/>
              </w:rPr>
            </w:r>
            <w:r>
              <w:rPr>
                <w:noProof/>
                <w:webHidden/>
              </w:rPr>
              <w:fldChar w:fldCharType="separate"/>
            </w:r>
            <w:r>
              <w:rPr>
                <w:noProof/>
                <w:webHidden/>
              </w:rPr>
              <w:t>32</w:t>
            </w:r>
            <w:r>
              <w:rPr>
                <w:noProof/>
                <w:webHidden/>
              </w:rPr>
              <w:fldChar w:fldCharType="end"/>
            </w:r>
          </w:hyperlink>
        </w:p>
        <w:p w:rsidRPr="00073C8F" w:rsidR="004D7AC0" w:rsidP="004D7AC0" w:rsidRDefault="004D7AC0" w14:paraId="4982DD6A" w14:textId="0E42B7CE">
          <w:r w:rsidRPr="00073C8F">
            <w:rPr>
              <w:b/>
            </w:rPr>
            <w:fldChar w:fldCharType="end"/>
          </w:r>
        </w:p>
      </w:sdtContent>
    </w:sdt>
    <w:p w:rsidRPr="00073C8F" w:rsidR="004D7AC0" w:rsidP="00073C8F" w:rsidRDefault="004D7AC0" w14:paraId="4982DD6C" w14:textId="77777777">
      <w:pPr>
        <w:spacing w:line="259" w:lineRule="auto"/>
        <w:jc w:val="left"/>
      </w:pPr>
      <w:r w:rsidRPr="00073C8F">
        <w:br w:type="page"/>
      </w:r>
    </w:p>
    <w:p w:rsidRPr="00073C8F" w:rsidR="004D7AC0" w:rsidP="00241CB3" w:rsidRDefault="004D7AC0" w14:paraId="4982DD6D" w14:textId="5AA26600">
      <w:pPr>
        <w:pStyle w:val="Heading1"/>
        <w:suppressAutoHyphens/>
        <w:rPr>
          <w:b/>
        </w:rPr>
      </w:pPr>
      <w:bookmarkStart w:name="_Toc195264685" w:id="0"/>
      <w:r w:rsidRPr="00073C8F">
        <w:rPr>
          <w:b/>
        </w:rPr>
        <w:lastRenderedPageBreak/>
        <w:t>UNIA GOSPODARCZA I WALUTOWA ORAZ SPÓJNOŚĆ GOSPODARCZA I</w:t>
      </w:r>
      <w:r w:rsidR="000A7AB2">
        <w:rPr>
          <w:b/>
        </w:rPr>
        <w:t> </w:t>
      </w:r>
      <w:r w:rsidRPr="00073C8F">
        <w:rPr>
          <w:b/>
        </w:rPr>
        <w:t>SPOŁECZNA</w:t>
      </w:r>
      <w:bookmarkEnd w:id="0"/>
    </w:p>
    <w:p w:rsidRPr="00073C8F" w:rsidR="004D7AC0" w:rsidP="00241CB3" w:rsidRDefault="004D7AC0" w14:paraId="4982DD6E" w14:textId="77777777">
      <w:pPr>
        <w:suppressAutoHyphens/>
      </w:pPr>
    </w:p>
    <w:p w:rsidRPr="00596171" w:rsidR="00EE64B2" w:rsidP="00073C8F" w:rsidRDefault="00A46594" w14:paraId="495108B1" w14:textId="18CECE50">
      <w:pPr>
        <w:numPr>
          <w:ilvl w:val="0"/>
          <w:numId w:val="4"/>
        </w:numPr>
        <w:suppressAutoHyphens/>
        <w:overflowPunct w:val="0"/>
        <w:autoSpaceDE w:val="0"/>
        <w:autoSpaceDN w:val="0"/>
        <w:adjustRightInd w:val="0"/>
        <w:ind w:hanging="567"/>
        <w:textAlignment w:val="baseline"/>
        <w:rPr>
          <w:b/>
          <w:i/>
          <w:iCs/>
          <w:sz w:val="28"/>
          <w:szCs w:val="28"/>
        </w:rPr>
      </w:pPr>
      <w:hyperlink w:history="1" r:id="rId20">
        <w:r w:rsidRPr="00073C8F" w:rsidR="0081023C">
          <w:rPr>
            <w:b/>
            <w:i/>
            <w:color w:val="0000FF"/>
            <w:sz w:val="28"/>
            <w:szCs w:val="28"/>
            <w:u w:val="single"/>
          </w:rPr>
          <w:t>Ocena ex post Europejskiego Funduszu Rozwoju Regionalnego i</w:t>
        </w:r>
        <w:r w:rsidR="000A7AB2">
          <w:rPr>
            <w:b/>
            <w:i/>
            <w:color w:val="0000FF"/>
            <w:sz w:val="28"/>
            <w:szCs w:val="28"/>
            <w:u w:val="single"/>
          </w:rPr>
          <w:t> </w:t>
        </w:r>
        <w:r w:rsidRPr="00073C8F" w:rsidR="0081023C">
          <w:rPr>
            <w:b/>
            <w:i/>
            <w:color w:val="0000FF"/>
            <w:sz w:val="28"/>
            <w:szCs w:val="28"/>
            <w:u w:val="single"/>
          </w:rPr>
          <w:t>Funduszu Spójności w latach 2014–2020</w:t>
        </w:r>
      </w:hyperlink>
    </w:p>
    <w:p w:rsidRPr="00596171" w:rsidR="00596171" w:rsidP="00596171" w:rsidRDefault="00596171" w14:paraId="00EAE11F" w14:textId="77777777">
      <w:pPr>
        <w:suppressAutoHyphens/>
        <w:overflowPunct w:val="0"/>
        <w:autoSpaceDE w:val="0"/>
        <w:autoSpaceDN w:val="0"/>
        <w:adjustRightInd w:val="0"/>
        <w:textAlignment w:val="baseline"/>
        <w:rPr>
          <w:bCs/>
          <w:i/>
          <w:iCs/>
        </w:rPr>
      </w:pPr>
    </w:p>
    <w:tbl>
      <w:tblPr>
        <w:tblW w:w="5000" w:type="pct"/>
        <w:tblLook w:val="04A0" w:firstRow="1" w:lastRow="0" w:firstColumn="1" w:lastColumn="0" w:noHBand="0" w:noVBand="1"/>
      </w:tblPr>
      <w:tblGrid>
        <w:gridCol w:w="1915"/>
        <w:gridCol w:w="7374"/>
      </w:tblGrid>
      <w:tr w:rsidRPr="00073C8F" w:rsidR="00EE64B2" w:rsidTr="00596171" w14:paraId="7D0D6DD1" w14:textId="77777777">
        <w:tc>
          <w:tcPr>
            <w:tcW w:w="1027" w:type="pct"/>
          </w:tcPr>
          <w:p w:rsidRPr="00073C8F" w:rsidR="00EE64B2" w:rsidP="00241CB3" w:rsidRDefault="00EE64B2" w14:paraId="44C756C0" w14:textId="77777777">
            <w:pPr>
              <w:tabs>
                <w:tab w:val="center" w:pos="284"/>
              </w:tabs>
              <w:suppressAutoHyphens/>
              <w:overflowPunct w:val="0"/>
              <w:autoSpaceDE w:val="0"/>
              <w:autoSpaceDN w:val="0"/>
              <w:adjustRightInd w:val="0"/>
              <w:ind w:left="266" w:hanging="266"/>
              <w:textAlignment w:val="baseline"/>
              <w:rPr>
                <w:b/>
              </w:rPr>
            </w:pPr>
            <w:r w:rsidRPr="00073C8F">
              <w:rPr>
                <w:b/>
              </w:rPr>
              <w:t>Sprawozdawczyni</w:t>
            </w:r>
          </w:p>
        </w:tc>
        <w:tc>
          <w:tcPr>
            <w:tcW w:w="3973" w:type="pct"/>
          </w:tcPr>
          <w:p w:rsidRPr="00073C8F" w:rsidR="00EE64B2" w:rsidP="00241CB3" w:rsidRDefault="00EE64B2" w14:paraId="3E805217" w14:textId="2BE951CC">
            <w:pPr>
              <w:tabs>
                <w:tab w:val="center" w:pos="284"/>
              </w:tabs>
              <w:suppressAutoHyphens/>
              <w:overflowPunct w:val="0"/>
              <w:autoSpaceDE w:val="0"/>
              <w:autoSpaceDN w:val="0"/>
              <w:adjustRightInd w:val="0"/>
              <w:ind w:left="266" w:hanging="266"/>
              <w:textAlignment w:val="baseline"/>
            </w:pPr>
            <w:r w:rsidRPr="00073C8F">
              <w:t>Maria del Carmen BARRERA CHAMORRO (Grupa Pracowników – ES)</w:t>
            </w:r>
          </w:p>
          <w:p w:rsidRPr="00073C8F" w:rsidR="00045321" w:rsidP="00241CB3" w:rsidRDefault="00045321" w14:paraId="2E57E588" w14:textId="140F7013">
            <w:pPr>
              <w:tabs>
                <w:tab w:val="center" w:pos="284"/>
              </w:tabs>
              <w:suppressAutoHyphens/>
              <w:overflowPunct w:val="0"/>
              <w:autoSpaceDE w:val="0"/>
              <w:autoSpaceDN w:val="0"/>
              <w:adjustRightInd w:val="0"/>
              <w:ind w:left="266" w:hanging="266"/>
              <w:textAlignment w:val="baseline"/>
              <w:rPr>
                <w:bCs/>
              </w:rPr>
            </w:pPr>
          </w:p>
        </w:tc>
      </w:tr>
      <w:tr w:rsidRPr="00073C8F" w:rsidR="00EE64B2" w:rsidTr="00596171" w14:paraId="27AF1BEC" w14:textId="77777777">
        <w:tc>
          <w:tcPr>
            <w:tcW w:w="1027" w:type="pct"/>
          </w:tcPr>
          <w:p w:rsidRPr="00073C8F" w:rsidR="00EE64B2" w:rsidP="00241CB3" w:rsidRDefault="00EE64B2" w14:paraId="073ADBD9" w14:textId="77777777">
            <w:pPr>
              <w:tabs>
                <w:tab w:val="center" w:pos="284"/>
              </w:tabs>
              <w:suppressAutoHyphens/>
              <w:overflowPunct w:val="0"/>
              <w:autoSpaceDE w:val="0"/>
              <w:autoSpaceDN w:val="0"/>
              <w:adjustRightInd w:val="0"/>
              <w:ind w:left="266" w:hanging="266"/>
              <w:textAlignment w:val="baseline"/>
              <w:rPr>
                <w:b/>
              </w:rPr>
            </w:pPr>
            <w:r w:rsidRPr="00073C8F">
              <w:rPr>
                <w:b/>
              </w:rPr>
              <w:t>Dokumenty</w:t>
            </w:r>
          </w:p>
        </w:tc>
        <w:tc>
          <w:tcPr>
            <w:tcW w:w="3973" w:type="pct"/>
          </w:tcPr>
          <w:p w:rsidRPr="00073C8F" w:rsidR="00EE64B2" w:rsidP="00241CB3" w:rsidRDefault="00EE64B2" w14:paraId="7810BD1D" w14:textId="7EB3801A">
            <w:pPr>
              <w:suppressAutoHyphens/>
              <w:overflowPunct w:val="0"/>
              <w:autoSpaceDE w:val="0"/>
              <w:autoSpaceDN w:val="0"/>
              <w:adjustRightInd w:val="0"/>
              <w:ind w:left="266" w:hanging="266"/>
              <w:textAlignment w:val="baseline"/>
            </w:pPr>
            <w:r w:rsidRPr="00073C8F">
              <w:t>Raport z oceny na wniosek Komisji Europejskiej</w:t>
            </w:r>
          </w:p>
          <w:p w:rsidRPr="00073C8F" w:rsidR="00EE64B2" w:rsidP="00241CB3" w:rsidRDefault="00EE64B2" w14:paraId="353404F6" w14:textId="30F3D0DB">
            <w:pPr>
              <w:suppressAutoHyphens/>
              <w:overflowPunct w:val="0"/>
              <w:autoSpaceDE w:val="0"/>
              <w:autoSpaceDN w:val="0"/>
              <w:adjustRightInd w:val="0"/>
              <w:ind w:left="266" w:hanging="266"/>
              <w:textAlignment w:val="baseline"/>
            </w:pPr>
            <w:r w:rsidRPr="00073C8F">
              <w:t>EESC-2024-03238-00-00-RE</w:t>
            </w:r>
          </w:p>
        </w:tc>
      </w:tr>
    </w:tbl>
    <w:p w:rsidR="00596171" w:rsidP="00241CB3" w:rsidRDefault="00596171" w14:paraId="5BC4E1A9" w14:textId="77777777">
      <w:pPr>
        <w:tabs>
          <w:tab w:val="center" w:pos="284"/>
        </w:tabs>
        <w:suppressAutoHyphens/>
        <w:overflowPunct w:val="0"/>
        <w:autoSpaceDE w:val="0"/>
        <w:autoSpaceDN w:val="0"/>
        <w:adjustRightInd w:val="0"/>
        <w:ind w:left="266" w:hanging="266"/>
        <w:textAlignment w:val="baseline"/>
        <w:rPr>
          <w:b/>
        </w:rPr>
      </w:pPr>
    </w:p>
    <w:p w:rsidRPr="00073C8F" w:rsidR="00EE64B2" w:rsidP="00241CB3" w:rsidRDefault="00EE64B2" w14:paraId="03CEFC50" w14:textId="114694BD">
      <w:pPr>
        <w:tabs>
          <w:tab w:val="center" w:pos="284"/>
        </w:tabs>
        <w:suppressAutoHyphens/>
        <w:overflowPunct w:val="0"/>
        <w:autoSpaceDE w:val="0"/>
        <w:autoSpaceDN w:val="0"/>
        <w:adjustRightInd w:val="0"/>
        <w:ind w:left="266" w:hanging="266"/>
        <w:textAlignment w:val="baseline"/>
        <w:rPr>
          <w:b/>
        </w:rPr>
      </w:pPr>
      <w:r w:rsidRPr="00073C8F">
        <w:rPr>
          <w:b/>
        </w:rPr>
        <w:t>Główne punkty</w:t>
      </w:r>
    </w:p>
    <w:p w:rsidRPr="00073C8F" w:rsidR="00045321" w:rsidP="00241CB3" w:rsidRDefault="00045321" w14:paraId="79A2CA67" w14:textId="77777777">
      <w:pPr>
        <w:tabs>
          <w:tab w:val="center" w:pos="284"/>
        </w:tabs>
        <w:suppressAutoHyphens/>
        <w:overflowPunct w:val="0"/>
        <w:autoSpaceDE w:val="0"/>
        <w:autoSpaceDN w:val="0"/>
        <w:adjustRightInd w:val="0"/>
        <w:ind w:left="266" w:hanging="266"/>
        <w:textAlignment w:val="baseline"/>
        <w:rPr>
          <w:b/>
        </w:rPr>
      </w:pPr>
    </w:p>
    <w:p w:rsidR="00EE64B2" w:rsidP="00241CB3" w:rsidRDefault="00EE64B2" w14:paraId="36B238CB" w14:textId="73B64E0F">
      <w:pPr>
        <w:tabs>
          <w:tab w:val="center" w:pos="284"/>
        </w:tabs>
        <w:suppressAutoHyphens/>
        <w:overflowPunct w:val="0"/>
        <w:autoSpaceDE w:val="0"/>
        <w:autoSpaceDN w:val="0"/>
        <w:adjustRightInd w:val="0"/>
        <w:ind w:left="266" w:hanging="266"/>
        <w:textAlignment w:val="baseline"/>
      </w:pPr>
      <w:r w:rsidRPr="00073C8F">
        <w:t>EKES:</w:t>
      </w:r>
    </w:p>
    <w:p w:rsidRPr="00073C8F" w:rsidR="00596171" w:rsidP="00241CB3" w:rsidRDefault="00596171" w14:paraId="33DD7AAE" w14:textId="77777777">
      <w:pPr>
        <w:tabs>
          <w:tab w:val="center" w:pos="284"/>
        </w:tabs>
        <w:suppressAutoHyphens/>
        <w:overflowPunct w:val="0"/>
        <w:autoSpaceDE w:val="0"/>
        <w:autoSpaceDN w:val="0"/>
        <w:adjustRightInd w:val="0"/>
        <w:ind w:left="266" w:hanging="266"/>
        <w:textAlignment w:val="baseline"/>
        <w:rPr>
          <w:bCs/>
          <w:iCs/>
        </w:rPr>
      </w:pPr>
    </w:p>
    <w:p w:rsidRPr="00073C8F" w:rsidR="00EE64B2" w:rsidP="00596171" w:rsidRDefault="00EE64B2" w14:paraId="6E399245" w14:textId="77777777">
      <w:pPr>
        <w:numPr>
          <w:ilvl w:val="0"/>
          <w:numId w:val="19"/>
        </w:numPr>
        <w:suppressAutoHyphens/>
        <w:overflowPunct w:val="0"/>
        <w:autoSpaceDE w:val="0"/>
        <w:autoSpaceDN w:val="0"/>
        <w:adjustRightInd w:val="0"/>
        <w:ind w:left="567" w:hanging="567"/>
        <w:textAlignment w:val="baseline"/>
      </w:pPr>
      <w:r w:rsidRPr="00073C8F">
        <w:t>Uważa, że zarówno EFRR, jak i Fundusz Spójności powinny również koncentrować się na zwiększaniu dostępu do przekwalifikowania i podnoszenia kwalifikacji, a także na rozwijaniu możliwości gospodarczych dla wszystkich obywateli UE.</w:t>
      </w:r>
    </w:p>
    <w:p w:rsidRPr="00073C8F" w:rsidR="00EE64B2" w:rsidP="00596171" w:rsidRDefault="00EE64B2" w14:paraId="31AD48B2" w14:textId="77777777">
      <w:pPr>
        <w:numPr>
          <w:ilvl w:val="0"/>
          <w:numId w:val="19"/>
        </w:numPr>
        <w:suppressAutoHyphens/>
        <w:overflowPunct w:val="0"/>
        <w:autoSpaceDE w:val="0"/>
        <w:autoSpaceDN w:val="0"/>
        <w:adjustRightInd w:val="0"/>
        <w:ind w:left="567" w:hanging="567"/>
        <w:textAlignment w:val="baseline"/>
      </w:pPr>
      <w:r w:rsidRPr="00073C8F">
        <w:t>Podkreśla, że przydatnym narzędziem w tym zakresie może być dialog społeczny.</w:t>
      </w:r>
    </w:p>
    <w:p w:rsidRPr="00073C8F" w:rsidR="00EE64B2" w:rsidP="00596171" w:rsidRDefault="00EE64B2" w14:paraId="5FCA903B" w14:textId="77777777">
      <w:pPr>
        <w:numPr>
          <w:ilvl w:val="0"/>
          <w:numId w:val="19"/>
        </w:numPr>
        <w:suppressAutoHyphens/>
        <w:overflowPunct w:val="0"/>
        <w:autoSpaceDE w:val="0"/>
        <w:autoSpaceDN w:val="0"/>
        <w:adjustRightInd w:val="0"/>
        <w:ind w:left="567" w:hanging="567"/>
        <w:textAlignment w:val="baseline"/>
      </w:pPr>
      <w:r w:rsidRPr="00073C8F">
        <w:t>Uważa, że EFRR i Fundusz Spójności powinny koncentrować się w większym stopniu na słabszych grupach społecznych, ponieważ dotychczasowe wyniki są niezadowalające.</w:t>
      </w:r>
    </w:p>
    <w:p w:rsidRPr="00073C8F" w:rsidR="00EE64B2" w:rsidP="00596171" w:rsidRDefault="00EE64B2" w14:paraId="790C10C8" w14:textId="77777777">
      <w:pPr>
        <w:numPr>
          <w:ilvl w:val="0"/>
          <w:numId w:val="19"/>
        </w:numPr>
        <w:suppressAutoHyphens/>
        <w:overflowPunct w:val="0"/>
        <w:autoSpaceDE w:val="0"/>
        <w:autoSpaceDN w:val="0"/>
        <w:adjustRightInd w:val="0"/>
        <w:ind w:left="567" w:hanging="567"/>
        <w:textAlignment w:val="baseline"/>
      </w:pPr>
      <w:r w:rsidRPr="00073C8F">
        <w:t xml:space="preserve">Sądzi, że szczególną uwagę należy również zwrócić na zapewnienie zrównoważonego rozwoju terytorialnego dla wszystkich regionów. </w:t>
      </w:r>
    </w:p>
    <w:p w:rsidRPr="00073C8F" w:rsidR="00EE64B2" w:rsidP="00596171" w:rsidRDefault="00EE64B2" w14:paraId="5EECB154" w14:textId="19EFBEA6">
      <w:pPr>
        <w:numPr>
          <w:ilvl w:val="0"/>
          <w:numId w:val="19"/>
        </w:numPr>
        <w:suppressAutoHyphens/>
        <w:overflowPunct w:val="0"/>
        <w:autoSpaceDE w:val="0"/>
        <w:autoSpaceDN w:val="0"/>
        <w:adjustRightInd w:val="0"/>
        <w:ind w:left="567" w:hanging="567"/>
        <w:textAlignment w:val="baseline"/>
      </w:pPr>
      <w:r w:rsidRPr="00073C8F">
        <w:t>Argumentuje, że podstawowe zasady spójności (zasada partnerstwa, zarządzanie dzielone i</w:t>
      </w:r>
      <w:r w:rsidR="00E421E9">
        <w:t> </w:t>
      </w:r>
      <w:r w:rsidRPr="00073C8F">
        <w:t>wielopoziomowe sprawowanie rządów) są nadal aktualne i należy je utrzymać jako zasady przewodnie.</w:t>
      </w:r>
    </w:p>
    <w:p w:rsidRPr="00073C8F" w:rsidR="00EE64B2" w:rsidP="00596171" w:rsidRDefault="00EE64B2" w14:paraId="395BDA47" w14:textId="77777777">
      <w:pPr>
        <w:numPr>
          <w:ilvl w:val="0"/>
          <w:numId w:val="19"/>
        </w:numPr>
        <w:suppressAutoHyphens/>
        <w:overflowPunct w:val="0"/>
        <w:autoSpaceDE w:val="0"/>
        <w:autoSpaceDN w:val="0"/>
        <w:adjustRightInd w:val="0"/>
        <w:ind w:left="567" w:hanging="567"/>
        <w:textAlignment w:val="baseline"/>
      </w:pPr>
      <w:r w:rsidRPr="00073C8F">
        <w:t>Przyznaje, że poprawa konsultacji ze społeczeństwem obywatelskim oznacza również zapewnienie, aby pochodzące z jego strony informacje zwrotne zostały w znaczący sposób uwzględnione w planowaniu programów UE.</w:t>
      </w:r>
    </w:p>
    <w:p w:rsidRPr="00073C8F" w:rsidR="00EE64B2" w:rsidP="00596171" w:rsidRDefault="00EE64B2" w14:paraId="13D1ABD0" w14:textId="77777777">
      <w:pPr>
        <w:numPr>
          <w:ilvl w:val="0"/>
          <w:numId w:val="19"/>
        </w:numPr>
        <w:suppressAutoHyphens/>
        <w:overflowPunct w:val="0"/>
        <w:autoSpaceDE w:val="0"/>
        <w:autoSpaceDN w:val="0"/>
        <w:adjustRightInd w:val="0"/>
        <w:ind w:left="567" w:hanging="567"/>
        <w:textAlignment w:val="baseline"/>
      </w:pPr>
      <w:r w:rsidRPr="00073C8F">
        <w:t>Wzywa do odpowiedniej oceny gospodarczych i społecznych skutków inwestycji funduszy europejskich.</w:t>
      </w:r>
    </w:p>
    <w:p w:rsidRPr="00073C8F" w:rsidR="00EE64B2" w:rsidP="00596171" w:rsidRDefault="00EE64B2" w14:paraId="6DB9121E" w14:textId="77777777">
      <w:pPr>
        <w:numPr>
          <w:ilvl w:val="0"/>
          <w:numId w:val="19"/>
        </w:numPr>
        <w:suppressAutoHyphens/>
        <w:overflowPunct w:val="0"/>
        <w:autoSpaceDE w:val="0"/>
        <w:autoSpaceDN w:val="0"/>
        <w:adjustRightInd w:val="0"/>
        <w:ind w:left="567" w:hanging="567"/>
        <w:textAlignment w:val="baseline"/>
      </w:pPr>
      <w:r w:rsidRPr="00073C8F">
        <w:t xml:space="preserve">Wskazuje, że należy wzmocnić zdolności administracyjne, aby podmioty społeczeństwa obywatelskiego mogły odgrywać aktywniejszą rolę. </w:t>
      </w:r>
    </w:p>
    <w:p w:rsidRPr="00073C8F" w:rsidR="00EE64B2" w:rsidP="00596171" w:rsidRDefault="00EE64B2" w14:paraId="6FF8F4A5" w14:textId="3B9C0699">
      <w:pPr>
        <w:numPr>
          <w:ilvl w:val="0"/>
          <w:numId w:val="19"/>
        </w:numPr>
        <w:suppressAutoHyphens/>
        <w:overflowPunct w:val="0"/>
        <w:autoSpaceDE w:val="0"/>
        <w:autoSpaceDN w:val="0"/>
        <w:adjustRightInd w:val="0"/>
        <w:ind w:left="567" w:hanging="567"/>
        <w:textAlignment w:val="baseline"/>
      </w:pPr>
      <w:r w:rsidRPr="00073C8F">
        <w:t>Zaleca położenie nacisku na długoterminową stabilność gospodarczą. Wiązałoby się to z</w:t>
      </w:r>
      <w:r w:rsidR="00E421E9">
        <w:t> </w:t>
      </w:r>
      <w:r w:rsidRPr="00073C8F">
        <w:t>włączeniem do planowania infrastruktury czynników społecznych, środowiskowych i</w:t>
      </w:r>
      <w:r w:rsidR="00E421E9">
        <w:t> </w:t>
      </w:r>
      <w:r w:rsidRPr="00073C8F">
        <w:t>związanych z dostępnością.</w:t>
      </w:r>
    </w:p>
    <w:p w:rsidRPr="00073C8F" w:rsidR="00EE64B2" w:rsidP="00596171" w:rsidRDefault="00EE64B2" w14:paraId="3CCE3F93" w14:textId="77777777">
      <w:pPr>
        <w:numPr>
          <w:ilvl w:val="0"/>
          <w:numId w:val="19"/>
        </w:numPr>
        <w:suppressAutoHyphens/>
        <w:overflowPunct w:val="0"/>
        <w:autoSpaceDE w:val="0"/>
        <w:autoSpaceDN w:val="0"/>
        <w:adjustRightInd w:val="0"/>
        <w:ind w:left="567" w:hanging="567"/>
        <w:textAlignment w:val="baseline"/>
      </w:pPr>
      <w:r w:rsidRPr="00073C8F">
        <w:t>Jest zdania, że potrzebne są dalsze programy dla MŚP i osób samozatrudnionych. Te dwie grupy stanowią podstawę gospodarek większości państw członkowskich UE.</w:t>
      </w:r>
    </w:p>
    <w:p w:rsidRPr="00073C8F" w:rsidR="00EE64B2" w:rsidP="00596171" w:rsidRDefault="00EE64B2" w14:paraId="4F69B7F4" w14:textId="77777777">
      <w:pPr>
        <w:numPr>
          <w:ilvl w:val="0"/>
          <w:numId w:val="19"/>
        </w:numPr>
        <w:suppressAutoHyphens/>
        <w:overflowPunct w:val="0"/>
        <w:autoSpaceDE w:val="0"/>
        <w:autoSpaceDN w:val="0"/>
        <w:adjustRightInd w:val="0"/>
        <w:ind w:left="567" w:hanging="567"/>
        <w:textAlignment w:val="baseline"/>
        <w:rPr>
          <w:bCs/>
          <w:iCs/>
        </w:rPr>
      </w:pPr>
      <w:r w:rsidRPr="00073C8F">
        <w:t>Uważa, że konsultacje ze społeczeństwem obywatelskim są ważne i niezbędne w całym procesie polityki spójności i w kontekście związanych z nią funduszy, zwłaszcza w świetle przyszłego wniosku w sprawie nowych WRF, który ma zostać przedstawiony w trzecim kwartale 2025 r.</w:t>
      </w:r>
    </w:p>
    <w:p w:rsidRPr="00073C8F" w:rsidR="00EE64B2" w:rsidP="00596171" w:rsidRDefault="00EE64B2" w14:paraId="25C2E568" w14:textId="77777777">
      <w:pPr>
        <w:numPr>
          <w:ilvl w:val="0"/>
          <w:numId w:val="19"/>
        </w:numPr>
        <w:suppressAutoHyphens/>
        <w:overflowPunct w:val="0"/>
        <w:autoSpaceDE w:val="0"/>
        <w:autoSpaceDN w:val="0"/>
        <w:adjustRightInd w:val="0"/>
        <w:ind w:left="567" w:hanging="567"/>
        <w:textAlignment w:val="baseline"/>
      </w:pPr>
      <w:r w:rsidRPr="00073C8F">
        <w:t>Podkreśla, że włączenie społeczne jest istotne i należy je dalej rozwijać.</w:t>
      </w:r>
    </w:p>
    <w:p w:rsidRPr="00073C8F" w:rsidR="00EE64B2" w:rsidP="009529C7" w:rsidRDefault="00EE64B2" w14:paraId="40E7917C" w14:textId="77777777">
      <w:pPr>
        <w:keepLines/>
        <w:numPr>
          <w:ilvl w:val="0"/>
          <w:numId w:val="19"/>
        </w:numPr>
        <w:suppressAutoHyphens/>
        <w:overflowPunct w:val="0"/>
        <w:autoSpaceDE w:val="0"/>
        <w:autoSpaceDN w:val="0"/>
        <w:adjustRightInd w:val="0"/>
        <w:ind w:left="567" w:hanging="567"/>
        <w:textAlignment w:val="baseline"/>
      </w:pPr>
      <w:r w:rsidRPr="00073C8F">
        <w:lastRenderedPageBreak/>
        <w:t>Zaleca skuteczniejsze włączanie beneficjentów do planowania EFRR i polityki spójności, ponieważ dysponują oni dogłębną wiedzą na temat obecnych wyzwań i priorytetów, które należy określić. Trudno jest opracować takie programy bez aktywnego udziału wszystkich zainteresowanych stron.</w:t>
      </w:r>
    </w:p>
    <w:p w:rsidRPr="00073C8F" w:rsidR="00EE64B2" w:rsidP="00596171" w:rsidRDefault="00EE64B2" w14:paraId="0EC51F90" w14:textId="77777777">
      <w:pPr>
        <w:numPr>
          <w:ilvl w:val="0"/>
          <w:numId w:val="19"/>
        </w:numPr>
        <w:suppressAutoHyphens/>
        <w:overflowPunct w:val="0"/>
        <w:autoSpaceDE w:val="0"/>
        <w:autoSpaceDN w:val="0"/>
        <w:adjustRightInd w:val="0"/>
        <w:ind w:left="567" w:hanging="567"/>
        <w:textAlignment w:val="baseline"/>
      </w:pPr>
      <w:r w:rsidRPr="00073C8F">
        <w:t>Uważa, że poczucie odpowiedzialności za programy ma kluczowe znaczenie dla skutecznej realizacji, podobnie jak zapewnienie organizacjom pozarządowym wystarczających środków na monitorowanie i nadzorowanie wykorzystania funduszy UE.</w:t>
      </w:r>
    </w:p>
    <w:p w:rsidRPr="00073C8F" w:rsidR="00EE64B2" w:rsidP="00596171" w:rsidRDefault="00EE64B2" w14:paraId="3B587ECD" w14:textId="77777777">
      <w:pPr>
        <w:numPr>
          <w:ilvl w:val="0"/>
          <w:numId w:val="19"/>
        </w:numPr>
        <w:suppressAutoHyphens/>
        <w:overflowPunct w:val="0"/>
        <w:autoSpaceDE w:val="0"/>
        <w:autoSpaceDN w:val="0"/>
        <w:adjustRightInd w:val="0"/>
        <w:ind w:left="567" w:hanging="567"/>
        <w:textAlignment w:val="baseline"/>
      </w:pPr>
      <w:r w:rsidRPr="00073C8F">
        <w:t xml:space="preserve">Jest zdania, że uproszczenie procedur składania wniosków i wdrażania ma zasadnicze znaczenie dla ułatwienia uczestnictwa i współpracy. </w:t>
      </w:r>
    </w:p>
    <w:p w:rsidRPr="00073C8F" w:rsidR="00EE64B2" w:rsidP="00596171" w:rsidRDefault="00EE64B2" w14:paraId="4D054DBF" w14:textId="5F32CB2F">
      <w:pPr>
        <w:numPr>
          <w:ilvl w:val="0"/>
          <w:numId w:val="19"/>
        </w:numPr>
        <w:suppressAutoHyphens/>
        <w:overflowPunct w:val="0"/>
        <w:autoSpaceDE w:val="0"/>
        <w:autoSpaceDN w:val="0"/>
        <w:adjustRightInd w:val="0"/>
        <w:ind w:left="567" w:hanging="567"/>
        <w:textAlignment w:val="baseline"/>
      </w:pPr>
      <w:r w:rsidRPr="00073C8F">
        <w:t>Sądzi, że należy promować komplementarność funduszy UE, gdyż poprawiłoby to wydajność i</w:t>
      </w:r>
      <w:r w:rsidR="00E421E9">
        <w:t> </w:t>
      </w:r>
      <w:r w:rsidRPr="00073C8F">
        <w:t>skuteczność.</w:t>
      </w:r>
    </w:p>
    <w:p w:rsidRPr="00073C8F" w:rsidR="00EE64B2" w:rsidP="00596171" w:rsidRDefault="00EE64B2" w14:paraId="5F8478F8" w14:textId="77777777">
      <w:pPr>
        <w:numPr>
          <w:ilvl w:val="0"/>
          <w:numId w:val="19"/>
        </w:numPr>
        <w:suppressAutoHyphens/>
        <w:overflowPunct w:val="0"/>
        <w:autoSpaceDE w:val="0"/>
        <w:autoSpaceDN w:val="0"/>
        <w:adjustRightInd w:val="0"/>
        <w:ind w:left="567" w:hanging="567"/>
        <w:textAlignment w:val="baseline"/>
      </w:pPr>
      <w:r w:rsidRPr="00073C8F">
        <w:t>Zaleca, by rozszerzyć kanały uczestnictwa na wszystkie rodzaje i nowe formy organizacji, tak aby umożliwić udział wszystkim i na wszystkich etapach i nie ograniczać go wyłącznie do niektórych przypadków.</w:t>
      </w:r>
    </w:p>
    <w:p w:rsidRPr="00073C8F" w:rsidR="00EE64B2" w:rsidP="00596171" w:rsidRDefault="00EE64B2" w14:paraId="7821A11A" w14:textId="77777777">
      <w:pPr>
        <w:numPr>
          <w:ilvl w:val="0"/>
          <w:numId w:val="19"/>
        </w:numPr>
        <w:suppressAutoHyphens/>
        <w:overflowPunct w:val="0"/>
        <w:autoSpaceDE w:val="0"/>
        <w:autoSpaceDN w:val="0"/>
        <w:adjustRightInd w:val="0"/>
        <w:ind w:left="567" w:hanging="567"/>
        <w:textAlignment w:val="baseline"/>
      </w:pPr>
      <w:r w:rsidRPr="00073C8F">
        <w:t>Jest zdania, że wzmocnienie zdolności instytucjonalnych partnerów społecznych ma kluczowe znaczenie dla przełamania istniejącego braku zaufania.</w:t>
      </w:r>
    </w:p>
    <w:p w:rsidRPr="00073C8F" w:rsidR="00EE64B2" w:rsidP="00596171" w:rsidRDefault="00EE64B2" w14:paraId="3D2E4893" w14:textId="77777777">
      <w:pPr>
        <w:numPr>
          <w:ilvl w:val="0"/>
          <w:numId w:val="19"/>
        </w:numPr>
        <w:suppressAutoHyphens/>
        <w:overflowPunct w:val="0"/>
        <w:autoSpaceDE w:val="0"/>
        <w:autoSpaceDN w:val="0"/>
        <w:adjustRightInd w:val="0"/>
        <w:ind w:left="567" w:hanging="567"/>
        <w:textAlignment w:val="baseline"/>
      </w:pPr>
      <w:r w:rsidRPr="00073C8F">
        <w:t>Proponuje, by uznać elastyczność administracyjną za kluczowy cel każdej polityki spójności.</w:t>
      </w:r>
    </w:p>
    <w:p w:rsidRPr="00073C8F" w:rsidR="00EE64B2" w:rsidP="00596171" w:rsidRDefault="00EE64B2" w14:paraId="33A2F90F" w14:textId="77777777">
      <w:pPr>
        <w:numPr>
          <w:ilvl w:val="0"/>
          <w:numId w:val="19"/>
        </w:numPr>
        <w:suppressAutoHyphens/>
        <w:overflowPunct w:val="0"/>
        <w:autoSpaceDE w:val="0"/>
        <w:autoSpaceDN w:val="0"/>
        <w:adjustRightInd w:val="0"/>
        <w:ind w:left="567" w:hanging="567"/>
        <w:textAlignment w:val="baseline"/>
      </w:pPr>
      <w:r w:rsidRPr="00073C8F">
        <w:t xml:space="preserve">Uważa, że należy w większym stopniu pomóc regionom przygranicznym, które w ostatnich latach doświadczyły poważnych trudności. </w:t>
      </w:r>
    </w:p>
    <w:p w:rsidRPr="00073C8F" w:rsidR="00EE64B2" w:rsidP="00241CB3" w:rsidRDefault="00EE64B2" w14:paraId="0E397D22" w14:textId="77777777">
      <w:pPr>
        <w:tabs>
          <w:tab w:val="center" w:pos="284"/>
        </w:tabs>
        <w:suppressAutoHyphens/>
        <w:ind w:left="284"/>
      </w:pPr>
    </w:p>
    <w:tbl>
      <w:tblPr>
        <w:tblW w:w="9322" w:type="dxa"/>
        <w:tblLook w:val="04A0" w:firstRow="1" w:lastRow="0" w:firstColumn="1" w:lastColumn="0" w:noHBand="0" w:noVBand="1"/>
      </w:tblPr>
      <w:tblGrid>
        <w:gridCol w:w="1418"/>
        <w:gridCol w:w="7904"/>
      </w:tblGrid>
      <w:tr w:rsidRPr="00073C8F" w:rsidR="00EE64B2" w:rsidTr="002831E6" w14:paraId="6031149C" w14:textId="77777777">
        <w:tc>
          <w:tcPr>
            <w:tcW w:w="1418" w:type="dxa"/>
          </w:tcPr>
          <w:p w:rsidRPr="00073C8F" w:rsidR="00EE64B2" w:rsidP="00241CB3" w:rsidRDefault="00EE64B2" w14:paraId="4E823C2B" w14:textId="77777777">
            <w:pPr>
              <w:suppressAutoHyphens/>
              <w:overflowPunct w:val="0"/>
              <w:autoSpaceDE w:val="0"/>
              <w:autoSpaceDN w:val="0"/>
              <w:adjustRightInd w:val="0"/>
              <w:textAlignment w:val="baseline"/>
              <w:rPr>
                <w:i/>
              </w:rPr>
            </w:pPr>
            <w:r w:rsidRPr="00073C8F">
              <w:rPr>
                <w:b/>
                <w:i/>
              </w:rPr>
              <w:t>Kontakt</w:t>
            </w:r>
          </w:p>
        </w:tc>
        <w:tc>
          <w:tcPr>
            <w:tcW w:w="7904" w:type="dxa"/>
          </w:tcPr>
          <w:p w:rsidRPr="00073C8F" w:rsidR="00EE64B2" w:rsidP="00241CB3" w:rsidRDefault="00EE64B2" w14:paraId="754B2E03" w14:textId="66665156">
            <w:pPr>
              <w:suppressAutoHyphens/>
              <w:overflowPunct w:val="0"/>
              <w:autoSpaceDE w:val="0"/>
              <w:autoSpaceDN w:val="0"/>
              <w:adjustRightInd w:val="0"/>
              <w:textAlignment w:val="baseline"/>
              <w:rPr>
                <w:i/>
              </w:rPr>
            </w:pPr>
            <w:r w:rsidRPr="00073C8F">
              <w:rPr>
                <w:i/>
              </w:rPr>
              <w:t>Georgios Meleas</w:t>
            </w:r>
          </w:p>
        </w:tc>
      </w:tr>
      <w:tr w:rsidRPr="00073C8F" w:rsidR="00EE64B2" w:rsidTr="002831E6" w14:paraId="0C3693FF" w14:textId="77777777">
        <w:tc>
          <w:tcPr>
            <w:tcW w:w="1418" w:type="dxa"/>
          </w:tcPr>
          <w:p w:rsidRPr="00073C8F" w:rsidR="00EE64B2" w:rsidP="00241CB3" w:rsidRDefault="00EE64B2" w14:paraId="55F097B0" w14:textId="77777777">
            <w:pPr>
              <w:suppressAutoHyphens/>
              <w:overflowPunct w:val="0"/>
              <w:autoSpaceDE w:val="0"/>
              <w:autoSpaceDN w:val="0"/>
              <w:adjustRightInd w:val="0"/>
              <w:textAlignment w:val="baseline"/>
              <w:rPr>
                <w:i/>
              </w:rPr>
            </w:pPr>
            <w:r w:rsidRPr="00073C8F">
              <w:rPr>
                <w:i/>
              </w:rPr>
              <w:t>tel.</w:t>
            </w:r>
          </w:p>
        </w:tc>
        <w:tc>
          <w:tcPr>
            <w:tcW w:w="7904" w:type="dxa"/>
          </w:tcPr>
          <w:p w:rsidRPr="00073C8F" w:rsidR="00EE64B2" w:rsidP="00241CB3" w:rsidRDefault="00EE64B2" w14:paraId="09F80DD0" w14:textId="77777777">
            <w:pPr>
              <w:suppressAutoHyphens/>
              <w:overflowPunct w:val="0"/>
              <w:autoSpaceDE w:val="0"/>
              <w:autoSpaceDN w:val="0"/>
              <w:adjustRightInd w:val="0"/>
              <w:textAlignment w:val="baseline"/>
              <w:rPr>
                <w:i/>
              </w:rPr>
            </w:pPr>
            <w:r w:rsidRPr="00073C8F">
              <w:rPr>
                <w:i/>
              </w:rPr>
              <w:t>+32 2 5469795</w:t>
            </w:r>
          </w:p>
        </w:tc>
      </w:tr>
      <w:tr w:rsidRPr="00073C8F" w:rsidR="00EE64B2" w:rsidTr="002831E6" w14:paraId="502B18D8" w14:textId="77777777">
        <w:tc>
          <w:tcPr>
            <w:tcW w:w="1418" w:type="dxa"/>
          </w:tcPr>
          <w:p w:rsidRPr="00073C8F" w:rsidR="00EE64B2" w:rsidP="00241CB3" w:rsidRDefault="00045321" w14:paraId="24D8504A" w14:textId="14A041EB">
            <w:pPr>
              <w:suppressAutoHyphens/>
              <w:overflowPunct w:val="0"/>
              <w:autoSpaceDE w:val="0"/>
              <w:autoSpaceDN w:val="0"/>
              <w:adjustRightInd w:val="0"/>
              <w:textAlignment w:val="baseline"/>
              <w:rPr>
                <w:i/>
              </w:rPr>
            </w:pPr>
            <w:r w:rsidRPr="00073C8F">
              <w:rPr>
                <w:i/>
              </w:rPr>
              <w:t>e-mail</w:t>
            </w:r>
          </w:p>
        </w:tc>
        <w:tc>
          <w:tcPr>
            <w:tcW w:w="7904" w:type="dxa"/>
          </w:tcPr>
          <w:p w:rsidRPr="00073C8F" w:rsidR="00EE64B2" w:rsidP="00241CB3" w:rsidRDefault="00A46594" w14:paraId="198CF8A2" w14:textId="77777777">
            <w:pPr>
              <w:suppressAutoHyphens/>
              <w:overflowPunct w:val="0"/>
              <w:autoSpaceDE w:val="0"/>
              <w:autoSpaceDN w:val="0"/>
              <w:adjustRightInd w:val="0"/>
              <w:textAlignment w:val="baseline"/>
              <w:rPr>
                <w:i/>
              </w:rPr>
            </w:pPr>
            <w:hyperlink w:history="1" r:id="rId21">
              <w:r w:rsidRPr="00073C8F" w:rsidR="0081023C">
                <w:rPr>
                  <w:i/>
                  <w:color w:val="0000FF"/>
                  <w:u w:val="single"/>
                </w:rPr>
                <w:t>Georgios.Meleas@eesc.europa.eu</w:t>
              </w:r>
            </w:hyperlink>
          </w:p>
        </w:tc>
      </w:tr>
    </w:tbl>
    <w:p w:rsidRPr="00073C8F" w:rsidR="00EE64B2" w:rsidP="00241CB3" w:rsidRDefault="00EE64B2" w14:paraId="0AF3D069" w14:textId="77777777">
      <w:pPr>
        <w:suppressAutoHyphens/>
        <w:jc w:val="left"/>
      </w:pPr>
      <w:r w:rsidRPr="00073C8F">
        <w:br w:type="page"/>
      </w:r>
    </w:p>
    <w:p w:rsidRPr="00073C8F" w:rsidR="004D7AC0" w:rsidP="00241CB3" w:rsidRDefault="004D7AC0" w14:paraId="4982DD99" w14:textId="77777777">
      <w:pPr>
        <w:pStyle w:val="Heading1"/>
        <w:suppressAutoHyphens/>
        <w:rPr>
          <w:b/>
        </w:rPr>
      </w:pPr>
      <w:bookmarkStart w:name="_Toc75527081" w:id="1"/>
      <w:bookmarkStart w:name="_Toc195264686" w:id="2"/>
      <w:r w:rsidRPr="00073C8F">
        <w:rPr>
          <w:b/>
        </w:rPr>
        <w:lastRenderedPageBreak/>
        <w:t>ZATRUDNIENIE, SPRAWY SPOŁECZNE I OBYWATELSTWO</w:t>
      </w:r>
      <w:bookmarkEnd w:id="1"/>
      <w:bookmarkEnd w:id="2"/>
    </w:p>
    <w:p w:rsidRPr="00073C8F" w:rsidR="004D7AC0" w:rsidP="00073C8F" w:rsidRDefault="004D7AC0" w14:paraId="4982DDC4" w14:textId="77777777"/>
    <w:p w:rsidRPr="00073C8F" w:rsidR="00DC0AB9" w:rsidP="00241CB3" w:rsidRDefault="00DC0AB9" w14:paraId="3B25FE8A" w14:textId="51163A48">
      <w:pPr>
        <w:numPr>
          <w:ilvl w:val="0"/>
          <w:numId w:val="4"/>
        </w:numPr>
        <w:suppressAutoHyphens/>
        <w:overflowPunct w:val="0"/>
        <w:autoSpaceDE w:val="0"/>
        <w:autoSpaceDN w:val="0"/>
        <w:adjustRightInd w:val="0"/>
        <w:ind w:hanging="567"/>
        <w:textAlignment w:val="baseline"/>
        <w:rPr>
          <w:sz w:val="28"/>
          <w:szCs w:val="28"/>
        </w:rPr>
      </w:pPr>
      <w:r w:rsidRPr="00073C8F">
        <w:rPr>
          <w:b/>
          <w:i/>
        </w:rPr>
        <w:fldChar w:fldCharType="begin"/>
      </w:r>
      <w:r w:rsidRPr="00073C8F">
        <w:rPr>
          <w:b/>
          <w:i/>
        </w:rPr>
        <w:instrText>HYPERLINK "https://www.eesc.europa.eu/pl/our-work/opinions-information-reports/opinions/crises-and-crisis-phenomena-modern-europe-and-civil-society"</w:instrText>
      </w:r>
      <w:r w:rsidRPr="00073C8F">
        <w:rPr>
          <w:b/>
          <w:i/>
        </w:rPr>
        <w:fldChar w:fldCharType="separate"/>
      </w:r>
      <w:r w:rsidRPr="00073C8F">
        <w:rPr>
          <w:b/>
          <w:i/>
          <w:color w:val="0000FF"/>
          <w:sz w:val="28"/>
          <w:szCs w:val="28"/>
          <w:u w:val="single"/>
        </w:rPr>
        <w:t>Kryzysy i zjawiska kryzysowe we współczesnej Europie a społeczeństwo obywatelskie</w:t>
      </w:r>
    </w:p>
    <w:p w:rsidRPr="00073C8F" w:rsidR="00DC0AB9" w:rsidP="00241CB3" w:rsidRDefault="00DC0AB9" w14:paraId="3BA2C3DB" w14:textId="77777777">
      <w:pPr>
        <w:suppressAutoHyphens/>
        <w:overflowPunct w:val="0"/>
        <w:autoSpaceDE w:val="0"/>
        <w:autoSpaceDN w:val="0"/>
        <w:adjustRightInd w:val="0"/>
        <w:ind w:left="567"/>
        <w:textAlignment w:val="baseline"/>
        <w:rPr>
          <w:b/>
          <w:i/>
        </w:rPr>
      </w:pPr>
      <w:r w:rsidRPr="00073C8F">
        <w:rPr>
          <w:b/>
          <w:i/>
        </w:rPr>
        <w:fldChar w:fldCharType="end"/>
      </w:r>
    </w:p>
    <w:tbl>
      <w:tblPr>
        <w:tblW w:w="5000" w:type="pct"/>
        <w:tblLook w:val="04A0" w:firstRow="1" w:lastRow="0" w:firstColumn="1" w:lastColumn="0" w:noHBand="0" w:noVBand="1"/>
      </w:tblPr>
      <w:tblGrid>
        <w:gridCol w:w="1971"/>
        <w:gridCol w:w="7318"/>
      </w:tblGrid>
      <w:tr w:rsidRPr="00073C8F" w:rsidR="00DC0AB9" w:rsidTr="00097E6F" w14:paraId="64427E3D" w14:textId="77777777">
        <w:tc>
          <w:tcPr>
            <w:tcW w:w="1061" w:type="pct"/>
          </w:tcPr>
          <w:p w:rsidRPr="00073C8F" w:rsidR="00DC0AB9" w:rsidP="0048121E" w:rsidRDefault="00DC0AB9" w14:paraId="6E408C96" w14:textId="77777777">
            <w:pPr>
              <w:suppressAutoHyphens/>
              <w:overflowPunct w:val="0"/>
              <w:autoSpaceDE w:val="0"/>
              <w:autoSpaceDN w:val="0"/>
              <w:adjustRightInd w:val="0"/>
              <w:textAlignment w:val="baseline"/>
              <w:rPr>
                <w:b/>
              </w:rPr>
            </w:pPr>
            <w:r w:rsidRPr="00073C8F">
              <w:rPr>
                <w:b/>
              </w:rPr>
              <w:t>Sprawozdawczyni</w:t>
            </w:r>
          </w:p>
        </w:tc>
        <w:tc>
          <w:tcPr>
            <w:tcW w:w="3939" w:type="pct"/>
          </w:tcPr>
          <w:p w:rsidRPr="00073C8F" w:rsidR="00DC0AB9" w:rsidP="0048121E" w:rsidRDefault="00DC0AB9" w14:paraId="25182126" w14:textId="77777777">
            <w:pPr>
              <w:tabs>
                <w:tab w:val="left" w:pos="4572"/>
              </w:tabs>
              <w:suppressAutoHyphens/>
              <w:overflowPunct w:val="0"/>
              <w:autoSpaceDE w:val="0"/>
              <w:autoSpaceDN w:val="0"/>
              <w:adjustRightInd w:val="0"/>
              <w:textAlignment w:val="baseline"/>
            </w:pPr>
            <w:r w:rsidRPr="00073C8F">
              <w:t>Ariane RODERT (Grupa Organizacji Społeczeństwa Obywatelskiego – SE)</w:t>
            </w:r>
          </w:p>
          <w:p w:rsidRPr="00073C8F" w:rsidR="00045321" w:rsidP="0048121E" w:rsidRDefault="00045321" w14:paraId="3D5E4324" w14:textId="77777777">
            <w:pPr>
              <w:tabs>
                <w:tab w:val="left" w:pos="4572"/>
              </w:tabs>
              <w:suppressAutoHyphens/>
              <w:overflowPunct w:val="0"/>
              <w:autoSpaceDE w:val="0"/>
              <w:autoSpaceDN w:val="0"/>
              <w:adjustRightInd w:val="0"/>
              <w:textAlignment w:val="baseline"/>
            </w:pPr>
          </w:p>
        </w:tc>
      </w:tr>
      <w:tr w:rsidRPr="00073C8F" w:rsidR="00DC0AB9" w:rsidTr="00097E6F" w14:paraId="5317C11D" w14:textId="77777777">
        <w:tc>
          <w:tcPr>
            <w:tcW w:w="1061" w:type="pct"/>
          </w:tcPr>
          <w:p w:rsidRPr="00073C8F" w:rsidR="00DC0AB9" w:rsidP="0048121E" w:rsidRDefault="00DC0AB9" w14:paraId="65F1D2E8" w14:textId="28B191AA">
            <w:pPr>
              <w:suppressAutoHyphens/>
              <w:overflowPunct w:val="0"/>
              <w:autoSpaceDE w:val="0"/>
              <w:autoSpaceDN w:val="0"/>
              <w:adjustRightInd w:val="0"/>
              <w:textAlignment w:val="baseline"/>
              <w:rPr>
                <w:b/>
              </w:rPr>
            </w:pPr>
            <w:r w:rsidRPr="00073C8F">
              <w:rPr>
                <w:b/>
              </w:rPr>
              <w:t>Dokumenty</w:t>
            </w:r>
          </w:p>
        </w:tc>
        <w:tc>
          <w:tcPr>
            <w:tcW w:w="3939" w:type="pct"/>
          </w:tcPr>
          <w:p w:rsidRPr="00073C8F" w:rsidR="004F0214" w:rsidP="0048121E" w:rsidRDefault="004F0214" w14:paraId="3D9C4798" w14:textId="5C31C61A">
            <w:pPr>
              <w:tabs>
                <w:tab w:val="left" w:pos="4430"/>
              </w:tabs>
              <w:suppressAutoHyphens/>
              <w:overflowPunct w:val="0"/>
              <w:autoSpaceDE w:val="0"/>
              <w:autoSpaceDN w:val="0"/>
              <w:adjustRightInd w:val="0"/>
              <w:textAlignment w:val="baseline"/>
            </w:pPr>
            <w:r w:rsidRPr="00073C8F">
              <w:t>Opinia rozpoznawcza na wniosek polskiej prezydencji Rady UE</w:t>
            </w:r>
          </w:p>
          <w:p w:rsidRPr="00073C8F" w:rsidR="00045321" w:rsidP="0048121E" w:rsidRDefault="00DC0AB9" w14:paraId="09350BF1" w14:textId="417493CD">
            <w:pPr>
              <w:tabs>
                <w:tab w:val="left" w:pos="4430"/>
              </w:tabs>
              <w:suppressAutoHyphens/>
              <w:overflowPunct w:val="0"/>
              <w:autoSpaceDE w:val="0"/>
              <w:autoSpaceDN w:val="0"/>
              <w:adjustRightInd w:val="0"/>
              <w:textAlignment w:val="baseline"/>
            </w:pPr>
            <w:r w:rsidRPr="00073C8F">
              <w:t>EESC-2024-03332-00-00-AC</w:t>
            </w:r>
          </w:p>
        </w:tc>
      </w:tr>
    </w:tbl>
    <w:p w:rsidRPr="00073C8F" w:rsidR="008220A8" w:rsidP="00241CB3" w:rsidRDefault="008220A8" w14:paraId="11DB586E" w14:textId="77777777">
      <w:pPr>
        <w:tabs>
          <w:tab w:val="center" w:pos="284"/>
        </w:tabs>
        <w:suppressAutoHyphens/>
        <w:overflowPunct w:val="0"/>
        <w:autoSpaceDE w:val="0"/>
        <w:autoSpaceDN w:val="0"/>
        <w:adjustRightInd w:val="0"/>
        <w:ind w:left="266" w:hanging="266"/>
        <w:textAlignment w:val="baseline"/>
        <w:rPr>
          <w:b/>
        </w:rPr>
      </w:pPr>
    </w:p>
    <w:p w:rsidRPr="00073C8F" w:rsidR="00DC0AB9" w:rsidP="00241CB3" w:rsidRDefault="00DC0AB9" w14:paraId="515867F3" w14:textId="3056ED53">
      <w:pPr>
        <w:tabs>
          <w:tab w:val="center" w:pos="284"/>
        </w:tabs>
        <w:suppressAutoHyphens/>
        <w:overflowPunct w:val="0"/>
        <w:autoSpaceDE w:val="0"/>
        <w:autoSpaceDN w:val="0"/>
        <w:adjustRightInd w:val="0"/>
        <w:ind w:left="266" w:hanging="266"/>
        <w:textAlignment w:val="baseline"/>
        <w:rPr>
          <w:b/>
        </w:rPr>
      </w:pPr>
      <w:r w:rsidRPr="00073C8F">
        <w:rPr>
          <w:b/>
        </w:rPr>
        <w:t>Główne punkty</w:t>
      </w:r>
    </w:p>
    <w:p w:rsidRPr="00073C8F" w:rsidR="00DC0AB9" w:rsidP="00241CB3" w:rsidRDefault="00DC0AB9" w14:paraId="4798BD21" w14:textId="77777777">
      <w:pPr>
        <w:tabs>
          <w:tab w:val="center" w:pos="284"/>
        </w:tabs>
        <w:suppressAutoHyphens/>
        <w:overflowPunct w:val="0"/>
        <w:autoSpaceDE w:val="0"/>
        <w:autoSpaceDN w:val="0"/>
        <w:adjustRightInd w:val="0"/>
        <w:ind w:left="266" w:hanging="266"/>
        <w:textAlignment w:val="baseline"/>
        <w:rPr>
          <w:b/>
        </w:rPr>
      </w:pPr>
    </w:p>
    <w:p w:rsidR="00DC0AB9" w:rsidP="00241CB3" w:rsidRDefault="00DC0AB9" w14:paraId="499C6B63" w14:textId="6680FE4B">
      <w:pPr>
        <w:tabs>
          <w:tab w:val="center" w:pos="284"/>
        </w:tabs>
        <w:suppressAutoHyphens/>
        <w:overflowPunct w:val="0"/>
        <w:autoSpaceDE w:val="0"/>
        <w:autoSpaceDN w:val="0"/>
        <w:adjustRightInd w:val="0"/>
        <w:ind w:left="266" w:hanging="266"/>
        <w:textAlignment w:val="baseline"/>
      </w:pPr>
      <w:r w:rsidRPr="00073C8F">
        <w:t>EKES:</w:t>
      </w:r>
    </w:p>
    <w:p w:rsidRPr="00073C8F" w:rsidR="00097E6F" w:rsidP="00241CB3" w:rsidRDefault="00097E6F" w14:paraId="7DA87EF3" w14:textId="77777777">
      <w:pPr>
        <w:tabs>
          <w:tab w:val="center" w:pos="284"/>
        </w:tabs>
        <w:suppressAutoHyphens/>
        <w:overflowPunct w:val="0"/>
        <w:autoSpaceDE w:val="0"/>
        <w:autoSpaceDN w:val="0"/>
        <w:adjustRightInd w:val="0"/>
        <w:ind w:left="266" w:hanging="266"/>
        <w:textAlignment w:val="baseline"/>
      </w:pPr>
    </w:p>
    <w:p w:rsidRPr="00073C8F" w:rsidR="00DC0AB9" w:rsidP="00596171" w:rsidRDefault="00DC0AB9" w14:paraId="10D08AFC" w14:textId="3885DC9F">
      <w:pPr>
        <w:numPr>
          <w:ilvl w:val="0"/>
          <w:numId w:val="20"/>
        </w:numPr>
        <w:tabs>
          <w:tab w:val="clear" w:pos="720"/>
        </w:tabs>
        <w:suppressAutoHyphens/>
        <w:overflowPunct w:val="0"/>
        <w:autoSpaceDE w:val="0"/>
        <w:autoSpaceDN w:val="0"/>
        <w:adjustRightInd w:val="0"/>
        <w:ind w:left="567" w:hanging="567"/>
        <w:textAlignment w:val="baseline"/>
      </w:pPr>
      <w:r w:rsidRPr="00073C8F">
        <w:t>Z zadowoleniem przyjmuje położenie przez UE nacisku na gotowość cywilną i zarządzanie kryzysowe oraz wniosek polskiej prezydencji UE o sporządzenie opinii rozpoznawczej w</w:t>
      </w:r>
      <w:r w:rsidR="00E421E9">
        <w:t> </w:t>
      </w:r>
      <w:r w:rsidRPr="00073C8F">
        <w:t>sprawie roli i doświadczenia organizacji społeczeństwa obywatelskiego w tej dziedzinie.</w:t>
      </w:r>
    </w:p>
    <w:p w:rsidRPr="00073C8F" w:rsidR="00DC0AB9" w:rsidP="00596171" w:rsidRDefault="00DC0AB9" w14:paraId="2B70AD1B" w14:textId="77777777">
      <w:pPr>
        <w:numPr>
          <w:ilvl w:val="0"/>
          <w:numId w:val="20"/>
        </w:numPr>
        <w:tabs>
          <w:tab w:val="clear" w:pos="720"/>
        </w:tabs>
        <w:suppressAutoHyphens/>
        <w:overflowPunct w:val="0"/>
        <w:autoSpaceDE w:val="0"/>
        <w:autoSpaceDN w:val="0"/>
        <w:adjustRightInd w:val="0"/>
        <w:ind w:left="567" w:hanging="567"/>
        <w:textAlignment w:val="baseline"/>
      </w:pPr>
      <w:r w:rsidRPr="00073C8F">
        <w:t>Jest gotowy przedstawić punkt widzenia społeczeństwa obywatelskiego na temat kolejnych kroków.</w:t>
      </w:r>
    </w:p>
    <w:p w:rsidRPr="00073C8F" w:rsidR="00DC0AB9" w:rsidP="00596171" w:rsidRDefault="00DC0AB9" w14:paraId="1CADAA32" w14:textId="77777777">
      <w:pPr>
        <w:numPr>
          <w:ilvl w:val="0"/>
          <w:numId w:val="20"/>
        </w:numPr>
        <w:tabs>
          <w:tab w:val="clear" w:pos="720"/>
        </w:tabs>
        <w:suppressAutoHyphens/>
        <w:overflowPunct w:val="0"/>
        <w:autoSpaceDE w:val="0"/>
        <w:autoSpaceDN w:val="0"/>
        <w:adjustRightInd w:val="0"/>
        <w:ind w:left="567" w:hanging="567"/>
        <w:textAlignment w:val="baseline"/>
      </w:pPr>
      <w:r w:rsidRPr="00073C8F">
        <w:t>Akcentuje potrzebę zmiany sposobu myślenia i wspierania kultury gotowości na wszystkich poziomach społeczeństwa i wśród wszystkich pokoleń.</w:t>
      </w:r>
    </w:p>
    <w:p w:rsidRPr="00073C8F" w:rsidR="00DC0AB9" w:rsidP="00596171" w:rsidRDefault="00DC0AB9" w14:paraId="4D66FB48" w14:textId="77777777">
      <w:pPr>
        <w:numPr>
          <w:ilvl w:val="0"/>
          <w:numId w:val="20"/>
        </w:numPr>
        <w:tabs>
          <w:tab w:val="clear" w:pos="720"/>
        </w:tabs>
        <w:suppressAutoHyphens/>
        <w:overflowPunct w:val="0"/>
        <w:autoSpaceDE w:val="0"/>
        <w:autoSpaceDN w:val="0"/>
        <w:adjustRightInd w:val="0"/>
        <w:ind w:left="567" w:hanging="567"/>
        <w:textAlignment w:val="baseline"/>
      </w:pPr>
      <w:r w:rsidRPr="00073C8F">
        <w:t>Podkreśla, że inicjatywy dotyczące gotowości muszą mieć na celu sprawiedliwy i trwały pokój, przy zajęciu się podstawowymi przyczynami konfliktu i wspieraniu warunków, które promują godność, równe szanse i postęp społeczny.</w:t>
      </w:r>
    </w:p>
    <w:p w:rsidRPr="00073C8F" w:rsidR="00DC0AB9" w:rsidP="00596171" w:rsidRDefault="00DC0AB9" w14:paraId="02C2DF10" w14:textId="77777777">
      <w:pPr>
        <w:numPr>
          <w:ilvl w:val="0"/>
          <w:numId w:val="20"/>
        </w:numPr>
        <w:tabs>
          <w:tab w:val="clear" w:pos="720"/>
        </w:tabs>
        <w:suppressAutoHyphens/>
        <w:overflowPunct w:val="0"/>
        <w:autoSpaceDE w:val="0"/>
        <w:autoSpaceDN w:val="0"/>
        <w:adjustRightInd w:val="0"/>
        <w:ind w:left="567" w:hanging="567"/>
        <w:textAlignment w:val="baseline"/>
      </w:pPr>
      <w:r w:rsidRPr="00073C8F">
        <w:t>Zwraca uwagę, że gotowość cywilna ma zasadnicze znaczenie dla odporności, ale podkreśla, że UE i państwa członkowskie pozostają odpowiedzialne za ochronę obywateli.</w:t>
      </w:r>
    </w:p>
    <w:p w:rsidRPr="00073C8F" w:rsidR="00DC0AB9" w:rsidP="00596171" w:rsidRDefault="00DC0AB9" w14:paraId="08F41D7E" w14:textId="77777777">
      <w:pPr>
        <w:numPr>
          <w:ilvl w:val="0"/>
          <w:numId w:val="20"/>
        </w:numPr>
        <w:tabs>
          <w:tab w:val="clear" w:pos="720"/>
        </w:tabs>
        <w:suppressAutoHyphens/>
        <w:overflowPunct w:val="0"/>
        <w:autoSpaceDE w:val="0"/>
        <w:autoSpaceDN w:val="0"/>
        <w:adjustRightInd w:val="0"/>
        <w:ind w:left="567" w:hanging="567"/>
        <w:textAlignment w:val="baseline"/>
      </w:pPr>
      <w:r w:rsidRPr="00073C8F">
        <w:t>Uznaje różnorodne role społeczeństwa obywatelskiego w państwach członkowskich i wzywa do wypracowania wspólnego zrozumienia między społeczeństwem obywatelskim a rządami na szczeblu państw członkowskich w zakresie roli i odpowiedzialności każdej z zainteresowanych stron.</w:t>
      </w:r>
    </w:p>
    <w:p w:rsidRPr="00073C8F" w:rsidR="00DC0AB9" w:rsidP="00596171" w:rsidRDefault="00DC0AB9" w14:paraId="181C127E" w14:textId="17B4D9DA">
      <w:pPr>
        <w:numPr>
          <w:ilvl w:val="0"/>
          <w:numId w:val="20"/>
        </w:numPr>
        <w:tabs>
          <w:tab w:val="clear" w:pos="720"/>
        </w:tabs>
        <w:suppressAutoHyphens/>
        <w:overflowPunct w:val="0"/>
        <w:autoSpaceDE w:val="0"/>
        <w:autoSpaceDN w:val="0"/>
        <w:adjustRightInd w:val="0"/>
        <w:ind w:left="567" w:hanging="567"/>
        <w:textAlignment w:val="baseline"/>
      </w:pPr>
      <w:r w:rsidRPr="00073C8F">
        <w:t>Podkreśla, że społeczeństwo obywatelskie przyczynia się do gotowości na wiele sposobów, w</w:t>
      </w:r>
      <w:r w:rsidR="00E421E9">
        <w:t> </w:t>
      </w:r>
      <w:r w:rsidRPr="00073C8F">
        <w:t>tym poprzez budowanie zaufania, spójność społeczną, aktywne obywatelstwo, podnoszenie świadomości, określanie ryzyka, docieranie do grup szczególnie wrażliwych, mobilizację wolontariuszy, wsparcie humanitarne oraz ochronę podstawowych praw i wolności.</w:t>
      </w:r>
    </w:p>
    <w:p w:rsidRPr="00073C8F" w:rsidR="00DC0AB9" w:rsidP="00596171" w:rsidRDefault="00DC0AB9" w14:paraId="07FE1A39" w14:textId="0BEB903E">
      <w:pPr>
        <w:numPr>
          <w:ilvl w:val="0"/>
          <w:numId w:val="20"/>
        </w:numPr>
        <w:tabs>
          <w:tab w:val="clear" w:pos="720"/>
        </w:tabs>
        <w:suppressAutoHyphens/>
        <w:overflowPunct w:val="0"/>
        <w:autoSpaceDE w:val="0"/>
        <w:autoSpaceDN w:val="0"/>
        <w:adjustRightInd w:val="0"/>
        <w:ind w:left="567" w:hanging="567"/>
        <w:textAlignment w:val="baseline"/>
      </w:pPr>
      <w:r w:rsidRPr="00073C8F">
        <w:t>Wzywa Komisję Europejską i państwa członkowskie do stworzenia niezbędnych warunków umożliwiających społeczeństwu obywatelskiemu uczestnictwo, wnoszenie wkładu i</w:t>
      </w:r>
      <w:r w:rsidR="00E421E9">
        <w:t> </w:t>
      </w:r>
      <w:r w:rsidRPr="00073C8F">
        <w:t>angażowanie się na równi z innymi zainteresowanymi stronami w kontekście rozwijania gotowości cywilnej.</w:t>
      </w:r>
    </w:p>
    <w:p w:rsidRPr="00073C8F" w:rsidR="00DC0AB9" w:rsidP="00596171" w:rsidRDefault="00DC0AB9" w14:paraId="3A40B89D" w14:textId="77777777">
      <w:pPr>
        <w:numPr>
          <w:ilvl w:val="0"/>
          <w:numId w:val="20"/>
        </w:numPr>
        <w:tabs>
          <w:tab w:val="clear" w:pos="720"/>
        </w:tabs>
        <w:suppressAutoHyphens/>
        <w:overflowPunct w:val="0"/>
        <w:autoSpaceDE w:val="0"/>
        <w:autoSpaceDN w:val="0"/>
        <w:adjustRightInd w:val="0"/>
        <w:ind w:left="567" w:hanging="567"/>
        <w:textAlignment w:val="baseline"/>
      </w:pPr>
      <w:r w:rsidRPr="00073C8F">
        <w:t>Apeluje o proaktywne inwestowanie w społeczeństwo obywatelskie w czasach pokoju, aby zapewnić odporność i zdolność reagowania kryzysowego w trudniejszych czasach.</w:t>
      </w:r>
    </w:p>
    <w:p w:rsidRPr="00073C8F" w:rsidR="00DC0AB9" w:rsidP="00596171" w:rsidRDefault="00DC0AB9" w14:paraId="5FF72E32" w14:textId="77777777">
      <w:pPr>
        <w:numPr>
          <w:ilvl w:val="0"/>
          <w:numId w:val="20"/>
        </w:numPr>
        <w:tabs>
          <w:tab w:val="clear" w:pos="720"/>
        </w:tabs>
        <w:suppressAutoHyphens/>
        <w:overflowPunct w:val="0"/>
        <w:autoSpaceDE w:val="0"/>
        <w:autoSpaceDN w:val="0"/>
        <w:adjustRightInd w:val="0"/>
        <w:ind w:left="567" w:hanging="567"/>
        <w:textAlignment w:val="baseline"/>
      </w:pPr>
      <w:r w:rsidRPr="00073C8F">
        <w:t>Wyraża zaniepokojenie kurczącą się przestrzenią społeczeństwa obywatelskiego i zagrożeniami dla demokracji oraz wzywa do opracowania kompleksowej strategii i planu działania.</w:t>
      </w:r>
    </w:p>
    <w:p w:rsidRPr="00073C8F" w:rsidR="00DC0AB9" w:rsidP="00596171" w:rsidRDefault="00DC0AB9" w14:paraId="28B41D84" w14:textId="77777777">
      <w:pPr>
        <w:numPr>
          <w:ilvl w:val="0"/>
          <w:numId w:val="20"/>
        </w:numPr>
        <w:tabs>
          <w:tab w:val="clear" w:pos="720"/>
        </w:tabs>
        <w:suppressAutoHyphens/>
        <w:overflowPunct w:val="0"/>
        <w:autoSpaceDE w:val="0"/>
        <w:autoSpaceDN w:val="0"/>
        <w:adjustRightInd w:val="0"/>
        <w:ind w:left="567" w:hanging="567"/>
        <w:textAlignment w:val="baseline"/>
      </w:pPr>
      <w:r w:rsidRPr="00073C8F">
        <w:t>Podkreśla potrzebę przejrzystego publicznego finansowania gotowości społeczeństwa obywatelskiego, w tym budowania potencjału i wsparcia w sytuacjach kryzysowych.</w:t>
      </w:r>
    </w:p>
    <w:p w:rsidRPr="00073C8F" w:rsidR="00DC0AB9" w:rsidP="00596171" w:rsidRDefault="00DC0AB9" w14:paraId="20DD1344" w14:textId="77777777">
      <w:pPr>
        <w:numPr>
          <w:ilvl w:val="0"/>
          <w:numId w:val="20"/>
        </w:numPr>
        <w:tabs>
          <w:tab w:val="clear" w:pos="720"/>
        </w:tabs>
        <w:suppressAutoHyphens/>
        <w:overflowPunct w:val="0"/>
        <w:autoSpaceDE w:val="0"/>
        <w:autoSpaceDN w:val="0"/>
        <w:adjustRightInd w:val="0"/>
        <w:ind w:left="567" w:hanging="567"/>
        <w:textAlignment w:val="baseline"/>
      </w:pPr>
      <w:r w:rsidRPr="00073C8F">
        <w:lastRenderedPageBreak/>
        <w:t>Zaleca obniżenie barier dla współpracy transgranicznej w celu usprawnienia reagowania kryzysowego i pomocy w sytuacjach kryzysowych.</w:t>
      </w:r>
    </w:p>
    <w:p w:rsidRPr="00073C8F" w:rsidR="00A214CF" w:rsidP="00241CB3" w:rsidRDefault="00A214CF" w14:paraId="1EAA2E49" w14:textId="77777777">
      <w:pPr>
        <w:suppressAutoHyphens/>
        <w:overflowPunct w:val="0"/>
        <w:autoSpaceDE w:val="0"/>
        <w:autoSpaceDN w:val="0"/>
        <w:adjustRightInd w:val="0"/>
        <w:textAlignment w:val="baseline"/>
      </w:pPr>
    </w:p>
    <w:tbl>
      <w:tblPr>
        <w:tblW w:w="3516" w:type="pct"/>
        <w:tblLook w:val="04A0" w:firstRow="1" w:lastRow="0" w:firstColumn="1" w:lastColumn="0" w:noHBand="0" w:noVBand="1"/>
      </w:tblPr>
      <w:tblGrid>
        <w:gridCol w:w="2033"/>
        <w:gridCol w:w="4499"/>
      </w:tblGrid>
      <w:tr w:rsidRPr="00073C8F" w:rsidR="00DC0AB9" w:rsidTr="002831E6" w14:paraId="16B3C191" w14:textId="77777777">
        <w:tc>
          <w:tcPr>
            <w:tcW w:w="1556" w:type="pct"/>
          </w:tcPr>
          <w:p w:rsidRPr="00073C8F" w:rsidR="00DC0AB9" w:rsidP="00241CB3" w:rsidRDefault="00DC0AB9" w14:paraId="0E2A2398" w14:textId="77777777">
            <w:pPr>
              <w:suppressAutoHyphens/>
              <w:overflowPunct w:val="0"/>
              <w:autoSpaceDE w:val="0"/>
              <w:autoSpaceDN w:val="0"/>
              <w:adjustRightInd w:val="0"/>
              <w:textAlignment w:val="baseline"/>
              <w:rPr>
                <w:i/>
              </w:rPr>
            </w:pPr>
            <w:r w:rsidRPr="00073C8F">
              <w:rPr>
                <w:b/>
                <w:i/>
              </w:rPr>
              <w:t>Kontakt</w:t>
            </w:r>
          </w:p>
        </w:tc>
        <w:tc>
          <w:tcPr>
            <w:tcW w:w="3444" w:type="pct"/>
          </w:tcPr>
          <w:p w:rsidRPr="00073C8F" w:rsidR="00DC0AB9" w:rsidP="00241CB3" w:rsidRDefault="00DC0AB9" w14:paraId="01A449E7" w14:textId="5975A0DC">
            <w:pPr>
              <w:suppressAutoHyphens/>
              <w:overflowPunct w:val="0"/>
              <w:autoSpaceDE w:val="0"/>
              <w:autoSpaceDN w:val="0"/>
              <w:adjustRightInd w:val="0"/>
              <w:textAlignment w:val="baseline"/>
              <w:rPr>
                <w:i/>
              </w:rPr>
            </w:pPr>
            <w:r w:rsidRPr="00073C8F">
              <w:rPr>
                <w:i/>
              </w:rPr>
              <w:t>Jean-Marie Rogue</w:t>
            </w:r>
          </w:p>
        </w:tc>
      </w:tr>
      <w:tr w:rsidRPr="00073C8F" w:rsidR="00DC0AB9" w:rsidTr="002831E6" w14:paraId="2548775B" w14:textId="77777777">
        <w:tc>
          <w:tcPr>
            <w:tcW w:w="1556" w:type="pct"/>
          </w:tcPr>
          <w:p w:rsidRPr="00073C8F" w:rsidR="00DC0AB9" w:rsidP="00241CB3" w:rsidRDefault="00DC0AB9" w14:paraId="09159652" w14:textId="77777777">
            <w:pPr>
              <w:suppressAutoHyphens/>
              <w:overflowPunct w:val="0"/>
              <w:autoSpaceDE w:val="0"/>
              <w:autoSpaceDN w:val="0"/>
              <w:adjustRightInd w:val="0"/>
              <w:textAlignment w:val="baseline"/>
              <w:rPr>
                <w:i/>
              </w:rPr>
            </w:pPr>
            <w:r w:rsidRPr="00073C8F">
              <w:rPr>
                <w:i/>
              </w:rPr>
              <w:t>tel.</w:t>
            </w:r>
          </w:p>
        </w:tc>
        <w:tc>
          <w:tcPr>
            <w:tcW w:w="3444" w:type="pct"/>
          </w:tcPr>
          <w:p w:rsidRPr="00073C8F" w:rsidR="00DC0AB9" w:rsidP="00241CB3" w:rsidRDefault="00DC0AB9" w14:paraId="1C348113" w14:textId="77777777">
            <w:pPr>
              <w:suppressAutoHyphens/>
              <w:overflowPunct w:val="0"/>
              <w:autoSpaceDE w:val="0"/>
              <w:autoSpaceDN w:val="0"/>
              <w:adjustRightInd w:val="0"/>
              <w:textAlignment w:val="baseline"/>
              <w:rPr>
                <w:i/>
              </w:rPr>
            </w:pPr>
            <w:r w:rsidRPr="00073C8F">
              <w:rPr>
                <w:i/>
              </w:rPr>
              <w:t>+32 25468909</w:t>
            </w:r>
          </w:p>
        </w:tc>
      </w:tr>
      <w:tr w:rsidRPr="00073C8F" w:rsidR="00DC0AB9" w:rsidTr="002831E6" w14:paraId="30F68046" w14:textId="77777777">
        <w:tc>
          <w:tcPr>
            <w:tcW w:w="1556" w:type="pct"/>
          </w:tcPr>
          <w:p w:rsidRPr="00073C8F" w:rsidR="00DC0AB9" w:rsidP="00241CB3" w:rsidRDefault="00DC0AB9" w14:paraId="681797CA" w14:textId="77777777">
            <w:pPr>
              <w:suppressAutoHyphens/>
              <w:overflowPunct w:val="0"/>
              <w:autoSpaceDE w:val="0"/>
              <w:autoSpaceDN w:val="0"/>
              <w:adjustRightInd w:val="0"/>
              <w:textAlignment w:val="baseline"/>
              <w:rPr>
                <w:i/>
              </w:rPr>
            </w:pPr>
            <w:r w:rsidRPr="00073C8F">
              <w:rPr>
                <w:i/>
              </w:rPr>
              <w:t>e-mail</w:t>
            </w:r>
          </w:p>
        </w:tc>
        <w:tc>
          <w:tcPr>
            <w:tcW w:w="3444" w:type="pct"/>
          </w:tcPr>
          <w:p w:rsidRPr="00073C8F" w:rsidR="00DC0AB9" w:rsidP="00241CB3" w:rsidRDefault="00DC0AB9" w14:paraId="6C270BA4" w14:textId="77777777">
            <w:pPr>
              <w:suppressAutoHyphens/>
              <w:overflowPunct w:val="0"/>
              <w:autoSpaceDE w:val="0"/>
              <w:autoSpaceDN w:val="0"/>
              <w:adjustRightInd w:val="0"/>
              <w:textAlignment w:val="baseline"/>
              <w:rPr>
                <w:color w:val="0000FF"/>
                <w:u w:val="single"/>
              </w:rPr>
            </w:pPr>
            <w:r w:rsidRPr="00073C8F">
              <w:rPr>
                <w:i/>
                <w:color w:val="0000FF"/>
                <w:u w:val="single"/>
              </w:rPr>
              <w:t>JeanMarie.Rogue@eesc.europa.eu</w:t>
            </w:r>
          </w:p>
        </w:tc>
      </w:tr>
    </w:tbl>
    <w:p w:rsidRPr="00073C8F" w:rsidR="000873F2" w:rsidP="00241CB3" w:rsidRDefault="000873F2" w14:paraId="1A4057DD" w14:textId="77777777">
      <w:pPr>
        <w:suppressAutoHyphens/>
        <w:jc w:val="left"/>
      </w:pPr>
      <w:r w:rsidRPr="00073C8F">
        <w:br w:type="page"/>
      </w:r>
    </w:p>
    <w:p w:rsidRPr="00073C8F" w:rsidR="00DC0AB9" w:rsidP="00241CB3" w:rsidRDefault="00DC0AB9" w14:paraId="209D8EF1" w14:textId="1C857A73">
      <w:pPr>
        <w:suppressAutoHyphens/>
        <w:jc w:val="left"/>
      </w:pPr>
    </w:p>
    <w:p w:rsidRPr="00073C8F" w:rsidR="00A0127B" w:rsidP="00241CB3" w:rsidRDefault="00A46594" w14:paraId="29FFECB2" w14:textId="01FBDAEF">
      <w:pPr>
        <w:pStyle w:val="ListParagraph"/>
        <w:numPr>
          <w:ilvl w:val="0"/>
          <w:numId w:val="21"/>
        </w:numPr>
        <w:suppressAutoHyphens/>
        <w:overflowPunct w:val="0"/>
        <w:autoSpaceDE w:val="0"/>
        <w:autoSpaceDN w:val="0"/>
        <w:adjustRightInd w:val="0"/>
        <w:ind w:hanging="578"/>
        <w:contextualSpacing w:val="0"/>
        <w:textAlignment w:val="baseline"/>
        <w:rPr>
          <w:sz w:val="28"/>
          <w:szCs w:val="28"/>
        </w:rPr>
      </w:pPr>
      <w:hyperlink w:history="1" r:id="rId22">
        <w:r w:rsidRPr="00073C8F" w:rsidR="0081023C">
          <w:rPr>
            <w:b/>
            <w:i/>
            <w:color w:val="0000FF"/>
            <w:sz w:val="28"/>
            <w:szCs w:val="28"/>
            <w:u w:val="single"/>
          </w:rPr>
          <w:t>Ocena ex post Funduszu Azylu, Migracji i Integracji w okresie programowania 2014–2020</w:t>
        </w:r>
      </w:hyperlink>
    </w:p>
    <w:p w:rsidRPr="00073C8F" w:rsidR="00A0127B" w:rsidP="00241CB3" w:rsidRDefault="00A0127B" w14:paraId="5A28244E" w14:textId="77777777">
      <w:pPr>
        <w:tabs>
          <w:tab w:val="center" w:pos="284"/>
        </w:tabs>
        <w:suppressAutoHyphens/>
        <w:overflowPunct w:val="0"/>
        <w:autoSpaceDE w:val="0"/>
        <w:autoSpaceDN w:val="0"/>
        <w:adjustRightInd w:val="0"/>
        <w:ind w:left="266" w:hanging="266"/>
        <w:textAlignment w:val="baseline"/>
        <w:rPr>
          <w:b/>
        </w:rPr>
      </w:pPr>
    </w:p>
    <w:tbl>
      <w:tblPr>
        <w:tblW w:w="5000" w:type="pct"/>
        <w:tblLook w:val="04A0" w:firstRow="1" w:lastRow="0" w:firstColumn="1" w:lastColumn="0" w:noHBand="0" w:noVBand="1"/>
      </w:tblPr>
      <w:tblGrid>
        <w:gridCol w:w="1915"/>
        <w:gridCol w:w="7374"/>
      </w:tblGrid>
      <w:tr w:rsidRPr="00073C8F" w:rsidR="00A0127B" w:rsidTr="00097E6F" w14:paraId="381C0E68" w14:textId="77777777">
        <w:tc>
          <w:tcPr>
            <w:tcW w:w="1031" w:type="pct"/>
          </w:tcPr>
          <w:p w:rsidRPr="00073C8F" w:rsidR="00A0127B" w:rsidP="00097E6F" w:rsidRDefault="00A0127B" w14:paraId="5105B4A7" w14:textId="77777777">
            <w:pPr>
              <w:tabs>
                <w:tab w:val="center" w:pos="284"/>
              </w:tabs>
              <w:suppressAutoHyphens/>
              <w:overflowPunct w:val="0"/>
              <w:autoSpaceDE w:val="0"/>
              <w:autoSpaceDN w:val="0"/>
              <w:adjustRightInd w:val="0"/>
              <w:textAlignment w:val="baseline"/>
              <w:rPr>
                <w:b/>
              </w:rPr>
            </w:pPr>
            <w:r w:rsidRPr="00073C8F">
              <w:rPr>
                <w:b/>
              </w:rPr>
              <w:t>Sprawozdawczyni</w:t>
            </w:r>
          </w:p>
        </w:tc>
        <w:tc>
          <w:tcPr>
            <w:tcW w:w="3969" w:type="pct"/>
          </w:tcPr>
          <w:p w:rsidR="00715DF2" w:rsidP="00097E6F" w:rsidRDefault="00A0127B" w14:paraId="538B7D77" w14:textId="77777777">
            <w:pPr>
              <w:tabs>
                <w:tab w:val="center" w:pos="284"/>
              </w:tabs>
              <w:suppressAutoHyphens/>
              <w:overflowPunct w:val="0"/>
              <w:autoSpaceDE w:val="0"/>
              <w:autoSpaceDN w:val="0"/>
              <w:adjustRightInd w:val="0"/>
              <w:textAlignment w:val="baseline"/>
            </w:pPr>
            <w:r w:rsidRPr="00073C8F">
              <w:t>Nicoletta MERLO (Grupa Pracowników – IT)</w:t>
            </w:r>
          </w:p>
          <w:p w:rsidRPr="00073C8F" w:rsidR="009529C7" w:rsidP="00097E6F" w:rsidRDefault="009529C7" w14:paraId="62F04F38" w14:textId="31A2F486">
            <w:pPr>
              <w:tabs>
                <w:tab w:val="center" w:pos="284"/>
              </w:tabs>
              <w:suppressAutoHyphens/>
              <w:overflowPunct w:val="0"/>
              <w:autoSpaceDE w:val="0"/>
              <w:autoSpaceDN w:val="0"/>
              <w:adjustRightInd w:val="0"/>
              <w:textAlignment w:val="baseline"/>
            </w:pPr>
          </w:p>
        </w:tc>
      </w:tr>
      <w:tr w:rsidRPr="00073C8F" w:rsidR="00A0127B" w:rsidTr="00097E6F" w14:paraId="4724D899" w14:textId="77777777">
        <w:tc>
          <w:tcPr>
            <w:tcW w:w="1031" w:type="pct"/>
          </w:tcPr>
          <w:p w:rsidRPr="00073C8F" w:rsidR="00A0127B" w:rsidP="00097E6F" w:rsidRDefault="00A0127B" w14:paraId="27617750" w14:textId="77777777">
            <w:pPr>
              <w:tabs>
                <w:tab w:val="center" w:pos="284"/>
              </w:tabs>
              <w:suppressAutoHyphens/>
              <w:overflowPunct w:val="0"/>
              <w:autoSpaceDE w:val="0"/>
              <w:autoSpaceDN w:val="0"/>
              <w:adjustRightInd w:val="0"/>
              <w:textAlignment w:val="baseline"/>
              <w:rPr>
                <w:b/>
              </w:rPr>
            </w:pPr>
            <w:r w:rsidRPr="00073C8F">
              <w:rPr>
                <w:b/>
              </w:rPr>
              <w:t>Dokumenty</w:t>
            </w:r>
          </w:p>
        </w:tc>
        <w:tc>
          <w:tcPr>
            <w:tcW w:w="3969" w:type="pct"/>
          </w:tcPr>
          <w:p w:rsidRPr="00073C8F" w:rsidR="00715DF2" w:rsidP="00097E6F" w:rsidRDefault="00715DF2" w14:paraId="73E2105C" w14:textId="18B87136">
            <w:pPr>
              <w:tabs>
                <w:tab w:val="center" w:pos="284"/>
              </w:tabs>
              <w:suppressAutoHyphens/>
              <w:overflowPunct w:val="0"/>
              <w:autoSpaceDE w:val="0"/>
              <w:autoSpaceDN w:val="0"/>
              <w:adjustRightInd w:val="0"/>
              <w:textAlignment w:val="baseline"/>
            </w:pPr>
            <w:r w:rsidRPr="00073C8F">
              <w:t>Raport z oceny na wniosek Komisji Europejskiej</w:t>
            </w:r>
          </w:p>
          <w:p w:rsidRPr="00073C8F" w:rsidR="00A0127B" w:rsidP="00097E6F" w:rsidRDefault="00A0127B" w14:paraId="612AEF22" w14:textId="57C702A5">
            <w:pPr>
              <w:tabs>
                <w:tab w:val="center" w:pos="284"/>
              </w:tabs>
              <w:suppressAutoHyphens/>
              <w:overflowPunct w:val="0"/>
              <w:autoSpaceDE w:val="0"/>
              <w:autoSpaceDN w:val="0"/>
              <w:adjustRightInd w:val="0"/>
              <w:textAlignment w:val="baseline"/>
            </w:pPr>
            <w:r w:rsidRPr="00073C8F">
              <w:t>EESC-2024-01881-00-00-RE</w:t>
            </w:r>
          </w:p>
        </w:tc>
      </w:tr>
    </w:tbl>
    <w:p w:rsidRPr="00073C8F" w:rsidR="00A0127B" w:rsidP="00241CB3" w:rsidRDefault="00A0127B" w14:paraId="6B9638FA" w14:textId="77777777">
      <w:pPr>
        <w:tabs>
          <w:tab w:val="center" w:pos="284"/>
        </w:tabs>
        <w:suppressAutoHyphens/>
        <w:overflowPunct w:val="0"/>
        <w:autoSpaceDE w:val="0"/>
        <w:autoSpaceDN w:val="0"/>
        <w:adjustRightInd w:val="0"/>
        <w:ind w:left="266" w:hanging="266"/>
        <w:textAlignment w:val="baseline"/>
        <w:rPr>
          <w:b/>
        </w:rPr>
      </w:pPr>
    </w:p>
    <w:p w:rsidRPr="00073C8F" w:rsidR="00A0127B" w:rsidP="00241CB3" w:rsidRDefault="00A0127B" w14:paraId="7D14AF06" w14:textId="77777777">
      <w:pPr>
        <w:tabs>
          <w:tab w:val="center" w:pos="284"/>
        </w:tabs>
        <w:suppressAutoHyphens/>
        <w:overflowPunct w:val="0"/>
        <w:autoSpaceDE w:val="0"/>
        <w:autoSpaceDN w:val="0"/>
        <w:adjustRightInd w:val="0"/>
        <w:ind w:left="266" w:hanging="266"/>
        <w:textAlignment w:val="baseline"/>
        <w:rPr>
          <w:b/>
        </w:rPr>
      </w:pPr>
      <w:r w:rsidRPr="00073C8F">
        <w:rPr>
          <w:b/>
        </w:rPr>
        <w:t>Główne punkty</w:t>
      </w:r>
    </w:p>
    <w:p w:rsidRPr="00073C8F" w:rsidR="00A0127B" w:rsidP="00241CB3" w:rsidRDefault="00A0127B" w14:paraId="1D8B8213" w14:textId="77777777">
      <w:pPr>
        <w:suppressAutoHyphens/>
        <w:overflowPunct w:val="0"/>
        <w:autoSpaceDE w:val="0"/>
        <w:autoSpaceDN w:val="0"/>
        <w:adjustRightInd w:val="0"/>
        <w:textAlignment w:val="baseline"/>
        <w:rPr>
          <w:b/>
        </w:rPr>
      </w:pPr>
    </w:p>
    <w:p w:rsidR="00A0127B" w:rsidP="00241CB3" w:rsidRDefault="00A0127B" w14:paraId="0C09E75A" w14:textId="73227052">
      <w:pPr>
        <w:suppressAutoHyphens/>
        <w:overflowPunct w:val="0"/>
        <w:autoSpaceDE w:val="0"/>
        <w:autoSpaceDN w:val="0"/>
        <w:adjustRightInd w:val="0"/>
        <w:textAlignment w:val="baseline"/>
      </w:pPr>
      <w:r w:rsidRPr="00073C8F">
        <w:t>EKES:</w:t>
      </w:r>
    </w:p>
    <w:p w:rsidRPr="00073C8F" w:rsidR="00097E6F" w:rsidP="00241CB3" w:rsidRDefault="00097E6F" w14:paraId="0B3BFB92" w14:textId="77777777">
      <w:pPr>
        <w:suppressAutoHyphens/>
        <w:overflowPunct w:val="0"/>
        <w:autoSpaceDE w:val="0"/>
        <w:autoSpaceDN w:val="0"/>
        <w:adjustRightInd w:val="0"/>
        <w:textAlignment w:val="baseline"/>
        <w:rPr>
          <w:bCs/>
          <w:iCs/>
        </w:rPr>
      </w:pPr>
    </w:p>
    <w:p w:rsidRPr="00073C8F" w:rsidR="00A0127B" w:rsidP="00596171" w:rsidRDefault="00A0127B" w14:paraId="72FD1001" w14:textId="77777777">
      <w:pPr>
        <w:numPr>
          <w:ilvl w:val="0"/>
          <w:numId w:val="22"/>
        </w:numPr>
        <w:suppressAutoHyphens/>
        <w:overflowPunct w:val="0"/>
        <w:autoSpaceDE w:val="0"/>
        <w:autoSpaceDN w:val="0"/>
        <w:adjustRightInd w:val="0"/>
        <w:ind w:left="567" w:hanging="567"/>
        <w:textAlignment w:val="baseline"/>
      </w:pPr>
      <w:r w:rsidRPr="00073C8F">
        <w:t xml:space="preserve">Uznaje, że FAMI w okresie 2014–2020 miał </w:t>
      </w:r>
      <w:r w:rsidRPr="00073C8F">
        <w:rPr>
          <w:b/>
        </w:rPr>
        <w:t>zasadnicze znaczenie</w:t>
      </w:r>
      <w:r w:rsidRPr="00073C8F">
        <w:t xml:space="preserve"> dla reagowania na potrzeby państw członkowskich w dziedzinie azylu, migracji i integracji. Jednakże </w:t>
      </w:r>
      <w:r w:rsidRPr="00073C8F">
        <w:rPr>
          <w:b/>
        </w:rPr>
        <w:t>obciążenia administracyjne mogą osłabić skuteczność</w:t>
      </w:r>
      <w:r w:rsidRPr="00073C8F">
        <w:t xml:space="preserve"> projektów, ponieważ pracownicy są zmuszeni poświęcać więcej czasu na formalności niż na realizację działań w terenie.</w:t>
      </w:r>
    </w:p>
    <w:p w:rsidRPr="00073C8F" w:rsidR="00A0127B" w:rsidP="00596171" w:rsidRDefault="00A0127B" w14:paraId="715BEBEC" w14:textId="08BD4B16">
      <w:pPr>
        <w:numPr>
          <w:ilvl w:val="0"/>
          <w:numId w:val="22"/>
        </w:numPr>
        <w:suppressAutoHyphens/>
        <w:overflowPunct w:val="0"/>
        <w:autoSpaceDE w:val="0"/>
        <w:autoSpaceDN w:val="0"/>
        <w:adjustRightInd w:val="0"/>
        <w:ind w:left="567" w:hanging="567"/>
        <w:textAlignment w:val="baseline"/>
      </w:pPr>
      <w:r w:rsidRPr="00073C8F">
        <w:t xml:space="preserve">Zaleca </w:t>
      </w:r>
      <w:r w:rsidRPr="00073C8F">
        <w:rPr>
          <w:b/>
        </w:rPr>
        <w:t>dalsze udoskonalanie koncepcji i wdrażania</w:t>
      </w:r>
      <w:r w:rsidRPr="00073C8F">
        <w:t xml:space="preserve"> FAMI, aby uwzględnić </w:t>
      </w:r>
      <w:r w:rsidRPr="00073C8F">
        <w:rPr>
          <w:b/>
        </w:rPr>
        <w:t>szczególne wyzwania i potrzeby</w:t>
      </w:r>
      <w:r w:rsidRPr="00073C8F">
        <w:t xml:space="preserve"> </w:t>
      </w:r>
      <w:r w:rsidRPr="00073C8F">
        <w:rPr>
          <w:b/>
        </w:rPr>
        <w:t>wszystkich krajów UE</w:t>
      </w:r>
      <w:r w:rsidRPr="00073C8F">
        <w:t xml:space="preserve"> (w zależności od tego, czy są to kraje pierwszego wjazdu, kraje tranzytu czy też kraje docelowe), a także ich struktury i zdolności.</w:t>
      </w:r>
    </w:p>
    <w:p w:rsidRPr="00073C8F" w:rsidR="00A0127B" w:rsidP="00596171" w:rsidRDefault="00A0127B" w14:paraId="6E76BCC9" w14:textId="05A3CE20">
      <w:pPr>
        <w:numPr>
          <w:ilvl w:val="0"/>
          <w:numId w:val="22"/>
        </w:numPr>
        <w:suppressAutoHyphens/>
        <w:overflowPunct w:val="0"/>
        <w:autoSpaceDE w:val="0"/>
        <w:autoSpaceDN w:val="0"/>
        <w:adjustRightInd w:val="0"/>
        <w:ind w:left="567" w:hanging="567"/>
        <w:textAlignment w:val="baseline"/>
      </w:pPr>
      <w:r w:rsidRPr="00073C8F">
        <w:t>Zaleca, aby uwagi EKES-u, partnerów społecznych, organizacji społeczeństwa obywatelskiego i</w:t>
      </w:r>
      <w:r w:rsidR="00E421E9">
        <w:t> </w:t>
      </w:r>
      <w:r w:rsidRPr="00073C8F">
        <w:t xml:space="preserve">innych zainteresowanych stron uczestniczących w projektach były gromadzone na </w:t>
      </w:r>
      <w:r w:rsidRPr="00073C8F">
        <w:rPr>
          <w:b/>
        </w:rPr>
        <w:t>etapach oceny ex ante i oceny śródokresowej</w:t>
      </w:r>
      <w:r w:rsidRPr="00073C8F">
        <w:t>, a następnie uwzględniane podczas opracowywania i</w:t>
      </w:r>
      <w:r w:rsidR="00E421E9">
        <w:t> </w:t>
      </w:r>
      <w:r w:rsidRPr="00073C8F">
        <w:t>wdrażania przyszłego programu, tak by był on skuteczniejszy.</w:t>
      </w:r>
    </w:p>
    <w:p w:rsidRPr="00073C8F" w:rsidR="00A0127B" w:rsidP="00596171" w:rsidRDefault="00A0127B" w14:paraId="5C355531" w14:textId="77777777">
      <w:pPr>
        <w:numPr>
          <w:ilvl w:val="0"/>
          <w:numId w:val="22"/>
        </w:numPr>
        <w:suppressAutoHyphens/>
        <w:overflowPunct w:val="0"/>
        <w:autoSpaceDE w:val="0"/>
        <w:autoSpaceDN w:val="0"/>
        <w:adjustRightInd w:val="0"/>
        <w:ind w:left="567" w:hanging="567"/>
        <w:textAlignment w:val="baseline"/>
      </w:pPr>
      <w:r w:rsidRPr="00073C8F">
        <w:t xml:space="preserve">Podkreśla, że </w:t>
      </w:r>
      <w:r w:rsidRPr="00073C8F">
        <w:rPr>
          <w:b/>
        </w:rPr>
        <w:t>konieczna jest większa elastyczność we wdrażaniu działań</w:t>
      </w:r>
      <w:r w:rsidRPr="00073C8F">
        <w:t xml:space="preserve"> w celu terminowego zaspokojenia lokalnych i indywidualnych priorytetów i potrzeb, zwłaszcza w przypadku osób znajdujących się w szczególnie niekorzystnej sytuacji. </w:t>
      </w:r>
    </w:p>
    <w:p w:rsidRPr="00073C8F" w:rsidR="00A0127B" w:rsidP="00596171" w:rsidRDefault="00A0127B" w14:paraId="0512217B" w14:textId="6B60C8F2">
      <w:pPr>
        <w:numPr>
          <w:ilvl w:val="0"/>
          <w:numId w:val="22"/>
        </w:numPr>
        <w:suppressAutoHyphens/>
        <w:overflowPunct w:val="0"/>
        <w:autoSpaceDE w:val="0"/>
        <w:autoSpaceDN w:val="0"/>
        <w:adjustRightInd w:val="0"/>
        <w:ind w:left="567" w:hanging="567"/>
        <w:textAlignment w:val="baseline"/>
      </w:pPr>
      <w:r w:rsidRPr="00073C8F">
        <w:t xml:space="preserve">Zauważa, że inicjatorzy projektów muszą otrzymywać potwierdzenie </w:t>
      </w:r>
      <w:r w:rsidRPr="00073C8F">
        <w:rPr>
          <w:b/>
        </w:rPr>
        <w:t>finansowania z</w:t>
      </w:r>
      <w:r w:rsidR="00E421E9">
        <w:t> </w:t>
      </w:r>
      <w:r w:rsidRPr="00073C8F">
        <w:rPr>
          <w:b/>
        </w:rPr>
        <w:t>odpowiednim wyprzedzeniem, a środki muszą być wystarczające</w:t>
      </w:r>
      <w:r w:rsidRPr="00073C8F">
        <w:t xml:space="preserve"> na pokrycie całego czasu trwania projektów i </w:t>
      </w:r>
      <w:r w:rsidRPr="00073C8F">
        <w:rPr>
          <w:b/>
        </w:rPr>
        <w:t>dotrzeć na czas</w:t>
      </w:r>
      <w:r w:rsidRPr="00073C8F">
        <w:t>.</w:t>
      </w:r>
    </w:p>
    <w:p w:rsidRPr="00073C8F" w:rsidR="00A0127B" w:rsidP="00596171" w:rsidRDefault="00A0127B" w14:paraId="239B15A5" w14:textId="41C086E3">
      <w:pPr>
        <w:numPr>
          <w:ilvl w:val="0"/>
          <w:numId w:val="22"/>
        </w:numPr>
        <w:suppressAutoHyphens/>
        <w:overflowPunct w:val="0"/>
        <w:autoSpaceDE w:val="0"/>
        <w:autoSpaceDN w:val="0"/>
        <w:adjustRightInd w:val="0"/>
        <w:ind w:left="567" w:hanging="567"/>
        <w:textAlignment w:val="baseline"/>
      </w:pPr>
      <w:r w:rsidRPr="00073C8F">
        <w:t xml:space="preserve">Podkreśla, że </w:t>
      </w:r>
      <w:r w:rsidRPr="00073C8F">
        <w:rPr>
          <w:b/>
        </w:rPr>
        <w:t>biurokracja i wymogi administracyjne muszą zostać złagodzone i</w:t>
      </w:r>
      <w:r w:rsidR="00E421E9">
        <w:t> </w:t>
      </w:r>
      <w:r w:rsidRPr="00073C8F">
        <w:rPr>
          <w:b/>
        </w:rPr>
        <w:t>uproszczone</w:t>
      </w:r>
      <w:r w:rsidRPr="00073C8F">
        <w:t>, a obciążenie administracyjne – zmniejszone.</w:t>
      </w:r>
    </w:p>
    <w:p w:rsidRPr="00073C8F" w:rsidR="00A0127B" w:rsidP="00596171" w:rsidRDefault="00A0127B" w14:paraId="0F9A29FE" w14:textId="77777777">
      <w:pPr>
        <w:numPr>
          <w:ilvl w:val="0"/>
          <w:numId w:val="22"/>
        </w:numPr>
        <w:suppressAutoHyphens/>
        <w:overflowPunct w:val="0"/>
        <w:autoSpaceDE w:val="0"/>
        <w:autoSpaceDN w:val="0"/>
        <w:adjustRightInd w:val="0"/>
        <w:ind w:left="567" w:hanging="567"/>
        <w:textAlignment w:val="baseline"/>
      </w:pPr>
      <w:r w:rsidRPr="00073C8F">
        <w:rPr>
          <w:b/>
        </w:rPr>
        <w:t>Zwraca uwagę</w:t>
      </w:r>
      <w:r w:rsidRPr="00073C8F">
        <w:t xml:space="preserve">, że fundusz stworzył </w:t>
      </w:r>
      <w:r w:rsidRPr="00073C8F">
        <w:rPr>
          <w:b/>
        </w:rPr>
        <w:t>doskonałe możliwości</w:t>
      </w:r>
      <w:r w:rsidRPr="00073C8F">
        <w:t xml:space="preserve"> budowania </w:t>
      </w:r>
      <w:r w:rsidRPr="00073C8F">
        <w:rPr>
          <w:b/>
        </w:rPr>
        <w:t>silniejszych powiązań i sieci między zainteresowanymi stronami</w:t>
      </w:r>
      <w:r w:rsidRPr="00073C8F">
        <w:t>. Należy poprawić komunikację i współpracę między promotorami projektów a odpowiedzialnymi organami publicznymi.</w:t>
      </w:r>
    </w:p>
    <w:p w:rsidRPr="00073C8F" w:rsidR="00A0127B" w:rsidP="00596171" w:rsidRDefault="00A0127B" w14:paraId="2849C0F4" w14:textId="68350D8F">
      <w:pPr>
        <w:numPr>
          <w:ilvl w:val="0"/>
          <w:numId w:val="22"/>
        </w:numPr>
        <w:suppressAutoHyphens/>
        <w:overflowPunct w:val="0"/>
        <w:autoSpaceDE w:val="0"/>
        <w:autoSpaceDN w:val="0"/>
        <w:adjustRightInd w:val="0"/>
        <w:ind w:left="567" w:hanging="567"/>
        <w:textAlignment w:val="baseline"/>
      </w:pPr>
      <w:r w:rsidRPr="00073C8F">
        <w:t xml:space="preserve">Podkreśla, że </w:t>
      </w:r>
      <w:r w:rsidRPr="00073C8F">
        <w:rPr>
          <w:b/>
        </w:rPr>
        <w:t>komitety monitorujące/nadzorujące</w:t>
      </w:r>
      <w:r w:rsidRPr="00073C8F">
        <w:t xml:space="preserve"> fundusz FAMI powinny zostać utworzone we wszystkich państwach członkowskich, a organizacje społeczeństwa obywatelskiego i</w:t>
      </w:r>
      <w:r w:rsidR="00E421E9">
        <w:t> </w:t>
      </w:r>
      <w:r w:rsidRPr="00073C8F">
        <w:t xml:space="preserve">partnerzy społeczni zaangażowani w tym obszarze muszą być </w:t>
      </w:r>
      <w:r w:rsidRPr="00073C8F">
        <w:rPr>
          <w:b/>
        </w:rPr>
        <w:t>pełnoprawnymi członkami tych komitetów</w:t>
      </w:r>
      <w:r w:rsidRPr="00073C8F">
        <w:t>.</w:t>
      </w:r>
    </w:p>
    <w:p w:rsidRPr="00073C8F" w:rsidR="00A0127B" w:rsidP="00241CB3" w:rsidRDefault="00A0127B" w14:paraId="307C15A7" w14:textId="77777777">
      <w:pPr>
        <w:suppressAutoHyphens/>
        <w:overflowPunct w:val="0"/>
        <w:autoSpaceDE w:val="0"/>
        <w:autoSpaceDN w:val="0"/>
        <w:adjustRightInd w:val="0"/>
        <w:ind w:left="709"/>
        <w:textAlignment w:val="baseline"/>
      </w:pPr>
    </w:p>
    <w:tbl>
      <w:tblPr>
        <w:tblW w:w="9322" w:type="dxa"/>
        <w:tblLook w:val="04A0" w:firstRow="1" w:lastRow="0" w:firstColumn="1" w:lastColumn="0" w:noHBand="0" w:noVBand="1"/>
      </w:tblPr>
      <w:tblGrid>
        <w:gridCol w:w="1418"/>
        <w:gridCol w:w="7904"/>
      </w:tblGrid>
      <w:tr w:rsidRPr="00073C8F" w:rsidR="00A0127B" w:rsidTr="002831E6" w14:paraId="7C4C0FA1" w14:textId="77777777">
        <w:tc>
          <w:tcPr>
            <w:tcW w:w="1418" w:type="dxa"/>
          </w:tcPr>
          <w:p w:rsidRPr="00073C8F" w:rsidR="00A0127B" w:rsidP="00241CB3" w:rsidRDefault="00A0127B" w14:paraId="2357664F" w14:textId="77777777">
            <w:pPr>
              <w:suppressAutoHyphens/>
              <w:overflowPunct w:val="0"/>
              <w:autoSpaceDE w:val="0"/>
              <w:autoSpaceDN w:val="0"/>
              <w:adjustRightInd w:val="0"/>
              <w:textAlignment w:val="baseline"/>
              <w:rPr>
                <w:i/>
              </w:rPr>
            </w:pPr>
            <w:r w:rsidRPr="00073C8F">
              <w:rPr>
                <w:b/>
                <w:i/>
              </w:rPr>
              <w:t>Kontakt</w:t>
            </w:r>
          </w:p>
        </w:tc>
        <w:tc>
          <w:tcPr>
            <w:tcW w:w="7904" w:type="dxa"/>
          </w:tcPr>
          <w:p w:rsidRPr="00073C8F" w:rsidR="00A0127B" w:rsidP="00241CB3" w:rsidRDefault="00A0127B" w14:paraId="6AFCB8D7" w14:textId="77777777">
            <w:pPr>
              <w:suppressAutoHyphens/>
              <w:overflowPunct w:val="0"/>
              <w:autoSpaceDE w:val="0"/>
              <w:autoSpaceDN w:val="0"/>
              <w:adjustRightInd w:val="0"/>
              <w:textAlignment w:val="baseline"/>
              <w:rPr>
                <w:i/>
              </w:rPr>
            </w:pPr>
            <w:r w:rsidRPr="00073C8F">
              <w:rPr>
                <w:i/>
              </w:rPr>
              <w:t>Triin Aasmaa Gomes</w:t>
            </w:r>
          </w:p>
        </w:tc>
      </w:tr>
      <w:tr w:rsidRPr="00073C8F" w:rsidR="00A0127B" w:rsidTr="002831E6" w14:paraId="146526F9" w14:textId="77777777">
        <w:tc>
          <w:tcPr>
            <w:tcW w:w="1418" w:type="dxa"/>
          </w:tcPr>
          <w:p w:rsidRPr="00073C8F" w:rsidR="00A0127B" w:rsidP="00241CB3" w:rsidRDefault="00A0127B" w14:paraId="0D0099B0" w14:textId="60F65372">
            <w:pPr>
              <w:suppressAutoHyphens/>
              <w:overflowPunct w:val="0"/>
              <w:autoSpaceDE w:val="0"/>
              <w:autoSpaceDN w:val="0"/>
              <w:adjustRightInd w:val="0"/>
              <w:textAlignment w:val="baseline"/>
              <w:rPr>
                <w:i/>
              </w:rPr>
            </w:pPr>
            <w:r w:rsidRPr="00073C8F">
              <w:rPr>
                <w:i/>
              </w:rPr>
              <w:t>tel.</w:t>
            </w:r>
          </w:p>
        </w:tc>
        <w:tc>
          <w:tcPr>
            <w:tcW w:w="7904" w:type="dxa"/>
          </w:tcPr>
          <w:p w:rsidRPr="00073C8F" w:rsidR="00A0127B" w:rsidP="00241CB3" w:rsidRDefault="00A0127B" w14:paraId="6B14B4B3" w14:textId="77777777">
            <w:pPr>
              <w:suppressAutoHyphens/>
              <w:overflowPunct w:val="0"/>
              <w:autoSpaceDE w:val="0"/>
              <w:autoSpaceDN w:val="0"/>
              <w:adjustRightInd w:val="0"/>
              <w:textAlignment w:val="baseline"/>
              <w:rPr>
                <w:i/>
              </w:rPr>
            </w:pPr>
            <w:r w:rsidRPr="00073C8F">
              <w:rPr>
                <w:i/>
              </w:rPr>
              <w:t>+32 25469524</w:t>
            </w:r>
          </w:p>
        </w:tc>
      </w:tr>
      <w:tr w:rsidRPr="00073C8F" w:rsidR="00A0127B" w:rsidTr="002831E6" w14:paraId="29CB3F89" w14:textId="77777777">
        <w:tc>
          <w:tcPr>
            <w:tcW w:w="1418" w:type="dxa"/>
          </w:tcPr>
          <w:p w:rsidRPr="00073C8F" w:rsidR="00A0127B" w:rsidP="00241CB3" w:rsidRDefault="00683410" w14:paraId="0794E053" w14:textId="53D6027A">
            <w:pPr>
              <w:suppressAutoHyphens/>
              <w:overflowPunct w:val="0"/>
              <w:autoSpaceDE w:val="0"/>
              <w:autoSpaceDN w:val="0"/>
              <w:adjustRightInd w:val="0"/>
              <w:textAlignment w:val="baseline"/>
              <w:rPr>
                <w:i/>
              </w:rPr>
            </w:pPr>
            <w:r w:rsidRPr="00073C8F">
              <w:rPr>
                <w:i/>
              </w:rPr>
              <w:t>e-mail</w:t>
            </w:r>
          </w:p>
        </w:tc>
        <w:tc>
          <w:tcPr>
            <w:tcW w:w="7904" w:type="dxa"/>
          </w:tcPr>
          <w:p w:rsidRPr="00073C8F" w:rsidR="00A0127B" w:rsidP="00241CB3" w:rsidRDefault="00A46594" w14:paraId="756E76AA" w14:textId="77777777">
            <w:pPr>
              <w:suppressAutoHyphens/>
              <w:overflowPunct w:val="0"/>
              <w:autoSpaceDE w:val="0"/>
              <w:autoSpaceDN w:val="0"/>
              <w:adjustRightInd w:val="0"/>
              <w:textAlignment w:val="baseline"/>
            </w:pPr>
            <w:hyperlink w:history="1" r:id="rId23">
              <w:r w:rsidRPr="00073C8F" w:rsidR="0081023C">
                <w:rPr>
                  <w:i/>
                  <w:color w:val="0000FF"/>
                  <w:u w:val="single"/>
                </w:rPr>
                <w:t>Triin.AasmaaGomes@eesc.europa.eu</w:t>
              </w:r>
            </w:hyperlink>
          </w:p>
        </w:tc>
      </w:tr>
    </w:tbl>
    <w:p w:rsidRPr="00073C8F" w:rsidR="00A0127B" w:rsidP="00241CB3" w:rsidRDefault="00A0127B" w14:paraId="5F5A2DDA" w14:textId="77777777">
      <w:pPr>
        <w:suppressAutoHyphens/>
        <w:jc w:val="left"/>
      </w:pPr>
      <w:r w:rsidRPr="00073C8F">
        <w:br w:type="page"/>
      </w:r>
    </w:p>
    <w:p w:rsidRPr="00073C8F" w:rsidR="0027426D" w:rsidP="00241CB3" w:rsidRDefault="00A46594" w14:paraId="4A517BA7" w14:textId="676B25FC">
      <w:pPr>
        <w:numPr>
          <w:ilvl w:val="0"/>
          <w:numId w:val="4"/>
        </w:numPr>
        <w:suppressAutoHyphens/>
        <w:overflowPunct w:val="0"/>
        <w:autoSpaceDE w:val="0"/>
        <w:autoSpaceDN w:val="0"/>
        <w:adjustRightInd w:val="0"/>
        <w:ind w:hanging="567"/>
        <w:textAlignment w:val="baseline"/>
        <w:rPr>
          <w:b/>
          <w:bCs/>
          <w:sz w:val="28"/>
          <w:szCs w:val="28"/>
        </w:rPr>
      </w:pPr>
      <w:hyperlink w:history="1" r:id="rId24">
        <w:r w:rsidRPr="00073C8F" w:rsidR="0081023C">
          <w:rPr>
            <w:b/>
            <w:i/>
            <w:color w:val="0000FF"/>
            <w:sz w:val="28"/>
            <w:szCs w:val="28"/>
            <w:u w:val="single"/>
          </w:rPr>
          <w:t>Bezpieczeństwo i higiena pracy: obecne i przyszłe wyzwania w kontekście tradycyjnych i nowych technologii, ze szczególnym uwzględnieniem sztucznej inteligencji</w:t>
        </w:r>
      </w:hyperlink>
    </w:p>
    <w:p w:rsidRPr="00073C8F" w:rsidR="0027426D" w:rsidP="00241CB3" w:rsidRDefault="0027426D" w14:paraId="3301925B" w14:textId="77777777">
      <w:pPr>
        <w:tabs>
          <w:tab w:val="center" w:pos="284"/>
        </w:tabs>
        <w:suppressAutoHyphens/>
        <w:overflowPunct w:val="0"/>
        <w:autoSpaceDE w:val="0"/>
        <w:autoSpaceDN w:val="0"/>
        <w:adjustRightInd w:val="0"/>
        <w:ind w:left="266" w:hanging="266"/>
        <w:textAlignment w:val="baseline"/>
      </w:pPr>
    </w:p>
    <w:tbl>
      <w:tblPr>
        <w:tblW w:w="5000" w:type="pct"/>
        <w:tblLook w:val="04A0" w:firstRow="1" w:lastRow="0" w:firstColumn="1" w:lastColumn="0" w:noHBand="0" w:noVBand="1"/>
      </w:tblPr>
      <w:tblGrid>
        <w:gridCol w:w="1653"/>
        <w:gridCol w:w="7636"/>
      </w:tblGrid>
      <w:tr w:rsidRPr="00073C8F" w:rsidR="0027426D" w:rsidTr="00097E6F" w14:paraId="6ACC80D8" w14:textId="77777777">
        <w:tc>
          <w:tcPr>
            <w:tcW w:w="890" w:type="pct"/>
          </w:tcPr>
          <w:p w:rsidRPr="00073C8F" w:rsidR="0027426D" w:rsidP="00097E6F" w:rsidRDefault="0027426D" w14:paraId="5E587AFC" w14:textId="77777777">
            <w:pPr>
              <w:tabs>
                <w:tab w:val="center" w:pos="284"/>
              </w:tabs>
              <w:suppressAutoHyphens/>
              <w:overflowPunct w:val="0"/>
              <w:autoSpaceDE w:val="0"/>
              <w:autoSpaceDN w:val="0"/>
              <w:adjustRightInd w:val="0"/>
              <w:textAlignment w:val="baseline"/>
              <w:rPr>
                <w:b/>
                <w:bCs/>
              </w:rPr>
            </w:pPr>
            <w:r w:rsidRPr="00073C8F">
              <w:rPr>
                <w:b/>
              </w:rPr>
              <w:t>Sprawozdawca</w:t>
            </w:r>
          </w:p>
        </w:tc>
        <w:tc>
          <w:tcPr>
            <w:tcW w:w="4110" w:type="pct"/>
          </w:tcPr>
          <w:p w:rsidRPr="00073C8F" w:rsidR="0027426D" w:rsidP="00097E6F" w:rsidRDefault="0027426D" w14:paraId="2A390BED" w14:textId="149D17E8">
            <w:pPr>
              <w:tabs>
                <w:tab w:val="center" w:pos="284"/>
              </w:tabs>
              <w:suppressAutoHyphens/>
              <w:overflowPunct w:val="0"/>
              <w:autoSpaceDE w:val="0"/>
              <w:autoSpaceDN w:val="0"/>
              <w:adjustRightInd w:val="0"/>
              <w:textAlignment w:val="baseline"/>
            </w:pPr>
            <w:r w:rsidRPr="00073C8F">
              <w:t>Carlos Manuel TRINDADE (Grupa Pracowników – PT)</w:t>
            </w:r>
          </w:p>
          <w:p w:rsidRPr="00073C8F" w:rsidR="00683410" w:rsidP="00097E6F" w:rsidRDefault="00683410" w14:paraId="0372EBCB" w14:textId="75B3D2BA">
            <w:pPr>
              <w:tabs>
                <w:tab w:val="center" w:pos="284"/>
              </w:tabs>
              <w:suppressAutoHyphens/>
              <w:overflowPunct w:val="0"/>
              <w:autoSpaceDE w:val="0"/>
              <w:autoSpaceDN w:val="0"/>
              <w:adjustRightInd w:val="0"/>
              <w:textAlignment w:val="baseline"/>
            </w:pPr>
          </w:p>
        </w:tc>
      </w:tr>
      <w:tr w:rsidRPr="00073C8F" w:rsidR="0027426D" w:rsidTr="00097E6F" w14:paraId="573511AE" w14:textId="77777777">
        <w:tc>
          <w:tcPr>
            <w:tcW w:w="890" w:type="pct"/>
          </w:tcPr>
          <w:p w:rsidRPr="00073C8F" w:rsidR="0027426D" w:rsidP="00097E6F" w:rsidRDefault="0027426D" w14:paraId="4277BDDA" w14:textId="77777777">
            <w:pPr>
              <w:tabs>
                <w:tab w:val="center" w:pos="284"/>
              </w:tabs>
              <w:suppressAutoHyphens/>
              <w:overflowPunct w:val="0"/>
              <w:autoSpaceDE w:val="0"/>
              <w:autoSpaceDN w:val="0"/>
              <w:adjustRightInd w:val="0"/>
              <w:textAlignment w:val="baseline"/>
              <w:rPr>
                <w:b/>
                <w:bCs/>
              </w:rPr>
            </w:pPr>
            <w:r w:rsidRPr="00073C8F">
              <w:rPr>
                <w:b/>
              </w:rPr>
              <w:t>Dokumenty</w:t>
            </w:r>
          </w:p>
        </w:tc>
        <w:tc>
          <w:tcPr>
            <w:tcW w:w="4110" w:type="pct"/>
          </w:tcPr>
          <w:p w:rsidRPr="00073C8F" w:rsidR="00710DB5" w:rsidP="00097E6F" w:rsidRDefault="00710DB5" w14:paraId="21590E9D" w14:textId="590F4558">
            <w:pPr>
              <w:tabs>
                <w:tab w:val="center" w:pos="284"/>
              </w:tabs>
              <w:suppressAutoHyphens/>
              <w:overflowPunct w:val="0"/>
              <w:autoSpaceDE w:val="0"/>
              <w:autoSpaceDN w:val="0"/>
              <w:adjustRightInd w:val="0"/>
              <w:textAlignment w:val="baseline"/>
            </w:pPr>
            <w:r w:rsidRPr="00073C8F">
              <w:t>Opinia rozpoznawcza na wniosek polskiej prezydencji Rady UE</w:t>
            </w:r>
          </w:p>
          <w:p w:rsidRPr="00073C8F" w:rsidR="0027426D" w:rsidP="00097E6F" w:rsidRDefault="0027426D" w14:paraId="06BB36E1" w14:textId="69AACD36">
            <w:pPr>
              <w:tabs>
                <w:tab w:val="center" w:pos="284"/>
              </w:tabs>
              <w:suppressAutoHyphens/>
              <w:overflowPunct w:val="0"/>
              <w:autoSpaceDE w:val="0"/>
              <w:autoSpaceDN w:val="0"/>
              <w:adjustRightInd w:val="0"/>
              <w:textAlignment w:val="baseline"/>
            </w:pPr>
            <w:r w:rsidRPr="00073C8F">
              <w:t>EESC-2024-03858-00-00-AC</w:t>
            </w:r>
          </w:p>
        </w:tc>
      </w:tr>
    </w:tbl>
    <w:p w:rsidRPr="00073C8F" w:rsidR="0027426D" w:rsidP="00241CB3" w:rsidRDefault="0027426D" w14:paraId="29F4260A" w14:textId="77777777">
      <w:pPr>
        <w:tabs>
          <w:tab w:val="center" w:pos="284"/>
        </w:tabs>
        <w:suppressAutoHyphens/>
        <w:overflowPunct w:val="0"/>
        <w:autoSpaceDE w:val="0"/>
        <w:autoSpaceDN w:val="0"/>
        <w:adjustRightInd w:val="0"/>
        <w:ind w:left="266" w:hanging="266"/>
        <w:textAlignment w:val="baseline"/>
      </w:pPr>
    </w:p>
    <w:p w:rsidRPr="00073C8F" w:rsidR="0027426D" w:rsidP="00241CB3" w:rsidRDefault="0027426D" w14:paraId="166421B5" w14:textId="77777777">
      <w:pPr>
        <w:tabs>
          <w:tab w:val="center" w:pos="284"/>
        </w:tabs>
        <w:suppressAutoHyphens/>
        <w:overflowPunct w:val="0"/>
        <w:autoSpaceDE w:val="0"/>
        <w:autoSpaceDN w:val="0"/>
        <w:adjustRightInd w:val="0"/>
        <w:ind w:left="266" w:hanging="266"/>
        <w:textAlignment w:val="baseline"/>
        <w:rPr>
          <w:b/>
          <w:bCs/>
        </w:rPr>
      </w:pPr>
      <w:r w:rsidRPr="00073C8F">
        <w:rPr>
          <w:b/>
        </w:rPr>
        <w:t>Główne punkty</w:t>
      </w:r>
    </w:p>
    <w:p w:rsidRPr="00073C8F" w:rsidR="0027426D" w:rsidP="00241CB3" w:rsidRDefault="0027426D" w14:paraId="1A6DC897" w14:textId="77777777">
      <w:pPr>
        <w:tabs>
          <w:tab w:val="center" w:pos="284"/>
        </w:tabs>
        <w:suppressAutoHyphens/>
        <w:overflowPunct w:val="0"/>
        <w:autoSpaceDE w:val="0"/>
        <w:autoSpaceDN w:val="0"/>
        <w:adjustRightInd w:val="0"/>
        <w:ind w:left="266" w:hanging="266"/>
        <w:textAlignment w:val="baseline"/>
      </w:pPr>
    </w:p>
    <w:p w:rsidR="0027426D" w:rsidP="00241CB3" w:rsidRDefault="0027426D" w14:paraId="00B5064D" w14:textId="0782E12E">
      <w:pPr>
        <w:suppressAutoHyphens/>
        <w:overflowPunct w:val="0"/>
        <w:autoSpaceDE w:val="0"/>
        <w:autoSpaceDN w:val="0"/>
        <w:adjustRightInd w:val="0"/>
        <w:textAlignment w:val="baseline"/>
      </w:pPr>
      <w:r w:rsidRPr="00073C8F">
        <w:t>EKES:</w:t>
      </w:r>
    </w:p>
    <w:p w:rsidRPr="00073C8F" w:rsidR="00097E6F" w:rsidP="00241CB3" w:rsidRDefault="00097E6F" w14:paraId="430556C3" w14:textId="77777777">
      <w:pPr>
        <w:suppressAutoHyphens/>
        <w:overflowPunct w:val="0"/>
        <w:autoSpaceDE w:val="0"/>
        <w:autoSpaceDN w:val="0"/>
        <w:adjustRightInd w:val="0"/>
        <w:textAlignment w:val="baseline"/>
        <w:rPr>
          <w:iCs/>
        </w:rPr>
      </w:pPr>
    </w:p>
    <w:p w:rsidRPr="00073C8F" w:rsidR="0027426D" w:rsidP="00596171" w:rsidRDefault="0027426D" w14:paraId="3BBF695A" w14:textId="77777777">
      <w:pPr>
        <w:numPr>
          <w:ilvl w:val="0"/>
          <w:numId w:val="23"/>
        </w:numPr>
        <w:suppressAutoHyphens/>
        <w:overflowPunct w:val="0"/>
        <w:autoSpaceDE w:val="0"/>
        <w:autoSpaceDN w:val="0"/>
        <w:adjustRightInd w:val="0"/>
        <w:ind w:left="567" w:hanging="567"/>
        <w:textAlignment w:val="baseline"/>
        <w:rPr>
          <w:iCs/>
        </w:rPr>
      </w:pPr>
      <w:r w:rsidRPr="00073C8F">
        <w:t>Przypomina, że dyrektywa ramowa 89/391/EWG znacznie poprawiła bezpieczeństwo i zdrowie pracowników w miejscu pracy w państwach członkowskich UE. Konieczne są jednak dalsze wysiłki, aby w pełni i skutecznie stosować jej przepisy. Na szczycie podsumowującym zagadnienia bezpieczeństwa i higieny pracy, który odbył się w 2023 r., podkreślono potrzebę lepszego egzekwowania przepisów.</w:t>
      </w:r>
    </w:p>
    <w:p w:rsidRPr="00073C8F" w:rsidR="0027426D" w:rsidP="00596171" w:rsidRDefault="0027426D" w14:paraId="39397012" w14:textId="77777777">
      <w:pPr>
        <w:numPr>
          <w:ilvl w:val="0"/>
          <w:numId w:val="23"/>
        </w:numPr>
        <w:suppressAutoHyphens/>
        <w:overflowPunct w:val="0"/>
        <w:autoSpaceDE w:val="0"/>
        <w:autoSpaceDN w:val="0"/>
        <w:adjustRightInd w:val="0"/>
        <w:ind w:left="567" w:hanging="567"/>
        <w:textAlignment w:val="baseline"/>
        <w:rPr>
          <w:iCs/>
        </w:rPr>
      </w:pPr>
      <w:r w:rsidRPr="00073C8F">
        <w:t>Dostrzega potencjał sztucznej inteligencji (AI) i robotyki w zakresie tworzenia bezpieczniejszych i zdrowszych miejsc pracy. Podkreśla, że istotne jest wdrożenie strategicznych ram UE w zakresie BHP z wykorzystaniem współpracy trójstronnej i polityki opartej na solidnych dowodach. Skuteczne regulacje są niezbędne, aby zapobiec ryzyku związanemu z cyfryzacją.</w:t>
      </w:r>
    </w:p>
    <w:p w:rsidRPr="00073C8F" w:rsidR="0027426D" w:rsidP="00596171" w:rsidRDefault="0027426D" w14:paraId="6B8D47B1" w14:textId="77777777">
      <w:pPr>
        <w:numPr>
          <w:ilvl w:val="0"/>
          <w:numId w:val="23"/>
        </w:numPr>
        <w:suppressAutoHyphens/>
        <w:overflowPunct w:val="0"/>
        <w:autoSpaceDE w:val="0"/>
        <w:autoSpaceDN w:val="0"/>
        <w:adjustRightInd w:val="0"/>
        <w:ind w:left="567" w:hanging="567"/>
        <w:textAlignment w:val="baseline"/>
        <w:rPr>
          <w:iCs/>
        </w:rPr>
      </w:pPr>
      <w:r w:rsidRPr="00073C8F">
        <w:t>Zauważa, że charakter pracy zmienia się wraz z takimi nasilającymi się tendencjami jak interakcja między ludźmi i maszynami, podejmowanie decyzji z zastosowaniem AI i telepraca. Pandemia COVID-19 przyspieszyła transformację cyfrową, podwajając udział telepracy. Zmiany te wymagają uaktualnienia polityki w zakresie BHP w celu ochrony pracowników.</w:t>
      </w:r>
    </w:p>
    <w:p w:rsidRPr="00073C8F" w:rsidR="0027426D" w:rsidP="00596171" w:rsidRDefault="0027426D" w14:paraId="26043362" w14:textId="5C7DB722">
      <w:pPr>
        <w:numPr>
          <w:ilvl w:val="0"/>
          <w:numId w:val="23"/>
        </w:numPr>
        <w:suppressAutoHyphens/>
        <w:overflowPunct w:val="0"/>
        <w:autoSpaceDE w:val="0"/>
        <w:autoSpaceDN w:val="0"/>
        <w:adjustRightInd w:val="0"/>
        <w:ind w:left="567" w:hanging="567"/>
        <w:textAlignment w:val="baseline"/>
      </w:pPr>
      <w:r w:rsidRPr="00073C8F">
        <w:t>Podkreśla, że technologie cyfrowe mogą ograniczać istniejące ryzyko lub powodować nowe zagrożenia w miejscu pracy, co wymaga czujności regulacyjnej. Potrzebne są środki prawne i</w:t>
      </w:r>
      <w:r w:rsidR="00E421E9">
        <w:t> </w:t>
      </w:r>
      <w:r w:rsidRPr="00073C8F">
        <w:t>negocjacyjne, aby zapanować nad pojawiającymi się zagrożeniami. Do zapewnienia bezpieczeństwa pracowników w cyfrowym środowisku pracy niezbędne jest podejście proaktywne.</w:t>
      </w:r>
    </w:p>
    <w:p w:rsidRPr="00073C8F" w:rsidR="0027426D" w:rsidP="00596171" w:rsidRDefault="0027426D" w14:paraId="0A34079A" w14:textId="4230DEE9">
      <w:pPr>
        <w:numPr>
          <w:ilvl w:val="0"/>
          <w:numId w:val="23"/>
        </w:numPr>
        <w:suppressAutoHyphens/>
        <w:overflowPunct w:val="0"/>
        <w:autoSpaceDE w:val="0"/>
        <w:autoSpaceDN w:val="0"/>
        <w:adjustRightInd w:val="0"/>
        <w:ind w:left="567" w:hanging="567"/>
        <w:textAlignment w:val="baseline"/>
      </w:pPr>
      <w:r w:rsidRPr="00073C8F">
        <w:t>Ostrzega przed opóźnieniem UE w procesie transformacji cyfrowej, zwłaszcza w zakresie AI i</w:t>
      </w:r>
      <w:r w:rsidR="00E421E9">
        <w:t> </w:t>
      </w:r>
      <w:r w:rsidRPr="00073C8F">
        <w:t>innowacji cyfrowych, co wpływa na konkurencyjność UE. Transformacja cyfrowa stanowi szansę na poprawę produktywności przy jednoczesnym zachowaniu spójności społecznej. Aby zniwelować lukę cyfrową, Europa musi przyspieszyć wysiłki na rzecz postępu technologicznego.</w:t>
      </w:r>
    </w:p>
    <w:p w:rsidRPr="00073C8F" w:rsidR="0027426D" w:rsidP="00596171" w:rsidRDefault="0027426D" w14:paraId="09145FFD" w14:textId="77777777">
      <w:pPr>
        <w:numPr>
          <w:ilvl w:val="0"/>
          <w:numId w:val="23"/>
        </w:numPr>
        <w:suppressAutoHyphens/>
        <w:overflowPunct w:val="0"/>
        <w:autoSpaceDE w:val="0"/>
        <w:autoSpaceDN w:val="0"/>
        <w:adjustRightInd w:val="0"/>
        <w:ind w:left="567" w:hanging="567"/>
        <w:textAlignment w:val="baseline"/>
      </w:pPr>
      <w:r w:rsidRPr="00073C8F">
        <w:t>Podkreśla potrzebę rozwoju umiejętności cyfrowych, aby pracownicy nie utracili na znaczeniu na rynku pracy i zachowali autonomię. Istnieje ryzyko deskillingu związane z systemami zarządzania pracą opartymi na sztucznej inteligencji. Polityka powinna koncentrować się na uczeniu się przez całe życie i szkoleniach dostosowanych do wymogów transformacji cyfrowej.</w:t>
      </w:r>
    </w:p>
    <w:p w:rsidRPr="00073C8F" w:rsidR="0027426D" w:rsidP="00596171" w:rsidRDefault="0027426D" w14:paraId="6DB3137F" w14:textId="20C45E2B">
      <w:pPr>
        <w:numPr>
          <w:ilvl w:val="0"/>
          <w:numId w:val="23"/>
        </w:numPr>
        <w:suppressAutoHyphens/>
        <w:overflowPunct w:val="0"/>
        <w:autoSpaceDE w:val="0"/>
        <w:autoSpaceDN w:val="0"/>
        <w:adjustRightInd w:val="0"/>
        <w:ind w:left="567" w:hanging="567"/>
        <w:textAlignment w:val="baseline"/>
      </w:pPr>
      <w:r w:rsidRPr="00073C8F">
        <w:t xml:space="preserve">Apeluje o mocne regulacje w zakresie AI i o silne prawa pracowników, aby zapewnić kontrolę człowieka nad systemami zarządzania pracą opartymi na AI. Pracownicy, w szczególności pracownicy platform elektronicznych, powinni mieć prawo do konsultacji w sprawie wdrażania </w:t>
      </w:r>
      <w:r w:rsidRPr="00073C8F">
        <w:lastRenderedPageBreak/>
        <w:t>AI. Niezbędne są przejrzyste polityki, aby zapobiec uprzedzeniom i dyskryminacji w</w:t>
      </w:r>
      <w:r w:rsidR="00E421E9">
        <w:t> </w:t>
      </w:r>
      <w:r w:rsidRPr="00073C8F">
        <w:t>zastosowaniach AI.</w:t>
      </w:r>
    </w:p>
    <w:p w:rsidRPr="00073C8F" w:rsidR="0027426D" w:rsidP="00596171" w:rsidRDefault="0027426D" w14:paraId="09FFDDE2" w14:textId="77777777">
      <w:pPr>
        <w:numPr>
          <w:ilvl w:val="0"/>
          <w:numId w:val="23"/>
        </w:numPr>
        <w:suppressAutoHyphens/>
        <w:overflowPunct w:val="0"/>
        <w:autoSpaceDE w:val="0"/>
        <w:autoSpaceDN w:val="0"/>
        <w:adjustRightInd w:val="0"/>
        <w:ind w:left="567" w:hanging="567"/>
        <w:textAlignment w:val="baseline"/>
      </w:pPr>
      <w:r w:rsidRPr="00073C8F">
        <w:t>Podkreśla wagę szkoleń w zakresie BHP i znaczenie umiejętności rozumienia instrukcji BHP, zwłaszcza w przypadku wprowadzania nowych technologii. Wielu pracowników nie posiada podstawowych umiejętności czytania i pisania oraz rozwiązywania problemów, co wpływa na ich zdolność do rozumienia instrukcji bezpieczeństwa. Uzupełnienie tych luk jest nieodzowne dla zapewnienia bezpieczeństwa w miejscu pracy.</w:t>
      </w:r>
    </w:p>
    <w:p w:rsidRPr="00073C8F" w:rsidR="0027426D" w:rsidP="00596171" w:rsidRDefault="0027426D" w14:paraId="37EFEC90" w14:textId="77777777">
      <w:pPr>
        <w:numPr>
          <w:ilvl w:val="0"/>
          <w:numId w:val="23"/>
        </w:numPr>
        <w:suppressAutoHyphens/>
        <w:overflowPunct w:val="0"/>
        <w:autoSpaceDE w:val="0"/>
        <w:autoSpaceDN w:val="0"/>
        <w:adjustRightInd w:val="0"/>
        <w:ind w:left="567" w:hanging="567"/>
        <w:textAlignment w:val="baseline"/>
      </w:pPr>
      <w:r w:rsidRPr="00073C8F">
        <w:t>Zwraca uwagę na kwestie etyczne i prawne związane z AI, gdyż sztuczna inteligencja może utrwalać uprzedzenia związane z płcią, rasą, wiekiem i niepełnosprawnością, co stanowi zagrożenie dla bezpieczeństwa i higieny pracy. Unijne ramy prawne obejmują 116 aktów prawnych dotyczących wpływu wywieranego przez AI w miejscu pracy. Do zapewnienia bezpiecznych i uczciwych warunków pracy potrzeba silnego zaangażowania pracowników we wdrażanie AI.</w:t>
      </w:r>
    </w:p>
    <w:p w:rsidRPr="00073C8F" w:rsidR="0027426D" w:rsidP="00596171" w:rsidRDefault="0027426D" w14:paraId="0A531267" w14:textId="77777777">
      <w:pPr>
        <w:numPr>
          <w:ilvl w:val="0"/>
          <w:numId w:val="23"/>
        </w:numPr>
        <w:suppressAutoHyphens/>
        <w:overflowPunct w:val="0"/>
        <w:autoSpaceDE w:val="0"/>
        <w:autoSpaceDN w:val="0"/>
        <w:adjustRightInd w:val="0"/>
        <w:ind w:left="567" w:hanging="567"/>
        <w:textAlignment w:val="baseline"/>
      </w:pPr>
      <w:r w:rsidRPr="00073C8F">
        <w:t>Podnosi obawy w kwestii ochrony danych i nadzoru w miejscu pracy. Ostrzega przed natarczywym nadzorem elektronicznym, choć dostrzega też jego zalety pod względem bezpieczeństwa. UE powinna monitorować skuteczność istniejących przepisów i w razie potrzeby wprowadzać dalsze środki. Należy stawiać na pierwszym miejscu przejrzystość procesów decyzyjnych związanych z AI i bezpieczeństwo danych.</w:t>
      </w:r>
    </w:p>
    <w:p w:rsidRPr="00073C8F" w:rsidR="0027426D" w:rsidP="00596171" w:rsidRDefault="0027426D" w14:paraId="2FF5B4D6" w14:textId="0F41A67C">
      <w:pPr>
        <w:numPr>
          <w:ilvl w:val="0"/>
          <w:numId w:val="23"/>
        </w:numPr>
        <w:suppressAutoHyphens/>
        <w:overflowPunct w:val="0"/>
        <w:autoSpaceDE w:val="0"/>
        <w:autoSpaceDN w:val="0"/>
        <w:adjustRightInd w:val="0"/>
        <w:ind w:left="567" w:hanging="567"/>
        <w:textAlignment w:val="baseline"/>
      </w:pPr>
      <w:r w:rsidRPr="00073C8F">
        <w:t>Zachęca partnerów społecznych, by odgrywali czynną rolę w zakresie regulowania AI w</w:t>
      </w:r>
      <w:r w:rsidR="00E421E9">
        <w:t> </w:t>
      </w:r>
      <w:r w:rsidRPr="00073C8F">
        <w:t>miejscu pracy poprzez układy zbiorowe. Ponieważ liczba takich układów jest ograniczona, apeluje o wzmocnienie dialogu społecznego, aby zagwarantować, że będzie się przyjmować ukierunkowane na człowieka podejście do AI. Wzywa również Komisję Europejską do zapewnienia partnerom społecznym niezbędnych środków (w tym do wzmocnienia ich zdolności oraz wiedzy na temat istniejących ram regulacyjnych), by mogli sprostać wyzwaniom związanym z cyfryzacją.</w:t>
      </w:r>
    </w:p>
    <w:p w:rsidRPr="00073C8F" w:rsidR="0027426D" w:rsidP="00241CB3" w:rsidRDefault="0027426D" w14:paraId="00275129" w14:textId="77777777">
      <w:pPr>
        <w:suppressAutoHyphens/>
        <w:overflowPunct w:val="0"/>
        <w:autoSpaceDE w:val="0"/>
        <w:autoSpaceDN w:val="0"/>
        <w:adjustRightInd w:val="0"/>
        <w:ind w:left="284" w:hanging="284"/>
        <w:textAlignment w:val="baseline"/>
      </w:pPr>
    </w:p>
    <w:tbl>
      <w:tblPr>
        <w:tblW w:w="5000" w:type="pct"/>
        <w:tblLook w:val="04A0" w:firstRow="1" w:lastRow="0" w:firstColumn="1" w:lastColumn="0" w:noHBand="0" w:noVBand="1"/>
      </w:tblPr>
      <w:tblGrid>
        <w:gridCol w:w="1527"/>
        <w:gridCol w:w="7762"/>
      </w:tblGrid>
      <w:tr w:rsidRPr="00073C8F" w:rsidR="0027426D" w:rsidTr="002831E6" w14:paraId="662FD427" w14:textId="77777777">
        <w:tc>
          <w:tcPr>
            <w:tcW w:w="822" w:type="pct"/>
          </w:tcPr>
          <w:p w:rsidRPr="00073C8F" w:rsidR="0027426D" w:rsidP="00241CB3" w:rsidRDefault="0027426D" w14:paraId="7F613615" w14:textId="77777777">
            <w:pPr>
              <w:suppressAutoHyphens/>
              <w:overflowPunct w:val="0"/>
              <w:autoSpaceDE w:val="0"/>
              <w:autoSpaceDN w:val="0"/>
              <w:adjustRightInd w:val="0"/>
              <w:textAlignment w:val="baseline"/>
              <w:rPr>
                <w:i/>
              </w:rPr>
            </w:pPr>
            <w:r w:rsidRPr="00073C8F">
              <w:rPr>
                <w:i/>
              </w:rPr>
              <w:t>Kontakt</w:t>
            </w:r>
          </w:p>
        </w:tc>
        <w:tc>
          <w:tcPr>
            <w:tcW w:w="4178" w:type="pct"/>
          </w:tcPr>
          <w:p w:rsidRPr="00073C8F" w:rsidR="0027426D" w:rsidP="00241CB3" w:rsidRDefault="0027426D" w14:paraId="4F64B991" w14:textId="3C53D63F">
            <w:pPr>
              <w:suppressAutoHyphens/>
              <w:overflowPunct w:val="0"/>
              <w:autoSpaceDE w:val="0"/>
              <w:autoSpaceDN w:val="0"/>
              <w:adjustRightInd w:val="0"/>
              <w:textAlignment w:val="baseline"/>
              <w:rPr>
                <w:i/>
              </w:rPr>
            </w:pPr>
            <w:r w:rsidRPr="00073C8F">
              <w:rPr>
                <w:i/>
              </w:rPr>
              <w:t>Alessia Cova</w:t>
            </w:r>
          </w:p>
        </w:tc>
      </w:tr>
      <w:tr w:rsidRPr="00073C8F" w:rsidR="0027426D" w:rsidTr="002831E6" w14:paraId="46ABC7F9" w14:textId="77777777">
        <w:tc>
          <w:tcPr>
            <w:tcW w:w="822" w:type="pct"/>
          </w:tcPr>
          <w:p w:rsidRPr="00073C8F" w:rsidR="0027426D" w:rsidP="00241CB3" w:rsidRDefault="0027426D" w14:paraId="53EACC43" w14:textId="77777777">
            <w:pPr>
              <w:suppressAutoHyphens/>
              <w:overflowPunct w:val="0"/>
              <w:autoSpaceDE w:val="0"/>
              <w:autoSpaceDN w:val="0"/>
              <w:adjustRightInd w:val="0"/>
              <w:textAlignment w:val="baseline"/>
              <w:rPr>
                <w:i/>
              </w:rPr>
            </w:pPr>
            <w:r w:rsidRPr="00073C8F">
              <w:rPr>
                <w:i/>
              </w:rPr>
              <w:t>tel.</w:t>
            </w:r>
          </w:p>
        </w:tc>
        <w:tc>
          <w:tcPr>
            <w:tcW w:w="4178" w:type="pct"/>
          </w:tcPr>
          <w:p w:rsidRPr="00073C8F" w:rsidR="0027426D" w:rsidP="00241CB3" w:rsidRDefault="0027426D" w14:paraId="71AAF5FC" w14:textId="77777777">
            <w:pPr>
              <w:suppressAutoHyphens/>
              <w:overflowPunct w:val="0"/>
              <w:autoSpaceDE w:val="0"/>
              <w:autoSpaceDN w:val="0"/>
              <w:adjustRightInd w:val="0"/>
              <w:textAlignment w:val="baseline"/>
              <w:rPr>
                <w:i/>
              </w:rPr>
            </w:pPr>
            <w:r w:rsidRPr="00073C8F">
              <w:rPr>
                <w:i/>
              </w:rPr>
              <w:t>+32 25469426</w:t>
            </w:r>
          </w:p>
        </w:tc>
      </w:tr>
      <w:tr w:rsidRPr="00073C8F" w:rsidR="0027426D" w:rsidTr="002831E6" w14:paraId="7DDC5FD9" w14:textId="77777777">
        <w:tc>
          <w:tcPr>
            <w:tcW w:w="822" w:type="pct"/>
          </w:tcPr>
          <w:p w:rsidRPr="00073C8F" w:rsidR="0027426D" w:rsidP="00241CB3" w:rsidRDefault="006B05D3" w14:paraId="47236603" w14:textId="588F77B8">
            <w:pPr>
              <w:suppressAutoHyphens/>
              <w:overflowPunct w:val="0"/>
              <w:autoSpaceDE w:val="0"/>
              <w:autoSpaceDN w:val="0"/>
              <w:adjustRightInd w:val="0"/>
              <w:textAlignment w:val="baseline"/>
              <w:rPr>
                <w:i/>
              </w:rPr>
            </w:pPr>
            <w:r w:rsidRPr="00073C8F">
              <w:rPr>
                <w:i/>
              </w:rPr>
              <w:t>e-mail</w:t>
            </w:r>
          </w:p>
        </w:tc>
        <w:tc>
          <w:tcPr>
            <w:tcW w:w="4178" w:type="pct"/>
          </w:tcPr>
          <w:p w:rsidRPr="00073C8F" w:rsidR="0027426D" w:rsidP="00241CB3" w:rsidRDefault="00A46594" w14:paraId="340D50AA" w14:textId="77777777">
            <w:pPr>
              <w:suppressAutoHyphens/>
              <w:overflowPunct w:val="0"/>
              <w:autoSpaceDE w:val="0"/>
              <w:autoSpaceDN w:val="0"/>
              <w:adjustRightInd w:val="0"/>
              <w:textAlignment w:val="baseline"/>
              <w:rPr>
                <w:i/>
              </w:rPr>
            </w:pPr>
            <w:hyperlink w:history="1" r:id="rId25">
              <w:r w:rsidRPr="00073C8F" w:rsidR="0081023C">
                <w:rPr>
                  <w:i/>
                  <w:color w:val="0000FF"/>
                  <w:u w:val="single"/>
                </w:rPr>
                <w:t>Alessia.Cova@eesc.europa.eu</w:t>
              </w:r>
            </w:hyperlink>
          </w:p>
        </w:tc>
      </w:tr>
    </w:tbl>
    <w:p w:rsidRPr="00073C8F" w:rsidR="0027426D" w:rsidP="00241CB3" w:rsidRDefault="0027426D" w14:paraId="0DEF51E1" w14:textId="77777777">
      <w:pPr>
        <w:suppressAutoHyphens/>
        <w:jc w:val="left"/>
      </w:pPr>
      <w:r w:rsidRPr="00073C8F">
        <w:br w:type="page"/>
      </w:r>
    </w:p>
    <w:p w:rsidRPr="00073C8F" w:rsidR="0027426D" w:rsidP="00241CB3" w:rsidRDefault="00A46594" w14:paraId="1FF33D24" w14:textId="7A5E0529">
      <w:pPr>
        <w:numPr>
          <w:ilvl w:val="0"/>
          <w:numId w:val="4"/>
        </w:numPr>
        <w:suppressAutoHyphens/>
        <w:overflowPunct w:val="0"/>
        <w:autoSpaceDE w:val="0"/>
        <w:autoSpaceDN w:val="0"/>
        <w:adjustRightInd w:val="0"/>
        <w:ind w:hanging="567"/>
        <w:textAlignment w:val="baseline"/>
        <w:rPr>
          <w:sz w:val="28"/>
          <w:szCs w:val="28"/>
        </w:rPr>
      </w:pPr>
      <w:hyperlink w:history="1" r:id="rId26">
        <w:r w:rsidRPr="00073C8F" w:rsidR="0081023C">
          <w:rPr>
            <w:b/>
            <w:i/>
            <w:color w:val="0000FF"/>
            <w:sz w:val="28"/>
            <w:szCs w:val="28"/>
            <w:u w:val="single"/>
          </w:rPr>
          <w:t>Czas pracy, efektywność gospodarki i dobrostan pracowników (m.in.</w:t>
        </w:r>
        <w:r w:rsidR="00097E6F">
          <w:rPr>
            <w:b/>
            <w:i/>
            <w:color w:val="0000FF"/>
            <w:sz w:val="28"/>
            <w:szCs w:val="28"/>
            <w:u w:val="single"/>
          </w:rPr>
          <w:t> </w:t>
        </w:r>
        <w:r w:rsidRPr="00073C8F" w:rsidR="0081023C">
          <w:rPr>
            <w:b/>
            <w:i/>
            <w:color w:val="0000FF"/>
            <w:sz w:val="28"/>
            <w:szCs w:val="28"/>
            <w:u w:val="single"/>
          </w:rPr>
          <w:t>w</w:t>
        </w:r>
        <w:r w:rsidR="00097E6F">
          <w:rPr>
            <w:b/>
            <w:i/>
            <w:color w:val="0000FF"/>
            <w:sz w:val="28"/>
            <w:szCs w:val="28"/>
            <w:u w:val="single"/>
          </w:rPr>
          <w:t> </w:t>
        </w:r>
        <w:r w:rsidRPr="00073C8F" w:rsidR="0081023C">
          <w:rPr>
            <w:b/>
            <w:i/>
            <w:color w:val="0000FF"/>
            <w:sz w:val="28"/>
            <w:szCs w:val="28"/>
            <w:u w:val="single"/>
          </w:rPr>
          <w:t>kontekście zmian cyfrowych i automatyzacji pracy): analiza prawna i porównawcza sytuacji w państwach członkowskich UE</w:t>
        </w:r>
      </w:hyperlink>
    </w:p>
    <w:p w:rsidRPr="00073C8F" w:rsidR="0027426D" w:rsidP="00241CB3" w:rsidRDefault="0027426D" w14:paraId="517D497F" w14:textId="77777777">
      <w:pPr>
        <w:tabs>
          <w:tab w:val="center" w:pos="284"/>
        </w:tabs>
        <w:suppressAutoHyphens/>
        <w:overflowPunct w:val="0"/>
        <w:autoSpaceDE w:val="0"/>
        <w:autoSpaceDN w:val="0"/>
        <w:adjustRightInd w:val="0"/>
        <w:ind w:left="266" w:hanging="266"/>
        <w:textAlignment w:val="baseline"/>
        <w:rPr>
          <w:b/>
        </w:rPr>
      </w:pPr>
    </w:p>
    <w:tbl>
      <w:tblPr>
        <w:tblW w:w="5000" w:type="pct"/>
        <w:tblLook w:val="04A0" w:firstRow="1" w:lastRow="0" w:firstColumn="1" w:lastColumn="0" w:noHBand="0" w:noVBand="1"/>
      </w:tblPr>
      <w:tblGrid>
        <w:gridCol w:w="2047"/>
        <w:gridCol w:w="7242"/>
      </w:tblGrid>
      <w:tr w:rsidRPr="00073C8F" w:rsidR="0027426D" w:rsidTr="00097E6F" w14:paraId="5679A8DE" w14:textId="77777777">
        <w:tc>
          <w:tcPr>
            <w:tcW w:w="1102" w:type="pct"/>
          </w:tcPr>
          <w:p w:rsidRPr="00073C8F" w:rsidR="0027426D" w:rsidP="00097E6F" w:rsidRDefault="0027426D" w14:paraId="4E79688C" w14:textId="77777777">
            <w:pPr>
              <w:tabs>
                <w:tab w:val="center" w:pos="284"/>
              </w:tabs>
              <w:suppressAutoHyphens/>
              <w:overflowPunct w:val="0"/>
              <w:autoSpaceDE w:val="0"/>
              <w:autoSpaceDN w:val="0"/>
              <w:adjustRightInd w:val="0"/>
              <w:textAlignment w:val="baseline"/>
              <w:rPr>
                <w:b/>
              </w:rPr>
            </w:pPr>
            <w:r w:rsidRPr="00073C8F">
              <w:rPr>
                <w:b/>
              </w:rPr>
              <w:t>Sprawozdawczyni</w:t>
            </w:r>
          </w:p>
        </w:tc>
        <w:tc>
          <w:tcPr>
            <w:tcW w:w="3898" w:type="pct"/>
          </w:tcPr>
          <w:p w:rsidRPr="00073C8F" w:rsidR="0027426D" w:rsidP="00097E6F" w:rsidRDefault="0027426D" w14:paraId="22ACB3C7" w14:textId="1E582BC7">
            <w:pPr>
              <w:tabs>
                <w:tab w:val="center" w:pos="284"/>
              </w:tabs>
              <w:suppressAutoHyphens/>
              <w:overflowPunct w:val="0"/>
              <w:autoSpaceDE w:val="0"/>
              <w:autoSpaceDN w:val="0"/>
              <w:adjustRightInd w:val="0"/>
              <w:textAlignment w:val="baseline"/>
            </w:pPr>
            <w:r w:rsidRPr="00073C8F">
              <w:t>Maria del Carmen BARRERA CHAMORRO (Grupa Pracowników – ES)</w:t>
            </w:r>
          </w:p>
        </w:tc>
      </w:tr>
      <w:tr w:rsidRPr="00073C8F" w:rsidR="0027426D" w:rsidTr="00097E6F" w14:paraId="6FF5F54C" w14:textId="77777777">
        <w:tc>
          <w:tcPr>
            <w:tcW w:w="5000" w:type="pct"/>
            <w:gridSpan w:val="2"/>
          </w:tcPr>
          <w:p w:rsidRPr="00073C8F" w:rsidR="0027426D" w:rsidP="00097E6F" w:rsidRDefault="0027426D" w14:paraId="49EEF9E7" w14:textId="77777777">
            <w:pPr>
              <w:tabs>
                <w:tab w:val="center" w:pos="284"/>
              </w:tabs>
              <w:suppressAutoHyphens/>
              <w:overflowPunct w:val="0"/>
              <w:autoSpaceDE w:val="0"/>
              <w:autoSpaceDN w:val="0"/>
              <w:adjustRightInd w:val="0"/>
              <w:textAlignment w:val="baseline"/>
            </w:pPr>
          </w:p>
        </w:tc>
      </w:tr>
      <w:tr w:rsidRPr="00073C8F" w:rsidR="0027426D" w:rsidTr="00097E6F" w14:paraId="5AD42281" w14:textId="77777777">
        <w:tc>
          <w:tcPr>
            <w:tcW w:w="1102" w:type="pct"/>
          </w:tcPr>
          <w:p w:rsidRPr="00073C8F" w:rsidR="0027426D" w:rsidP="00097E6F" w:rsidRDefault="0027426D" w14:paraId="49D05168" w14:textId="3EDBBAB8">
            <w:pPr>
              <w:tabs>
                <w:tab w:val="center" w:pos="284"/>
              </w:tabs>
              <w:suppressAutoHyphens/>
              <w:overflowPunct w:val="0"/>
              <w:autoSpaceDE w:val="0"/>
              <w:autoSpaceDN w:val="0"/>
              <w:adjustRightInd w:val="0"/>
              <w:textAlignment w:val="baseline"/>
              <w:rPr>
                <w:b/>
              </w:rPr>
            </w:pPr>
            <w:r w:rsidRPr="00073C8F">
              <w:rPr>
                <w:b/>
              </w:rPr>
              <w:t>Dokumenty</w:t>
            </w:r>
          </w:p>
        </w:tc>
        <w:tc>
          <w:tcPr>
            <w:tcW w:w="3898" w:type="pct"/>
          </w:tcPr>
          <w:p w:rsidRPr="00073C8F" w:rsidR="005C0A02" w:rsidP="00097E6F" w:rsidRDefault="005C0A02" w14:paraId="2A0A2EA7" w14:textId="77777777">
            <w:pPr>
              <w:tabs>
                <w:tab w:val="center" w:pos="284"/>
              </w:tabs>
              <w:suppressAutoHyphens/>
              <w:overflowPunct w:val="0"/>
              <w:autoSpaceDE w:val="0"/>
              <w:autoSpaceDN w:val="0"/>
              <w:adjustRightInd w:val="0"/>
              <w:textAlignment w:val="baseline"/>
            </w:pPr>
            <w:r w:rsidRPr="00073C8F">
              <w:t>Opinia rozpoznawcza na wniosek polskiej prezydencji Rady UE</w:t>
            </w:r>
          </w:p>
          <w:p w:rsidRPr="00073C8F" w:rsidR="0027426D" w:rsidP="00097E6F" w:rsidRDefault="0027426D" w14:paraId="57CFD2BB" w14:textId="37943388">
            <w:pPr>
              <w:tabs>
                <w:tab w:val="center" w:pos="284"/>
              </w:tabs>
              <w:suppressAutoHyphens/>
              <w:overflowPunct w:val="0"/>
              <w:autoSpaceDE w:val="0"/>
              <w:autoSpaceDN w:val="0"/>
              <w:adjustRightInd w:val="0"/>
              <w:textAlignment w:val="baseline"/>
            </w:pPr>
            <w:r w:rsidRPr="00073C8F">
              <w:t>EESC-2024-03947-00-00-AC</w:t>
            </w:r>
          </w:p>
        </w:tc>
      </w:tr>
    </w:tbl>
    <w:p w:rsidR="00097E6F" w:rsidP="00241CB3" w:rsidRDefault="00097E6F" w14:paraId="307F7CF5" w14:textId="77777777">
      <w:pPr>
        <w:tabs>
          <w:tab w:val="center" w:pos="284"/>
        </w:tabs>
        <w:suppressAutoHyphens/>
        <w:overflowPunct w:val="0"/>
        <w:autoSpaceDE w:val="0"/>
        <w:autoSpaceDN w:val="0"/>
        <w:adjustRightInd w:val="0"/>
        <w:ind w:left="266" w:hanging="266"/>
        <w:textAlignment w:val="baseline"/>
        <w:rPr>
          <w:b/>
        </w:rPr>
      </w:pPr>
    </w:p>
    <w:p w:rsidRPr="00073C8F" w:rsidR="0027426D" w:rsidP="00241CB3" w:rsidRDefault="0027426D" w14:paraId="4D27788E" w14:textId="02B9E47F">
      <w:pPr>
        <w:tabs>
          <w:tab w:val="center" w:pos="284"/>
        </w:tabs>
        <w:suppressAutoHyphens/>
        <w:overflowPunct w:val="0"/>
        <w:autoSpaceDE w:val="0"/>
        <w:autoSpaceDN w:val="0"/>
        <w:adjustRightInd w:val="0"/>
        <w:ind w:left="266" w:hanging="266"/>
        <w:textAlignment w:val="baseline"/>
        <w:rPr>
          <w:b/>
        </w:rPr>
      </w:pPr>
      <w:r w:rsidRPr="00073C8F">
        <w:rPr>
          <w:b/>
        </w:rPr>
        <w:t>Główne punkty</w:t>
      </w:r>
    </w:p>
    <w:p w:rsidRPr="00073C8F" w:rsidR="0027426D" w:rsidP="00241CB3" w:rsidRDefault="0027426D" w14:paraId="7E48AF62" w14:textId="77777777">
      <w:pPr>
        <w:tabs>
          <w:tab w:val="center" w:pos="284"/>
        </w:tabs>
        <w:suppressAutoHyphens/>
        <w:overflowPunct w:val="0"/>
        <w:autoSpaceDE w:val="0"/>
        <w:autoSpaceDN w:val="0"/>
        <w:adjustRightInd w:val="0"/>
        <w:ind w:left="266" w:hanging="266"/>
        <w:textAlignment w:val="baseline"/>
        <w:rPr>
          <w:b/>
        </w:rPr>
      </w:pPr>
    </w:p>
    <w:p w:rsidR="0027426D" w:rsidP="00241CB3" w:rsidRDefault="0027426D" w14:paraId="457D2D99" w14:textId="661C36B4">
      <w:pPr>
        <w:suppressAutoHyphens/>
        <w:overflowPunct w:val="0"/>
        <w:autoSpaceDE w:val="0"/>
        <w:autoSpaceDN w:val="0"/>
        <w:adjustRightInd w:val="0"/>
        <w:textAlignment w:val="baseline"/>
      </w:pPr>
      <w:r w:rsidRPr="00073C8F">
        <w:t>EKES:</w:t>
      </w:r>
    </w:p>
    <w:p w:rsidRPr="00073C8F" w:rsidR="00097E6F" w:rsidP="00241CB3" w:rsidRDefault="00097E6F" w14:paraId="636B93B2" w14:textId="77777777">
      <w:pPr>
        <w:suppressAutoHyphens/>
        <w:overflowPunct w:val="0"/>
        <w:autoSpaceDE w:val="0"/>
        <w:autoSpaceDN w:val="0"/>
        <w:adjustRightInd w:val="0"/>
        <w:textAlignment w:val="baseline"/>
        <w:rPr>
          <w:bCs/>
          <w:iCs/>
        </w:rPr>
      </w:pPr>
    </w:p>
    <w:p w:rsidRPr="00073C8F" w:rsidR="0027426D" w:rsidP="00596171" w:rsidRDefault="0027426D" w14:paraId="6E4B2F1B" w14:textId="77777777">
      <w:pPr>
        <w:numPr>
          <w:ilvl w:val="0"/>
          <w:numId w:val="23"/>
        </w:numPr>
        <w:suppressAutoHyphens/>
        <w:overflowPunct w:val="0"/>
        <w:autoSpaceDE w:val="0"/>
        <w:autoSpaceDN w:val="0"/>
        <w:adjustRightInd w:val="0"/>
        <w:ind w:left="567" w:hanging="567"/>
        <w:textAlignment w:val="baseline"/>
      </w:pPr>
      <w:r w:rsidRPr="00073C8F">
        <w:t>Definiuje skrócenie czasu pracy jako przepracowanie mniejszej liczby godzin w okresie rozliczeniowym przy tym samym poziomie wynagrodzenia, by wyraźnie rozróżnić między krótszymi dniami pracy w formie pracy w niepełnym wymiarze godzin a skumulowanym czasem pracy (tj. taką samą liczbą godzin przepracowanych w mniejszej liczbie dni, np. 4 dni po 10 godzin).</w:t>
      </w:r>
    </w:p>
    <w:p w:rsidRPr="00073C8F" w:rsidR="0027426D" w:rsidP="00596171" w:rsidRDefault="0027426D" w14:paraId="555B078F" w14:textId="77777777">
      <w:pPr>
        <w:numPr>
          <w:ilvl w:val="0"/>
          <w:numId w:val="23"/>
        </w:numPr>
        <w:suppressAutoHyphens/>
        <w:overflowPunct w:val="0"/>
        <w:autoSpaceDE w:val="0"/>
        <w:autoSpaceDN w:val="0"/>
        <w:adjustRightInd w:val="0"/>
        <w:ind w:left="567" w:hanging="567"/>
        <w:textAlignment w:val="baseline"/>
      </w:pPr>
      <w:r w:rsidRPr="00073C8F">
        <w:t>Uważa, że czas pracy jest jednym z aspektów pracy, który wywiera największy wpływ na jakość życia ludzi i ma zasadnicze znaczenie dla skutecznej organizacji działalności gospodarczej w przedsiębiorstwach.</w:t>
      </w:r>
    </w:p>
    <w:p w:rsidRPr="00073C8F" w:rsidR="0027426D" w:rsidP="00596171" w:rsidRDefault="0027426D" w14:paraId="203DD065" w14:textId="77777777">
      <w:pPr>
        <w:numPr>
          <w:ilvl w:val="0"/>
          <w:numId w:val="23"/>
        </w:numPr>
        <w:suppressAutoHyphens/>
        <w:overflowPunct w:val="0"/>
        <w:autoSpaceDE w:val="0"/>
        <w:autoSpaceDN w:val="0"/>
        <w:adjustRightInd w:val="0"/>
        <w:ind w:left="567" w:hanging="567"/>
        <w:textAlignment w:val="baseline"/>
      </w:pPr>
      <w:r w:rsidRPr="00073C8F">
        <w:t>Zauważa, że chociaż średni europejski tydzień pracy wynosi 37,1 godziny, istnieją znaczne różnice między krajami i sektorami działalności. Dostępne dowody naukowe oparte na projektach pilotażowych wskazują, że może istnieć pozytywny związek między krótszym tygodniem pracy a wydajnością: im krótszy jest średni tydzień pracy, tym wyższa jest wydajność. W tym kontekście należy dokładniej zbadać sektorowe eksperymenty i projekty pilotażowe dotyczące związku między skróconym tygodniem pracy a wydajnością.</w:t>
      </w:r>
    </w:p>
    <w:p w:rsidRPr="00073C8F" w:rsidR="0027426D" w:rsidP="00596171" w:rsidRDefault="0027426D" w14:paraId="7E706531" w14:textId="77777777">
      <w:pPr>
        <w:numPr>
          <w:ilvl w:val="0"/>
          <w:numId w:val="23"/>
        </w:numPr>
        <w:suppressAutoHyphens/>
        <w:overflowPunct w:val="0"/>
        <w:autoSpaceDE w:val="0"/>
        <w:autoSpaceDN w:val="0"/>
        <w:adjustRightInd w:val="0"/>
        <w:ind w:left="567" w:hanging="567"/>
        <w:textAlignment w:val="baseline"/>
      </w:pPr>
      <w:r w:rsidRPr="00073C8F">
        <w:t>Uważa, że partnerzy społeczni są kluczowymi podmiotami propagującymi środki zapewniające przyjęcie przez jak największą liczbę sektorów i przedsiębiorstw rozwiązań, jakie uznają za odpowiednie. Należy jednak pamiętać, że nie we wszystkich krajach ani we wszystkich sektorach partnerzy społeczni mają taką samą zdolność do zawierania tego rodzaju porozumień. Jest zdania, że należy zachęcać instytucje UE i państwa członkowskie do tworzenia, w formie zachęt lub przepisów, korzystnych warunków dla sektorów i/lub przedsiębiorstw pragnących przetestować lub przyjąć takie rozwiązania.</w:t>
      </w:r>
    </w:p>
    <w:p w:rsidRPr="00073C8F" w:rsidR="0027426D" w:rsidP="00596171" w:rsidRDefault="0027426D" w14:paraId="38E6F2FA" w14:textId="77777777">
      <w:pPr>
        <w:numPr>
          <w:ilvl w:val="0"/>
          <w:numId w:val="23"/>
        </w:numPr>
        <w:suppressAutoHyphens/>
        <w:overflowPunct w:val="0"/>
        <w:autoSpaceDE w:val="0"/>
        <w:autoSpaceDN w:val="0"/>
        <w:adjustRightInd w:val="0"/>
        <w:ind w:left="567" w:hanging="567"/>
        <w:textAlignment w:val="baseline"/>
      </w:pPr>
      <w:r w:rsidRPr="00073C8F">
        <w:t>Zachęca do wprowadzenia elastycznych form organizacji czasu pracy, aby uwzględnić sytuację różnych słabszych grup społecznych, z gwarancjami godnej pracy.</w:t>
      </w:r>
    </w:p>
    <w:p w:rsidRPr="00073C8F" w:rsidR="0027426D" w:rsidP="00596171" w:rsidRDefault="0027426D" w14:paraId="0F042323" w14:textId="20F55E34">
      <w:pPr>
        <w:numPr>
          <w:ilvl w:val="0"/>
          <w:numId w:val="23"/>
        </w:numPr>
        <w:suppressAutoHyphens/>
        <w:overflowPunct w:val="0"/>
        <w:autoSpaceDE w:val="0"/>
        <w:autoSpaceDN w:val="0"/>
        <w:adjustRightInd w:val="0"/>
        <w:ind w:left="567" w:hanging="567"/>
        <w:textAlignment w:val="baseline"/>
      </w:pPr>
      <w:r w:rsidRPr="00073C8F">
        <w:t>Uważa, że partnerzy społeczni na wszystkich poziomach mają do odegrania ważną rolę w</w:t>
      </w:r>
      <w:r w:rsidR="00E421E9">
        <w:t> </w:t>
      </w:r>
      <w:r w:rsidRPr="00073C8F">
        <w:t>omawianiu elastycznych rozwiązań, w tym dotyczących skrócenia czasu pracy. Partnerzy społeczni potrzebują aktywnej zachęty i wsparcia, za pomocą wszelkich niezbędnych środków, aby zwiększyć korzyści w zakresie zdrowia, równowagi między życiem zawodowym a</w:t>
      </w:r>
      <w:r w:rsidR="00E421E9">
        <w:t> </w:t>
      </w:r>
      <w:r w:rsidRPr="00073C8F">
        <w:t>prywatnym i efektywności wynikające z krótszego lub bardziej elastycznego czasu pracy.</w:t>
      </w:r>
    </w:p>
    <w:p w:rsidRPr="00073C8F" w:rsidR="0027426D" w:rsidP="00596171" w:rsidRDefault="0027426D" w14:paraId="2CC49FAD" w14:textId="01634810">
      <w:pPr>
        <w:numPr>
          <w:ilvl w:val="0"/>
          <w:numId w:val="23"/>
        </w:numPr>
        <w:suppressAutoHyphens/>
        <w:overflowPunct w:val="0"/>
        <w:autoSpaceDE w:val="0"/>
        <w:autoSpaceDN w:val="0"/>
        <w:adjustRightInd w:val="0"/>
        <w:ind w:left="567" w:hanging="567"/>
        <w:textAlignment w:val="baseline"/>
      </w:pPr>
      <w:r w:rsidRPr="00073C8F">
        <w:t>Zaleca promowanie nowych modeli elastycznej organizacji pracy uzgodnionych przez partnerów społecznych, w tym czterodniowego tygodnia pracy i/lub skrócenia czasu pracy, w</w:t>
      </w:r>
      <w:r w:rsidR="00E421E9">
        <w:t> </w:t>
      </w:r>
      <w:r w:rsidRPr="00073C8F">
        <w:t xml:space="preserve">celu wspierania równowagi między życiem zawodowym a prywatnym. Elastyczna organizacja czasu pracy zapewnia równowagę między zainteresowaniem pracodawców </w:t>
      </w:r>
      <w:r w:rsidRPr="00073C8F">
        <w:lastRenderedPageBreak/>
        <w:t>zwiększeniem wydajności a zainteresowaniem pracowników poprawą równowagi między życiem zawodowym a prywatnym oraz poczuciem wpływu na organizację czasu pracy.</w:t>
      </w:r>
    </w:p>
    <w:p w:rsidRPr="00073C8F" w:rsidR="0027426D" w:rsidP="00596171" w:rsidRDefault="0027426D" w14:paraId="0E2E7EE6" w14:textId="32BC4A9E">
      <w:pPr>
        <w:numPr>
          <w:ilvl w:val="0"/>
          <w:numId w:val="23"/>
        </w:numPr>
        <w:suppressAutoHyphens/>
        <w:overflowPunct w:val="0"/>
        <w:autoSpaceDE w:val="0"/>
        <w:autoSpaceDN w:val="0"/>
        <w:adjustRightInd w:val="0"/>
        <w:ind w:left="567" w:hanging="567"/>
        <w:textAlignment w:val="baseline"/>
      </w:pPr>
      <w:r w:rsidRPr="00073C8F">
        <w:t>Podkreśla pozytywne skutki skrócenia czasu pracy dla społeczeństwa, takie jak odnowa demograficzna, równość płci, zmniejszenie obciążeń dla systemu opieki zdrowotnej i</w:t>
      </w:r>
      <w:r w:rsidR="00E421E9">
        <w:t> </w:t>
      </w:r>
      <w:r w:rsidRPr="00073C8F">
        <w:t>potencjalne utrzymanie pracowników w świecie pracy przez dłuższy czas. Czynniki te tworzą korzystne środowisko sprzyjające kreatywności i innowacjom. Dobre środowisko społeczne przynosi korzyści nie tylko państwu, ale także przedsiębiorstwom i pracownikom.</w:t>
      </w:r>
    </w:p>
    <w:p w:rsidRPr="00073C8F" w:rsidR="0027426D" w:rsidP="00596171" w:rsidRDefault="0027426D" w14:paraId="28C7093C" w14:textId="77777777">
      <w:pPr>
        <w:numPr>
          <w:ilvl w:val="0"/>
          <w:numId w:val="23"/>
        </w:numPr>
        <w:suppressAutoHyphens/>
        <w:overflowPunct w:val="0"/>
        <w:autoSpaceDE w:val="0"/>
        <w:autoSpaceDN w:val="0"/>
        <w:adjustRightInd w:val="0"/>
        <w:ind w:left="567" w:hanging="567"/>
        <w:textAlignment w:val="baseline"/>
      </w:pPr>
      <w:r w:rsidRPr="00073C8F">
        <w:t>Zachęca instytucje UE, rządy krajowe i partnerów społecznych do szybszego uznawania odłączenia cyfrowego jako prawa przysługującego wszystkim pracownikom w UE.</w:t>
      </w:r>
    </w:p>
    <w:p w:rsidRPr="00073C8F" w:rsidR="0027426D" w:rsidP="00241CB3" w:rsidRDefault="0027426D" w14:paraId="76BA07CE" w14:textId="77777777">
      <w:pPr>
        <w:suppressAutoHyphens/>
        <w:overflowPunct w:val="0"/>
        <w:autoSpaceDE w:val="0"/>
        <w:autoSpaceDN w:val="0"/>
        <w:adjustRightInd w:val="0"/>
        <w:ind w:left="709"/>
        <w:textAlignment w:val="baseline"/>
      </w:pPr>
    </w:p>
    <w:tbl>
      <w:tblPr>
        <w:tblW w:w="7088" w:type="dxa"/>
        <w:tblLook w:val="04A0" w:firstRow="1" w:lastRow="0" w:firstColumn="1" w:lastColumn="0" w:noHBand="0" w:noVBand="1"/>
      </w:tblPr>
      <w:tblGrid>
        <w:gridCol w:w="1418"/>
        <w:gridCol w:w="5670"/>
      </w:tblGrid>
      <w:tr w:rsidRPr="00073C8F" w:rsidR="0027426D" w:rsidTr="002831E6" w14:paraId="37A90A6A" w14:textId="77777777">
        <w:tc>
          <w:tcPr>
            <w:tcW w:w="1418" w:type="dxa"/>
          </w:tcPr>
          <w:p w:rsidRPr="00073C8F" w:rsidR="0027426D" w:rsidP="00241CB3" w:rsidRDefault="0027426D" w14:paraId="59CA4ED7" w14:textId="77777777">
            <w:pPr>
              <w:suppressAutoHyphens/>
              <w:overflowPunct w:val="0"/>
              <w:autoSpaceDE w:val="0"/>
              <w:autoSpaceDN w:val="0"/>
              <w:adjustRightInd w:val="0"/>
              <w:textAlignment w:val="baseline"/>
              <w:rPr>
                <w:i/>
              </w:rPr>
            </w:pPr>
            <w:r w:rsidRPr="00073C8F">
              <w:rPr>
                <w:b/>
                <w:i/>
              </w:rPr>
              <w:t>Kontakt</w:t>
            </w:r>
          </w:p>
        </w:tc>
        <w:tc>
          <w:tcPr>
            <w:tcW w:w="5670" w:type="dxa"/>
          </w:tcPr>
          <w:p w:rsidRPr="00073C8F" w:rsidR="0027426D" w:rsidP="00241CB3" w:rsidRDefault="0027426D" w14:paraId="413F6240" w14:textId="77777777">
            <w:pPr>
              <w:suppressAutoHyphens/>
              <w:overflowPunct w:val="0"/>
              <w:autoSpaceDE w:val="0"/>
              <w:autoSpaceDN w:val="0"/>
              <w:adjustRightInd w:val="0"/>
              <w:textAlignment w:val="baseline"/>
              <w:rPr>
                <w:i/>
              </w:rPr>
            </w:pPr>
            <w:r w:rsidRPr="00073C8F">
              <w:rPr>
                <w:i/>
              </w:rPr>
              <w:t>Ana Dumitrache</w:t>
            </w:r>
          </w:p>
        </w:tc>
      </w:tr>
      <w:tr w:rsidRPr="00073C8F" w:rsidR="0027426D" w:rsidTr="002831E6" w14:paraId="176A993A" w14:textId="77777777">
        <w:tc>
          <w:tcPr>
            <w:tcW w:w="1418" w:type="dxa"/>
          </w:tcPr>
          <w:p w:rsidRPr="00073C8F" w:rsidR="0027426D" w:rsidP="00241CB3" w:rsidRDefault="0027426D" w14:paraId="6B016430" w14:textId="7C755902">
            <w:pPr>
              <w:suppressAutoHyphens/>
              <w:overflowPunct w:val="0"/>
              <w:autoSpaceDE w:val="0"/>
              <w:autoSpaceDN w:val="0"/>
              <w:adjustRightInd w:val="0"/>
              <w:textAlignment w:val="baseline"/>
              <w:rPr>
                <w:i/>
              </w:rPr>
            </w:pPr>
            <w:r w:rsidRPr="00073C8F">
              <w:rPr>
                <w:i/>
              </w:rPr>
              <w:t>tel.</w:t>
            </w:r>
          </w:p>
        </w:tc>
        <w:tc>
          <w:tcPr>
            <w:tcW w:w="5670" w:type="dxa"/>
          </w:tcPr>
          <w:p w:rsidRPr="00073C8F" w:rsidR="0027426D" w:rsidP="00241CB3" w:rsidRDefault="0027426D" w14:paraId="2F6D83EB" w14:textId="77777777">
            <w:pPr>
              <w:suppressAutoHyphens/>
              <w:overflowPunct w:val="0"/>
              <w:autoSpaceDE w:val="0"/>
              <w:autoSpaceDN w:val="0"/>
              <w:adjustRightInd w:val="0"/>
              <w:textAlignment w:val="baseline"/>
              <w:rPr>
                <w:i/>
              </w:rPr>
            </w:pPr>
            <w:r w:rsidRPr="00073C8F">
              <w:rPr>
                <w:i/>
              </w:rPr>
              <w:t>+32 25468</w:t>
            </w:r>
            <w:r w:rsidRPr="00073C8F">
              <w:t>131</w:t>
            </w:r>
          </w:p>
        </w:tc>
      </w:tr>
      <w:tr w:rsidRPr="00073C8F" w:rsidR="0027426D" w:rsidTr="002831E6" w14:paraId="37900C2D" w14:textId="77777777">
        <w:tc>
          <w:tcPr>
            <w:tcW w:w="1418" w:type="dxa"/>
          </w:tcPr>
          <w:p w:rsidRPr="00073C8F" w:rsidR="0027426D" w:rsidP="00241CB3" w:rsidRDefault="00014D19" w14:paraId="6F850B27" w14:textId="27F7524C">
            <w:pPr>
              <w:suppressAutoHyphens/>
              <w:overflowPunct w:val="0"/>
              <w:autoSpaceDE w:val="0"/>
              <w:autoSpaceDN w:val="0"/>
              <w:adjustRightInd w:val="0"/>
              <w:textAlignment w:val="baseline"/>
              <w:rPr>
                <w:i/>
              </w:rPr>
            </w:pPr>
            <w:r w:rsidRPr="00073C8F">
              <w:rPr>
                <w:i/>
              </w:rPr>
              <w:t>e-mail</w:t>
            </w:r>
          </w:p>
        </w:tc>
        <w:tc>
          <w:tcPr>
            <w:tcW w:w="5670" w:type="dxa"/>
          </w:tcPr>
          <w:p w:rsidRPr="00073C8F" w:rsidR="0027426D" w:rsidP="00241CB3" w:rsidRDefault="00A46594" w14:paraId="5E09C323" w14:textId="77777777">
            <w:pPr>
              <w:suppressAutoHyphens/>
              <w:overflowPunct w:val="0"/>
              <w:autoSpaceDE w:val="0"/>
              <w:autoSpaceDN w:val="0"/>
              <w:adjustRightInd w:val="0"/>
              <w:textAlignment w:val="baseline"/>
            </w:pPr>
            <w:hyperlink w:history="1" r:id="rId27">
              <w:r w:rsidRPr="00073C8F" w:rsidR="0081023C">
                <w:rPr>
                  <w:i/>
                  <w:color w:val="0000FF"/>
                  <w:u w:val="single"/>
                </w:rPr>
                <w:t>Ana.Dumitrache@eesc.europa.eu</w:t>
              </w:r>
            </w:hyperlink>
          </w:p>
        </w:tc>
      </w:tr>
    </w:tbl>
    <w:p w:rsidRPr="00073C8F" w:rsidR="0027426D" w:rsidP="00241CB3" w:rsidRDefault="0027426D" w14:paraId="0FB4931B" w14:textId="77777777">
      <w:pPr>
        <w:suppressAutoHyphens/>
        <w:jc w:val="left"/>
      </w:pPr>
      <w:r w:rsidRPr="00073C8F">
        <w:br w:type="page"/>
      </w:r>
    </w:p>
    <w:p w:rsidRPr="00073C8F" w:rsidR="0027426D" w:rsidP="00241CB3" w:rsidRDefault="00A46594" w14:paraId="2FBF382C" w14:textId="1A9A6F5A">
      <w:pPr>
        <w:numPr>
          <w:ilvl w:val="0"/>
          <w:numId w:val="4"/>
        </w:numPr>
        <w:suppressAutoHyphens/>
        <w:overflowPunct w:val="0"/>
        <w:autoSpaceDE w:val="0"/>
        <w:autoSpaceDN w:val="0"/>
        <w:adjustRightInd w:val="0"/>
        <w:ind w:hanging="567"/>
        <w:textAlignment w:val="baseline"/>
        <w:rPr>
          <w:sz w:val="28"/>
          <w:szCs w:val="28"/>
        </w:rPr>
      </w:pPr>
      <w:hyperlink w:history="1" r:id="rId28">
        <w:r w:rsidRPr="00073C8F" w:rsidR="0081023C">
          <w:rPr>
            <w:b/>
            <w:i/>
            <w:color w:val="0000FF"/>
            <w:sz w:val="28"/>
            <w:szCs w:val="28"/>
            <w:u w:val="single"/>
          </w:rPr>
          <w:t>Integracja osób z niepełnosprawnościami w kontekście rozwoju nowych technologii i sztucznej inteligencji – możliwości, wyzwania, zagrożenia i</w:t>
        </w:r>
        <w:r w:rsidR="009529C7">
          <w:rPr>
            <w:b/>
            <w:i/>
            <w:color w:val="0000FF"/>
            <w:sz w:val="28"/>
            <w:szCs w:val="28"/>
            <w:u w:val="single"/>
          </w:rPr>
          <w:t> </w:t>
        </w:r>
        <w:r w:rsidRPr="00073C8F" w:rsidR="0081023C">
          <w:rPr>
            <w:b/>
            <w:i/>
            <w:color w:val="0000FF"/>
            <w:sz w:val="28"/>
            <w:szCs w:val="28"/>
            <w:u w:val="single"/>
          </w:rPr>
          <w:t>szanse</w:t>
        </w:r>
      </w:hyperlink>
    </w:p>
    <w:p w:rsidRPr="00073C8F" w:rsidR="0027426D" w:rsidP="00241CB3" w:rsidRDefault="0027426D" w14:paraId="55DABCEF" w14:textId="4E41E896">
      <w:pPr>
        <w:tabs>
          <w:tab w:val="center" w:pos="284"/>
        </w:tabs>
        <w:suppressAutoHyphens/>
        <w:overflowPunct w:val="0"/>
        <w:autoSpaceDE w:val="0"/>
        <w:autoSpaceDN w:val="0"/>
        <w:adjustRightInd w:val="0"/>
        <w:ind w:left="266" w:hanging="266"/>
        <w:textAlignment w:val="baseline"/>
        <w:rPr>
          <w:b/>
        </w:rPr>
      </w:pPr>
    </w:p>
    <w:tbl>
      <w:tblPr>
        <w:tblW w:w="5000" w:type="pct"/>
        <w:tblLook w:val="04A0" w:firstRow="1" w:lastRow="0" w:firstColumn="1" w:lastColumn="0" w:noHBand="0" w:noVBand="1"/>
      </w:tblPr>
      <w:tblGrid>
        <w:gridCol w:w="2183"/>
        <w:gridCol w:w="7106"/>
      </w:tblGrid>
      <w:tr w:rsidRPr="00073C8F" w:rsidR="0027426D" w:rsidTr="00097E6F" w14:paraId="76C321D8" w14:textId="77777777">
        <w:tc>
          <w:tcPr>
            <w:tcW w:w="1175" w:type="pct"/>
          </w:tcPr>
          <w:p w:rsidRPr="00073C8F" w:rsidR="0027426D" w:rsidP="00097E6F" w:rsidRDefault="0027426D" w14:paraId="438F0B91" w14:textId="77777777">
            <w:pPr>
              <w:tabs>
                <w:tab w:val="center" w:pos="284"/>
              </w:tabs>
              <w:suppressAutoHyphens/>
              <w:overflowPunct w:val="0"/>
              <w:autoSpaceDE w:val="0"/>
              <w:autoSpaceDN w:val="0"/>
              <w:adjustRightInd w:val="0"/>
              <w:textAlignment w:val="baseline"/>
              <w:rPr>
                <w:b/>
              </w:rPr>
            </w:pPr>
            <w:r w:rsidRPr="00073C8F">
              <w:rPr>
                <w:b/>
              </w:rPr>
              <w:t>Sprawozdawczyni</w:t>
            </w:r>
          </w:p>
        </w:tc>
        <w:tc>
          <w:tcPr>
            <w:tcW w:w="3825" w:type="pct"/>
          </w:tcPr>
          <w:p w:rsidRPr="00073C8F" w:rsidR="0027426D" w:rsidP="00097E6F" w:rsidRDefault="0027426D" w14:paraId="61BBA559" w14:textId="14DD9D01">
            <w:pPr>
              <w:tabs>
                <w:tab w:val="center" w:pos="284"/>
              </w:tabs>
              <w:suppressAutoHyphens/>
              <w:overflowPunct w:val="0"/>
              <w:autoSpaceDE w:val="0"/>
              <w:autoSpaceDN w:val="0"/>
              <w:adjustRightInd w:val="0"/>
              <w:textAlignment w:val="baseline"/>
            </w:pPr>
            <w:r w:rsidRPr="00073C8F">
              <w:t>Dovilė JUODKAITĖ (Grupa Organizacji Społeczeństwa Obywatelskiego – LT)</w:t>
            </w:r>
          </w:p>
        </w:tc>
      </w:tr>
      <w:tr w:rsidRPr="00073C8F" w:rsidR="0027426D" w:rsidTr="00097E6F" w14:paraId="1EDCF328" w14:textId="77777777">
        <w:tc>
          <w:tcPr>
            <w:tcW w:w="1175" w:type="pct"/>
          </w:tcPr>
          <w:p w:rsidRPr="00073C8F" w:rsidR="0027426D" w:rsidP="00097E6F" w:rsidRDefault="0027426D" w14:paraId="36F6457E" w14:textId="77777777">
            <w:pPr>
              <w:tabs>
                <w:tab w:val="center" w:pos="284"/>
              </w:tabs>
              <w:suppressAutoHyphens/>
              <w:overflowPunct w:val="0"/>
              <w:autoSpaceDE w:val="0"/>
              <w:autoSpaceDN w:val="0"/>
              <w:adjustRightInd w:val="0"/>
              <w:textAlignment w:val="baseline"/>
              <w:rPr>
                <w:b/>
              </w:rPr>
            </w:pPr>
          </w:p>
        </w:tc>
        <w:tc>
          <w:tcPr>
            <w:tcW w:w="3825" w:type="pct"/>
          </w:tcPr>
          <w:p w:rsidRPr="00073C8F" w:rsidR="0027426D" w:rsidP="00097E6F" w:rsidRDefault="0027426D" w14:paraId="20D4CD84" w14:textId="77777777">
            <w:pPr>
              <w:tabs>
                <w:tab w:val="center" w:pos="284"/>
              </w:tabs>
              <w:suppressAutoHyphens/>
              <w:overflowPunct w:val="0"/>
              <w:autoSpaceDE w:val="0"/>
              <w:autoSpaceDN w:val="0"/>
              <w:adjustRightInd w:val="0"/>
              <w:textAlignment w:val="baseline"/>
            </w:pPr>
          </w:p>
        </w:tc>
      </w:tr>
      <w:tr w:rsidRPr="00073C8F" w:rsidR="0027426D" w:rsidTr="00097E6F" w14:paraId="760C9E4C" w14:textId="77777777">
        <w:tc>
          <w:tcPr>
            <w:tcW w:w="1175" w:type="pct"/>
            <w:vMerge w:val="restart"/>
          </w:tcPr>
          <w:p w:rsidRPr="00073C8F" w:rsidR="0027426D" w:rsidP="00097E6F" w:rsidRDefault="0027426D" w14:paraId="1D6913D5" w14:textId="77777777">
            <w:pPr>
              <w:tabs>
                <w:tab w:val="center" w:pos="284"/>
              </w:tabs>
              <w:suppressAutoHyphens/>
              <w:overflowPunct w:val="0"/>
              <w:autoSpaceDE w:val="0"/>
              <w:autoSpaceDN w:val="0"/>
              <w:adjustRightInd w:val="0"/>
              <w:textAlignment w:val="baseline"/>
              <w:rPr>
                <w:b/>
              </w:rPr>
            </w:pPr>
            <w:r w:rsidRPr="00073C8F">
              <w:rPr>
                <w:b/>
              </w:rPr>
              <w:t xml:space="preserve">Dokumenty </w:t>
            </w:r>
          </w:p>
        </w:tc>
        <w:tc>
          <w:tcPr>
            <w:tcW w:w="3825" w:type="pct"/>
          </w:tcPr>
          <w:p w:rsidRPr="00073C8F" w:rsidR="0027426D" w:rsidP="00097E6F" w:rsidRDefault="0027426D" w14:paraId="632AA519" w14:textId="3616AEFA">
            <w:pPr>
              <w:tabs>
                <w:tab w:val="center" w:pos="284"/>
              </w:tabs>
              <w:suppressAutoHyphens/>
              <w:overflowPunct w:val="0"/>
              <w:autoSpaceDE w:val="0"/>
              <w:autoSpaceDN w:val="0"/>
              <w:adjustRightInd w:val="0"/>
              <w:textAlignment w:val="baseline"/>
            </w:pPr>
            <w:r w:rsidRPr="00073C8F">
              <w:t>Opinia rozpoznawcza na wniosek polskiej prezydencji Rady UE</w:t>
            </w:r>
          </w:p>
        </w:tc>
      </w:tr>
      <w:tr w:rsidRPr="00073C8F" w:rsidR="0027426D" w:rsidTr="00097E6F" w14:paraId="2ECB441B" w14:textId="77777777">
        <w:tc>
          <w:tcPr>
            <w:tcW w:w="1175" w:type="pct"/>
            <w:vMerge/>
          </w:tcPr>
          <w:p w:rsidRPr="00073C8F" w:rsidR="0027426D" w:rsidP="00097E6F" w:rsidRDefault="0027426D" w14:paraId="5D21D13A" w14:textId="77777777">
            <w:pPr>
              <w:tabs>
                <w:tab w:val="center" w:pos="284"/>
              </w:tabs>
              <w:suppressAutoHyphens/>
              <w:overflowPunct w:val="0"/>
              <w:autoSpaceDE w:val="0"/>
              <w:autoSpaceDN w:val="0"/>
              <w:adjustRightInd w:val="0"/>
              <w:textAlignment w:val="baseline"/>
              <w:rPr>
                <w:b/>
              </w:rPr>
            </w:pPr>
          </w:p>
        </w:tc>
        <w:tc>
          <w:tcPr>
            <w:tcW w:w="3825" w:type="pct"/>
          </w:tcPr>
          <w:p w:rsidRPr="00073C8F" w:rsidR="0027426D" w:rsidP="00097E6F" w:rsidRDefault="0027426D" w14:paraId="75649594" w14:textId="77777777">
            <w:pPr>
              <w:tabs>
                <w:tab w:val="center" w:pos="284"/>
              </w:tabs>
              <w:suppressAutoHyphens/>
              <w:overflowPunct w:val="0"/>
              <w:autoSpaceDE w:val="0"/>
              <w:autoSpaceDN w:val="0"/>
              <w:adjustRightInd w:val="0"/>
              <w:textAlignment w:val="baseline"/>
            </w:pPr>
            <w:r w:rsidRPr="00073C8F">
              <w:t>EESC-2024-04195-00-00-AC</w:t>
            </w:r>
          </w:p>
        </w:tc>
      </w:tr>
    </w:tbl>
    <w:p w:rsidRPr="00073C8F" w:rsidR="0027426D" w:rsidP="00241CB3" w:rsidRDefault="0027426D" w14:paraId="470084AB" w14:textId="77777777">
      <w:pPr>
        <w:tabs>
          <w:tab w:val="center" w:pos="284"/>
        </w:tabs>
        <w:suppressAutoHyphens/>
        <w:overflowPunct w:val="0"/>
        <w:autoSpaceDE w:val="0"/>
        <w:autoSpaceDN w:val="0"/>
        <w:adjustRightInd w:val="0"/>
        <w:ind w:left="266" w:hanging="266"/>
        <w:textAlignment w:val="baseline"/>
      </w:pPr>
    </w:p>
    <w:p w:rsidRPr="00073C8F" w:rsidR="0027426D" w:rsidP="00241CB3" w:rsidRDefault="0027426D" w14:paraId="79EE6B2F" w14:textId="14DCF340">
      <w:pPr>
        <w:tabs>
          <w:tab w:val="center" w:pos="284"/>
        </w:tabs>
        <w:suppressAutoHyphens/>
        <w:overflowPunct w:val="0"/>
        <w:autoSpaceDE w:val="0"/>
        <w:autoSpaceDN w:val="0"/>
        <w:adjustRightInd w:val="0"/>
        <w:ind w:left="266" w:hanging="266"/>
        <w:textAlignment w:val="baseline"/>
        <w:rPr>
          <w:b/>
        </w:rPr>
      </w:pPr>
      <w:r w:rsidRPr="00073C8F">
        <w:rPr>
          <w:b/>
        </w:rPr>
        <w:t>Główne punkty</w:t>
      </w:r>
    </w:p>
    <w:p w:rsidRPr="00073C8F" w:rsidR="0027426D" w:rsidP="00241CB3" w:rsidRDefault="0027426D" w14:paraId="4A92ECD3" w14:textId="77777777">
      <w:pPr>
        <w:tabs>
          <w:tab w:val="center" w:pos="284"/>
        </w:tabs>
        <w:suppressAutoHyphens/>
        <w:overflowPunct w:val="0"/>
        <w:autoSpaceDE w:val="0"/>
        <w:autoSpaceDN w:val="0"/>
        <w:adjustRightInd w:val="0"/>
        <w:ind w:left="266" w:hanging="266"/>
        <w:textAlignment w:val="baseline"/>
        <w:rPr>
          <w:b/>
        </w:rPr>
      </w:pPr>
    </w:p>
    <w:p w:rsidR="0027426D" w:rsidP="00241CB3" w:rsidRDefault="0027426D" w14:paraId="01943326" w14:textId="02DD29F2">
      <w:pPr>
        <w:suppressAutoHyphens/>
        <w:overflowPunct w:val="0"/>
        <w:autoSpaceDE w:val="0"/>
        <w:autoSpaceDN w:val="0"/>
        <w:adjustRightInd w:val="0"/>
        <w:textAlignment w:val="baseline"/>
      </w:pPr>
      <w:r w:rsidRPr="00073C8F">
        <w:t>EKES:</w:t>
      </w:r>
    </w:p>
    <w:p w:rsidRPr="00073C8F" w:rsidR="00097E6F" w:rsidP="00241CB3" w:rsidRDefault="00097E6F" w14:paraId="799ED498" w14:textId="77777777">
      <w:pPr>
        <w:suppressAutoHyphens/>
        <w:overflowPunct w:val="0"/>
        <w:autoSpaceDE w:val="0"/>
        <w:autoSpaceDN w:val="0"/>
        <w:adjustRightInd w:val="0"/>
        <w:textAlignment w:val="baseline"/>
        <w:rPr>
          <w:bCs/>
          <w:iCs/>
        </w:rPr>
      </w:pPr>
    </w:p>
    <w:p w:rsidRPr="00073C8F" w:rsidR="0027426D" w:rsidP="00596171" w:rsidRDefault="0027426D" w14:paraId="5D0157C5" w14:textId="77777777">
      <w:pPr>
        <w:numPr>
          <w:ilvl w:val="0"/>
          <w:numId w:val="23"/>
        </w:numPr>
        <w:suppressAutoHyphens/>
        <w:overflowPunct w:val="0"/>
        <w:autoSpaceDE w:val="0"/>
        <w:autoSpaceDN w:val="0"/>
        <w:adjustRightInd w:val="0"/>
        <w:ind w:left="567" w:hanging="567"/>
        <w:textAlignment w:val="baseline"/>
      </w:pPr>
      <w:r w:rsidRPr="00073C8F">
        <w:t>Uważa, że niezbędne jest włączanie osób z niepełnosprawnościami w cały proces projektowania, opracowywania, oceny oraz wdrażania nowych technologii i zastosowań opartych na sztucznej inteligencji (AI). Ten udział ma zasadnicze znaczenie dla ograniczenia ewentualnego ryzyka dyskryminacji.</w:t>
      </w:r>
    </w:p>
    <w:p w:rsidRPr="00073C8F" w:rsidR="0027426D" w:rsidP="00596171" w:rsidRDefault="0027426D" w14:paraId="179119EA" w14:textId="77777777">
      <w:pPr>
        <w:numPr>
          <w:ilvl w:val="0"/>
          <w:numId w:val="23"/>
        </w:numPr>
        <w:suppressAutoHyphens/>
        <w:overflowPunct w:val="0"/>
        <w:autoSpaceDE w:val="0"/>
        <w:autoSpaceDN w:val="0"/>
        <w:adjustRightInd w:val="0"/>
        <w:ind w:left="567" w:hanging="567"/>
        <w:textAlignment w:val="baseline"/>
      </w:pPr>
      <w:r w:rsidRPr="00073C8F">
        <w:t>Zwraca się do państw członkowskich i UE o sprawdzenie i oszacowanie, w jakim stopniu zastosowania AI w najważniejszych dziedzinach są inkluzywne.</w:t>
      </w:r>
    </w:p>
    <w:p w:rsidRPr="00073C8F" w:rsidR="0027426D" w:rsidP="00596171" w:rsidRDefault="0027426D" w14:paraId="349BF309" w14:textId="77777777">
      <w:pPr>
        <w:numPr>
          <w:ilvl w:val="0"/>
          <w:numId w:val="23"/>
        </w:numPr>
        <w:suppressAutoHyphens/>
        <w:overflowPunct w:val="0"/>
        <w:autoSpaceDE w:val="0"/>
        <w:autoSpaceDN w:val="0"/>
        <w:adjustRightInd w:val="0"/>
        <w:ind w:left="567" w:hanging="567"/>
        <w:textAlignment w:val="baseline"/>
      </w:pPr>
      <w:r w:rsidRPr="00073C8F">
        <w:t>Sądzi, że konieczne jest dalsze monitorowanie w celu ochrony osób z niepełnosprawnościami przed szkodliwym stosowaniem systemów związanych z rzekomo ograniczonym ryzykiem, zwłaszcza w dziedzinie zatrudnienia i rekrutacji.</w:t>
      </w:r>
    </w:p>
    <w:p w:rsidRPr="00073C8F" w:rsidR="0027426D" w:rsidP="00596171" w:rsidRDefault="0027426D" w14:paraId="5DC76F9E" w14:textId="77777777">
      <w:pPr>
        <w:numPr>
          <w:ilvl w:val="0"/>
          <w:numId w:val="23"/>
        </w:numPr>
        <w:suppressAutoHyphens/>
        <w:overflowPunct w:val="0"/>
        <w:autoSpaceDE w:val="0"/>
        <w:autoSpaceDN w:val="0"/>
        <w:adjustRightInd w:val="0"/>
        <w:ind w:left="567" w:hanging="567"/>
        <w:textAlignment w:val="baseline"/>
      </w:pPr>
      <w:r w:rsidRPr="00073C8F">
        <w:t xml:space="preserve">Podkreśla wagę zapewnienia ogólnej dostępności usług i towarów wykorzystujących nowe technologie oraz rozwiązania oparte na AI. </w:t>
      </w:r>
    </w:p>
    <w:p w:rsidRPr="00073C8F" w:rsidR="0027426D" w:rsidP="00596171" w:rsidRDefault="0027426D" w14:paraId="4711E7F3" w14:textId="510A0957">
      <w:pPr>
        <w:numPr>
          <w:ilvl w:val="0"/>
          <w:numId w:val="23"/>
        </w:numPr>
        <w:suppressAutoHyphens/>
        <w:overflowPunct w:val="0"/>
        <w:autoSpaceDE w:val="0"/>
        <w:autoSpaceDN w:val="0"/>
        <w:adjustRightInd w:val="0"/>
        <w:ind w:left="567" w:hanging="567"/>
        <w:textAlignment w:val="baseline"/>
      </w:pPr>
      <w:r w:rsidRPr="00073C8F">
        <w:t>Uważa, że państwa członkowskie muszą zadbać o to, by pracodawcy wykorzystywali możliwości wynikające z nowych osiągnięć technologicznych i zastosowań AI do poprawy dostępności oraz wprowadzania racjonalnych usprawnień dla pracowników z</w:t>
      </w:r>
      <w:r w:rsidR="00E421E9">
        <w:t> </w:t>
      </w:r>
      <w:r w:rsidRPr="00073C8F">
        <w:t xml:space="preserve">niepełnosprawnościami. </w:t>
      </w:r>
    </w:p>
    <w:p w:rsidRPr="00073C8F" w:rsidR="0027426D" w:rsidP="00596171" w:rsidRDefault="0027426D" w14:paraId="14FC302B" w14:textId="77777777">
      <w:pPr>
        <w:numPr>
          <w:ilvl w:val="0"/>
          <w:numId w:val="23"/>
        </w:numPr>
        <w:suppressAutoHyphens/>
        <w:overflowPunct w:val="0"/>
        <w:autoSpaceDE w:val="0"/>
        <w:autoSpaceDN w:val="0"/>
        <w:adjustRightInd w:val="0"/>
        <w:ind w:left="567" w:hanging="567"/>
        <w:textAlignment w:val="baseline"/>
      </w:pPr>
      <w:r w:rsidRPr="00073C8F">
        <w:t>Zaleca zwiększenie wydatków publicznych na badania i rozwój w zakresie rozwiązań opartych na AI służących dostępności i pomocy technologicznej, a także poszerzenie wiedzy społeczeństwa o tych osiągnięciach technologicznych.</w:t>
      </w:r>
    </w:p>
    <w:p w:rsidRPr="00073C8F" w:rsidR="0027426D" w:rsidP="00596171" w:rsidRDefault="0027426D" w14:paraId="29D0A1C3" w14:textId="5A356FBE">
      <w:pPr>
        <w:numPr>
          <w:ilvl w:val="0"/>
          <w:numId w:val="23"/>
        </w:numPr>
        <w:suppressAutoHyphens/>
        <w:overflowPunct w:val="0"/>
        <w:autoSpaceDE w:val="0"/>
        <w:autoSpaceDN w:val="0"/>
        <w:adjustRightInd w:val="0"/>
        <w:ind w:left="567" w:hanging="567"/>
        <w:textAlignment w:val="baseline"/>
      </w:pPr>
      <w:r w:rsidRPr="00073C8F">
        <w:t>Wzywa państwa członkowskie do wdrożenia i poszerzenia istniejących programów nauczania umiejętności cyfrowych dla osób z niepełnosprawnościami, do poprawy ich obecnej sytuacji i</w:t>
      </w:r>
      <w:r w:rsidR="00E421E9">
        <w:t> </w:t>
      </w:r>
      <w:r w:rsidRPr="00073C8F">
        <w:t>kwalifikacji w tych dziedzinach, a także do podejmowania wysiłków na rzecz ich większego włączenia w kształcenie wyższe i szkolenie zawodowe w sektorach technologicznych.</w:t>
      </w:r>
    </w:p>
    <w:p w:rsidRPr="00073C8F" w:rsidR="0027426D" w:rsidP="00596171" w:rsidRDefault="0027426D" w14:paraId="43DA7BE6" w14:textId="5ED9EF20">
      <w:pPr>
        <w:numPr>
          <w:ilvl w:val="0"/>
          <w:numId w:val="23"/>
        </w:numPr>
        <w:suppressAutoHyphens/>
        <w:overflowPunct w:val="0"/>
        <w:autoSpaceDE w:val="0"/>
        <w:autoSpaceDN w:val="0"/>
        <w:adjustRightInd w:val="0"/>
        <w:ind w:left="567" w:hanging="567"/>
        <w:textAlignment w:val="baseline"/>
      </w:pPr>
      <w:r w:rsidRPr="00073C8F">
        <w:t>Podkreśla potrzebę rozpowszechnienia racjonalnych usprawnień dla pracowników z</w:t>
      </w:r>
      <w:r w:rsidR="00E421E9">
        <w:t> </w:t>
      </w:r>
      <w:r w:rsidRPr="00073C8F">
        <w:t>niepełnosprawnościami w miejscu pracy, w tym w publicznych i prywatnych procesach rekrutacji, w zdobywaniu kwalifikacji i szkoleniach zawodowych oraz w szkolnictwie wyższym.</w:t>
      </w:r>
    </w:p>
    <w:p w:rsidRPr="00073C8F" w:rsidR="0027426D" w:rsidP="00241CB3" w:rsidRDefault="0027426D" w14:paraId="2FCFFA07" w14:textId="77777777">
      <w:pPr>
        <w:suppressAutoHyphens/>
        <w:overflowPunct w:val="0"/>
        <w:autoSpaceDE w:val="0"/>
        <w:autoSpaceDN w:val="0"/>
        <w:adjustRightInd w:val="0"/>
        <w:textAlignment w:val="baseline"/>
      </w:pPr>
    </w:p>
    <w:tbl>
      <w:tblPr>
        <w:tblW w:w="0" w:type="auto"/>
        <w:tblLook w:val="04A0" w:firstRow="1" w:lastRow="0" w:firstColumn="1" w:lastColumn="0" w:noHBand="0" w:noVBand="1"/>
      </w:tblPr>
      <w:tblGrid>
        <w:gridCol w:w="1238"/>
        <w:gridCol w:w="238"/>
        <w:gridCol w:w="4507"/>
      </w:tblGrid>
      <w:tr w:rsidRPr="00073C8F" w:rsidR="0027426D" w:rsidTr="002831E6" w14:paraId="5D05C1CA" w14:textId="77777777">
        <w:tc>
          <w:tcPr>
            <w:tcW w:w="1238" w:type="dxa"/>
          </w:tcPr>
          <w:p w:rsidRPr="00073C8F" w:rsidR="0027426D" w:rsidP="00241CB3" w:rsidRDefault="0027426D" w14:paraId="58B79F5B" w14:textId="77777777">
            <w:pPr>
              <w:suppressAutoHyphens/>
              <w:overflowPunct w:val="0"/>
              <w:autoSpaceDE w:val="0"/>
              <w:autoSpaceDN w:val="0"/>
              <w:adjustRightInd w:val="0"/>
              <w:textAlignment w:val="baseline"/>
              <w:rPr>
                <w:i/>
              </w:rPr>
            </w:pPr>
            <w:r w:rsidRPr="00073C8F">
              <w:rPr>
                <w:b/>
                <w:i/>
              </w:rPr>
              <w:t>Kontakt</w:t>
            </w:r>
          </w:p>
        </w:tc>
        <w:tc>
          <w:tcPr>
            <w:tcW w:w="238" w:type="dxa"/>
          </w:tcPr>
          <w:p w:rsidRPr="00073C8F" w:rsidR="0027426D" w:rsidP="00241CB3" w:rsidRDefault="0027426D" w14:paraId="17694479" w14:textId="77777777">
            <w:pPr>
              <w:suppressAutoHyphens/>
              <w:overflowPunct w:val="0"/>
              <w:autoSpaceDE w:val="0"/>
              <w:autoSpaceDN w:val="0"/>
              <w:adjustRightInd w:val="0"/>
              <w:textAlignment w:val="baseline"/>
              <w:rPr>
                <w:i/>
              </w:rPr>
            </w:pPr>
          </w:p>
        </w:tc>
        <w:tc>
          <w:tcPr>
            <w:tcW w:w="4507" w:type="dxa"/>
          </w:tcPr>
          <w:p w:rsidRPr="00073C8F" w:rsidR="0027426D" w:rsidP="00241CB3" w:rsidRDefault="0027426D" w14:paraId="3C748457" w14:textId="40A3F62A">
            <w:pPr>
              <w:suppressAutoHyphens/>
              <w:overflowPunct w:val="0"/>
              <w:autoSpaceDE w:val="0"/>
              <w:autoSpaceDN w:val="0"/>
              <w:adjustRightInd w:val="0"/>
              <w:textAlignment w:val="baseline"/>
              <w:rPr>
                <w:i/>
              </w:rPr>
            </w:pPr>
            <w:r w:rsidRPr="00073C8F">
              <w:rPr>
                <w:i/>
              </w:rPr>
              <w:t>Valeria Atzori</w:t>
            </w:r>
          </w:p>
        </w:tc>
      </w:tr>
      <w:tr w:rsidRPr="00073C8F" w:rsidR="0027426D" w:rsidTr="002831E6" w14:paraId="4774EF21" w14:textId="77777777">
        <w:tc>
          <w:tcPr>
            <w:tcW w:w="1238" w:type="dxa"/>
          </w:tcPr>
          <w:p w:rsidRPr="00073C8F" w:rsidR="0027426D" w:rsidP="00241CB3" w:rsidRDefault="0027426D" w14:paraId="40E84776" w14:textId="77777777">
            <w:pPr>
              <w:suppressAutoHyphens/>
              <w:overflowPunct w:val="0"/>
              <w:autoSpaceDE w:val="0"/>
              <w:autoSpaceDN w:val="0"/>
              <w:adjustRightInd w:val="0"/>
              <w:textAlignment w:val="baseline"/>
              <w:rPr>
                <w:i/>
              </w:rPr>
            </w:pPr>
            <w:r w:rsidRPr="00073C8F">
              <w:rPr>
                <w:i/>
              </w:rPr>
              <w:t>tel.</w:t>
            </w:r>
          </w:p>
        </w:tc>
        <w:tc>
          <w:tcPr>
            <w:tcW w:w="238" w:type="dxa"/>
          </w:tcPr>
          <w:p w:rsidRPr="00073C8F" w:rsidR="0027426D" w:rsidP="00241CB3" w:rsidRDefault="0027426D" w14:paraId="2A0A54FB" w14:textId="77777777">
            <w:pPr>
              <w:suppressAutoHyphens/>
              <w:overflowPunct w:val="0"/>
              <w:autoSpaceDE w:val="0"/>
              <w:autoSpaceDN w:val="0"/>
              <w:adjustRightInd w:val="0"/>
              <w:textAlignment w:val="baseline"/>
              <w:rPr>
                <w:i/>
              </w:rPr>
            </w:pPr>
          </w:p>
        </w:tc>
        <w:tc>
          <w:tcPr>
            <w:tcW w:w="4507" w:type="dxa"/>
          </w:tcPr>
          <w:p w:rsidRPr="00073C8F" w:rsidR="0027426D" w:rsidP="00241CB3" w:rsidRDefault="0027426D" w14:paraId="696AF63A" w14:textId="77777777">
            <w:pPr>
              <w:suppressAutoHyphens/>
              <w:overflowPunct w:val="0"/>
              <w:autoSpaceDE w:val="0"/>
              <w:autoSpaceDN w:val="0"/>
              <w:adjustRightInd w:val="0"/>
              <w:textAlignment w:val="baseline"/>
              <w:rPr>
                <w:i/>
              </w:rPr>
            </w:pPr>
            <w:r w:rsidRPr="00073C8F">
              <w:rPr>
                <w:i/>
              </w:rPr>
              <w:t>+32 25468774</w:t>
            </w:r>
          </w:p>
        </w:tc>
      </w:tr>
      <w:tr w:rsidRPr="00073C8F" w:rsidR="0027426D" w:rsidTr="002831E6" w14:paraId="1042078D" w14:textId="77777777">
        <w:tc>
          <w:tcPr>
            <w:tcW w:w="1238" w:type="dxa"/>
          </w:tcPr>
          <w:p w:rsidRPr="00073C8F" w:rsidR="0027426D" w:rsidP="00241CB3" w:rsidRDefault="0027426D" w14:paraId="6C069994" w14:textId="77777777">
            <w:pPr>
              <w:suppressAutoHyphens/>
              <w:overflowPunct w:val="0"/>
              <w:autoSpaceDE w:val="0"/>
              <w:autoSpaceDN w:val="0"/>
              <w:adjustRightInd w:val="0"/>
              <w:textAlignment w:val="baseline"/>
              <w:rPr>
                <w:i/>
              </w:rPr>
            </w:pPr>
            <w:r w:rsidRPr="00073C8F">
              <w:rPr>
                <w:i/>
              </w:rPr>
              <w:t>e-mail</w:t>
            </w:r>
          </w:p>
        </w:tc>
        <w:tc>
          <w:tcPr>
            <w:tcW w:w="238" w:type="dxa"/>
          </w:tcPr>
          <w:p w:rsidRPr="00073C8F" w:rsidR="0027426D" w:rsidP="00241CB3" w:rsidRDefault="0027426D" w14:paraId="543EC5BD" w14:textId="77777777">
            <w:pPr>
              <w:suppressAutoHyphens/>
              <w:overflowPunct w:val="0"/>
              <w:autoSpaceDE w:val="0"/>
              <w:autoSpaceDN w:val="0"/>
              <w:adjustRightInd w:val="0"/>
              <w:textAlignment w:val="baseline"/>
            </w:pPr>
          </w:p>
        </w:tc>
        <w:tc>
          <w:tcPr>
            <w:tcW w:w="4507" w:type="dxa"/>
          </w:tcPr>
          <w:p w:rsidRPr="00073C8F" w:rsidR="0027426D" w:rsidP="00241CB3" w:rsidRDefault="00A46594" w14:paraId="0734D0FC" w14:textId="77777777">
            <w:pPr>
              <w:suppressAutoHyphens/>
              <w:overflowPunct w:val="0"/>
              <w:autoSpaceDE w:val="0"/>
              <w:autoSpaceDN w:val="0"/>
              <w:adjustRightInd w:val="0"/>
              <w:textAlignment w:val="baseline"/>
              <w:rPr>
                <w:i/>
                <w:iCs/>
              </w:rPr>
            </w:pPr>
            <w:hyperlink w:history="1" r:id="rId29">
              <w:r w:rsidRPr="00073C8F" w:rsidR="0081023C">
                <w:rPr>
                  <w:i/>
                  <w:color w:val="0000FF"/>
                  <w:u w:val="single"/>
                </w:rPr>
                <w:t>Valeria.Atzori@eesc.europa.eu</w:t>
              </w:r>
            </w:hyperlink>
          </w:p>
        </w:tc>
      </w:tr>
    </w:tbl>
    <w:p w:rsidRPr="00272AC2" w:rsidR="009D2554" w:rsidP="00241CB3" w:rsidRDefault="009D2554" w14:paraId="6DA2E2E1" w14:textId="1084030B">
      <w:pPr>
        <w:suppressAutoHyphens/>
        <w:jc w:val="left"/>
        <w:rPr>
          <w:sz w:val="2"/>
          <w:szCs w:val="2"/>
        </w:rPr>
      </w:pPr>
      <w:r w:rsidRPr="00272AC2">
        <w:rPr>
          <w:sz w:val="2"/>
          <w:szCs w:val="2"/>
        </w:rPr>
        <w:br w:type="page"/>
      </w:r>
    </w:p>
    <w:p w:rsidRPr="00073C8F" w:rsidR="001A7780" w:rsidP="00241CB3" w:rsidRDefault="00A46594" w14:paraId="201B682F" w14:textId="476D8556">
      <w:pPr>
        <w:numPr>
          <w:ilvl w:val="0"/>
          <w:numId w:val="40"/>
        </w:numPr>
        <w:suppressAutoHyphens/>
        <w:overflowPunct w:val="0"/>
        <w:autoSpaceDE w:val="0"/>
        <w:autoSpaceDN w:val="0"/>
        <w:adjustRightInd w:val="0"/>
        <w:ind w:left="567" w:hanging="567"/>
        <w:textAlignment w:val="baseline"/>
        <w:rPr>
          <w:b/>
          <w:sz w:val="28"/>
          <w:szCs w:val="28"/>
        </w:rPr>
      </w:pPr>
      <w:hyperlink w:history="1" r:id="rId30">
        <w:r w:rsidRPr="00073C8F" w:rsidR="001A7780">
          <w:rPr>
            <w:b/>
            <w:i/>
            <w:color w:val="0000FF"/>
            <w:sz w:val="28"/>
            <w:szCs w:val="28"/>
            <w:u w:val="single"/>
          </w:rPr>
          <w:t>Dostęp tzw. osób samozatrudnionych do ochrony socjalnej – analiza sytuacji, ograniczeń i możliwości wzmocnienia ich pozycji</w:t>
        </w:r>
      </w:hyperlink>
    </w:p>
    <w:p w:rsidRPr="00073C8F" w:rsidR="001A7780" w:rsidP="00241CB3" w:rsidRDefault="001A7780" w14:paraId="567898C2" w14:textId="77777777">
      <w:pPr>
        <w:tabs>
          <w:tab w:val="center" w:pos="284"/>
        </w:tabs>
        <w:suppressAutoHyphens/>
        <w:overflowPunct w:val="0"/>
        <w:autoSpaceDE w:val="0"/>
        <w:autoSpaceDN w:val="0"/>
        <w:adjustRightInd w:val="0"/>
        <w:ind w:left="567" w:hanging="567"/>
        <w:textAlignment w:val="baseline"/>
      </w:pPr>
    </w:p>
    <w:tbl>
      <w:tblPr>
        <w:tblW w:w="5000" w:type="pct"/>
        <w:tblLook w:val="04A0" w:firstRow="1" w:lastRow="0" w:firstColumn="1" w:lastColumn="0" w:noHBand="0" w:noVBand="1"/>
      </w:tblPr>
      <w:tblGrid>
        <w:gridCol w:w="1696"/>
        <w:gridCol w:w="7593"/>
      </w:tblGrid>
      <w:tr w:rsidRPr="00073C8F" w:rsidR="001A7780" w:rsidTr="00097E6F" w14:paraId="534D25A0" w14:textId="77777777">
        <w:tc>
          <w:tcPr>
            <w:tcW w:w="913" w:type="pct"/>
          </w:tcPr>
          <w:p w:rsidRPr="00073C8F" w:rsidR="001A7780" w:rsidP="00097E6F" w:rsidRDefault="001A7780" w14:paraId="6B892177" w14:textId="77777777">
            <w:pPr>
              <w:tabs>
                <w:tab w:val="center" w:pos="284"/>
              </w:tabs>
              <w:suppressAutoHyphens/>
              <w:overflowPunct w:val="0"/>
              <w:autoSpaceDE w:val="0"/>
              <w:autoSpaceDN w:val="0"/>
              <w:adjustRightInd w:val="0"/>
              <w:textAlignment w:val="baseline"/>
              <w:rPr>
                <w:b/>
              </w:rPr>
            </w:pPr>
            <w:r w:rsidRPr="00073C8F">
              <w:rPr>
                <w:b/>
              </w:rPr>
              <w:t>Sprawozdawca</w:t>
            </w:r>
          </w:p>
        </w:tc>
        <w:tc>
          <w:tcPr>
            <w:tcW w:w="4087" w:type="pct"/>
          </w:tcPr>
          <w:p w:rsidRPr="00073C8F" w:rsidR="001A7780" w:rsidP="00097E6F" w:rsidRDefault="001A7780" w14:paraId="06D5CE04" w14:textId="77777777">
            <w:pPr>
              <w:suppressAutoHyphens/>
              <w:overflowPunct w:val="0"/>
              <w:autoSpaceDE w:val="0"/>
              <w:autoSpaceDN w:val="0"/>
              <w:adjustRightInd w:val="0"/>
              <w:textAlignment w:val="baseline"/>
            </w:pPr>
            <w:r w:rsidRPr="00073C8F">
              <w:t>Marcin Antoni ZIELENIECKI (Grupa Pracowników – PL)</w:t>
            </w:r>
          </w:p>
        </w:tc>
      </w:tr>
      <w:tr w:rsidRPr="00073C8F" w:rsidR="00097E6F" w:rsidTr="00097E6F" w14:paraId="047C6DAD" w14:textId="77777777">
        <w:tc>
          <w:tcPr>
            <w:tcW w:w="913" w:type="pct"/>
          </w:tcPr>
          <w:p w:rsidRPr="00073C8F" w:rsidR="00097E6F" w:rsidP="00097E6F" w:rsidRDefault="00097E6F" w14:paraId="2EB04755" w14:textId="77777777">
            <w:pPr>
              <w:tabs>
                <w:tab w:val="center" w:pos="284"/>
              </w:tabs>
              <w:suppressAutoHyphens/>
              <w:overflowPunct w:val="0"/>
              <w:autoSpaceDE w:val="0"/>
              <w:autoSpaceDN w:val="0"/>
              <w:adjustRightInd w:val="0"/>
              <w:textAlignment w:val="baseline"/>
              <w:rPr>
                <w:b/>
              </w:rPr>
            </w:pPr>
          </w:p>
        </w:tc>
        <w:tc>
          <w:tcPr>
            <w:tcW w:w="4087" w:type="pct"/>
          </w:tcPr>
          <w:p w:rsidRPr="00073C8F" w:rsidR="00097E6F" w:rsidP="00097E6F" w:rsidRDefault="00097E6F" w14:paraId="3BAD5AAD" w14:textId="77777777">
            <w:pPr>
              <w:suppressAutoHyphens/>
              <w:overflowPunct w:val="0"/>
              <w:autoSpaceDE w:val="0"/>
              <w:autoSpaceDN w:val="0"/>
              <w:adjustRightInd w:val="0"/>
              <w:textAlignment w:val="baseline"/>
            </w:pPr>
          </w:p>
        </w:tc>
      </w:tr>
      <w:tr w:rsidRPr="00073C8F" w:rsidR="001A7780" w:rsidTr="00097E6F" w14:paraId="22DE218D" w14:textId="77777777">
        <w:tc>
          <w:tcPr>
            <w:tcW w:w="913" w:type="pct"/>
          </w:tcPr>
          <w:p w:rsidRPr="00073C8F" w:rsidR="001A7780" w:rsidP="00097E6F" w:rsidRDefault="001A7780" w14:paraId="51A9517A" w14:textId="77777777">
            <w:pPr>
              <w:tabs>
                <w:tab w:val="center" w:pos="284"/>
              </w:tabs>
              <w:suppressAutoHyphens/>
              <w:overflowPunct w:val="0"/>
              <w:autoSpaceDE w:val="0"/>
              <w:autoSpaceDN w:val="0"/>
              <w:adjustRightInd w:val="0"/>
              <w:textAlignment w:val="baseline"/>
              <w:rPr>
                <w:b/>
              </w:rPr>
            </w:pPr>
            <w:r w:rsidRPr="00073C8F">
              <w:rPr>
                <w:b/>
              </w:rPr>
              <w:t>Dokumenty</w:t>
            </w:r>
          </w:p>
        </w:tc>
        <w:tc>
          <w:tcPr>
            <w:tcW w:w="4087" w:type="pct"/>
          </w:tcPr>
          <w:p w:rsidRPr="00073C8F" w:rsidR="001A7780" w:rsidP="00097E6F" w:rsidRDefault="001A7780" w14:paraId="67A793CE" w14:textId="677FB680">
            <w:pPr>
              <w:tabs>
                <w:tab w:val="center" w:pos="284"/>
              </w:tabs>
              <w:suppressAutoHyphens/>
              <w:overflowPunct w:val="0"/>
              <w:autoSpaceDE w:val="0"/>
              <w:autoSpaceDN w:val="0"/>
              <w:adjustRightInd w:val="0"/>
              <w:textAlignment w:val="baseline"/>
            </w:pPr>
            <w:r w:rsidRPr="00073C8F">
              <w:t>EESC-2024-03442-00-00-AC</w:t>
            </w:r>
          </w:p>
        </w:tc>
      </w:tr>
    </w:tbl>
    <w:p w:rsidRPr="00073C8F" w:rsidR="001A7780" w:rsidP="00241CB3" w:rsidRDefault="001A7780" w14:paraId="3EB9DE49" w14:textId="77777777">
      <w:pPr>
        <w:tabs>
          <w:tab w:val="center" w:pos="284"/>
        </w:tabs>
        <w:suppressAutoHyphens/>
        <w:overflowPunct w:val="0"/>
        <w:autoSpaceDE w:val="0"/>
        <w:autoSpaceDN w:val="0"/>
        <w:adjustRightInd w:val="0"/>
        <w:ind w:left="266" w:hanging="266"/>
        <w:textAlignment w:val="baseline"/>
        <w:rPr>
          <w:b/>
        </w:rPr>
      </w:pPr>
    </w:p>
    <w:p w:rsidRPr="00073C8F" w:rsidR="001A7780" w:rsidP="00241CB3" w:rsidRDefault="001A7780" w14:paraId="7B917BF8" w14:textId="77777777">
      <w:pPr>
        <w:tabs>
          <w:tab w:val="center" w:pos="284"/>
        </w:tabs>
        <w:suppressAutoHyphens/>
        <w:overflowPunct w:val="0"/>
        <w:autoSpaceDE w:val="0"/>
        <w:autoSpaceDN w:val="0"/>
        <w:adjustRightInd w:val="0"/>
        <w:ind w:left="266" w:hanging="266"/>
        <w:textAlignment w:val="baseline"/>
        <w:rPr>
          <w:b/>
        </w:rPr>
      </w:pPr>
      <w:r w:rsidRPr="00073C8F">
        <w:rPr>
          <w:b/>
        </w:rPr>
        <w:t>Główne punkty</w:t>
      </w:r>
    </w:p>
    <w:p w:rsidRPr="00073C8F" w:rsidR="001A7780" w:rsidP="00241CB3" w:rsidRDefault="001A7780" w14:paraId="174DD70D" w14:textId="77777777">
      <w:pPr>
        <w:suppressAutoHyphens/>
        <w:overflowPunct w:val="0"/>
        <w:autoSpaceDE w:val="0"/>
        <w:autoSpaceDN w:val="0"/>
        <w:adjustRightInd w:val="0"/>
        <w:textAlignment w:val="baseline"/>
      </w:pPr>
    </w:p>
    <w:p w:rsidR="001A7780" w:rsidP="00241CB3" w:rsidRDefault="001A7780" w14:paraId="203FCE3D" w14:textId="65346954">
      <w:pPr>
        <w:suppressAutoHyphens/>
        <w:overflowPunct w:val="0"/>
        <w:autoSpaceDE w:val="0"/>
        <w:autoSpaceDN w:val="0"/>
        <w:adjustRightInd w:val="0"/>
        <w:textAlignment w:val="baseline"/>
      </w:pPr>
      <w:r w:rsidRPr="00073C8F">
        <w:t>EKES:</w:t>
      </w:r>
    </w:p>
    <w:p w:rsidRPr="00073C8F" w:rsidR="00097E6F" w:rsidP="00241CB3" w:rsidRDefault="00097E6F" w14:paraId="26B99CED" w14:textId="77777777">
      <w:pPr>
        <w:suppressAutoHyphens/>
        <w:overflowPunct w:val="0"/>
        <w:autoSpaceDE w:val="0"/>
        <w:autoSpaceDN w:val="0"/>
        <w:adjustRightInd w:val="0"/>
        <w:textAlignment w:val="baseline"/>
      </w:pPr>
    </w:p>
    <w:p w:rsidRPr="00073C8F" w:rsidR="001A7780" w:rsidP="00596171" w:rsidRDefault="001A7780" w14:paraId="4AD7BCB2" w14:textId="77777777">
      <w:pPr>
        <w:numPr>
          <w:ilvl w:val="0"/>
          <w:numId w:val="43"/>
        </w:numPr>
        <w:suppressAutoHyphens/>
        <w:overflowPunct w:val="0"/>
        <w:autoSpaceDE w:val="0"/>
        <w:autoSpaceDN w:val="0"/>
        <w:adjustRightInd w:val="0"/>
        <w:ind w:left="567" w:hanging="567"/>
        <w:textAlignment w:val="baseline"/>
      </w:pPr>
      <w:r w:rsidRPr="00073C8F">
        <w:t>Przypomina zasadę 12 Europejskiego filaru praw socjalnych, która przewiduje, że bez względu na rodzaj i czas trwania ich stosunku pracy wszyscy pracownicy i w porównywalnych warunkach osoby samozatrudnione mają prawo do ochrony socjalnej.</w:t>
      </w:r>
    </w:p>
    <w:p w:rsidRPr="00073C8F" w:rsidR="001A7780" w:rsidP="00596171" w:rsidRDefault="001A7780" w14:paraId="516EDDE4" w14:textId="77777777">
      <w:pPr>
        <w:numPr>
          <w:ilvl w:val="0"/>
          <w:numId w:val="43"/>
        </w:numPr>
        <w:suppressAutoHyphens/>
        <w:overflowPunct w:val="0"/>
        <w:autoSpaceDE w:val="0"/>
        <w:autoSpaceDN w:val="0"/>
        <w:adjustRightInd w:val="0"/>
        <w:ind w:left="567" w:hanging="567"/>
        <w:textAlignment w:val="baseline"/>
      </w:pPr>
      <w:r w:rsidRPr="00073C8F">
        <w:t>Przypomina o zaleceniu Rady z 2019 r. dotyczącym dostępu do ochrony socjalnej i wzywa państwa członkowskie do zapewnienia rzeczywistego dostępu do ochrony socjalnej dla wszystkich pracowników, w tym świadczących pracę w ramach niestandardowych form zatrudnienia oraz osób samozatrudnionych, szczególnie osób świadczących pracę za pośrednictwem platform internetowych.</w:t>
      </w:r>
    </w:p>
    <w:p w:rsidRPr="00073C8F" w:rsidR="001A7780" w:rsidP="00596171" w:rsidRDefault="001A7780" w14:paraId="25435CE1" w14:textId="1FFF06A2">
      <w:pPr>
        <w:numPr>
          <w:ilvl w:val="0"/>
          <w:numId w:val="43"/>
        </w:numPr>
        <w:suppressAutoHyphens/>
        <w:overflowPunct w:val="0"/>
        <w:autoSpaceDE w:val="0"/>
        <w:autoSpaceDN w:val="0"/>
        <w:adjustRightInd w:val="0"/>
        <w:ind w:left="567" w:hanging="567"/>
        <w:textAlignment w:val="baseline"/>
      </w:pPr>
      <w:r w:rsidRPr="00073C8F">
        <w:t>Uznaje wcześniejsze wysiłki na rzecz poprawy ochrony socjalnej osób samozatrudnionych i</w:t>
      </w:r>
      <w:r w:rsidR="00E421E9">
        <w:t> </w:t>
      </w:r>
      <w:r w:rsidRPr="00073C8F">
        <w:t>podkreśla potrzebę dalszych działań UE z pełnym poszanowaniem kompetencji krajowych i</w:t>
      </w:r>
      <w:r w:rsidR="00E421E9">
        <w:t> </w:t>
      </w:r>
      <w:r w:rsidRPr="00073C8F">
        <w:t>unijnych w tej dziedzinie, gdyż osiągnięto jedynie ograniczone postępy.</w:t>
      </w:r>
    </w:p>
    <w:p w:rsidRPr="00073C8F" w:rsidR="001A7780" w:rsidP="00596171" w:rsidRDefault="001A7780" w14:paraId="244EF08B" w14:textId="742DCB96">
      <w:pPr>
        <w:numPr>
          <w:ilvl w:val="0"/>
          <w:numId w:val="43"/>
        </w:numPr>
        <w:suppressAutoHyphens/>
        <w:overflowPunct w:val="0"/>
        <w:autoSpaceDE w:val="0"/>
        <w:autoSpaceDN w:val="0"/>
        <w:adjustRightInd w:val="0"/>
        <w:ind w:left="567" w:hanging="567"/>
        <w:textAlignment w:val="baseline"/>
      </w:pPr>
      <w:r w:rsidRPr="00073C8F">
        <w:t>Podkreśla znaczenie opracowywania i utrzymywania odpornych programów utrzymania zatrudnienia, które swoim zakresem powinny obejmować także osoby samozatrudnione, i</w:t>
      </w:r>
      <w:r w:rsidR="00E421E9">
        <w:t> </w:t>
      </w:r>
      <w:r w:rsidRPr="00073C8F">
        <w:t>popiera model MOP przewidujący odpowiednie i trwałe systemy zabezpieczenia społecznego, które są podstawowym warunkiem zapewnienia wszystkim dobrej jakości życia.</w:t>
      </w:r>
    </w:p>
    <w:p w:rsidRPr="00073C8F" w:rsidR="001A7780" w:rsidP="00596171" w:rsidRDefault="001A7780" w14:paraId="036EBEF2" w14:textId="77777777">
      <w:pPr>
        <w:numPr>
          <w:ilvl w:val="0"/>
          <w:numId w:val="43"/>
        </w:numPr>
        <w:suppressAutoHyphens/>
        <w:overflowPunct w:val="0"/>
        <w:autoSpaceDE w:val="0"/>
        <w:autoSpaceDN w:val="0"/>
        <w:adjustRightInd w:val="0"/>
        <w:ind w:left="567" w:hanging="567"/>
        <w:textAlignment w:val="baseline"/>
      </w:pPr>
      <w:r w:rsidRPr="00073C8F">
        <w:t>Wzywa państwa członkowskie, aby zgodnie z krajowymi praktykami rozwijały systemy ochrony socjalnej, które skupiałyby się nie tylko na pracownikach – zatrudnionych w formie niestandardowej lub standardowej – lecz na wszystkich obywatelkach i obywatelach. Systemy te powinny zapewniać minimalny dochód osobom niezdolnym do pracy, a także wspierać osoby zdolne do pracy poprzez zachęty i pomoc w zakresie powrotu do zatrudnienia zgodnie z zasadą 14 Europejskiego filaru praw socjalnych. Należy przy tym przez cały czas gwarantować stabilność finansowania tych systemów ochrony socjalnej.</w:t>
      </w:r>
    </w:p>
    <w:p w:rsidRPr="00073C8F" w:rsidR="001A7780" w:rsidP="00596171" w:rsidRDefault="001A7780" w14:paraId="4A9FF11A" w14:textId="6BF2A624">
      <w:pPr>
        <w:numPr>
          <w:ilvl w:val="0"/>
          <w:numId w:val="43"/>
        </w:numPr>
        <w:suppressAutoHyphens/>
        <w:overflowPunct w:val="0"/>
        <w:autoSpaceDE w:val="0"/>
        <w:autoSpaceDN w:val="0"/>
        <w:adjustRightInd w:val="0"/>
        <w:ind w:left="567" w:hanging="567"/>
        <w:textAlignment w:val="baseline"/>
      </w:pPr>
      <w:r w:rsidRPr="00073C8F">
        <w:t>Apeluje o dalsze środki na rzecz dostosowania polityki rynku pracy i ochrony socjalnej oraz dalszego monitorowania kwestii ochrony socjalnej, szczególnie w odniesieniu do pracowników niestandardowych i samozatrudnionych, w ramach europejskiego semestru, aby skutecznie i</w:t>
      </w:r>
      <w:r w:rsidR="00E421E9">
        <w:t> </w:t>
      </w:r>
      <w:r w:rsidRPr="00073C8F">
        <w:t>efektywnie identyfikować i eliminować luki.</w:t>
      </w:r>
    </w:p>
    <w:p w:rsidRPr="00073C8F" w:rsidR="001A7780" w:rsidP="00596171" w:rsidRDefault="001A7780" w14:paraId="74F14C35" w14:textId="036A2F84">
      <w:pPr>
        <w:numPr>
          <w:ilvl w:val="0"/>
          <w:numId w:val="43"/>
        </w:numPr>
        <w:suppressAutoHyphens/>
        <w:overflowPunct w:val="0"/>
        <w:autoSpaceDE w:val="0"/>
        <w:autoSpaceDN w:val="0"/>
        <w:adjustRightInd w:val="0"/>
        <w:ind w:left="567" w:hanging="567"/>
        <w:textAlignment w:val="baseline"/>
      </w:pPr>
      <w:r w:rsidRPr="00073C8F">
        <w:t>Opowiada się za dalszą wymianą najlepszych praktyk między państwami członkowskimi z</w:t>
      </w:r>
      <w:r w:rsidR="00E421E9">
        <w:t> </w:t>
      </w:r>
      <w:r w:rsidRPr="00073C8F">
        <w:t>odpowiednim udziałem organizacji partnerów społecznych w celu dostosowania ich systemów ochrony socjalnej.</w:t>
      </w:r>
    </w:p>
    <w:p w:rsidRPr="00073C8F" w:rsidR="001A7780" w:rsidP="00241CB3" w:rsidRDefault="001A7780" w14:paraId="68057E52" w14:textId="77777777">
      <w:pPr>
        <w:suppressAutoHyphens/>
        <w:overflowPunct w:val="0"/>
        <w:autoSpaceDE w:val="0"/>
        <w:autoSpaceDN w:val="0"/>
        <w:adjustRightInd w:val="0"/>
        <w:textAlignment w:val="baseline"/>
      </w:pPr>
    </w:p>
    <w:tbl>
      <w:tblPr>
        <w:tblW w:w="0" w:type="auto"/>
        <w:tblLook w:val="04A0" w:firstRow="1" w:lastRow="0" w:firstColumn="1" w:lastColumn="0" w:noHBand="0" w:noVBand="1"/>
      </w:tblPr>
      <w:tblGrid>
        <w:gridCol w:w="1210"/>
        <w:gridCol w:w="7970"/>
      </w:tblGrid>
      <w:tr w:rsidRPr="00073C8F" w:rsidR="001A7780" w:rsidTr="008966B5" w14:paraId="1C4A87D2" w14:textId="77777777">
        <w:tc>
          <w:tcPr>
            <w:tcW w:w="1210" w:type="dxa"/>
          </w:tcPr>
          <w:p w:rsidRPr="00073C8F" w:rsidR="001A7780" w:rsidP="00241CB3" w:rsidRDefault="001A7780" w14:paraId="35CBED60" w14:textId="77777777">
            <w:pPr>
              <w:suppressAutoHyphens/>
              <w:overflowPunct w:val="0"/>
              <w:autoSpaceDE w:val="0"/>
              <w:autoSpaceDN w:val="0"/>
              <w:adjustRightInd w:val="0"/>
              <w:textAlignment w:val="baseline"/>
              <w:rPr>
                <w:i/>
              </w:rPr>
            </w:pPr>
            <w:r w:rsidRPr="00073C8F">
              <w:rPr>
                <w:b/>
                <w:i/>
              </w:rPr>
              <w:t>Kontakt</w:t>
            </w:r>
          </w:p>
        </w:tc>
        <w:tc>
          <w:tcPr>
            <w:tcW w:w="7970" w:type="dxa"/>
          </w:tcPr>
          <w:p w:rsidRPr="00073C8F" w:rsidR="001A7780" w:rsidP="00241CB3" w:rsidRDefault="001A7780" w14:paraId="6B5E50B1" w14:textId="77777777">
            <w:pPr>
              <w:suppressAutoHyphens/>
              <w:overflowPunct w:val="0"/>
              <w:autoSpaceDE w:val="0"/>
              <w:autoSpaceDN w:val="0"/>
              <w:adjustRightInd w:val="0"/>
              <w:ind w:hanging="12"/>
              <w:textAlignment w:val="baseline"/>
              <w:rPr>
                <w:i/>
              </w:rPr>
            </w:pPr>
            <w:r w:rsidRPr="00073C8F">
              <w:rPr>
                <w:i/>
              </w:rPr>
              <w:t>Bartek Bednarowicz</w:t>
            </w:r>
          </w:p>
        </w:tc>
      </w:tr>
      <w:tr w:rsidRPr="00073C8F" w:rsidR="001A7780" w:rsidTr="008966B5" w14:paraId="2962F66B" w14:textId="77777777">
        <w:tc>
          <w:tcPr>
            <w:tcW w:w="1210" w:type="dxa"/>
          </w:tcPr>
          <w:p w:rsidRPr="00073C8F" w:rsidR="001A7780" w:rsidP="00241CB3" w:rsidRDefault="001A7780" w14:paraId="72493DF5" w14:textId="77777777">
            <w:pPr>
              <w:suppressAutoHyphens/>
              <w:overflowPunct w:val="0"/>
              <w:autoSpaceDE w:val="0"/>
              <w:autoSpaceDN w:val="0"/>
              <w:adjustRightInd w:val="0"/>
              <w:textAlignment w:val="baseline"/>
              <w:rPr>
                <w:i/>
              </w:rPr>
            </w:pPr>
            <w:r w:rsidRPr="00073C8F">
              <w:rPr>
                <w:i/>
              </w:rPr>
              <w:t>tel.</w:t>
            </w:r>
          </w:p>
        </w:tc>
        <w:tc>
          <w:tcPr>
            <w:tcW w:w="7970" w:type="dxa"/>
          </w:tcPr>
          <w:p w:rsidRPr="00073C8F" w:rsidR="001A7780" w:rsidP="00241CB3" w:rsidRDefault="001A7780" w14:paraId="7EDAC275" w14:textId="77777777">
            <w:pPr>
              <w:suppressAutoHyphens/>
              <w:overflowPunct w:val="0"/>
              <w:autoSpaceDE w:val="0"/>
              <w:autoSpaceDN w:val="0"/>
              <w:adjustRightInd w:val="0"/>
              <w:textAlignment w:val="baseline"/>
              <w:rPr>
                <w:i/>
              </w:rPr>
            </w:pPr>
            <w:r w:rsidRPr="00073C8F">
              <w:rPr>
                <w:i/>
              </w:rPr>
              <w:t>+32 2 546 9229</w:t>
            </w:r>
          </w:p>
        </w:tc>
      </w:tr>
      <w:tr w:rsidRPr="00073C8F" w:rsidR="001A7780" w:rsidTr="008966B5" w14:paraId="07CBB9C7" w14:textId="77777777">
        <w:tc>
          <w:tcPr>
            <w:tcW w:w="1210" w:type="dxa"/>
          </w:tcPr>
          <w:p w:rsidRPr="00073C8F" w:rsidR="001A7780" w:rsidP="00241CB3" w:rsidRDefault="001A7780" w14:paraId="549440B6" w14:textId="77777777">
            <w:pPr>
              <w:suppressAutoHyphens/>
              <w:overflowPunct w:val="0"/>
              <w:autoSpaceDE w:val="0"/>
              <w:autoSpaceDN w:val="0"/>
              <w:adjustRightInd w:val="0"/>
              <w:textAlignment w:val="baseline"/>
              <w:rPr>
                <w:i/>
              </w:rPr>
            </w:pPr>
            <w:r w:rsidRPr="00073C8F">
              <w:rPr>
                <w:i/>
              </w:rPr>
              <w:t>e-mail</w:t>
            </w:r>
          </w:p>
        </w:tc>
        <w:tc>
          <w:tcPr>
            <w:tcW w:w="7970" w:type="dxa"/>
          </w:tcPr>
          <w:p w:rsidRPr="00073C8F" w:rsidR="001A7780" w:rsidP="00241CB3" w:rsidRDefault="00A46594" w14:paraId="568357CA" w14:textId="77777777">
            <w:pPr>
              <w:suppressAutoHyphens/>
              <w:overflowPunct w:val="0"/>
              <w:autoSpaceDE w:val="0"/>
              <w:autoSpaceDN w:val="0"/>
              <w:adjustRightInd w:val="0"/>
              <w:textAlignment w:val="baseline"/>
              <w:rPr>
                <w:i/>
              </w:rPr>
            </w:pPr>
            <w:hyperlink w:history="1" r:id="rId31">
              <w:r w:rsidRPr="00073C8F" w:rsidR="001A7780">
                <w:rPr>
                  <w:i/>
                  <w:color w:val="0000FF"/>
                  <w:u w:val="single"/>
                </w:rPr>
                <w:t>Bartek.Bednarowicz@eesc.europa.eu</w:t>
              </w:r>
            </w:hyperlink>
          </w:p>
        </w:tc>
      </w:tr>
    </w:tbl>
    <w:p w:rsidRPr="00073C8F" w:rsidR="004D7AC0" w:rsidP="00241CB3" w:rsidRDefault="004D7AC0" w14:paraId="4982DDC5" w14:textId="512AAFB0">
      <w:pPr>
        <w:suppressAutoHyphens/>
        <w:jc w:val="left"/>
      </w:pPr>
      <w:r w:rsidRPr="00073C8F">
        <w:br w:type="page"/>
      </w:r>
    </w:p>
    <w:p w:rsidRPr="00073C8F" w:rsidR="004D7AC0" w:rsidP="00241CB3" w:rsidRDefault="004D7AC0" w14:paraId="4982DDC6" w14:textId="77777777">
      <w:pPr>
        <w:pStyle w:val="Heading1"/>
        <w:suppressAutoHyphens/>
        <w:rPr>
          <w:b/>
        </w:rPr>
      </w:pPr>
      <w:bookmarkStart w:name="_Toc24617160" w:id="3"/>
      <w:bookmarkStart w:name="_Toc75527082" w:id="4"/>
      <w:bookmarkStart w:name="_Toc195264687" w:id="5"/>
      <w:r w:rsidRPr="00073C8F">
        <w:rPr>
          <w:b/>
        </w:rPr>
        <w:lastRenderedPageBreak/>
        <w:t>TRANSPORT, ENERGIA, INFRASTRUKTURA I SPOŁECZEŃSTWO INFORMACYJNE</w:t>
      </w:r>
      <w:bookmarkEnd w:id="3"/>
      <w:bookmarkEnd w:id="4"/>
      <w:bookmarkEnd w:id="5"/>
    </w:p>
    <w:p w:rsidRPr="00073C8F" w:rsidR="004D7AC0" w:rsidP="00241CB3" w:rsidRDefault="004D7AC0" w14:paraId="4982DDC7" w14:textId="77777777">
      <w:pPr>
        <w:suppressAutoHyphens/>
      </w:pPr>
    </w:p>
    <w:p w:rsidRPr="00097E6F" w:rsidR="00CF25DB" w:rsidP="00241CB3" w:rsidRDefault="00A46594" w14:paraId="2608203A" w14:textId="7728EEC0">
      <w:pPr>
        <w:numPr>
          <w:ilvl w:val="0"/>
          <w:numId w:val="4"/>
        </w:numPr>
        <w:suppressAutoHyphens/>
        <w:overflowPunct w:val="0"/>
        <w:autoSpaceDE w:val="0"/>
        <w:autoSpaceDN w:val="0"/>
        <w:adjustRightInd w:val="0"/>
        <w:ind w:hanging="567"/>
        <w:textAlignment w:val="baseline"/>
        <w:rPr>
          <w:sz w:val="28"/>
          <w:szCs w:val="28"/>
        </w:rPr>
      </w:pPr>
      <w:hyperlink w:history="1" r:id="rId32">
        <w:r w:rsidRPr="00073C8F" w:rsidR="0081023C">
          <w:rPr>
            <w:b/>
            <w:i/>
            <w:color w:val="0000FF"/>
            <w:sz w:val="28"/>
            <w:szCs w:val="28"/>
            <w:u w:val="single"/>
          </w:rPr>
          <w:t>Zmiana rozporządzenia w sprawie magazynowania gazu</w:t>
        </w:r>
      </w:hyperlink>
    </w:p>
    <w:p w:rsidRPr="00097E6F" w:rsidR="00097E6F" w:rsidP="00097E6F" w:rsidRDefault="00097E6F" w14:paraId="785C2C5D" w14:textId="77777777">
      <w:pPr>
        <w:suppressAutoHyphens/>
        <w:overflowPunct w:val="0"/>
        <w:autoSpaceDE w:val="0"/>
        <w:autoSpaceDN w:val="0"/>
        <w:adjustRightInd w:val="0"/>
        <w:textAlignment w:val="baseline"/>
      </w:pPr>
    </w:p>
    <w:tbl>
      <w:tblPr>
        <w:tblW w:w="5000" w:type="pct"/>
        <w:tblLook w:val="04A0" w:firstRow="1" w:lastRow="0" w:firstColumn="1" w:lastColumn="0" w:noHBand="0" w:noVBand="1"/>
      </w:tblPr>
      <w:tblGrid>
        <w:gridCol w:w="1804"/>
        <w:gridCol w:w="7485"/>
      </w:tblGrid>
      <w:tr w:rsidRPr="00073C8F" w:rsidR="00CF25DB" w:rsidTr="00097E6F" w14:paraId="2766ED6B" w14:textId="77777777">
        <w:tc>
          <w:tcPr>
            <w:tcW w:w="971" w:type="pct"/>
          </w:tcPr>
          <w:p w:rsidRPr="00073C8F" w:rsidR="00CF25DB" w:rsidP="00241CB3" w:rsidRDefault="00CF25DB" w14:paraId="031F56F6" w14:textId="77777777">
            <w:pPr>
              <w:tabs>
                <w:tab w:val="center" w:pos="284"/>
              </w:tabs>
              <w:suppressAutoHyphens/>
              <w:overflowPunct w:val="0"/>
              <w:autoSpaceDE w:val="0"/>
              <w:autoSpaceDN w:val="0"/>
              <w:adjustRightInd w:val="0"/>
              <w:ind w:left="266" w:hanging="266"/>
              <w:textAlignment w:val="baseline"/>
              <w:rPr>
                <w:b/>
              </w:rPr>
            </w:pPr>
            <w:r w:rsidRPr="00073C8F">
              <w:rPr>
                <w:b/>
              </w:rPr>
              <w:t>Dokumenty</w:t>
            </w:r>
          </w:p>
        </w:tc>
        <w:tc>
          <w:tcPr>
            <w:tcW w:w="4029" w:type="pct"/>
          </w:tcPr>
          <w:p w:rsidRPr="00073C8F" w:rsidR="00734A7F" w:rsidP="00241CB3" w:rsidRDefault="00734A7F" w14:paraId="76E875C6" w14:textId="271F54B0">
            <w:pPr>
              <w:tabs>
                <w:tab w:val="center" w:pos="284"/>
              </w:tabs>
              <w:suppressAutoHyphens/>
              <w:overflowPunct w:val="0"/>
              <w:autoSpaceDE w:val="0"/>
              <w:autoSpaceDN w:val="0"/>
              <w:adjustRightInd w:val="0"/>
              <w:ind w:left="266" w:hanging="266"/>
              <w:textAlignment w:val="baseline"/>
            </w:pPr>
            <w:r w:rsidRPr="00073C8F">
              <w:t>Opinia kategorii C</w:t>
            </w:r>
          </w:p>
          <w:p w:rsidRPr="00073C8F" w:rsidR="00CF25DB" w:rsidP="00241CB3" w:rsidRDefault="00CF25DB" w14:paraId="6457BE6F" w14:textId="4AF81034">
            <w:pPr>
              <w:tabs>
                <w:tab w:val="center" w:pos="284"/>
              </w:tabs>
              <w:suppressAutoHyphens/>
              <w:overflowPunct w:val="0"/>
              <w:autoSpaceDE w:val="0"/>
              <w:autoSpaceDN w:val="0"/>
              <w:adjustRightInd w:val="0"/>
              <w:ind w:left="266" w:hanging="266"/>
              <w:textAlignment w:val="baseline"/>
            </w:pPr>
            <w:r w:rsidRPr="00073C8F">
              <w:t xml:space="preserve">COM(2025) 99 final </w:t>
            </w:r>
          </w:p>
          <w:p w:rsidRPr="00073C8F" w:rsidR="00CF25DB" w:rsidP="00241CB3" w:rsidRDefault="00CF25DB" w14:paraId="15318278" w14:textId="29926B5E">
            <w:pPr>
              <w:tabs>
                <w:tab w:val="center" w:pos="284"/>
              </w:tabs>
              <w:suppressAutoHyphens/>
              <w:overflowPunct w:val="0"/>
              <w:autoSpaceDE w:val="0"/>
              <w:autoSpaceDN w:val="0"/>
              <w:adjustRightInd w:val="0"/>
              <w:ind w:left="266" w:hanging="266"/>
              <w:textAlignment w:val="baseline"/>
            </w:pPr>
            <w:r w:rsidRPr="00073C8F">
              <w:t>EESC-2025-00873-00-00-AC</w:t>
            </w:r>
          </w:p>
        </w:tc>
      </w:tr>
    </w:tbl>
    <w:p w:rsidRPr="00073C8F" w:rsidR="00CF25DB" w:rsidP="00241CB3" w:rsidRDefault="00CF25DB" w14:paraId="0ECF9FF3" w14:textId="77777777">
      <w:pPr>
        <w:tabs>
          <w:tab w:val="center" w:pos="284"/>
        </w:tabs>
        <w:suppressAutoHyphens/>
        <w:overflowPunct w:val="0"/>
        <w:autoSpaceDE w:val="0"/>
        <w:autoSpaceDN w:val="0"/>
        <w:adjustRightInd w:val="0"/>
        <w:ind w:left="266" w:hanging="266"/>
        <w:textAlignment w:val="baseline"/>
      </w:pPr>
    </w:p>
    <w:p w:rsidRPr="00073C8F" w:rsidR="00CF25DB" w:rsidP="00241CB3" w:rsidRDefault="00CF25DB" w14:paraId="4E37DAFC" w14:textId="77777777">
      <w:pPr>
        <w:tabs>
          <w:tab w:val="center" w:pos="284"/>
        </w:tabs>
        <w:suppressAutoHyphens/>
        <w:overflowPunct w:val="0"/>
        <w:autoSpaceDE w:val="0"/>
        <w:autoSpaceDN w:val="0"/>
        <w:adjustRightInd w:val="0"/>
        <w:ind w:left="266" w:hanging="266"/>
        <w:textAlignment w:val="baseline"/>
        <w:rPr>
          <w:b/>
        </w:rPr>
      </w:pPr>
      <w:r w:rsidRPr="00073C8F">
        <w:rPr>
          <w:b/>
        </w:rPr>
        <w:t>Główne punkty</w:t>
      </w:r>
    </w:p>
    <w:p w:rsidRPr="00073C8F" w:rsidR="00CF25DB" w:rsidP="00241CB3" w:rsidRDefault="00CF25DB" w14:paraId="4FD8C7BE" w14:textId="77777777">
      <w:pPr>
        <w:tabs>
          <w:tab w:val="center" w:pos="284"/>
        </w:tabs>
        <w:suppressAutoHyphens/>
        <w:overflowPunct w:val="0"/>
        <w:autoSpaceDE w:val="0"/>
        <w:autoSpaceDN w:val="0"/>
        <w:adjustRightInd w:val="0"/>
        <w:ind w:left="266" w:hanging="266"/>
        <w:textAlignment w:val="baseline"/>
        <w:rPr>
          <w:b/>
        </w:rPr>
      </w:pPr>
    </w:p>
    <w:p w:rsidRPr="00073C8F" w:rsidR="00CF25DB" w:rsidP="00097E6F" w:rsidRDefault="00CF25DB" w14:paraId="4A73A7D4" w14:textId="77777777">
      <w:pPr>
        <w:numPr>
          <w:ilvl w:val="0"/>
          <w:numId w:val="26"/>
        </w:numPr>
        <w:suppressAutoHyphens/>
        <w:overflowPunct w:val="0"/>
        <w:autoSpaceDE w:val="0"/>
        <w:autoSpaceDN w:val="0"/>
        <w:adjustRightInd w:val="0"/>
        <w:ind w:left="567" w:hanging="567"/>
        <w:jc w:val="left"/>
        <w:textAlignment w:val="baseline"/>
        <w:rPr>
          <w:bCs/>
          <w:iCs/>
        </w:rPr>
      </w:pPr>
      <w:r w:rsidRPr="00073C8F">
        <w:t>Komitet zgadza się co do przedłużenia istniejących ram do końca 2027 r. oraz postanawia wydać pozytywną opinię na temat proponowanego tekstu.</w:t>
      </w:r>
    </w:p>
    <w:p w:rsidRPr="00073C8F" w:rsidR="009767CB" w:rsidP="00241CB3" w:rsidRDefault="009767CB" w14:paraId="5E8C0A44" w14:textId="77777777">
      <w:pPr>
        <w:suppressAutoHyphens/>
        <w:overflowPunct w:val="0"/>
        <w:autoSpaceDE w:val="0"/>
        <w:autoSpaceDN w:val="0"/>
        <w:adjustRightInd w:val="0"/>
        <w:ind w:left="709"/>
        <w:textAlignment w:val="baseline"/>
      </w:pPr>
    </w:p>
    <w:tbl>
      <w:tblPr>
        <w:tblW w:w="5000" w:type="pct"/>
        <w:tblLook w:val="04A0" w:firstRow="1" w:lastRow="0" w:firstColumn="1" w:lastColumn="0" w:noHBand="0" w:noVBand="1"/>
      </w:tblPr>
      <w:tblGrid>
        <w:gridCol w:w="1505"/>
        <w:gridCol w:w="7784"/>
      </w:tblGrid>
      <w:tr w:rsidRPr="00073C8F" w:rsidR="00CF25DB" w:rsidTr="00097E6F" w14:paraId="40EBFF33" w14:textId="77777777">
        <w:tc>
          <w:tcPr>
            <w:tcW w:w="810" w:type="pct"/>
          </w:tcPr>
          <w:p w:rsidRPr="00073C8F" w:rsidR="00CF25DB" w:rsidP="00241CB3" w:rsidRDefault="00CF25DB" w14:paraId="099FABDB" w14:textId="77777777">
            <w:pPr>
              <w:suppressAutoHyphens/>
              <w:overflowPunct w:val="0"/>
              <w:autoSpaceDE w:val="0"/>
              <w:autoSpaceDN w:val="0"/>
              <w:adjustRightInd w:val="0"/>
              <w:textAlignment w:val="baseline"/>
              <w:rPr>
                <w:i/>
              </w:rPr>
            </w:pPr>
            <w:r w:rsidRPr="00073C8F">
              <w:rPr>
                <w:b/>
                <w:i/>
              </w:rPr>
              <w:t>Kontakt</w:t>
            </w:r>
          </w:p>
        </w:tc>
        <w:tc>
          <w:tcPr>
            <w:tcW w:w="4190" w:type="pct"/>
          </w:tcPr>
          <w:p w:rsidRPr="00073C8F" w:rsidR="00CF25DB" w:rsidP="00241CB3" w:rsidRDefault="00CF25DB" w14:paraId="4D90A3E2" w14:textId="63355D65">
            <w:pPr>
              <w:suppressAutoHyphens/>
              <w:overflowPunct w:val="0"/>
              <w:autoSpaceDE w:val="0"/>
              <w:autoSpaceDN w:val="0"/>
              <w:adjustRightInd w:val="0"/>
              <w:textAlignment w:val="baseline"/>
              <w:rPr>
                <w:i/>
              </w:rPr>
            </w:pPr>
            <w:r w:rsidRPr="00073C8F">
              <w:rPr>
                <w:i/>
              </w:rPr>
              <w:t>Giorgia Bordignon</w:t>
            </w:r>
          </w:p>
        </w:tc>
      </w:tr>
      <w:tr w:rsidRPr="00073C8F" w:rsidR="00CF25DB" w:rsidTr="00097E6F" w14:paraId="75C82A4E" w14:textId="77777777">
        <w:tc>
          <w:tcPr>
            <w:tcW w:w="810" w:type="pct"/>
          </w:tcPr>
          <w:p w:rsidRPr="00073C8F" w:rsidR="00CF25DB" w:rsidP="00241CB3" w:rsidRDefault="00CF25DB" w14:paraId="38AA2929" w14:textId="77777777">
            <w:pPr>
              <w:suppressAutoHyphens/>
              <w:overflowPunct w:val="0"/>
              <w:autoSpaceDE w:val="0"/>
              <w:autoSpaceDN w:val="0"/>
              <w:adjustRightInd w:val="0"/>
              <w:textAlignment w:val="baseline"/>
              <w:rPr>
                <w:i/>
              </w:rPr>
            </w:pPr>
            <w:r w:rsidRPr="00073C8F">
              <w:rPr>
                <w:i/>
              </w:rPr>
              <w:t>tel.</w:t>
            </w:r>
          </w:p>
        </w:tc>
        <w:tc>
          <w:tcPr>
            <w:tcW w:w="4190" w:type="pct"/>
          </w:tcPr>
          <w:p w:rsidRPr="00073C8F" w:rsidR="00CF25DB" w:rsidP="00241CB3" w:rsidRDefault="00CF25DB" w14:paraId="72F9D75E" w14:textId="77777777">
            <w:pPr>
              <w:suppressAutoHyphens/>
              <w:overflowPunct w:val="0"/>
              <w:autoSpaceDE w:val="0"/>
              <w:autoSpaceDN w:val="0"/>
              <w:adjustRightInd w:val="0"/>
              <w:textAlignment w:val="baseline"/>
              <w:rPr>
                <w:i/>
              </w:rPr>
            </w:pPr>
            <w:r w:rsidRPr="00073C8F">
              <w:rPr>
                <w:i/>
              </w:rPr>
              <w:t>+32 2 5468535</w:t>
            </w:r>
          </w:p>
        </w:tc>
      </w:tr>
      <w:tr w:rsidRPr="00073C8F" w:rsidR="00CF25DB" w:rsidTr="00097E6F" w14:paraId="27165910" w14:textId="77777777">
        <w:tc>
          <w:tcPr>
            <w:tcW w:w="810" w:type="pct"/>
          </w:tcPr>
          <w:p w:rsidRPr="00073C8F" w:rsidR="00CF25DB" w:rsidP="00241CB3" w:rsidRDefault="007F445D" w14:paraId="1B0BE79A" w14:textId="712DABC5">
            <w:pPr>
              <w:suppressAutoHyphens/>
              <w:overflowPunct w:val="0"/>
              <w:autoSpaceDE w:val="0"/>
              <w:autoSpaceDN w:val="0"/>
              <w:adjustRightInd w:val="0"/>
              <w:textAlignment w:val="baseline"/>
              <w:rPr>
                <w:i/>
              </w:rPr>
            </w:pPr>
            <w:r w:rsidRPr="00073C8F">
              <w:rPr>
                <w:i/>
              </w:rPr>
              <w:t>e-mail</w:t>
            </w:r>
          </w:p>
        </w:tc>
        <w:tc>
          <w:tcPr>
            <w:tcW w:w="4190" w:type="pct"/>
          </w:tcPr>
          <w:p w:rsidRPr="00073C8F" w:rsidR="00CF25DB" w:rsidP="00241CB3" w:rsidRDefault="00A46594" w14:paraId="32C0BCC3" w14:textId="77777777">
            <w:pPr>
              <w:suppressAutoHyphens/>
              <w:overflowPunct w:val="0"/>
              <w:autoSpaceDE w:val="0"/>
              <w:autoSpaceDN w:val="0"/>
              <w:adjustRightInd w:val="0"/>
              <w:textAlignment w:val="baseline"/>
              <w:rPr>
                <w:i/>
              </w:rPr>
            </w:pPr>
            <w:hyperlink w:history="1" r:id="rId33">
              <w:r w:rsidRPr="00073C8F" w:rsidR="0081023C">
                <w:rPr>
                  <w:i/>
                  <w:color w:val="0000FF"/>
                  <w:u w:val="single"/>
                </w:rPr>
                <w:t>GiorgiaAndrea.Bordignon@eesc.europa.eu</w:t>
              </w:r>
            </w:hyperlink>
            <w:r w:rsidRPr="00073C8F" w:rsidR="0081023C">
              <w:rPr>
                <w:i/>
              </w:rPr>
              <w:t xml:space="preserve"> </w:t>
            </w:r>
          </w:p>
        </w:tc>
      </w:tr>
    </w:tbl>
    <w:p w:rsidRPr="00073C8F" w:rsidR="00CF25DB" w:rsidP="00241CB3" w:rsidRDefault="00CF25DB" w14:paraId="1F637496" w14:textId="77777777">
      <w:pPr>
        <w:suppressAutoHyphens/>
        <w:overflowPunct w:val="0"/>
        <w:autoSpaceDE w:val="0"/>
        <w:autoSpaceDN w:val="0"/>
        <w:adjustRightInd w:val="0"/>
        <w:jc w:val="center"/>
        <w:textAlignment w:val="baseline"/>
      </w:pPr>
    </w:p>
    <w:p w:rsidRPr="00073C8F" w:rsidR="00CF25DB" w:rsidP="00241CB3" w:rsidRDefault="00CF25DB" w14:paraId="62106F5B" w14:textId="77777777">
      <w:pPr>
        <w:suppressAutoHyphens/>
        <w:jc w:val="left"/>
      </w:pPr>
      <w:r w:rsidRPr="00073C8F">
        <w:br w:type="page"/>
      </w:r>
    </w:p>
    <w:p w:rsidRPr="00073C8F" w:rsidR="00540D07" w:rsidP="00241CB3" w:rsidRDefault="00A46594" w14:paraId="1DA3F275" w14:textId="00238E5F">
      <w:pPr>
        <w:numPr>
          <w:ilvl w:val="0"/>
          <w:numId w:val="4"/>
        </w:numPr>
        <w:suppressAutoHyphens/>
        <w:overflowPunct w:val="0"/>
        <w:autoSpaceDE w:val="0"/>
        <w:autoSpaceDN w:val="0"/>
        <w:adjustRightInd w:val="0"/>
        <w:ind w:hanging="567"/>
        <w:textAlignment w:val="baseline"/>
        <w:rPr>
          <w:sz w:val="28"/>
          <w:szCs w:val="28"/>
        </w:rPr>
      </w:pPr>
      <w:hyperlink w:history="1" r:id="rId34">
        <w:r w:rsidRPr="00073C8F" w:rsidR="0081023C">
          <w:rPr>
            <w:b/>
            <w:i/>
            <w:color w:val="0000FF"/>
            <w:sz w:val="28"/>
            <w:szCs w:val="28"/>
            <w:u w:val="single"/>
          </w:rPr>
          <w:t>Program badawczo-szkoleniowy Europejskiej Wspólnoty Energii Atomowej na lata 2026–2027</w:t>
        </w:r>
      </w:hyperlink>
    </w:p>
    <w:p w:rsidRPr="00073C8F" w:rsidR="0049330A" w:rsidP="00241CB3" w:rsidRDefault="0049330A" w14:paraId="167362A5" w14:textId="77777777">
      <w:pPr>
        <w:tabs>
          <w:tab w:val="center" w:pos="284"/>
        </w:tabs>
        <w:suppressAutoHyphens/>
        <w:overflowPunct w:val="0"/>
        <w:autoSpaceDE w:val="0"/>
        <w:autoSpaceDN w:val="0"/>
        <w:adjustRightInd w:val="0"/>
        <w:ind w:left="266" w:hanging="266"/>
        <w:textAlignment w:val="baseline"/>
        <w:rPr>
          <w:b/>
        </w:rPr>
      </w:pPr>
    </w:p>
    <w:tbl>
      <w:tblPr>
        <w:tblW w:w="5000" w:type="pct"/>
        <w:tblLook w:val="04A0" w:firstRow="1" w:lastRow="0" w:firstColumn="1" w:lastColumn="0" w:noHBand="0" w:noVBand="1"/>
      </w:tblPr>
      <w:tblGrid>
        <w:gridCol w:w="1715"/>
        <w:gridCol w:w="7574"/>
      </w:tblGrid>
      <w:tr w:rsidRPr="00073C8F" w:rsidR="00540D07" w:rsidTr="00097E6F" w14:paraId="0A9E88EB" w14:textId="77777777">
        <w:tc>
          <w:tcPr>
            <w:tcW w:w="923" w:type="pct"/>
          </w:tcPr>
          <w:p w:rsidRPr="00073C8F" w:rsidR="00540D07" w:rsidP="00241CB3" w:rsidRDefault="00540D07" w14:paraId="1D019F9F" w14:textId="77777777">
            <w:pPr>
              <w:tabs>
                <w:tab w:val="center" w:pos="284"/>
              </w:tabs>
              <w:suppressAutoHyphens/>
              <w:overflowPunct w:val="0"/>
              <w:autoSpaceDE w:val="0"/>
              <w:autoSpaceDN w:val="0"/>
              <w:adjustRightInd w:val="0"/>
              <w:ind w:left="266" w:hanging="266"/>
              <w:textAlignment w:val="baseline"/>
              <w:rPr>
                <w:b/>
              </w:rPr>
            </w:pPr>
            <w:r w:rsidRPr="00073C8F">
              <w:rPr>
                <w:b/>
              </w:rPr>
              <w:t>Dokumenty</w:t>
            </w:r>
          </w:p>
        </w:tc>
        <w:tc>
          <w:tcPr>
            <w:tcW w:w="4077" w:type="pct"/>
          </w:tcPr>
          <w:p w:rsidRPr="00073C8F" w:rsidR="00A3729F" w:rsidP="00241CB3" w:rsidRDefault="00A3729F" w14:paraId="443AA0D6" w14:textId="0E2E0F74">
            <w:pPr>
              <w:tabs>
                <w:tab w:val="center" w:pos="284"/>
              </w:tabs>
              <w:suppressAutoHyphens/>
              <w:overflowPunct w:val="0"/>
              <w:autoSpaceDE w:val="0"/>
              <w:autoSpaceDN w:val="0"/>
              <w:adjustRightInd w:val="0"/>
              <w:ind w:left="266" w:hanging="266"/>
              <w:textAlignment w:val="baseline"/>
            </w:pPr>
            <w:r w:rsidRPr="00073C8F">
              <w:t>Opinia kategorii C</w:t>
            </w:r>
          </w:p>
          <w:p w:rsidRPr="00073C8F" w:rsidR="0049330A" w:rsidP="00241CB3" w:rsidRDefault="00540D07" w14:paraId="07936733" w14:textId="4C25725F">
            <w:pPr>
              <w:tabs>
                <w:tab w:val="center" w:pos="284"/>
              </w:tabs>
              <w:suppressAutoHyphens/>
              <w:overflowPunct w:val="0"/>
              <w:autoSpaceDE w:val="0"/>
              <w:autoSpaceDN w:val="0"/>
              <w:adjustRightInd w:val="0"/>
              <w:ind w:left="266" w:hanging="266"/>
              <w:textAlignment w:val="baseline"/>
            </w:pPr>
            <w:r w:rsidRPr="00073C8F">
              <w:t xml:space="preserve">COM(2025) 60 final </w:t>
            </w:r>
          </w:p>
          <w:p w:rsidRPr="00073C8F" w:rsidR="00540D07" w:rsidP="00241CB3" w:rsidRDefault="00540D07" w14:paraId="7E3321A4" w14:textId="7386E83B">
            <w:pPr>
              <w:tabs>
                <w:tab w:val="center" w:pos="284"/>
              </w:tabs>
              <w:suppressAutoHyphens/>
              <w:overflowPunct w:val="0"/>
              <w:autoSpaceDE w:val="0"/>
              <w:autoSpaceDN w:val="0"/>
              <w:adjustRightInd w:val="0"/>
              <w:ind w:left="266" w:hanging="266"/>
              <w:textAlignment w:val="baseline"/>
            </w:pPr>
            <w:r w:rsidRPr="00073C8F">
              <w:t>EESC-2025-00986-00-00-AC</w:t>
            </w:r>
          </w:p>
        </w:tc>
      </w:tr>
    </w:tbl>
    <w:p w:rsidRPr="00073C8F" w:rsidR="00540D07" w:rsidP="00241CB3" w:rsidRDefault="00540D07" w14:paraId="7EF7480E" w14:textId="77777777">
      <w:pPr>
        <w:tabs>
          <w:tab w:val="center" w:pos="284"/>
        </w:tabs>
        <w:suppressAutoHyphens/>
        <w:overflowPunct w:val="0"/>
        <w:autoSpaceDE w:val="0"/>
        <w:autoSpaceDN w:val="0"/>
        <w:adjustRightInd w:val="0"/>
        <w:ind w:left="266" w:hanging="266"/>
        <w:textAlignment w:val="baseline"/>
      </w:pPr>
    </w:p>
    <w:p w:rsidRPr="00073C8F" w:rsidR="00540D07" w:rsidP="00241CB3" w:rsidRDefault="00540D07" w14:paraId="6F943320" w14:textId="77777777">
      <w:pPr>
        <w:tabs>
          <w:tab w:val="center" w:pos="284"/>
        </w:tabs>
        <w:suppressAutoHyphens/>
        <w:overflowPunct w:val="0"/>
        <w:autoSpaceDE w:val="0"/>
        <w:autoSpaceDN w:val="0"/>
        <w:adjustRightInd w:val="0"/>
        <w:ind w:left="266" w:hanging="266"/>
        <w:textAlignment w:val="baseline"/>
        <w:rPr>
          <w:b/>
        </w:rPr>
      </w:pPr>
      <w:r w:rsidRPr="00073C8F">
        <w:rPr>
          <w:b/>
        </w:rPr>
        <w:t>Główne punkty</w:t>
      </w:r>
    </w:p>
    <w:p w:rsidRPr="00073C8F" w:rsidR="00540D07" w:rsidP="00241CB3" w:rsidRDefault="00540D07" w14:paraId="237A3E26" w14:textId="77777777">
      <w:pPr>
        <w:tabs>
          <w:tab w:val="center" w:pos="284"/>
        </w:tabs>
        <w:suppressAutoHyphens/>
        <w:overflowPunct w:val="0"/>
        <w:autoSpaceDE w:val="0"/>
        <w:autoSpaceDN w:val="0"/>
        <w:adjustRightInd w:val="0"/>
        <w:ind w:left="266" w:hanging="266"/>
        <w:textAlignment w:val="baseline"/>
        <w:rPr>
          <w:b/>
        </w:rPr>
      </w:pPr>
    </w:p>
    <w:p w:rsidRPr="00073C8F" w:rsidR="00540D07" w:rsidP="00596171" w:rsidRDefault="00540D07" w14:paraId="23AF0475" w14:textId="016CECF7">
      <w:pPr>
        <w:numPr>
          <w:ilvl w:val="0"/>
          <w:numId w:val="27"/>
        </w:numPr>
        <w:suppressAutoHyphens/>
        <w:overflowPunct w:val="0"/>
        <w:autoSpaceDE w:val="0"/>
        <w:autoSpaceDN w:val="0"/>
        <w:adjustRightInd w:val="0"/>
        <w:ind w:left="567" w:hanging="567"/>
        <w:textAlignment w:val="baseline"/>
        <w:rPr>
          <w:bCs/>
          <w:iCs/>
        </w:rPr>
      </w:pPr>
      <w:r w:rsidRPr="00073C8F">
        <w:t>Komitet zgadza się z wnioskiem dotyczącym rozporządzenia Rady ustanawiającego program badawczo-szkoleniowy Europejskiej Wspólnoty Energii Atomowej na lata 2026–2027 uzupełniający program ramowy w zakresie badań naukowych i innowacji „Horyzont Europa” oraz uchylającego rozporządzenie (Euratom) 2021/765, w związku z czym postanowił wydać w</w:t>
      </w:r>
      <w:r w:rsidR="00E421E9">
        <w:t> </w:t>
      </w:r>
      <w:r w:rsidRPr="00073C8F">
        <w:t>pełni pozytywną opinię na temat proponowanego tekstu.</w:t>
      </w:r>
    </w:p>
    <w:p w:rsidRPr="00073C8F" w:rsidR="009767CB" w:rsidP="00241CB3" w:rsidRDefault="009767CB" w14:paraId="3114E859" w14:textId="77777777">
      <w:pPr>
        <w:suppressAutoHyphens/>
        <w:overflowPunct w:val="0"/>
        <w:autoSpaceDE w:val="0"/>
        <w:autoSpaceDN w:val="0"/>
        <w:adjustRightInd w:val="0"/>
        <w:ind w:left="709"/>
        <w:textAlignment w:val="baseline"/>
      </w:pPr>
    </w:p>
    <w:tbl>
      <w:tblPr>
        <w:tblW w:w="5000" w:type="pct"/>
        <w:tblLook w:val="04A0" w:firstRow="1" w:lastRow="0" w:firstColumn="1" w:lastColumn="0" w:noHBand="0" w:noVBand="1"/>
      </w:tblPr>
      <w:tblGrid>
        <w:gridCol w:w="1681"/>
        <w:gridCol w:w="7608"/>
      </w:tblGrid>
      <w:tr w:rsidRPr="00073C8F" w:rsidR="00540D07" w:rsidTr="00097E6F" w14:paraId="22E70877" w14:textId="77777777">
        <w:tc>
          <w:tcPr>
            <w:tcW w:w="905" w:type="pct"/>
          </w:tcPr>
          <w:p w:rsidRPr="00073C8F" w:rsidR="00540D07" w:rsidP="00241CB3" w:rsidRDefault="00540D07" w14:paraId="2D026BAB" w14:textId="77777777">
            <w:pPr>
              <w:suppressAutoHyphens/>
              <w:overflowPunct w:val="0"/>
              <w:autoSpaceDE w:val="0"/>
              <w:autoSpaceDN w:val="0"/>
              <w:adjustRightInd w:val="0"/>
              <w:textAlignment w:val="baseline"/>
              <w:rPr>
                <w:i/>
              </w:rPr>
            </w:pPr>
            <w:r w:rsidRPr="00073C8F">
              <w:rPr>
                <w:b/>
                <w:i/>
              </w:rPr>
              <w:t>Kontakt</w:t>
            </w:r>
          </w:p>
        </w:tc>
        <w:tc>
          <w:tcPr>
            <w:tcW w:w="4095" w:type="pct"/>
          </w:tcPr>
          <w:p w:rsidRPr="00073C8F" w:rsidR="00540D07" w:rsidP="00241CB3" w:rsidRDefault="00540D07" w14:paraId="50E95823" w14:textId="1FC5B32F">
            <w:pPr>
              <w:suppressAutoHyphens/>
              <w:overflowPunct w:val="0"/>
              <w:autoSpaceDE w:val="0"/>
              <w:autoSpaceDN w:val="0"/>
              <w:adjustRightInd w:val="0"/>
              <w:textAlignment w:val="baseline"/>
              <w:rPr>
                <w:i/>
              </w:rPr>
            </w:pPr>
            <w:r w:rsidRPr="00073C8F">
              <w:rPr>
                <w:i/>
              </w:rPr>
              <w:t>Albert Precup</w:t>
            </w:r>
          </w:p>
        </w:tc>
      </w:tr>
      <w:tr w:rsidRPr="00073C8F" w:rsidR="00540D07" w:rsidTr="00097E6F" w14:paraId="7277A879" w14:textId="77777777">
        <w:tc>
          <w:tcPr>
            <w:tcW w:w="905" w:type="pct"/>
          </w:tcPr>
          <w:p w:rsidRPr="00073C8F" w:rsidR="00540D07" w:rsidP="00241CB3" w:rsidRDefault="00540D07" w14:paraId="143C773A" w14:textId="77777777">
            <w:pPr>
              <w:suppressAutoHyphens/>
              <w:overflowPunct w:val="0"/>
              <w:autoSpaceDE w:val="0"/>
              <w:autoSpaceDN w:val="0"/>
              <w:adjustRightInd w:val="0"/>
              <w:textAlignment w:val="baseline"/>
              <w:rPr>
                <w:i/>
              </w:rPr>
            </w:pPr>
            <w:r w:rsidRPr="00073C8F">
              <w:rPr>
                <w:i/>
              </w:rPr>
              <w:t>tel.</w:t>
            </w:r>
          </w:p>
        </w:tc>
        <w:tc>
          <w:tcPr>
            <w:tcW w:w="4095" w:type="pct"/>
          </w:tcPr>
          <w:p w:rsidRPr="00073C8F" w:rsidR="00540D07" w:rsidP="00241CB3" w:rsidRDefault="00540D07" w14:paraId="6EB6B62C" w14:textId="77777777">
            <w:pPr>
              <w:suppressAutoHyphens/>
              <w:overflowPunct w:val="0"/>
              <w:autoSpaceDE w:val="0"/>
              <w:autoSpaceDN w:val="0"/>
              <w:adjustRightInd w:val="0"/>
              <w:textAlignment w:val="baseline"/>
              <w:rPr>
                <w:i/>
              </w:rPr>
            </w:pPr>
            <w:r w:rsidRPr="00073C8F">
              <w:rPr>
                <w:i/>
              </w:rPr>
              <w:t>+32 2 5469326</w:t>
            </w:r>
          </w:p>
        </w:tc>
      </w:tr>
      <w:tr w:rsidRPr="00073C8F" w:rsidR="00540D07" w:rsidTr="00097E6F" w14:paraId="26DED561" w14:textId="77777777">
        <w:tc>
          <w:tcPr>
            <w:tcW w:w="905" w:type="pct"/>
          </w:tcPr>
          <w:p w:rsidRPr="00073C8F" w:rsidR="00540D07" w:rsidP="00241CB3" w:rsidRDefault="00540D07" w14:paraId="738718C6" w14:textId="77777777">
            <w:pPr>
              <w:suppressAutoHyphens/>
              <w:overflowPunct w:val="0"/>
              <w:autoSpaceDE w:val="0"/>
              <w:autoSpaceDN w:val="0"/>
              <w:adjustRightInd w:val="0"/>
              <w:textAlignment w:val="baseline"/>
              <w:rPr>
                <w:i/>
              </w:rPr>
            </w:pPr>
            <w:r w:rsidRPr="00073C8F">
              <w:rPr>
                <w:i/>
              </w:rPr>
              <w:t>e-mail</w:t>
            </w:r>
          </w:p>
        </w:tc>
        <w:tc>
          <w:tcPr>
            <w:tcW w:w="4095" w:type="pct"/>
          </w:tcPr>
          <w:p w:rsidRPr="00073C8F" w:rsidR="00540D07" w:rsidP="00241CB3" w:rsidRDefault="00A46594" w14:paraId="20CE56A6" w14:textId="77777777">
            <w:pPr>
              <w:suppressAutoHyphens/>
              <w:overflowPunct w:val="0"/>
              <w:autoSpaceDE w:val="0"/>
              <w:autoSpaceDN w:val="0"/>
              <w:adjustRightInd w:val="0"/>
              <w:textAlignment w:val="baseline"/>
              <w:rPr>
                <w:i/>
              </w:rPr>
            </w:pPr>
            <w:hyperlink w:history="1" r:id="rId35">
              <w:r w:rsidRPr="00073C8F" w:rsidR="0081023C">
                <w:rPr>
                  <w:i/>
                  <w:color w:val="0000FF"/>
                  <w:u w:val="single"/>
                </w:rPr>
                <w:t>Albert.Precup@eesc.europa.eu</w:t>
              </w:r>
            </w:hyperlink>
          </w:p>
        </w:tc>
      </w:tr>
    </w:tbl>
    <w:p w:rsidRPr="00073C8F" w:rsidR="004D7AC0" w:rsidP="00241CB3" w:rsidRDefault="004D7AC0" w14:paraId="4982DDF2" w14:textId="59EFDD7A">
      <w:pPr>
        <w:suppressAutoHyphens/>
        <w:jc w:val="left"/>
      </w:pPr>
      <w:r w:rsidRPr="00073C8F">
        <w:br w:type="page"/>
      </w:r>
    </w:p>
    <w:p w:rsidRPr="00073C8F" w:rsidR="004D7AC0" w:rsidP="00241CB3" w:rsidRDefault="004D7AC0" w14:paraId="4982DDF3" w14:textId="77777777">
      <w:pPr>
        <w:pStyle w:val="Heading1"/>
        <w:suppressAutoHyphens/>
        <w:rPr>
          <w:b/>
        </w:rPr>
      </w:pPr>
      <w:bookmarkStart w:name="_Toc75527083" w:id="6"/>
      <w:bookmarkStart w:name="_Toc195264688" w:id="7"/>
      <w:r w:rsidRPr="00073C8F">
        <w:rPr>
          <w:b/>
        </w:rPr>
        <w:lastRenderedPageBreak/>
        <w:t>JEDNOLITY RYNEK, PRODUKCJA I KONSUMPCJA</w:t>
      </w:r>
      <w:bookmarkEnd w:id="6"/>
      <w:bookmarkEnd w:id="7"/>
    </w:p>
    <w:p w:rsidRPr="00073C8F" w:rsidR="004D7AC0" w:rsidP="00073C8F" w:rsidRDefault="004D7AC0" w14:paraId="4982DE1C" w14:textId="77777777"/>
    <w:p w:rsidRPr="00073C8F" w:rsidR="009A053A" w:rsidP="00241CB3" w:rsidRDefault="00A46594" w14:paraId="41FD4D3E" w14:textId="19880B68">
      <w:pPr>
        <w:numPr>
          <w:ilvl w:val="0"/>
          <w:numId w:val="4"/>
        </w:numPr>
        <w:suppressAutoHyphens/>
        <w:overflowPunct w:val="0"/>
        <w:autoSpaceDE w:val="0"/>
        <w:autoSpaceDN w:val="0"/>
        <w:adjustRightInd w:val="0"/>
        <w:ind w:hanging="567"/>
        <w:textAlignment w:val="baseline"/>
        <w:rPr>
          <w:sz w:val="28"/>
          <w:szCs w:val="28"/>
        </w:rPr>
      </w:pPr>
      <w:hyperlink w:history="1" r:id="rId36">
        <w:r w:rsidRPr="00073C8F" w:rsidR="0081023C">
          <w:rPr>
            <w:b/>
            <w:i/>
            <w:color w:val="0000FF"/>
            <w:sz w:val="28"/>
            <w:szCs w:val="28"/>
            <w:u w:val="single"/>
          </w:rPr>
          <w:t>Terminy składania wniosków i raportowania/CSRD i CSDDD</w:t>
        </w:r>
      </w:hyperlink>
    </w:p>
    <w:p w:rsidRPr="00073C8F" w:rsidR="009A053A" w:rsidP="00241CB3" w:rsidRDefault="009A053A" w14:paraId="2D892096" w14:textId="77777777">
      <w:pPr>
        <w:tabs>
          <w:tab w:val="center" w:pos="284"/>
        </w:tabs>
        <w:suppressAutoHyphens/>
        <w:overflowPunct w:val="0"/>
        <w:autoSpaceDE w:val="0"/>
        <w:autoSpaceDN w:val="0"/>
        <w:adjustRightInd w:val="0"/>
        <w:ind w:left="266" w:hanging="266"/>
        <w:textAlignment w:val="baseline"/>
        <w:rPr>
          <w:b/>
        </w:rPr>
      </w:pPr>
    </w:p>
    <w:tbl>
      <w:tblPr>
        <w:tblW w:w="5000" w:type="pct"/>
        <w:tblLook w:val="04A0" w:firstRow="1" w:lastRow="0" w:firstColumn="1" w:lastColumn="0" w:noHBand="0" w:noVBand="1"/>
      </w:tblPr>
      <w:tblGrid>
        <w:gridCol w:w="1809"/>
        <w:gridCol w:w="7480"/>
      </w:tblGrid>
      <w:tr w:rsidRPr="00073C8F" w:rsidR="009A053A" w:rsidTr="00097E6F" w14:paraId="0D139877" w14:textId="77777777">
        <w:tc>
          <w:tcPr>
            <w:tcW w:w="974" w:type="pct"/>
            <w:vMerge w:val="restart"/>
          </w:tcPr>
          <w:p w:rsidRPr="00073C8F" w:rsidR="009A053A" w:rsidP="00241CB3" w:rsidRDefault="009A053A" w14:paraId="2F19AB1F" w14:textId="77777777">
            <w:pPr>
              <w:tabs>
                <w:tab w:val="center" w:pos="284"/>
              </w:tabs>
              <w:suppressAutoHyphens/>
              <w:overflowPunct w:val="0"/>
              <w:autoSpaceDE w:val="0"/>
              <w:autoSpaceDN w:val="0"/>
              <w:adjustRightInd w:val="0"/>
              <w:ind w:left="266" w:hanging="266"/>
              <w:textAlignment w:val="baseline"/>
              <w:rPr>
                <w:b/>
              </w:rPr>
            </w:pPr>
            <w:r w:rsidRPr="00073C8F">
              <w:rPr>
                <w:b/>
              </w:rPr>
              <w:t>Dokumenty</w:t>
            </w:r>
          </w:p>
        </w:tc>
        <w:tc>
          <w:tcPr>
            <w:tcW w:w="4026" w:type="pct"/>
          </w:tcPr>
          <w:p w:rsidRPr="00073C8F" w:rsidR="00650347" w:rsidP="00241CB3" w:rsidRDefault="00650347" w14:paraId="47E29020" w14:textId="7D7B0DBB">
            <w:pPr>
              <w:tabs>
                <w:tab w:val="center" w:pos="284"/>
              </w:tabs>
              <w:suppressAutoHyphens/>
              <w:overflowPunct w:val="0"/>
              <w:autoSpaceDE w:val="0"/>
              <w:autoSpaceDN w:val="0"/>
              <w:adjustRightInd w:val="0"/>
              <w:ind w:left="266" w:hanging="266"/>
              <w:textAlignment w:val="baseline"/>
            </w:pPr>
            <w:r w:rsidRPr="00073C8F">
              <w:t>Opinia kategorii C</w:t>
            </w:r>
          </w:p>
          <w:p w:rsidRPr="00073C8F" w:rsidR="009A053A" w:rsidP="00241CB3" w:rsidRDefault="009A053A" w14:paraId="06C6A0CD" w14:textId="5C6CEC3F">
            <w:pPr>
              <w:tabs>
                <w:tab w:val="center" w:pos="284"/>
              </w:tabs>
              <w:suppressAutoHyphens/>
              <w:overflowPunct w:val="0"/>
              <w:autoSpaceDE w:val="0"/>
              <w:autoSpaceDN w:val="0"/>
              <w:adjustRightInd w:val="0"/>
              <w:ind w:left="266" w:hanging="266"/>
              <w:textAlignment w:val="baseline"/>
            </w:pPr>
            <w:r w:rsidRPr="00073C8F">
              <w:t>COM(2025) 80 final</w:t>
            </w:r>
          </w:p>
        </w:tc>
      </w:tr>
      <w:tr w:rsidRPr="00073C8F" w:rsidR="009A053A" w:rsidTr="00097E6F" w14:paraId="40F62135" w14:textId="77777777">
        <w:tc>
          <w:tcPr>
            <w:tcW w:w="974" w:type="pct"/>
            <w:vMerge/>
          </w:tcPr>
          <w:p w:rsidRPr="00073C8F" w:rsidR="009A053A" w:rsidP="00241CB3" w:rsidRDefault="009A053A" w14:paraId="43CCC55A" w14:textId="77777777">
            <w:pPr>
              <w:tabs>
                <w:tab w:val="center" w:pos="284"/>
              </w:tabs>
              <w:suppressAutoHyphens/>
              <w:overflowPunct w:val="0"/>
              <w:autoSpaceDE w:val="0"/>
              <w:autoSpaceDN w:val="0"/>
              <w:adjustRightInd w:val="0"/>
              <w:ind w:left="266" w:hanging="266"/>
              <w:textAlignment w:val="baseline"/>
              <w:rPr>
                <w:b/>
              </w:rPr>
            </w:pPr>
          </w:p>
        </w:tc>
        <w:tc>
          <w:tcPr>
            <w:tcW w:w="4026" w:type="pct"/>
          </w:tcPr>
          <w:p w:rsidRPr="00073C8F" w:rsidR="009A053A" w:rsidP="00241CB3" w:rsidRDefault="009A053A" w14:paraId="21BBE969" w14:textId="77777777">
            <w:pPr>
              <w:tabs>
                <w:tab w:val="center" w:pos="284"/>
              </w:tabs>
              <w:suppressAutoHyphens/>
              <w:overflowPunct w:val="0"/>
              <w:autoSpaceDE w:val="0"/>
              <w:autoSpaceDN w:val="0"/>
              <w:adjustRightInd w:val="0"/>
              <w:ind w:left="266" w:hanging="266"/>
              <w:textAlignment w:val="baseline"/>
            </w:pPr>
            <w:r w:rsidRPr="00073C8F">
              <w:t>EESC-2025-0963-00-00-AC</w:t>
            </w:r>
          </w:p>
        </w:tc>
      </w:tr>
    </w:tbl>
    <w:p w:rsidRPr="00073C8F" w:rsidR="009A053A" w:rsidP="00241CB3" w:rsidRDefault="009A053A" w14:paraId="3D64D3B5" w14:textId="77777777">
      <w:pPr>
        <w:tabs>
          <w:tab w:val="center" w:pos="284"/>
        </w:tabs>
        <w:suppressAutoHyphens/>
        <w:overflowPunct w:val="0"/>
        <w:autoSpaceDE w:val="0"/>
        <w:autoSpaceDN w:val="0"/>
        <w:adjustRightInd w:val="0"/>
        <w:ind w:left="266" w:hanging="266"/>
        <w:textAlignment w:val="baseline"/>
      </w:pPr>
    </w:p>
    <w:p w:rsidRPr="00073C8F" w:rsidR="009A053A" w:rsidP="00241CB3" w:rsidRDefault="009A053A" w14:paraId="601A9E58" w14:textId="77777777">
      <w:pPr>
        <w:tabs>
          <w:tab w:val="center" w:pos="284"/>
        </w:tabs>
        <w:suppressAutoHyphens/>
        <w:overflowPunct w:val="0"/>
        <w:autoSpaceDE w:val="0"/>
        <w:autoSpaceDN w:val="0"/>
        <w:adjustRightInd w:val="0"/>
        <w:ind w:left="266" w:hanging="266"/>
        <w:textAlignment w:val="baseline"/>
        <w:rPr>
          <w:b/>
        </w:rPr>
      </w:pPr>
      <w:r w:rsidRPr="00073C8F">
        <w:rPr>
          <w:b/>
        </w:rPr>
        <w:t>Główne punkty</w:t>
      </w:r>
    </w:p>
    <w:p w:rsidRPr="00073C8F" w:rsidR="009A053A" w:rsidP="00241CB3" w:rsidRDefault="009A053A" w14:paraId="78397CC4" w14:textId="77777777">
      <w:pPr>
        <w:tabs>
          <w:tab w:val="center" w:pos="284"/>
        </w:tabs>
        <w:suppressAutoHyphens/>
        <w:overflowPunct w:val="0"/>
        <w:autoSpaceDE w:val="0"/>
        <w:autoSpaceDN w:val="0"/>
        <w:adjustRightInd w:val="0"/>
        <w:ind w:left="266" w:hanging="266"/>
        <w:textAlignment w:val="baseline"/>
        <w:rPr>
          <w:b/>
        </w:rPr>
      </w:pPr>
    </w:p>
    <w:p w:rsidRPr="00073C8F" w:rsidR="009A053A" w:rsidP="00241CB3" w:rsidRDefault="009A053A" w14:paraId="5074737F" w14:textId="44EB3763">
      <w:pPr>
        <w:suppressAutoHyphens/>
        <w:overflowPunct w:val="0"/>
        <w:autoSpaceDE w:val="0"/>
        <w:autoSpaceDN w:val="0"/>
        <w:adjustRightInd w:val="0"/>
        <w:textAlignment w:val="baseline"/>
        <w:rPr>
          <w:bCs/>
          <w:iCs/>
        </w:rPr>
      </w:pPr>
      <w:r w:rsidRPr="00073C8F">
        <w:t>Komitet uznał, że treść wniosku jest w zupełności zadowalająca i nie wymaga żadnego komentarza z</w:t>
      </w:r>
      <w:r w:rsidR="00097E6F">
        <w:t> </w:t>
      </w:r>
      <w:r w:rsidRPr="00073C8F">
        <w:t>jego strony, oraz postanowił wydać pozytywną opinię na temat proponowanego tekstu.</w:t>
      </w:r>
    </w:p>
    <w:p w:rsidRPr="00073C8F" w:rsidR="009A053A" w:rsidP="00241CB3" w:rsidRDefault="009A053A" w14:paraId="24D83598" w14:textId="77777777">
      <w:pPr>
        <w:suppressAutoHyphens/>
        <w:overflowPunct w:val="0"/>
        <w:autoSpaceDE w:val="0"/>
        <w:autoSpaceDN w:val="0"/>
        <w:adjustRightInd w:val="0"/>
        <w:textAlignment w:val="baseline"/>
        <w:rPr>
          <w:bCs/>
          <w:iCs/>
        </w:rPr>
      </w:pPr>
    </w:p>
    <w:tbl>
      <w:tblPr>
        <w:tblW w:w="0" w:type="auto"/>
        <w:tblLook w:val="04A0" w:firstRow="1" w:lastRow="0" w:firstColumn="1" w:lastColumn="0" w:noHBand="0" w:noVBand="1"/>
      </w:tblPr>
      <w:tblGrid>
        <w:gridCol w:w="1418"/>
        <w:gridCol w:w="5670"/>
      </w:tblGrid>
      <w:tr w:rsidRPr="00073C8F" w:rsidR="009A053A" w:rsidTr="002831E6" w14:paraId="5278D58D" w14:textId="77777777">
        <w:tc>
          <w:tcPr>
            <w:tcW w:w="1418" w:type="dxa"/>
          </w:tcPr>
          <w:p w:rsidRPr="00073C8F" w:rsidR="009A053A" w:rsidP="00241CB3" w:rsidRDefault="009A053A" w14:paraId="158CD46C" w14:textId="77777777">
            <w:pPr>
              <w:suppressAutoHyphens/>
              <w:overflowPunct w:val="0"/>
              <w:autoSpaceDE w:val="0"/>
              <w:autoSpaceDN w:val="0"/>
              <w:adjustRightInd w:val="0"/>
              <w:textAlignment w:val="baseline"/>
              <w:rPr>
                <w:i/>
              </w:rPr>
            </w:pPr>
            <w:r w:rsidRPr="00073C8F">
              <w:rPr>
                <w:b/>
                <w:i/>
              </w:rPr>
              <w:t>Kontakt</w:t>
            </w:r>
          </w:p>
        </w:tc>
        <w:tc>
          <w:tcPr>
            <w:tcW w:w="5670" w:type="dxa"/>
          </w:tcPr>
          <w:p w:rsidRPr="00073C8F" w:rsidR="009A053A" w:rsidP="00241CB3" w:rsidRDefault="009A053A" w14:paraId="56BE02A8" w14:textId="77777777">
            <w:pPr>
              <w:suppressAutoHyphens/>
              <w:overflowPunct w:val="0"/>
              <w:autoSpaceDE w:val="0"/>
              <w:autoSpaceDN w:val="0"/>
              <w:adjustRightInd w:val="0"/>
              <w:textAlignment w:val="baseline"/>
              <w:rPr>
                <w:i/>
              </w:rPr>
            </w:pPr>
            <w:r w:rsidRPr="00073C8F">
              <w:rPr>
                <w:i/>
              </w:rPr>
              <w:t>Alice Tétu</w:t>
            </w:r>
          </w:p>
        </w:tc>
      </w:tr>
      <w:tr w:rsidRPr="00073C8F" w:rsidR="009A053A" w:rsidTr="002831E6" w14:paraId="434AAFEC" w14:textId="77777777">
        <w:tc>
          <w:tcPr>
            <w:tcW w:w="1418" w:type="dxa"/>
          </w:tcPr>
          <w:p w:rsidRPr="00073C8F" w:rsidR="009A053A" w:rsidP="00241CB3" w:rsidRDefault="009A053A" w14:paraId="00A558FE" w14:textId="77777777">
            <w:pPr>
              <w:suppressAutoHyphens/>
              <w:overflowPunct w:val="0"/>
              <w:autoSpaceDE w:val="0"/>
              <w:autoSpaceDN w:val="0"/>
              <w:adjustRightInd w:val="0"/>
              <w:textAlignment w:val="baseline"/>
              <w:rPr>
                <w:i/>
              </w:rPr>
            </w:pPr>
            <w:r w:rsidRPr="00073C8F">
              <w:rPr>
                <w:i/>
              </w:rPr>
              <w:t>tel.</w:t>
            </w:r>
          </w:p>
        </w:tc>
        <w:tc>
          <w:tcPr>
            <w:tcW w:w="5670" w:type="dxa"/>
          </w:tcPr>
          <w:p w:rsidRPr="00073C8F" w:rsidR="009A053A" w:rsidP="00241CB3" w:rsidRDefault="009A053A" w14:paraId="6253C8C9" w14:textId="77777777">
            <w:pPr>
              <w:suppressAutoHyphens/>
              <w:overflowPunct w:val="0"/>
              <w:autoSpaceDE w:val="0"/>
              <w:autoSpaceDN w:val="0"/>
              <w:adjustRightInd w:val="0"/>
              <w:textAlignment w:val="baseline"/>
              <w:rPr>
                <w:i/>
              </w:rPr>
            </w:pPr>
            <w:r w:rsidRPr="00073C8F">
              <w:rPr>
                <w:i/>
              </w:rPr>
              <w:t>+ 32 25468286</w:t>
            </w:r>
          </w:p>
        </w:tc>
      </w:tr>
      <w:tr w:rsidRPr="00073C8F" w:rsidR="009A053A" w:rsidTr="002831E6" w14:paraId="58A281EC" w14:textId="77777777">
        <w:tc>
          <w:tcPr>
            <w:tcW w:w="1418" w:type="dxa"/>
          </w:tcPr>
          <w:p w:rsidRPr="00073C8F" w:rsidR="009A053A" w:rsidP="00241CB3" w:rsidRDefault="009A053A" w14:paraId="234BBB11" w14:textId="59B004ED">
            <w:pPr>
              <w:suppressAutoHyphens/>
              <w:overflowPunct w:val="0"/>
              <w:autoSpaceDE w:val="0"/>
              <w:autoSpaceDN w:val="0"/>
              <w:adjustRightInd w:val="0"/>
              <w:textAlignment w:val="baseline"/>
              <w:rPr>
                <w:i/>
              </w:rPr>
            </w:pPr>
            <w:r w:rsidRPr="00073C8F">
              <w:rPr>
                <w:i/>
              </w:rPr>
              <w:t>e-mail</w:t>
            </w:r>
          </w:p>
        </w:tc>
        <w:tc>
          <w:tcPr>
            <w:tcW w:w="5670" w:type="dxa"/>
          </w:tcPr>
          <w:p w:rsidRPr="00073C8F" w:rsidR="009A053A" w:rsidP="00241CB3" w:rsidRDefault="00A46594" w14:paraId="2B5435D9" w14:textId="77777777">
            <w:pPr>
              <w:suppressAutoHyphens/>
              <w:overflowPunct w:val="0"/>
              <w:autoSpaceDE w:val="0"/>
              <w:autoSpaceDN w:val="0"/>
              <w:adjustRightInd w:val="0"/>
              <w:textAlignment w:val="baseline"/>
              <w:rPr>
                <w:i/>
              </w:rPr>
            </w:pPr>
            <w:hyperlink w:history="1" r:id="rId37">
              <w:r w:rsidRPr="00073C8F" w:rsidR="0081023C">
                <w:rPr>
                  <w:i/>
                  <w:color w:val="0000FF"/>
                  <w:u w:val="single"/>
                </w:rPr>
                <w:t>Alice.Tetu@eesc.europa.eu</w:t>
              </w:r>
            </w:hyperlink>
          </w:p>
        </w:tc>
      </w:tr>
    </w:tbl>
    <w:p w:rsidRPr="00073C8F" w:rsidR="004D7AC0" w:rsidP="00241CB3" w:rsidRDefault="004D7AC0" w14:paraId="4982DE1E" w14:textId="77777777">
      <w:pPr>
        <w:suppressAutoHyphens/>
        <w:jc w:val="left"/>
      </w:pPr>
      <w:r w:rsidRPr="00073C8F">
        <w:br w:type="page"/>
      </w:r>
    </w:p>
    <w:p w:rsidRPr="00073C8F" w:rsidR="004D7AC0" w:rsidP="00241CB3" w:rsidRDefault="004D7AC0" w14:paraId="4982DE1F" w14:textId="77777777">
      <w:pPr>
        <w:pStyle w:val="Heading1"/>
        <w:suppressAutoHyphens/>
        <w:rPr>
          <w:b/>
        </w:rPr>
      </w:pPr>
      <w:bookmarkStart w:name="_Toc70322234" w:id="8"/>
      <w:bookmarkStart w:name="_Toc75527084" w:id="9"/>
      <w:bookmarkStart w:name="_Toc195264689" w:id="10"/>
      <w:r w:rsidRPr="00073C8F">
        <w:rPr>
          <w:b/>
        </w:rPr>
        <w:lastRenderedPageBreak/>
        <w:t>ROLNICTWO, ROZWÓJ WSI I ŚRODOWISKO NATURALNE</w:t>
      </w:r>
      <w:bookmarkEnd w:id="8"/>
      <w:bookmarkEnd w:id="9"/>
      <w:bookmarkEnd w:id="10"/>
    </w:p>
    <w:p w:rsidRPr="00073C8F" w:rsidR="004D7AC0" w:rsidP="00241CB3" w:rsidRDefault="004D7AC0" w14:paraId="4982DE20" w14:textId="77777777">
      <w:pPr>
        <w:suppressAutoHyphens/>
      </w:pPr>
    </w:p>
    <w:p w:rsidRPr="00073C8F" w:rsidR="00A2180B" w:rsidP="00241CB3" w:rsidRDefault="00A46594" w14:paraId="674B6D4D" w14:textId="5C20DB0B">
      <w:pPr>
        <w:numPr>
          <w:ilvl w:val="0"/>
          <w:numId w:val="10"/>
        </w:numPr>
        <w:suppressAutoHyphens/>
        <w:overflowPunct w:val="0"/>
        <w:autoSpaceDE w:val="0"/>
        <w:autoSpaceDN w:val="0"/>
        <w:adjustRightInd w:val="0"/>
        <w:ind w:hanging="567"/>
        <w:rPr>
          <w:sz w:val="28"/>
          <w:szCs w:val="28"/>
        </w:rPr>
      </w:pPr>
      <w:hyperlink w:history="1" r:id="rId38">
        <w:r w:rsidRPr="00073C8F" w:rsidR="0081023C">
          <w:rPr>
            <w:b/>
            <w:i/>
            <w:color w:val="0000FF"/>
            <w:sz w:val="28"/>
            <w:szCs w:val="28"/>
            <w:u w:val="single"/>
          </w:rPr>
          <w:t>Ocena dyrektywy (UE) 2019/633 z dnia 17 kwietnia 2019 r. w sprawie nieuczciwych praktyk handlowych w relacjach między przedsiębiorcami w</w:t>
        </w:r>
        <w:r w:rsidR="00601805">
          <w:rPr>
            <w:b/>
            <w:i/>
            <w:color w:val="0000FF"/>
            <w:sz w:val="28"/>
            <w:szCs w:val="28"/>
            <w:u w:val="single"/>
          </w:rPr>
          <w:t> </w:t>
        </w:r>
        <w:r w:rsidRPr="00073C8F" w:rsidR="0081023C">
          <w:rPr>
            <w:b/>
            <w:i/>
            <w:color w:val="0000FF"/>
            <w:sz w:val="28"/>
            <w:szCs w:val="28"/>
            <w:u w:val="single"/>
          </w:rPr>
          <w:t>łańcuchu dostaw produktów rolnych i spożywczych (w tym sporządzanie wykazu krajowych przepisów dotyczących nieuczciwych praktyk handlowych)</w:t>
        </w:r>
      </w:hyperlink>
      <w:r w:rsidRPr="00073C8F" w:rsidR="0081023C">
        <w:rPr>
          <w:sz w:val="28"/>
          <w:szCs w:val="28"/>
        </w:rPr>
        <w:t xml:space="preserve"> </w:t>
      </w:r>
    </w:p>
    <w:p w:rsidRPr="00073C8F" w:rsidR="00A2180B" w:rsidP="00241CB3" w:rsidRDefault="00A2180B" w14:paraId="53AD2187" w14:textId="77777777">
      <w:pPr>
        <w:tabs>
          <w:tab w:val="center" w:pos="284"/>
        </w:tabs>
        <w:suppressAutoHyphens/>
        <w:overflowPunct w:val="0"/>
        <w:autoSpaceDE w:val="0"/>
        <w:autoSpaceDN w:val="0"/>
        <w:adjustRightInd w:val="0"/>
        <w:ind w:left="266" w:hanging="266"/>
        <w:rPr>
          <w:b/>
        </w:rPr>
      </w:pPr>
    </w:p>
    <w:tbl>
      <w:tblPr>
        <w:tblW w:w="5000" w:type="pct"/>
        <w:tblLook w:val="04A0" w:firstRow="1" w:lastRow="0" w:firstColumn="1" w:lastColumn="0" w:noHBand="0" w:noVBand="1"/>
      </w:tblPr>
      <w:tblGrid>
        <w:gridCol w:w="2605"/>
        <w:gridCol w:w="6684"/>
      </w:tblGrid>
      <w:tr w:rsidRPr="00073C8F" w:rsidR="00A2180B" w:rsidTr="00601805" w14:paraId="0D922F06" w14:textId="77777777">
        <w:tc>
          <w:tcPr>
            <w:tcW w:w="1402" w:type="pct"/>
            <w:hideMark/>
          </w:tcPr>
          <w:p w:rsidRPr="00073C8F" w:rsidR="00A2180B" w:rsidP="00601805" w:rsidRDefault="00A2180B" w14:paraId="33EC09DE" w14:textId="77777777">
            <w:pPr>
              <w:tabs>
                <w:tab w:val="center" w:pos="284"/>
              </w:tabs>
              <w:suppressAutoHyphens/>
              <w:overflowPunct w:val="0"/>
              <w:autoSpaceDE w:val="0"/>
              <w:autoSpaceDN w:val="0"/>
              <w:adjustRightInd w:val="0"/>
              <w:rPr>
                <w:b/>
              </w:rPr>
            </w:pPr>
            <w:r w:rsidRPr="00073C8F">
              <w:rPr>
                <w:b/>
              </w:rPr>
              <w:t>Sprawozdawczyni</w:t>
            </w:r>
          </w:p>
        </w:tc>
        <w:tc>
          <w:tcPr>
            <w:tcW w:w="3598" w:type="pct"/>
            <w:hideMark/>
          </w:tcPr>
          <w:p w:rsidRPr="00073C8F" w:rsidR="00A2180B" w:rsidP="00601805" w:rsidRDefault="00A2180B" w14:paraId="01434A9E" w14:textId="30EA71B2">
            <w:pPr>
              <w:tabs>
                <w:tab w:val="center" w:pos="284"/>
              </w:tabs>
              <w:suppressAutoHyphens/>
              <w:overflowPunct w:val="0"/>
              <w:autoSpaceDE w:val="0"/>
              <w:autoSpaceDN w:val="0"/>
              <w:adjustRightInd w:val="0"/>
            </w:pPr>
            <w:r w:rsidRPr="00073C8F">
              <w:t>Antje GERSTEIN (Grupa Pracodawców- DE)</w:t>
            </w:r>
          </w:p>
        </w:tc>
      </w:tr>
      <w:tr w:rsidRPr="00073C8F" w:rsidR="00A2180B" w:rsidTr="00601805" w14:paraId="14A1C05B" w14:textId="77777777">
        <w:tc>
          <w:tcPr>
            <w:tcW w:w="1402" w:type="pct"/>
            <w:hideMark/>
          </w:tcPr>
          <w:p w:rsidRPr="00073C8F" w:rsidR="00A2180B" w:rsidP="00601805" w:rsidRDefault="00A2180B" w14:paraId="3C229F52" w14:textId="77777777">
            <w:pPr>
              <w:tabs>
                <w:tab w:val="center" w:pos="284"/>
              </w:tabs>
              <w:suppressAutoHyphens/>
              <w:overflowPunct w:val="0"/>
              <w:autoSpaceDE w:val="0"/>
              <w:autoSpaceDN w:val="0"/>
              <w:adjustRightInd w:val="0"/>
              <w:rPr>
                <w:b/>
              </w:rPr>
            </w:pPr>
            <w:r w:rsidRPr="00073C8F">
              <w:rPr>
                <w:b/>
              </w:rPr>
              <w:t>Współsprawozdawca</w:t>
            </w:r>
          </w:p>
        </w:tc>
        <w:tc>
          <w:tcPr>
            <w:tcW w:w="3598" w:type="pct"/>
            <w:hideMark/>
          </w:tcPr>
          <w:p w:rsidRPr="00073C8F" w:rsidR="00A2180B" w:rsidP="00601805" w:rsidRDefault="00A2180B" w14:paraId="1746DD3A" w14:textId="4FA11AE5">
            <w:pPr>
              <w:tabs>
                <w:tab w:val="center" w:pos="284"/>
              </w:tabs>
              <w:suppressAutoHyphens/>
              <w:overflowPunct w:val="0"/>
              <w:autoSpaceDE w:val="0"/>
              <w:autoSpaceDN w:val="0"/>
              <w:adjustRightInd w:val="0"/>
            </w:pPr>
            <w:r w:rsidRPr="00073C8F">
              <w:t>Branko RAVNIK (Grupa Organizacji Społeczeństwa Obywatelskiego – SI)</w:t>
            </w:r>
          </w:p>
        </w:tc>
      </w:tr>
      <w:tr w:rsidRPr="00073C8F" w:rsidR="00A2180B" w:rsidTr="00601805" w14:paraId="3C63FE5A" w14:textId="77777777">
        <w:tc>
          <w:tcPr>
            <w:tcW w:w="5000" w:type="pct"/>
            <w:gridSpan w:val="2"/>
          </w:tcPr>
          <w:p w:rsidRPr="00073C8F" w:rsidR="00A2180B" w:rsidP="00601805" w:rsidRDefault="00A2180B" w14:paraId="1C5D2513" w14:textId="77777777">
            <w:pPr>
              <w:tabs>
                <w:tab w:val="center" w:pos="284"/>
              </w:tabs>
              <w:suppressAutoHyphens/>
              <w:overflowPunct w:val="0"/>
              <w:autoSpaceDE w:val="0"/>
              <w:autoSpaceDN w:val="0"/>
              <w:adjustRightInd w:val="0"/>
            </w:pPr>
          </w:p>
        </w:tc>
      </w:tr>
      <w:tr w:rsidRPr="00073C8F" w:rsidR="00A2180B" w:rsidTr="00601805" w14:paraId="2FE80922" w14:textId="77777777">
        <w:tc>
          <w:tcPr>
            <w:tcW w:w="1402" w:type="pct"/>
            <w:hideMark/>
          </w:tcPr>
          <w:p w:rsidRPr="00073C8F" w:rsidR="00A2180B" w:rsidP="00601805" w:rsidRDefault="00A2180B" w14:paraId="6321A23A" w14:textId="77777777">
            <w:pPr>
              <w:tabs>
                <w:tab w:val="center" w:pos="284"/>
              </w:tabs>
              <w:suppressAutoHyphens/>
              <w:overflowPunct w:val="0"/>
              <w:autoSpaceDE w:val="0"/>
              <w:autoSpaceDN w:val="0"/>
              <w:adjustRightInd w:val="0"/>
              <w:rPr>
                <w:b/>
              </w:rPr>
            </w:pPr>
            <w:r w:rsidRPr="00073C8F">
              <w:rPr>
                <w:b/>
              </w:rPr>
              <w:t>Dokumenty</w:t>
            </w:r>
          </w:p>
        </w:tc>
        <w:tc>
          <w:tcPr>
            <w:tcW w:w="3598" w:type="pct"/>
            <w:hideMark/>
          </w:tcPr>
          <w:p w:rsidRPr="00073C8F" w:rsidR="00A2180B" w:rsidP="00601805" w:rsidRDefault="00A2180B" w14:paraId="1C597B9D" w14:textId="77777777">
            <w:pPr>
              <w:tabs>
                <w:tab w:val="center" w:pos="284"/>
              </w:tabs>
              <w:suppressAutoHyphens/>
              <w:overflowPunct w:val="0"/>
              <w:autoSpaceDE w:val="0"/>
              <w:autoSpaceDN w:val="0"/>
              <w:adjustRightInd w:val="0"/>
            </w:pPr>
            <w:r w:rsidRPr="00073C8F">
              <w:t>EESC-2024-02156-00-00-RE</w:t>
            </w:r>
          </w:p>
        </w:tc>
      </w:tr>
    </w:tbl>
    <w:p w:rsidRPr="00073C8F" w:rsidR="00A2180B" w:rsidP="00241CB3" w:rsidRDefault="00A2180B" w14:paraId="32A38D3C" w14:textId="77777777">
      <w:pPr>
        <w:tabs>
          <w:tab w:val="center" w:pos="284"/>
        </w:tabs>
        <w:suppressAutoHyphens/>
        <w:overflowPunct w:val="0"/>
        <w:autoSpaceDE w:val="0"/>
        <w:autoSpaceDN w:val="0"/>
        <w:adjustRightInd w:val="0"/>
        <w:ind w:left="266" w:hanging="266"/>
      </w:pPr>
    </w:p>
    <w:p w:rsidRPr="00073C8F" w:rsidR="00A2180B" w:rsidP="00241CB3" w:rsidRDefault="00A2180B" w14:paraId="476E0BD7" w14:textId="77777777">
      <w:pPr>
        <w:tabs>
          <w:tab w:val="center" w:pos="284"/>
        </w:tabs>
        <w:suppressAutoHyphens/>
        <w:overflowPunct w:val="0"/>
        <w:autoSpaceDE w:val="0"/>
        <w:autoSpaceDN w:val="0"/>
        <w:adjustRightInd w:val="0"/>
        <w:ind w:left="266" w:hanging="266"/>
        <w:rPr>
          <w:b/>
        </w:rPr>
      </w:pPr>
      <w:r w:rsidRPr="00073C8F">
        <w:rPr>
          <w:b/>
        </w:rPr>
        <w:t>Główne punkty</w:t>
      </w:r>
    </w:p>
    <w:p w:rsidRPr="00073C8F" w:rsidR="00A2180B" w:rsidP="00241CB3" w:rsidRDefault="00A2180B" w14:paraId="63C91729" w14:textId="77777777">
      <w:pPr>
        <w:tabs>
          <w:tab w:val="center" w:pos="284"/>
        </w:tabs>
        <w:suppressAutoHyphens/>
        <w:overflowPunct w:val="0"/>
        <w:autoSpaceDE w:val="0"/>
        <w:autoSpaceDN w:val="0"/>
        <w:adjustRightInd w:val="0"/>
        <w:ind w:left="266" w:hanging="266"/>
        <w:rPr>
          <w:b/>
        </w:rPr>
      </w:pPr>
    </w:p>
    <w:p w:rsidR="00A2180B" w:rsidP="00241CB3" w:rsidRDefault="00A2180B" w14:paraId="348A7ADA" w14:textId="2998B3DA">
      <w:pPr>
        <w:suppressAutoHyphens/>
        <w:overflowPunct w:val="0"/>
        <w:autoSpaceDE w:val="0"/>
        <w:autoSpaceDN w:val="0"/>
        <w:adjustRightInd w:val="0"/>
      </w:pPr>
      <w:r w:rsidRPr="00073C8F">
        <w:t>EKES:</w:t>
      </w:r>
    </w:p>
    <w:p w:rsidRPr="00073C8F" w:rsidR="00601805" w:rsidP="00241CB3" w:rsidRDefault="00601805" w14:paraId="6238734E" w14:textId="77777777">
      <w:pPr>
        <w:suppressAutoHyphens/>
        <w:overflowPunct w:val="0"/>
        <w:autoSpaceDE w:val="0"/>
        <w:autoSpaceDN w:val="0"/>
        <w:adjustRightInd w:val="0"/>
        <w:rPr>
          <w:bCs/>
          <w:iCs/>
        </w:rPr>
      </w:pPr>
    </w:p>
    <w:p w:rsidRPr="00073C8F" w:rsidR="00A2180B" w:rsidP="00596171" w:rsidRDefault="00A2180B" w14:paraId="3F8BA128" w14:textId="5726B496">
      <w:pPr>
        <w:numPr>
          <w:ilvl w:val="0"/>
          <w:numId w:val="28"/>
        </w:numPr>
        <w:suppressAutoHyphens/>
        <w:overflowPunct w:val="0"/>
        <w:autoSpaceDE w:val="0"/>
        <w:autoSpaceDN w:val="0"/>
        <w:adjustRightInd w:val="0"/>
        <w:ind w:left="567" w:hanging="567"/>
        <w:textAlignment w:val="baseline"/>
        <w:rPr>
          <w:bCs/>
          <w:iCs/>
        </w:rPr>
      </w:pPr>
      <w:r w:rsidRPr="00073C8F">
        <w:t>Zaleca wzmocnienie mechanizmów egzekwowania przepisów na szczeblu UE z myślą o</w:t>
      </w:r>
      <w:r w:rsidR="00E421E9">
        <w:t> </w:t>
      </w:r>
      <w:r w:rsidRPr="00073C8F">
        <w:t>większej pewności prawa, równych warunkach działania w całej UE oraz silniejszej ochronie, szczególnie słabszych podmiotów w łańcuchu dostaw.</w:t>
      </w:r>
    </w:p>
    <w:p w:rsidRPr="00073C8F" w:rsidR="00A2180B" w:rsidP="00596171" w:rsidRDefault="00A2180B" w14:paraId="6AB255E4" w14:textId="77777777">
      <w:pPr>
        <w:numPr>
          <w:ilvl w:val="0"/>
          <w:numId w:val="28"/>
        </w:numPr>
        <w:suppressAutoHyphens/>
        <w:overflowPunct w:val="0"/>
        <w:autoSpaceDE w:val="0"/>
        <w:autoSpaceDN w:val="0"/>
        <w:adjustRightInd w:val="0"/>
        <w:ind w:left="567" w:hanging="567"/>
        <w:textAlignment w:val="baseline"/>
        <w:rPr>
          <w:bCs/>
          <w:iCs/>
        </w:rPr>
      </w:pPr>
      <w:r w:rsidRPr="00073C8F">
        <w:t>Wnosi, by dążyć do ujednolicenia dyrektywy, tak aby była ona dostosowana do jednolitego rynku.</w:t>
      </w:r>
    </w:p>
    <w:p w:rsidRPr="00073C8F" w:rsidR="00A2180B" w:rsidP="00596171" w:rsidRDefault="00A2180B" w14:paraId="56960E47" w14:textId="77777777">
      <w:pPr>
        <w:numPr>
          <w:ilvl w:val="0"/>
          <w:numId w:val="28"/>
        </w:numPr>
        <w:suppressAutoHyphens/>
        <w:overflowPunct w:val="0"/>
        <w:autoSpaceDE w:val="0"/>
        <w:autoSpaceDN w:val="0"/>
        <w:adjustRightInd w:val="0"/>
        <w:ind w:left="567" w:hanging="567"/>
        <w:textAlignment w:val="baseline"/>
        <w:rPr>
          <w:bCs/>
          <w:iCs/>
        </w:rPr>
      </w:pPr>
      <w:r w:rsidRPr="00073C8F">
        <w:t>Sugeruje, by zapewnić podział kosztów zrównoważonego rozwoju między wszystkie zainteresowane strony, w tym konsumentów, w celu stworzenia bardziej sprawiedliwego systemu i wspierania wysiłków na rzecz większej przejrzystości cen.</w:t>
      </w:r>
    </w:p>
    <w:p w:rsidRPr="00073C8F" w:rsidR="00A2180B" w:rsidP="00596171" w:rsidRDefault="00A2180B" w14:paraId="55AE9CB3" w14:textId="52A2C3C5">
      <w:pPr>
        <w:numPr>
          <w:ilvl w:val="0"/>
          <w:numId w:val="28"/>
        </w:numPr>
        <w:suppressAutoHyphens/>
        <w:overflowPunct w:val="0"/>
        <w:autoSpaceDE w:val="0"/>
        <w:autoSpaceDN w:val="0"/>
        <w:adjustRightInd w:val="0"/>
        <w:ind w:left="567" w:hanging="567"/>
        <w:textAlignment w:val="baseline"/>
        <w:rPr>
          <w:bCs/>
          <w:iCs/>
        </w:rPr>
      </w:pPr>
      <w:r w:rsidRPr="00073C8F">
        <w:t>Proponuje, by zająć się wyzwaniami takimi jak zmienność cen, sezonowe niedobory i</w:t>
      </w:r>
      <w:r w:rsidR="00E421E9">
        <w:t> </w:t>
      </w:r>
      <w:r w:rsidRPr="00073C8F">
        <w:t>obciążenia administracyjne poprzez lepsze zarządzanie ryzykiem i większe wsparcie dla producentów oraz rozszerzenie ochrony producentów, w tym surowsze zakazy dotyczące opłat logistycznych, nieujawnionych rabatów i premii sprzedażowych.</w:t>
      </w:r>
    </w:p>
    <w:p w:rsidRPr="00073C8F" w:rsidR="00A2180B" w:rsidP="00596171" w:rsidRDefault="00A2180B" w14:paraId="26BE4FE0" w14:textId="77777777">
      <w:pPr>
        <w:numPr>
          <w:ilvl w:val="0"/>
          <w:numId w:val="28"/>
        </w:numPr>
        <w:suppressAutoHyphens/>
        <w:overflowPunct w:val="0"/>
        <w:autoSpaceDE w:val="0"/>
        <w:autoSpaceDN w:val="0"/>
        <w:adjustRightInd w:val="0"/>
        <w:ind w:left="567" w:hanging="567"/>
        <w:textAlignment w:val="baseline"/>
        <w:rPr>
          <w:bCs/>
          <w:iCs/>
        </w:rPr>
      </w:pPr>
      <w:r w:rsidRPr="00073C8F">
        <w:t>Sugeruje wzmocnienie środków mających na celu ochronę małych gospodarstw oraz wdrożenie odpowiednich kar za naruszenia, aby zapewnić odstraszający efekt dyrektywy i zwiększyć zgodność.</w:t>
      </w:r>
    </w:p>
    <w:p w:rsidRPr="00073C8F" w:rsidR="00A2180B" w:rsidP="00596171" w:rsidRDefault="00A2180B" w14:paraId="6E0B1DD6" w14:textId="77777777">
      <w:pPr>
        <w:numPr>
          <w:ilvl w:val="0"/>
          <w:numId w:val="28"/>
        </w:numPr>
        <w:suppressAutoHyphens/>
        <w:overflowPunct w:val="0"/>
        <w:autoSpaceDE w:val="0"/>
        <w:autoSpaceDN w:val="0"/>
        <w:adjustRightInd w:val="0"/>
        <w:ind w:left="567" w:hanging="567"/>
        <w:textAlignment w:val="baseline"/>
        <w:rPr>
          <w:bCs/>
          <w:iCs/>
        </w:rPr>
      </w:pPr>
      <w:r w:rsidRPr="00073C8F">
        <w:t xml:space="preserve">Zaleca poprawę kampanii informacyjnych, tak aby zainteresowane strony były świadome swoich praw i obowiązków, procedur ochrony i sposobu działania organów. </w:t>
      </w:r>
    </w:p>
    <w:p w:rsidRPr="00073C8F" w:rsidR="00A2180B" w:rsidP="00596171" w:rsidRDefault="00A2180B" w14:paraId="3B84964D" w14:textId="77777777">
      <w:pPr>
        <w:numPr>
          <w:ilvl w:val="0"/>
          <w:numId w:val="28"/>
        </w:numPr>
        <w:suppressAutoHyphens/>
        <w:overflowPunct w:val="0"/>
        <w:autoSpaceDE w:val="0"/>
        <w:autoSpaceDN w:val="0"/>
        <w:adjustRightInd w:val="0"/>
        <w:ind w:left="567" w:hanging="567"/>
        <w:textAlignment w:val="baseline"/>
        <w:rPr>
          <w:bCs/>
          <w:iCs/>
        </w:rPr>
      </w:pPr>
      <w:r w:rsidRPr="00073C8F">
        <w:t>Sugeruje utworzenie ogólnounijnego portalu służącego zgłaszaniu nieuczciwych praktyk handlowych, aby rozwiać obawy przed odwetem i usprawnić mechanizmy składania skarg. Ponadto proponuje utworzenie forów na szczeblu krajowym i unijnym w celu wspierania dialogu i współpracy między zainteresowanymi stronami w łańcuchu dostaw żywności. Uznaje, że ustanowienie Europejskiej Rady ds. Rolnictwa i Żywności w ramach działań następczych związanych z otwartym dialogiem zainicjowanym w kontekście strategicznego dialogu na temat przyszłości rolnictwa UE jest znaczącym krokiem naprzód.</w:t>
      </w:r>
    </w:p>
    <w:p w:rsidRPr="00073C8F" w:rsidR="00A2180B" w:rsidP="00596171" w:rsidRDefault="00A2180B" w14:paraId="6886CFAD" w14:textId="53386EC4">
      <w:pPr>
        <w:numPr>
          <w:ilvl w:val="0"/>
          <w:numId w:val="28"/>
        </w:numPr>
        <w:suppressAutoHyphens/>
        <w:overflowPunct w:val="0"/>
        <w:autoSpaceDE w:val="0"/>
        <w:autoSpaceDN w:val="0"/>
        <w:adjustRightInd w:val="0"/>
        <w:ind w:left="567" w:hanging="567"/>
        <w:textAlignment w:val="baseline"/>
        <w:rPr>
          <w:bCs/>
          <w:iCs/>
        </w:rPr>
      </w:pPr>
      <w:r w:rsidRPr="00073C8F">
        <w:lastRenderedPageBreak/>
        <w:t>Zachęca Komisję do przedstawienia projektu przeglądu rozporządzenia w sprawie informacji o</w:t>
      </w:r>
      <w:r w:rsidR="00E421E9">
        <w:t> </w:t>
      </w:r>
      <w:r w:rsidRPr="00073C8F">
        <w:t>żywności w celu poprawy informowania na temat pochodzenia produktów, aby zwiększyć ich identyfikowalność.</w:t>
      </w:r>
    </w:p>
    <w:p w:rsidRPr="00073C8F" w:rsidR="00A2180B" w:rsidP="00596171" w:rsidRDefault="00A2180B" w14:paraId="01865399" w14:textId="77777777">
      <w:pPr>
        <w:numPr>
          <w:ilvl w:val="0"/>
          <w:numId w:val="28"/>
        </w:numPr>
        <w:suppressAutoHyphens/>
        <w:overflowPunct w:val="0"/>
        <w:autoSpaceDE w:val="0"/>
        <w:autoSpaceDN w:val="0"/>
        <w:adjustRightInd w:val="0"/>
        <w:ind w:left="567" w:hanging="567"/>
        <w:textAlignment w:val="baseline"/>
        <w:rPr>
          <w:bCs/>
          <w:iCs/>
        </w:rPr>
      </w:pPr>
      <w:r w:rsidRPr="00073C8F">
        <w:t>Zaleca przeanalizowanie zakresu dyrektywy, aby rozwiązać problem dysproporcji sił, zwiększyć efektywność w całym łańcuchu dostaw i zapewnić sprawiedliwość, w tym odpowiedni podział ryzyka i zysków, w relacjach z dostawcami, a także poprawić przestrzeganie zakazu dotyczącego niektórych praktyk w celu skutecznego chronienia wszystkich uczestników rynku.</w:t>
      </w:r>
    </w:p>
    <w:p w:rsidRPr="00073C8F" w:rsidR="00A2180B" w:rsidP="00241CB3" w:rsidRDefault="00A2180B" w14:paraId="1941C237" w14:textId="77777777">
      <w:pPr>
        <w:suppressAutoHyphens/>
        <w:overflowPunct w:val="0"/>
        <w:autoSpaceDE w:val="0"/>
        <w:autoSpaceDN w:val="0"/>
        <w:adjustRightInd w:val="0"/>
        <w:ind w:left="709"/>
        <w:rPr>
          <w:bCs/>
          <w:iCs/>
        </w:rPr>
      </w:pPr>
    </w:p>
    <w:tbl>
      <w:tblPr>
        <w:tblW w:w="3516" w:type="pct"/>
        <w:tblLook w:val="04A0" w:firstRow="1" w:lastRow="0" w:firstColumn="1" w:lastColumn="0" w:noHBand="0" w:noVBand="1"/>
      </w:tblPr>
      <w:tblGrid>
        <w:gridCol w:w="2033"/>
        <w:gridCol w:w="4499"/>
      </w:tblGrid>
      <w:tr w:rsidRPr="00073C8F" w:rsidR="00A2180B" w:rsidTr="00A2180B" w14:paraId="5197A83A" w14:textId="77777777">
        <w:tc>
          <w:tcPr>
            <w:tcW w:w="1556" w:type="pct"/>
            <w:hideMark/>
          </w:tcPr>
          <w:p w:rsidRPr="00073C8F" w:rsidR="00A2180B" w:rsidP="00241CB3" w:rsidRDefault="00A2180B" w14:paraId="0AC48337" w14:textId="77777777">
            <w:pPr>
              <w:suppressAutoHyphens/>
              <w:overflowPunct w:val="0"/>
              <w:autoSpaceDE w:val="0"/>
              <w:autoSpaceDN w:val="0"/>
              <w:adjustRightInd w:val="0"/>
              <w:rPr>
                <w:i/>
              </w:rPr>
            </w:pPr>
            <w:r w:rsidRPr="00073C8F">
              <w:rPr>
                <w:b/>
                <w:i/>
              </w:rPr>
              <w:t>Kontakt</w:t>
            </w:r>
          </w:p>
        </w:tc>
        <w:tc>
          <w:tcPr>
            <w:tcW w:w="3444" w:type="pct"/>
            <w:hideMark/>
          </w:tcPr>
          <w:p w:rsidRPr="00073C8F" w:rsidR="00A2180B" w:rsidP="00241CB3" w:rsidRDefault="00A2180B" w14:paraId="2FEA7BAF" w14:textId="3B1D38E3">
            <w:pPr>
              <w:suppressAutoHyphens/>
              <w:overflowPunct w:val="0"/>
              <w:autoSpaceDE w:val="0"/>
              <w:autoSpaceDN w:val="0"/>
              <w:adjustRightInd w:val="0"/>
              <w:rPr>
                <w:i/>
              </w:rPr>
            </w:pPr>
            <w:r w:rsidRPr="00073C8F">
              <w:rPr>
                <w:i/>
              </w:rPr>
              <w:t>Myrto Kolyva</w:t>
            </w:r>
          </w:p>
        </w:tc>
      </w:tr>
      <w:tr w:rsidRPr="00073C8F" w:rsidR="00A2180B" w:rsidTr="00A2180B" w14:paraId="72B6C8BC" w14:textId="77777777">
        <w:tc>
          <w:tcPr>
            <w:tcW w:w="1556" w:type="pct"/>
            <w:hideMark/>
          </w:tcPr>
          <w:p w:rsidRPr="00073C8F" w:rsidR="00A2180B" w:rsidP="00241CB3" w:rsidRDefault="00A2180B" w14:paraId="421D8B61" w14:textId="77777777">
            <w:pPr>
              <w:suppressAutoHyphens/>
              <w:overflowPunct w:val="0"/>
              <w:autoSpaceDE w:val="0"/>
              <w:autoSpaceDN w:val="0"/>
              <w:adjustRightInd w:val="0"/>
              <w:rPr>
                <w:i/>
              </w:rPr>
            </w:pPr>
            <w:r w:rsidRPr="00073C8F">
              <w:rPr>
                <w:i/>
              </w:rPr>
              <w:t>tel.</w:t>
            </w:r>
          </w:p>
        </w:tc>
        <w:tc>
          <w:tcPr>
            <w:tcW w:w="3444" w:type="pct"/>
            <w:hideMark/>
          </w:tcPr>
          <w:p w:rsidRPr="00073C8F" w:rsidR="00A2180B" w:rsidP="00241CB3" w:rsidRDefault="00A2180B" w14:paraId="0278E35B" w14:textId="77777777">
            <w:pPr>
              <w:suppressAutoHyphens/>
              <w:overflowPunct w:val="0"/>
              <w:autoSpaceDE w:val="0"/>
              <w:autoSpaceDN w:val="0"/>
              <w:adjustRightInd w:val="0"/>
              <w:rPr>
                <w:i/>
              </w:rPr>
            </w:pPr>
            <w:r w:rsidRPr="00073C8F">
              <w:rPr>
                <w:i/>
              </w:rPr>
              <w:t>+32 25468718</w:t>
            </w:r>
          </w:p>
        </w:tc>
      </w:tr>
      <w:tr w:rsidRPr="00073C8F" w:rsidR="00A2180B" w:rsidTr="00A2180B" w14:paraId="689E9277" w14:textId="77777777">
        <w:tc>
          <w:tcPr>
            <w:tcW w:w="1556" w:type="pct"/>
            <w:hideMark/>
          </w:tcPr>
          <w:p w:rsidRPr="00073C8F" w:rsidR="00A2180B" w:rsidP="00241CB3" w:rsidRDefault="003247AA" w14:paraId="693FDAB8" w14:textId="24FBEA83">
            <w:pPr>
              <w:suppressAutoHyphens/>
              <w:overflowPunct w:val="0"/>
              <w:autoSpaceDE w:val="0"/>
              <w:autoSpaceDN w:val="0"/>
              <w:adjustRightInd w:val="0"/>
              <w:rPr>
                <w:i/>
              </w:rPr>
            </w:pPr>
            <w:r w:rsidRPr="00073C8F">
              <w:rPr>
                <w:i/>
              </w:rPr>
              <w:t>e-mail</w:t>
            </w:r>
          </w:p>
        </w:tc>
        <w:tc>
          <w:tcPr>
            <w:tcW w:w="3444" w:type="pct"/>
            <w:hideMark/>
          </w:tcPr>
          <w:p w:rsidRPr="00073C8F" w:rsidR="00A2180B" w:rsidP="00241CB3" w:rsidRDefault="00A46594" w14:paraId="51B6B084" w14:textId="77777777">
            <w:pPr>
              <w:suppressAutoHyphens/>
              <w:overflowPunct w:val="0"/>
              <w:autoSpaceDE w:val="0"/>
              <w:autoSpaceDN w:val="0"/>
              <w:adjustRightInd w:val="0"/>
              <w:rPr>
                <w:i/>
              </w:rPr>
            </w:pPr>
            <w:hyperlink w:history="1" r:id="rId39">
              <w:r w:rsidRPr="00073C8F" w:rsidR="0081023C">
                <w:rPr>
                  <w:i/>
                  <w:color w:val="0000FF"/>
                  <w:u w:val="single"/>
                </w:rPr>
                <w:t>Myrto.Kolyva@eesc.europa.eu</w:t>
              </w:r>
            </w:hyperlink>
            <w:r w:rsidRPr="00073C8F" w:rsidR="0081023C">
              <w:rPr>
                <w:color w:val="0000FF"/>
                <w:u w:val="single"/>
              </w:rPr>
              <w:t xml:space="preserve"> </w:t>
            </w:r>
          </w:p>
        </w:tc>
      </w:tr>
    </w:tbl>
    <w:p w:rsidRPr="00073C8F" w:rsidR="00A2180B" w:rsidP="00241CB3" w:rsidRDefault="00A2180B" w14:paraId="751B5A19" w14:textId="77777777">
      <w:pPr>
        <w:suppressAutoHyphens/>
        <w:jc w:val="left"/>
      </w:pPr>
      <w:r w:rsidRPr="00073C8F">
        <w:br w:type="page"/>
      </w:r>
    </w:p>
    <w:p w:rsidRPr="00073C8F" w:rsidR="00A62505" w:rsidP="00241CB3" w:rsidRDefault="00A46594" w14:paraId="05D9433E" w14:textId="6F606440">
      <w:pPr>
        <w:numPr>
          <w:ilvl w:val="0"/>
          <w:numId w:val="4"/>
        </w:numPr>
        <w:suppressAutoHyphens/>
        <w:overflowPunct w:val="0"/>
        <w:autoSpaceDE w:val="0"/>
        <w:autoSpaceDN w:val="0"/>
        <w:adjustRightInd w:val="0"/>
        <w:ind w:hanging="567"/>
        <w:textAlignment w:val="baseline"/>
        <w:rPr>
          <w:sz w:val="28"/>
          <w:szCs w:val="28"/>
        </w:rPr>
      </w:pPr>
      <w:hyperlink w:history="1" r:id="rId40">
        <w:r w:rsidRPr="00073C8F" w:rsidR="0081023C">
          <w:rPr>
            <w:b/>
            <w:i/>
            <w:color w:val="0000FF"/>
            <w:sz w:val="28"/>
            <w:szCs w:val="28"/>
            <w:u w:val="single"/>
          </w:rPr>
          <w:t>Zalecenia społeczeństwa obywatelskiego dotyczące europejskiego paktu na rzecz oceanów</w:t>
        </w:r>
      </w:hyperlink>
    </w:p>
    <w:p w:rsidRPr="00073C8F" w:rsidR="00A41475" w:rsidP="00241CB3" w:rsidRDefault="00A41475" w14:paraId="0DD15A05" w14:textId="77777777">
      <w:pPr>
        <w:tabs>
          <w:tab w:val="center" w:pos="284"/>
        </w:tabs>
        <w:suppressAutoHyphens/>
        <w:overflowPunct w:val="0"/>
        <w:autoSpaceDE w:val="0"/>
        <w:autoSpaceDN w:val="0"/>
        <w:adjustRightInd w:val="0"/>
        <w:ind w:left="266" w:hanging="266"/>
        <w:textAlignment w:val="baseline"/>
        <w:rPr>
          <w:b/>
        </w:rPr>
      </w:pPr>
    </w:p>
    <w:tbl>
      <w:tblPr>
        <w:tblW w:w="5000" w:type="pct"/>
        <w:tblLook w:val="04A0" w:firstRow="1" w:lastRow="0" w:firstColumn="1" w:lastColumn="0" w:noHBand="0" w:noVBand="1"/>
      </w:tblPr>
      <w:tblGrid>
        <w:gridCol w:w="1834"/>
        <w:gridCol w:w="7455"/>
      </w:tblGrid>
      <w:tr w:rsidRPr="00073C8F" w:rsidR="00A62505" w:rsidTr="00601805" w14:paraId="455C30CE" w14:textId="77777777">
        <w:trPr>
          <w:trHeight w:val="527"/>
        </w:trPr>
        <w:tc>
          <w:tcPr>
            <w:tcW w:w="987" w:type="pct"/>
          </w:tcPr>
          <w:p w:rsidRPr="00073C8F" w:rsidR="00A62505" w:rsidP="00601805" w:rsidRDefault="00A62505" w14:paraId="333D567B" w14:textId="77777777">
            <w:pPr>
              <w:tabs>
                <w:tab w:val="center" w:pos="284"/>
              </w:tabs>
              <w:suppressAutoHyphens/>
              <w:overflowPunct w:val="0"/>
              <w:autoSpaceDE w:val="0"/>
              <w:autoSpaceDN w:val="0"/>
              <w:adjustRightInd w:val="0"/>
              <w:textAlignment w:val="baseline"/>
              <w:rPr>
                <w:b/>
              </w:rPr>
            </w:pPr>
            <w:r w:rsidRPr="00073C8F">
              <w:rPr>
                <w:b/>
              </w:rPr>
              <w:t>Sprawozdawca</w:t>
            </w:r>
          </w:p>
        </w:tc>
        <w:tc>
          <w:tcPr>
            <w:tcW w:w="4013" w:type="pct"/>
          </w:tcPr>
          <w:p w:rsidRPr="00073C8F" w:rsidR="00A62505" w:rsidP="00601805" w:rsidRDefault="00A62505" w14:paraId="532B760A" w14:textId="77777777">
            <w:pPr>
              <w:tabs>
                <w:tab w:val="center" w:pos="284"/>
              </w:tabs>
              <w:suppressAutoHyphens/>
              <w:overflowPunct w:val="0"/>
              <w:autoSpaceDE w:val="0"/>
              <w:autoSpaceDN w:val="0"/>
              <w:adjustRightInd w:val="0"/>
              <w:textAlignment w:val="baseline"/>
            </w:pPr>
            <w:r w:rsidRPr="00601805">
              <w:rPr>
                <w:bCs/>
              </w:rPr>
              <w:t>Javier GARAT PÉREZ</w:t>
            </w:r>
            <w:r w:rsidRPr="00073C8F">
              <w:rPr>
                <w:b/>
              </w:rPr>
              <w:t xml:space="preserve"> </w:t>
            </w:r>
            <w:r w:rsidRPr="00073C8F">
              <w:t>(Grupa Organizacji Społeczeństwa Obywatelskiego – ES)</w:t>
            </w:r>
          </w:p>
        </w:tc>
      </w:tr>
      <w:tr w:rsidRPr="00073C8F" w:rsidR="00A62505" w:rsidTr="00601805" w14:paraId="7B83F6EA" w14:textId="77777777">
        <w:trPr>
          <w:trHeight w:val="527"/>
        </w:trPr>
        <w:tc>
          <w:tcPr>
            <w:tcW w:w="987" w:type="pct"/>
          </w:tcPr>
          <w:p w:rsidRPr="00073C8F" w:rsidR="00A62505" w:rsidP="00601805" w:rsidRDefault="00A62505" w14:paraId="7CC91A23" w14:textId="77777777">
            <w:pPr>
              <w:tabs>
                <w:tab w:val="center" w:pos="284"/>
              </w:tabs>
              <w:suppressAutoHyphens/>
              <w:overflowPunct w:val="0"/>
              <w:autoSpaceDE w:val="0"/>
              <w:autoSpaceDN w:val="0"/>
              <w:adjustRightInd w:val="0"/>
              <w:textAlignment w:val="baseline"/>
              <w:rPr>
                <w:b/>
              </w:rPr>
            </w:pPr>
            <w:r w:rsidRPr="00073C8F">
              <w:rPr>
                <w:b/>
              </w:rPr>
              <w:t>Dokumenty</w:t>
            </w:r>
          </w:p>
        </w:tc>
        <w:tc>
          <w:tcPr>
            <w:tcW w:w="4013" w:type="pct"/>
          </w:tcPr>
          <w:p w:rsidRPr="00073C8F" w:rsidR="00533EFC" w:rsidP="00601805" w:rsidRDefault="00533EFC" w14:paraId="4429C020" w14:textId="305B9E1E">
            <w:pPr>
              <w:tabs>
                <w:tab w:val="center" w:pos="284"/>
              </w:tabs>
              <w:suppressAutoHyphens/>
              <w:overflowPunct w:val="0"/>
              <w:autoSpaceDE w:val="0"/>
              <w:autoSpaceDN w:val="0"/>
              <w:adjustRightInd w:val="0"/>
              <w:textAlignment w:val="baseline"/>
            </w:pPr>
            <w:r w:rsidRPr="00073C8F">
              <w:t>Opinia rozpoznawcza na wniosek Komisji Europejskiej</w:t>
            </w:r>
          </w:p>
          <w:p w:rsidRPr="00073C8F" w:rsidR="00A41475" w:rsidP="00601805" w:rsidRDefault="00A62505" w14:paraId="49FC9F9C" w14:textId="42BCFB29">
            <w:pPr>
              <w:tabs>
                <w:tab w:val="center" w:pos="284"/>
              </w:tabs>
              <w:suppressAutoHyphens/>
              <w:overflowPunct w:val="0"/>
              <w:autoSpaceDE w:val="0"/>
              <w:autoSpaceDN w:val="0"/>
              <w:adjustRightInd w:val="0"/>
              <w:textAlignment w:val="baseline"/>
            </w:pPr>
            <w:r w:rsidRPr="00073C8F">
              <w:t>EESC-2024-04595-00-00-AC</w:t>
            </w:r>
          </w:p>
        </w:tc>
      </w:tr>
    </w:tbl>
    <w:p w:rsidRPr="00073C8F" w:rsidR="008220A8" w:rsidP="00241CB3" w:rsidRDefault="008220A8" w14:paraId="73A434C4" w14:textId="77777777">
      <w:pPr>
        <w:tabs>
          <w:tab w:val="center" w:pos="284"/>
        </w:tabs>
        <w:suppressAutoHyphens/>
        <w:overflowPunct w:val="0"/>
        <w:autoSpaceDE w:val="0"/>
        <w:autoSpaceDN w:val="0"/>
        <w:adjustRightInd w:val="0"/>
        <w:ind w:left="266" w:hanging="266"/>
        <w:textAlignment w:val="baseline"/>
        <w:rPr>
          <w:b/>
        </w:rPr>
      </w:pPr>
    </w:p>
    <w:p w:rsidRPr="00073C8F" w:rsidR="00A62505" w:rsidP="00241CB3" w:rsidRDefault="00A62505" w14:paraId="10A467A5" w14:textId="66FC2F01">
      <w:pPr>
        <w:tabs>
          <w:tab w:val="center" w:pos="284"/>
        </w:tabs>
        <w:suppressAutoHyphens/>
        <w:overflowPunct w:val="0"/>
        <w:autoSpaceDE w:val="0"/>
        <w:autoSpaceDN w:val="0"/>
        <w:adjustRightInd w:val="0"/>
        <w:ind w:left="266" w:hanging="266"/>
        <w:textAlignment w:val="baseline"/>
        <w:rPr>
          <w:b/>
        </w:rPr>
      </w:pPr>
      <w:r w:rsidRPr="00073C8F">
        <w:rPr>
          <w:b/>
        </w:rPr>
        <w:t>Główne punkty</w:t>
      </w:r>
    </w:p>
    <w:p w:rsidRPr="00073C8F" w:rsidR="00A62505" w:rsidP="00241CB3" w:rsidRDefault="00A62505" w14:paraId="0E28E981" w14:textId="77777777">
      <w:pPr>
        <w:tabs>
          <w:tab w:val="center" w:pos="284"/>
        </w:tabs>
        <w:suppressAutoHyphens/>
        <w:overflowPunct w:val="0"/>
        <w:autoSpaceDE w:val="0"/>
        <w:autoSpaceDN w:val="0"/>
        <w:adjustRightInd w:val="0"/>
        <w:ind w:left="266" w:hanging="266"/>
        <w:textAlignment w:val="baseline"/>
        <w:rPr>
          <w:b/>
        </w:rPr>
      </w:pPr>
    </w:p>
    <w:p w:rsidR="00A62505" w:rsidP="00241CB3" w:rsidRDefault="00A62505" w14:paraId="5292B50E" w14:textId="1DF710F7">
      <w:pPr>
        <w:suppressAutoHyphens/>
        <w:overflowPunct w:val="0"/>
        <w:autoSpaceDE w:val="0"/>
        <w:autoSpaceDN w:val="0"/>
        <w:adjustRightInd w:val="0"/>
        <w:textAlignment w:val="baseline"/>
      </w:pPr>
      <w:r w:rsidRPr="00073C8F">
        <w:t>EKES:</w:t>
      </w:r>
    </w:p>
    <w:p w:rsidRPr="00073C8F" w:rsidR="00601805" w:rsidP="00241CB3" w:rsidRDefault="00601805" w14:paraId="2A528483" w14:textId="77777777">
      <w:pPr>
        <w:suppressAutoHyphens/>
        <w:overflowPunct w:val="0"/>
        <w:autoSpaceDE w:val="0"/>
        <w:autoSpaceDN w:val="0"/>
        <w:adjustRightInd w:val="0"/>
        <w:textAlignment w:val="baseline"/>
        <w:rPr>
          <w:bCs/>
          <w:iCs/>
        </w:rPr>
      </w:pPr>
    </w:p>
    <w:p w:rsidRPr="00073C8F" w:rsidR="00A62505" w:rsidP="00596171" w:rsidRDefault="00A62505" w14:paraId="5A357BEB" w14:textId="3C7868E4">
      <w:pPr>
        <w:numPr>
          <w:ilvl w:val="0"/>
          <w:numId w:val="29"/>
        </w:numPr>
        <w:suppressAutoHyphens/>
        <w:overflowPunct w:val="0"/>
        <w:autoSpaceDE w:val="0"/>
        <w:autoSpaceDN w:val="0"/>
        <w:adjustRightInd w:val="0"/>
        <w:ind w:left="567" w:hanging="567"/>
        <w:textAlignment w:val="baseline"/>
        <w:rPr>
          <w:bCs/>
          <w:iCs/>
        </w:rPr>
      </w:pPr>
      <w:r w:rsidRPr="00073C8F">
        <w:t>Wyraża zadowolenie w związku z tym, że europejski pakt na rzecz oceanów jest jednym z</w:t>
      </w:r>
      <w:r w:rsidR="00E421E9">
        <w:t> </w:t>
      </w:r>
      <w:r w:rsidRPr="00073C8F">
        <w:t>priorytetów Komisji w nowej kadencji i wzywa do przyjęcia kompleksowego podejścia łączącego dobrobyt gospodarczy i konkurencyjność z regeneracją środowiska i promowaniem sprawiedliwości społecznej.</w:t>
      </w:r>
    </w:p>
    <w:p w:rsidRPr="00073C8F" w:rsidR="00A62505" w:rsidP="00596171" w:rsidRDefault="00A62505" w14:paraId="50DFDB2F" w14:textId="4072379B">
      <w:pPr>
        <w:numPr>
          <w:ilvl w:val="0"/>
          <w:numId w:val="29"/>
        </w:numPr>
        <w:suppressAutoHyphens/>
        <w:overflowPunct w:val="0"/>
        <w:autoSpaceDE w:val="0"/>
        <w:autoSpaceDN w:val="0"/>
        <w:adjustRightInd w:val="0"/>
        <w:ind w:left="567" w:hanging="567"/>
        <w:textAlignment w:val="baseline"/>
        <w:rPr>
          <w:bCs/>
          <w:iCs/>
        </w:rPr>
      </w:pPr>
      <w:r w:rsidRPr="00073C8F">
        <w:t>Zaleca ścisłe powiązanie paktu ze strategią UE na rzecz niebieskiej gospodarki, celami zrównoważonego rozwoju i Europejskim Zielonym Ładem. Pakt powinien koncentrować się zarówno na przemyśle morskim, jak i lądowym. Powinien być także dostosowany do innych polityk UE, w szczególności do Paktu dla czystego przemysłu i strategii na rzecz przemysłu morskiego oraz dyrektywy ramowej w sprawie strategii morskiej, aby zapewnić spójność i</w:t>
      </w:r>
      <w:r w:rsidR="00E421E9">
        <w:t> </w:t>
      </w:r>
      <w:r w:rsidRPr="00073C8F">
        <w:t xml:space="preserve">znaczący wpływ. Uważa również, że bardzo ważne jest ulepszenie strategii UE w zakresie bezpieczeństwa morskiego i ocenienie istniejących polityk, takich jak wspólna polityka rybołówstwa. </w:t>
      </w:r>
    </w:p>
    <w:p w:rsidRPr="00073C8F" w:rsidR="00A62505" w:rsidP="00596171" w:rsidRDefault="00A62505" w14:paraId="36E87ABC" w14:textId="77777777">
      <w:pPr>
        <w:numPr>
          <w:ilvl w:val="0"/>
          <w:numId w:val="29"/>
        </w:numPr>
        <w:suppressAutoHyphens/>
        <w:overflowPunct w:val="0"/>
        <w:autoSpaceDE w:val="0"/>
        <w:autoSpaceDN w:val="0"/>
        <w:adjustRightInd w:val="0"/>
        <w:ind w:left="567" w:hanging="567"/>
        <w:textAlignment w:val="baseline"/>
        <w:rPr>
          <w:bCs/>
          <w:iCs/>
        </w:rPr>
      </w:pPr>
      <w:r w:rsidRPr="00073C8F">
        <w:t>Wzywa do wzmocnienia i poprawy europejskiego zarządzania morskiego poprzez skuteczniejszą koordynację istniejących polityk i organów, unikanie rozdrobnienia i powielania działań, zwiększenie wysiłków dyplomatycznych i wspieranie sieci współpracy między społecznościami przybrzeżnymi, sektorami produkcyjnymi i naukowcami. Dlatego zaleca, by we wszystkich instytucjach europejskich utworzyć specjalne grupy robocze, których głównym przedmiotem będą morza i oceany.</w:t>
      </w:r>
    </w:p>
    <w:p w:rsidRPr="00073C8F" w:rsidR="00A62505" w:rsidP="00596171" w:rsidRDefault="00A62505" w14:paraId="0FB93DEA" w14:textId="77777777">
      <w:pPr>
        <w:numPr>
          <w:ilvl w:val="0"/>
          <w:numId w:val="29"/>
        </w:numPr>
        <w:suppressAutoHyphens/>
        <w:overflowPunct w:val="0"/>
        <w:autoSpaceDE w:val="0"/>
        <w:autoSpaceDN w:val="0"/>
        <w:adjustRightInd w:val="0"/>
        <w:ind w:left="567" w:hanging="567"/>
        <w:textAlignment w:val="baseline"/>
      </w:pPr>
      <w:r w:rsidRPr="00073C8F">
        <w:t>Wzywa Komisję do ustanowienia mechanizmu współpracy między europejskimi agencjami posiadającymi kompetencje w dziedzinie oceanów, aby optymalnie gromadzić dane i wiedzę. Nauka jest kluczem do skutecznego zarządzania oceanami.</w:t>
      </w:r>
    </w:p>
    <w:p w:rsidRPr="00073C8F" w:rsidR="00A62505" w:rsidP="00596171" w:rsidRDefault="00A62505" w14:paraId="5088F5A6" w14:textId="77777777">
      <w:pPr>
        <w:numPr>
          <w:ilvl w:val="0"/>
          <w:numId w:val="29"/>
        </w:numPr>
        <w:suppressAutoHyphens/>
        <w:overflowPunct w:val="0"/>
        <w:autoSpaceDE w:val="0"/>
        <w:autoSpaceDN w:val="0"/>
        <w:adjustRightInd w:val="0"/>
        <w:ind w:left="567" w:hanging="567"/>
        <w:textAlignment w:val="baseline"/>
      </w:pPr>
      <w:r w:rsidRPr="00073C8F">
        <w:t>Zaleca, by dokonać przeglądu planowania przestrzennego obszarów morskich w celu ułatwienia synergii i zrównoważenia sprzecznych interesów wynikających z rozwoju nowych gałęzi przemysłu morskiego.</w:t>
      </w:r>
      <w:r w:rsidRPr="00073C8F">
        <w:rPr>
          <w:shd w:val="clear" w:color="auto" w:fill="FFFFFF" w:themeFill="background1"/>
        </w:rPr>
        <w:t xml:space="preserve"> </w:t>
      </w:r>
      <w:r w:rsidRPr="00073C8F">
        <w:t xml:space="preserve">Trzeba propagować koncepcję polegającą na pozytywnym współistnieniu, a także podejście ekosystemowe. </w:t>
      </w:r>
    </w:p>
    <w:p w:rsidRPr="00073C8F" w:rsidR="00A62505" w:rsidP="00596171" w:rsidRDefault="00A62505" w14:paraId="3144D1A0" w14:textId="77777777">
      <w:pPr>
        <w:numPr>
          <w:ilvl w:val="0"/>
          <w:numId w:val="29"/>
        </w:numPr>
        <w:suppressAutoHyphens/>
        <w:overflowPunct w:val="0"/>
        <w:autoSpaceDE w:val="0"/>
        <w:autoSpaceDN w:val="0"/>
        <w:adjustRightInd w:val="0"/>
        <w:ind w:left="567" w:hanging="567"/>
        <w:textAlignment w:val="baseline"/>
      </w:pPr>
      <w:r w:rsidRPr="00073C8F">
        <w:t xml:space="preserve">Apeluje o zawiązanie sojuszu przemysłowego na rzecz łańcuchów wartości niebieskiej gospodarki, który skupiałby wszystkich odpowiednich interesariuszy (przedsiębiorstwa, partnerów społecznych, organizacje badawcze, decydentów i inwestorów itd.). </w:t>
      </w:r>
    </w:p>
    <w:p w:rsidRPr="00073C8F" w:rsidR="00A62505" w:rsidP="00596171" w:rsidRDefault="00A62505" w14:paraId="382AA551" w14:textId="270BB16A">
      <w:pPr>
        <w:numPr>
          <w:ilvl w:val="0"/>
          <w:numId w:val="29"/>
        </w:numPr>
        <w:suppressAutoHyphens/>
        <w:overflowPunct w:val="0"/>
        <w:autoSpaceDE w:val="0"/>
        <w:autoSpaceDN w:val="0"/>
        <w:adjustRightInd w:val="0"/>
        <w:ind w:left="567" w:hanging="567"/>
        <w:textAlignment w:val="baseline"/>
      </w:pPr>
      <w:r w:rsidRPr="00073C8F">
        <w:t>Wzywa do mobilizacji środków finansowych na działania oceaniczne z myślą o osiągnięciu 14.</w:t>
      </w:r>
      <w:r w:rsidR="00E421E9">
        <w:t> </w:t>
      </w:r>
      <w:r w:rsidRPr="00073C8F">
        <w:t xml:space="preserve">celu zrównoważonego rozwoju. W związku z tym konieczne jest zmobilizowanie finansowania publicznego i prywatnego. Zaleca, aby stworzyć specjalne linie budżetowe dla oceanów w ramach funduszy horyzontalnych, takich jak „Horyzont” czy Europejski Fundusz </w:t>
      </w:r>
      <w:r w:rsidRPr="00073C8F">
        <w:lastRenderedPageBreak/>
        <w:t>Społeczny, oraz wzmocnić fundusze sektorowe takie jak Europejski Fundusz Morski, Rybacki i</w:t>
      </w:r>
      <w:r w:rsidR="00E75BDB">
        <w:t> </w:t>
      </w:r>
      <w:r w:rsidRPr="00073C8F">
        <w:t>Akwakultury (EFMRA).</w:t>
      </w:r>
    </w:p>
    <w:p w:rsidRPr="00073C8F" w:rsidR="00A62505" w:rsidP="00596171" w:rsidRDefault="00A62505" w14:paraId="5714E51F" w14:textId="79B16CF4">
      <w:pPr>
        <w:numPr>
          <w:ilvl w:val="0"/>
          <w:numId w:val="29"/>
        </w:numPr>
        <w:suppressAutoHyphens/>
        <w:overflowPunct w:val="0"/>
        <w:autoSpaceDE w:val="0"/>
        <w:autoSpaceDN w:val="0"/>
        <w:adjustRightInd w:val="0"/>
        <w:ind w:left="567" w:hanging="567"/>
        <w:textAlignment w:val="baseline"/>
      </w:pPr>
      <w:r w:rsidRPr="00073C8F">
        <w:t>Wzywa Komisję do uwzględnienia w pakcie wymiaru społecznego, by zapewnić sprawiedliwą i</w:t>
      </w:r>
      <w:r w:rsidR="00E421E9">
        <w:t> </w:t>
      </w:r>
      <w:r w:rsidRPr="00073C8F">
        <w:t>cyfrową transformację w sektorze morskim i kompleksowe wsparcie dla pracowników, a także wspierać wymianę pokoleniową poprzez inicjatywy mające przyciągnąć młodych ludzi, poprawić ochronę pracy i ułatwić przekwalifikowanie i podnoszenia kwalifikacji zawodowych.</w:t>
      </w:r>
    </w:p>
    <w:p w:rsidRPr="00073C8F" w:rsidR="00A62505" w:rsidP="00596171" w:rsidRDefault="00A62505" w14:paraId="57A6C827" w14:textId="54074221">
      <w:pPr>
        <w:numPr>
          <w:ilvl w:val="0"/>
          <w:numId w:val="29"/>
        </w:numPr>
        <w:suppressAutoHyphens/>
        <w:overflowPunct w:val="0"/>
        <w:autoSpaceDE w:val="0"/>
        <w:autoSpaceDN w:val="0"/>
        <w:adjustRightInd w:val="0"/>
        <w:ind w:left="567" w:hanging="567"/>
        <w:textAlignment w:val="baseline"/>
      </w:pPr>
      <w:r w:rsidRPr="00073C8F">
        <w:t>Wzywa do zapewnienia równych warunków działania i utworzenia silnego klastra morskiego z</w:t>
      </w:r>
      <w:r w:rsidR="00E421E9">
        <w:t> </w:t>
      </w:r>
      <w:r w:rsidRPr="00073C8F">
        <w:t>jasnymi celami w zakresie dekarbonizacji, aby przemysł morski mógł rozkwitać i pozostać w</w:t>
      </w:r>
      <w:r w:rsidR="00E421E9">
        <w:t> </w:t>
      </w:r>
      <w:r w:rsidRPr="00073C8F">
        <w:t>Europie.</w:t>
      </w:r>
    </w:p>
    <w:p w:rsidRPr="00073C8F" w:rsidR="00A62505" w:rsidP="00596171" w:rsidRDefault="00A62505" w14:paraId="34595D9B" w14:textId="01927ECB">
      <w:pPr>
        <w:numPr>
          <w:ilvl w:val="0"/>
          <w:numId w:val="29"/>
        </w:numPr>
        <w:suppressAutoHyphens/>
        <w:overflowPunct w:val="0"/>
        <w:autoSpaceDE w:val="0"/>
        <w:autoSpaceDN w:val="0"/>
        <w:adjustRightInd w:val="0"/>
        <w:ind w:left="567" w:hanging="567"/>
        <w:textAlignment w:val="baseline"/>
      </w:pPr>
      <w:r w:rsidRPr="00073C8F">
        <w:t>Zaleca ustanowienie kompleksowego mechanizmu oceny i monitorowania postępów w</w:t>
      </w:r>
      <w:r w:rsidR="00E421E9">
        <w:t> </w:t>
      </w:r>
      <w:r w:rsidRPr="00073C8F">
        <w:t>realizacji paktu. EKES powinien być częścią tego mechanizmu.</w:t>
      </w:r>
    </w:p>
    <w:p w:rsidRPr="00073C8F" w:rsidR="00A62505" w:rsidP="00241CB3" w:rsidRDefault="00A62505" w14:paraId="6368CA30" w14:textId="77777777">
      <w:pPr>
        <w:suppressAutoHyphens/>
        <w:overflowPunct w:val="0"/>
        <w:autoSpaceDE w:val="0"/>
        <w:autoSpaceDN w:val="0"/>
        <w:adjustRightInd w:val="0"/>
        <w:ind w:left="709"/>
        <w:textAlignment w:val="baseline"/>
      </w:pPr>
    </w:p>
    <w:tbl>
      <w:tblPr>
        <w:tblW w:w="3345" w:type="pct"/>
        <w:tblLook w:val="04A0" w:firstRow="1" w:lastRow="0" w:firstColumn="1" w:lastColumn="0" w:noHBand="0" w:noVBand="1"/>
      </w:tblPr>
      <w:tblGrid>
        <w:gridCol w:w="1715"/>
        <w:gridCol w:w="4499"/>
      </w:tblGrid>
      <w:tr w:rsidRPr="00073C8F" w:rsidR="00A62505" w:rsidTr="002A694B" w14:paraId="7FE5FA0A" w14:textId="77777777">
        <w:tc>
          <w:tcPr>
            <w:tcW w:w="1380" w:type="pct"/>
          </w:tcPr>
          <w:p w:rsidRPr="00073C8F" w:rsidR="00A62505" w:rsidP="00241CB3" w:rsidRDefault="00A62505" w14:paraId="46218D32" w14:textId="77777777">
            <w:pPr>
              <w:suppressAutoHyphens/>
              <w:overflowPunct w:val="0"/>
              <w:autoSpaceDE w:val="0"/>
              <w:autoSpaceDN w:val="0"/>
              <w:adjustRightInd w:val="0"/>
              <w:textAlignment w:val="baseline"/>
              <w:rPr>
                <w:i/>
              </w:rPr>
            </w:pPr>
            <w:r w:rsidRPr="00073C8F">
              <w:rPr>
                <w:b/>
                <w:i/>
              </w:rPr>
              <w:t>Kontakt</w:t>
            </w:r>
          </w:p>
        </w:tc>
        <w:tc>
          <w:tcPr>
            <w:tcW w:w="3620" w:type="pct"/>
          </w:tcPr>
          <w:p w:rsidRPr="00073C8F" w:rsidR="00A62505" w:rsidP="00241CB3" w:rsidRDefault="00A62505" w14:paraId="10329760" w14:textId="6A3C451D">
            <w:pPr>
              <w:suppressAutoHyphens/>
              <w:overflowPunct w:val="0"/>
              <w:autoSpaceDE w:val="0"/>
              <w:autoSpaceDN w:val="0"/>
              <w:adjustRightInd w:val="0"/>
              <w:textAlignment w:val="baseline"/>
              <w:rPr>
                <w:i/>
              </w:rPr>
            </w:pPr>
            <w:r w:rsidRPr="00073C8F">
              <w:t>Gaia Bottoni</w:t>
            </w:r>
          </w:p>
        </w:tc>
      </w:tr>
      <w:tr w:rsidRPr="00073C8F" w:rsidR="00A62505" w:rsidTr="002A694B" w14:paraId="1E01599F" w14:textId="77777777">
        <w:tc>
          <w:tcPr>
            <w:tcW w:w="1380" w:type="pct"/>
          </w:tcPr>
          <w:p w:rsidRPr="00073C8F" w:rsidR="00A62505" w:rsidP="00241CB3" w:rsidRDefault="00A62505" w14:paraId="34B64C5E" w14:textId="77777777">
            <w:pPr>
              <w:suppressAutoHyphens/>
              <w:overflowPunct w:val="0"/>
              <w:autoSpaceDE w:val="0"/>
              <w:autoSpaceDN w:val="0"/>
              <w:adjustRightInd w:val="0"/>
              <w:textAlignment w:val="baseline"/>
              <w:rPr>
                <w:i/>
              </w:rPr>
            </w:pPr>
            <w:r w:rsidRPr="00073C8F">
              <w:rPr>
                <w:i/>
              </w:rPr>
              <w:t>tel.</w:t>
            </w:r>
          </w:p>
        </w:tc>
        <w:tc>
          <w:tcPr>
            <w:tcW w:w="3620" w:type="pct"/>
          </w:tcPr>
          <w:p w:rsidRPr="00073C8F" w:rsidR="00A62505" w:rsidP="00241CB3" w:rsidRDefault="00A62505" w14:paraId="509C7A01" w14:textId="77777777">
            <w:pPr>
              <w:suppressAutoHyphens/>
              <w:overflowPunct w:val="0"/>
              <w:autoSpaceDE w:val="0"/>
              <w:autoSpaceDN w:val="0"/>
              <w:adjustRightInd w:val="0"/>
              <w:textAlignment w:val="baseline"/>
              <w:rPr>
                <w:i/>
              </w:rPr>
            </w:pPr>
            <w:r w:rsidRPr="00073C8F">
              <w:rPr>
                <w:i/>
              </w:rPr>
              <w:t>+32 25469447</w:t>
            </w:r>
          </w:p>
        </w:tc>
      </w:tr>
      <w:tr w:rsidRPr="00073C8F" w:rsidR="000873F2" w:rsidTr="00ED2AB3" w14:paraId="337F4466" w14:textId="77777777">
        <w:tc>
          <w:tcPr>
            <w:tcW w:w="1380" w:type="pct"/>
          </w:tcPr>
          <w:p w:rsidRPr="00073C8F" w:rsidR="000873F2" w:rsidP="00241CB3" w:rsidRDefault="000873F2" w14:paraId="5C9888F8" w14:textId="327126E2">
            <w:pPr>
              <w:suppressAutoHyphens/>
              <w:overflowPunct w:val="0"/>
              <w:autoSpaceDE w:val="0"/>
              <w:autoSpaceDN w:val="0"/>
              <w:adjustRightInd w:val="0"/>
              <w:textAlignment w:val="baseline"/>
              <w:rPr>
                <w:i/>
              </w:rPr>
            </w:pPr>
            <w:r w:rsidRPr="00073C8F">
              <w:rPr>
                <w:i/>
              </w:rPr>
              <w:t>e-mail</w:t>
            </w:r>
          </w:p>
        </w:tc>
        <w:tc>
          <w:tcPr>
            <w:tcW w:w="3620" w:type="pct"/>
          </w:tcPr>
          <w:p w:rsidRPr="00073C8F" w:rsidR="000873F2" w:rsidP="00241CB3" w:rsidRDefault="00A46594" w14:paraId="62CB7CCA" w14:textId="47A8C0AA">
            <w:pPr>
              <w:suppressAutoHyphens/>
              <w:overflowPunct w:val="0"/>
              <w:autoSpaceDE w:val="0"/>
              <w:autoSpaceDN w:val="0"/>
              <w:adjustRightInd w:val="0"/>
              <w:textAlignment w:val="baseline"/>
              <w:rPr>
                <w:i/>
              </w:rPr>
            </w:pPr>
            <w:hyperlink w:history="1" r:id="rId41">
              <w:r w:rsidRPr="00073C8F" w:rsidR="0081023C">
                <w:rPr>
                  <w:rStyle w:val="Hyperlink"/>
                  <w:i/>
                </w:rPr>
                <w:t>Gaia.Bottoni@eesc.europa.eu</w:t>
              </w:r>
            </w:hyperlink>
          </w:p>
        </w:tc>
      </w:tr>
    </w:tbl>
    <w:p w:rsidRPr="00073C8F" w:rsidR="00AE55EC" w:rsidP="00241CB3" w:rsidRDefault="00AE55EC" w14:paraId="6397769D" w14:textId="77777777">
      <w:pPr>
        <w:suppressAutoHyphens/>
        <w:jc w:val="left"/>
      </w:pPr>
      <w:r w:rsidRPr="00073C8F">
        <w:br w:type="page"/>
      </w:r>
    </w:p>
    <w:p w:rsidRPr="00073C8F" w:rsidR="00284F59" w:rsidP="00241CB3" w:rsidRDefault="00A46594" w14:paraId="450BEA01" w14:textId="24C8F915">
      <w:pPr>
        <w:numPr>
          <w:ilvl w:val="0"/>
          <w:numId w:val="4"/>
        </w:numPr>
        <w:suppressAutoHyphens/>
        <w:overflowPunct w:val="0"/>
        <w:autoSpaceDE w:val="0"/>
        <w:autoSpaceDN w:val="0"/>
        <w:adjustRightInd w:val="0"/>
        <w:ind w:hanging="567"/>
        <w:textAlignment w:val="baseline"/>
        <w:rPr>
          <w:sz w:val="28"/>
          <w:szCs w:val="28"/>
        </w:rPr>
      </w:pPr>
      <w:hyperlink w:history="1" r:id="rId42">
        <w:r w:rsidRPr="00073C8F" w:rsidR="0081023C">
          <w:rPr>
            <w:b/>
            <w:i/>
            <w:color w:val="0000FF"/>
            <w:sz w:val="28"/>
            <w:szCs w:val="28"/>
            <w:u w:val="single"/>
          </w:rPr>
          <w:t>Nowe przepisy regulujące transgraniczne egzekwowanie przepisów dotyczących nieuczciwych praktyk handlowych</w:t>
        </w:r>
      </w:hyperlink>
    </w:p>
    <w:p w:rsidRPr="00073C8F" w:rsidR="000873F2" w:rsidP="00241CB3" w:rsidRDefault="000873F2" w14:paraId="2C9B3901" w14:textId="59E6A7CA">
      <w:pPr>
        <w:suppressAutoHyphens/>
        <w:jc w:val="left"/>
      </w:pPr>
    </w:p>
    <w:tbl>
      <w:tblPr>
        <w:tblW w:w="5000" w:type="pct"/>
        <w:tblLook w:val="04A0" w:firstRow="1" w:lastRow="0" w:firstColumn="1" w:lastColumn="0" w:noHBand="0" w:noVBand="1"/>
      </w:tblPr>
      <w:tblGrid>
        <w:gridCol w:w="2149"/>
        <w:gridCol w:w="7140"/>
      </w:tblGrid>
      <w:tr w:rsidRPr="00073C8F" w:rsidR="000873F2" w:rsidTr="00601805" w14:paraId="569F9E90" w14:textId="77777777">
        <w:trPr>
          <w:trHeight w:val="527"/>
        </w:trPr>
        <w:tc>
          <w:tcPr>
            <w:tcW w:w="1157" w:type="pct"/>
          </w:tcPr>
          <w:p w:rsidRPr="00073C8F" w:rsidR="000873F2" w:rsidP="00601805" w:rsidRDefault="000873F2" w14:paraId="5A502C46" w14:textId="77777777">
            <w:pPr>
              <w:tabs>
                <w:tab w:val="center" w:pos="284"/>
              </w:tabs>
              <w:suppressAutoHyphens/>
              <w:overflowPunct w:val="0"/>
              <w:autoSpaceDE w:val="0"/>
              <w:autoSpaceDN w:val="0"/>
              <w:adjustRightInd w:val="0"/>
              <w:textAlignment w:val="baseline"/>
              <w:rPr>
                <w:b/>
              </w:rPr>
            </w:pPr>
            <w:r w:rsidRPr="00073C8F">
              <w:rPr>
                <w:b/>
              </w:rPr>
              <w:t>Sprawozdawczyni</w:t>
            </w:r>
          </w:p>
        </w:tc>
        <w:tc>
          <w:tcPr>
            <w:tcW w:w="3843" w:type="pct"/>
          </w:tcPr>
          <w:p w:rsidRPr="00073C8F" w:rsidR="000873F2" w:rsidP="00601805" w:rsidRDefault="000873F2" w14:paraId="50BF5152" w14:textId="77E543F2">
            <w:pPr>
              <w:tabs>
                <w:tab w:val="center" w:pos="284"/>
              </w:tabs>
              <w:suppressAutoHyphens/>
              <w:overflowPunct w:val="0"/>
              <w:autoSpaceDE w:val="0"/>
              <w:autoSpaceDN w:val="0"/>
              <w:adjustRightInd w:val="0"/>
              <w:textAlignment w:val="baseline"/>
            </w:pPr>
            <w:r w:rsidRPr="00073C8F">
              <w:rPr>
                <w:b/>
              </w:rPr>
              <w:t xml:space="preserve">Emilie PROUZET </w:t>
            </w:r>
            <w:r w:rsidRPr="00073C8F">
              <w:t>(Grupa Pracodawców – FR)</w:t>
            </w:r>
          </w:p>
        </w:tc>
      </w:tr>
      <w:tr w:rsidRPr="00073C8F" w:rsidR="000873F2" w:rsidTr="00601805" w14:paraId="23A394B3" w14:textId="77777777">
        <w:trPr>
          <w:trHeight w:val="527"/>
        </w:trPr>
        <w:tc>
          <w:tcPr>
            <w:tcW w:w="1157" w:type="pct"/>
          </w:tcPr>
          <w:p w:rsidRPr="00073C8F" w:rsidR="000873F2" w:rsidP="00601805" w:rsidRDefault="000873F2" w14:paraId="4492EA1B" w14:textId="77777777">
            <w:pPr>
              <w:tabs>
                <w:tab w:val="center" w:pos="284"/>
              </w:tabs>
              <w:suppressAutoHyphens/>
              <w:overflowPunct w:val="0"/>
              <w:autoSpaceDE w:val="0"/>
              <w:autoSpaceDN w:val="0"/>
              <w:adjustRightInd w:val="0"/>
              <w:textAlignment w:val="baseline"/>
              <w:rPr>
                <w:b/>
              </w:rPr>
            </w:pPr>
            <w:r w:rsidRPr="00073C8F">
              <w:rPr>
                <w:b/>
              </w:rPr>
              <w:t>Dokumenty</w:t>
            </w:r>
          </w:p>
        </w:tc>
        <w:tc>
          <w:tcPr>
            <w:tcW w:w="3843" w:type="pct"/>
          </w:tcPr>
          <w:p w:rsidRPr="00073C8F" w:rsidR="000873F2" w:rsidP="00601805" w:rsidRDefault="000873F2" w14:paraId="6181222D" w14:textId="77777777">
            <w:pPr>
              <w:tabs>
                <w:tab w:val="center" w:pos="284"/>
              </w:tabs>
              <w:suppressAutoHyphens/>
              <w:overflowPunct w:val="0"/>
              <w:autoSpaceDE w:val="0"/>
              <w:autoSpaceDN w:val="0"/>
              <w:adjustRightInd w:val="0"/>
              <w:textAlignment w:val="baseline"/>
            </w:pPr>
            <w:r w:rsidRPr="00073C8F">
              <w:t>COM(2024) 576 final</w:t>
            </w:r>
          </w:p>
          <w:p w:rsidRPr="00073C8F" w:rsidR="000873F2" w:rsidP="00601805" w:rsidRDefault="000873F2" w14:paraId="0605B2A8" w14:textId="7D89499F">
            <w:pPr>
              <w:tabs>
                <w:tab w:val="center" w:pos="284"/>
              </w:tabs>
              <w:suppressAutoHyphens/>
              <w:overflowPunct w:val="0"/>
              <w:autoSpaceDE w:val="0"/>
              <w:autoSpaceDN w:val="0"/>
              <w:adjustRightInd w:val="0"/>
              <w:textAlignment w:val="baseline"/>
            </w:pPr>
            <w:r w:rsidRPr="00073C8F">
              <w:t>EESC-2024-04652-00-00-AC</w:t>
            </w:r>
          </w:p>
        </w:tc>
      </w:tr>
    </w:tbl>
    <w:p w:rsidRPr="00073C8F" w:rsidR="00037018" w:rsidP="00241CB3" w:rsidRDefault="00037018" w14:paraId="5289C30D" w14:textId="77777777">
      <w:pPr>
        <w:suppressAutoHyphens/>
        <w:jc w:val="left"/>
        <w:rPr>
          <w:b/>
          <w:bCs/>
        </w:rPr>
      </w:pPr>
    </w:p>
    <w:p w:rsidRPr="00073C8F" w:rsidR="00284F59" w:rsidP="00241CB3" w:rsidRDefault="00284F59" w14:paraId="22E707D5" w14:textId="241847DE">
      <w:pPr>
        <w:suppressAutoHyphens/>
        <w:jc w:val="left"/>
        <w:rPr>
          <w:b/>
          <w:bCs/>
        </w:rPr>
      </w:pPr>
      <w:r w:rsidRPr="00073C8F">
        <w:rPr>
          <w:b/>
        </w:rPr>
        <w:t>Główne punkty</w:t>
      </w:r>
    </w:p>
    <w:p w:rsidRPr="00073C8F" w:rsidR="00037018" w:rsidP="00241CB3" w:rsidRDefault="00037018" w14:paraId="45019FF8" w14:textId="77777777">
      <w:pPr>
        <w:suppressAutoHyphens/>
        <w:jc w:val="left"/>
      </w:pPr>
    </w:p>
    <w:p w:rsidR="00284F59" w:rsidP="00241CB3" w:rsidRDefault="00284F59" w14:paraId="4DDEC045" w14:textId="7D55D236">
      <w:pPr>
        <w:suppressAutoHyphens/>
        <w:jc w:val="left"/>
      </w:pPr>
      <w:r w:rsidRPr="00073C8F">
        <w:t>EKES:</w:t>
      </w:r>
    </w:p>
    <w:p w:rsidRPr="00073C8F" w:rsidR="00601805" w:rsidP="00241CB3" w:rsidRDefault="00601805" w14:paraId="606E6663" w14:textId="77777777">
      <w:pPr>
        <w:suppressAutoHyphens/>
        <w:jc w:val="left"/>
      </w:pPr>
    </w:p>
    <w:p w:rsidRPr="00073C8F" w:rsidR="00766A5E" w:rsidP="00596171" w:rsidRDefault="00766A5E" w14:paraId="757E5237" w14:textId="464DE004">
      <w:pPr>
        <w:numPr>
          <w:ilvl w:val="0"/>
          <w:numId w:val="33"/>
        </w:numPr>
        <w:suppressAutoHyphens/>
        <w:overflowPunct w:val="0"/>
        <w:autoSpaceDE w:val="0"/>
        <w:autoSpaceDN w:val="0"/>
        <w:adjustRightInd w:val="0"/>
        <w:ind w:left="567" w:hanging="567"/>
        <w:textAlignment w:val="baseline"/>
        <w:rPr>
          <w:bCs/>
          <w:iCs/>
        </w:rPr>
      </w:pPr>
      <w:r w:rsidRPr="00073C8F">
        <w:t>Popiera wzmocnienie współpracy między organami krajowymi na rynku wewnętrznym i klimat otwartego dialogu, który panował w ostatnich miesiącach między różnymi podmiotami w</w:t>
      </w:r>
      <w:r w:rsidR="00E421E9">
        <w:t> </w:t>
      </w:r>
      <w:r w:rsidRPr="00073C8F">
        <w:t>łańcuchu dostaw żywności i ma nadzieję, że utrzyma się on w niedawno utworzonej Europejskiej Radzie ds. Rolnictwa i Żywności (EBAF).</w:t>
      </w:r>
    </w:p>
    <w:p w:rsidRPr="00073C8F" w:rsidR="00766A5E" w:rsidP="00596171" w:rsidRDefault="00766A5E" w14:paraId="0A24F514" w14:textId="6D3BE0E9">
      <w:pPr>
        <w:numPr>
          <w:ilvl w:val="0"/>
          <w:numId w:val="33"/>
        </w:numPr>
        <w:suppressAutoHyphens/>
        <w:overflowPunct w:val="0"/>
        <w:autoSpaceDE w:val="0"/>
        <w:autoSpaceDN w:val="0"/>
        <w:adjustRightInd w:val="0"/>
        <w:ind w:left="567" w:hanging="567"/>
        <w:textAlignment w:val="baseline"/>
        <w:rPr>
          <w:bCs/>
          <w:iCs/>
        </w:rPr>
      </w:pPr>
      <w:r w:rsidRPr="00073C8F">
        <w:t>Stwierdza, że w każdej dziedzinie niezbędne jest dążenie do lepszej komunikacji, koordynacji i</w:t>
      </w:r>
      <w:r w:rsidR="00E421E9">
        <w:t> </w:t>
      </w:r>
      <w:r w:rsidRPr="00073C8F">
        <w:t>współpracy między organami krajowymi w celu lepszego wspierania inicjatywy skarżących. W tym kontekście ponownie podkreśla decydującą rolę tłumaczy ustnych i pisemnych. Znajomość języków jest nadal główną przeszkodą ograniczającą dostęp do procedur.</w:t>
      </w:r>
    </w:p>
    <w:p w:rsidRPr="00073C8F" w:rsidR="00766A5E" w:rsidP="00596171" w:rsidRDefault="00766A5E" w14:paraId="46DAC5B9" w14:textId="77777777">
      <w:pPr>
        <w:numPr>
          <w:ilvl w:val="0"/>
          <w:numId w:val="33"/>
        </w:numPr>
        <w:suppressAutoHyphens/>
        <w:overflowPunct w:val="0"/>
        <w:autoSpaceDE w:val="0"/>
        <w:autoSpaceDN w:val="0"/>
        <w:adjustRightInd w:val="0"/>
        <w:ind w:left="567" w:hanging="567"/>
        <w:textAlignment w:val="baseline"/>
        <w:rPr>
          <w:bCs/>
          <w:iCs/>
        </w:rPr>
      </w:pPr>
      <w:r w:rsidRPr="00073C8F">
        <w:t>Z zadowoleniem przyjmuje decyzję Komisji o szybkim rozpoczęciu włączania do procesu legislacyjnego zaleceń sporządzonych w wyniku strategicznego dialogu na temat przyszłości rolnictwa w UE.</w:t>
      </w:r>
    </w:p>
    <w:p w:rsidRPr="00073C8F" w:rsidR="00766A5E" w:rsidP="00596171" w:rsidRDefault="00766A5E" w14:paraId="51E032A8" w14:textId="77777777">
      <w:pPr>
        <w:numPr>
          <w:ilvl w:val="0"/>
          <w:numId w:val="33"/>
        </w:numPr>
        <w:suppressAutoHyphens/>
        <w:overflowPunct w:val="0"/>
        <w:autoSpaceDE w:val="0"/>
        <w:autoSpaceDN w:val="0"/>
        <w:adjustRightInd w:val="0"/>
        <w:ind w:left="567" w:hanging="567"/>
        <w:textAlignment w:val="baseline"/>
        <w:rPr>
          <w:bCs/>
          <w:iCs/>
        </w:rPr>
      </w:pPr>
      <w:r w:rsidRPr="00073C8F">
        <w:t>Rozumie brak oceny skutków, zważywszy, że omawiany wniosek dotyczący rozporządzenia ma jedynie na celu wyjaśnienie warunków współpracy między organami krajowymi, przewidzianych już w dyrektywie o nieuczciwych praktykach handlowych.</w:t>
      </w:r>
    </w:p>
    <w:p w:rsidRPr="00073C8F" w:rsidR="00766A5E" w:rsidP="00596171" w:rsidRDefault="00766A5E" w14:paraId="210438D1" w14:textId="46825068">
      <w:pPr>
        <w:numPr>
          <w:ilvl w:val="0"/>
          <w:numId w:val="33"/>
        </w:numPr>
        <w:suppressAutoHyphens/>
        <w:overflowPunct w:val="0"/>
        <w:autoSpaceDE w:val="0"/>
        <w:autoSpaceDN w:val="0"/>
        <w:adjustRightInd w:val="0"/>
        <w:ind w:left="567" w:hanging="567"/>
        <w:textAlignment w:val="baseline"/>
        <w:rPr>
          <w:bCs/>
          <w:iCs/>
        </w:rPr>
      </w:pPr>
      <w:r w:rsidRPr="00073C8F">
        <w:t>Wzywa współprawodawców do dopilnowania, aby proponowane rozporządzenie pozostało aktem ustawodawczym mającym na celu wyłącznie uściślenie środków administracyjnych i</w:t>
      </w:r>
      <w:r w:rsidR="00E421E9">
        <w:t> </w:t>
      </w:r>
      <w:r w:rsidRPr="00073C8F">
        <w:t>proceduralnych. Ponadto zwraca się do współprawodawców o zadbanie o to, by przedsiębiorstwa działające na rynku wewnętrznym miały pewność prawa oraz swobodę wyboru prawa właściwego i jurysdykcji mających zastosowanie do ich umów – przy jednoczesnym przestrzeganiu prawa konkurencji.</w:t>
      </w:r>
    </w:p>
    <w:p w:rsidRPr="00073C8F" w:rsidR="00766A5E" w:rsidP="00596171" w:rsidRDefault="00766A5E" w14:paraId="3A045EFA" w14:textId="77777777">
      <w:pPr>
        <w:numPr>
          <w:ilvl w:val="0"/>
          <w:numId w:val="33"/>
        </w:numPr>
        <w:suppressAutoHyphens/>
        <w:overflowPunct w:val="0"/>
        <w:autoSpaceDE w:val="0"/>
        <w:autoSpaceDN w:val="0"/>
        <w:adjustRightInd w:val="0"/>
        <w:ind w:left="567" w:hanging="567"/>
        <w:textAlignment w:val="baseline"/>
        <w:rPr>
          <w:bCs/>
          <w:iCs/>
        </w:rPr>
      </w:pPr>
      <w:r w:rsidRPr="00073C8F">
        <w:t>Apeluje, aby środki przewidziane w rozporządzeniu miały zastosowanie wyłącznie do współpracy między organami egzekwowania prawa odnośnie do nieuczciwych praktyk handlowych i progów, które zostały ujednolicone na szczeblu UE na podstawie art. 3 i 4 dyrektywy o nieuczciwych praktykach handlowych.</w:t>
      </w:r>
    </w:p>
    <w:p w:rsidRPr="00073C8F" w:rsidR="00766A5E" w:rsidP="00596171" w:rsidRDefault="00766A5E" w14:paraId="54BC675F" w14:textId="77777777">
      <w:pPr>
        <w:numPr>
          <w:ilvl w:val="0"/>
          <w:numId w:val="33"/>
        </w:numPr>
        <w:suppressAutoHyphens/>
        <w:overflowPunct w:val="0"/>
        <w:autoSpaceDE w:val="0"/>
        <w:autoSpaceDN w:val="0"/>
        <w:adjustRightInd w:val="0"/>
        <w:ind w:left="567" w:hanging="567"/>
        <w:textAlignment w:val="baseline"/>
        <w:rPr>
          <w:bCs/>
          <w:iCs/>
        </w:rPr>
      </w:pPr>
      <w:r w:rsidRPr="00073C8F">
        <w:t>Wzywa współprawodawców do dopilnowania, by organy egzekwowania prawa miały bezwzględne prawo do odrzucania wniosków o wymianę informacji na temat przepisów krajowych niezharmonizowanych przez dyrektywę o nieuczciwych praktykach handlowych. Ponadto apeluje do współprawodawców, by nie proponowali środków prowadzących do renacjonalizacji dostaw w Europie i tym samym do uzasadnienia terytorialnych ograniczeń dostaw, które to ograniczenia mają poważne konsekwencje dla konsumentów i dla zrównoważoności produktów.</w:t>
      </w:r>
    </w:p>
    <w:p w:rsidRPr="00073C8F" w:rsidR="00766A5E" w:rsidP="00241CB3" w:rsidRDefault="00766A5E" w14:paraId="5AD69D73" w14:textId="77777777">
      <w:pPr>
        <w:suppressAutoHyphens/>
        <w:overflowPunct w:val="0"/>
        <w:autoSpaceDE w:val="0"/>
        <w:autoSpaceDN w:val="0"/>
        <w:adjustRightInd w:val="0"/>
        <w:textAlignment w:val="baseline"/>
        <w:rPr>
          <w:bCs/>
          <w:iCs/>
        </w:rPr>
      </w:pPr>
    </w:p>
    <w:tbl>
      <w:tblPr>
        <w:tblW w:w="6379" w:type="dxa"/>
        <w:tblLook w:val="04A0" w:firstRow="1" w:lastRow="0" w:firstColumn="1" w:lastColumn="0" w:noHBand="0" w:noVBand="1"/>
      </w:tblPr>
      <w:tblGrid>
        <w:gridCol w:w="2127"/>
        <w:gridCol w:w="4252"/>
      </w:tblGrid>
      <w:tr w:rsidRPr="00073C8F" w:rsidR="00766A5E" w:rsidTr="007F2B34" w14:paraId="5B638E65" w14:textId="77777777">
        <w:tc>
          <w:tcPr>
            <w:tcW w:w="2127" w:type="dxa"/>
          </w:tcPr>
          <w:p w:rsidRPr="00073C8F" w:rsidR="00766A5E" w:rsidP="00272AC2" w:rsidRDefault="00766A5E" w14:paraId="76631ADE" w14:textId="77777777">
            <w:pPr>
              <w:keepNext/>
              <w:keepLines/>
              <w:suppressAutoHyphens/>
              <w:overflowPunct w:val="0"/>
              <w:autoSpaceDE w:val="0"/>
              <w:autoSpaceDN w:val="0"/>
              <w:adjustRightInd w:val="0"/>
              <w:textAlignment w:val="baseline"/>
              <w:rPr>
                <w:i/>
              </w:rPr>
            </w:pPr>
            <w:r w:rsidRPr="00073C8F">
              <w:rPr>
                <w:b/>
                <w:i/>
              </w:rPr>
              <w:lastRenderedPageBreak/>
              <w:t>Kontakt</w:t>
            </w:r>
          </w:p>
        </w:tc>
        <w:tc>
          <w:tcPr>
            <w:tcW w:w="4252" w:type="dxa"/>
          </w:tcPr>
          <w:p w:rsidRPr="00073C8F" w:rsidR="00766A5E" w:rsidP="00272AC2" w:rsidRDefault="00766A5E" w14:paraId="530AAB89" w14:textId="5201CC2B">
            <w:pPr>
              <w:keepNext/>
              <w:keepLines/>
              <w:suppressAutoHyphens/>
              <w:overflowPunct w:val="0"/>
              <w:autoSpaceDE w:val="0"/>
              <w:autoSpaceDN w:val="0"/>
              <w:adjustRightInd w:val="0"/>
              <w:textAlignment w:val="baseline"/>
              <w:rPr>
                <w:i/>
              </w:rPr>
            </w:pPr>
            <w:r w:rsidRPr="00073C8F">
              <w:rPr>
                <w:i/>
              </w:rPr>
              <w:t>Myrto Kolyva</w:t>
            </w:r>
          </w:p>
        </w:tc>
      </w:tr>
      <w:tr w:rsidRPr="00073C8F" w:rsidR="00766A5E" w:rsidTr="007F2B34" w14:paraId="0B0643F6" w14:textId="77777777">
        <w:tc>
          <w:tcPr>
            <w:tcW w:w="2127" w:type="dxa"/>
          </w:tcPr>
          <w:p w:rsidRPr="00073C8F" w:rsidR="00766A5E" w:rsidP="00241CB3" w:rsidRDefault="00766A5E" w14:paraId="155A9A8D" w14:textId="77777777">
            <w:pPr>
              <w:suppressAutoHyphens/>
              <w:overflowPunct w:val="0"/>
              <w:autoSpaceDE w:val="0"/>
              <w:autoSpaceDN w:val="0"/>
              <w:adjustRightInd w:val="0"/>
              <w:textAlignment w:val="baseline"/>
              <w:rPr>
                <w:i/>
              </w:rPr>
            </w:pPr>
            <w:r w:rsidRPr="00073C8F">
              <w:rPr>
                <w:i/>
              </w:rPr>
              <w:t>tel.</w:t>
            </w:r>
          </w:p>
        </w:tc>
        <w:tc>
          <w:tcPr>
            <w:tcW w:w="4252" w:type="dxa"/>
          </w:tcPr>
          <w:p w:rsidRPr="00073C8F" w:rsidR="00766A5E" w:rsidP="00241CB3" w:rsidRDefault="00766A5E" w14:paraId="4FE7CF3D" w14:textId="77777777">
            <w:pPr>
              <w:suppressAutoHyphens/>
              <w:overflowPunct w:val="0"/>
              <w:autoSpaceDE w:val="0"/>
              <w:autoSpaceDN w:val="0"/>
              <w:adjustRightInd w:val="0"/>
              <w:textAlignment w:val="baseline"/>
              <w:rPr>
                <w:i/>
              </w:rPr>
            </w:pPr>
            <w:r w:rsidRPr="00073C8F">
              <w:rPr>
                <w:i/>
              </w:rPr>
              <w:t>+32 25468718</w:t>
            </w:r>
          </w:p>
        </w:tc>
      </w:tr>
      <w:tr w:rsidRPr="00073C8F" w:rsidR="00766A5E" w:rsidTr="007F2B34" w14:paraId="08FF73E7" w14:textId="77777777">
        <w:tc>
          <w:tcPr>
            <w:tcW w:w="2127" w:type="dxa"/>
          </w:tcPr>
          <w:p w:rsidRPr="00073C8F" w:rsidR="00766A5E" w:rsidP="00241CB3" w:rsidRDefault="00766A5E" w14:paraId="0A69DDF5" w14:textId="7B3A5FF3">
            <w:pPr>
              <w:suppressAutoHyphens/>
              <w:overflowPunct w:val="0"/>
              <w:autoSpaceDE w:val="0"/>
              <w:autoSpaceDN w:val="0"/>
              <w:adjustRightInd w:val="0"/>
              <w:textAlignment w:val="baseline"/>
              <w:rPr>
                <w:i/>
              </w:rPr>
            </w:pPr>
            <w:r w:rsidRPr="00073C8F">
              <w:rPr>
                <w:i/>
              </w:rPr>
              <w:t>e-mail</w:t>
            </w:r>
          </w:p>
        </w:tc>
        <w:tc>
          <w:tcPr>
            <w:tcW w:w="4252" w:type="dxa"/>
          </w:tcPr>
          <w:p w:rsidRPr="00073C8F" w:rsidR="00766A5E" w:rsidP="00241CB3" w:rsidRDefault="00A46594" w14:paraId="1A74AC37" w14:textId="77777777">
            <w:pPr>
              <w:suppressAutoHyphens/>
              <w:overflowPunct w:val="0"/>
              <w:autoSpaceDE w:val="0"/>
              <w:autoSpaceDN w:val="0"/>
              <w:adjustRightInd w:val="0"/>
              <w:textAlignment w:val="baseline"/>
              <w:rPr>
                <w:i/>
              </w:rPr>
            </w:pPr>
            <w:hyperlink w:history="1" r:id="rId43">
              <w:r w:rsidRPr="00073C8F" w:rsidR="0081023C">
                <w:rPr>
                  <w:i/>
                  <w:color w:val="0000FF"/>
                  <w:u w:val="single"/>
                </w:rPr>
                <w:t>Myrto.Kolyva@eesc.europa.eu</w:t>
              </w:r>
            </w:hyperlink>
            <w:r w:rsidRPr="00073C8F" w:rsidR="0081023C">
              <w:rPr>
                <w:color w:val="0000FF"/>
                <w:u w:val="single"/>
              </w:rPr>
              <w:t xml:space="preserve"> </w:t>
            </w:r>
          </w:p>
        </w:tc>
      </w:tr>
    </w:tbl>
    <w:p w:rsidRPr="00073C8F" w:rsidR="00AE55EC" w:rsidP="00241CB3" w:rsidRDefault="00AE55EC" w14:paraId="5AE5C9CA" w14:textId="77777777">
      <w:pPr>
        <w:suppressAutoHyphens/>
        <w:jc w:val="left"/>
      </w:pPr>
      <w:r w:rsidRPr="00073C8F">
        <w:br w:type="page"/>
      </w:r>
    </w:p>
    <w:p w:rsidRPr="00073C8F" w:rsidR="00712A05" w:rsidP="00241CB3" w:rsidRDefault="00A46594" w14:paraId="7BBEE416" w14:textId="097FF3C7">
      <w:pPr>
        <w:numPr>
          <w:ilvl w:val="0"/>
          <w:numId w:val="4"/>
        </w:numPr>
        <w:suppressAutoHyphens/>
        <w:overflowPunct w:val="0"/>
        <w:autoSpaceDE w:val="0"/>
        <w:autoSpaceDN w:val="0"/>
        <w:adjustRightInd w:val="0"/>
        <w:ind w:hanging="567"/>
        <w:textAlignment w:val="baseline"/>
        <w:rPr>
          <w:sz w:val="28"/>
          <w:szCs w:val="28"/>
        </w:rPr>
      </w:pPr>
      <w:hyperlink w:history="1" r:id="rId44">
        <w:r w:rsidRPr="00073C8F" w:rsidR="0081023C">
          <w:rPr>
            <w:b/>
            <w:i/>
            <w:color w:val="0000FF"/>
            <w:sz w:val="28"/>
            <w:szCs w:val="28"/>
            <w:u w:val="single"/>
          </w:rPr>
          <w:t>Zmiana rozporządzenia w sprawie wspólnej organizacji rynków rolnych w odniesieniu do przepisów dotyczących umów, organizacji producentów i współpracy między rolnikami</w:t>
        </w:r>
      </w:hyperlink>
    </w:p>
    <w:p w:rsidRPr="00073C8F" w:rsidR="00712A05" w:rsidP="00241CB3" w:rsidRDefault="00712A05" w14:paraId="65412CB5" w14:textId="77777777">
      <w:pPr>
        <w:tabs>
          <w:tab w:val="center" w:pos="284"/>
        </w:tabs>
        <w:suppressAutoHyphens/>
        <w:overflowPunct w:val="0"/>
        <w:autoSpaceDE w:val="0"/>
        <w:autoSpaceDN w:val="0"/>
        <w:adjustRightInd w:val="0"/>
        <w:ind w:left="266" w:hanging="266"/>
        <w:textAlignment w:val="baseline"/>
        <w:rPr>
          <w:b/>
        </w:rPr>
      </w:pPr>
    </w:p>
    <w:tbl>
      <w:tblPr>
        <w:tblW w:w="5000" w:type="pct"/>
        <w:tblLook w:val="04A0" w:firstRow="1" w:lastRow="0" w:firstColumn="1" w:lastColumn="0" w:noHBand="0" w:noVBand="1"/>
      </w:tblPr>
      <w:tblGrid>
        <w:gridCol w:w="2133"/>
        <w:gridCol w:w="7156"/>
      </w:tblGrid>
      <w:tr w:rsidRPr="00073C8F" w:rsidR="00712A05" w:rsidTr="00601805" w14:paraId="16251239" w14:textId="77777777">
        <w:tc>
          <w:tcPr>
            <w:tcW w:w="1148" w:type="pct"/>
          </w:tcPr>
          <w:p w:rsidRPr="00073C8F" w:rsidR="00712A05" w:rsidP="00601805" w:rsidRDefault="00712A05" w14:paraId="105CFA64" w14:textId="77777777">
            <w:pPr>
              <w:tabs>
                <w:tab w:val="center" w:pos="284"/>
              </w:tabs>
              <w:suppressAutoHyphens/>
              <w:overflowPunct w:val="0"/>
              <w:autoSpaceDE w:val="0"/>
              <w:autoSpaceDN w:val="0"/>
              <w:adjustRightInd w:val="0"/>
              <w:textAlignment w:val="baseline"/>
              <w:rPr>
                <w:b/>
              </w:rPr>
            </w:pPr>
            <w:r w:rsidRPr="00073C8F">
              <w:rPr>
                <w:b/>
              </w:rPr>
              <w:t>Sprawozdawczyni</w:t>
            </w:r>
          </w:p>
        </w:tc>
        <w:tc>
          <w:tcPr>
            <w:tcW w:w="3852" w:type="pct"/>
          </w:tcPr>
          <w:p w:rsidRPr="00073C8F" w:rsidR="00712A05" w:rsidP="00601805" w:rsidRDefault="00712A05" w14:paraId="59FE919D" w14:textId="77777777">
            <w:pPr>
              <w:tabs>
                <w:tab w:val="center" w:pos="284"/>
              </w:tabs>
              <w:suppressAutoHyphens/>
              <w:overflowPunct w:val="0"/>
              <w:autoSpaceDE w:val="0"/>
              <w:autoSpaceDN w:val="0"/>
              <w:adjustRightInd w:val="0"/>
              <w:textAlignment w:val="baseline"/>
              <w:rPr>
                <w:bCs/>
              </w:rPr>
            </w:pPr>
            <w:r w:rsidRPr="00073C8F">
              <w:t>Stojan CZUKANOW (Grupa Organizacji Społeczeństwa Obywatelskiego – BG)</w:t>
            </w:r>
          </w:p>
        </w:tc>
      </w:tr>
      <w:tr w:rsidRPr="00073C8F" w:rsidR="00712A05" w:rsidTr="00601805" w14:paraId="4A3ECF68" w14:textId="77777777">
        <w:tc>
          <w:tcPr>
            <w:tcW w:w="5000" w:type="pct"/>
            <w:gridSpan w:val="2"/>
          </w:tcPr>
          <w:p w:rsidRPr="00073C8F" w:rsidR="00712A05" w:rsidP="00601805" w:rsidRDefault="00712A05" w14:paraId="2738D48C" w14:textId="77777777">
            <w:pPr>
              <w:tabs>
                <w:tab w:val="center" w:pos="284"/>
              </w:tabs>
              <w:suppressAutoHyphens/>
              <w:overflowPunct w:val="0"/>
              <w:autoSpaceDE w:val="0"/>
              <w:autoSpaceDN w:val="0"/>
              <w:adjustRightInd w:val="0"/>
              <w:textAlignment w:val="baseline"/>
            </w:pPr>
          </w:p>
        </w:tc>
      </w:tr>
      <w:tr w:rsidRPr="00073C8F" w:rsidR="00712A05" w:rsidTr="00601805" w14:paraId="494575F4" w14:textId="77777777">
        <w:tc>
          <w:tcPr>
            <w:tcW w:w="1148" w:type="pct"/>
          </w:tcPr>
          <w:p w:rsidRPr="00073C8F" w:rsidR="00712A05" w:rsidP="00601805" w:rsidRDefault="00712A05" w14:paraId="66A7ACBC" w14:textId="77777777">
            <w:pPr>
              <w:tabs>
                <w:tab w:val="center" w:pos="284"/>
              </w:tabs>
              <w:suppressAutoHyphens/>
              <w:overflowPunct w:val="0"/>
              <w:autoSpaceDE w:val="0"/>
              <w:autoSpaceDN w:val="0"/>
              <w:adjustRightInd w:val="0"/>
              <w:textAlignment w:val="baseline"/>
              <w:rPr>
                <w:b/>
              </w:rPr>
            </w:pPr>
            <w:r w:rsidRPr="00073C8F">
              <w:rPr>
                <w:b/>
              </w:rPr>
              <w:t>Dokumenty</w:t>
            </w:r>
          </w:p>
        </w:tc>
        <w:tc>
          <w:tcPr>
            <w:tcW w:w="3852" w:type="pct"/>
          </w:tcPr>
          <w:p w:rsidRPr="00073C8F" w:rsidR="004B7F1C" w:rsidP="00601805" w:rsidRDefault="004B7F1C" w14:paraId="05F8AD5D" w14:textId="3F08B13D">
            <w:pPr>
              <w:tabs>
                <w:tab w:val="center" w:pos="284"/>
              </w:tabs>
              <w:suppressAutoHyphens/>
              <w:overflowPunct w:val="0"/>
              <w:autoSpaceDE w:val="0"/>
              <w:autoSpaceDN w:val="0"/>
              <w:adjustRightInd w:val="0"/>
              <w:textAlignment w:val="baseline"/>
            </w:pPr>
            <w:r w:rsidRPr="00073C8F">
              <w:t>COM(2024) 577 final</w:t>
            </w:r>
          </w:p>
          <w:p w:rsidRPr="00073C8F" w:rsidR="00712A05" w:rsidP="00601805" w:rsidRDefault="00712A05" w14:paraId="499A8DF9" w14:textId="022CA669">
            <w:pPr>
              <w:tabs>
                <w:tab w:val="center" w:pos="284"/>
              </w:tabs>
              <w:suppressAutoHyphens/>
              <w:overflowPunct w:val="0"/>
              <w:autoSpaceDE w:val="0"/>
              <w:autoSpaceDN w:val="0"/>
              <w:adjustRightInd w:val="0"/>
              <w:textAlignment w:val="baseline"/>
            </w:pPr>
            <w:r w:rsidRPr="00073C8F">
              <w:t>EESC-2024-04584-00-00-AC</w:t>
            </w:r>
          </w:p>
        </w:tc>
      </w:tr>
    </w:tbl>
    <w:p w:rsidR="00180780" w:rsidP="00241CB3" w:rsidRDefault="00180780" w14:paraId="4858EF3D" w14:textId="77777777">
      <w:pPr>
        <w:tabs>
          <w:tab w:val="center" w:pos="284"/>
        </w:tabs>
        <w:suppressAutoHyphens/>
        <w:overflowPunct w:val="0"/>
        <w:autoSpaceDE w:val="0"/>
        <w:autoSpaceDN w:val="0"/>
        <w:adjustRightInd w:val="0"/>
        <w:ind w:left="266" w:hanging="266"/>
        <w:textAlignment w:val="baseline"/>
        <w:rPr>
          <w:b/>
        </w:rPr>
      </w:pPr>
    </w:p>
    <w:p w:rsidRPr="00073C8F" w:rsidR="00712A05" w:rsidP="00241CB3" w:rsidRDefault="00712A05" w14:paraId="7EDF6EB2" w14:textId="1452D242">
      <w:pPr>
        <w:tabs>
          <w:tab w:val="center" w:pos="284"/>
        </w:tabs>
        <w:suppressAutoHyphens/>
        <w:overflowPunct w:val="0"/>
        <w:autoSpaceDE w:val="0"/>
        <w:autoSpaceDN w:val="0"/>
        <w:adjustRightInd w:val="0"/>
        <w:ind w:left="266" w:hanging="266"/>
        <w:textAlignment w:val="baseline"/>
        <w:rPr>
          <w:b/>
        </w:rPr>
      </w:pPr>
      <w:r w:rsidRPr="00073C8F">
        <w:rPr>
          <w:b/>
        </w:rPr>
        <w:t>Główne punkty</w:t>
      </w:r>
    </w:p>
    <w:p w:rsidRPr="00073C8F" w:rsidR="00712A05" w:rsidP="00241CB3" w:rsidRDefault="00712A05" w14:paraId="5CA6A5F0" w14:textId="77777777">
      <w:pPr>
        <w:tabs>
          <w:tab w:val="center" w:pos="284"/>
        </w:tabs>
        <w:suppressAutoHyphens/>
        <w:overflowPunct w:val="0"/>
        <w:autoSpaceDE w:val="0"/>
        <w:autoSpaceDN w:val="0"/>
        <w:adjustRightInd w:val="0"/>
        <w:ind w:left="266" w:hanging="266"/>
        <w:textAlignment w:val="baseline"/>
        <w:rPr>
          <w:b/>
        </w:rPr>
      </w:pPr>
    </w:p>
    <w:p w:rsidR="00712A05" w:rsidP="00241CB3" w:rsidRDefault="00712A05" w14:paraId="0038CB06" w14:textId="24534C5C">
      <w:pPr>
        <w:suppressAutoHyphens/>
        <w:overflowPunct w:val="0"/>
        <w:autoSpaceDE w:val="0"/>
        <w:autoSpaceDN w:val="0"/>
        <w:adjustRightInd w:val="0"/>
        <w:textAlignment w:val="baseline"/>
      </w:pPr>
      <w:r w:rsidRPr="00073C8F">
        <w:t>EKES:</w:t>
      </w:r>
    </w:p>
    <w:p w:rsidRPr="00073C8F" w:rsidR="00601805" w:rsidP="00241CB3" w:rsidRDefault="00601805" w14:paraId="2AA52689" w14:textId="77777777">
      <w:pPr>
        <w:suppressAutoHyphens/>
        <w:overflowPunct w:val="0"/>
        <w:autoSpaceDE w:val="0"/>
        <w:autoSpaceDN w:val="0"/>
        <w:adjustRightInd w:val="0"/>
        <w:textAlignment w:val="baseline"/>
        <w:rPr>
          <w:bCs/>
          <w:iCs/>
        </w:rPr>
      </w:pPr>
    </w:p>
    <w:p w:rsidRPr="00073C8F" w:rsidR="00712A05" w:rsidP="00596171" w:rsidRDefault="00712A05" w14:paraId="1DD148B3" w14:textId="7B614DDF">
      <w:pPr>
        <w:numPr>
          <w:ilvl w:val="0"/>
          <w:numId w:val="33"/>
        </w:numPr>
        <w:suppressAutoHyphens/>
        <w:overflowPunct w:val="0"/>
        <w:autoSpaceDE w:val="0"/>
        <w:autoSpaceDN w:val="0"/>
        <w:adjustRightInd w:val="0"/>
        <w:ind w:left="567" w:hanging="567"/>
        <w:textAlignment w:val="baseline"/>
      </w:pPr>
      <w:r w:rsidRPr="00073C8F">
        <w:t>Popiera wniosek Komisji Europejskiej, który ma na celu wzmocnienie pozycji producentów w</w:t>
      </w:r>
      <w:r w:rsidR="00E421E9">
        <w:t> </w:t>
      </w:r>
      <w:r w:rsidRPr="00073C8F">
        <w:t>łańcuchu rolno-spożywczym, a jednocześnie zaleca dodatkowe usprawnienia.</w:t>
      </w:r>
    </w:p>
    <w:p w:rsidRPr="00073C8F" w:rsidR="00712A05" w:rsidP="00596171" w:rsidRDefault="00712A05" w14:paraId="00DEB241" w14:textId="26146796">
      <w:pPr>
        <w:numPr>
          <w:ilvl w:val="0"/>
          <w:numId w:val="33"/>
        </w:numPr>
        <w:suppressAutoHyphens/>
        <w:overflowPunct w:val="0"/>
        <w:autoSpaceDE w:val="0"/>
        <w:autoSpaceDN w:val="0"/>
        <w:adjustRightInd w:val="0"/>
        <w:ind w:left="567" w:hanging="567"/>
        <w:textAlignment w:val="baseline"/>
      </w:pPr>
      <w:r w:rsidRPr="00073C8F">
        <w:t>Z zadowoleniem przyjmuje wymóg zawierania pisemnych umów na dostawę produktów rolnych, które mają zawierać obiektywne wskaźniki dotyczące kosztów produkcji i dane o</w:t>
      </w:r>
      <w:r w:rsidR="00E421E9">
        <w:t> </w:t>
      </w:r>
      <w:r w:rsidRPr="00073C8F">
        <w:t>cenach rynkowych. Zaleca, aby wyłączenie odnośnie do progu wartości zostało ustalone na szczeblu europejskim i dotyczyło kwoty 5 000 EUR.</w:t>
      </w:r>
    </w:p>
    <w:p w:rsidRPr="00073C8F" w:rsidR="00712A05" w:rsidP="00596171" w:rsidRDefault="00712A05" w14:paraId="7A692474" w14:textId="77777777">
      <w:pPr>
        <w:numPr>
          <w:ilvl w:val="0"/>
          <w:numId w:val="33"/>
        </w:numPr>
        <w:suppressAutoHyphens/>
        <w:overflowPunct w:val="0"/>
        <w:autoSpaceDE w:val="0"/>
        <w:autoSpaceDN w:val="0"/>
        <w:adjustRightInd w:val="0"/>
        <w:ind w:left="567" w:hanging="567"/>
        <w:textAlignment w:val="baseline"/>
      </w:pPr>
      <w:r w:rsidRPr="00073C8F">
        <w:t>Zaleca, aby każde państwo członkowskie określiło i opublikowało obiektywne i przejrzyste wskaźniki krajowe i regionalne dotyczące kosztów produkcji oraz dane o cenach rynkowych w porozumieniu ze wszystkimi zainteresowanymi stronami w łańcuchu wartości.</w:t>
      </w:r>
    </w:p>
    <w:p w:rsidRPr="00073C8F" w:rsidR="00712A05" w:rsidP="00596171" w:rsidRDefault="00712A05" w14:paraId="2EA862DD" w14:textId="77777777">
      <w:pPr>
        <w:numPr>
          <w:ilvl w:val="0"/>
          <w:numId w:val="33"/>
        </w:numPr>
        <w:suppressAutoHyphens/>
        <w:overflowPunct w:val="0"/>
        <w:autoSpaceDE w:val="0"/>
        <w:autoSpaceDN w:val="0"/>
        <w:adjustRightInd w:val="0"/>
        <w:ind w:left="567" w:hanging="567"/>
        <w:textAlignment w:val="baseline"/>
      </w:pPr>
      <w:r w:rsidRPr="00073C8F">
        <w:t xml:space="preserve">Pochwala wprowadzenie w pisemnych umowach obowiązkowej klauzuli przeglądowej, która może być uruchamiana przez producenta i która umożliwi nowe negocjacje w sprawie cen uiszczanych rolnikom zgodne ze zmianami kosztów produkcji oraz cen rynkowych, z należytym uwzględnieniem kryteriów zrównoważonego rozwoju. Jednocześnie proponuje wprowadzenie określonych warunków dotyczących tych negocjacji. </w:t>
      </w:r>
    </w:p>
    <w:p w:rsidRPr="00073C8F" w:rsidR="00712A05" w:rsidP="00596171" w:rsidRDefault="00712A05" w14:paraId="0CE58CE2" w14:textId="77777777">
      <w:pPr>
        <w:numPr>
          <w:ilvl w:val="0"/>
          <w:numId w:val="33"/>
        </w:numPr>
        <w:suppressAutoHyphens/>
        <w:overflowPunct w:val="0"/>
        <w:autoSpaceDE w:val="0"/>
        <w:autoSpaceDN w:val="0"/>
        <w:adjustRightInd w:val="0"/>
        <w:ind w:left="567" w:hanging="567"/>
        <w:textAlignment w:val="baseline"/>
      </w:pPr>
      <w:r w:rsidRPr="00073C8F">
        <w:t>Popiera krótkoterminowe ustanowienie mechanizmów mediacji w każdym państwie członkowskim – z uwzględnieniem już istniejących mechanizmów oraz ich potencjalnej równoważności – i uważa, że należy ustanowić mechanizm podejmowania decyzji w krótkim terminie.</w:t>
      </w:r>
    </w:p>
    <w:p w:rsidRPr="00073C8F" w:rsidR="00712A05" w:rsidP="00596171" w:rsidRDefault="00712A05" w14:paraId="5D5A7059" w14:textId="2CF05F72">
      <w:pPr>
        <w:numPr>
          <w:ilvl w:val="0"/>
          <w:numId w:val="33"/>
        </w:numPr>
        <w:suppressAutoHyphens/>
        <w:overflowPunct w:val="0"/>
        <w:autoSpaceDE w:val="0"/>
        <w:autoSpaceDN w:val="0"/>
        <w:adjustRightInd w:val="0"/>
        <w:ind w:left="567" w:hanging="567"/>
        <w:textAlignment w:val="baseline"/>
      </w:pPr>
      <w:r w:rsidRPr="00073C8F">
        <w:t>Popiera propozycję, by umożliwić nieuznanym organizacjom producentów korzystanie z takich samych wyjątków od reguł konkurencji jak te przyznane uznanym organizacjom producentów, ale proponuje, by ta możliwość była krokiem przejściowym na drodze do oficjalnego uznania w</w:t>
      </w:r>
      <w:r w:rsidR="00E421E9">
        <w:t> </w:t>
      </w:r>
      <w:r w:rsidRPr="00073C8F">
        <w:t>ciągu dwóch lat.</w:t>
      </w:r>
    </w:p>
    <w:p w:rsidRPr="00073C8F" w:rsidR="00712A05" w:rsidP="00596171" w:rsidRDefault="00712A05" w14:paraId="7194F3A6" w14:textId="77777777">
      <w:pPr>
        <w:numPr>
          <w:ilvl w:val="0"/>
          <w:numId w:val="33"/>
        </w:numPr>
        <w:suppressAutoHyphens/>
        <w:overflowPunct w:val="0"/>
        <w:autoSpaceDE w:val="0"/>
        <w:autoSpaceDN w:val="0"/>
        <w:adjustRightInd w:val="0"/>
        <w:ind w:left="567" w:hanging="567"/>
        <w:textAlignment w:val="baseline"/>
      </w:pPr>
      <w:r w:rsidRPr="00073C8F">
        <w:t>Odnosi się pozytywnie do określenia sposobów użycia słów „sprawiedliwy”, „uczciwy” oraz „krótki łańcuch”, a także zaleca doprecyzowanie pojęć „uczciwy” i „sprawiedliwy”, w tym odnośnie do wynagrodzenia producentów. Należy także zapewniać odpowiedni poziom życia społeczności sektora rolno-spożywczego.</w:t>
      </w:r>
    </w:p>
    <w:p w:rsidRPr="00073C8F" w:rsidR="00712A05" w:rsidP="00596171" w:rsidRDefault="00712A05" w14:paraId="7A542807" w14:textId="77777777">
      <w:pPr>
        <w:numPr>
          <w:ilvl w:val="0"/>
          <w:numId w:val="33"/>
        </w:numPr>
        <w:suppressAutoHyphens/>
        <w:overflowPunct w:val="0"/>
        <w:autoSpaceDE w:val="0"/>
        <w:autoSpaceDN w:val="0"/>
        <w:adjustRightInd w:val="0"/>
        <w:ind w:left="567" w:hanging="567"/>
        <w:textAlignment w:val="baseline"/>
      </w:pPr>
      <w:r w:rsidRPr="00073C8F">
        <w:t>Popiera propozycję Komisji w sprawie lepszego uwzględnienia celów zrównoważonego rozwoju w praktykach uzgodnionych między producentami ( w tym w kwestii poprawy warunków pracy i bezpieczeństwa).</w:t>
      </w:r>
    </w:p>
    <w:p w:rsidRPr="00073C8F" w:rsidR="00712A05" w:rsidP="00596171" w:rsidRDefault="00712A05" w14:paraId="09909726" w14:textId="77777777">
      <w:pPr>
        <w:numPr>
          <w:ilvl w:val="0"/>
          <w:numId w:val="33"/>
        </w:numPr>
        <w:suppressAutoHyphens/>
        <w:overflowPunct w:val="0"/>
        <w:autoSpaceDE w:val="0"/>
        <w:autoSpaceDN w:val="0"/>
        <w:adjustRightInd w:val="0"/>
        <w:ind w:left="567" w:hanging="567"/>
        <w:textAlignment w:val="baseline"/>
      </w:pPr>
      <w:r w:rsidRPr="00073C8F">
        <w:t>Zaleca przegląd i aktualizację progów referencyjnych dla produktów rolnych w celu dostosowania ich do obecnych warunków gospodarczych.</w:t>
      </w:r>
    </w:p>
    <w:p w:rsidRPr="00073C8F" w:rsidR="00712A05" w:rsidP="00596171" w:rsidRDefault="00712A05" w14:paraId="0B033100" w14:textId="77777777">
      <w:pPr>
        <w:numPr>
          <w:ilvl w:val="0"/>
          <w:numId w:val="33"/>
        </w:numPr>
        <w:suppressAutoHyphens/>
        <w:overflowPunct w:val="0"/>
        <w:autoSpaceDE w:val="0"/>
        <w:autoSpaceDN w:val="0"/>
        <w:adjustRightInd w:val="0"/>
        <w:ind w:left="567" w:hanging="567"/>
        <w:textAlignment w:val="baseline"/>
      </w:pPr>
      <w:r w:rsidRPr="00073C8F">
        <w:lastRenderedPageBreak/>
        <w:t>Proponuje uruchomienie doraźnego wsparcia finansowego zamiast rezerwy rolnej w celu wsparcia podmiotów gospodarczych w razie poważnego zakłócenia równowagi na rynku.</w:t>
      </w:r>
    </w:p>
    <w:p w:rsidRPr="00073C8F" w:rsidR="004B7F1C" w:rsidP="00241CB3" w:rsidRDefault="004B7F1C" w14:paraId="01BD518F" w14:textId="77777777">
      <w:pPr>
        <w:suppressAutoHyphens/>
      </w:pPr>
    </w:p>
    <w:tbl>
      <w:tblPr>
        <w:tblW w:w="2961" w:type="pct"/>
        <w:tblLook w:val="04A0" w:firstRow="1" w:lastRow="0" w:firstColumn="1" w:lastColumn="0" w:noHBand="0" w:noVBand="1"/>
      </w:tblPr>
      <w:tblGrid>
        <w:gridCol w:w="1713"/>
        <w:gridCol w:w="3788"/>
      </w:tblGrid>
      <w:tr w:rsidRPr="00073C8F" w:rsidR="00712A05" w:rsidTr="001E41BA" w14:paraId="51FDD3A4" w14:textId="77777777">
        <w:tc>
          <w:tcPr>
            <w:tcW w:w="1557" w:type="pct"/>
          </w:tcPr>
          <w:p w:rsidRPr="00073C8F" w:rsidR="00712A05" w:rsidP="00241CB3" w:rsidRDefault="00712A05" w14:paraId="147B7637" w14:textId="77777777">
            <w:pPr>
              <w:suppressAutoHyphens/>
              <w:overflowPunct w:val="0"/>
              <w:autoSpaceDE w:val="0"/>
              <w:autoSpaceDN w:val="0"/>
              <w:adjustRightInd w:val="0"/>
              <w:textAlignment w:val="baseline"/>
              <w:rPr>
                <w:i/>
              </w:rPr>
            </w:pPr>
            <w:r w:rsidRPr="00073C8F">
              <w:rPr>
                <w:b/>
                <w:i/>
              </w:rPr>
              <w:t xml:space="preserve">Kontakt </w:t>
            </w:r>
          </w:p>
        </w:tc>
        <w:tc>
          <w:tcPr>
            <w:tcW w:w="3443" w:type="pct"/>
          </w:tcPr>
          <w:p w:rsidRPr="00073C8F" w:rsidR="00712A05" w:rsidP="00241CB3" w:rsidRDefault="00712A05" w14:paraId="5F72CBB5" w14:textId="38137BD5">
            <w:pPr>
              <w:suppressAutoHyphens/>
              <w:overflowPunct w:val="0"/>
              <w:autoSpaceDE w:val="0"/>
              <w:autoSpaceDN w:val="0"/>
              <w:adjustRightInd w:val="0"/>
              <w:textAlignment w:val="baseline"/>
              <w:rPr>
                <w:i/>
              </w:rPr>
            </w:pPr>
            <w:r w:rsidRPr="00073C8F">
              <w:rPr>
                <w:i/>
              </w:rPr>
              <w:t>Martine Delanoy</w:t>
            </w:r>
          </w:p>
        </w:tc>
      </w:tr>
      <w:tr w:rsidRPr="00073C8F" w:rsidR="00712A05" w:rsidTr="001E41BA" w14:paraId="143DAFC5" w14:textId="77777777">
        <w:tc>
          <w:tcPr>
            <w:tcW w:w="1557" w:type="pct"/>
          </w:tcPr>
          <w:p w:rsidRPr="00073C8F" w:rsidR="00712A05" w:rsidP="00241CB3" w:rsidRDefault="00712A05" w14:paraId="11AD2235" w14:textId="77777777">
            <w:pPr>
              <w:suppressAutoHyphens/>
              <w:overflowPunct w:val="0"/>
              <w:autoSpaceDE w:val="0"/>
              <w:autoSpaceDN w:val="0"/>
              <w:adjustRightInd w:val="0"/>
              <w:textAlignment w:val="baseline"/>
              <w:rPr>
                <w:i/>
              </w:rPr>
            </w:pPr>
            <w:r w:rsidRPr="00073C8F">
              <w:rPr>
                <w:i/>
              </w:rPr>
              <w:t>tel.</w:t>
            </w:r>
          </w:p>
        </w:tc>
        <w:tc>
          <w:tcPr>
            <w:tcW w:w="3443" w:type="pct"/>
          </w:tcPr>
          <w:p w:rsidRPr="00073C8F" w:rsidR="00712A05" w:rsidP="00241CB3" w:rsidRDefault="00712A05" w14:paraId="3A0606BF" w14:textId="77777777">
            <w:pPr>
              <w:suppressAutoHyphens/>
              <w:overflowPunct w:val="0"/>
              <w:autoSpaceDE w:val="0"/>
              <w:autoSpaceDN w:val="0"/>
              <w:adjustRightInd w:val="0"/>
              <w:textAlignment w:val="baseline"/>
              <w:rPr>
                <w:i/>
              </w:rPr>
            </w:pPr>
            <w:r w:rsidRPr="00073C8F">
              <w:rPr>
                <w:i/>
              </w:rPr>
              <w:t>+32 2 5469802</w:t>
            </w:r>
          </w:p>
        </w:tc>
      </w:tr>
      <w:tr w:rsidRPr="00073C8F" w:rsidR="00712A05" w:rsidTr="001E41BA" w14:paraId="6AD086D9" w14:textId="77777777">
        <w:tc>
          <w:tcPr>
            <w:tcW w:w="1557" w:type="pct"/>
          </w:tcPr>
          <w:p w:rsidRPr="00073C8F" w:rsidR="00712A05" w:rsidP="00241CB3" w:rsidRDefault="00712A05" w14:paraId="1D8CDF00" w14:textId="77777777">
            <w:pPr>
              <w:suppressAutoHyphens/>
              <w:overflowPunct w:val="0"/>
              <w:autoSpaceDE w:val="0"/>
              <w:autoSpaceDN w:val="0"/>
              <w:adjustRightInd w:val="0"/>
              <w:textAlignment w:val="baseline"/>
              <w:rPr>
                <w:i/>
              </w:rPr>
            </w:pPr>
            <w:r w:rsidRPr="00073C8F">
              <w:rPr>
                <w:i/>
              </w:rPr>
              <w:t>e-mail</w:t>
            </w:r>
          </w:p>
        </w:tc>
        <w:tc>
          <w:tcPr>
            <w:tcW w:w="3443" w:type="pct"/>
          </w:tcPr>
          <w:p w:rsidRPr="00073C8F" w:rsidR="00712A05" w:rsidP="00241CB3" w:rsidRDefault="00A46594" w14:paraId="4053D2F3" w14:textId="77777777">
            <w:pPr>
              <w:suppressAutoHyphens/>
              <w:overflowPunct w:val="0"/>
              <w:autoSpaceDE w:val="0"/>
              <w:autoSpaceDN w:val="0"/>
              <w:adjustRightInd w:val="0"/>
              <w:textAlignment w:val="baseline"/>
              <w:rPr>
                <w:i/>
              </w:rPr>
            </w:pPr>
            <w:hyperlink w:history="1" r:id="rId45">
              <w:r w:rsidRPr="00073C8F" w:rsidR="0081023C">
                <w:rPr>
                  <w:i/>
                  <w:color w:val="0000FF"/>
                  <w:u w:val="single"/>
                </w:rPr>
                <w:t>Martine.Delanoy@eesc.europa.eu</w:t>
              </w:r>
            </w:hyperlink>
            <w:r w:rsidRPr="00073C8F" w:rsidR="0081023C">
              <w:rPr>
                <w:i/>
              </w:rPr>
              <w:t xml:space="preserve"> </w:t>
            </w:r>
          </w:p>
        </w:tc>
      </w:tr>
    </w:tbl>
    <w:p w:rsidRPr="00073C8F" w:rsidR="007F5784" w:rsidP="00241CB3" w:rsidRDefault="007F5784" w14:paraId="715DB2BD" w14:textId="7C86CFFB">
      <w:pPr>
        <w:suppressAutoHyphens/>
        <w:jc w:val="left"/>
      </w:pPr>
      <w:r w:rsidRPr="00073C8F">
        <w:br w:type="page"/>
      </w:r>
    </w:p>
    <w:p w:rsidRPr="00073C8F" w:rsidR="007F5784" w:rsidP="00241CB3" w:rsidRDefault="007F5784" w14:paraId="14026A78" w14:textId="4FAE1588">
      <w:pPr>
        <w:pStyle w:val="Heading1"/>
        <w:suppressAutoHyphens/>
        <w:rPr>
          <w:b/>
        </w:rPr>
      </w:pPr>
      <w:bookmarkStart w:name="_Toc195264690" w:id="11"/>
      <w:r w:rsidRPr="00073C8F">
        <w:rPr>
          <w:b/>
        </w:rPr>
        <w:lastRenderedPageBreak/>
        <w:t>STOSUNKI ZEWNĘTRZNE</w:t>
      </w:r>
      <w:bookmarkEnd w:id="11"/>
    </w:p>
    <w:p w:rsidRPr="00073C8F" w:rsidR="00763D5C" w:rsidP="00241CB3" w:rsidRDefault="00763D5C" w14:paraId="57876725" w14:textId="77777777">
      <w:pPr>
        <w:suppressAutoHyphens/>
      </w:pPr>
    </w:p>
    <w:p w:rsidRPr="00073C8F" w:rsidR="00763D5C" w:rsidP="00272AC2" w:rsidRDefault="00A46594" w14:paraId="78EB4FF7" w14:textId="34E17BD5">
      <w:pPr>
        <w:numPr>
          <w:ilvl w:val="0"/>
          <w:numId w:val="13"/>
        </w:numPr>
        <w:suppressAutoHyphens/>
        <w:overflowPunct w:val="0"/>
        <w:autoSpaceDE w:val="0"/>
        <w:autoSpaceDN w:val="0"/>
        <w:adjustRightInd w:val="0"/>
        <w:ind w:hanging="567"/>
        <w:textAlignment w:val="baseline"/>
        <w:rPr>
          <w:sz w:val="28"/>
          <w:szCs w:val="28"/>
        </w:rPr>
      </w:pPr>
      <w:hyperlink r:id="rId46">
        <w:r w:rsidRPr="00073C8F" w:rsidR="0081023C">
          <w:rPr>
            <w:b/>
            <w:i/>
            <w:color w:val="0000FF"/>
            <w:sz w:val="28"/>
            <w:szCs w:val="28"/>
            <w:u w:val="single"/>
          </w:rPr>
          <w:t>Konkurencyjność i bezpieczeństwo gospodarcze – w jaki sposób polityka handlowa UE powinna przyczynić się do osiągnięcia celów wskazanych w</w:t>
        </w:r>
        <w:r w:rsidR="00272AC2">
          <w:rPr>
            <w:b/>
            <w:i/>
            <w:color w:val="0000FF"/>
            <w:sz w:val="28"/>
            <w:szCs w:val="28"/>
            <w:u w:val="single"/>
          </w:rPr>
          <w:t> </w:t>
        </w:r>
        <w:r w:rsidRPr="00073C8F" w:rsidR="0081023C">
          <w:rPr>
            <w:b/>
            <w:i/>
            <w:color w:val="0000FF"/>
            <w:sz w:val="28"/>
            <w:szCs w:val="28"/>
            <w:u w:val="single"/>
          </w:rPr>
          <w:t>sprawozdaniu Draghiego?</w:t>
        </w:r>
      </w:hyperlink>
    </w:p>
    <w:p w:rsidRPr="00073C8F" w:rsidR="00763D5C" w:rsidP="00241CB3" w:rsidRDefault="00763D5C" w14:paraId="7667A326" w14:textId="77777777">
      <w:pPr>
        <w:suppressAutoHyphens/>
        <w:overflowPunct w:val="0"/>
        <w:autoSpaceDE w:val="0"/>
        <w:autoSpaceDN w:val="0"/>
        <w:adjustRightInd w:val="0"/>
        <w:jc w:val="left"/>
        <w:textAlignment w:val="baseline"/>
      </w:pPr>
    </w:p>
    <w:tbl>
      <w:tblPr>
        <w:tblW w:w="5000" w:type="pct"/>
        <w:tblLook w:val="04A0" w:firstRow="1" w:lastRow="0" w:firstColumn="1" w:lastColumn="0" w:noHBand="0" w:noVBand="1"/>
      </w:tblPr>
      <w:tblGrid>
        <w:gridCol w:w="1915"/>
        <w:gridCol w:w="7374"/>
      </w:tblGrid>
      <w:tr w:rsidRPr="00073C8F" w:rsidR="00763D5C" w:rsidTr="00601805" w14:paraId="2FB21A80" w14:textId="77777777">
        <w:trPr>
          <w:trHeight w:val="330"/>
        </w:trPr>
        <w:tc>
          <w:tcPr>
            <w:tcW w:w="1031" w:type="pct"/>
          </w:tcPr>
          <w:p w:rsidRPr="00073C8F" w:rsidR="00763D5C" w:rsidP="00601805" w:rsidRDefault="00763D5C" w14:paraId="00EAE2B8" w14:textId="77777777">
            <w:pPr>
              <w:tabs>
                <w:tab w:val="center" w:pos="284"/>
              </w:tabs>
              <w:suppressAutoHyphens/>
              <w:overflowPunct w:val="0"/>
              <w:autoSpaceDE w:val="0"/>
              <w:autoSpaceDN w:val="0"/>
              <w:adjustRightInd w:val="0"/>
              <w:textAlignment w:val="baseline"/>
              <w:rPr>
                <w:b/>
              </w:rPr>
            </w:pPr>
            <w:r w:rsidRPr="00073C8F">
              <w:rPr>
                <w:b/>
              </w:rPr>
              <w:t>Sprawozdawczyni</w:t>
            </w:r>
          </w:p>
        </w:tc>
        <w:tc>
          <w:tcPr>
            <w:tcW w:w="3969" w:type="pct"/>
          </w:tcPr>
          <w:p w:rsidR="001937F3" w:rsidP="00601805" w:rsidRDefault="00763D5C" w14:paraId="6BD22387" w14:textId="77777777">
            <w:pPr>
              <w:tabs>
                <w:tab w:val="center" w:pos="2585"/>
              </w:tabs>
              <w:suppressAutoHyphens/>
              <w:overflowPunct w:val="0"/>
              <w:autoSpaceDE w:val="0"/>
              <w:autoSpaceDN w:val="0"/>
              <w:adjustRightInd w:val="0"/>
              <w:jc w:val="left"/>
              <w:textAlignment w:val="baseline"/>
            </w:pPr>
            <w:r w:rsidRPr="00073C8F">
              <w:rPr>
                <w:b/>
              </w:rPr>
              <w:t xml:space="preserve">Georgi STOJEW </w:t>
            </w:r>
            <w:r w:rsidRPr="00073C8F">
              <w:t>(Grupa Pracodawców – BG)</w:t>
            </w:r>
          </w:p>
          <w:p w:rsidRPr="00073C8F" w:rsidR="00601805" w:rsidP="00601805" w:rsidRDefault="00601805" w14:paraId="4E084E56" w14:textId="3F639EDC">
            <w:pPr>
              <w:tabs>
                <w:tab w:val="center" w:pos="2585"/>
              </w:tabs>
              <w:suppressAutoHyphens/>
              <w:overflowPunct w:val="0"/>
              <w:autoSpaceDE w:val="0"/>
              <w:autoSpaceDN w:val="0"/>
              <w:adjustRightInd w:val="0"/>
              <w:jc w:val="left"/>
              <w:textAlignment w:val="baseline"/>
            </w:pPr>
          </w:p>
        </w:tc>
      </w:tr>
      <w:tr w:rsidRPr="00073C8F" w:rsidR="00763D5C" w:rsidTr="00601805" w14:paraId="4877505B" w14:textId="77777777">
        <w:tc>
          <w:tcPr>
            <w:tcW w:w="1031" w:type="pct"/>
          </w:tcPr>
          <w:p w:rsidRPr="00073C8F" w:rsidR="00763D5C" w:rsidP="00601805" w:rsidRDefault="00763D5C" w14:paraId="5EAF7CF6" w14:textId="77777777">
            <w:pPr>
              <w:tabs>
                <w:tab w:val="center" w:pos="284"/>
              </w:tabs>
              <w:suppressAutoHyphens/>
              <w:overflowPunct w:val="0"/>
              <w:autoSpaceDE w:val="0"/>
              <w:autoSpaceDN w:val="0"/>
              <w:adjustRightInd w:val="0"/>
              <w:textAlignment w:val="baseline"/>
              <w:rPr>
                <w:b/>
              </w:rPr>
            </w:pPr>
            <w:r w:rsidRPr="00073C8F">
              <w:rPr>
                <w:b/>
              </w:rPr>
              <w:t>Dokumenty</w:t>
            </w:r>
          </w:p>
        </w:tc>
        <w:tc>
          <w:tcPr>
            <w:tcW w:w="3969" w:type="pct"/>
          </w:tcPr>
          <w:p w:rsidRPr="00073C8F" w:rsidR="001937F3" w:rsidP="00601805" w:rsidRDefault="001937F3" w14:paraId="0278820E" w14:textId="660B3602">
            <w:pPr>
              <w:suppressAutoHyphens/>
              <w:overflowPunct w:val="0"/>
              <w:autoSpaceDE w:val="0"/>
              <w:autoSpaceDN w:val="0"/>
              <w:adjustRightInd w:val="0"/>
              <w:textAlignment w:val="baseline"/>
            </w:pPr>
            <w:r w:rsidRPr="00073C8F">
              <w:t>Opinia rozpoznawcza na wniosek polskiej prezydencji Rady UE</w:t>
            </w:r>
          </w:p>
          <w:p w:rsidRPr="00073C8F" w:rsidR="00763D5C" w:rsidP="00601805" w:rsidRDefault="00763D5C" w14:paraId="0D59C8C1" w14:textId="68684052">
            <w:pPr>
              <w:tabs>
                <w:tab w:val="center" w:pos="284"/>
              </w:tabs>
              <w:suppressAutoHyphens/>
              <w:overflowPunct w:val="0"/>
              <w:autoSpaceDE w:val="0"/>
              <w:autoSpaceDN w:val="0"/>
              <w:adjustRightInd w:val="0"/>
              <w:textAlignment w:val="baseline"/>
            </w:pPr>
            <w:r w:rsidRPr="00073C8F">
              <w:t>EESC-2025-00020-00-00-AC</w:t>
            </w:r>
          </w:p>
        </w:tc>
      </w:tr>
    </w:tbl>
    <w:p w:rsidRPr="00073C8F" w:rsidR="00763D5C" w:rsidP="00241CB3" w:rsidRDefault="00763D5C" w14:paraId="24528E66" w14:textId="77777777">
      <w:pPr>
        <w:tabs>
          <w:tab w:val="center" w:pos="284"/>
        </w:tabs>
        <w:suppressAutoHyphens/>
        <w:overflowPunct w:val="0"/>
        <w:autoSpaceDE w:val="0"/>
        <w:autoSpaceDN w:val="0"/>
        <w:adjustRightInd w:val="0"/>
        <w:ind w:left="266" w:hanging="266"/>
        <w:textAlignment w:val="baseline"/>
        <w:rPr>
          <w:b/>
        </w:rPr>
      </w:pPr>
    </w:p>
    <w:p w:rsidRPr="00073C8F" w:rsidR="00763D5C" w:rsidP="00241CB3" w:rsidRDefault="00763D5C" w14:paraId="0E2DA2A5" w14:textId="77777777">
      <w:pPr>
        <w:tabs>
          <w:tab w:val="center" w:pos="284"/>
        </w:tabs>
        <w:suppressAutoHyphens/>
        <w:overflowPunct w:val="0"/>
        <w:autoSpaceDE w:val="0"/>
        <w:autoSpaceDN w:val="0"/>
        <w:adjustRightInd w:val="0"/>
        <w:ind w:left="266" w:hanging="266"/>
        <w:textAlignment w:val="baseline"/>
        <w:rPr>
          <w:b/>
        </w:rPr>
      </w:pPr>
      <w:r w:rsidRPr="00073C8F">
        <w:rPr>
          <w:b/>
        </w:rPr>
        <w:t>Główne punkty</w:t>
      </w:r>
    </w:p>
    <w:p w:rsidRPr="00073C8F" w:rsidR="00763D5C" w:rsidP="00241CB3" w:rsidRDefault="00763D5C" w14:paraId="07C54147" w14:textId="77777777">
      <w:pPr>
        <w:tabs>
          <w:tab w:val="center" w:pos="284"/>
        </w:tabs>
        <w:suppressAutoHyphens/>
        <w:overflowPunct w:val="0"/>
        <w:autoSpaceDE w:val="0"/>
        <w:autoSpaceDN w:val="0"/>
        <w:adjustRightInd w:val="0"/>
        <w:ind w:left="266" w:hanging="266"/>
        <w:textAlignment w:val="baseline"/>
        <w:rPr>
          <w:b/>
        </w:rPr>
      </w:pPr>
    </w:p>
    <w:p w:rsidR="00763D5C" w:rsidP="00241CB3" w:rsidRDefault="00763D5C" w14:paraId="3565F026" w14:textId="73D01CB7">
      <w:pPr>
        <w:suppressAutoHyphens/>
        <w:overflowPunct w:val="0"/>
        <w:autoSpaceDE w:val="0"/>
        <w:autoSpaceDN w:val="0"/>
        <w:adjustRightInd w:val="0"/>
        <w:textAlignment w:val="baseline"/>
      </w:pPr>
      <w:r w:rsidRPr="00073C8F">
        <w:t>EKES:</w:t>
      </w:r>
    </w:p>
    <w:p w:rsidRPr="00073C8F" w:rsidR="00601805" w:rsidP="00241CB3" w:rsidRDefault="00601805" w14:paraId="11EA8428" w14:textId="77777777">
      <w:pPr>
        <w:suppressAutoHyphens/>
        <w:overflowPunct w:val="0"/>
        <w:autoSpaceDE w:val="0"/>
        <w:autoSpaceDN w:val="0"/>
        <w:adjustRightInd w:val="0"/>
        <w:textAlignment w:val="baseline"/>
        <w:rPr>
          <w:bCs/>
          <w:iCs/>
        </w:rPr>
      </w:pPr>
    </w:p>
    <w:p w:rsidRPr="00073C8F" w:rsidR="00763D5C" w:rsidP="00596171" w:rsidRDefault="00763D5C" w14:paraId="22BAB3DA" w14:textId="468744D3">
      <w:pPr>
        <w:pStyle w:val="ListParagraph"/>
        <w:numPr>
          <w:ilvl w:val="0"/>
          <w:numId w:val="35"/>
        </w:numPr>
        <w:suppressAutoHyphens/>
        <w:overflowPunct w:val="0"/>
        <w:autoSpaceDE w:val="0"/>
        <w:autoSpaceDN w:val="0"/>
        <w:adjustRightInd w:val="0"/>
        <w:ind w:left="567" w:hanging="567"/>
        <w:contextualSpacing w:val="0"/>
        <w:textAlignment w:val="baseline"/>
      </w:pPr>
      <w:r w:rsidRPr="00073C8F">
        <w:t>Uważa, że jeśli handel ma skutecznie przyczynić się do osiągnięcia celów określonych w</w:t>
      </w:r>
      <w:r w:rsidR="00E421E9">
        <w:t> </w:t>
      </w:r>
      <w:r w:rsidRPr="00073C8F">
        <w:t>sprawozdaniu Draghiego, polityka handlowa musi być ściśle skoordynowana z polityką przemysłową i europejską polityką bezpieczeństwa gospodarczego. Wymaga to wspólnej europejskiej strategii na rzecz polityki zagranicznej i bezpieczeństwa, której jednym z głównych elementów jest zagraniczna polityka gospodarcza i handlowa.</w:t>
      </w:r>
    </w:p>
    <w:p w:rsidRPr="00073C8F" w:rsidR="00763D5C" w:rsidP="00596171" w:rsidRDefault="00763D5C" w14:paraId="6F928810" w14:textId="109E0F72">
      <w:pPr>
        <w:pStyle w:val="ListParagraph"/>
        <w:numPr>
          <w:ilvl w:val="0"/>
          <w:numId w:val="35"/>
        </w:numPr>
        <w:suppressAutoHyphens/>
        <w:overflowPunct w:val="0"/>
        <w:autoSpaceDE w:val="0"/>
        <w:autoSpaceDN w:val="0"/>
        <w:adjustRightInd w:val="0"/>
        <w:ind w:left="567" w:hanging="567"/>
        <w:contextualSpacing w:val="0"/>
        <w:textAlignment w:val="baseline"/>
      </w:pPr>
      <w:r w:rsidRPr="00073C8F">
        <w:t>Wskazuje, że główne cele tej koordynacji polityki powinny być zgodne ze zintegrowaną koncepcją otwartej, zrównoważonej i asertywnej polityki handlowej, zmierzającą między innymi do: a) zabezpieczenia dostaw surowców krytycznych i ogólnie zrównoważonego charakteru łańcuchów dostaw; b) sprawienia, by Europa mogła być konkurencyjna i</w:t>
      </w:r>
      <w:r w:rsidR="00E421E9">
        <w:t> </w:t>
      </w:r>
      <w:r w:rsidRPr="00073C8F">
        <w:t>produkować z wykorzystaniem najbardziej zaawansowanych technologii oraz przewodzić sprawiedliwej i zrównoważonej transformacji ekologicznej i cyfrowej; c) przyczynienia się do znaczącego obniżenia cen energii, które są głównym czynnikiem utraty konkurencyjności przez europejską gospodarkę.</w:t>
      </w:r>
    </w:p>
    <w:p w:rsidRPr="00073C8F" w:rsidR="00763D5C" w:rsidP="00596171" w:rsidRDefault="00763D5C" w14:paraId="637AADCB" w14:textId="32A8450B">
      <w:pPr>
        <w:pStyle w:val="ListParagraph"/>
        <w:numPr>
          <w:ilvl w:val="0"/>
          <w:numId w:val="35"/>
        </w:numPr>
        <w:suppressAutoHyphens/>
        <w:overflowPunct w:val="0"/>
        <w:autoSpaceDE w:val="0"/>
        <w:autoSpaceDN w:val="0"/>
        <w:adjustRightInd w:val="0"/>
        <w:ind w:left="567" w:hanging="567"/>
        <w:contextualSpacing w:val="0"/>
        <w:textAlignment w:val="baseline"/>
      </w:pPr>
      <w:r w:rsidRPr="00073C8F">
        <w:t>Uważa, że w świetle obecnych zmiennych okoliczności potrzebne są jednolite działania i</w:t>
      </w:r>
      <w:r w:rsidR="00E421E9">
        <w:t> </w:t>
      </w:r>
      <w:r w:rsidRPr="00073C8F">
        <w:t>ewentualnie reakcja na szczeblu UE. Będzie to wymagało silnego przywództwa, w tym wykorzystania istniejących narzędzi ochrony handlu, jeżeli cła będą nakładane nielegalnie, z</w:t>
      </w:r>
      <w:r w:rsidR="00E421E9">
        <w:t> </w:t>
      </w:r>
      <w:r w:rsidRPr="00073C8F">
        <w:t>uwzględnieniem ceł odwetowych oraz działań dyplomacji gospodarczej i w ramach WTO. Zdecydowanie zaleca się również dywersyfikację handlu.</w:t>
      </w:r>
    </w:p>
    <w:p w:rsidRPr="00073C8F" w:rsidR="00763D5C" w:rsidP="00596171" w:rsidRDefault="00763D5C" w14:paraId="746A38CF" w14:textId="48E93494">
      <w:pPr>
        <w:pStyle w:val="ListParagraph"/>
        <w:numPr>
          <w:ilvl w:val="0"/>
          <w:numId w:val="35"/>
        </w:numPr>
        <w:suppressAutoHyphens/>
        <w:overflowPunct w:val="0"/>
        <w:autoSpaceDE w:val="0"/>
        <w:autoSpaceDN w:val="0"/>
        <w:adjustRightInd w:val="0"/>
        <w:ind w:left="567" w:hanging="567"/>
        <w:contextualSpacing w:val="0"/>
        <w:textAlignment w:val="baseline"/>
      </w:pPr>
      <w:r w:rsidRPr="00073C8F">
        <w:t>Proponuje utworzenie unijnego funduszu inwestycyjnego na rzecz odporności gospodarczej i</w:t>
      </w:r>
      <w:r w:rsidR="00E421E9">
        <w:t> </w:t>
      </w:r>
      <w:r w:rsidRPr="00073C8F">
        <w:t>zrównoważonej konkurencyjności, aby przyczynić się do wzmocnienia zdolności finansowej UE i zdolności EBI do udzielania pożyczek w celu wspierania programów InvestEU. Ukończenie tworzenia unii bankowej i unii rynków kapitałowych ułatwiłoby transfer kapitału prywatnego do inwestycji w znacznie większym tempie.</w:t>
      </w:r>
    </w:p>
    <w:p w:rsidRPr="00073C8F" w:rsidR="00763D5C" w:rsidP="00596171" w:rsidRDefault="00763D5C" w14:paraId="2A1244E7" w14:textId="00A359A3">
      <w:pPr>
        <w:pStyle w:val="ListParagraph"/>
        <w:numPr>
          <w:ilvl w:val="0"/>
          <w:numId w:val="35"/>
        </w:numPr>
        <w:suppressAutoHyphens/>
        <w:overflowPunct w:val="0"/>
        <w:autoSpaceDE w:val="0"/>
        <w:autoSpaceDN w:val="0"/>
        <w:adjustRightInd w:val="0"/>
        <w:ind w:left="567" w:hanging="567"/>
        <w:contextualSpacing w:val="0"/>
        <w:textAlignment w:val="baseline"/>
      </w:pPr>
      <w:r w:rsidRPr="00073C8F">
        <w:t>Podkreśla, że aby unijne normy handlowe mogły nadal skuteczne chronić szersze interesy UE, swoją rolę w procedurach negocjacyjnych musi odgrywać społeczeństwo obywatelskie. Ustrukturyzowany udział organizacji społeczeństwa obywatelskiego w formie konsultacji w</w:t>
      </w:r>
      <w:r w:rsidR="00E421E9">
        <w:t> </w:t>
      </w:r>
      <w:r w:rsidRPr="00073C8F">
        <w:t>czasie negocjacji stwarzałby okazję do tego, by zaakcentować pewne kluczowe kwestie dotyczące wpływu umów jeszcze przed ich zatwierdzeniem.</w:t>
      </w:r>
    </w:p>
    <w:p w:rsidRPr="00073C8F" w:rsidR="001937F3" w:rsidP="00241CB3" w:rsidRDefault="001937F3" w14:paraId="3A77AE44" w14:textId="77777777">
      <w:pPr>
        <w:suppressAutoHyphens/>
        <w:overflowPunct w:val="0"/>
        <w:autoSpaceDE w:val="0"/>
        <w:autoSpaceDN w:val="0"/>
        <w:adjustRightInd w:val="0"/>
        <w:ind w:left="360"/>
        <w:textAlignment w:val="baseline"/>
        <w:rPr>
          <w:lang w:eastAsia="zh-CN"/>
        </w:rPr>
      </w:pPr>
    </w:p>
    <w:tbl>
      <w:tblPr>
        <w:tblW w:w="0" w:type="auto"/>
        <w:tblLook w:val="04A0" w:firstRow="1" w:lastRow="0" w:firstColumn="1" w:lastColumn="0" w:noHBand="0" w:noVBand="1"/>
      </w:tblPr>
      <w:tblGrid>
        <w:gridCol w:w="1418"/>
        <w:gridCol w:w="5670"/>
      </w:tblGrid>
      <w:tr w:rsidRPr="00073C8F" w:rsidR="00763D5C" w:rsidTr="001E41BA" w14:paraId="1AEC144F" w14:textId="77777777">
        <w:tc>
          <w:tcPr>
            <w:tcW w:w="1418" w:type="dxa"/>
          </w:tcPr>
          <w:p w:rsidRPr="00073C8F" w:rsidR="00763D5C" w:rsidP="00241CB3" w:rsidRDefault="00763D5C" w14:paraId="19EA1462" w14:textId="77777777">
            <w:pPr>
              <w:suppressAutoHyphens/>
              <w:overflowPunct w:val="0"/>
              <w:autoSpaceDE w:val="0"/>
              <w:autoSpaceDN w:val="0"/>
              <w:adjustRightInd w:val="0"/>
              <w:textAlignment w:val="baseline"/>
              <w:rPr>
                <w:i/>
              </w:rPr>
            </w:pPr>
            <w:r w:rsidRPr="00073C8F">
              <w:rPr>
                <w:b/>
                <w:i/>
              </w:rPr>
              <w:lastRenderedPageBreak/>
              <w:t>Kontakt</w:t>
            </w:r>
          </w:p>
        </w:tc>
        <w:tc>
          <w:tcPr>
            <w:tcW w:w="5670" w:type="dxa"/>
          </w:tcPr>
          <w:p w:rsidRPr="00073C8F" w:rsidR="00763D5C" w:rsidP="00241CB3" w:rsidRDefault="00763D5C" w14:paraId="441CAB80" w14:textId="77777777">
            <w:pPr>
              <w:suppressAutoHyphens/>
              <w:overflowPunct w:val="0"/>
              <w:autoSpaceDE w:val="0"/>
              <w:autoSpaceDN w:val="0"/>
              <w:adjustRightInd w:val="0"/>
              <w:textAlignment w:val="baseline"/>
              <w:rPr>
                <w:i/>
              </w:rPr>
            </w:pPr>
            <w:r w:rsidRPr="00073C8F">
              <w:rPr>
                <w:i/>
              </w:rPr>
              <w:t>Marco Ristori</w:t>
            </w:r>
          </w:p>
        </w:tc>
      </w:tr>
      <w:tr w:rsidRPr="00073C8F" w:rsidR="00763D5C" w:rsidTr="001E41BA" w14:paraId="168364E0" w14:textId="77777777">
        <w:tc>
          <w:tcPr>
            <w:tcW w:w="1418" w:type="dxa"/>
          </w:tcPr>
          <w:p w:rsidRPr="00073C8F" w:rsidR="00763D5C" w:rsidP="00241CB3" w:rsidRDefault="00763D5C" w14:paraId="6DD3E720" w14:textId="77777777">
            <w:pPr>
              <w:suppressAutoHyphens/>
              <w:overflowPunct w:val="0"/>
              <w:autoSpaceDE w:val="0"/>
              <w:autoSpaceDN w:val="0"/>
              <w:adjustRightInd w:val="0"/>
              <w:textAlignment w:val="baseline"/>
              <w:rPr>
                <w:i/>
              </w:rPr>
            </w:pPr>
            <w:r w:rsidRPr="00073C8F">
              <w:rPr>
                <w:i/>
              </w:rPr>
              <w:t>tel.</w:t>
            </w:r>
          </w:p>
        </w:tc>
        <w:tc>
          <w:tcPr>
            <w:tcW w:w="5670" w:type="dxa"/>
          </w:tcPr>
          <w:p w:rsidRPr="00073C8F" w:rsidR="00763D5C" w:rsidP="00241CB3" w:rsidRDefault="00763D5C" w14:paraId="75569AF3" w14:textId="77777777">
            <w:pPr>
              <w:suppressAutoHyphens/>
              <w:overflowPunct w:val="0"/>
              <w:autoSpaceDE w:val="0"/>
              <w:autoSpaceDN w:val="0"/>
              <w:adjustRightInd w:val="0"/>
              <w:textAlignment w:val="baseline"/>
              <w:rPr>
                <w:i/>
              </w:rPr>
            </w:pPr>
            <w:r w:rsidRPr="00073C8F">
              <w:rPr>
                <w:i/>
              </w:rPr>
              <w:t>+32 25469969</w:t>
            </w:r>
          </w:p>
        </w:tc>
      </w:tr>
      <w:tr w:rsidRPr="00073C8F" w:rsidR="00763D5C" w:rsidTr="001E41BA" w14:paraId="4408A29A" w14:textId="77777777">
        <w:tc>
          <w:tcPr>
            <w:tcW w:w="1418" w:type="dxa"/>
          </w:tcPr>
          <w:p w:rsidRPr="00073C8F" w:rsidR="00763D5C" w:rsidP="00241CB3" w:rsidRDefault="00763D5C" w14:paraId="49C19DF2" w14:textId="77777777">
            <w:pPr>
              <w:suppressAutoHyphens/>
              <w:overflowPunct w:val="0"/>
              <w:autoSpaceDE w:val="0"/>
              <w:autoSpaceDN w:val="0"/>
              <w:adjustRightInd w:val="0"/>
              <w:textAlignment w:val="baseline"/>
              <w:rPr>
                <w:i/>
              </w:rPr>
            </w:pPr>
            <w:r w:rsidRPr="00073C8F">
              <w:rPr>
                <w:i/>
              </w:rPr>
              <w:t>e-mail</w:t>
            </w:r>
          </w:p>
        </w:tc>
        <w:tc>
          <w:tcPr>
            <w:tcW w:w="5670" w:type="dxa"/>
          </w:tcPr>
          <w:p w:rsidRPr="00073C8F" w:rsidR="00763D5C" w:rsidP="00241CB3" w:rsidRDefault="00A46594" w14:paraId="23D52C13" w14:textId="77777777">
            <w:pPr>
              <w:suppressAutoHyphens/>
              <w:overflowPunct w:val="0"/>
              <w:autoSpaceDE w:val="0"/>
              <w:autoSpaceDN w:val="0"/>
              <w:adjustRightInd w:val="0"/>
              <w:textAlignment w:val="baseline"/>
              <w:rPr>
                <w:i/>
              </w:rPr>
            </w:pPr>
            <w:hyperlink w:history="1" r:id="rId47">
              <w:r w:rsidRPr="00073C8F" w:rsidR="0081023C">
                <w:rPr>
                  <w:i/>
                  <w:color w:val="0000FF"/>
                  <w:u w:val="single"/>
                </w:rPr>
                <w:t>Marco.Ristori@eesc.europa.eu</w:t>
              </w:r>
            </w:hyperlink>
          </w:p>
        </w:tc>
      </w:tr>
    </w:tbl>
    <w:p w:rsidRPr="00073C8F" w:rsidR="001F6F1C" w:rsidP="00241CB3" w:rsidRDefault="001F6F1C" w14:paraId="50686259" w14:textId="77777777">
      <w:pPr>
        <w:suppressAutoHyphens/>
        <w:jc w:val="left"/>
      </w:pPr>
      <w:r w:rsidRPr="00073C8F">
        <w:br w:type="page"/>
      </w:r>
    </w:p>
    <w:p w:rsidRPr="00073C8F" w:rsidR="006770A8" w:rsidP="00241CB3" w:rsidRDefault="00A46594" w14:paraId="0CD972DE" w14:textId="7AE6B1EC">
      <w:pPr>
        <w:numPr>
          <w:ilvl w:val="0"/>
          <w:numId w:val="14"/>
        </w:numPr>
        <w:suppressAutoHyphens/>
        <w:overflowPunct w:val="0"/>
        <w:autoSpaceDE w:val="0"/>
        <w:autoSpaceDN w:val="0"/>
        <w:adjustRightInd w:val="0"/>
        <w:ind w:hanging="567"/>
        <w:rPr>
          <w:sz w:val="28"/>
          <w:szCs w:val="28"/>
        </w:rPr>
      </w:pPr>
      <w:hyperlink w:history="1" r:id="rId48">
        <w:r w:rsidRPr="00073C8F" w:rsidR="0081023C">
          <w:rPr>
            <w:b/>
            <w:i/>
            <w:color w:val="0000FF"/>
            <w:sz w:val="28"/>
            <w:szCs w:val="28"/>
            <w:u w:val="single"/>
          </w:rPr>
          <w:t>Partnerstwo strategiczne UE–Indie</w:t>
        </w:r>
      </w:hyperlink>
    </w:p>
    <w:p w:rsidRPr="00073C8F" w:rsidR="006770A8" w:rsidP="00241CB3" w:rsidRDefault="006770A8" w14:paraId="0D1853E4" w14:textId="77777777">
      <w:pPr>
        <w:tabs>
          <w:tab w:val="center" w:pos="284"/>
        </w:tabs>
        <w:suppressAutoHyphens/>
        <w:overflowPunct w:val="0"/>
        <w:autoSpaceDE w:val="0"/>
        <w:autoSpaceDN w:val="0"/>
        <w:adjustRightInd w:val="0"/>
        <w:ind w:left="266" w:hanging="266"/>
        <w:rPr>
          <w:b/>
        </w:rPr>
      </w:pPr>
    </w:p>
    <w:tbl>
      <w:tblPr>
        <w:tblW w:w="5000" w:type="pct"/>
        <w:tblLook w:val="04A0" w:firstRow="1" w:lastRow="0" w:firstColumn="1" w:lastColumn="0" w:noHBand="0" w:noVBand="1"/>
      </w:tblPr>
      <w:tblGrid>
        <w:gridCol w:w="2501"/>
        <w:gridCol w:w="6788"/>
      </w:tblGrid>
      <w:tr w:rsidRPr="00073C8F" w:rsidR="006770A8" w:rsidTr="00601805" w14:paraId="120C9FC7" w14:textId="77777777">
        <w:tc>
          <w:tcPr>
            <w:tcW w:w="1346" w:type="pct"/>
            <w:hideMark/>
          </w:tcPr>
          <w:p w:rsidRPr="00073C8F" w:rsidR="006770A8" w:rsidP="00601805" w:rsidRDefault="006770A8" w14:paraId="79570FDE" w14:textId="77777777">
            <w:pPr>
              <w:tabs>
                <w:tab w:val="center" w:pos="284"/>
              </w:tabs>
              <w:suppressAutoHyphens/>
              <w:overflowPunct w:val="0"/>
              <w:autoSpaceDE w:val="0"/>
              <w:autoSpaceDN w:val="0"/>
              <w:adjustRightInd w:val="0"/>
              <w:rPr>
                <w:b/>
              </w:rPr>
            </w:pPr>
            <w:r w:rsidRPr="00073C8F">
              <w:rPr>
                <w:b/>
              </w:rPr>
              <w:t>Sprawozdawca</w:t>
            </w:r>
          </w:p>
        </w:tc>
        <w:tc>
          <w:tcPr>
            <w:tcW w:w="3654" w:type="pct"/>
            <w:hideMark/>
          </w:tcPr>
          <w:p w:rsidRPr="00073C8F" w:rsidR="006770A8" w:rsidP="00601805" w:rsidRDefault="006770A8" w14:paraId="1C08A0C6" w14:textId="77777777">
            <w:pPr>
              <w:tabs>
                <w:tab w:val="center" w:pos="284"/>
              </w:tabs>
              <w:suppressAutoHyphens/>
              <w:overflowPunct w:val="0"/>
              <w:autoSpaceDE w:val="0"/>
              <w:autoSpaceDN w:val="0"/>
              <w:adjustRightInd w:val="0"/>
            </w:pPr>
            <w:r w:rsidRPr="00073C8F">
              <w:t>Aurel Laurenţiu PLOSCEANU (Grupa Pracodawców – RO)</w:t>
            </w:r>
          </w:p>
        </w:tc>
      </w:tr>
      <w:tr w:rsidRPr="00073C8F" w:rsidR="006770A8" w:rsidTr="00601805" w14:paraId="691F0E4B" w14:textId="77777777">
        <w:tc>
          <w:tcPr>
            <w:tcW w:w="5000" w:type="pct"/>
            <w:gridSpan w:val="2"/>
          </w:tcPr>
          <w:p w:rsidRPr="00073C8F" w:rsidR="006770A8" w:rsidP="00601805" w:rsidRDefault="006770A8" w14:paraId="095A5297" w14:textId="77777777">
            <w:pPr>
              <w:tabs>
                <w:tab w:val="center" w:pos="284"/>
              </w:tabs>
              <w:suppressAutoHyphens/>
              <w:overflowPunct w:val="0"/>
              <w:autoSpaceDE w:val="0"/>
              <w:autoSpaceDN w:val="0"/>
              <w:adjustRightInd w:val="0"/>
            </w:pPr>
          </w:p>
        </w:tc>
      </w:tr>
      <w:tr w:rsidRPr="00073C8F" w:rsidR="006770A8" w:rsidTr="00601805" w14:paraId="6DBF2FDE" w14:textId="77777777">
        <w:tc>
          <w:tcPr>
            <w:tcW w:w="1346" w:type="pct"/>
            <w:hideMark/>
          </w:tcPr>
          <w:p w:rsidRPr="00073C8F" w:rsidR="006770A8" w:rsidP="00601805" w:rsidRDefault="006770A8" w14:paraId="67745039" w14:textId="77777777">
            <w:pPr>
              <w:tabs>
                <w:tab w:val="center" w:pos="284"/>
              </w:tabs>
              <w:suppressAutoHyphens/>
              <w:overflowPunct w:val="0"/>
              <w:autoSpaceDE w:val="0"/>
              <w:autoSpaceDN w:val="0"/>
              <w:adjustRightInd w:val="0"/>
              <w:rPr>
                <w:b/>
              </w:rPr>
            </w:pPr>
            <w:r w:rsidRPr="00073C8F">
              <w:rPr>
                <w:b/>
              </w:rPr>
              <w:t>Dokumenty</w:t>
            </w:r>
          </w:p>
        </w:tc>
        <w:tc>
          <w:tcPr>
            <w:tcW w:w="3654" w:type="pct"/>
            <w:hideMark/>
          </w:tcPr>
          <w:p w:rsidRPr="00073C8F" w:rsidR="00180FC4" w:rsidP="00601805" w:rsidRDefault="00180FC4" w14:paraId="5CE27D97" w14:textId="28C66585">
            <w:pPr>
              <w:tabs>
                <w:tab w:val="center" w:pos="284"/>
              </w:tabs>
              <w:suppressAutoHyphens/>
              <w:overflowPunct w:val="0"/>
              <w:autoSpaceDE w:val="0"/>
              <w:autoSpaceDN w:val="0"/>
              <w:adjustRightInd w:val="0"/>
            </w:pPr>
            <w:r w:rsidRPr="00073C8F">
              <w:t>Opinia z inicjatywy własnej</w:t>
            </w:r>
          </w:p>
          <w:p w:rsidRPr="00073C8F" w:rsidR="006770A8" w:rsidP="00601805" w:rsidRDefault="006770A8" w14:paraId="74369A02" w14:textId="18966662">
            <w:pPr>
              <w:tabs>
                <w:tab w:val="center" w:pos="284"/>
              </w:tabs>
              <w:suppressAutoHyphens/>
              <w:overflowPunct w:val="0"/>
              <w:autoSpaceDE w:val="0"/>
              <w:autoSpaceDN w:val="0"/>
              <w:adjustRightInd w:val="0"/>
            </w:pPr>
            <w:r w:rsidRPr="00073C8F">
              <w:t>EESC-2024-04035-00-00-AC</w:t>
            </w:r>
          </w:p>
        </w:tc>
      </w:tr>
    </w:tbl>
    <w:p w:rsidRPr="00073C8F" w:rsidR="006770A8" w:rsidP="00241CB3" w:rsidRDefault="006770A8" w14:paraId="111E6222" w14:textId="77777777">
      <w:pPr>
        <w:tabs>
          <w:tab w:val="center" w:pos="284"/>
        </w:tabs>
        <w:suppressAutoHyphens/>
        <w:overflowPunct w:val="0"/>
        <w:autoSpaceDE w:val="0"/>
        <w:autoSpaceDN w:val="0"/>
        <w:adjustRightInd w:val="0"/>
        <w:ind w:left="266" w:hanging="266"/>
      </w:pPr>
    </w:p>
    <w:p w:rsidRPr="00073C8F" w:rsidR="006770A8" w:rsidP="00241CB3" w:rsidRDefault="006770A8" w14:paraId="55A77616" w14:textId="77777777">
      <w:pPr>
        <w:tabs>
          <w:tab w:val="center" w:pos="284"/>
        </w:tabs>
        <w:suppressAutoHyphens/>
        <w:overflowPunct w:val="0"/>
        <w:autoSpaceDE w:val="0"/>
        <w:autoSpaceDN w:val="0"/>
        <w:adjustRightInd w:val="0"/>
        <w:ind w:left="266" w:hanging="266"/>
        <w:rPr>
          <w:b/>
        </w:rPr>
      </w:pPr>
      <w:r w:rsidRPr="00073C8F">
        <w:rPr>
          <w:b/>
        </w:rPr>
        <w:t>Główne punkty</w:t>
      </w:r>
    </w:p>
    <w:p w:rsidRPr="00073C8F" w:rsidR="006770A8" w:rsidP="00241CB3" w:rsidRDefault="006770A8" w14:paraId="146A0BA0" w14:textId="77777777">
      <w:pPr>
        <w:tabs>
          <w:tab w:val="center" w:pos="284"/>
        </w:tabs>
        <w:suppressAutoHyphens/>
        <w:overflowPunct w:val="0"/>
        <w:autoSpaceDE w:val="0"/>
        <w:autoSpaceDN w:val="0"/>
        <w:adjustRightInd w:val="0"/>
        <w:ind w:left="266" w:hanging="266"/>
        <w:rPr>
          <w:b/>
        </w:rPr>
      </w:pPr>
    </w:p>
    <w:p w:rsidR="006770A8" w:rsidP="00241CB3" w:rsidRDefault="006770A8" w14:paraId="434CC69A" w14:textId="3D28476D">
      <w:pPr>
        <w:suppressAutoHyphens/>
        <w:overflowPunct w:val="0"/>
        <w:autoSpaceDE w:val="0"/>
        <w:autoSpaceDN w:val="0"/>
        <w:adjustRightInd w:val="0"/>
      </w:pPr>
      <w:r w:rsidRPr="00073C8F">
        <w:t>EKES:</w:t>
      </w:r>
    </w:p>
    <w:p w:rsidRPr="00073C8F" w:rsidR="00601805" w:rsidP="00241CB3" w:rsidRDefault="00601805" w14:paraId="4D49042D" w14:textId="77777777">
      <w:pPr>
        <w:suppressAutoHyphens/>
        <w:overflowPunct w:val="0"/>
        <w:autoSpaceDE w:val="0"/>
        <w:autoSpaceDN w:val="0"/>
        <w:adjustRightInd w:val="0"/>
        <w:rPr>
          <w:bCs/>
          <w:iCs/>
        </w:rPr>
      </w:pPr>
    </w:p>
    <w:p w:rsidRPr="00073C8F" w:rsidR="006770A8" w:rsidP="00596171" w:rsidRDefault="006770A8" w14:paraId="0ACD4BDA" w14:textId="77777777">
      <w:pPr>
        <w:numPr>
          <w:ilvl w:val="0"/>
          <w:numId w:val="36"/>
        </w:numPr>
        <w:suppressAutoHyphens/>
        <w:overflowPunct w:val="0"/>
        <w:autoSpaceDE w:val="0"/>
        <w:autoSpaceDN w:val="0"/>
        <w:adjustRightInd w:val="0"/>
        <w:ind w:left="567" w:hanging="567"/>
        <w:textAlignment w:val="baseline"/>
      </w:pPr>
      <w:r w:rsidRPr="00073C8F">
        <w:t>Wzywa Komisję Europejską do konsekwentnych działań na rzecz wzmocnienia partnerstwa strategicznego z Indiami, które są największą formalną demokracją na świecie, i do zaproponowania nowego ambitnego planu działania dostosowanego do obecnych uwarunkowań politycznych i strategicznych.</w:t>
      </w:r>
    </w:p>
    <w:p w:rsidRPr="00073C8F" w:rsidR="006770A8" w:rsidP="00596171" w:rsidRDefault="006770A8" w14:paraId="00E3A0F9" w14:textId="77777777">
      <w:pPr>
        <w:numPr>
          <w:ilvl w:val="0"/>
          <w:numId w:val="36"/>
        </w:numPr>
        <w:suppressAutoHyphens/>
        <w:overflowPunct w:val="0"/>
        <w:autoSpaceDE w:val="0"/>
        <w:autoSpaceDN w:val="0"/>
        <w:adjustRightInd w:val="0"/>
        <w:ind w:left="567" w:hanging="567"/>
        <w:textAlignment w:val="baseline"/>
      </w:pPr>
      <w:r w:rsidRPr="00073C8F">
        <w:t>Zwraca się do Komisji Europejskiej o pilne zintensyfikowanie negocjacji z Indiami w sprawie umowy o wolnym handlu, tak aby kraj ten stał się preferencyjnym partnerem Unii Europejskiej w kontekście strategicznym.</w:t>
      </w:r>
    </w:p>
    <w:p w:rsidRPr="00073C8F" w:rsidR="006770A8" w:rsidP="00596171" w:rsidRDefault="006770A8" w14:paraId="37A31B77" w14:textId="6452CA8E">
      <w:pPr>
        <w:numPr>
          <w:ilvl w:val="0"/>
          <w:numId w:val="36"/>
        </w:numPr>
        <w:suppressAutoHyphens/>
        <w:overflowPunct w:val="0"/>
        <w:autoSpaceDE w:val="0"/>
        <w:autoSpaceDN w:val="0"/>
        <w:adjustRightInd w:val="0"/>
        <w:ind w:left="567" w:hanging="567"/>
        <w:textAlignment w:val="baseline"/>
      </w:pPr>
      <w:r w:rsidRPr="00073C8F">
        <w:t>Opowiada się za dalszym rozwinięciem współpracy między UE a Indiami we wszystkich dziedzinach, przy dalszym propagowaniu sprawiedliwego i opartego na zasadach handlu międzynarodowego, sprzyjającego włączeniu społecznemu, w oparciu o wspólną historię i</w:t>
      </w:r>
      <w:r w:rsidR="00E421E9">
        <w:t> </w:t>
      </w:r>
      <w:r w:rsidRPr="00073C8F">
        <w:t>wartości naszych starożytnych cywilizacji oraz wspólnego zrozumienia współczesnych realiów.</w:t>
      </w:r>
    </w:p>
    <w:p w:rsidRPr="00073C8F" w:rsidR="006770A8" w:rsidP="00596171" w:rsidRDefault="006770A8" w14:paraId="0761881D" w14:textId="77777777">
      <w:pPr>
        <w:numPr>
          <w:ilvl w:val="0"/>
          <w:numId w:val="36"/>
        </w:numPr>
        <w:suppressAutoHyphens/>
        <w:overflowPunct w:val="0"/>
        <w:autoSpaceDE w:val="0"/>
        <w:autoSpaceDN w:val="0"/>
        <w:adjustRightInd w:val="0"/>
        <w:ind w:left="567" w:hanging="567"/>
        <w:textAlignment w:val="baseline"/>
      </w:pPr>
      <w:r w:rsidRPr="00073C8F">
        <w:t>Zaleca zacieśnienie współpracy między UE i jej państwami członkowskimi a Indiami w ramach dwustronnych i wielostronnych projektów dotyczących infrastruktury, budowy – zwłaszcza portów głębokowodnych i lotnisk – oraz połączeń energetycznych.</w:t>
      </w:r>
    </w:p>
    <w:p w:rsidRPr="00073C8F" w:rsidR="006770A8" w:rsidP="00596171" w:rsidRDefault="006770A8" w14:paraId="43AF8458" w14:textId="77777777">
      <w:pPr>
        <w:numPr>
          <w:ilvl w:val="0"/>
          <w:numId w:val="36"/>
        </w:numPr>
        <w:suppressAutoHyphens/>
        <w:overflowPunct w:val="0"/>
        <w:autoSpaceDE w:val="0"/>
        <w:autoSpaceDN w:val="0"/>
        <w:adjustRightInd w:val="0"/>
        <w:ind w:left="567" w:hanging="567"/>
        <w:textAlignment w:val="baseline"/>
      </w:pPr>
      <w:r w:rsidRPr="00073C8F">
        <w:t>Opowiada się za dalszym pogłębianiem współpracy między UE i jej państwami członkowskimi a Indiami w zakresie obronności i bezpieczeństwa, zwłaszcza w sektorze badań i rozwoju oraz innowacji, z uwzględnieniem wspólnych projektów kosmicznych i projektów podwójnego zastosowania, zwracając szczególną uwagę na wkład małych i średnich przedsiębiorstw (MŚP).</w:t>
      </w:r>
    </w:p>
    <w:p w:rsidRPr="00073C8F" w:rsidR="006770A8" w:rsidP="00596171" w:rsidRDefault="006770A8" w14:paraId="3F750C92" w14:textId="0C659017">
      <w:pPr>
        <w:numPr>
          <w:ilvl w:val="0"/>
          <w:numId w:val="36"/>
        </w:numPr>
        <w:suppressAutoHyphens/>
        <w:overflowPunct w:val="0"/>
        <w:autoSpaceDE w:val="0"/>
        <w:autoSpaceDN w:val="0"/>
        <w:adjustRightInd w:val="0"/>
        <w:ind w:left="567" w:hanging="567"/>
        <w:textAlignment w:val="baseline"/>
      </w:pPr>
      <w:r w:rsidRPr="00073C8F">
        <w:t>Zaleca zacieśnienie współpracy między UE i jej państwami członkowskimi a Indiami w</w:t>
      </w:r>
      <w:r w:rsidR="00E421E9">
        <w:t> </w:t>
      </w:r>
      <w:r w:rsidRPr="00073C8F">
        <w:t>zakresie wspólnych projektów dotyczących bezpieczeństwa morskiego, zwłaszcza w</w:t>
      </w:r>
      <w:r w:rsidR="00E421E9">
        <w:t> </w:t>
      </w:r>
      <w:r w:rsidRPr="00073C8F">
        <w:t>zachodniej części Oceanu Indyjskiego i na szlakach żeglugowych przez ten obszar.</w:t>
      </w:r>
    </w:p>
    <w:p w:rsidRPr="00073C8F" w:rsidR="006770A8" w:rsidP="00596171" w:rsidRDefault="006770A8" w14:paraId="08700666" w14:textId="60001F6C">
      <w:pPr>
        <w:numPr>
          <w:ilvl w:val="0"/>
          <w:numId w:val="36"/>
        </w:numPr>
        <w:suppressAutoHyphens/>
        <w:overflowPunct w:val="0"/>
        <w:autoSpaceDE w:val="0"/>
        <w:autoSpaceDN w:val="0"/>
        <w:adjustRightInd w:val="0"/>
        <w:ind w:left="567" w:hanging="567"/>
        <w:textAlignment w:val="baseline"/>
      </w:pPr>
      <w:r w:rsidRPr="00073C8F">
        <w:t>Zaleca dalsze rozszerzanie wymiany kulturalnej między UE i jej państwami członkowskimi a</w:t>
      </w:r>
      <w:r w:rsidR="00E421E9">
        <w:t> </w:t>
      </w:r>
      <w:r w:rsidRPr="00073C8F">
        <w:t>Indiami, w szczególności poprzez współpracę uniwersytecką i wymiany studentów, a także wymiany między pracownikami dydaktycznymi i pracownikami naukowymi.</w:t>
      </w:r>
    </w:p>
    <w:p w:rsidRPr="00073C8F" w:rsidR="006770A8" w:rsidP="00596171" w:rsidRDefault="006770A8" w14:paraId="4CB223DD" w14:textId="77777777">
      <w:pPr>
        <w:numPr>
          <w:ilvl w:val="0"/>
          <w:numId w:val="36"/>
        </w:numPr>
        <w:suppressAutoHyphens/>
        <w:overflowPunct w:val="0"/>
        <w:autoSpaceDE w:val="0"/>
        <w:autoSpaceDN w:val="0"/>
        <w:adjustRightInd w:val="0"/>
        <w:ind w:left="567" w:hanging="567"/>
        <w:textAlignment w:val="baseline"/>
      </w:pPr>
      <w:r w:rsidRPr="00073C8F">
        <w:t>Zaleca rozszerzenie współpracy z Indiami w ramach korytarza gospodarczego Indie – Bliski Wschód – Europa (IMEC). W tym celu przygotuje kompleksową opinię w sprawie projektu IMEC i jego perspektyw w najbliższej przyszłości.</w:t>
      </w:r>
    </w:p>
    <w:p w:rsidRPr="00073C8F" w:rsidR="006770A8" w:rsidP="00596171" w:rsidRDefault="006770A8" w14:paraId="6916A096" w14:textId="0B3D1EEB">
      <w:pPr>
        <w:numPr>
          <w:ilvl w:val="0"/>
          <w:numId w:val="36"/>
        </w:numPr>
        <w:suppressAutoHyphens/>
        <w:overflowPunct w:val="0"/>
        <w:autoSpaceDE w:val="0"/>
        <w:autoSpaceDN w:val="0"/>
        <w:adjustRightInd w:val="0"/>
        <w:ind w:left="567" w:hanging="567"/>
        <w:textAlignment w:val="baseline"/>
      </w:pPr>
      <w:r w:rsidRPr="00073C8F">
        <w:t>Wzywa Radę Europejską, Komisję Europejską i państwa członkowskie UE do pilnego ponownego uruchomienia Okrągłego Stołu UE</w:t>
      </w:r>
      <w:r w:rsidR="00327E60">
        <w:t>–</w:t>
      </w:r>
      <w:r w:rsidRPr="00073C8F">
        <w:t>Indie EKES-u z udziałem społeczeństwa obywatelskiego.</w:t>
      </w:r>
    </w:p>
    <w:p w:rsidRPr="00073C8F" w:rsidR="006770A8" w:rsidP="00596171" w:rsidRDefault="006770A8" w14:paraId="241B8963" w14:textId="1DE3C7F4">
      <w:pPr>
        <w:numPr>
          <w:ilvl w:val="0"/>
          <w:numId w:val="36"/>
        </w:numPr>
        <w:suppressAutoHyphens/>
        <w:overflowPunct w:val="0"/>
        <w:autoSpaceDE w:val="0"/>
        <w:autoSpaceDN w:val="0"/>
        <w:adjustRightInd w:val="0"/>
        <w:ind w:left="567" w:hanging="567"/>
        <w:textAlignment w:val="baseline"/>
      </w:pPr>
      <w:r w:rsidRPr="00073C8F">
        <w:t>Z zadowoleniem przyjmuje zbliżający się szczyt UE</w:t>
      </w:r>
      <w:r w:rsidR="00327E60">
        <w:t>–</w:t>
      </w:r>
      <w:r w:rsidRPr="00073C8F">
        <w:t>Indie, w ramach którego odbędzie się również szczyt młodzieżowy. W związku z tym mógłby wnieść w tej dziedzinie odpowiedni wkład.</w:t>
      </w:r>
    </w:p>
    <w:p w:rsidRPr="00073C8F" w:rsidR="006770A8" w:rsidP="00241CB3" w:rsidRDefault="006770A8" w14:paraId="4F726E36" w14:textId="77777777">
      <w:pPr>
        <w:suppressAutoHyphens/>
        <w:overflowPunct w:val="0"/>
        <w:autoSpaceDE w:val="0"/>
        <w:autoSpaceDN w:val="0"/>
        <w:adjustRightInd w:val="0"/>
        <w:ind w:left="709"/>
      </w:pPr>
    </w:p>
    <w:tbl>
      <w:tblPr>
        <w:tblW w:w="3516" w:type="pct"/>
        <w:tblLook w:val="04A0" w:firstRow="1" w:lastRow="0" w:firstColumn="1" w:lastColumn="0" w:noHBand="0" w:noVBand="1"/>
      </w:tblPr>
      <w:tblGrid>
        <w:gridCol w:w="2033"/>
        <w:gridCol w:w="4499"/>
      </w:tblGrid>
      <w:tr w:rsidRPr="00073C8F" w:rsidR="006770A8" w:rsidTr="006770A8" w14:paraId="1A38E1DC" w14:textId="77777777">
        <w:tc>
          <w:tcPr>
            <w:tcW w:w="1556" w:type="pct"/>
            <w:hideMark/>
          </w:tcPr>
          <w:p w:rsidRPr="00073C8F" w:rsidR="006770A8" w:rsidP="00241CB3" w:rsidRDefault="006770A8" w14:paraId="73FADFE3" w14:textId="77777777">
            <w:pPr>
              <w:suppressAutoHyphens/>
              <w:overflowPunct w:val="0"/>
              <w:autoSpaceDE w:val="0"/>
              <w:autoSpaceDN w:val="0"/>
              <w:adjustRightInd w:val="0"/>
              <w:rPr>
                <w:i/>
              </w:rPr>
            </w:pPr>
            <w:r w:rsidRPr="00073C8F">
              <w:rPr>
                <w:b/>
                <w:i/>
              </w:rPr>
              <w:t>Kontakt</w:t>
            </w:r>
          </w:p>
        </w:tc>
        <w:tc>
          <w:tcPr>
            <w:tcW w:w="3444" w:type="pct"/>
            <w:hideMark/>
          </w:tcPr>
          <w:p w:rsidRPr="00073C8F" w:rsidR="006770A8" w:rsidP="00241CB3" w:rsidRDefault="006770A8" w14:paraId="7A6BF23C" w14:textId="77777777">
            <w:pPr>
              <w:suppressAutoHyphens/>
              <w:overflowPunct w:val="0"/>
              <w:autoSpaceDE w:val="0"/>
              <w:autoSpaceDN w:val="0"/>
              <w:adjustRightInd w:val="0"/>
              <w:rPr>
                <w:i/>
              </w:rPr>
            </w:pPr>
            <w:r w:rsidRPr="00073C8F">
              <w:rPr>
                <w:i/>
              </w:rPr>
              <w:t>Tena Vukelic</w:t>
            </w:r>
          </w:p>
        </w:tc>
      </w:tr>
      <w:tr w:rsidRPr="00073C8F" w:rsidR="006770A8" w:rsidTr="006770A8" w14:paraId="665E7CDD" w14:textId="77777777">
        <w:tc>
          <w:tcPr>
            <w:tcW w:w="1556" w:type="pct"/>
            <w:hideMark/>
          </w:tcPr>
          <w:p w:rsidRPr="00073C8F" w:rsidR="006770A8" w:rsidP="00241CB3" w:rsidRDefault="006770A8" w14:paraId="133D645B" w14:textId="77777777">
            <w:pPr>
              <w:suppressAutoHyphens/>
              <w:overflowPunct w:val="0"/>
              <w:autoSpaceDE w:val="0"/>
              <w:autoSpaceDN w:val="0"/>
              <w:adjustRightInd w:val="0"/>
              <w:rPr>
                <w:i/>
              </w:rPr>
            </w:pPr>
            <w:r w:rsidRPr="00073C8F">
              <w:rPr>
                <w:i/>
              </w:rPr>
              <w:t>tel.</w:t>
            </w:r>
          </w:p>
        </w:tc>
        <w:tc>
          <w:tcPr>
            <w:tcW w:w="3444" w:type="pct"/>
            <w:hideMark/>
          </w:tcPr>
          <w:p w:rsidRPr="00073C8F" w:rsidR="006770A8" w:rsidP="00241CB3" w:rsidRDefault="006770A8" w14:paraId="353FA9B6" w14:textId="77777777">
            <w:pPr>
              <w:suppressAutoHyphens/>
              <w:overflowPunct w:val="0"/>
              <w:autoSpaceDE w:val="0"/>
              <w:autoSpaceDN w:val="0"/>
              <w:adjustRightInd w:val="0"/>
              <w:rPr>
                <w:i/>
              </w:rPr>
            </w:pPr>
            <w:r w:rsidRPr="00073C8F">
              <w:rPr>
                <w:i/>
              </w:rPr>
              <w:t>+32 2 5469277</w:t>
            </w:r>
          </w:p>
        </w:tc>
      </w:tr>
      <w:tr w:rsidRPr="00073C8F" w:rsidR="006770A8" w:rsidTr="006770A8" w14:paraId="5BA2667C" w14:textId="77777777">
        <w:tc>
          <w:tcPr>
            <w:tcW w:w="1556" w:type="pct"/>
            <w:hideMark/>
          </w:tcPr>
          <w:p w:rsidRPr="00073C8F" w:rsidR="006770A8" w:rsidP="00241CB3" w:rsidRDefault="006770A8" w14:paraId="51E90AA4" w14:textId="77777777">
            <w:pPr>
              <w:suppressAutoHyphens/>
              <w:overflowPunct w:val="0"/>
              <w:autoSpaceDE w:val="0"/>
              <w:autoSpaceDN w:val="0"/>
              <w:adjustRightInd w:val="0"/>
              <w:rPr>
                <w:i/>
              </w:rPr>
            </w:pPr>
            <w:r w:rsidRPr="00073C8F">
              <w:rPr>
                <w:i/>
              </w:rPr>
              <w:t>e-mail</w:t>
            </w:r>
          </w:p>
        </w:tc>
        <w:tc>
          <w:tcPr>
            <w:tcW w:w="3444" w:type="pct"/>
            <w:hideMark/>
          </w:tcPr>
          <w:p w:rsidRPr="00073C8F" w:rsidR="006770A8" w:rsidP="00241CB3" w:rsidRDefault="00A46594" w14:paraId="744A260B" w14:textId="77777777">
            <w:pPr>
              <w:suppressAutoHyphens/>
              <w:overflowPunct w:val="0"/>
              <w:autoSpaceDE w:val="0"/>
              <w:autoSpaceDN w:val="0"/>
              <w:adjustRightInd w:val="0"/>
              <w:rPr>
                <w:i/>
              </w:rPr>
            </w:pPr>
            <w:hyperlink w:history="1" r:id="rId49">
              <w:r w:rsidRPr="00073C8F" w:rsidR="0081023C">
                <w:rPr>
                  <w:i/>
                  <w:color w:val="0000FF"/>
                  <w:u w:val="single"/>
                </w:rPr>
                <w:t>Tena.Vukelic@eesc.europa.eu</w:t>
              </w:r>
            </w:hyperlink>
            <w:r w:rsidRPr="00073C8F" w:rsidR="0081023C">
              <w:rPr>
                <w:i/>
              </w:rPr>
              <w:t xml:space="preserve"> </w:t>
            </w:r>
          </w:p>
        </w:tc>
      </w:tr>
    </w:tbl>
    <w:p w:rsidRPr="00073C8F" w:rsidR="001F6F1C" w:rsidP="00241CB3" w:rsidRDefault="001F6F1C" w14:paraId="2EA93DB1" w14:textId="77777777">
      <w:pPr>
        <w:suppressAutoHyphens/>
        <w:jc w:val="left"/>
      </w:pPr>
      <w:r w:rsidRPr="00073C8F">
        <w:br w:type="page"/>
      </w:r>
    </w:p>
    <w:p w:rsidRPr="00073C8F" w:rsidR="008E5B24" w:rsidP="00241CB3" w:rsidRDefault="00A46594" w14:paraId="043627E9" w14:textId="7F44A850">
      <w:pPr>
        <w:numPr>
          <w:ilvl w:val="0"/>
          <w:numId w:val="4"/>
        </w:numPr>
        <w:suppressAutoHyphens/>
        <w:overflowPunct w:val="0"/>
        <w:autoSpaceDE w:val="0"/>
        <w:autoSpaceDN w:val="0"/>
        <w:adjustRightInd w:val="0"/>
        <w:ind w:hanging="567"/>
        <w:textAlignment w:val="baseline"/>
        <w:rPr>
          <w:sz w:val="28"/>
          <w:szCs w:val="28"/>
        </w:rPr>
      </w:pPr>
      <w:hyperlink w:history="1" r:id="rId50">
        <w:r w:rsidRPr="00073C8F" w:rsidR="0081023C">
          <w:rPr>
            <w:b/>
            <w:i/>
            <w:color w:val="0000FF"/>
            <w:sz w:val="28"/>
            <w:szCs w:val="28"/>
            <w:u w:val="single"/>
          </w:rPr>
          <w:t>Plan wzrostu gospodarczego dla Mołdawii</w:t>
        </w:r>
      </w:hyperlink>
    </w:p>
    <w:p w:rsidRPr="00073C8F" w:rsidR="008E5B24" w:rsidP="00241CB3" w:rsidRDefault="008E5B24" w14:paraId="2CA5BCC2" w14:textId="77777777">
      <w:pPr>
        <w:tabs>
          <w:tab w:val="center" w:pos="284"/>
        </w:tabs>
        <w:suppressAutoHyphens/>
        <w:overflowPunct w:val="0"/>
        <w:autoSpaceDE w:val="0"/>
        <w:autoSpaceDN w:val="0"/>
        <w:adjustRightInd w:val="0"/>
        <w:ind w:left="266" w:hanging="266"/>
        <w:textAlignment w:val="baseline"/>
        <w:rPr>
          <w:b/>
        </w:rPr>
      </w:pPr>
    </w:p>
    <w:tbl>
      <w:tblPr>
        <w:tblW w:w="5000" w:type="pct"/>
        <w:tblLook w:val="04A0" w:firstRow="1" w:lastRow="0" w:firstColumn="1" w:lastColumn="0" w:noHBand="0" w:noVBand="1"/>
      </w:tblPr>
      <w:tblGrid>
        <w:gridCol w:w="1741"/>
        <w:gridCol w:w="7548"/>
      </w:tblGrid>
      <w:tr w:rsidRPr="00073C8F" w:rsidR="008E5B24" w:rsidTr="00601805" w14:paraId="52E7AFC0" w14:textId="77777777">
        <w:tc>
          <w:tcPr>
            <w:tcW w:w="937" w:type="pct"/>
          </w:tcPr>
          <w:p w:rsidRPr="00073C8F" w:rsidR="008E5B24" w:rsidP="00601805" w:rsidRDefault="008E5B24" w14:paraId="6D473145" w14:textId="77777777">
            <w:pPr>
              <w:tabs>
                <w:tab w:val="center" w:pos="284"/>
              </w:tabs>
              <w:suppressAutoHyphens/>
              <w:overflowPunct w:val="0"/>
              <w:autoSpaceDE w:val="0"/>
              <w:autoSpaceDN w:val="0"/>
              <w:adjustRightInd w:val="0"/>
              <w:textAlignment w:val="baseline"/>
              <w:rPr>
                <w:b/>
              </w:rPr>
            </w:pPr>
            <w:r w:rsidRPr="00073C8F">
              <w:rPr>
                <w:b/>
              </w:rPr>
              <w:t>Sprawozdawca</w:t>
            </w:r>
          </w:p>
        </w:tc>
        <w:tc>
          <w:tcPr>
            <w:tcW w:w="4063" w:type="pct"/>
          </w:tcPr>
          <w:p w:rsidR="000B3312" w:rsidP="00601805" w:rsidRDefault="008E5B24" w14:paraId="0581A429" w14:textId="77777777">
            <w:pPr>
              <w:tabs>
                <w:tab w:val="center" w:pos="284"/>
              </w:tabs>
              <w:suppressAutoHyphens/>
              <w:overflowPunct w:val="0"/>
              <w:autoSpaceDE w:val="0"/>
              <w:autoSpaceDN w:val="0"/>
              <w:adjustRightInd w:val="0"/>
              <w:textAlignment w:val="baseline"/>
            </w:pPr>
            <w:r w:rsidRPr="00073C8F">
              <w:t>Dumitru FORNEA (Grupa Pracowników – RO)</w:t>
            </w:r>
          </w:p>
          <w:p w:rsidRPr="00073C8F" w:rsidR="00601805" w:rsidP="00601805" w:rsidRDefault="00601805" w14:paraId="5F3A1941" w14:textId="62056F09">
            <w:pPr>
              <w:tabs>
                <w:tab w:val="center" w:pos="284"/>
              </w:tabs>
              <w:suppressAutoHyphens/>
              <w:overflowPunct w:val="0"/>
              <w:autoSpaceDE w:val="0"/>
              <w:autoSpaceDN w:val="0"/>
              <w:adjustRightInd w:val="0"/>
              <w:textAlignment w:val="baseline"/>
            </w:pPr>
          </w:p>
        </w:tc>
      </w:tr>
      <w:tr w:rsidRPr="00073C8F" w:rsidR="008E5B24" w:rsidTr="00601805" w14:paraId="182802CA" w14:textId="77777777">
        <w:tc>
          <w:tcPr>
            <w:tcW w:w="937" w:type="pct"/>
          </w:tcPr>
          <w:p w:rsidRPr="00073C8F" w:rsidR="008E5B24" w:rsidP="00601805" w:rsidRDefault="008E5B24" w14:paraId="1D4E2A20" w14:textId="77777777">
            <w:pPr>
              <w:tabs>
                <w:tab w:val="center" w:pos="284"/>
              </w:tabs>
              <w:suppressAutoHyphens/>
              <w:overflowPunct w:val="0"/>
              <w:autoSpaceDE w:val="0"/>
              <w:autoSpaceDN w:val="0"/>
              <w:adjustRightInd w:val="0"/>
              <w:textAlignment w:val="baseline"/>
              <w:rPr>
                <w:b/>
              </w:rPr>
            </w:pPr>
            <w:r w:rsidRPr="00073C8F">
              <w:rPr>
                <w:b/>
              </w:rPr>
              <w:t>Dokumenty</w:t>
            </w:r>
          </w:p>
        </w:tc>
        <w:tc>
          <w:tcPr>
            <w:tcW w:w="4063" w:type="pct"/>
          </w:tcPr>
          <w:p w:rsidRPr="00073C8F" w:rsidR="000B3312" w:rsidP="00601805" w:rsidRDefault="00C30DDC" w14:paraId="2AC18F61" w14:textId="1DAEF486">
            <w:pPr>
              <w:tabs>
                <w:tab w:val="center" w:pos="284"/>
              </w:tabs>
              <w:suppressAutoHyphens/>
              <w:overflowPunct w:val="0"/>
              <w:autoSpaceDE w:val="0"/>
              <w:autoSpaceDN w:val="0"/>
              <w:adjustRightInd w:val="0"/>
              <w:textAlignment w:val="baseline"/>
            </w:pPr>
            <w:r w:rsidRPr="00073C8F">
              <w:t>COM(2024) 470 final</w:t>
            </w:r>
          </w:p>
          <w:p w:rsidRPr="00073C8F" w:rsidR="008E5B24" w:rsidP="00601805" w:rsidRDefault="008E5B24" w14:paraId="5AB2CB24" w14:textId="17657837">
            <w:pPr>
              <w:tabs>
                <w:tab w:val="center" w:pos="284"/>
              </w:tabs>
              <w:suppressAutoHyphens/>
              <w:overflowPunct w:val="0"/>
              <w:autoSpaceDE w:val="0"/>
              <w:autoSpaceDN w:val="0"/>
              <w:adjustRightInd w:val="0"/>
              <w:textAlignment w:val="baseline"/>
            </w:pPr>
            <w:r w:rsidRPr="00073C8F">
              <w:t>EESC-2024-04655-00-00-AC</w:t>
            </w:r>
          </w:p>
        </w:tc>
      </w:tr>
    </w:tbl>
    <w:p w:rsidRPr="00073C8F" w:rsidR="008E5B24" w:rsidP="00241CB3" w:rsidRDefault="008E5B24" w14:paraId="51FFC9A3" w14:textId="77777777">
      <w:pPr>
        <w:tabs>
          <w:tab w:val="center" w:pos="284"/>
        </w:tabs>
        <w:suppressAutoHyphens/>
        <w:overflowPunct w:val="0"/>
        <w:autoSpaceDE w:val="0"/>
        <w:autoSpaceDN w:val="0"/>
        <w:adjustRightInd w:val="0"/>
        <w:ind w:left="266" w:hanging="266"/>
        <w:textAlignment w:val="baseline"/>
      </w:pPr>
    </w:p>
    <w:p w:rsidRPr="00073C8F" w:rsidR="008E5B24" w:rsidP="00241CB3" w:rsidRDefault="008E5B24" w14:paraId="5CE74C47" w14:textId="77777777">
      <w:pPr>
        <w:tabs>
          <w:tab w:val="center" w:pos="284"/>
        </w:tabs>
        <w:suppressAutoHyphens/>
        <w:overflowPunct w:val="0"/>
        <w:autoSpaceDE w:val="0"/>
        <w:autoSpaceDN w:val="0"/>
        <w:adjustRightInd w:val="0"/>
        <w:ind w:left="266" w:hanging="266"/>
        <w:textAlignment w:val="baseline"/>
        <w:rPr>
          <w:b/>
        </w:rPr>
      </w:pPr>
      <w:r w:rsidRPr="00073C8F">
        <w:rPr>
          <w:b/>
        </w:rPr>
        <w:t>Główne punkty</w:t>
      </w:r>
    </w:p>
    <w:p w:rsidRPr="00073C8F" w:rsidR="008E5B24" w:rsidP="00241CB3" w:rsidRDefault="008E5B24" w14:paraId="3066265F" w14:textId="77777777">
      <w:pPr>
        <w:tabs>
          <w:tab w:val="center" w:pos="284"/>
        </w:tabs>
        <w:suppressAutoHyphens/>
        <w:overflowPunct w:val="0"/>
        <w:autoSpaceDE w:val="0"/>
        <w:autoSpaceDN w:val="0"/>
        <w:adjustRightInd w:val="0"/>
        <w:ind w:left="266" w:hanging="266"/>
        <w:textAlignment w:val="baseline"/>
        <w:rPr>
          <w:b/>
        </w:rPr>
      </w:pPr>
    </w:p>
    <w:p w:rsidR="008E5B24" w:rsidP="00241CB3" w:rsidRDefault="008E5B24" w14:paraId="59DAD789" w14:textId="5E5DD69D">
      <w:pPr>
        <w:suppressAutoHyphens/>
        <w:overflowPunct w:val="0"/>
        <w:autoSpaceDE w:val="0"/>
        <w:autoSpaceDN w:val="0"/>
        <w:adjustRightInd w:val="0"/>
        <w:textAlignment w:val="baseline"/>
      </w:pPr>
      <w:r w:rsidRPr="00073C8F">
        <w:t>EKES:</w:t>
      </w:r>
    </w:p>
    <w:p w:rsidRPr="00073C8F" w:rsidR="00601805" w:rsidP="00241CB3" w:rsidRDefault="00601805" w14:paraId="50FF30DB" w14:textId="77777777">
      <w:pPr>
        <w:suppressAutoHyphens/>
        <w:overflowPunct w:val="0"/>
        <w:autoSpaceDE w:val="0"/>
        <w:autoSpaceDN w:val="0"/>
        <w:adjustRightInd w:val="0"/>
        <w:textAlignment w:val="baseline"/>
        <w:rPr>
          <w:bCs/>
          <w:iCs/>
        </w:rPr>
      </w:pPr>
    </w:p>
    <w:p w:rsidRPr="00073C8F" w:rsidR="008E5B24" w:rsidP="00596171" w:rsidRDefault="008E5B24" w14:paraId="3B8B987C" w14:textId="77777777">
      <w:pPr>
        <w:numPr>
          <w:ilvl w:val="0"/>
          <w:numId w:val="37"/>
        </w:numPr>
        <w:suppressAutoHyphens/>
        <w:overflowPunct w:val="0"/>
        <w:autoSpaceDE w:val="0"/>
        <w:autoSpaceDN w:val="0"/>
        <w:adjustRightInd w:val="0"/>
        <w:ind w:left="567" w:hanging="567"/>
        <w:textAlignment w:val="baseline"/>
        <w:rPr>
          <w:bCs/>
          <w:iCs/>
        </w:rPr>
      </w:pPr>
      <w:r w:rsidRPr="00073C8F">
        <w:t>Z zadowoleniem przyjmuje inicjatywę Komisji Europejskiej i sprawozdanie Parlamentu Europejskiego w sprawie Planu wzrostu gospodarczego dla Mołdawii (dalej „plan”) – największego pakietu wsparcia finansowego, jaki UE kiedykolwiek przyznała Mołdawii.</w:t>
      </w:r>
    </w:p>
    <w:p w:rsidRPr="00073C8F" w:rsidR="008E5B24" w:rsidP="00596171" w:rsidRDefault="008E5B24" w14:paraId="75658E3B" w14:textId="5D1CF01B">
      <w:pPr>
        <w:numPr>
          <w:ilvl w:val="0"/>
          <w:numId w:val="37"/>
        </w:numPr>
        <w:suppressAutoHyphens/>
        <w:overflowPunct w:val="0"/>
        <w:autoSpaceDE w:val="0"/>
        <w:autoSpaceDN w:val="0"/>
        <w:adjustRightInd w:val="0"/>
        <w:ind w:left="567" w:hanging="567"/>
        <w:textAlignment w:val="baseline"/>
        <w:rPr>
          <w:bCs/>
          <w:iCs/>
        </w:rPr>
      </w:pPr>
      <w:r w:rsidRPr="00073C8F">
        <w:t>Podkreśla potrzebę zaangażowania partnerów społecznych, organizacji społeczeństwa obywatelskiego, społeczności ekspertów, środowiska akademickiego i lokalnych organów publicznych w opracowywanie, monitorowanie i wdrażanie programu reform, a także w</w:t>
      </w:r>
      <w:r w:rsidR="00E421E9">
        <w:t> </w:t>
      </w:r>
      <w:r w:rsidRPr="00073C8F">
        <w:t>formułowanie i monitorowanie konkretnych wskaźników i wskaźników pośrednich służących do pomiaru postępów. Ważnym elementem jest zaangażowanie przedstawicieli zorganizowanego społeczeństwa obywatelskiego w opracowywanie tabeli wyników planu oraz niezależne monitorowanie wdrażania programu reform.</w:t>
      </w:r>
    </w:p>
    <w:p w:rsidRPr="00073C8F" w:rsidR="008E5B24" w:rsidP="00596171" w:rsidRDefault="008E5B24" w14:paraId="540E6EAF" w14:textId="77777777">
      <w:pPr>
        <w:numPr>
          <w:ilvl w:val="0"/>
          <w:numId w:val="37"/>
        </w:numPr>
        <w:suppressAutoHyphens/>
        <w:overflowPunct w:val="0"/>
        <w:autoSpaceDE w:val="0"/>
        <w:autoSpaceDN w:val="0"/>
        <w:adjustRightInd w:val="0"/>
        <w:ind w:left="567" w:hanging="567"/>
        <w:textAlignment w:val="baseline"/>
        <w:rPr>
          <w:bCs/>
          <w:iCs/>
        </w:rPr>
      </w:pPr>
      <w:r w:rsidRPr="00073C8F">
        <w:t>Zaleca przeznaczenie środków z komponentu dotacji planu wzrostu gospodarczego na wsparcie działalności organizacji społeczeństwa obywatelskiego, które przyczyniają się do wdrażania planu.</w:t>
      </w:r>
    </w:p>
    <w:p w:rsidRPr="00073C8F" w:rsidR="008E5B24" w:rsidP="00596171" w:rsidRDefault="008E5B24" w14:paraId="48B91627" w14:textId="77777777">
      <w:pPr>
        <w:numPr>
          <w:ilvl w:val="0"/>
          <w:numId w:val="37"/>
        </w:numPr>
        <w:suppressAutoHyphens/>
        <w:overflowPunct w:val="0"/>
        <w:autoSpaceDE w:val="0"/>
        <w:autoSpaceDN w:val="0"/>
        <w:adjustRightInd w:val="0"/>
        <w:ind w:left="567" w:hanging="567"/>
        <w:textAlignment w:val="baseline"/>
        <w:rPr>
          <w:bCs/>
          <w:iCs/>
        </w:rPr>
      </w:pPr>
      <w:r w:rsidRPr="00073C8F">
        <w:t>Zaleca dwa dostosowania koncepcyjne parametrów tego wsparcia:</w:t>
      </w:r>
    </w:p>
    <w:p w:rsidRPr="00073C8F" w:rsidR="008E5B24" w:rsidP="00596171" w:rsidRDefault="008E5B24" w14:paraId="7F93A331" w14:textId="77777777">
      <w:pPr>
        <w:numPr>
          <w:ilvl w:val="0"/>
          <w:numId w:val="37"/>
        </w:numPr>
        <w:suppressAutoHyphens/>
        <w:overflowPunct w:val="0"/>
        <w:autoSpaceDE w:val="0"/>
        <w:autoSpaceDN w:val="0"/>
        <w:adjustRightInd w:val="0"/>
        <w:ind w:left="567" w:hanging="567"/>
        <w:textAlignment w:val="baseline"/>
      </w:pPr>
      <w:r w:rsidRPr="00073C8F">
        <w:t>zwiększenie udziału dotacji z obecnego odsetka 16% do 35%, a następnie proporcjonalne zmniejszenie udziału pożyczek preferencyjnych,</w:t>
      </w:r>
    </w:p>
    <w:p w:rsidRPr="00073C8F" w:rsidR="008E5B24" w:rsidP="00596171" w:rsidRDefault="008E5B24" w14:paraId="5DE88483" w14:textId="3F88608B">
      <w:pPr>
        <w:numPr>
          <w:ilvl w:val="0"/>
          <w:numId w:val="37"/>
        </w:numPr>
        <w:suppressAutoHyphens/>
        <w:overflowPunct w:val="0"/>
        <w:autoSpaceDE w:val="0"/>
        <w:autoSpaceDN w:val="0"/>
        <w:adjustRightInd w:val="0"/>
        <w:ind w:left="567" w:hanging="567"/>
        <w:textAlignment w:val="baseline"/>
      </w:pPr>
      <w:r w:rsidRPr="00073C8F">
        <w:t>zwiększenie minimalnego udziału całkowitej kwoty pożyczki przeznaczonej na inwestycje z</w:t>
      </w:r>
      <w:r w:rsidR="00E421E9">
        <w:t> </w:t>
      </w:r>
      <w:r w:rsidRPr="00073C8F">
        <w:t>25% do 35%.</w:t>
      </w:r>
    </w:p>
    <w:p w:rsidRPr="00073C8F" w:rsidR="008E5B24" w:rsidP="00596171" w:rsidRDefault="008E5B24" w14:paraId="3C307D37" w14:textId="3C424E41">
      <w:pPr>
        <w:numPr>
          <w:ilvl w:val="0"/>
          <w:numId w:val="37"/>
        </w:numPr>
        <w:suppressAutoHyphens/>
        <w:overflowPunct w:val="0"/>
        <w:autoSpaceDE w:val="0"/>
        <w:autoSpaceDN w:val="0"/>
        <w:adjustRightInd w:val="0"/>
        <w:ind w:left="567" w:hanging="567"/>
        <w:textAlignment w:val="baseline"/>
        <w:rPr>
          <w:bCs/>
          <w:iCs/>
        </w:rPr>
      </w:pPr>
      <w:r w:rsidRPr="00073C8F">
        <w:t>Popiera trzy filary planu, ponieważ przyspieszą one gospodarczą i prawną konwergencję tego kraju ze standardami UE, oraz wskazuje na inne ważne aspekty, które należy wziąć pod uwagę przy wdrażaniu planu: środowisko; cyfryzacja; inwestycje społeczne; decentralizacja i</w:t>
      </w:r>
      <w:r w:rsidR="00E421E9">
        <w:t> </w:t>
      </w:r>
      <w:r w:rsidRPr="00073C8F">
        <w:t>autonomia lokalna; przestrzeganie unijnych norm jakości i bezpieczeństwa żywności itd.</w:t>
      </w:r>
    </w:p>
    <w:p w:rsidRPr="00073C8F" w:rsidR="008E5B24" w:rsidP="00596171" w:rsidRDefault="008E5B24" w14:paraId="2B4088D7" w14:textId="77777777">
      <w:pPr>
        <w:numPr>
          <w:ilvl w:val="0"/>
          <w:numId w:val="37"/>
        </w:numPr>
        <w:suppressAutoHyphens/>
        <w:overflowPunct w:val="0"/>
        <w:autoSpaceDE w:val="0"/>
        <w:autoSpaceDN w:val="0"/>
        <w:adjustRightInd w:val="0"/>
        <w:ind w:left="567" w:hanging="567"/>
        <w:textAlignment w:val="baseline"/>
        <w:rPr>
          <w:bCs/>
          <w:iCs/>
        </w:rPr>
      </w:pPr>
      <w:r w:rsidRPr="00073C8F">
        <w:t>Podkreśla potrzebę poprawy efektywności mołdawskich przedsiębiorstw państwowych.</w:t>
      </w:r>
    </w:p>
    <w:p w:rsidRPr="00073C8F" w:rsidR="008E5B24" w:rsidP="00596171" w:rsidRDefault="008E5B24" w14:paraId="65CE5C1F" w14:textId="7CCF4554">
      <w:pPr>
        <w:numPr>
          <w:ilvl w:val="0"/>
          <w:numId w:val="37"/>
        </w:numPr>
        <w:suppressAutoHyphens/>
        <w:overflowPunct w:val="0"/>
        <w:autoSpaceDE w:val="0"/>
        <w:autoSpaceDN w:val="0"/>
        <w:adjustRightInd w:val="0"/>
        <w:ind w:left="567" w:hanging="567"/>
        <w:textAlignment w:val="baseline"/>
        <w:rPr>
          <w:bCs/>
          <w:iCs/>
        </w:rPr>
      </w:pPr>
      <w:r w:rsidRPr="00073C8F">
        <w:t>Zaleca, aby co najmniej 20% wszystkich inwestycji przeznaczono na rozwój lokalny i</w:t>
      </w:r>
      <w:r w:rsidR="00E421E9">
        <w:t> </w:t>
      </w:r>
      <w:r w:rsidRPr="00073C8F">
        <w:t xml:space="preserve">regionalny i tym samym zapewniono zrównoważony i trwały rozwój w całym kraju. </w:t>
      </w:r>
    </w:p>
    <w:p w:rsidRPr="00073C8F" w:rsidR="008E5B24" w:rsidP="00596171" w:rsidRDefault="008E5B24" w14:paraId="38B0FE0F" w14:textId="72556973">
      <w:pPr>
        <w:numPr>
          <w:ilvl w:val="0"/>
          <w:numId w:val="37"/>
        </w:numPr>
        <w:suppressAutoHyphens/>
        <w:overflowPunct w:val="0"/>
        <w:autoSpaceDE w:val="0"/>
        <w:autoSpaceDN w:val="0"/>
        <w:adjustRightInd w:val="0"/>
        <w:ind w:left="567" w:hanging="567"/>
        <w:textAlignment w:val="baseline"/>
        <w:rPr>
          <w:bCs/>
          <w:iCs/>
        </w:rPr>
      </w:pPr>
      <w:r w:rsidRPr="00073C8F">
        <w:t>Zaznacza, że kwestie praw człowieka, w tym równowagę płci, włączenie osób z</w:t>
      </w:r>
      <w:r w:rsidR="00E421E9">
        <w:t> </w:t>
      </w:r>
      <w:r w:rsidRPr="00073C8F">
        <w:t>niepełnosprawnościami i zasadę „nie pomijać nikogo”, należy uznać za priorytety horyzontalne we wszystkich projektach realizowanych w ramach planu.</w:t>
      </w:r>
    </w:p>
    <w:p w:rsidRPr="00073C8F" w:rsidR="008E5B24" w:rsidP="00596171" w:rsidRDefault="008E5B24" w14:paraId="790F5565" w14:textId="77777777">
      <w:pPr>
        <w:numPr>
          <w:ilvl w:val="0"/>
          <w:numId w:val="37"/>
        </w:numPr>
        <w:suppressAutoHyphens/>
        <w:overflowPunct w:val="0"/>
        <w:autoSpaceDE w:val="0"/>
        <w:autoSpaceDN w:val="0"/>
        <w:adjustRightInd w:val="0"/>
        <w:ind w:left="567" w:hanging="567"/>
        <w:textAlignment w:val="baseline"/>
        <w:rPr>
          <w:bCs/>
          <w:iCs/>
        </w:rPr>
      </w:pPr>
      <w:r w:rsidRPr="00073C8F">
        <w:t>Uważa, że należy zapewnić odpowiednie środki finansowe na utworzenie komitetu społeczno-gospodarczego w Republice Mołdawii.</w:t>
      </w:r>
    </w:p>
    <w:p w:rsidRPr="00073C8F" w:rsidR="008E5B24" w:rsidP="00241CB3" w:rsidRDefault="008E5B24" w14:paraId="5C4BFCA0" w14:textId="77777777">
      <w:pPr>
        <w:suppressAutoHyphens/>
        <w:overflowPunct w:val="0"/>
        <w:autoSpaceDE w:val="0"/>
        <w:autoSpaceDN w:val="0"/>
        <w:adjustRightInd w:val="0"/>
        <w:textAlignment w:val="baseline"/>
      </w:pPr>
    </w:p>
    <w:tbl>
      <w:tblPr>
        <w:tblW w:w="5000" w:type="pct"/>
        <w:tblLook w:val="04A0" w:firstRow="1" w:lastRow="0" w:firstColumn="1" w:lastColumn="0" w:noHBand="0" w:noVBand="1"/>
      </w:tblPr>
      <w:tblGrid>
        <w:gridCol w:w="1520"/>
        <w:gridCol w:w="7769"/>
      </w:tblGrid>
      <w:tr w:rsidRPr="00073C8F" w:rsidR="008E5B24" w:rsidTr="000C2127" w14:paraId="1515A730" w14:textId="77777777">
        <w:tc>
          <w:tcPr>
            <w:tcW w:w="818" w:type="pct"/>
          </w:tcPr>
          <w:p w:rsidRPr="00073C8F" w:rsidR="008E5B24" w:rsidP="00241CB3" w:rsidRDefault="008E5B24" w14:paraId="6A27668E" w14:textId="77777777">
            <w:pPr>
              <w:suppressAutoHyphens/>
              <w:overflowPunct w:val="0"/>
              <w:autoSpaceDE w:val="0"/>
              <w:autoSpaceDN w:val="0"/>
              <w:adjustRightInd w:val="0"/>
              <w:textAlignment w:val="baseline"/>
              <w:rPr>
                <w:i/>
              </w:rPr>
            </w:pPr>
            <w:r w:rsidRPr="00073C8F">
              <w:rPr>
                <w:b/>
                <w:i/>
              </w:rPr>
              <w:t>Kontakt</w:t>
            </w:r>
          </w:p>
        </w:tc>
        <w:tc>
          <w:tcPr>
            <w:tcW w:w="4182" w:type="pct"/>
          </w:tcPr>
          <w:p w:rsidRPr="00073C8F" w:rsidR="008E5B24" w:rsidP="00241CB3" w:rsidRDefault="008E5B24" w14:paraId="04964D07" w14:textId="77777777">
            <w:pPr>
              <w:suppressAutoHyphens/>
              <w:overflowPunct w:val="0"/>
              <w:autoSpaceDE w:val="0"/>
              <w:autoSpaceDN w:val="0"/>
              <w:adjustRightInd w:val="0"/>
              <w:textAlignment w:val="baseline"/>
              <w:rPr>
                <w:i/>
              </w:rPr>
            </w:pPr>
            <w:r w:rsidRPr="00073C8F">
              <w:rPr>
                <w:i/>
              </w:rPr>
              <w:t>Katarina Albrechtova</w:t>
            </w:r>
          </w:p>
        </w:tc>
      </w:tr>
      <w:tr w:rsidRPr="00073C8F" w:rsidR="008E5B24" w:rsidTr="000C2127" w14:paraId="62523083" w14:textId="77777777">
        <w:tc>
          <w:tcPr>
            <w:tcW w:w="818" w:type="pct"/>
          </w:tcPr>
          <w:p w:rsidRPr="00073C8F" w:rsidR="008E5B24" w:rsidP="00241CB3" w:rsidRDefault="008E5B24" w14:paraId="7ABBA544" w14:textId="77777777">
            <w:pPr>
              <w:suppressAutoHyphens/>
              <w:overflowPunct w:val="0"/>
              <w:autoSpaceDE w:val="0"/>
              <w:autoSpaceDN w:val="0"/>
              <w:adjustRightInd w:val="0"/>
              <w:textAlignment w:val="baseline"/>
              <w:rPr>
                <w:i/>
              </w:rPr>
            </w:pPr>
            <w:r w:rsidRPr="00073C8F">
              <w:rPr>
                <w:i/>
              </w:rPr>
              <w:t>tel.</w:t>
            </w:r>
          </w:p>
        </w:tc>
        <w:tc>
          <w:tcPr>
            <w:tcW w:w="4182" w:type="pct"/>
          </w:tcPr>
          <w:p w:rsidRPr="00073C8F" w:rsidR="008E5B24" w:rsidP="00241CB3" w:rsidRDefault="008E5B24" w14:paraId="0BC010D3" w14:textId="77777777">
            <w:pPr>
              <w:suppressAutoHyphens/>
              <w:overflowPunct w:val="0"/>
              <w:autoSpaceDE w:val="0"/>
              <w:autoSpaceDN w:val="0"/>
              <w:adjustRightInd w:val="0"/>
              <w:textAlignment w:val="baseline"/>
              <w:rPr>
                <w:i/>
              </w:rPr>
            </w:pPr>
            <w:r w:rsidRPr="00073C8F">
              <w:rPr>
                <w:i/>
              </w:rPr>
              <w:t>+32 25469460</w:t>
            </w:r>
          </w:p>
        </w:tc>
      </w:tr>
      <w:tr w:rsidRPr="00073C8F" w:rsidR="008E5B24" w:rsidTr="000C2127" w14:paraId="12E0D52E" w14:textId="77777777">
        <w:tc>
          <w:tcPr>
            <w:tcW w:w="818" w:type="pct"/>
          </w:tcPr>
          <w:p w:rsidRPr="00073C8F" w:rsidR="008E5B24" w:rsidP="00241CB3" w:rsidRDefault="008E5B24" w14:paraId="061C04D5" w14:textId="77777777">
            <w:pPr>
              <w:suppressAutoHyphens/>
              <w:overflowPunct w:val="0"/>
              <w:autoSpaceDE w:val="0"/>
              <w:autoSpaceDN w:val="0"/>
              <w:adjustRightInd w:val="0"/>
              <w:textAlignment w:val="baseline"/>
              <w:rPr>
                <w:i/>
              </w:rPr>
            </w:pPr>
            <w:r w:rsidRPr="00073C8F">
              <w:rPr>
                <w:i/>
              </w:rPr>
              <w:t>e-mail</w:t>
            </w:r>
          </w:p>
        </w:tc>
        <w:tc>
          <w:tcPr>
            <w:tcW w:w="4182" w:type="pct"/>
          </w:tcPr>
          <w:p w:rsidRPr="00073C8F" w:rsidR="008E5B24" w:rsidP="00241CB3" w:rsidRDefault="00A46594" w14:paraId="7BF220CA" w14:textId="77777777">
            <w:pPr>
              <w:suppressAutoHyphens/>
              <w:overflowPunct w:val="0"/>
              <w:autoSpaceDE w:val="0"/>
              <w:autoSpaceDN w:val="0"/>
              <w:adjustRightInd w:val="0"/>
              <w:textAlignment w:val="baseline"/>
              <w:rPr>
                <w:i/>
              </w:rPr>
            </w:pPr>
            <w:hyperlink w:history="1" r:id="rId51">
              <w:r w:rsidRPr="00073C8F" w:rsidR="0081023C">
                <w:rPr>
                  <w:i/>
                  <w:color w:val="0000FF"/>
                  <w:u w:val="single"/>
                </w:rPr>
                <w:t>Katarina.Albrechtova@eesc.europa.eu</w:t>
              </w:r>
            </w:hyperlink>
          </w:p>
        </w:tc>
      </w:tr>
    </w:tbl>
    <w:p w:rsidRPr="00327E60" w:rsidR="002750BE" w:rsidP="00241CB3" w:rsidRDefault="002750BE" w14:paraId="7ADB046B" w14:textId="77777777">
      <w:pPr>
        <w:suppressAutoHyphens/>
        <w:jc w:val="left"/>
        <w:rPr>
          <w:sz w:val="2"/>
          <w:szCs w:val="2"/>
        </w:rPr>
      </w:pPr>
      <w:r w:rsidRPr="00327E60">
        <w:rPr>
          <w:sz w:val="2"/>
          <w:szCs w:val="2"/>
        </w:rPr>
        <w:br w:type="page"/>
      </w:r>
    </w:p>
    <w:p w:rsidRPr="00073C8F" w:rsidR="00B8302A" w:rsidP="00241CB3" w:rsidRDefault="00A46594" w14:paraId="0CA917D0" w14:textId="0D5CE740">
      <w:pPr>
        <w:numPr>
          <w:ilvl w:val="0"/>
          <w:numId w:val="16"/>
        </w:numPr>
        <w:suppressAutoHyphens/>
        <w:overflowPunct w:val="0"/>
        <w:autoSpaceDE w:val="0"/>
        <w:autoSpaceDN w:val="0"/>
        <w:adjustRightInd w:val="0"/>
        <w:textAlignment w:val="baseline"/>
        <w:rPr>
          <w:color w:val="0000FF"/>
          <w:sz w:val="28"/>
          <w:szCs w:val="28"/>
          <w:u w:val="single"/>
        </w:rPr>
      </w:pPr>
      <w:hyperlink w:history="1" r:id="rId52">
        <w:r w:rsidRPr="00073C8F" w:rsidR="0081023C">
          <w:rPr>
            <w:b/>
            <w:i/>
            <w:color w:val="0000FF"/>
            <w:sz w:val="28"/>
            <w:szCs w:val="28"/>
            <w:u w:val="single"/>
          </w:rPr>
          <w:t>Plan działania na rzecz zacieśnienia współpracy między organizacjami społeczeństwa obywatelskiego w Unii Europejskiej i Kazachstanie w</w:t>
        </w:r>
        <w:r w:rsidR="0010339F">
          <w:rPr>
            <w:b/>
            <w:i/>
            <w:color w:val="0000FF"/>
            <w:sz w:val="28"/>
            <w:szCs w:val="28"/>
            <w:u w:val="single"/>
          </w:rPr>
          <w:t> </w:t>
        </w:r>
        <w:r w:rsidRPr="00073C8F" w:rsidR="0081023C">
          <w:rPr>
            <w:b/>
            <w:i/>
            <w:color w:val="0000FF"/>
            <w:sz w:val="28"/>
            <w:szCs w:val="28"/>
            <w:u w:val="single"/>
          </w:rPr>
          <w:t>ramach wdrażania nowej strategii wobec Azji Środkowej i strategii Global Gateway</w:t>
        </w:r>
      </w:hyperlink>
      <w:r w:rsidRPr="00073C8F" w:rsidR="0081023C">
        <w:rPr>
          <w:sz w:val="28"/>
          <w:szCs w:val="28"/>
        </w:rPr>
        <w:t xml:space="preserve"> </w:t>
      </w:r>
    </w:p>
    <w:p w:rsidRPr="00073C8F" w:rsidR="00B8302A" w:rsidP="00241CB3" w:rsidRDefault="00B8302A" w14:paraId="4E03334B" w14:textId="77777777">
      <w:pPr>
        <w:suppressAutoHyphens/>
        <w:overflowPunct w:val="0"/>
        <w:autoSpaceDE w:val="0"/>
        <w:autoSpaceDN w:val="0"/>
        <w:adjustRightInd w:val="0"/>
        <w:ind w:left="567"/>
        <w:textAlignment w:val="baseline"/>
      </w:pPr>
    </w:p>
    <w:tbl>
      <w:tblPr>
        <w:tblW w:w="5000" w:type="pct"/>
        <w:tblLook w:val="04A0" w:firstRow="1" w:lastRow="0" w:firstColumn="1" w:lastColumn="0" w:noHBand="0" w:noVBand="1"/>
      </w:tblPr>
      <w:tblGrid>
        <w:gridCol w:w="2001"/>
        <w:gridCol w:w="7288"/>
      </w:tblGrid>
      <w:tr w:rsidRPr="00073C8F" w:rsidR="00B8302A" w:rsidTr="00601805" w14:paraId="06FEFBA0" w14:textId="77777777">
        <w:tc>
          <w:tcPr>
            <w:tcW w:w="1077" w:type="pct"/>
          </w:tcPr>
          <w:p w:rsidRPr="00073C8F" w:rsidR="00B8302A" w:rsidP="00601805" w:rsidRDefault="00B8302A" w14:paraId="6BD3AEF1" w14:textId="77777777">
            <w:pPr>
              <w:tabs>
                <w:tab w:val="center" w:pos="284"/>
              </w:tabs>
              <w:suppressAutoHyphens/>
              <w:overflowPunct w:val="0"/>
              <w:autoSpaceDE w:val="0"/>
              <w:autoSpaceDN w:val="0"/>
              <w:adjustRightInd w:val="0"/>
              <w:textAlignment w:val="baseline"/>
              <w:rPr>
                <w:b/>
              </w:rPr>
            </w:pPr>
            <w:r w:rsidRPr="00073C8F">
              <w:rPr>
                <w:b/>
              </w:rPr>
              <w:t>Sprawozdawca</w:t>
            </w:r>
          </w:p>
        </w:tc>
        <w:tc>
          <w:tcPr>
            <w:tcW w:w="3923" w:type="pct"/>
          </w:tcPr>
          <w:p w:rsidRPr="00073C8F" w:rsidR="00B8302A" w:rsidP="00601805" w:rsidRDefault="00B8302A" w14:paraId="32EB4691" w14:textId="47B13537">
            <w:pPr>
              <w:tabs>
                <w:tab w:val="center" w:pos="284"/>
              </w:tabs>
              <w:suppressAutoHyphens/>
              <w:overflowPunct w:val="0"/>
              <w:autoSpaceDE w:val="0"/>
              <w:autoSpaceDN w:val="0"/>
              <w:adjustRightInd w:val="0"/>
              <w:textAlignment w:val="baseline"/>
            </w:pPr>
            <w:r w:rsidRPr="00073C8F">
              <w:t>Dumitru FORNEA (Grupa Pracowników – RO)</w:t>
            </w:r>
          </w:p>
        </w:tc>
      </w:tr>
      <w:tr w:rsidRPr="00073C8F" w:rsidR="00B8302A" w:rsidTr="00601805" w14:paraId="6C16EC92" w14:textId="77777777">
        <w:tc>
          <w:tcPr>
            <w:tcW w:w="5000" w:type="pct"/>
            <w:gridSpan w:val="2"/>
          </w:tcPr>
          <w:p w:rsidRPr="00073C8F" w:rsidR="00B8302A" w:rsidP="00601805" w:rsidRDefault="00B8302A" w14:paraId="7F07DF85" w14:textId="77777777">
            <w:pPr>
              <w:tabs>
                <w:tab w:val="center" w:pos="284"/>
              </w:tabs>
              <w:suppressAutoHyphens/>
              <w:overflowPunct w:val="0"/>
              <w:autoSpaceDE w:val="0"/>
              <w:autoSpaceDN w:val="0"/>
              <w:adjustRightInd w:val="0"/>
              <w:textAlignment w:val="baseline"/>
            </w:pPr>
          </w:p>
        </w:tc>
      </w:tr>
      <w:tr w:rsidRPr="00073C8F" w:rsidR="00B8302A" w:rsidTr="00601805" w14:paraId="408B7794" w14:textId="77777777">
        <w:tc>
          <w:tcPr>
            <w:tcW w:w="1077" w:type="pct"/>
          </w:tcPr>
          <w:p w:rsidRPr="00073C8F" w:rsidR="00B8302A" w:rsidP="00601805" w:rsidRDefault="00B8302A" w14:paraId="467E9599" w14:textId="77777777">
            <w:pPr>
              <w:tabs>
                <w:tab w:val="center" w:pos="284"/>
              </w:tabs>
              <w:suppressAutoHyphens/>
              <w:overflowPunct w:val="0"/>
              <w:autoSpaceDE w:val="0"/>
              <w:autoSpaceDN w:val="0"/>
              <w:adjustRightInd w:val="0"/>
              <w:textAlignment w:val="baseline"/>
              <w:rPr>
                <w:b/>
              </w:rPr>
            </w:pPr>
            <w:r w:rsidRPr="00073C8F">
              <w:rPr>
                <w:b/>
              </w:rPr>
              <w:t>Dokumenty</w:t>
            </w:r>
          </w:p>
        </w:tc>
        <w:tc>
          <w:tcPr>
            <w:tcW w:w="3923" w:type="pct"/>
          </w:tcPr>
          <w:p w:rsidRPr="00073C8F" w:rsidR="003E155B" w:rsidP="00601805" w:rsidRDefault="003E155B" w14:paraId="2DCC067B" w14:textId="489362E7">
            <w:pPr>
              <w:tabs>
                <w:tab w:val="center" w:pos="284"/>
              </w:tabs>
              <w:suppressAutoHyphens/>
              <w:overflowPunct w:val="0"/>
              <w:autoSpaceDE w:val="0"/>
              <w:autoSpaceDN w:val="0"/>
              <w:adjustRightInd w:val="0"/>
              <w:textAlignment w:val="baseline"/>
            </w:pPr>
            <w:r w:rsidRPr="00073C8F">
              <w:t>Opinia z inicjatywy własnej</w:t>
            </w:r>
          </w:p>
          <w:p w:rsidRPr="00073C8F" w:rsidR="00B8302A" w:rsidP="00601805" w:rsidRDefault="00B8302A" w14:paraId="013DF277" w14:textId="708EB53E">
            <w:pPr>
              <w:tabs>
                <w:tab w:val="center" w:pos="284"/>
              </w:tabs>
              <w:suppressAutoHyphens/>
              <w:overflowPunct w:val="0"/>
              <w:autoSpaceDE w:val="0"/>
              <w:autoSpaceDN w:val="0"/>
              <w:adjustRightInd w:val="0"/>
              <w:textAlignment w:val="baseline"/>
            </w:pPr>
            <w:r w:rsidRPr="00073C8F">
              <w:t>EESC-2024-02254-00-00-AC</w:t>
            </w:r>
          </w:p>
        </w:tc>
      </w:tr>
    </w:tbl>
    <w:p w:rsidRPr="00073C8F" w:rsidR="00B8302A" w:rsidP="00241CB3" w:rsidRDefault="00B8302A" w14:paraId="41773305" w14:textId="77777777">
      <w:pPr>
        <w:tabs>
          <w:tab w:val="center" w:pos="284"/>
        </w:tabs>
        <w:suppressAutoHyphens/>
        <w:overflowPunct w:val="0"/>
        <w:autoSpaceDE w:val="0"/>
        <w:autoSpaceDN w:val="0"/>
        <w:adjustRightInd w:val="0"/>
        <w:ind w:left="266" w:hanging="266"/>
        <w:textAlignment w:val="baseline"/>
        <w:rPr>
          <w:b/>
        </w:rPr>
      </w:pPr>
    </w:p>
    <w:p w:rsidRPr="00073C8F" w:rsidR="00B8302A" w:rsidP="00241CB3" w:rsidRDefault="00B8302A" w14:paraId="14ED2C59" w14:textId="77777777">
      <w:pPr>
        <w:tabs>
          <w:tab w:val="center" w:pos="284"/>
        </w:tabs>
        <w:suppressAutoHyphens/>
        <w:overflowPunct w:val="0"/>
        <w:autoSpaceDE w:val="0"/>
        <w:autoSpaceDN w:val="0"/>
        <w:adjustRightInd w:val="0"/>
        <w:ind w:left="266" w:hanging="266"/>
        <w:textAlignment w:val="baseline"/>
        <w:rPr>
          <w:b/>
        </w:rPr>
      </w:pPr>
      <w:r w:rsidRPr="00073C8F">
        <w:rPr>
          <w:b/>
        </w:rPr>
        <w:t>Główne punkty</w:t>
      </w:r>
    </w:p>
    <w:p w:rsidRPr="00073C8F" w:rsidR="00B8302A" w:rsidP="00241CB3" w:rsidRDefault="00B8302A" w14:paraId="69CB0A87" w14:textId="77777777">
      <w:pPr>
        <w:tabs>
          <w:tab w:val="center" w:pos="284"/>
        </w:tabs>
        <w:suppressAutoHyphens/>
        <w:overflowPunct w:val="0"/>
        <w:autoSpaceDE w:val="0"/>
        <w:autoSpaceDN w:val="0"/>
        <w:adjustRightInd w:val="0"/>
        <w:ind w:left="266" w:hanging="266"/>
        <w:textAlignment w:val="baseline"/>
        <w:rPr>
          <w:b/>
        </w:rPr>
      </w:pPr>
    </w:p>
    <w:p w:rsidR="00B8302A" w:rsidP="00241CB3" w:rsidRDefault="00B8302A" w14:paraId="2D5FBFBA" w14:textId="6D3AB814">
      <w:pPr>
        <w:tabs>
          <w:tab w:val="center" w:pos="284"/>
        </w:tabs>
        <w:suppressAutoHyphens/>
        <w:overflowPunct w:val="0"/>
        <w:autoSpaceDE w:val="0"/>
        <w:autoSpaceDN w:val="0"/>
        <w:adjustRightInd w:val="0"/>
        <w:ind w:left="266" w:hanging="266"/>
        <w:textAlignment w:val="baseline"/>
      </w:pPr>
      <w:r w:rsidRPr="00073C8F">
        <w:t>EKES:</w:t>
      </w:r>
    </w:p>
    <w:p w:rsidRPr="00073C8F" w:rsidR="00601805" w:rsidP="00241CB3" w:rsidRDefault="00601805" w14:paraId="00B4C0D8" w14:textId="77777777">
      <w:pPr>
        <w:tabs>
          <w:tab w:val="center" w:pos="284"/>
        </w:tabs>
        <w:suppressAutoHyphens/>
        <w:overflowPunct w:val="0"/>
        <w:autoSpaceDE w:val="0"/>
        <w:autoSpaceDN w:val="0"/>
        <w:adjustRightInd w:val="0"/>
        <w:ind w:left="266" w:hanging="266"/>
        <w:textAlignment w:val="baseline"/>
        <w:rPr>
          <w:bCs/>
          <w:iCs/>
        </w:rPr>
      </w:pPr>
    </w:p>
    <w:p w:rsidRPr="00073C8F" w:rsidR="00B8302A" w:rsidP="00596171" w:rsidRDefault="00B8302A" w14:paraId="4D4AFE83" w14:textId="7BB93D71">
      <w:pPr>
        <w:numPr>
          <w:ilvl w:val="0"/>
          <w:numId w:val="38"/>
        </w:numPr>
        <w:suppressAutoHyphens/>
        <w:overflowPunct w:val="0"/>
        <w:autoSpaceDE w:val="0"/>
        <w:autoSpaceDN w:val="0"/>
        <w:adjustRightInd w:val="0"/>
        <w:ind w:left="567" w:hanging="567"/>
        <w:textAlignment w:val="baseline"/>
        <w:rPr>
          <w:bCs/>
          <w:iCs/>
        </w:rPr>
      </w:pPr>
      <w:r w:rsidRPr="00073C8F">
        <w:t>Popiera zacieśnienie współpracy między Unią Europejską a Kazachstanem w świetle priorytetów i możliwości wynikających z nowej strategii UE wobec Azji Środkowej i</w:t>
      </w:r>
      <w:r w:rsidR="00E421E9">
        <w:t> </w:t>
      </w:r>
      <w:r w:rsidRPr="00073C8F">
        <w:t>inicjatywy Global Gateway.</w:t>
      </w:r>
    </w:p>
    <w:p w:rsidRPr="00073C8F" w:rsidR="00B8302A" w:rsidP="00596171" w:rsidRDefault="00B8302A" w14:paraId="5112CD6B" w14:textId="31EF9DAE">
      <w:pPr>
        <w:numPr>
          <w:ilvl w:val="0"/>
          <w:numId w:val="38"/>
        </w:numPr>
        <w:suppressAutoHyphens/>
        <w:overflowPunct w:val="0"/>
        <w:autoSpaceDE w:val="0"/>
        <w:autoSpaceDN w:val="0"/>
        <w:adjustRightInd w:val="0"/>
        <w:ind w:left="567" w:hanging="567"/>
        <w:textAlignment w:val="baseline"/>
        <w:rPr>
          <w:bCs/>
          <w:iCs/>
        </w:rPr>
      </w:pPr>
      <w:r w:rsidRPr="00073C8F">
        <w:t>Uznaje, że partnerstwo z UE jest kamieniem węgielnym polityki zagranicznej Kazachstanu, pierwszego kraju Azji Środkowej, który podpisał z Unią wzmocnioną umowę o partnerstwie i</w:t>
      </w:r>
      <w:r w:rsidR="00E421E9">
        <w:t> </w:t>
      </w:r>
      <w:r w:rsidRPr="00073C8F">
        <w:t>współpracy. Wzmocniona umowa o partnerstwie i współpracy wspiera współpracę w</w:t>
      </w:r>
      <w:r w:rsidR="00E421E9">
        <w:t> </w:t>
      </w:r>
      <w:r w:rsidRPr="00073C8F">
        <w:t>kluczowych sektorach, takich jak handel, inwestycje, energia, rolnictwo i łączność. UE jest największym partnerem handlowym Kazachstanu, a kraj ten „buduje mosty” między Azją a</w:t>
      </w:r>
      <w:r w:rsidR="00E421E9">
        <w:t> </w:t>
      </w:r>
      <w:r w:rsidRPr="00073C8F">
        <w:t>Europą poprzez rozwój sieci połączeń i sieci transportowych.</w:t>
      </w:r>
    </w:p>
    <w:p w:rsidRPr="00073C8F" w:rsidR="00B8302A" w:rsidP="00596171" w:rsidRDefault="00B8302A" w14:paraId="595F55F0" w14:textId="77777777">
      <w:pPr>
        <w:numPr>
          <w:ilvl w:val="0"/>
          <w:numId w:val="38"/>
        </w:numPr>
        <w:suppressAutoHyphens/>
        <w:overflowPunct w:val="0"/>
        <w:autoSpaceDE w:val="0"/>
        <w:autoSpaceDN w:val="0"/>
        <w:adjustRightInd w:val="0"/>
        <w:ind w:left="567" w:hanging="567"/>
        <w:textAlignment w:val="baseline"/>
        <w:rPr>
          <w:bCs/>
          <w:iCs/>
        </w:rPr>
      </w:pPr>
      <w:r w:rsidRPr="00073C8F">
        <w:t>Uważa, że zasadnicze znaczenie ma zapewnienie, by w stosunkach tych priorytetowo traktowano zrównoważony rozwój, prawa człowieka i inkluzywność oraz aby relacje były zgodne z wartościami i celami strategicznymi UE, poprzez uwzględnianie kwestii środowiskowych, społecznych i geopolitycznych. Kazachstan może z łatwością zsynchronizować się z UE w ramach programów dialogu społecznego i obywatelskiego dzięki doświadczeniom zdobytym już w ramach dorocznego Forum Społeczeństwa Obywatelskiego UE-Azja Środkowa.</w:t>
      </w:r>
    </w:p>
    <w:p w:rsidRPr="00073C8F" w:rsidR="00B8302A" w:rsidP="00596171" w:rsidRDefault="00B8302A" w14:paraId="3970D0BF" w14:textId="77777777">
      <w:pPr>
        <w:numPr>
          <w:ilvl w:val="0"/>
          <w:numId w:val="38"/>
        </w:numPr>
        <w:suppressAutoHyphens/>
        <w:overflowPunct w:val="0"/>
        <w:autoSpaceDE w:val="0"/>
        <w:autoSpaceDN w:val="0"/>
        <w:adjustRightInd w:val="0"/>
        <w:ind w:left="567" w:hanging="567"/>
        <w:textAlignment w:val="baseline"/>
        <w:rPr>
          <w:bCs/>
          <w:iCs/>
        </w:rPr>
      </w:pPr>
      <w:r w:rsidRPr="00073C8F">
        <w:t>Popiera rozwój dialogu obywatelskiego i społecznego w Azji Środkowej i opowiada się za jego sformalizowaniem, zgodnie z dobrymi praktykami w stosunkach ze zorganizowanym społeczeństwem obywatelskim innych regionów, takich jak Bałkany Zachodnie.</w:t>
      </w:r>
    </w:p>
    <w:p w:rsidRPr="00073C8F" w:rsidR="00B8302A" w:rsidP="00596171" w:rsidRDefault="00B8302A" w14:paraId="38051331" w14:textId="2D358DE4">
      <w:pPr>
        <w:numPr>
          <w:ilvl w:val="0"/>
          <w:numId w:val="38"/>
        </w:numPr>
        <w:suppressAutoHyphens/>
        <w:overflowPunct w:val="0"/>
        <w:autoSpaceDE w:val="0"/>
        <w:autoSpaceDN w:val="0"/>
        <w:adjustRightInd w:val="0"/>
        <w:ind w:left="567" w:hanging="567"/>
        <w:textAlignment w:val="baseline"/>
      </w:pPr>
      <w:r w:rsidRPr="00073C8F">
        <w:t>Uważa, że stosunki między zorganizowanym społeczeństwem obywatelskim w UE i</w:t>
      </w:r>
      <w:r w:rsidR="00E421E9">
        <w:t> </w:t>
      </w:r>
      <w:r w:rsidRPr="00073C8F">
        <w:t>Kazachstanie mogą rozwijać się w sposób uporządkowany w oparciu o plan działania obejmujący szereg priorytetów i zgodny z celami nowej strategii UE wobec Azji Środkowej. Finansowanie powinno zostać zapewnione w ramach inicjatywy Global Gateway, z</w:t>
      </w:r>
      <w:r w:rsidR="00E421E9">
        <w:t> </w:t>
      </w:r>
      <w:r w:rsidRPr="00073C8F">
        <w:t>proporcjonalnym wkładem rządowym państw tego regionu, a także innych międzynarodowych darczyńców.</w:t>
      </w:r>
    </w:p>
    <w:p w:rsidRPr="00073C8F" w:rsidR="00B8302A" w:rsidP="00596171" w:rsidRDefault="00B8302A" w14:paraId="35BE168B" w14:textId="77777777">
      <w:pPr>
        <w:numPr>
          <w:ilvl w:val="0"/>
          <w:numId w:val="38"/>
        </w:numPr>
        <w:suppressAutoHyphens/>
        <w:overflowPunct w:val="0"/>
        <w:autoSpaceDE w:val="0"/>
        <w:autoSpaceDN w:val="0"/>
        <w:adjustRightInd w:val="0"/>
        <w:ind w:left="567" w:hanging="567"/>
        <w:textAlignment w:val="baseline"/>
      </w:pPr>
      <w:r w:rsidRPr="00073C8F">
        <w:t>Uważa, że UE mogłaby pomóc we wspieraniu rozwoju i konsolidacji społeczeństwa obywatelskiego w Kazachstanie poprzez stworzenie programu wymiany doświadczeń między urzędnikami służby cywilnej.</w:t>
      </w:r>
    </w:p>
    <w:p w:rsidRPr="00073C8F" w:rsidR="00B8302A" w:rsidP="00596171" w:rsidRDefault="00B8302A" w14:paraId="5873A0DF" w14:textId="6D68F7FE">
      <w:pPr>
        <w:numPr>
          <w:ilvl w:val="0"/>
          <w:numId w:val="38"/>
        </w:numPr>
        <w:suppressAutoHyphens/>
        <w:overflowPunct w:val="0"/>
        <w:autoSpaceDE w:val="0"/>
        <w:autoSpaceDN w:val="0"/>
        <w:adjustRightInd w:val="0"/>
        <w:ind w:left="567" w:hanging="567"/>
        <w:textAlignment w:val="baseline"/>
      </w:pPr>
      <w:r w:rsidRPr="00073C8F">
        <w:lastRenderedPageBreak/>
        <w:t>Jest zdania, że UE powinna również wspierać rozwój społeczeństwa obywatelskiego w</w:t>
      </w:r>
      <w:r w:rsidR="00E421E9">
        <w:t> </w:t>
      </w:r>
      <w:r w:rsidRPr="00073C8F">
        <w:t>Kazachstanie poprzez zwiększenie możliwości edukacyjnych młodych Kazachów za pośrednictwem programu Erasmus.</w:t>
      </w:r>
    </w:p>
    <w:p w:rsidRPr="00073C8F" w:rsidR="00B8302A" w:rsidP="00241CB3" w:rsidRDefault="00B8302A" w14:paraId="66EF64B3" w14:textId="77777777">
      <w:pPr>
        <w:suppressAutoHyphens/>
        <w:overflowPunct w:val="0"/>
        <w:autoSpaceDE w:val="0"/>
        <w:autoSpaceDN w:val="0"/>
        <w:adjustRightInd w:val="0"/>
        <w:ind w:left="709"/>
        <w:textAlignment w:val="baseline"/>
      </w:pPr>
    </w:p>
    <w:tbl>
      <w:tblPr>
        <w:tblW w:w="3516" w:type="pct"/>
        <w:tblLook w:val="04A0" w:firstRow="1" w:lastRow="0" w:firstColumn="1" w:lastColumn="0" w:noHBand="0" w:noVBand="1"/>
      </w:tblPr>
      <w:tblGrid>
        <w:gridCol w:w="2033"/>
        <w:gridCol w:w="4499"/>
      </w:tblGrid>
      <w:tr w:rsidRPr="00073C8F" w:rsidR="00B8302A" w:rsidTr="000C2127" w14:paraId="30B9E374" w14:textId="77777777">
        <w:tc>
          <w:tcPr>
            <w:tcW w:w="1556" w:type="pct"/>
          </w:tcPr>
          <w:p w:rsidRPr="00073C8F" w:rsidR="00B8302A" w:rsidP="00241CB3" w:rsidRDefault="00B8302A" w14:paraId="08F71121" w14:textId="77777777">
            <w:pPr>
              <w:suppressAutoHyphens/>
              <w:overflowPunct w:val="0"/>
              <w:autoSpaceDE w:val="0"/>
              <w:autoSpaceDN w:val="0"/>
              <w:adjustRightInd w:val="0"/>
              <w:textAlignment w:val="baseline"/>
              <w:rPr>
                <w:i/>
              </w:rPr>
            </w:pPr>
            <w:r w:rsidRPr="00073C8F">
              <w:rPr>
                <w:b/>
                <w:i/>
              </w:rPr>
              <w:t>Kontakt</w:t>
            </w:r>
          </w:p>
        </w:tc>
        <w:tc>
          <w:tcPr>
            <w:tcW w:w="3444" w:type="pct"/>
          </w:tcPr>
          <w:p w:rsidRPr="00073C8F" w:rsidR="00B8302A" w:rsidP="00241CB3" w:rsidRDefault="00B8302A" w14:paraId="0958DA43" w14:textId="77777777">
            <w:pPr>
              <w:suppressAutoHyphens/>
              <w:overflowPunct w:val="0"/>
              <w:autoSpaceDE w:val="0"/>
              <w:autoSpaceDN w:val="0"/>
              <w:adjustRightInd w:val="0"/>
              <w:textAlignment w:val="baseline"/>
              <w:rPr>
                <w:i/>
              </w:rPr>
            </w:pPr>
            <w:r w:rsidRPr="00073C8F">
              <w:t>Daniele Vitali</w:t>
            </w:r>
          </w:p>
        </w:tc>
      </w:tr>
      <w:tr w:rsidRPr="00073C8F" w:rsidR="00B8302A" w:rsidTr="000C2127" w14:paraId="623D8139" w14:textId="77777777">
        <w:tc>
          <w:tcPr>
            <w:tcW w:w="1556" w:type="pct"/>
          </w:tcPr>
          <w:p w:rsidRPr="00073C8F" w:rsidR="00B8302A" w:rsidP="00241CB3" w:rsidRDefault="00B8302A" w14:paraId="6657ABEF" w14:textId="77777777">
            <w:pPr>
              <w:suppressAutoHyphens/>
              <w:overflowPunct w:val="0"/>
              <w:autoSpaceDE w:val="0"/>
              <w:autoSpaceDN w:val="0"/>
              <w:adjustRightInd w:val="0"/>
              <w:textAlignment w:val="baseline"/>
              <w:rPr>
                <w:i/>
              </w:rPr>
            </w:pPr>
            <w:r w:rsidRPr="00073C8F">
              <w:rPr>
                <w:i/>
              </w:rPr>
              <w:t>tel.</w:t>
            </w:r>
          </w:p>
        </w:tc>
        <w:tc>
          <w:tcPr>
            <w:tcW w:w="3444" w:type="pct"/>
          </w:tcPr>
          <w:p w:rsidRPr="00073C8F" w:rsidR="00B8302A" w:rsidP="00241CB3" w:rsidRDefault="00B8302A" w14:paraId="4C6BE503" w14:textId="77777777">
            <w:pPr>
              <w:suppressAutoHyphens/>
              <w:overflowPunct w:val="0"/>
              <w:autoSpaceDE w:val="0"/>
              <w:autoSpaceDN w:val="0"/>
              <w:adjustRightInd w:val="0"/>
              <w:textAlignment w:val="baseline"/>
              <w:rPr>
                <w:i/>
              </w:rPr>
            </w:pPr>
            <w:r w:rsidRPr="00073C8F">
              <w:rPr>
                <w:i/>
              </w:rPr>
              <w:t>+32 254 68817</w:t>
            </w:r>
          </w:p>
        </w:tc>
      </w:tr>
      <w:tr w:rsidRPr="00073C8F" w:rsidR="00B8302A" w:rsidTr="000C2127" w14:paraId="500A6A3F" w14:textId="77777777">
        <w:tc>
          <w:tcPr>
            <w:tcW w:w="1556" w:type="pct"/>
          </w:tcPr>
          <w:p w:rsidRPr="00073C8F" w:rsidR="00B8302A" w:rsidP="00241CB3" w:rsidRDefault="00B8302A" w14:paraId="6C935F71" w14:textId="77777777">
            <w:pPr>
              <w:suppressAutoHyphens/>
              <w:overflowPunct w:val="0"/>
              <w:autoSpaceDE w:val="0"/>
              <w:autoSpaceDN w:val="0"/>
              <w:adjustRightInd w:val="0"/>
              <w:textAlignment w:val="baseline"/>
              <w:rPr>
                <w:i/>
              </w:rPr>
            </w:pPr>
            <w:r w:rsidRPr="00073C8F">
              <w:rPr>
                <w:i/>
              </w:rPr>
              <w:t>e-mail</w:t>
            </w:r>
          </w:p>
        </w:tc>
        <w:tc>
          <w:tcPr>
            <w:tcW w:w="3444" w:type="pct"/>
          </w:tcPr>
          <w:p w:rsidRPr="00073C8F" w:rsidR="00B8302A" w:rsidP="00241CB3" w:rsidRDefault="00A46594" w14:paraId="6CC155EE" w14:textId="77777777">
            <w:pPr>
              <w:suppressAutoHyphens/>
              <w:overflowPunct w:val="0"/>
              <w:autoSpaceDE w:val="0"/>
              <w:autoSpaceDN w:val="0"/>
              <w:adjustRightInd w:val="0"/>
              <w:textAlignment w:val="baseline"/>
              <w:rPr>
                <w:i/>
                <w:iCs/>
                <w:color w:val="0000FF"/>
                <w:u w:val="single"/>
              </w:rPr>
            </w:pPr>
            <w:hyperlink w:history="1" r:id="rId53">
              <w:r w:rsidRPr="00073C8F" w:rsidR="0081023C">
                <w:rPr>
                  <w:i/>
                  <w:color w:val="0000FF"/>
                  <w:u w:val="single"/>
                </w:rPr>
                <w:t>Daniele.Vitali@eesc.europa.eu</w:t>
              </w:r>
            </w:hyperlink>
          </w:p>
        </w:tc>
      </w:tr>
    </w:tbl>
    <w:p w:rsidRPr="00073C8F" w:rsidR="00CE3425" w:rsidP="00241CB3" w:rsidRDefault="00CE3425" w14:paraId="52CD2F3A" w14:textId="4AD224CF">
      <w:pPr>
        <w:suppressAutoHyphens/>
        <w:jc w:val="left"/>
      </w:pPr>
      <w:r w:rsidRPr="00073C8F">
        <w:br w:type="page"/>
      </w:r>
    </w:p>
    <w:p w:rsidRPr="00073C8F" w:rsidR="006D2C8A" w:rsidP="00241CB3" w:rsidRDefault="006D2C8A" w14:paraId="528C73AA" w14:textId="46DE726B">
      <w:pPr>
        <w:pStyle w:val="Heading1"/>
        <w:suppressAutoHyphens/>
        <w:rPr>
          <w:b/>
        </w:rPr>
      </w:pPr>
      <w:bookmarkStart w:name="_Toc195264691" w:id="12"/>
      <w:r w:rsidRPr="00073C8F">
        <w:rPr>
          <w:b/>
          <w:color w:val="222A35" w:themeColor="text2" w:themeShade="80"/>
        </w:rPr>
        <w:lastRenderedPageBreak/>
        <w:t>KOMISJA KONSULTACYJNA DS. PRZEMIAN W PRZEMYŚLE</w:t>
      </w:r>
      <w:bookmarkEnd w:id="12"/>
    </w:p>
    <w:p w:rsidRPr="00073C8F" w:rsidR="006D2C8A" w:rsidP="00241CB3" w:rsidRDefault="006D2C8A" w14:paraId="713E272F" w14:textId="77777777">
      <w:pPr>
        <w:suppressAutoHyphens/>
      </w:pPr>
    </w:p>
    <w:p w:rsidRPr="00073C8F" w:rsidR="009F1849" w:rsidP="00963630" w:rsidRDefault="00A46594" w14:paraId="6D07D5C3" w14:textId="36E6C631">
      <w:pPr>
        <w:numPr>
          <w:ilvl w:val="0"/>
          <w:numId w:val="16"/>
        </w:numPr>
        <w:suppressAutoHyphens/>
        <w:overflowPunct w:val="0"/>
        <w:autoSpaceDE w:val="0"/>
        <w:autoSpaceDN w:val="0"/>
        <w:adjustRightInd w:val="0"/>
        <w:ind w:left="567" w:hanging="567"/>
        <w:textAlignment w:val="baseline"/>
        <w:rPr>
          <w:sz w:val="28"/>
          <w:szCs w:val="28"/>
        </w:rPr>
      </w:pPr>
      <w:hyperlink w:history="1" r:id="rId54">
        <w:r w:rsidRPr="00073C8F" w:rsidR="0081023C">
          <w:rPr>
            <w:b/>
            <w:i/>
            <w:color w:val="0000FF"/>
            <w:sz w:val="28"/>
            <w:szCs w:val="28"/>
            <w:u w:val="single"/>
          </w:rPr>
          <w:t>Europejska strategia dotycząca paliw ciekłych na rzecz zrównoważonego, przystępnego cenowo i odpornego przejścia na gospodarkę niskoemisyjną</w:t>
        </w:r>
      </w:hyperlink>
    </w:p>
    <w:p w:rsidRPr="00073C8F" w:rsidR="009F1849" w:rsidP="00241CB3" w:rsidRDefault="009F1849" w14:paraId="60A09159" w14:textId="77777777">
      <w:pPr>
        <w:tabs>
          <w:tab w:val="center" w:pos="284"/>
        </w:tabs>
        <w:suppressAutoHyphens/>
        <w:overflowPunct w:val="0"/>
        <w:autoSpaceDE w:val="0"/>
        <w:autoSpaceDN w:val="0"/>
        <w:adjustRightInd w:val="0"/>
        <w:ind w:left="266" w:hanging="266"/>
        <w:textAlignment w:val="baseline"/>
        <w:rPr>
          <w:b/>
        </w:rPr>
      </w:pPr>
    </w:p>
    <w:tbl>
      <w:tblPr>
        <w:tblW w:w="5000" w:type="pct"/>
        <w:tblLook w:val="04A0" w:firstRow="1" w:lastRow="0" w:firstColumn="1" w:lastColumn="0" w:noHBand="0" w:noVBand="1"/>
      </w:tblPr>
      <w:tblGrid>
        <w:gridCol w:w="2748"/>
        <w:gridCol w:w="6541"/>
      </w:tblGrid>
      <w:tr w:rsidRPr="00073C8F" w:rsidR="009F1849" w:rsidTr="00601805" w14:paraId="1C6BE830" w14:textId="77777777">
        <w:tc>
          <w:tcPr>
            <w:tcW w:w="1479" w:type="pct"/>
          </w:tcPr>
          <w:p w:rsidRPr="00073C8F" w:rsidR="009F1849" w:rsidP="00601805" w:rsidRDefault="009F1849" w14:paraId="0AF4F8C0" w14:textId="77777777">
            <w:pPr>
              <w:tabs>
                <w:tab w:val="center" w:pos="284"/>
              </w:tabs>
              <w:suppressAutoHyphens/>
              <w:overflowPunct w:val="0"/>
              <w:autoSpaceDE w:val="0"/>
              <w:autoSpaceDN w:val="0"/>
              <w:adjustRightInd w:val="0"/>
              <w:textAlignment w:val="baseline"/>
              <w:rPr>
                <w:b/>
              </w:rPr>
            </w:pPr>
            <w:r w:rsidRPr="00073C8F">
              <w:rPr>
                <w:b/>
              </w:rPr>
              <w:t>Sprawozdawca</w:t>
            </w:r>
          </w:p>
        </w:tc>
        <w:tc>
          <w:tcPr>
            <w:tcW w:w="3521" w:type="pct"/>
          </w:tcPr>
          <w:p w:rsidRPr="00073C8F" w:rsidR="009F1849" w:rsidP="00601805" w:rsidRDefault="009F1849" w14:paraId="72F78310" w14:textId="4E4E2077">
            <w:pPr>
              <w:suppressAutoHyphens/>
              <w:overflowPunct w:val="0"/>
              <w:autoSpaceDE w:val="0"/>
              <w:autoSpaceDN w:val="0"/>
              <w:adjustRightInd w:val="0"/>
              <w:jc w:val="left"/>
              <w:textAlignment w:val="baseline"/>
            </w:pPr>
            <w:r w:rsidRPr="00073C8F">
              <w:t>Weselin MITOW (Grupa Pracowników – BG)</w:t>
            </w:r>
          </w:p>
        </w:tc>
      </w:tr>
      <w:tr w:rsidRPr="00073C8F" w:rsidR="009F1849" w:rsidTr="00601805" w14:paraId="55A79E33" w14:textId="77777777">
        <w:tc>
          <w:tcPr>
            <w:tcW w:w="1479" w:type="pct"/>
          </w:tcPr>
          <w:p w:rsidRPr="00073C8F" w:rsidR="009F1849" w:rsidP="00601805" w:rsidRDefault="009F1849" w14:paraId="72B73826" w14:textId="77777777">
            <w:pPr>
              <w:tabs>
                <w:tab w:val="center" w:pos="284"/>
              </w:tabs>
              <w:suppressAutoHyphens/>
              <w:overflowPunct w:val="0"/>
              <w:autoSpaceDE w:val="0"/>
              <w:autoSpaceDN w:val="0"/>
              <w:adjustRightInd w:val="0"/>
              <w:textAlignment w:val="baseline"/>
              <w:rPr>
                <w:b/>
              </w:rPr>
            </w:pPr>
            <w:r w:rsidRPr="00073C8F">
              <w:rPr>
                <w:b/>
              </w:rPr>
              <w:t>Współsprawozdawca</w:t>
            </w:r>
          </w:p>
        </w:tc>
        <w:tc>
          <w:tcPr>
            <w:tcW w:w="3521" w:type="pct"/>
          </w:tcPr>
          <w:p w:rsidRPr="00073C8F" w:rsidR="009F1849" w:rsidP="00601805" w:rsidRDefault="009F1849" w14:paraId="79F20B47" w14:textId="4EDF6C08">
            <w:pPr>
              <w:tabs>
                <w:tab w:val="center" w:pos="284"/>
              </w:tabs>
              <w:suppressAutoHyphens/>
              <w:overflowPunct w:val="0"/>
              <w:autoSpaceDE w:val="0"/>
              <w:autoSpaceDN w:val="0"/>
              <w:adjustRightInd w:val="0"/>
              <w:jc w:val="left"/>
              <w:textAlignment w:val="baseline"/>
            </w:pPr>
            <w:r w:rsidRPr="00073C8F">
              <w:t>Alessandro BARTELLONI (Kategoria 1 – Włochy)</w:t>
            </w:r>
          </w:p>
        </w:tc>
      </w:tr>
      <w:tr w:rsidRPr="00073C8F" w:rsidR="009F1849" w:rsidTr="00601805" w14:paraId="5F7330F5" w14:textId="77777777">
        <w:tc>
          <w:tcPr>
            <w:tcW w:w="5000" w:type="pct"/>
            <w:gridSpan w:val="2"/>
          </w:tcPr>
          <w:p w:rsidRPr="00073C8F" w:rsidR="009F1849" w:rsidP="00601805" w:rsidRDefault="009F1849" w14:paraId="1A6CEAAA" w14:textId="77777777">
            <w:pPr>
              <w:tabs>
                <w:tab w:val="center" w:pos="284"/>
              </w:tabs>
              <w:suppressAutoHyphens/>
              <w:overflowPunct w:val="0"/>
              <w:autoSpaceDE w:val="0"/>
              <w:autoSpaceDN w:val="0"/>
              <w:adjustRightInd w:val="0"/>
              <w:textAlignment w:val="baseline"/>
            </w:pPr>
          </w:p>
        </w:tc>
      </w:tr>
      <w:tr w:rsidRPr="00073C8F" w:rsidR="009F1849" w:rsidTr="00601805" w14:paraId="3AA33C70" w14:textId="77777777">
        <w:tc>
          <w:tcPr>
            <w:tcW w:w="1479" w:type="pct"/>
          </w:tcPr>
          <w:p w:rsidRPr="00073C8F" w:rsidR="009F1849" w:rsidP="00601805" w:rsidRDefault="009F1849" w14:paraId="6129FF7E" w14:textId="77777777">
            <w:pPr>
              <w:tabs>
                <w:tab w:val="center" w:pos="284"/>
              </w:tabs>
              <w:suppressAutoHyphens/>
              <w:overflowPunct w:val="0"/>
              <w:autoSpaceDE w:val="0"/>
              <w:autoSpaceDN w:val="0"/>
              <w:adjustRightInd w:val="0"/>
              <w:textAlignment w:val="baseline"/>
              <w:rPr>
                <w:b/>
              </w:rPr>
            </w:pPr>
            <w:r w:rsidRPr="00073C8F">
              <w:rPr>
                <w:b/>
              </w:rPr>
              <w:t>Dokumenty</w:t>
            </w:r>
          </w:p>
        </w:tc>
        <w:tc>
          <w:tcPr>
            <w:tcW w:w="3521" w:type="pct"/>
          </w:tcPr>
          <w:p w:rsidRPr="00073C8F" w:rsidR="009E2BC5" w:rsidP="00601805" w:rsidRDefault="009E2BC5" w14:paraId="2DAFBB78" w14:textId="22536B24">
            <w:pPr>
              <w:tabs>
                <w:tab w:val="center" w:pos="284"/>
              </w:tabs>
              <w:suppressAutoHyphens/>
              <w:overflowPunct w:val="0"/>
              <w:autoSpaceDE w:val="0"/>
              <w:autoSpaceDN w:val="0"/>
              <w:adjustRightInd w:val="0"/>
              <w:textAlignment w:val="baseline"/>
            </w:pPr>
            <w:r w:rsidRPr="00073C8F">
              <w:t>Opinia z inicjatywy własnej</w:t>
            </w:r>
          </w:p>
          <w:p w:rsidRPr="00073C8F" w:rsidR="009F1849" w:rsidP="00601805" w:rsidRDefault="009F1849" w14:paraId="233B7278" w14:textId="6C4060A5">
            <w:pPr>
              <w:tabs>
                <w:tab w:val="center" w:pos="284"/>
              </w:tabs>
              <w:suppressAutoHyphens/>
              <w:overflowPunct w:val="0"/>
              <w:autoSpaceDE w:val="0"/>
              <w:autoSpaceDN w:val="0"/>
              <w:adjustRightInd w:val="0"/>
              <w:textAlignment w:val="baseline"/>
            </w:pPr>
            <w:r w:rsidRPr="00073C8F">
              <w:t>EESC-2025-03709-00-00-AC</w:t>
            </w:r>
          </w:p>
        </w:tc>
      </w:tr>
    </w:tbl>
    <w:p w:rsidRPr="00073C8F" w:rsidR="009F1849" w:rsidP="00241CB3" w:rsidRDefault="009F1849" w14:paraId="325F1A8F" w14:textId="77777777">
      <w:pPr>
        <w:tabs>
          <w:tab w:val="center" w:pos="284"/>
        </w:tabs>
        <w:suppressAutoHyphens/>
        <w:overflowPunct w:val="0"/>
        <w:autoSpaceDE w:val="0"/>
        <w:autoSpaceDN w:val="0"/>
        <w:adjustRightInd w:val="0"/>
        <w:ind w:left="266" w:hanging="266"/>
        <w:textAlignment w:val="baseline"/>
      </w:pPr>
    </w:p>
    <w:p w:rsidRPr="00073C8F" w:rsidR="009F1849" w:rsidP="00241CB3" w:rsidRDefault="009F1849" w14:paraId="058ABE96" w14:textId="77777777">
      <w:pPr>
        <w:tabs>
          <w:tab w:val="center" w:pos="284"/>
        </w:tabs>
        <w:suppressAutoHyphens/>
        <w:overflowPunct w:val="0"/>
        <w:autoSpaceDE w:val="0"/>
        <w:autoSpaceDN w:val="0"/>
        <w:adjustRightInd w:val="0"/>
        <w:ind w:left="266" w:hanging="266"/>
        <w:textAlignment w:val="baseline"/>
        <w:rPr>
          <w:b/>
        </w:rPr>
      </w:pPr>
      <w:r w:rsidRPr="00073C8F">
        <w:rPr>
          <w:b/>
        </w:rPr>
        <w:t>Główne punkty</w:t>
      </w:r>
    </w:p>
    <w:p w:rsidRPr="00073C8F" w:rsidR="009F1849" w:rsidP="00241CB3" w:rsidRDefault="009F1849" w14:paraId="36BE43C7" w14:textId="77777777">
      <w:pPr>
        <w:tabs>
          <w:tab w:val="center" w:pos="284"/>
        </w:tabs>
        <w:suppressAutoHyphens/>
        <w:overflowPunct w:val="0"/>
        <w:autoSpaceDE w:val="0"/>
        <w:autoSpaceDN w:val="0"/>
        <w:adjustRightInd w:val="0"/>
        <w:ind w:left="266" w:hanging="266"/>
        <w:textAlignment w:val="baseline"/>
        <w:rPr>
          <w:b/>
        </w:rPr>
      </w:pPr>
    </w:p>
    <w:p w:rsidR="009F1849" w:rsidP="00241CB3" w:rsidRDefault="009F1849" w14:paraId="3C3B077A" w14:textId="06F3A95C">
      <w:pPr>
        <w:suppressAutoHyphens/>
        <w:overflowPunct w:val="0"/>
        <w:autoSpaceDE w:val="0"/>
        <w:autoSpaceDN w:val="0"/>
        <w:adjustRightInd w:val="0"/>
        <w:textAlignment w:val="baseline"/>
      </w:pPr>
      <w:r w:rsidRPr="00073C8F">
        <w:t>EKES:</w:t>
      </w:r>
    </w:p>
    <w:p w:rsidRPr="00073C8F" w:rsidR="00601805" w:rsidP="00241CB3" w:rsidRDefault="00601805" w14:paraId="4CB4F2E8" w14:textId="77777777">
      <w:pPr>
        <w:suppressAutoHyphens/>
        <w:overflowPunct w:val="0"/>
        <w:autoSpaceDE w:val="0"/>
        <w:autoSpaceDN w:val="0"/>
        <w:adjustRightInd w:val="0"/>
        <w:textAlignment w:val="baseline"/>
        <w:rPr>
          <w:bCs/>
          <w:iCs/>
        </w:rPr>
      </w:pPr>
    </w:p>
    <w:p w:rsidRPr="00073C8F" w:rsidR="009F1849" w:rsidP="00596171" w:rsidRDefault="009F1849" w14:paraId="2DCC1A3B" w14:textId="77777777">
      <w:pPr>
        <w:numPr>
          <w:ilvl w:val="0"/>
          <w:numId w:val="39"/>
        </w:numPr>
        <w:suppressAutoHyphens/>
        <w:overflowPunct w:val="0"/>
        <w:autoSpaceDE w:val="0"/>
        <w:autoSpaceDN w:val="0"/>
        <w:adjustRightInd w:val="0"/>
        <w:ind w:left="567" w:hanging="567"/>
        <w:textAlignment w:val="baseline"/>
        <w:rPr>
          <w:bCs/>
          <w:iCs/>
        </w:rPr>
      </w:pPr>
      <w:r w:rsidRPr="00073C8F">
        <w:t xml:space="preserve">Wzywa do opracowania unijnej strategii dotyczącej paliw ciekłych, która zapewniłaby przejście z paliw kopalnych na zdekarbonizowane i odnawialne alternatywy oraz uwzględniała kwestie zrównoważoności, przystępności cenowej i niezawodności we wszystkich rodzajach transportu. </w:t>
      </w:r>
    </w:p>
    <w:p w:rsidRPr="00073C8F" w:rsidR="009F1849" w:rsidP="00596171" w:rsidRDefault="009F1849" w14:paraId="0A170707" w14:textId="1C8E5FA9">
      <w:pPr>
        <w:numPr>
          <w:ilvl w:val="0"/>
          <w:numId w:val="39"/>
        </w:numPr>
        <w:suppressAutoHyphens/>
        <w:overflowPunct w:val="0"/>
        <w:autoSpaceDE w:val="0"/>
        <w:autoSpaceDN w:val="0"/>
        <w:adjustRightInd w:val="0"/>
        <w:ind w:left="567" w:hanging="567"/>
        <w:textAlignment w:val="baseline"/>
        <w:rPr>
          <w:bCs/>
          <w:iCs/>
        </w:rPr>
      </w:pPr>
      <w:r w:rsidRPr="00073C8F">
        <w:t>Zauważa, że taka strategia pomogłaby nie tylko wspierać cele klimatyczne, lecz przede wszystkim zdywersyfikować źródła energii, zwiększyć bezpieczeństwo dostaw, pobudzić inwestycje w odnawialne źródła energii, promować gospodarkę o obiegu zamkniętym, ustandaryzować produkcję biopaliw i e-paliw na potrzeby handlu transgranicznego i dostosować go do celów zrównoważonego rozwoju. Tego rodzaju strategia stanowiłaby także alternatywę w</w:t>
      </w:r>
      <w:r w:rsidR="00E421E9">
        <w:t> </w:t>
      </w:r>
      <w:r w:rsidRPr="00073C8F">
        <w:t xml:space="preserve">sytuacjach, w których elektryfikacja stanowi wyzwanie. </w:t>
      </w:r>
    </w:p>
    <w:p w:rsidRPr="00073C8F" w:rsidR="009F1849" w:rsidP="00596171" w:rsidRDefault="009F1849" w14:paraId="307556DC" w14:textId="77777777">
      <w:pPr>
        <w:numPr>
          <w:ilvl w:val="0"/>
          <w:numId w:val="39"/>
        </w:numPr>
        <w:suppressAutoHyphens/>
        <w:overflowPunct w:val="0"/>
        <w:autoSpaceDE w:val="0"/>
        <w:autoSpaceDN w:val="0"/>
        <w:adjustRightInd w:val="0"/>
        <w:ind w:left="567" w:hanging="567"/>
        <w:textAlignment w:val="baseline"/>
        <w:rPr>
          <w:bCs/>
          <w:iCs/>
        </w:rPr>
      </w:pPr>
      <w:r w:rsidRPr="00073C8F">
        <w:t>Zaleca poprawę efektywności łańcuchów dostaw zdekarbonizowanych i odnawialnych paliw ciekłych poprzez poprawę pozyskiwania surowców, mieszania i magazynowania oraz optymalizację logistyki za pośrednictwem ośrodków przemysłowych.</w:t>
      </w:r>
    </w:p>
    <w:p w:rsidRPr="00073C8F" w:rsidR="009F1849" w:rsidP="00596171" w:rsidRDefault="009F1849" w14:paraId="2091FC0F" w14:textId="01EE1ADB">
      <w:pPr>
        <w:numPr>
          <w:ilvl w:val="0"/>
          <w:numId w:val="39"/>
        </w:numPr>
        <w:suppressAutoHyphens/>
        <w:overflowPunct w:val="0"/>
        <w:autoSpaceDE w:val="0"/>
        <w:autoSpaceDN w:val="0"/>
        <w:adjustRightInd w:val="0"/>
        <w:ind w:left="567" w:hanging="567"/>
        <w:textAlignment w:val="baseline"/>
        <w:rPr>
          <w:bCs/>
          <w:iCs/>
        </w:rPr>
      </w:pPr>
      <w:r w:rsidRPr="00073C8F">
        <w:t>Podkreśla potrzebę wykorzystania zdekarbonizowanych i odnawialnych paliw ciekłych w</w:t>
      </w:r>
      <w:r w:rsidR="00E421E9">
        <w:t> </w:t>
      </w:r>
      <w:r w:rsidRPr="00073C8F">
        <w:t>istniejącej infrastrukturze, która jest w stanie obsługiwać zrównoważone paliwa ciekłe, w</w:t>
      </w:r>
      <w:r w:rsidR="00E421E9">
        <w:t> </w:t>
      </w:r>
      <w:r w:rsidRPr="00073C8F">
        <w:t>celu zminimalizowania wysokich kosztów dla społeczeństwa.</w:t>
      </w:r>
    </w:p>
    <w:p w:rsidRPr="00073C8F" w:rsidR="009F1849" w:rsidP="00596171" w:rsidRDefault="009F1849" w14:paraId="1B7F7F87" w14:textId="77777777">
      <w:pPr>
        <w:numPr>
          <w:ilvl w:val="0"/>
          <w:numId w:val="39"/>
        </w:numPr>
        <w:suppressAutoHyphens/>
        <w:overflowPunct w:val="0"/>
        <w:autoSpaceDE w:val="0"/>
        <w:autoSpaceDN w:val="0"/>
        <w:adjustRightInd w:val="0"/>
        <w:ind w:left="567" w:hanging="567"/>
        <w:textAlignment w:val="baseline"/>
        <w:rPr>
          <w:bCs/>
          <w:iCs/>
        </w:rPr>
      </w:pPr>
      <w:r w:rsidRPr="00073C8F">
        <w:t>Wzywa do uwolnienia pełnego potencjału zrównoważonej biomasy i zapewnienia otwartego dialogu z kluczowymi branżami.</w:t>
      </w:r>
    </w:p>
    <w:p w:rsidRPr="00073C8F" w:rsidR="009F1849" w:rsidP="00596171" w:rsidRDefault="009F1849" w14:paraId="054C1ABD" w14:textId="68B444A1">
      <w:pPr>
        <w:numPr>
          <w:ilvl w:val="0"/>
          <w:numId w:val="39"/>
        </w:numPr>
        <w:suppressAutoHyphens/>
        <w:overflowPunct w:val="0"/>
        <w:autoSpaceDE w:val="0"/>
        <w:autoSpaceDN w:val="0"/>
        <w:adjustRightInd w:val="0"/>
        <w:ind w:left="567" w:hanging="567"/>
        <w:textAlignment w:val="baseline"/>
        <w:rPr>
          <w:bCs/>
          <w:iCs/>
        </w:rPr>
      </w:pPr>
      <w:r w:rsidRPr="00073C8F">
        <w:t>Podkreśla znaczenie zmniejszenia kosztów produkcji zdekarbonizowanych i odnawialnych paliw poprzez zapewnienie racjonalnego pod względem kosztów dostępu do czystej energii elektrycznej i surowców i zwiększenie zdolności produkcyjnych zakładów produkcyjnych, a</w:t>
      </w:r>
      <w:r w:rsidR="00E421E9">
        <w:t> </w:t>
      </w:r>
      <w:r w:rsidRPr="00073C8F">
        <w:t>przy tym wykorzystanie inicjatyw UE w zakresie badań i rozwoju, w tym funduszu innowacyjnego unijnego systemu handlu uprawnieniami do emisji, do stymulowania innowacji i</w:t>
      </w:r>
      <w:r w:rsidR="00E421E9">
        <w:t> </w:t>
      </w:r>
      <w:r w:rsidRPr="00073C8F">
        <w:t>inwestycji w technologie niskoemisyjne na potrzeby produkcji zrównoważonych paliw ciekłych.</w:t>
      </w:r>
    </w:p>
    <w:p w:rsidRPr="00073C8F" w:rsidR="009F1849" w:rsidP="00596171" w:rsidRDefault="009F1849" w14:paraId="53AA7D15" w14:textId="51E79D3E">
      <w:pPr>
        <w:numPr>
          <w:ilvl w:val="0"/>
          <w:numId w:val="39"/>
        </w:numPr>
        <w:suppressAutoHyphens/>
        <w:overflowPunct w:val="0"/>
        <w:autoSpaceDE w:val="0"/>
        <w:autoSpaceDN w:val="0"/>
        <w:adjustRightInd w:val="0"/>
        <w:ind w:left="567" w:hanging="567"/>
        <w:textAlignment w:val="baseline"/>
        <w:rPr>
          <w:bCs/>
          <w:iCs/>
        </w:rPr>
      </w:pPr>
      <w:r w:rsidRPr="00073C8F">
        <w:t>Apeluje o tworzenie programów szkoleniowych i inicjatyw edukacyjnych w ramach dialogu społecznego w celu podnoszenia umiejętności siły roboczej, zwiększenia szans na zatrudnienie i</w:t>
      </w:r>
      <w:r w:rsidR="00E421E9">
        <w:t> </w:t>
      </w:r>
      <w:r w:rsidRPr="00073C8F">
        <w:t xml:space="preserve">tworzenia niezbędnych dla gospodarki zielonych godnych miejsc pracy. </w:t>
      </w:r>
    </w:p>
    <w:p w:rsidRPr="00073C8F" w:rsidR="009F1849" w:rsidP="00241CB3" w:rsidRDefault="009F1849" w14:paraId="20A30424" w14:textId="77777777">
      <w:pPr>
        <w:suppressAutoHyphens/>
        <w:overflowPunct w:val="0"/>
        <w:autoSpaceDE w:val="0"/>
        <w:autoSpaceDN w:val="0"/>
        <w:adjustRightInd w:val="0"/>
        <w:ind w:left="709"/>
        <w:textAlignment w:val="baseline"/>
      </w:pPr>
    </w:p>
    <w:tbl>
      <w:tblPr>
        <w:tblW w:w="3516" w:type="pct"/>
        <w:tblLook w:val="04A0" w:firstRow="1" w:lastRow="0" w:firstColumn="1" w:lastColumn="0" w:noHBand="0" w:noVBand="1"/>
      </w:tblPr>
      <w:tblGrid>
        <w:gridCol w:w="2033"/>
        <w:gridCol w:w="4499"/>
      </w:tblGrid>
      <w:tr w:rsidRPr="00073C8F" w:rsidR="009F1849" w:rsidTr="001E41BA" w14:paraId="378E213C" w14:textId="77777777">
        <w:tc>
          <w:tcPr>
            <w:tcW w:w="1556" w:type="pct"/>
          </w:tcPr>
          <w:p w:rsidRPr="00073C8F" w:rsidR="009F1849" w:rsidP="00963630" w:rsidRDefault="009F1849" w14:paraId="28E299AB" w14:textId="77777777">
            <w:pPr>
              <w:keepNext/>
              <w:keepLines/>
              <w:suppressAutoHyphens/>
              <w:overflowPunct w:val="0"/>
              <w:autoSpaceDE w:val="0"/>
              <w:autoSpaceDN w:val="0"/>
              <w:adjustRightInd w:val="0"/>
              <w:textAlignment w:val="baseline"/>
              <w:rPr>
                <w:i/>
              </w:rPr>
            </w:pPr>
            <w:r w:rsidRPr="00073C8F">
              <w:rPr>
                <w:b/>
                <w:i/>
              </w:rPr>
              <w:lastRenderedPageBreak/>
              <w:t>Kontakt</w:t>
            </w:r>
          </w:p>
        </w:tc>
        <w:tc>
          <w:tcPr>
            <w:tcW w:w="3444" w:type="pct"/>
          </w:tcPr>
          <w:p w:rsidRPr="00073C8F" w:rsidR="009F1849" w:rsidP="00963630" w:rsidRDefault="009F1849" w14:paraId="182DFEA1" w14:textId="7D302B35">
            <w:pPr>
              <w:keepNext/>
              <w:keepLines/>
              <w:suppressAutoHyphens/>
              <w:overflowPunct w:val="0"/>
              <w:autoSpaceDE w:val="0"/>
              <w:autoSpaceDN w:val="0"/>
              <w:adjustRightInd w:val="0"/>
              <w:textAlignment w:val="baseline"/>
              <w:rPr>
                <w:i/>
              </w:rPr>
            </w:pPr>
            <w:r w:rsidRPr="00073C8F">
              <w:rPr>
                <w:i/>
              </w:rPr>
              <w:t>Adam Dorywalski</w:t>
            </w:r>
          </w:p>
        </w:tc>
      </w:tr>
      <w:tr w:rsidRPr="00073C8F" w:rsidR="009F1849" w:rsidTr="001E41BA" w14:paraId="2ABC1918" w14:textId="77777777">
        <w:tc>
          <w:tcPr>
            <w:tcW w:w="1556" w:type="pct"/>
          </w:tcPr>
          <w:p w:rsidRPr="00073C8F" w:rsidR="009F1849" w:rsidP="00963630" w:rsidRDefault="009F1849" w14:paraId="629DBDDB" w14:textId="77777777">
            <w:pPr>
              <w:keepNext/>
              <w:keepLines/>
              <w:suppressAutoHyphens/>
              <w:overflowPunct w:val="0"/>
              <w:autoSpaceDE w:val="0"/>
              <w:autoSpaceDN w:val="0"/>
              <w:adjustRightInd w:val="0"/>
              <w:textAlignment w:val="baseline"/>
              <w:rPr>
                <w:i/>
              </w:rPr>
            </w:pPr>
            <w:r w:rsidRPr="00073C8F">
              <w:rPr>
                <w:i/>
              </w:rPr>
              <w:t>tel.</w:t>
            </w:r>
          </w:p>
        </w:tc>
        <w:tc>
          <w:tcPr>
            <w:tcW w:w="3444" w:type="pct"/>
          </w:tcPr>
          <w:p w:rsidRPr="00073C8F" w:rsidR="009F1849" w:rsidP="00963630" w:rsidRDefault="009F1849" w14:paraId="58896A33" w14:textId="77777777">
            <w:pPr>
              <w:keepNext/>
              <w:keepLines/>
              <w:suppressAutoHyphens/>
              <w:overflowPunct w:val="0"/>
              <w:autoSpaceDE w:val="0"/>
              <w:autoSpaceDN w:val="0"/>
              <w:adjustRightInd w:val="0"/>
              <w:textAlignment w:val="baseline"/>
              <w:rPr>
                <w:i/>
              </w:rPr>
            </w:pPr>
            <w:r w:rsidRPr="00073C8F">
              <w:rPr>
                <w:i/>
              </w:rPr>
              <w:t>+32 25469397</w:t>
            </w:r>
          </w:p>
        </w:tc>
      </w:tr>
      <w:tr w:rsidRPr="00073C8F" w:rsidR="009F1849" w:rsidTr="001E41BA" w14:paraId="01FC105A" w14:textId="77777777">
        <w:tc>
          <w:tcPr>
            <w:tcW w:w="1556" w:type="pct"/>
          </w:tcPr>
          <w:p w:rsidRPr="00073C8F" w:rsidR="009F1849" w:rsidP="00241CB3" w:rsidRDefault="007A0CF2" w14:paraId="0D1B7D25" w14:textId="7CC88FCD">
            <w:pPr>
              <w:suppressAutoHyphens/>
              <w:overflowPunct w:val="0"/>
              <w:autoSpaceDE w:val="0"/>
              <w:autoSpaceDN w:val="0"/>
              <w:adjustRightInd w:val="0"/>
              <w:textAlignment w:val="baseline"/>
              <w:rPr>
                <w:i/>
              </w:rPr>
            </w:pPr>
            <w:r w:rsidRPr="00073C8F">
              <w:rPr>
                <w:i/>
              </w:rPr>
              <w:t>e-mail</w:t>
            </w:r>
          </w:p>
        </w:tc>
        <w:tc>
          <w:tcPr>
            <w:tcW w:w="3444" w:type="pct"/>
          </w:tcPr>
          <w:p w:rsidRPr="00073C8F" w:rsidR="009F1849" w:rsidP="00241CB3" w:rsidRDefault="00A46594" w14:paraId="729CBC98" w14:textId="77777777">
            <w:pPr>
              <w:suppressAutoHyphens/>
              <w:overflowPunct w:val="0"/>
              <w:autoSpaceDE w:val="0"/>
              <w:autoSpaceDN w:val="0"/>
              <w:adjustRightInd w:val="0"/>
              <w:textAlignment w:val="baseline"/>
              <w:rPr>
                <w:i/>
                <w:iCs/>
              </w:rPr>
            </w:pPr>
            <w:hyperlink w:history="1" r:id="rId55">
              <w:r w:rsidRPr="00073C8F" w:rsidR="0081023C">
                <w:rPr>
                  <w:i/>
                  <w:color w:val="0000FF"/>
                  <w:u w:val="single"/>
                </w:rPr>
                <w:t>Adam.Dorywalski@eesc.europa.eu</w:t>
              </w:r>
            </w:hyperlink>
          </w:p>
        </w:tc>
      </w:tr>
    </w:tbl>
    <w:p w:rsidR="00073C8F" w:rsidP="00241CB3" w:rsidRDefault="00073C8F" w14:paraId="1F9C529A" w14:textId="77777777">
      <w:pPr>
        <w:suppressAutoHyphens/>
        <w:overflowPunct w:val="0"/>
        <w:autoSpaceDE w:val="0"/>
        <w:autoSpaceDN w:val="0"/>
        <w:adjustRightInd w:val="0"/>
        <w:jc w:val="center"/>
        <w:textAlignment w:val="baseline"/>
      </w:pPr>
    </w:p>
    <w:p w:rsidRPr="00073C8F" w:rsidR="000D394D" w:rsidP="00241CB3" w:rsidRDefault="00120A93" w14:paraId="2E28EF19" w14:textId="02DE2775">
      <w:pPr>
        <w:suppressAutoHyphens/>
        <w:overflowPunct w:val="0"/>
        <w:autoSpaceDE w:val="0"/>
        <w:autoSpaceDN w:val="0"/>
        <w:adjustRightInd w:val="0"/>
        <w:jc w:val="center"/>
        <w:textAlignment w:val="baseline"/>
      </w:pPr>
      <w:r w:rsidRPr="00073C8F">
        <w:t>_____________</w:t>
      </w:r>
    </w:p>
    <w:sectPr w:rsidRPr="00073C8F" w:rsidR="000D394D" w:rsidSect="00073C8F">
      <w:headerReference w:type="even" r:id="rId56"/>
      <w:headerReference w:type="default" r:id="rId57"/>
      <w:footerReference w:type="even" r:id="rId58"/>
      <w:footerReference w:type="default" r:id="rId59"/>
      <w:headerReference w:type="first" r:id="rId60"/>
      <w:footerReference w:type="first" r:id="rId61"/>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99FC5" w14:textId="77777777" w:rsidR="00073C8F" w:rsidRPr="00073C8F" w:rsidRDefault="00073C8F" w:rsidP="00073C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1D42FF18" w:rsidR="00B518C9" w:rsidRPr="00073C8F" w:rsidRDefault="00073C8F" w:rsidP="00073C8F">
    <w:pPr>
      <w:pStyle w:val="Footer"/>
    </w:pPr>
    <w:r>
      <w:t xml:space="preserve">EESC-2025-00818-00-01-TCD-TRA (EN) </w:t>
    </w:r>
    <w:r>
      <w:fldChar w:fldCharType="begin"/>
    </w:r>
    <w:r>
      <w:instrText xml:space="preserve"> PAGE  \* Arabic  \* MERGEFORMAT </w:instrText>
    </w:r>
    <w:r>
      <w:fldChar w:fldCharType="separate"/>
    </w:r>
    <w:r>
      <w:rPr>
        <w:noProof/>
      </w:rPr>
      <w:t>1</w:t>
    </w:r>
    <w:r>
      <w:fldChar w:fldCharType="end"/>
    </w:r>
    <w:r>
      <w:t>/</w:t>
    </w:r>
    <w:r>
      <w:fldChar w:fldCharType="begin"/>
    </w:r>
    <w:r>
      <w:instrText xml:space="preserve"> = </w:instrText>
    </w:r>
    <w:fldSimple w:instr=" NUMPAGES ">
      <w:r w:rsidR="008B2F06">
        <w:rPr>
          <w:noProof/>
        </w:rPr>
        <w:instrText>33</w:instrText>
      </w:r>
    </w:fldSimple>
    <w:r>
      <w:instrText xml:space="preserve"> -0 </w:instrText>
    </w:r>
    <w:r>
      <w:fldChar w:fldCharType="separate"/>
    </w:r>
    <w:r w:rsidR="008B2F06">
      <w:rPr>
        <w:noProof/>
      </w:rPr>
      <w:t>33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C322" w14:textId="77777777" w:rsidR="00073C8F" w:rsidRPr="00073C8F" w:rsidRDefault="00073C8F" w:rsidP="00073C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C566F" w14:textId="77777777" w:rsidR="000873F2" w:rsidRPr="00073C8F" w:rsidRDefault="000873F2" w:rsidP="00073C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46216" w14:textId="649255D2" w:rsidR="000873F2" w:rsidRPr="00073C8F" w:rsidRDefault="00073C8F" w:rsidP="00073C8F">
    <w:pPr>
      <w:pStyle w:val="Footer"/>
    </w:pPr>
    <w:r>
      <w:t xml:space="preserve">EESC-2025-00818-00-01-TCD-TRA (EN) </w:t>
    </w:r>
    <w:r>
      <w:fldChar w:fldCharType="begin"/>
    </w:r>
    <w:r>
      <w:instrText xml:space="preserve"> PAGE  \* Arabic  \* MERGEFORMAT </w:instrText>
    </w:r>
    <w:r>
      <w:fldChar w:fldCharType="separate"/>
    </w:r>
    <w:r>
      <w:rPr>
        <w:noProof/>
      </w:rPr>
      <w:t>2</w:t>
    </w:r>
    <w:r>
      <w:fldChar w:fldCharType="end"/>
    </w:r>
    <w:r>
      <w:t>/</w:t>
    </w:r>
    <w:r>
      <w:fldChar w:fldCharType="begin"/>
    </w:r>
    <w:r>
      <w:instrText xml:space="preserve"> = </w:instrText>
    </w:r>
    <w:fldSimple w:instr=" NUMPAGES ">
      <w:r w:rsidR="008B2F06">
        <w:rPr>
          <w:noProof/>
        </w:rPr>
        <w:instrText>33</w:instrText>
      </w:r>
    </w:fldSimple>
    <w:r>
      <w:instrText xml:space="preserve"> -0 </w:instrText>
    </w:r>
    <w:r>
      <w:fldChar w:fldCharType="separate"/>
    </w:r>
    <w:r w:rsidR="008B2F06">
      <w:rPr>
        <w:noProof/>
      </w:rPr>
      <w:t>33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A423C" w14:textId="77777777" w:rsidR="000873F2" w:rsidRPr="00073C8F" w:rsidRDefault="000873F2" w:rsidP="00073C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33D15" w14:textId="77777777" w:rsidR="00073C8F" w:rsidRPr="00073C8F" w:rsidRDefault="00073C8F" w:rsidP="00073C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AC3B" w14:textId="77777777" w:rsidR="00073C8F" w:rsidRPr="00073C8F" w:rsidRDefault="00073C8F" w:rsidP="00073C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658BC" w14:textId="77777777" w:rsidR="00073C8F" w:rsidRPr="00073C8F" w:rsidRDefault="00073C8F" w:rsidP="00073C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79526" w14:textId="77777777" w:rsidR="000873F2" w:rsidRPr="00073C8F" w:rsidRDefault="000873F2" w:rsidP="00073C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A4BD4" w14:textId="0ABEC35A" w:rsidR="000873F2" w:rsidRPr="00073C8F" w:rsidRDefault="000873F2" w:rsidP="00073C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0B744" w14:textId="77777777" w:rsidR="000873F2" w:rsidRPr="00073C8F" w:rsidRDefault="000873F2" w:rsidP="00073C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788AE93A"/>
    <w:lvl w:ilvl="0">
      <w:numFmt w:val="decimal"/>
      <w:lvlText w:val="*"/>
      <w:lvlJc w:val="left"/>
    </w:lvl>
  </w:abstractNum>
  <w:abstractNum w:abstractNumId="2" w15:restartNumberingAfterBreak="0">
    <w:nsid w:val="05F36E18"/>
    <w:multiLevelType w:val="hybridMultilevel"/>
    <w:tmpl w:val="B2EEEB54"/>
    <w:lvl w:ilvl="0" w:tplc="8E864B0C">
      <w:start w:val="1"/>
      <w:numFmt w:val="bullet"/>
      <w:lvlText w:val=""/>
      <w:lvlJc w:val="left"/>
      <w:pPr>
        <w:ind w:left="360" w:hanging="360"/>
      </w:pPr>
      <w:rPr>
        <w:rFonts w:ascii="Symbol" w:hAnsi="Symbol" w:hint="default"/>
        <w:color w:val="auto"/>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 w15:restartNumberingAfterBreak="0">
    <w:nsid w:val="067B3B64"/>
    <w:multiLevelType w:val="hybridMultilevel"/>
    <w:tmpl w:val="30EC51E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08F72B0C"/>
    <w:multiLevelType w:val="hybridMultilevel"/>
    <w:tmpl w:val="5CBE3BB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5" w15:restartNumberingAfterBreak="0">
    <w:nsid w:val="0BB42C9A"/>
    <w:multiLevelType w:val="hybridMultilevel"/>
    <w:tmpl w:val="99A4C4B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6" w15:restartNumberingAfterBreak="0">
    <w:nsid w:val="0DC736F8"/>
    <w:multiLevelType w:val="hybridMultilevel"/>
    <w:tmpl w:val="F2C86774"/>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0F7CF268"/>
    <w:multiLevelType w:val="hybridMultilevel"/>
    <w:tmpl w:val="F5A8EBE6"/>
    <w:lvl w:ilvl="0" w:tplc="04090001">
      <w:start w:val="1"/>
      <w:numFmt w:val="bullet"/>
      <w:lvlText w:val=""/>
      <w:lvlJc w:val="left"/>
      <w:pPr>
        <w:ind w:left="567" w:hanging="360"/>
      </w:pPr>
      <w:rPr>
        <w:rFonts w:ascii="Symbol" w:hAnsi="Symbol" w:hint="default"/>
      </w:rPr>
    </w:lvl>
    <w:lvl w:ilvl="1" w:tplc="E71E2474">
      <w:start w:val="1"/>
      <w:numFmt w:val="lowerLetter"/>
      <w:lvlText w:val="%2."/>
      <w:lvlJc w:val="left"/>
      <w:pPr>
        <w:ind w:left="1287" w:hanging="360"/>
      </w:pPr>
    </w:lvl>
    <w:lvl w:ilvl="2" w:tplc="CF80E7CA">
      <w:start w:val="1"/>
      <w:numFmt w:val="lowerRoman"/>
      <w:lvlText w:val="%3."/>
      <w:lvlJc w:val="right"/>
      <w:pPr>
        <w:ind w:left="2007" w:hanging="180"/>
      </w:pPr>
    </w:lvl>
    <w:lvl w:ilvl="3" w:tplc="E474BBE2">
      <w:start w:val="1"/>
      <w:numFmt w:val="decimal"/>
      <w:lvlText w:val="%4."/>
      <w:lvlJc w:val="left"/>
      <w:pPr>
        <w:ind w:left="2727" w:hanging="360"/>
      </w:pPr>
    </w:lvl>
    <w:lvl w:ilvl="4" w:tplc="462EC6F6">
      <w:start w:val="1"/>
      <w:numFmt w:val="lowerLetter"/>
      <w:lvlText w:val="%5."/>
      <w:lvlJc w:val="left"/>
      <w:pPr>
        <w:ind w:left="3447" w:hanging="360"/>
      </w:pPr>
    </w:lvl>
    <w:lvl w:ilvl="5" w:tplc="61E4D974">
      <w:start w:val="1"/>
      <w:numFmt w:val="lowerRoman"/>
      <w:lvlText w:val="%6."/>
      <w:lvlJc w:val="right"/>
      <w:pPr>
        <w:ind w:left="4167" w:hanging="180"/>
      </w:pPr>
    </w:lvl>
    <w:lvl w:ilvl="6" w:tplc="F6861F06">
      <w:start w:val="1"/>
      <w:numFmt w:val="decimal"/>
      <w:lvlText w:val="%7."/>
      <w:lvlJc w:val="left"/>
      <w:pPr>
        <w:ind w:left="4887" w:hanging="360"/>
      </w:pPr>
    </w:lvl>
    <w:lvl w:ilvl="7" w:tplc="737E3C6A">
      <w:start w:val="1"/>
      <w:numFmt w:val="lowerLetter"/>
      <w:lvlText w:val="%8."/>
      <w:lvlJc w:val="left"/>
      <w:pPr>
        <w:ind w:left="5607" w:hanging="360"/>
      </w:pPr>
    </w:lvl>
    <w:lvl w:ilvl="8" w:tplc="267CDF42">
      <w:start w:val="1"/>
      <w:numFmt w:val="lowerRoman"/>
      <w:lvlText w:val="%9."/>
      <w:lvlJc w:val="right"/>
      <w:pPr>
        <w:ind w:left="6327" w:hanging="180"/>
      </w:pPr>
    </w:lvl>
  </w:abstractNum>
  <w:abstractNum w:abstractNumId="8" w15:restartNumberingAfterBreak="0">
    <w:nsid w:val="12EF0254"/>
    <w:multiLevelType w:val="hybridMultilevel"/>
    <w:tmpl w:val="EFD8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5B645F"/>
    <w:multiLevelType w:val="hybridMultilevel"/>
    <w:tmpl w:val="C00E68D6"/>
    <w:lvl w:ilvl="0" w:tplc="8E864B0C">
      <w:start w:val="1"/>
      <w:numFmt w:val="bullet"/>
      <w:lvlText w:val=""/>
      <w:lvlJc w:val="left"/>
      <w:pPr>
        <w:ind w:left="360" w:hanging="360"/>
      </w:pPr>
      <w:rPr>
        <w:rFonts w:ascii="Symbol" w:hAnsi="Symbol" w:hint="default"/>
        <w:color w:val="auto"/>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0" w15:restartNumberingAfterBreak="0">
    <w:nsid w:val="1C3E2E1E"/>
    <w:multiLevelType w:val="hybridMultilevel"/>
    <w:tmpl w:val="282A4368"/>
    <w:lvl w:ilvl="0" w:tplc="66B6D1E8">
      <w:start w:val="3"/>
      <w:numFmt w:val="bullet"/>
      <w:lvlText w:val="-"/>
      <w:lvlJc w:val="left"/>
      <w:pPr>
        <w:ind w:left="360" w:hanging="360"/>
      </w:pPr>
      <w:rPr>
        <w:rFonts w:ascii="Calibri" w:eastAsia="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2567086"/>
    <w:multiLevelType w:val="hybridMultilevel"/>
    <w:tmpl w:val="3EA0D528"/>
    <w:lvl w:ilvl="0" w:tplc="8E864B0C">
      <w:start w:val="1"/>
      <w:numFmt w:val="bullet"/>
      <w:lvlText w:val=""/>
      <w:lvlJc w:val="left"/>
      <w:pPr>
        <w:ind w:left="4330" w:hanging="360"/>
      </w:pPr>
      <w:rPr>
        <w:rFonts w:ascii="Symbol" w:hAnsi="Symbol" w:hint="default"/>
        <w:color w:val="auto"/>
      </w:rPr>
    </w:lvl>
    <w:lvl w:ilvl="1" w:tplc="10000003" w:tentative="1">
      <w:start w:val="1"/>
      <w:numFmt w:val="bullet"/>
      <w:lvlText w:val="o"/>
      <w:lvlJc w:val="left"/>
      <w:pPr>
        <w:ind w:left="5050" w:hanging="360"/>
      </w:pPr>
      <w:rPr>
        <w:rFonts w:ascii="Courier New" w:hAnsi="Courier New" w:cs="Courier New" w:hint="default"/>
      </w:rPr>
    </w:lvl>
    <w:lvl w:ilvl="2" w:tplc="10000005" w:tentative="1">
      <w:start w:val="1"/>
      <w:numFmt w:val="bullet"/>
      <w:lvlText w:val=""/>
      <w:lvlJc w:val="left"/>
      <w:pPr>
        <w:ind w:left="5770" w:hanging="360"/>
      </w:pPr>
      <w:rPr>
        <w:rFonts w:ascii="Wingdings" w:hAnsi="Wingdings" w:hint="default"/>
      </w:rPr>
    </w:lvl>
    <w:lvl w:ilvl="3" w:tplc="10000001" w:tentative="1">
      <w:start w:val="1"/>
      <w:numFmt w:val="bullet"/>
      <w:lvlText w:val=""/>
      <w:lvlJc w:val="left"/>
      <w:pPr>
        <w:ind w:left="6490" w:hanging="360"/>
      </w:pPr>
      <w:rPr>
        <w:rFonts w:ascii="Symbol" w:hAnsi="Symbol" w:hint="default"/>
      </w:rPr>
    </w:lvl>
    <w:lvl w:ilvl="4" w:tplc="10000003" w:tentative="1">
      <w:start w:val="1"/>
      <w:numFmt w:val="bullet"/>
      <w:lvlText w:val="o"/>
      <w:lvlJc w:val="left"/>
      <w:pPr>
        <w:ind w:left="7210" w:hanging="360"/>
      </w:pPr>
      <w:rPr>
        <w:rFonts w:ascii="Courier New" w:hAnsi="Courier New" w:cs="Courier New" w:hint="default"/>
      </w:rPr>
    </w:lvl>
    <w:lvl w:ilvl="5" w:tplc="10000005" w:tentative="1">
      <w:start w:val="1"/>
      <w:numFmt w:val="bullet"/>
      <w:lvlText w:val=""/>
      <w:lvlJc w:val="left"/>
      <w:pPr>
        <w:ind w:left="7930" w:hanging="360"/>
      </w:pPr>
      <w:rPr>
        <w:rFonts w:ascii="Wingdings" w:hAnsi="Wingdings" w:hint="default"/>
      </w:rPr>
    </w:lvl>
    <w:lvl w:ilvl="6" w:tplc="10000001" w:tentative="1">
      <w:start w:val="1"/>
      <w:numFmt w:val="bullet"/>
      <w:lvlText w:val=""/>
      <w:lvlJc w:val="left"/>
      <w:pPr>
        <w:ind w:left="8650" w:hanging="360"/>
      </w:pPr>
      <w:rPr>
        <w:rFonts w:ascii="Symbol" w:hAnsi="Symbol" w:hint="default"/>
      </w:rPr>
    </w:lvl>
    <w:lvl w:ilvl="7" w:tplc="10000003" w:tentative="1">
      <w:start w:val="1"/>
      <w:numFmt w:val="bullet"/>
      <w:lvlText w:val="o"/>
      <w:lvlJc w:val="left"/>
      <w:pPr>
        <w:ind w:left="9370" w:hanging="360"/>
      </w:pPr>
      <w:rPr>
        <w:rFonts w:ascii="Courier New" w:hAnsi="Courier New" w:cs="Courier New" w:hint="default"/>
      </w:rPr>
    </w:lvl>
    <w:lvl w:ilvl="8" w:tplc="10000005" w:tentative="1">
      <w:start w:val="1"/>
      <w:numFmt w:val="bullet"/>
      <w:lvlText w:val=""/>
      <w:lvlJc w:val="left"/>
      <w:pPr>
        <w:ind w:left="10090" w:hanging="360"/>
      </w:pPr>
      <w:rPr>
        <w:rFonts w:ascii="Wingdings" w:hAnsi="Wingdings" w:hint="default"/>
      </w:rPr>
    </w:lvl>
  </w:abstractNum>
  <w:abstractNum w:abstractNumId="12" w15:restartNumberingAfterBreak="0">
    <w:nsid w:val="251E2DFF"/>
    <w:multiLevelType w:val="hybridMultilevel"/>
    <w:tmpl w:val="A6CEA80E"/>
    <w:lvl w:ilvl="0" w:tplc="4D645226">
      <w:start w:val="1"/>
      <w:numFmt w:val="bullet"/>
      <w:lvlText w:val=""/>
      <w:lvlJc w:val="left"/>
      <w:pPr>
        <w:ind w:left="720" w:hanging="360"/>
      </w:pPr>
      <w:rPr>
        <w:rFonts w:ascii="Symbol" w:hAnsi="Symbol" w:hint="default"/>
        <w:sz w:val="28"/>
        <w:szCs w:val="28"/>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27366C29"/>
    <w:multiLevelType w:val="hybridMultilevel"/>
    <w:tmpl w:val="8918F19E"/>
    <w:lvl w:ilvl="0" w:tplc="8E864B0C">
      <w:start w:val="1"/>
      <w:numFmt w:val="bullet"/>
      <w:lvlText w:val=""/>
      <w:lvlJc w:val="left"/>
      <w:pPr>
        <w:ind w:left="1287" w:hanging="360"/>
      </w:pPr>
      <w:rPr>
        <w:rFonts w:ascii="Symbol" w:hAnsi="Symbol" w:hint="default"/>
        <w:color w:val="auto"/>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275F2241"/>
    <w:multiLevelType w:val="hybridMultilevel"/>
    <w:tmpl w:val="0DB4F262"/>
    <w:lvl w:ilvl="0" w:tplc="080C0001">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E8B4BB5"/>
    <w:multiLevelType w:val="hybridMultilevel"/>
    <w:tmpl w:val="106EAAA2"/>
    <w:lvl w:ilvl="0" w:tplc="4140A69A">
      <w:numFmt w:val="bullet"/>
      <w:lvlText w:val="•"/>
      <w:lvlJc w:val="left"/>
      <w:pPr>
        <w:ind w:left="1080" w:hanging="72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2EF815D8"/>
    <w:multiLevelType w:val="multilevel"/>
    <w:tmpl w:val="73B2D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D95904"/>
    <w:multiLevelType w:val="hybridMultilevel"/>
    <w:tmpl w:val="65C2300C"/>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33A15AA3"/>
    <w:multiLevelType w:val="hybridMultilevel"/>
    <w:tmpl w:val="3808EF3C"/>
    <w:lvl w:ilvl="0" w:tplc="8E864B0C">
      <w:start w:val="1"/>
      <w:numFmt w:val="bullet"/>
      <w:lvlText w:val=""/>
      <w:lvlJc w:val="left"/>
      <w:pPr>
        <w:ind w:left="720" w:hanging="360"/>
      </w:pPr>
      <w:rPr>
        <w:rFonts w:ascii="Symbol" w:hAnsi="Symbol" w:hint="default"/>
        <w:color w:val="auto"/>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3C4282E"/>
    <w:multiLevelType w:val="hybridMultilevel"/>
    <w:tmpl w:val="72CEB57C"/>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0" w15:restartNumberingAfterBreak="0">
    <w:nsid w:val="34015160"/>
    <w:multiLevelType w:val="hybridMultilevel"/>
    <w:tmpl w:val="60FAE7D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42531E6"/>
    <w:multiLevelType w:val="hybridMultilevel"/>
    <w:tmpl w:val="AC3296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43A45ED"/>
    <w:multiLevelType w:val="multilevel"/>
    <w:tmpl w:val="3808DF2E"/>
    <w:lvl w:ilvl="0">
      <w:start w:val="3"/>
      <w:numFmt w:val="bullet"/>
      <w:lvlText w:val="-"/>
      <w:lvlJc w:val="left"/>
      <w:pPr>
        <w:tabs>
          <w:tab w:val="num" w:pos="720"/>
        </w:tabs>
        <w:ind w:left="720" w:hanging="360"/>
      </w:pPr>
      <w:rPr>
        <w:rFonts w:ascii="Calibri" w:eastAsia="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81573E"/>
    <w:multiLevelType w:val="hybridMultilevel"/>
    <w:tmpl w:val="4D2057F8"/>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4" w15:restartNumberingAfterBreak="0">
    <w:nsid w:val="3DA76682"/>
    <w:multiLevelType w:val="singleLevel"/>
    <w:tmpl w:val="08F4F724"/>
    <w:lvl w:ilvl="0">
      <w:start w:val="1"/>
      <w:numFmt w:val="bullet"/>
      <w:lvlText w:val=""/>
      <w:lvlJc w:val="left"/>
      <w:pPr>
        <w:ind w:left="360" w:hanging="360"/>
      </w:pPr>
      <w:rPr>
        <w:rFonts w:ascii="Symbol" w:hAnsi="Symbol" w:hint="default"/>
        <w:color w:val="auto"/>
        <w:sz w:val="28"/>
        <w:szCs w:val="28"/>
      </w:rPr>
    </w:lvl>
  </w:abstractNum>
  <w:abstractNum w:abstractNumId="25" w15:restartNumberingAfterBreak="0">
    <w:nsid w:val="401775F9"/>
    <w:multiLevelType w:val="hybridMultilevel"/>
    <w:tmpl w:val="3544D402"/>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6" w15:restartNumberingAfterBreak="0">
    <w:nsid w:val="41272779"/>
    <w:multiLevelType w:val="multilevel"/>
    <w:tmpl w:val="E124A61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64760B"/>
    <w:multiLevelType w:val="hybridMultilevel"/>
    <w:tmpl w:val="E6BE9E9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7595793"/>
    <w:multiLevelType w:val="hybridMultilevel"/>
    <w:tmpl w:val="B4CEDB46"/>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9" w15:restartNumberingAfterBreak="0">
    <w:nsid w:val="48924C11"/>
    <w:multiLevelType w:val="hybridMultilevel"/>
    <w:tmpl w:val="F600121A"/>
    <w:lvl w:ilvl="0" w:tplc="66B6D1E8">
      <w:start w:val="3"/>
      <w:numFmt w:val="bullet"/>
      <w:lvlText w:val="-"/>
      <w:lvlJc w:val="left"/>
      <w:pPr>
        <w:ind w:left="1287" w:hanging="360"/>
      </w:pPr>
      <w:rPr>
        <w:rFonts w:ascii="Calibri" w:eastAsia="Calibri" w:hAnsi="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4A003521"/>
    <w:multiLevelType w:val="hybridMultilevel"/>
    <w:tmpl w:val="0646180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4C6B7C95"/>
    <w:multiLevelType w:val="hybridMultilevel"/>
    <w:tmpl w:val="493E23B4"/>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2" w15:restartNumberingAfterBreak="0">
    <w:nsid w:val="4E0904A1"/>
    <w:multiLevelType w:val="hybridMultilevel"/>
    <w:tmpl w:val="99189282"/>
    <w:lvl w:ilvl="0" w:tplc="8E864B0C">
      <w:start w:val="1"/>
      <w:numFmt w:val="bullet"/>
      <w:lvlText w:val=""/>
      <w:lvlJc w:val="left"/>
      <w:pPr>
        <w:ind w:left="720" w:hanging="360"/>
      </w:pPr>
      <w:rPr>
        <w:rFonts w:ascii="Symbol" w:hAnsi="Symbol" w:hint="default"/>
        <w:color w:val="auto"/>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F9E355E"/>
    <w:multiLevelType w:val="singleLevel"/>
    <w:tmpl w:val="4D645226"/>
    <w:lvl w:ilvl="0">
      <w:start w:val="1"/>
      <w:numFmt w:val="bullet"/>
      <w:lvlText w:val=""/>
      <w:lvlJc w:val="left"/>
      <w:pPr>
        <w:ind w:left="720" w:hanging="360"/>
      </w:pPr>
      <w:rPr>
        <w:rFonts w:ascii="Symbol" w:hAnsi="Symbol" w:hint="default"/>
        <w:sz w:val="28"/>
        <w:szCs w:val="28"/>
      </w:rPr>
    </w:lvl>
  </w:abstractNum>
  <w:abstractNum w:abstractNumId="34" w15:restartNumberingAfterBreak="0">
    <w:nsid w:val="54434A10"/>
    <w:multiLevelType w:val="hybridMultilevel"/>
    <w:tmpl w:val="4FB2E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E72E5B"/>
    <w:multiLevelType w:val="hybridMultilevel"/>
    <w:tmpl w:val="3E967F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7"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F40C34"/>
    <w:multiLevelType w:val="hybridMultilevel"/>
    <w:tmpl w:val="EDCEBDD6"/>
    <w:lvl w:ilvl="0" w:tplc="8E864B0C">
      <w:start w:val="1"/>
      <w:numFmt w:val="bullet"/>
      <w:lvlText w:val=""/>
      <w:lvlJc w:val="left"/>
      <w:pPr>
        <w:ind w:left="1287" w:hanging="360"/>
      </w:pPr>
      <w:rPr>
        <w:rFonts w:ascii="Symbol" w:hAnsi="Symbol" w:hint="default"/>
        <w:color w:val="auto"/>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9" w15:restartNumberingAfterBreak="0">
    <w:nsid w:val="7E4C071F"/>
    <w:multiLevelType w:val="hybridMultilevel"/>
    <w:tmpl w:val="E4785F98"/>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0"/>
  </w:num>
  <w:num w:numId="2">
    <w:abstractNumId w:val="36"/>
  </w:num>
  <w:num w:numId="3">
    <w:abstractNumId w:val="37"/>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5">
    <w:abstractNumId w:val="30"/>
  </w:num>
  <w:num w:numId="6">
    <w:abstractNumId w:val="16"/>
  </w:num>
  <w:num w:numId="7">
    <w:abstractNumId w:val="21"/>
  </w:num>
  <w:num w:numId="8">
    <w:abstractNumId w:val="34"/>
  </w:num>
  <w:num w:numId="9">
    <w:abstractNumId w:val="35"/>
  </w:num>
  <w:num w:numId="10">
    <w:abstractNumId w:val="1"/>
    <w:lvlOverride w:ilvl="0">
      <w:lvl w:ilvl="0">
        <w:numFmt w:val="bullet"/>
        <w:lvlText w:val=""/>
        <w:legacy w:legacy="1" w:legacySpace="0" w:legacyIndent="283"/>
        <w:lvlJc w:val="left"/>
        <w:pPr>
          <w:ind w:left="567" w:hanging="283"/>
        </w:pPr>
        <w:rPr>
          <w:rFonts w:ascii="Symbol" w:hAnsi="Symbol" w:hint="default"/>
          <w:color w:val="auto"/>
        </w:rPr>
      </w:lvl>
    </w:lvlOverride>
  </w:num>
  <w:num w:numId="11">
    <w:abstractNumId w:val="33"/>
  </w:num>
  <w:num w:numId="12">
    <w:abstractNumId w:val="3"/>
  </w:num>
  <w:num w:numId="13">
    <w:abstractNumId w:val="7"/>
  </w:num>
  <w:num w:numId="14">
    <w:abstractNumId w:val="1"/>
    <w:lvlOverride w:ilvl="0">
      <w:lvl w:ilvl="0">
        <w:numFmt w:val="bullet"/>
        <w:lvlText w:val=""/>
        <w:legacy w:legacy="1" w:legacySpace="0" w:legacyIndent="283"/>
        <w:lvlJc w:val="left"/>
        <w:pPr>
          <w:ind w:left="567" w:hanging="283"/>
        </w:pPr>
        <w:rPr>
          <w:rFonts w:ascii="Symbol" w:hAnsi="Symbol" w:hint="default"/>
          <w:color w:val="auto"/>
        </w:rPr>
      </w:lvl>
    </w:lvlOverride>
  </w:num>
  <w:num w:numId="15">
    <w:abstractNumId w:val="29"/>
  </w:num>
  <w:num w:numId="16">
    <w:abstractNumId w:val="24"/>
  </w:num>
  <w:num w:numId="17">
    <w:abstractNumId w:val="10"/>
  </w:num>
  <w:num w:numId="18">
    <w:abstractNumId w:val="22"/>
  </w:num>
  <w:num w:numId="19">
    <w:abstractNumId w:val="39"/>
  </w:num>
  <w:num w:numId="20">
    <w:abstractNumId w:val="26"/>
  </w:num>
  <w:num w:numId="21">
    <w:abstractNumId w:val="12"/>
  </w:num>
  <w:num w:numId="22">
    <w:abstractNumId w:val="5"/>
  </w:num>
  <w:num w:numId="23">
    <w:abstractNumId w:val="31"/>
  </w:num>
  <w:num w:numId="24">
    <w:abstractNumId w:val="23"/>
  </w:num>
  <w:num w:numId="25">
    <w:abstractNumId w:val="27"/>
  </w:num>
  <w:num w:numId="26">
    <w:abstractNumId w:val="13"/>
  </w:num>
  <w:num w:numId="27">
    <w:abstractNumId w:val="38"/>
  </w:num>
  <w:num w:numId="28">
    <w:abstractNumId w:val="19"/>
  </w:num>
  <w:num w:numId="29">
    <w:abstractNumId w:val="4"/>
  </w:num>
  <w:num w:numId="30">
    <w:abstractNumId w:val="11"/>
  </w:num>
  <w:num w:numId="31">
    <w:abstractNumId w:val="15"/>
  </w:num>
  <w:num w:numId="32">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3">
    <w:abstractNumId w:val="28"/>
  </w:num>
  <w:num w:numId="34">
    <w:abstractNumId w:val="20"/>
  </w:num>
  <w:num w:numId="35">
    <w:abstractNumId w:val="17"/>
  </w:num>
  <w:num w:numId="36">
    <w:abstractNumId w:val="25"/>
  </w:num>
  <w:num w:numId="37">
    <w:abstractNumId w:val="6"/>
  </w:num>
  <w:num w:numId="38">
    <w:abstractNumId w:val="2"/>
  </w:num>
  <w:num w:numId="39">
    <w:abstractNumId w:val="9"/>
  </w:num>
  <w:num w:numId="40">
    <w:abstractNumId w:val="1"/>
    <w:lvlOverride w:ilvl="0">
      <w:lvl w:ilvl="0">
        <w:start w:val="1"/>
        <w:numFmt w:val="bullet"/>
        <w:lvlText w:val=""/>
        <w:lvlJc w:val="left"/>
        <w:pPr>
          <w:ind w:left="720" w:hanging="360"/>
        </w:pPr>
        <w:rPr>
          <w:rFonts w:ascii="Symbol" w:hAnsi="Symbol" w:hint="default"/>
          <w:color w:val="auto"/>
        </w:rPr>
      </w:lvl>
    </w:lvlOverride>
  </w:num>
  <w:num w:numId="41">
    <w:abstractNumId w:val="14"/>
  </w:num>
  <w:num w:numId="42">
    <w:abstractNumId w:val="32"/>
  </w:num>
  <w:num w:numId="43">
    <w:abstractNumId w:val="18"/>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3939"/>
    <w:rsid w:val="00010A4D"/>
    <w:rsid w:val="00014D19"/>
    <w:rsid w:val="00037018"/>
    <w:rsid w:val="00045321"/>
    <w:rsid w:val="00063DFF"/>
    <w:rsid w:val="00065C41"/>
    <w:rsid w:val="00073C8F"/>
    <w:rsid w:val="000873F2"/>
    <w:rsid w:val="00097E6F"/>
    <w:rsid w:val="000A7AB2"/>
    <w:rsid w:val="000B1B64"/>
    <w:rsid w:val="000B3312"/>
    <w:rsid w:val="000D394D"/>
    <w:rsid w:val="0010339F"/>
    <w:rsid w:val="001111B1"/>
    <w:rsid w:val="00113E53"/>
    <w:rsid w:val="00120A93"/>
    <w:rsid w:val="0013679B"/>
    <w:rsid w:val="00180780"/>
    <w:rsid w:val="00180FC4"/>
    <w:rsid w:val="00184601"/>
    <w:rsid w:val="001937F3"/>
    <w:rsid w:val="001A6A7E"/>
    <w:rsid w:val="001A7780"/>
    <w:rsid w:val="001C7B97"/>
    <w:rsid w:val="001C7CE7"/>
    <w:rsid w:val="001E391D"/>
    <w:rsid w:val="001F6F1C"/>
    <w:rsid w:val="00221717"/>
    <w:rsid w:val="002310F6"/>
    <w:rsid w:val="00241CB3"/>
    <w:rsid w:val="00272AC2"/>
    <w:rsid w:val="0027426D"/>
    <w:rsid w:val="002750BE"/>
    <w:rsid w:val="00282C9D"/>
    <w:rsid w:val="00284F59"/>
    <w:rsid w:val="002961F9"/>
    <w:rsid w:val="002A5636"/>
    <w:rsid w:val="002A61BB"/>
    <w:rsid w:val="002A694B"/>
    <w:rsid w:val="002B5D49"/>
    <w:rsid w:val="002B7981"/>
    <w:rsid w:val="002E1326"/>
    <w:rsid w:val="003066BE"/>
    <w:rsid w:val="003227CC"/>
    <w:rsid w:val="003247AA"/>
    <w:rsid w:val="00327E60"/>
    <w:rsid w:val="00333599"/>
    <w:rsid w:val="00375424"/>
    <w:rsid w:val="003B6861"/>
    <w:rsid w:val="003E155B"/>
    <w:rsid w:val="003F326D"/>
    <w:rsid w:val="003F79EF"/>
    <w:rsid w:val="00411517"/>
    <w:rsid w:val="0043191A"/>
    <w:rsid w:val="004337C8"/>
    <w:rsid w:val="0048121E"/>
    <w:rsid w:val="0049330A"/>
    <w:rsid w:val="004A5CD7"/>
    <w:rsid w:val="004B7F1C"/>
    <w:rsid w:val="004D7AC0"/>
    <w:rsid w:val="004E6DC4"/>
    <w:rsid w:val="004F0214"/>
    <w:rsid w:val="005051C5"/>
    <w:rsid w:val="005067D3"/>
    <w:rsid w:val="00515109"/>
    <w:rsid w:val="00532089"/>
    <w:rsid w:val="00533EFC"/>
    <w:rsid w:val="00540D07"/>
    <w:rsid w:val="0054579D"/>
    <w:rsid w:val="005524F1"/>
    <w:rsid w:val="0057059E"/>
    <w:rsid w:val="00586B4B"/>
    <w:rsid w:val="00596171"/>
    <w:rsid w:val="005A0BDA"/>
    <w:rsid w:val="005A3779"/>
    <w:rsid w:val="005C0A02"/>
    <w:rsid w:val="005C32A2"/>
    <w:rsid w:val="005C6109"/>
    <w:rsid w:val="005D04F3"/>
    <w:rsid w:val="005E7651"/>
    <w:rsid w:val="00600497"/>
    <w:rsid w:val="00601805"/>
    <w:rsid w:val="00625CA3"/>
    <w:rsid w:val="0063177E"/>
    <w:rsid w:val="00641262"/>
    <w:rsid w:val="00641547"/>
    <w:rsid w:val="00650347"/>
    <w:rsid w:val="006770A8"/>
    <w:rsid w:val="00683410"/>
    <w:rsid w:val="006B05D3"/>
    <w:rsid w:val="006B50EE"/>
    <w:rsid w:val="006D0571"/>
    <w:rsid w:val="006D2C8A"/>
    <w:rsid w:val="006D2D64"/>
    <w:rsid w:val="006E403A"/>
    <w:rsid w:val="007077CE"/>
    <w:rsid w:val="00710DB5"/>
    <w:rsid w:val="00712A05"/>
    <w:rsid w:val="007138B2"/>
    <w:rsid w:val="00715DF2"/>
    <w:rsid w:val="00734A7F"/>
    <w:rsid w:val="00754027"/>
    <w:rsid w:val="00763D5C"/>
    <w:rsid w:val="00766A5E"/>
    <w:rsid w:val="00766B1A"/>
    <w:rsid w:val="0077632F"/>
    <w:rsid w:val="007978F7"/>
    <w:rsid w:val="007A0CF2"/>
    <w:rsid w:val="007A676B"/>
    <w:rsid w:val="007F16AB"/>
    <w:rsid w:val="007F445D"/>
    <w:rsid w:val="007F5784"/>
    <w:rsid w:val="00804A1C"/>
    <w:rsid w:val="0081023C"/>
    <w:rsid w:val="00814F34"/>
    <w:rsid w:val="008220A8"/>
    <w:rsid w:val="00845F24"/>
    <w:rsid w:val="00865E9F"/>
    <w:rsid w:val="0088219D"/>
    <w:rsid w:val="00885AFF"/>
    <w:rsid w:val="00891941"/>
    <w:rsid w:val="008B2F06"/>
    <w:rsid w:val="008E5B24"/>
    <w:rsid w:val="009529C7"/>
    <w:rsid w:val="00963630"/>
    <w:rsid w:val="009767CB"/>
    <w:rsid w:val="009A053A"/>
    <w:rsid w:val="009C5D89"/>
    <w:rsid w:val="009C7C21"/>
    <w:rsid w:val="009D2554"/>
    <w:rsid w:val="009D31B0"/>
    <w:rsid w:val="009D4171"/>
    <w:rsid w:val="009E075E"/>
    <w:rsid w:val="009E092A"/>
    <w:rsid w:val="009E2BC5"/>
    <w:rsid w:val="009F1849"/>
    <w:rsid w:val="00A0127B"/>
    <w:rsid w:val="00A01779"/>
    <w:rsid w:val="00A02D2A"/>
    <w:rsid w:val="00A10ACA"/>
    <w:rsid w:val="00A11382"/>
    <w:rsid w:val="00A20E9D"/>
    <w:rsid w:val="00A214CF"/>
    <w:rsid w:val="00A2180B"/>
    <w:rsid w:val="00A272B2"/>
    <w:rsid w:val="00A30954"/>
    <w:rsid w:val="00A3729F"/>
    <w:rsid w:val="00A41475"/>
    <w:rsid w:val="00A46594"/>
    <w:rsid w:val="00A50553"/>
    <w:rsid w:val="00A62505"/>
    <w:rsid w:val="00A82895"/>
    <w:rsid w:val="00AA3BE7"/>
    <w:rsid w:val="00AB26BD"/>
    <w:rsid w:val="00AC6D26"/>
    <w:rsid w:val="00AE1BAB"/>
    <w:rsid w:val="00AE55EC"/>
    <w:rsid w:val="00B203DA"/>
    <w:rsid w:val="00B21607"/>
    <w:rsid w:val="00B3716F"/>
    <w:rsid w:val="00B4500B"/>
    <w:rsid w:val="00B518C9"/>
    <w:rsid w:val="00B720BF"/>
    <w:rsid w:val="00B80256"/>
    <w:rsid w:val="00B8302A"/>
    <w:rsid w:val="00BD12B3"/>
    <w:rsid w:val="00BD69E6"/>
    <w:rsid w:val="00BE54B3"/>
    <w:rsid w:val="00C008B4"/>
    <w:rsid w:val="00C05522"/>
    <w:rsid w:val="00C10F9F"/>
    <w:rsid w:val="00C17ABD"/>
    <w:rsid w:val="00C2014E"/>
    <w:rsid w:val="00C26C67"/>
    <w:rsid w:val="00C30DDC"/>
    <w:rsid w:val="00C323CE"/>
    <w:rsid w:val="00C821A5"/>
    <w:rsid w:val="00C82858"/>
    <w:rsid w:val="00C9055F"/>
    <w:rsid w:val="00C937E1"/>
    <w:rsid w:val="00C96525"/>
    <w:rsid w:val="00CD5DAA"/>
    <w:rsid w:val="00CE3425"/>
    <w:rsid w:val="00CF25DB"/>
    <w:rsid w:val="00D4128A"/>
    <w:rsid w:val="00D43613"/>
    <w:rsid w:val="00D7076A"/>
    <w:rsid w:val="00D81F5E"/>
    <w:rsid w:val="00D92269"/>
    <w:rsid w:val="00DB65F8"/>
    <w:rsid w:val="00DB7F86"/>
    <w:rsid w:val="00DC0AB9"/>
    <w:rsid w:val="00DC4A1F"/>
    <w:rsid w:val="00DE176A"/>
    <w:rsid w:val="00E00A6B"/>
    <w:rsid w:val="00E15F5C"/>
    <w:rsid w:val="00E421E9"/>
    <w:rsid w:val="00E75BDB"/>
    <w:rsid w:val="00E77899"/>
    <w:rsid w:val="00E91453"/>
    <w:rsid w:val="00ED2AB3"/>
    <w:rsid w:val="00ED3589"/>
    <w:rsid w:val="00EE64B2"/>
    <w:rsid w:val="00F178BA"/>
    <w:rsid w:val="00F32154"/>
    <w:rsid w:val="00F4756B"/>
    <w:rsid w:val="00F53C9D"/>
    <w:rsid w:val="00F55643"/>
    <w:rsid w:val="00F83C17"/>
    <w:rsid w:val="00F93C8B"/>
    <w:rsid w:val="00F96D7F"/>
    <w:rsid w:val="00FC4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82DD4D"/>
  <w15:chartTrackingRefBased/>
  <w15:docId w15:val="{CC2967CE-8393-4E48-B2BE-AAD92919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Revision">
    <w:name w:val="Revision"/>
    <w:hidden/>
    <w:uiPriority w:val="99"/>
    <w:semiHidden/>
    <w:rsid w:val="0077632F"/>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250578">
      <w:bodyDiv w:val="1"/>
      <w:marLeft w:val="0"/>
      <w:marRight w:val="0"/>
      <w:marTop w:val="0"/>
      <w:marBottom w:val="0"/>
      <w:divBdr>
        <w:top w:val="none" w:sz="0" w:space="0" w:color="auto"/>
        <w:left w:val="none" w:sz="0" w:space="0" w:color="auto"/>
        <w:bottom w:val="none" w:sz="0" w:space="0" w:color="auto"/>
        <w:right w:val="none" w:sz="0" w:space="0" w:color="auto"/>
      </w:divBdr>
    </w:div>
    <w:div w:id="75178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https://www.eesc.europa.eu/pl/our-work/opinions-information-reports/opinions/working-time-efficiency-economy-and-well-being-workers-including-context-digital-change-and-work-automation-legal-and" TargetMode="External"/><Relationship Id="rId39" Type="http://schemas.openxmlformats.org/officeDocument/2006/relationships/hyperlink" Target="mailto:Myrto.Kolyva@eesc.europa.eu" TargetMode="External"/><Relationship Id="rId21" Type="http://schemas.openxmlformats.org/officeDocument/2006/relationships/hyperlink" Target="mailto:Georgios.Meleas@eesc.europa.eu" TargetMode="External"/><Relationship Id="rId34" Type="http://schemas.openxmlformats.org/officeDocument/2006/relationships/hyperlink" Target="https://www.eesc.europa.eu/pl/our-work/opinions-information-reports/opinions/research-and-training-programme-european-atomic-energy-community-2026-2027" TargetMode="External"/><Relationship Id="rId42" Type="http://schemas.openxmlformats.org/officeDocument/2006/relationships/hyperlink" Target="https://www.eesc.europa.eu/pl/our-work/opinions-information-reports/opinions/new-rules-cross-border-enforcement-against-unfair-trading-practices-0" TargetMode="External"/><Relationship Id="rId47" Type="http://schemas.openxmlformats.org/officeDocument/2006/relationships/hyperlink" Target="mailto:Marco.Ristori@eesc.europa.eu" TargetMode="External"/><Relationship Id="rId50" Type="http://schemas.openxmlformats.org/officeDocument/2006/relationships/hyperlink" Target="https://www.eesc.europa.eu/pl/our-work/opinions-information-reports/opinions/moldova-growth-plan/related-links-rex-595" TargetMode="External"/><Relationship Id="rId55" Type="http://schemas.openxmlformats.org/officeDocument/2006/relationships/hyperlink" Target="mailto:Adam.Dorywalski@eesc.europa.eu" TargetMode="External"/><Relationship Id="rId63" Type="http://schemas.openxmlformats.org/officeDocument/2006/relationships/theme" Target="theme/theme1.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mailto:Valeria.Atzori@eesc.europa.eu" TargetMode="External"/><Relationship Id="rId11" Type="http://schemas.openxmlformats.org/officeDocument/2006/relationships/image" Target="media/image1.jpeg"/><Relationship Id="rId24" Type="http://schemas.openxmlformats.org/officeDocument/2006/relationships/hyperlink" Target="https://www.eesc.europa.eu/pl/our-work/opinions-information-reports/opinions/health-and-safety-work-current-and-future-challenges-light-traditional-and-new-technologies-focus-ai" TargetMode="External"/><Relationship Id="rId32" Type="http://schemas.openxmlformats.org/officeDocument/2006/relationships/hyperlink" Target="https://www.eesc.europa.eu/pl/our-work/opinions-information-reports/opinions/revision-gas-storage-regulation" TargetMode="External"/><Relationship Id="rId37" Type="http://schemas.openxmlformats.org/officeDocument/2006/relationships/hyperlink" Target="mailto:Alice.Tetu@eesc.europa.eu" TargetMode="External"/><Relationship Id="rId40" Type="http://schemas.openxmlformats.org/officeDocument/2006/relationships/hyperlink" Target="https://www.eesc.europa.eu/pl/our-work/opinions-information-reports/opinions/civil-societys-vision-european-oceans-pact" TargetMode="External"/><Relationship Id="rId45" Type="http://schemas.openxmlformats.org/officeDocument/2006/relationships/hyperlink" Target="mailto:Martine.Delanoy@eesc.europa.eu" TargetMode="External"/><Relationship Id="rId53" Type="http://schemas.openxmlformats.org/officeDocument/2006/relationships/hyperlink" Target="mailto:Daniele.Vitali@eesc.europa.eu" TargetMode="External"/><Relationship Id="rId58" Type="http://schemas.openxmlformats.org/officeDocument/2006/relationships/footer" Target="footer4.xml"/><Relationship Id="rId66" Type="http://schemas.openxmlformats.org/officeDocument/2006/relationships/customXml" Target="../customXml/item3.xml"/><Relationship Id="rId5" Type="http://schemas.openxmlformats.org/officeDocument/2006/relationships/numbering" Target="numbering.xml"/><Relationship Id="rId61" Type="http://schemas.openxmlformats.org/officeDocument/2006/relationships/footer" Target="footer6.xm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www.eesc.europa.eu/pl/our-work/opinions-information-reports/information-reports/ex-post-evaluation-asylum-migration-and-integration-fund-2014-2020-programming-period" TargetMode="External"/><Relationship Id="rId27" Type="http://schemas.openxmlformats.org/officeDocument/2006/relationships/hyperlink" Target="mailto:Ana.Dumitrache@eesc.europa.eu" TargetMode="External"/><Relationship Id="rId30" Type="http://schemas.openxmlformats.org/officeDocument/2006/relationships/hyperlink" Target="https://www.eesc.europa.eu/pl/our-work/opinions-information-reports/opinions/access-social-welfare-self-employed-analysis-limitations-and-scope-improvement" TargetMode="External"/><Relationship Id="rId35" Type="http://schemas.openxmlformats.org/officeDocument/2006/relationships/hyperlink" Target="mailto:Albert.Precup@eesc.europa.eu" TargetMode="External"/><Relationship Id="rId43" Type="http://schemas.openxmlformats.org/officeDocument/2006/relationships/hyperlink" Target="mailto:Myrto.Kolyva@eesc.europa.eu" TargetMode="External"/><Relationship Id="rId48" Type="http://schemas.openxmlformats.org/officeDocument/2006/relationships/hyperlink" Target="https://www.eesc.europa.eu/pl/our-work/opinions-information-reports/opinions/eu-india-strategic-partnership" TargetMode="External"/><Relationship Id="rId56" Type="http://schemas.openxmlformats.org/officeDocument/2006/relationships/header" Target="header4.xml"/><Relationship Id="rId64" Type="http://schemas.openxmlformats.org/officeDocument/2006/relationships/customXml" Target="../customXml/item1.xml"/><Relationship Id="rId8" Type="http://schemas.openxmlformats.org/officeDocument/2006/relationships/webSettings" Target="webSettings.xml"/><Relationship Id="rId51" Type="http://schemas.openxmlformats.org/officeDocument/2006/relationships/hyperlink" Target="mailto:Katarina.Albrechtova@eesc.europa.eu" TargetMode="External"/><Relationship Id="rId12" Type="http://schemas.openxmlformats.org/officeDocument/2006/relationships/hyperlink" Target="https://www.eesc.europa.eu/pl/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Alessia.Cova@eesc.europa.eu" TargetMode="External"/><Relationship Id="rId33" Type="http://schemas.openxmlformats.org/officeDocument/2006/relationships/hyperlink" Target="mailto:GiorgiaAndrea.Bordignon@eesc.europa.eu" TargetMode="External"/><Relationship Id="rId38" Type="http://schemas.openxmlformats.org/officeDocument/2006/relationships/hyperlink" Target="https://www.eesc.europa.eu/pl/our-work/opinions-information-reports/information-reports/evaluation-directive-e-eu-2019633-17-april-2019-unfair-trading-practices-b2b-relationships-agricultural-and-food-supply" TargetMode="External"/><Relationship Id="rId46" Type="http://schemas.openxmlformats.org/officeDocument/2006/relationships/hyperlink" Target="https://www.eesc.europa.eu/pl/our-work/opinions-information-reports/opinions/competitiveness-and-economic-security-how-should-eu-trade-policy-contribute-objectives-draghi-report" TargetMode="External"/><Relationship Id="rId59" Type="http://schemas.openxmlformats.org/officeDocument/2006/relationships/footer" Target="footer5.xml"/><Relationship Id="rId67" Type="http://schemas.openxmlformats.org/officeDocument/2006/relationships/customXml" Target="../customXml/item4.xml"/><Relationship Id="rId20" Type="http://schemas.openxmlformats.org/officeDocument/2006/relationships/hyperlink" Target="https://www.eesc.europa.eu/pl/our-work/opinions-information-reports/information-reports/ex-post-evaluation-european-regional-development-fund-and-cohesion-fund-2014-2020" TargetMode="External"/><Relationship Id="rId41" Type="http://schemas.openxmlformats.org/officeDocument/2006/relationships/hyperlink" Target="mailto:Gaia.Bottoni@eesc.europa.eu" TargetMode="External"/><Relationship Id="rId54" Type="http://schemas.openxmlformats.org/officeDocument/2006/relationships/hyperlink" Target="https://www.eesc.europa.eu/pl/our-work/opinions-information-reports/opinions/european-liquid-fuels-strategy-sustainable-affordable-and-resilient-low-carbon-transition" TargetMode="External"/><Relationship Id="rId62" Type="http://schemas.openxmlformats.org/officeDocument/2006/relationships/fontTable" Target="fontTable.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mailto:Triin.AasmaaGomes@eesc.europa.eu" TargetMode="External"/><Relationship Id="rId28" Type="http://schemas.openxmlformats.org/officeDocument/2006/relationships/hyperlink" Target="https://www.eesc.europa.eu/pl/our-work/opinions-information-reports/opinions/including-persons-disabilities-development-new-technologies-and-ai-possibilities-challenges-risks-and-opportunities" TargetMode="External"/><Relationship Id="rId36" Type="http://schemas.openxmlformats.org/officeDocument/2006/relationships/hyperlink" Target="https://www.eesc.europa.eu/pl/our-work/opinions-information-reports/opinions/application-and-reporting-deadlinescsrd-and-csddd" TargetMode="External"/><Relationship Id="rId49" Type="http://schemas.openxmlformats.org/officeDocument/2006/relationships/hyperlink" Target="mailto:Tena.Vukelic@eesc.europa.eu" TargetMode="External"/><Relationship Id="rId57" Type="http://schemas.openxmlformats.org/officeDocument/2006/relationships/header" Target="header5.xml"/><Relationship Id="rId10" Type="http://schemas.openxmlformats.org/officeDocument/2006/relationships/endnotes" Target="endnotes.xml"/><Relationship Id="rId31" Type="http://schemas.openxmlformats.org/officeDocument/2006/relationships/hyperlink" Target="mailto:Bartek.Bednarowicz@eesc.europa.eu" TargetMode="External"/><Relationship Id="rId44" Type="http://schemas.openxmlformats.org/officeDocument/2006/relationships/hyperlink" Target="https://www.eesc.europa.eu/pl/our-work/opinions-information-reports/opinions/amendment-common-markets-organisation-cmo-regulation-rules-contracts-producer-organisations-and-cooperation-between" TargetMode="External"/><Relationship Id="rId52" Type="http://schemas.openxmlformats.org/officeDocument/2006/relationships/hyperlink" Target="https://www.eesc.europa.eu/pl/our-work/opinions-information-reports/opinions/action-plan-enhancing-cooperation-between-civil-society-organisations-european-union-and-kazakhstan-framework" TargetMode="External"/><Relationship Id="rId60" Type="http://schemas.openxmlformats.org/officeDocument/2006/relationships/header" Target="header6.xml"/><Relationship Id="rId65" Type="http://schemas.openxmlformats.org/officeDocument/2006/relationships/customXml" Target="../customXml/item2.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A6WAAD5KZT2Q-604569563-7516</_dlc_DocId>
    <_dlc_DocIdUrl xmlns="1a33af13-4045-4f88-9d7b-618e30f79918">
      <Url>http://dm/eesc/2025/_layouts/15/DocIdRedir.aspx?ID=A6WAAD5KZT2Q-604569563-7516</Url>
      <Description>A6WAAD5KZT2Q-604569563-7516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2025-04-11T12:00:00+00:00</ProductionDate>
    <DocumentNumber xmlns="be3ca9a7-9286-4008-99ec-aebc20da9dc2">818</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2025-04-29T12:00:00+00:00</MeetingDate>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3948</FicheNumber>
    <OriginalSender xmlns="1a33af13-4045-4f88-9d7b-618e30f79918">
      <UserInfo>
        <DisplayName>Wisniewska Malgorzata</DisplayName>
        <AccountId>1539</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be3ca9a7-9286-4008-99ec-aebc20da9dc2">596</MeetingNumber>
    <DossierName_0 xmlns="http://schemas.microsoft.com/sharepoint/v3/fields">
      <Terms xmlns="http://schemas.microsoft.com/office/infopath/2007/PartnerControls"/>
    </DossierName_0>
    <DocumentVersion xmlns="1a33af13-4045-4f88-9d7b-618e30f79918">1</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6BB3B767F3CF4149BF520211D4A86BC0" ma:contentTypeVersion="4" ma:contentTypeDescription="Defines the documents for Document Manager V2" ma:contentTypeScope="" ma:versionID="8f2b3a3e062f062a7ee8ba210ef02323">
  <xsd:schema xmlns:xsd="http://www.w3.org/2001/XMLSchema" xmlns:xs="http://www.w3.org/2001/XMLSchema" xmlns:p="http://schemas.microsoft.com/office/2006/metadata/properties" xmlns:ns2="1a33af13-4045-4f88-9d7b-618e30f79918" xmlns:ns3="http://schemas.microsoft.com/sharepoint/v3/fields" xmlns:ns4="be3ca9a7-9286-4008-99ec-aebc20da9dc2" targetNamespace="http://schemas.microsoft.com/office/2006/metadata/properties" ma:root="true" ma:fieldsID="f021f5764e4548d9eb17bdf3b768072d" ns2:_="" ns3:_="" ns4:_="">
    <xsd:import namespace="1a33af13-4045-4f88-9d7b-618e30f79918"/>
    <xsd:import namespace="http://schemas.microsoft.com/sharepoint/v3/fields"/>
    <xsd:import namespace="be3ca9a7-9286-4008-99ec-aebc20da9dc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3ca9a7-9286-4008-99ec-aebc20da9dc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94C3CC-9B78-4120-B62E-18ACC26AC4D1}"/>
</file>

<file path=customXml/itemProps2.xml><?xml version="1.0" encoding="utf-8"?>
<ds:datastoreItem xmlns:ds="http://schemas.openxmlformats.org/officeDocument/2006/customXml" ds:itemID="{D7EC95B4-75B7-4CA4-87ED-18EE54971A87}"/>
</file>

<file path=customXml/itemProps3.xml><?xml version="1.0" encoding="utf-8"?>
<ds:datastoreItem xmlns:ds="http://schemas.openxmlformats.org/officeDocument/2006/customXml" ds:itemID="{BAED1263-0321-429E-9E97-17C4B7EA1699}"/>
</file>

<file path=customXml/itemProps4.xml><?xml version="1.0" encoding="utf-8"?>
<ds:datastoreItem xmlns:ds="http://schemas.openxmlformats.org/officeDocument/2006/customXml" ds:itemID="{F7EE63BF-9CEC-47D4-A047-C0963E087828}"/>
</file>

<file path=docProps/app.xml><?xml version="1.0" encoding="utf-8"?>
<Properties xmlns="http://schemas.openxmlformats.org/officeDocument/2006/extended-properties" xmlns:vt="http://schemas.openxmlformats.org/officeDocument/2006/docPropsVTypes">
  <Template>Normal.dotm</Template>
  <TotalTime>0</TotalTime>
  <Pages>33</Pages>
  <Words>8215</Words>
  <Characters>46826</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Company>CESE-CdR</Company>
  <LinksUpToDate>false</LinksUpToDate>
  <CharactersWithSpaces>54932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Streszczenie przyjętych opinii - 595. sesja plenarna - marzec 2025 r.</dc:title>
  <dc:subject>TCD</dc:subject>
  <dc:creator>Nieddu Emma</dc:creator>
  <cp:keywords>EESC-2025-00818-00-01-TCD-TRA-EN</cp:keywords>
  <dc:description>Rapporteur:  - Original language: EN - Date of document: 11 04 2025 - Date of meeting: 30 29 2025 14:30 - External documents:  - Administrator: MME TAMASAUSKIENE Julija</dc:description>
  <cp:lastModifiedBy>Wisniewska Malgorzata</cp:lastModifiedBy>
  <cp:revision>29</cp:revision>
  <dcterms:created xsi:type="dcterms:W3CDTF">2025-04-10T15:07:00Z</dcterms:created>
  <dcterms:modified xsi:type="dcterms:W3CDTF">2025-04-11T09:54:00Z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10/04/2025, 04/04/2025, 02/05/2022, 02/05/2022, 28/06/2021</vt:lpwstr>
  </property>
  <property fmtid="{D5CDD505-2E9C-101B-9397-08002B2CF9AE}" pid="4" name="Pref_Time">
    <vt:lpwstr>16:47:42, 08:37:39, 12:28:29, 12:25:37, 08:41:48</vt:lpwstr>
  </property>
  <property fmtid="{D5CDD505-2E9C-101B-9397-08002B2CF9AE}" pid="5" name="Pref_User">
    <vt:lpwstr>amett, pacup, enied, enied, enied</vt:lpwstr>
  </property>
  <property fmtid="{D5CDD505-2E9C-101B-9397-08002B2CF9AE}" pid="6" name="Pref_FileName">
    <vt:lpwstr>EESC-2025-00818-00-01-TCD-ORI.docx, EESC-2025-00818-00-00-TCD-ORI.docx, Summary of opinions.docx, COR-EESC-2022-02370-00-00-ADMIN-ORI.docx, Synthese des avis Template.docx</vt:lpwstr>
  </property>
  <property fmtid="{D5CDD505-2E9C-101B-9397-08002B2CF9AE}" pid="7" name="ContentTypeId">
    <vt:lpwstr>0x010100EA97B91038054C99906057A708A1480A006BB3B767F3CF4149BF520211D4A86BC0</vt:lpwstr>
  </property>
  <property fmtid="{D5CDD505-2E9C-101B-9397-08002B2CF9AE}" pid="8" name="_dlc_DocIdItemGuid">
    <vt:lpwstr>af7bcbdc-6bc5-4470-9d35-e43cbfe9a562</vt:lpwstr>
  </property>
  <property fmtid="{D5CDD505-2E9C-101B-9397-08002B2CF9AE}" pid="9" name="AvailableTranslations">
    <vt:lpwstr>42;#EL|6d4f4d51-af9b-4650-94b4-4276bee85c91;#46;#SK|46d9fce0-ef79-4f71-b89b-cd6aa82426b8;#35;#FI|87606a43-d45f-42d6-b8c9-e1a3457db5b7;#47;#BG|1a1b3951-7821-4e6a-85f5-5673fc08bd2c;#34;#IT|0774613c-01ed-4e5d-a25d-11d2388de825;#50;#HR|2f555653-ed1a-4fe6-8362-9082d95989e5;#28;#SV|c2ed69e7-a339-43d7-8f22-d93680a92aa0;#36;#RO|feb747a2-64cd-4299-af12-4833ddc30497;#16;#ES|e7a6b05b-ae16-40c8-add9-68b64b03aeba;#31;#SL|98a412ae-eb01-49e9-ae3d-585a81724cfc;#30;#LT|a7ff5ce7-6123-4f68-865a-a57c31810414;#40;#DA|5d49c027-8956-412b-aa16-e85a0f96ad0e;#5;#EN|f2175f21-25d7-44a3-96da-d6a61b075e1b;#12;#FR|d2afafd3-4c81-4f60-8f52-ee33f2f54ff3;#23;#DE|f6b31e5a-26fa-4935-b661-318e46daf27e;#41;#ET|ff6c3f4c-b02c-4c3c-ab07-2c37995a7a0a;#27;#NL|55c6556c-b4f4-441d-9acf-c498d4f838bd;#33;#PT|50ccc04a-eadd-42ae-a0cb-acaf45f812ba;#29;#CS|72f9705b-0217-4fd3-bea2-cbc7ed80e26e;#39;#LV|46f7e311-5d9f-4663-b433-18aeccb7ace7;#24;#PL|1e03da61-4678-4e07-b136-b5024ca9197b;#37;#HU|6b229040-c589-4408-b4c1-4285663d20a8</vt:lpwstr>
  </property>
  <property fmtid="{D5CDD505-2E9C-101B-9397-08002B2CF9AE}" pid="10" name="DocumentType_0">
    <vt:lpwstr>TCD|cd9d6eb6-3f4f-424a-b2d1-57c9d450eaaf</vt:lpwstr>
  </property>
  <property fmtid="{D5CDD505-2E9C-101B-9397-08002B2CF9AE}" pid="11" name="MeetingNumber">
    <vt:i4>596</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818</vt:i4>
  </property>
  <property fmtid="{D5CDD505-2E9C-101B-9397-08002B2CF9AE}" pid="15" name="DocumentVersion">
    <vt:i4>1</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19;#TCD|cd9d6eb6-3f4f-424a-b2d1-57c9d450eaaf</vt:lpwstr>
  </property>
  <property fmtid="{D5CDD505-2E9C-101B-9397-08002B2CF9AE}" pid="22" name="RequestingService">
    <vt:lpwstr>Greffe</vt:lpwstr>
  </property>
  <property fmtid="{D5CDD505-2E9C-101B-9397-08002B2CF9AE}" pid="23" name="Confidentiality">
    <vt:lpwstr>15;#Unrestricted|826e22d7-d029-4ec0-a450-0c28ff673572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67;#SPL-CES|32d8cb1f-c9ec-4365-95c7-8385a18618ac</vt:lpwstr>
  </property>
  <property fmtid="{D5CDD505-2E9C-101B-9397-08002B2CF9AE}" pid="28" name="MeetingDate">
    <vt:filetime>2025-04-29T12:00:00Z</vt:filetime>
  </property>
  <property fmtid="{D5CDD505-2E9C-101B-9397-08002B2CF9AE}" pid="29" name="AvailableTranslations_0">
    <vt:lpwstr>EL|6d4f4d51-af9b-4650-94b4-4276bee85c91;FI|87606a43-d45f-42d6-b8c9-e1a3457db5b7;IT|0774613c-01ed-4e5d-a25d-11d2388de825;HR|2f555653-ed1a-4fe6-8362-9082d95989e5;ES|e7a6b05b-ae16-40c8-add9-68b64b03aeba;SL|98a412ae-eb01-49e9-ae3d-585a81724cfc;EN|f2175f21-25d7-44a3-96da-d6a61b075e1b;FR|d2afafd3-4c81-4f60-8f52-ee33f2f54ff3;DE|f6b31e5a-26fa-4935-b661-318e46daf27e;ET|ff6c3f4c-b02c-4c3c-ab07-2c37995a7a0a;PT|50ccc04a-eadd-42ae-a0cb-acaf45f812ba;LV|46f7e311-5d9f-4663-b433-18aeccb7ace7</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42;#EL|6d4f4d51-af9b-4650-94b4-4276bee85c91;#35;#FI|87606a43-d45f-42d6-b8c9-e1a3457db5b7;#34;#IT|0774613c-01ed-4e5d-a25d-11d2388de825;#33;#PT|50ccc04a-eadd-42ae-a0cb-acaf45f812ba;#13;#TRA|150d2a88-1431-44e6-a8ca-0bb753ab8672;#67;#SPL-CES|32d8cb1f-c9ec-4365-95c7-8385a18618ac;#31;#SL|98a412ae-eb01-49e9-ae3d-585a81724cfc;#23;#DE|f6b31e5a-26fa-4935-b661-318e46daf27e;#19;#TCD|cd9d6eb6-3f4f-424a-b2d1-57c9d450eaaf;#16;#ES|e7a6b05b-ae16-40c8-add9-68b64b03aeba;#15;#Unrestricted|826e22d7-d029-4ec0-a450-0c28ff673572;#50;#HR|2f555653-ed1a-4fe6-8362-9082d95989e5;#12;#FR|d2afafd3-4c81-4f60-8f52-ee33f2f54ff3;#8;#Final|ea5e6674-7b27-4bac-b091-73adbb394efe;#5;#EN|f2175f21-25d7-44a3-96da-d6a61b075e1b;#41;#ET|ff6c3f4c-b02c-4c3c-ab07-2c37995a7a0a;#39;#LV|46f7e311-5d9f-4663-b433-18aeccb7ace7;#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2025</vt:i4>
  </property>
  <property fmtid="{D5CDD505-2E9C-101B-9397-08002B2CF9AE}" pid="36" name="FicheNumber">
    <vt:i4>3948</vt:i4>
  </property>
  <property fmtid="{D5CDD505-2E9C-101B-9397-08002B2CF9AE}" pid="37" name="DocumentLanguage">
    <vt:lpwstr>24;#PL|1e03da61-4678-4e07-b136-b5024ca9197b</vt:lpwstr>
  </property>
</Properties>
</file>