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6E5368" w14:paraId="4982DD4D" w14:textId="313ADC77">
      <w:pPr>
        <w:jc w:val="center"/>
      </w:pPr>
      <w:r>
        <w:rPr>
          <w:noProof/>
        </w:rPr>
        <w:drawing>
          <wp:inline distT="0" distB="0" distL="0" distR="0" wp14:anchorId="10FE15FF" wp14:editId="4712A46E">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A28862A"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Brüssel, 11. aprill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TÄISKOGU 595. ISTUNGJÄRK</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26.‒27. märts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VASTUVÕETUD ARVAMUSTE, RESOLUTSIOONIDE JA TEABE/HINDAMISARUANNETE KOKKUVÕTE</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Käesolev dokument on kättesaadav kõigis ELi ametlikes keeltes</w:t>
            </w:r>
            <w:r>
              <w:br/>
              <w:t>komitee kodulehel:</w:t>
            </w:r>
            <w:r>
              <w:br/>
            </w:r>
            <w:r>
              <w:br/>
            </w:r>
            <w:hyperlink w:history="1" r:id="rId12">
              <w:r>
                <w:rPr>
                  <w:rStyle w:val="Hyperlink"/>
                </w:rPr>
                <w:t>https://www.eesc.europa.eu/et/our-work/opinions-information-reports/plenary-session-summaries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Dokumendis nimetatud arvamustega saab tutvuda internetis, kasutades komitee otsingumootorit:</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Sisukord</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8C3EEA" w:rsidRDefault="004D7AC0" w14:paraId="2EC25296" w14:textId="75198AE8">
          <w:pPr>
            <w:pStyle w:val="TOC1"/>
            <w:tabs>
              <w:tab w:val="left" w:pos="440"/>
              <w:tab w:val="right" w:leader="dot" w:pos="920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61613">
            <w:r w:rsidRPr="00F55806" w:rsidR="008C3EEA">
              <w:rPr>
                <w:rStyle w:val="Hyperlink"/>
                <w:b/>
                <w:noProof/>
              </w:rPr>
              <w:t>1.</w:t>
            </w:r>
            <w:r w:rsidR="008C3EEA">
              <w:rPr>
                <w:rFonts w:asciiTheme="minorHAnsi" w:hAnsiTheme="minorHAnsi" w:eastAsiaTheme="minorEastAsia" w:cstheme="minorBidi"/>
                <w:noProof/>
                <w:lang w:val="en-US"/>
              </w:rPr>
              <w:tab/>
            </w:r>
            <w:r w:rsidRPr="00F55806" w:rsidR="008C3EEA">
              <w:rPr>
                <w:rStyle w:val="Hyperlink"/>
                <w:b/>
                <w:noProof/>
              </w:rPr>
              <w:t>MAJANDUS- JA RAHALIIDU NING MAJANDUSLIKU JA SOTSIAALSE ÜHTEKUULUVUSE SEKTSIOON</w:t>
            </w:r>
            <w:r w:rsidR="008C3EEA">
              <w:rPr>
                <w:noProof/>
                <w:webHidden/>
              </w:rPr>
              <w:tab/>
            </w:r>
            <w:r w:rsidR="008C3EEA">
              <w:rPr>
                <w:noProof/>
                <w:webHidden/>
              </w:rPr>
              <w:fldChar w:fldCharType="begin"/>
            </w:r>
            <w:r w:rsidR="008C3EEA">
              <w:rPr>
                <w:noProof/>
                <w:webHidden/>
              </w:rPr>
              <w:instrText xml:space="preserve"> PAGEREF _Toc195261613 \h </w:instrText>
            </w:r>
            <w:r w:rsidR="008C3EEA">
              <w:rPr>
                <w:noProof/>
                <w:webHidden/>
              </w:rPr>
            </w:r>
            <w:r w:rsidR="008C3EEA">
              <w:rPr>
                <w:noProof/>
                <w:webHidden/>
              </w:rPr>
              <w:fldChar w:fldCharType="separate"/>
            </w:r>
            <w:r w:rsidR="008C3EEA">
              <w:rPr>
                <w:noProof/>
                <w:webHidden/>
              </w:rPr>
              <w:t>3</w:t>
            </w:r>
            <w:r w:rsidR="008C3EEA">
              <w:rPr>
                <w:noProof/>
                <w:webHidden/>
              </w:rPr>
              <w:fldChar w:fldCharType="end"/>
            </w:r>
          </w:hyperlink>
        </w:p>
        <w:p w:rsidR="008C3EEA" w:rsidRDefault="008C3EEA" w14:paraId="6FE71C28" w14:textId="6892BEC9">
          <w:pPr>
            <w:pStyle w:val="TOC1"/>
            <w:tabs>
              <w:tab w:val="left" w:pos="440"/>
              <w:tab w:val="right" w:leader="dot" w:pos="9205"/>
            </w:tabs>
            <w:rPr>
              <w:rFonts w:asciiTheme="minorHAnsi" w:hAnsiTheme="minorHAnsi" w:eastAsiaTheme="minorEastAsia" w:cstheme="minorBidi"/>
              <w:noProof/>
              <w:lang w:val="en-US"/>
            </w:rPr>
          </w:pPr>
          <w:hyperlink w:history="1" w:anchor="_Toc195261614">
            <w:r w:rsidRPr="00F55806">
              <w:rPr>
                <w:rStyle w:val="Hyperlink"/>
                <w:b/>
                <w:noProof/>
              </w:rPr>
              <w:t>2.</w:t>
            </w:r>
            <w:r>
              <w:rPr>
                <w:rFonts w:asciiTheme="minorHAnsi" w:hAnsiTheme="minorHAnsi" w:eastAsiaTheme="minorEastAsia" w:cstheme="minorBidi"/>
                <w:noProof/>
                <w:lang w:val="en-US"/>
              </w:rPr>
              <w:tab/>
            </w:r>
            <w:r w:rsidRPr="00F55806">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_Toc195261614 \h </w:instrText>
            </w:r>
            <w:r>
              <w:rPr>
                <w:noProof/>
                <w:webHidden/>
              </w:rPr>
            </w:r>
            <w:r>
              <w:rPr>
                <w:noProof/>
                <w:webHidden/>
              </w:rPr>
              <w:fldChar w:fldCharType="separate"/>
            </w:r>
            <w:r>
              <w:rPr>
                <w:noProof/>
                <w:webHidden/>
              </w:rPr>
              <w:t>5</w:t>
            </w:r>
            <w:r>
              <w:rPr>
                <w:noProof/>
                <w:webHidden/>
              </w:rPr>
              <w:fldChar w:fldCharType="end"/>
            </w:r>
          </w:hyperlink>
        </w:p>
        <w:p w:rsidR="008C3EEA" w:rsidRDefault="008C3EEA" w14:paraId="1030184E" w14:textId="6EAB04F5">
          <w:pPr>
            <w:pStyle w:val="TOC1"/>
            <w:tabs>
              <w:tab w:val="left" w:pos="440"/>
              <w:tab w:val="right" w:leader="dot" w:pos="9205"/>
            </w:tabs>
            <w:rPr>
              <w:rFonts w:asciiTheme="minorHAnsi" w:hAnsiTheme="minorHAnsi" w:eastAsiaTheme="minorEastAsia" w:cstheme="minorBidi"/>
              <w:noProof/>
              <w:lang w:val="en-US"/>
            </w:rPr>
          </w:pPr>
          <w:hyperlink w:history="1" w:anchor="_Toc195261615">
            <w:r w:rsidRPr="00F55806">
              <w:rPr>
                <w:rStyle w:val="Hyperlink"/>
                <w:b/>
                <w:noProof/>
              </w:rPr>
              <w:t>3.</w:t>
            </w:r>
            <w:r>
              <w:rPr>
                <w:rFonts w:asciiTheme="minorHAnsi" w:hAnsiTheme="minorHAnsi" w:eastAsiaTheme="minorEastAsia" w:cstheme="minorBidi"/>
                <w:noProof/>
                <w:lang w:val="en-US"/>
              </w:rPr>
              <w:tab/>
            </w:r>
            <w:r w:rsidRPr="00F55806">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_Toc195261615 \h </w:instrText>
            </w:r>
            <w:r>
              <w:rPr>
                <w:noProof/>
                <w:webHidden/>
              </w:rPr>
            </w:r>
            <w:r>
              <w:rPr>
                <w:noProof/>
                <w:webHidden/>
              </w:rPr>
              <w:fldChar w:fldCharType="separate"/>
            </w:r>
            <w:r>
              <w:rPr>
                <w:noProof/>
                <w:webHidden/>
              </w:rPr>
              <w:t>13</w:t>
            </w:r>
            <w:r>
              <w:rPr>
                <w:noProof/>
                <w:webHidden/>
              </w:rPr>
              <w:fldChar w:fldCharType="end"/>
            </w:r>
          </w:hyperlink>
        </w:p>
        <w:p w:rsidR="008C3EEA" w:rsidRDefault="008C3EEA" w14:paraId="20211FDC" w14:textId="6A2321F0">
          <w:pPr>
            <w:pStyle w:val="TOC1"/>
            <w:tabs>
              <w:tab w:val="left" w:pos="440"/>
              <w:tab w:val="right" w:leader="dot" w:pos="9205"/>
            </w:tabs>
            <w:rPr>
              <w:rFonts w:asciiTheme="minorHAnsi" w:hAnsiTheme="minorHAnsi" w:eastAsiaTheme="minorEastAsia" w:cstheme="minorBidi"/>
              <w:noProof/>
              <w:lang w:val="en-US"/>
            </w:rPr>
          </w:pPr>
          <w:hyperlink w:history="1" w:anchor="_Toc195261616">
            <w:r w:rsidRPr="00F55806">
              <w:rPr>
                <w:rStyle w:val="Hyperlink"/>
                <w:b/>
                <w:noProof/>
              </w:rPr>
              <w:t>4.</w:t>
            </w:r>
            <w:r>
              <w:rPr>
                <w:rFonts w:asciiTheme="minorHAnsi" w:hAnsiTheme="minorHAnsi" w:eastAsiaTheme="minorEastAsia" w:cstheme="minorBidi"/>
                <w:noProof/>
                <w:lang w:val="en-US"/>
              </w:rPr>
              <w:tab/>
            </w:r>
            <w:r w:rsidRPr="00F55806">
              <w:rPr>
                <w:rStyle w:val="Hyperlink"/>
                <w:b/>
                <w:noProof/>
              </w:rPr>
              <w:t>ÜHTSE TURU, TOOTMISE JA TARBIMISE SEKTSIOON</w:t>
            </w:r>
            <w:r>
              <w:rPr>
                <w:noProof/>
                <w:webHidden/>
              </w:rPr>
              <w:tab/>
            </w:r>
            <w:r>
              <w:rPr>
                <w:noProof/>
                <w:webHidden/>
              </w:rPr>
              <w:fldChar w:fldCharType="begin"/>
            </w:r>
            <w:r>
              <w:rPr>
                <w:noProof/>
                <w:webHidden/>
              </w:rPr>
              <w:instrText xml:space="preserve"> PAGEREF _Toc195261616 \h </w:instrText>
            </w:r>
            <w:r>
              <w:rPr>
                <w:noProof/>
                <w:webHidden/>
              </w:rPr>
            </w:r>
            <w:r>
              <w:rPr>
                <w:noProof/>
                <w:webHidden/>
              </w:rPr>
              <w:fldChar w:fldCharType="separate"/>
            </w:r>
            <w:r>
              <w:rPr>
                <w:noProof/>
                <w:webHidden/>
              </w:rPr>
              <w:t>15</w:t>
            </w:r>
            <w:r>
              <w:rPr>
                <w:noProof/>
                <w:webHidden/>
              </w:rPr>
              <w:fldChar w:fldCharType="end"/>
            </w:r>
          </w:hyperlink>
        </w:p>
        <w:p w:rsidR="008C3EEA" w:rsidRDefault="008C3EEA" w14:paraId="31D00540" w14:textId="4A9AEBAE">
          <w:pPr>
            <w:pStyle w:val="TOC1"/>
            <w:tabs>
              <w:tab w:val="left" w:pos="440"/>
              <w:tab w:val="right" w:leader="dot" w:pos="9205"/>
            </w:tabs>
            <w:rPr>
              <w:rFonts w:asciiTheme="minorHAnsi" w:hAnsiTheme="minorHAnsi" w:eastAsiaTheme="minorEastAsia" w:cstheme="minorBidi"/>
              <w:noProof/>
              <w:lang w:val="en-US"/>
            </w:rPr>
          </w:pPr>
          <w:hyperlink w:history="1" w:anchor="_Toc195261617">
            <w:r w:rsidRPr="00F55806">
              <w:rPr>
                <w:rStyle w:val="Hyperlink"/>
                <w:b/>
                <w:noProof/>
              </w:rPr>
              <w:t>5.</w:t>
            </w:r>
            <w:r>
              <w:rPr>
                <w:rFonts w:asciiTheme="minorHAnsi" w:hAnsiTheme="minorHAnsi" w:eastAsiaTheme="minorEastAsia" w:cstheme="minorBidi"/>
                <w:noProof/>
                <w:lang w:val="en-US"/>
              </w:rPr>
              <w:tab/>
            </w:r>
            <w:r w:rsidRPr="00F55806">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_Toc195261617 \h </w:instrText>
            </w:r>
            <w:r>
              <w:rPr>
                <w:noProof/>
                <w:webHidden/>
              </w:rPr>
            </w:r>
            <w:r>
              <w:rPr>
                <w:noProof/>
                <w:webHidden/>
              </w:rPr>
              <w:fldChar w:fldCharType="separate"/>
            </w:r>
            <w:r>
              <w:rPr>
                <w:noProof/>
                <w:webHidden/>
              </w:rPr>
              <w:t>16</w:t>
            </w:r>
            <w:r>
              <w:rPr>
                <w:noProof/>
                <w:webHidden/>
              </w:rPr>
              <w:fldChar w:fldCharType="end"/>
            </w:r>
          </w:hyperlink>
        </w:p>
        <w:p w:rsidR="008C3EEA" w:rsidRDefault="008C3EEA" w14:paraId="14664949" w14:textId="1453E61A">
          <w:pPr>
            <w:pStyle w:val="TOC1"/>
            <w:tabs>
              <w:tab w:val="left" w:pos="440"/>
              <w:tab w:val="right" w:leader="dot" w:pos="9205"/>
            </w:tabs>
            <w:rPr>
              <w:rFonts w:asciiTheme="minorHAnsi" w:hAnsiTheme="minorHAnsi" w:eastAsiaTheme="minorEastAsia" w:cstheme="minorBidi"/>
              <w:noProof/>
              <w:lang w:val="en-US"/>
            </w:rPr>
          </w:pPr>
          <w:hyperlink w:history="1" w:anchor="_Toc195261618">
            <w:r w:rsidRPr="00F55806">
              <w:rPr>
                <w:rStyle w:val="Hyperlink"/>
                <w:b/>
                <w:noProof/>
              </w:rPr>
              <w:t>6.</w:t>
            </w:r>
            <w:r>
              <w:rPr>
                <w:rFonts w:asciiTheme="minorHAnsi" w:hAnsiTheme="minorHAnsi" w:eastAsiaTheme="minorEastAsia" w:cstheme="minorBidi"/>
                <w:noProof/>
                <w:lang w:val="en-US"/>
              </w:rPr>
              <w:tab/>
            </w:r>
            <w:r w:rsidRPr="00F55806">
              <w:rPr>
                <w:rStyle w:val="Hyperlink"/>
                <w:b/>
                <w:noProof/>
              </w:rPr>
              <w:t>VÄLISSUHETE SEKTSIOON</w:t>
            </w:r>
            <w:r>
              <w:rPr>
                <w:noProof/>
                <w:webHidden/>
              </w:rPr>
              <w:tab/>
            </w:r>
            <w:r>
              <w:rPr>
                <w:noProof/>
                <w:webHidden/>
              </w:rPr>
              <w:fldChar w:fldCharType="begin"/>
            </w:r>
            <w:r>
              <w:rPr>
                <w:noProof/>
                <w:webHidden/>
              </w:rPr>
              <w:instrText xml:space="preserve"> PAGEREF _Toc195261618 \h </w:instrText>
            </w:r>
            <w:r>
              <w:rPr>
                <w:noProof/>
                <w:webHidden/>
              </w:rPr>
            </w:r>
            <w:r>
              <w:rPr>
                <w:noProof/>
                <w:webHidden/>
              </w:rPr>
              <w:fldChar w:fldCharType="separate"/>
            </w:r>
            <w:r>
              <w:rPr>
                <w:noProof/>
                <w:webHidden/>
              </w:rPr>
              <w:t>21</w:t>
            </w:r>
            <w:r>
              <w:rPr>
                <w:noProof/>
                <w:webHidden/>
              </w:rPr>
              <w:fldChar w:fldCharType="end"/>
            </w:r>
          </w:hyperlink>
        </w:p>
        <w:p w:rsidR="008C3EEA" w:rsidRDefault="008C3EEA" w14:paraId="3316319D" w14:textId="50BE94DA">
          <w:pPr>
            <w:pStyle w:val="TOC1"/>
            <w:tabs>
              <w:tab w:val="left" w:pos="440"/>
              <w:tab w:val="right" w:leader="dot" w:pos="9205"/>
            </w:tabs>
            <w:rPr>
              <w:rFonts w:asciiTheme="minorHAnsi" w:hAnsiTheme="minorHAnsi" w:eastAsiaTheme="minorEastAsia" w:cstheme="minorBidi"/>
              <w:noProof/>
              <w:lang w:val="en-US"/>
            </w:rPr>
          </w:pPr>
          <w:hyperlink w:history="1" w:anchor="_Toc195261619">
            <w:r w:rsidRPr="00F55806">
              <w:rPr>
                <w:rStyle w:val="Hyperlink"/>
                <w:b/>
                <w:noProof/>
              </w:rPr>
              <w:t>7.</w:t>
            </w:r>
            <w:r>
              <w:rPr>
                <w:rFonts w:asciiTheme="minorHAnsi" w:hAnsiTheme="minorHAnsi" w:eastAsiaTheme="minorEastAsia" w:cstheme="minorBidi"/>
                <w:noProof/>
                <w:lang w:val="en-US"/>
              </w:rPr>
              <w:tab/>
            </w:r>
            <w:r w:rsidRPr="00F55806">
              <w:rPr>
                <w:rStyle w:val="Hyperlink"/>
                <w:b/>
                <w:noProof/>
              </w:rPr>
              <w:t>TÖÖSTUSE MUUTUSTE NÕUANDEKOMISJON</w:t>
            </w:r>
            <w:r>
              <w:rPr>
                <w:noProof/>
                <w:webHidden/>
              </w:rPr>
              <w:tab/>
            </w:r>
            <w:r>
              <w:rPr>
                <w:noProof/>
                <w:webHidden/>
              </w:rPr>
              <w:fldChar w:fldCharType="begin"/>
            </w:r>
            <w:r>
              <w:rPr>
                <w:noProof/>
                <w:webHidden/>
              </w:rPr>
              <w:instrText xml:space="preserve"> PAGEREF _Toc195261619 \h </w:instrText>
            </w:r>
            <w:r>
              <w:rPr>
                <w:noProof/>
                <w:webHidden/>
              </w:rPr>
            </w:r>
            <w:r>
              <w:rPr>
                <w:noProof/>
                <w:webHidden/>
              </w:rPr>
              <w:fldChar w:fldCharType="separate"/>
            </w:r>
            <w:r>
              <w:rPr>
                <w:noProof/>
                <w:webHidden/>
              </w:rPr>
              <w:t>25</w:t>
            </w:r>
            <w:r>
              <w:rPr>
                <w:noProof/>
                <w:webHidden/>
              </w:rPr>
              <w:fldChar w:fldCharType="end"/>
            </w:r>
          </w:hyperlink>
        </w:p>
        <w:p w:rsidR="004D7AC0" w:rsidP="004D7AC0" w:rsidRDefault="004D7AC0" w14:paraId="4982DD6A" w14:textId="757A216F">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61613" w:id="0"/>
      <w:r>
        <w:rPr>
          <w:b/>
        </w:rPr>
        <w:lastRenderedPageBreak/>
        <w:t>MAJANDUS- JA RAHALIIDU NING MAJANDUSLIKU JA SOTSIAALSE ÜHTEKUULUVUSE SEKTSIOON</w:t>
      </w:r>
      <w:bookmarkEnd w:id="0"/>
    </w:p>
    <w:p w:rsidR="004D7AC0" w:rsidP="004D7AC0" w:rsidRDefault="004D7AC0" w14:paraId="4982DD6E" w14:textId="77777777"/>
    <w:p w:rsidRPr="00EE64B2" w:rsidR="00EE64B2" w:rsidP="00EE64B2" w:rsidRDefault="00014567"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6E5368">
          <w:rPr>
            <w:b/>
            <w:i/>
            <w:color w:val="0000FF"/>
            <w:sz w:val="28"/>
            <w:u w:val="single"/>
          </w:rPr>
          <w:t xml:space="preserve">Euroopa Regionaalarengu Fondi ja Ühtekuuluvusfondi (2014–2020) </w:t>
        </w:r>
        <w:proofErr w:type="spellStart"/>
        <w:r w:rsidR="006E5368">
          <w:rPr>
            <w:b/>
            <w:i/>
            <w:color w:val="0000FF"/>
            <w:sz w:val="28"/>
            <w:u w:val="single"/>
          </w:rPr>
          <w:t>järelhindamine</w:t>
        </w:r>
        <w:proofErr w:type="spellEnd"/>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616"/>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Pr>
                <w:b/>
              </w:rPr>
              <w:t>Raportöör</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pPr>
            <w:proofErr w:type="spellStart"/>
            <w:r>
              <w:t>María</w:t>
            </w:r>
            <w:proofErr w:type="spellEnd"/>
            <w:r>
              <w:t xml:space="preserve"> </w:t>
            </w:r>
            <w:proofErr w:type="spellStart"/>
            <w:r>
              <w:t>del</w:t>
            </w:r>
            <w:proofErr w:type="spellEnd"/>
            <w:r>
              <w:t xml:space="preserve"> Carmen BARRERA CHAMORRO (töötajate rühm – 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pPr>
            <w:r>
              <w:t>hindamisaruanne Euroopa Komisjoni taotlusel</w:t>
            </w:r>
          </w:p>
          <w:p w:rsidRPr="00EE64B2" w:rsidR="00EE64B2" w:rsidP="00EE64B2" w:rsidRDefault="00EE64B2" w14:paraId="353404F6" w14:textId="30F3D0DB">
            <w:pPr>
              <w:overflowPunct w:val="0"/>
              <w:autoSpaceDE w:val="0"/>
              <w:autoSpaceDN w:val="0"/>
              <w:adjustRightInd w:val="0"/>
              <w:ind w:left="266" w:hanging="266"/>
              <w:textAlignment w:val="baseline"/>
            </w:pPr>
            <w: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Põhipunktid</w:t>
      </w:r>
    </w:p>
    <w:p w:rsidRPr="008C3EEA"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fi-FI"/>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Euroopa Majandus- ja Sotsiaalkomitee:</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leiab, et nii ERF kui ka Ühtekuuluvusfond peaksid keskenduma muu hulgas ümber- ja täiendõppe kättesaadavuse parandamisele ning majanduskasvu võimaluste arendamisele kõigi ELi kodanike jaoks;</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rõhutab, et selle saavutamiseks võib olla kasu sotsiaaldialoogist;</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leiab, et ERF ja Ühtekuuluvusfond peaksid rohkem keskenduma haavatavatele elanikkonnarühmadele, sest saavutatud tulemused on endiselt mitterahuldavad;</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on seisukohal, et eritähelepanu tuleks pöörata ka tasakaalustatud territoriaalse arengu tagamisele kõigis piirkondades;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on nõus, et ühtekuuluvuse kesksed põhimõtted (partnerluse põhimõte, eelarve jagatud täitmine ja </w:t>
      </w:r>
      <w:proofErr w:type="spellStart"/>
      <w:r>
        <w:t>mitmetasandiline</w:t>
      </w:r>
      <w:proofErr w:type="spellEnd"/>
      <w:r>
        <w:t xml:space="preserve"> valitsemine) on jätkuvalt asjakohased ja neid tuleks järgida mis tahes edasistes sammudes juhtpõhimõtetena;</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tunnistab, et kodanikuühiskonnaga konsulteerimise parandamine tähendab ka selle tagamist, et nende tagasisidet võetakse ELi programmide kavandamisel sisuliselt arvesse;</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pPr>
      <w:r>
        <w:t>soovib, et Euroopa fondide investeeringute majanduslikku ja sotsiaalset mõju hinnataks nõuetekohaselt;</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märgib, et haldussuutlikkust tuleb tugevdada nõnda, et kodanikuühiskonna osalejad saaksid aktiivsemalt osaleda;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soovitab keskenduda pikaajalisele majanduslikule jätkusuutlikkusele. See hõlmaks sotsiaalsete, keskkonna- ja ligipääsetavusega seotud tegurite lõimimist taristu kavandamisse;</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on arvamusel, et </w:t>
      </w:r>
      <w:proofErr w:type="spellStart"/>
      <w:r>
        <w:t>VKEde</w:t>
      </w:r>
      <w:proofErr w:type="spellEnd"/>
      <w:r>
        <w:t xml:space="preserve"> ja füüsilisest isikust ettevõtjate jaoks on vaja rohkem programme. Need kaks rühma moodustavad enamiku ELi liikmesriikide majanduse selgroo;</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leiab, et kodanikuühiskonnaga konsulteerimine on oluline ja vajalik kogu ühtekuuluvuspoliitika protsessi ning sellega seotud fondide jaoks, eelkõige arvestades tulevast ettepanekut uue mitmeaastase finantsraamistiku kohta, mis peaks valmima 2025. aasta kolmandas kvartalis.</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rõhutab, et sotsiaalne kaasamine on vajalik ja seda tuleb veelgi tugevdada;</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 xml:space="preserve">soovitab kaasata toetusesaajad tulemuslikumalt </w:t>
      </w:r>
      <w:proofErr w:type="spellStart"/>
      <w:r>
        <w:t>ERFi</w:t>
      </w:r>
      <w:proofErr w:type="spellEnd"/>
      <w:r>
        <w:t xml:space="preserve"> kavandamisse, sest neil on põhjalikud teadmised praegustest probleemidest ja sellest, millised prioriteedid tuleks seada. Selliseid programme on raske kavandada ilma kõigi sidusrühmade aktiivse osaluseta;</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leiab, et tõhusaks rakendamiseks on väga oluline, et programmide suhtes tunnetatakse omavastutust. Samuti on oluline, et valitsusvälistele organisatsioonidele eraldatakse piisavalt vahendeid ELi vahendite kasutamise jälgimiseks ja järelevalveks.</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on arvamusel, et taotlus- ja rakendamisprotsesside lihtsustamine on väga oluline, et hõlbustada osalemist ning koostööd;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t>leiab, et edendada tuleks ELi fondide vastastikust täiendavust, kuna see parandaks tõhusust ja tulemuslikkust;</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soovitab laiendada ja kasutada igat liiki ja uut tüüpi osalemiskanaleid, et kõik saaksid osaleda kõigis etappides, mitte ainult teatud juhtudel;</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leiab, et sotsiaalpartnerite institutsioonilise suutlikkuse tugevdamine on äärmiselt oluline, et ületada praegune usaldamatus;</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paneb ette, et paindlikku haldamist tuleks pidada mis tahes ühtekuuluvuspoliitika üheks peamiseks eesmärgiks;</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leiab, et rohkem tuleks teha piirialade heaks, mis on viimastel aastatel kogenud märkimisväärseid raskusi. </w:t>
      </w:r>
    </w:p>
    <w:p w:rsidRPr="008C3EEA"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EE64B2" w:rsidR="00EE64B2" w:rsidTr="002831E6" w14:paraId="6031149C" w14:textId="77777777">
        <w:tc>
          <w:tcPr>
            <w:tcW w:w="1418"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Kontaktisik</w:t>
            </w:r>
          </w:p>
        </w:tc>
        <w:tc>
          <w:tcPr>
            <w:tcW w:w="7904"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EE64B2" w:rsidR="00EE64B2" w:rsidTr="002831E6" w14:paraId="0C3693FF" w14:textId="77777777">
        <w:tc>
          <w:tcPr>
            <w:tcW w:w="1418"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Pr>
                <w:i/>
              </w:rPr>
              <w:t>Tel</w:t>
            </w:r>
          </w:p>
        </w:tc>
        <w:tc>
          <w:tcPr>
            <w:tcW w:w="7904"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+32 2 5469795</w:t>
            </w:r>
          </w:p>
        </w:tc>
      </w:tr>
      <w:tr w:rsidRPr="00EE64B2" w:rsidR="00EE64B2" w:rsidTr="002831E6" w14:paraId="502B18D8" w14:textId="77777777">
        <w:tc>
          <w:tcPr>
            <w:tcW w:w="1418"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E-post</w:t>
            </w:r>
          </w:p>
        </w:tc>
        <w:tc>
          <w:tcPr>
            <w:tcW w:w="7904" w:type="dxa"/>
          </w:tcPr>
          <w:p w:rsidRPr="00EE64B2" w:rsidR="00EE64B2" w:rsidP="00EE64B2" w:rsidRDefault="00014567" w14:paraId="198CF8A2" w14:textId="77777777">
            <w:pPr>
              <w:overflowPunct w:val="0"/>
              <w:autoSpaceDE w:val="0"/>
              <w:autoSpaceDN w:val="0"/>
              <w:adjustRightInd w:val="0"/>
              <w:spacing w:line="240" w:lineRule="auto"/>
              <w:textAlignment w:val="baseline"/>
              <w:rPr>
                <w:i/>
              </w:rPr>
            </w:pPr>
            <w:hyperlink w:history="1" r:id="rId21">
              <w:r w:rsidR="006E5368">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61614" w:id="2"/>
      <w:r>
        <w:rPr>
          <w:b/>
        </w:rPr>
        <w:t>TÖÖHÕIVE, SOTSIAALKÜSIMUSTE JA KODAKONDSUSE SEKTSIOON</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"https://www.eesc.europa.eu/et/our-work/opinions-information-reports/opinions/crises-and-crisis-phenomena-modern-europe-and-civil-society"</w:instrText>
      </w:r>
      <w:r w:rsidRPr="00DC0AB9">
        <w:rPr>
          <w:b/>
          <w:i/>
          <w:sz w:val="28"/>
        </w:rPr>
        <w:fldChar w:fldCharType="separate"/>
      </w:r>
      <w:r>
        <w:rPr>
          <w:b/>
          <w:i/>
          <w:color w:val="0000FF"/>
          <w:sz w:val="28"/>
          <w:u w:val="single"/>
        </w:rPr>
        <w:t>Kriisid ja kriisinähtused tänapäeva Euroopas ning kodanikuühiskond</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Pr>
                <w:b/>
              </w:rPr>
              <w:t>Raportöör</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pPr>
            <w:proofErr w:type="spellStart"/>
            <w:r>
              <w:t>Ariane</w:t>
            </w:r>
            <w:proofErr w:type="spellEnd"/>
            <w:r>
              <w:t xml:space="preserve"> RODERT (kodanikuühiskonna organisatsioonide rühm – SE)</w:t>
            </w:r>
          </w:p>
          <w:p w:rsidRPr="00DC0AB9" w:rsidR="00045321" w:rsidP="00DC0AB9" w:rsidRDefault="00045321" w14:paraId="3D5E4324" w14:textId="77777777">
            <w:pPr>
              <w:tabs>
                <w:tab w:val="left" w:pos="4572"/>
              </w:tabs>
              <w:overflowPunct w:val="0"/>
              <w:autoSpaceDE w:val="0"/>
              <w:autoSpaceDN w:val="0"/>
              <w:adjustRightInd w:val="0"/>
              <w:ind w:left="-113" w:right="-823"/>
              <w:textAlignment w:val="baseline"/>
              <w:rPr>
                <w:lang w:val="en-GB"/>
              </w:rPr>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Pr>
                <w:b/>
              </w:rPr>
              <w:t>Viitedokumendid</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ettevalmistav arvamus ELi eesistujariigi Poola taotlusel</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Põhipunktid</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Euroopa Majandus- ja Sotsiaalkomitee:</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tunneb heameelt selle üle, et Euroopa Liit keskendub tsiviilvalmidusele ja kriisiohjele, ning tunnustab ELi eesistujariigi Poola taotlust komiteele koostada ettevalmistav arvamus kodanikuühiskonna organisatsioonide rolli ja kogemuste kohta selles kontekstis;</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 xml:space="preserve">on valmis esitama </w:t>
      </w:r>
      <w:proofErr w:type="spellStart"/>
      <w:r>
        <w:t>järelarvamuste</w:t>
      </w:r>
      <w:proofErr w:type="spellEnd"/>
      <w:r>
        <w:t xml:space="preserve"> kaudu kodanikuühiskonna vaatenurga järgmiste sammude kohta;</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rõhutab vajadust muuta mõtteviisi, et edendada valmisolekukultuuri kogu ühiskonnas ja kõigis põlvkondades;</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toonitab, et valmisolekualgatuste eesmärk peab olema õiglase ja püsiva rahu säilitamine. Selleks on vaja tegeleda konfliktide algpõhjustega ning edendada väärikust, võrdseid võimalusi ja sotsiaalset progressi soodustavaid tingimusi;</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märgib, et tsiviilvalmidus on vastupanuvõime seisukohast hädavajalik, kuid rõhutab, et EL ja liikmesriigid vastutavad jätkuvalt kodanike kaitse eest;</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tunnistab kodanikuühiskonna erinevaid rolle eri liikmesriikides ning kutsub üles kujundama kodanikuühiskonna ja ametiasutuste vahel liikmesriigi tasandil ühist arusaama iga sidusrühma vastavast rollist ja vastutusest;</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toonitab, et kodanikuühiskonna panus valmisolekusse on mitmekülgne ja hõlmab muu hulgas usalduse ja sotsiaalse ühtekuuluvuse suurendamist, kodanikuaktiivsuse edendamist, teadlikkuse suurendamist, riskide tuvastamist, haavatavate elanikkonnarühmadeni jõudmist, vabatahtlike kaasamist, humanitaarabi andmist ning põhiõiguste ja -vabaduste kaitsmist;</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kutsub Euroopa Komisjoni ja liikmesriike tungivalt üles looma vajalikud tingimused selleks, et kodanikuühiskond saaks tsiviilvalmiduse arendamisel osaleda, panustada ja olla kaasatud teiste sidusrühmadega võrdsetel alustel;</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nõuab ennetavaid investeeringuid kodanikuühiskonda rahu ajal, et tagada vastupanuvõime ja kriisidele reageerimise suutlikkus keerulisemates oludes;</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tunneb muret kodanikuühiskonna tegutsemisruumi ahenemise ja demokraatiat ähvardavate ohtude pärast ning nõuab sellega seoses terviklikku strateegiat ja tegevuskava;</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rõhutab vajadust läbipaistva avaliku rahastamise järele kodanikuühiskonna valmisoleku tagamiseks, sealhulgas suutlikkuse suurendamiseks ja kriistoetuse võimaldamiseks;</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soovitab vähendada piiriülese koostöö takistusi, et tõhustada kriisidele reageerimist ja abi andmist.</w:t>
      </w:r>
    </w:p>
    <w:p w:rsidRPr="008C3EEA"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Kontaktisik</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 xml:space="preserve">Jean-Marie </w:t>
            </w:r>
            <w:proofErr w:type="spellStart"/>
            <w:r>
              <w:rPr>
                <w:i/>
              </w:rPr>
              <w:t>Rogue</w:t>
            </w:r>
            <w:proofErr w:type="spellEnd"/>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Pr>
                <w:i/>
              </w:rPr>
              <w:t>Tel</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+32 25468909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Pr>
                <w:i/>
              </w:rPr>
              <w:t>E-post</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rPr>
            </w:pPr>
            <w:r>
              <w:rPr>
                <w:i/>
                <w:color w:val="0000FF"/>
                <w:u w:val="single"/>
              </w:rPr>
              <w:t>JeanMarie.Rogue@eesc.europa.eu</w:t>
            </w:r>
          </w:p>
        </w:tc>
      </w:tr>
    </w:tbl>
    <w:p w:rsidR="000873F2" w:rsidRDefault="000873F2" w14:paraId="1A4057DD" w14:textId="77777777">
      <w:pPr>
        <w:spacing w:after="160" w:line="259" w:lineRule="auto"/>
        <w:jc w:val="left"/>
      </w:pPr>
      <w:r>
        <w:br w:type="page"/>
      </w:r>
    </w:p>
    <w:p w:rsidR="00DC0AB9" w:rsidRDefault="00DC0AB9" w14:paraId="209D8EF1" w14:textId="1C857A73">
      <w:pPr>
        <w:spacing w:after="160" w:line="259" w:lineRule="auto"/>
        <w:jc w:val="left"/>
      </w:pPr>
    </w:p>
    <w:p w:rsidRPr="00715DF2" w:rsidR="00A0127B" w:rsidP="002A694B" w:rsidRDefault="00014567"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2">
        <w:r w:rsidR="006E5368">
          <w:rPr>
            <w:b/>
            <w:i/>
            <w:color w:val="0000FF"/>
            <w:sz w:val="28"/>
            <w:u w:val="single"/>
          </w:rPr>
          <w:t xml:space="preserve">Varjupaiga-, Rände- ja Integratsioonifondi 2014.–2020. aasta programmitöö perioodi </w:t>
        </w:r>
        <w:proofErr w:type="spellStart"/>
        <w:r w:rsidR="006E5368">
          <w:rPr>
            <w:b/>
            <w:i/>
            <w:color w:val="0000FF"/>
            <w:sz w:val="28"/>
            <w:u w:val="single"/>
          </w:rPr>
          <w:t>järelhindamine</w:t>
        </w:r>
        <w:proofErr w:type="spellEnd"/>
      </w:hyperlink>
    </w:p>
    <w:p w:rsidRPr="008C3EEA" w:rsidR="00A0127B" w:rsidP="00A0127B" w:rsidRDefault="00A0127B" w14:paraId="5A28244E" w14:textId="77777777">
      <w:pPr>
        <w:tabs>
          <w:tab w:val="center" w:pos="284"/>
        </w:tabs>
        <w:overflowPunct w:val="0"/>
        <w:autoSpaceDE w:val="0"/>
        <w:autoSpaceDN w:val="0"/>
        <w:adjustRightInd w:val="0"/>
        <w:ind w:left="266" w:hanging="266"/>
        <w:textAlignment w:val="baseline"/>
        <w:rPr>
          <w: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pPr>
            <w:proofErr w:type="spellStart"/>
            <w:r>
              <w:t>Nicoletta</w:t>
            </w:r>
            <w:proofErr w:type="spellEnd"/>
            <w:r>
              <w:t xml:space="preserve"> MERLO (töötajate rühm – 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pPr>
            <w:r>
              <w:t>hindamisaruanne Euroopa Komisjoni taotlusel</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pPr>
            <w:r>
              <w:t>EESC-2024-01881-00-00-RE</w:t>
            </w:r>
          </w:p>
        </w:tc>
      </w:tr>
    </w:tbl>
    <w:p w:rsidRPr="008C3EEA"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lang w:val="fi-FI"/>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8C3EEA" w:rsidR="00A0127B" w:rsidP="00A0127B" w:rsidRDefault="00A0127B" w14:paraId="1D8B8213" w14:textId="77777777">
      <w:pPr>
        <w:overflowPunct w:val="0"/>
        <w:autoSpaceDE w:val="0"/>
        <w:autoSpaceDN w:val="0"/>
        <w:adjustRightInd w:val="0"/>
        <w:textAlignment w:val="baseline"/>
        <w:rPr>
          <w:b/>
          <w:lang w:val="fi-FI"/>
        </w:rPr>
      </w:pPr>
    </w:p>
    <w:p w:rsidR="00A0127B" w:rsidP="00A0127B" w:rsidRDefault="00A0127B" w14:paraId="0C09E75A" w14:textId="77777777">
      <w:pPr>
        <w:overflowPunct w:val="0"/>
        <w:autoSpaceDE w:val="0"/>
        <w:autoSpaceDN w:val="0"/>
        <w:adjustRightInd w:val="0"/>
        <w:textAlignment w:val="baseline"/>
        <w:rPr>
          <w:bCs/>
          <w:iCs/>
        </w:rPr>
      </w:pPr>
      <w:r>
        <w:t>Euroopa Majandus- ja Sotsiaalkomitee:</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tunnistab, et Varjupaiga-, Rände- ja Integratsioonifond on olnud </w:t>
      </w:r>
      <w:r>
        <w:rPr>
          <w:b/>
        </w:rPr>
        <w:t>oluline</w:t>
      </w:r>
      <w:r>
        <w:t xml:space="preserve"> liikmesriikide vajadustele reageerimisel varjupaiga, rände ja integratsiooni valdkonnas. </w:t>
      </w:r>
      <w:r>
        <w:rPr>
          <w:b/>
        </w:rPr>
        <w:t>Halduskoormus võib aga kahjustada projektide tulemuslikkust</w:t>
      </w:r>
      <w:r>
        <w:t>, sest töötajad on sunnitud kulutama rohkem aega paberimajandusele kui kohapealsele tegevusele;</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 xml:space="preserve">soovitab Varjupaiga-, Rände- ja Integratsioonifondi </w:t>
      </w:r>
      <w:r>
        <w:rPr>
          <w:b/>
        </w:rPr>
        <w:t>kavandamist ja rakendamist veelgi täiustada</w:t>
      </w:r>
      <w:r>
        <w:t>, et võtta arvesse</w:t>
      </w:r>
      <w:r>
        <w:rPr>
          <w:b/>
        </w:rPr>
        <w:t xml:space="preserve"> kõigi ELi riikide konkreetseid probleeme ja vajadusi</w:t>
      </w:r>
      <w:r>
        <w:t xml:space="preserve"> (olenevalt sellest, kas tegemist on esmase saabumise, transiidi- või sihtriigiga) ning nende struktuure ja suutlikkust;</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soovitab </w:t>
      </w:r>
      <w:r>
        <w:rPr>
          <w:b/>
        </w:rPr>
        <w:t>eel- ja vahehindamise etapis</w:t>
      </w:r>
      <w:r>
        <w:t xml:space="preserve"> koguda komitee, sotsiaalpartnerite, kodanikuühiskonna organisatsioonide ja muude projektides osalevate sidusrühmade arvamusi ning kaasata need tulevase programmi kavandamisse ja rakendamisse, et muuta see tõhusamaks;</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rõhutab, et on vaja </w:t>
      </w:r>
      <w:r>
        <w:rPr>
          <w:b/>
        </w:rPr>
        <w:t>suuremat paindlikkust meetmete rakendamisel</w:t>
      </w:r>
      <w:r>
        <w:t xml:space="preserve">, et käsitleda kohalikke ja individuaalseid prioriteete ja vajadusi õigel ajal, eriti väga haavatavate isikute puhul;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märgib, et projekti algatajad peavad saama r</w:t>
      </w:r>
      <w:r>
        <w:rPr>
          <w:b/>
        </w:rPr>
        <w:t>ahastuse kohta kinnituse mõistliku etteteatamisega ning rahalised vahendid peavad olema piisavad</w:t>
      </w:r>
      <w:r>
        <w:t xml:space="preserve">, et katta kogu projektide kestus, ja saabuma </w:t>
      </w:r>
      <w:r>
        <w:rPr>
          <w:b/>
        </w:rPr>
        <w:t>õigel ajal</w:t>
      </w:r>
      <w:r>
        <w: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 xml:space="preserve">toonitab, et </w:t>
      </w:r>
      <w:r>
        <w:rPr>
          <w:b/>
        </w:rPr>
        <w:t>bürokraatiat ja haldusnõudeid</w:t>
      </w:r>
      <w:r>
        <w:t xml:space="preserve"> tuleb</w:t>
      </w:r>
      <w:r>
        <w:rPr>
          <w:b/>
        </w:rPr>
        <w:t xml:space="preserve"> kergendada ja lihtsustada</w:t>
      </w:r>
      <w:r>
        <w:t xml:space="preserve"> ning halduskoormust vähendada;</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t xml:space="preserve">märgib, et fond on loonud </w:t>
      </w:r>
      <w:r>
        <w:rPr>
          <w:b/>
        </w:rPr>
        <w:t>suurepärased võimalused tugevamate sidemete ja võrgustike loomiseks sidusrühmade vahel</w:t>
      </w:r>
      <w:r>
        <w:t>. Parandada tuleks teabevahetust ja koostööd projektiarendajate ja vastutavate riigiasutuste vahel;</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rõhutab, et kõigis liikmesriikides tuleks moodustada Varjupaiga-, Rände- ja Integratsioonifondi </w:t>
      </w:r>
      <w:r>
        <w:rPr>
          <w:b/>
        </w:rPr>
        <w:t>seire- või järelevalvekomiteed</w:t>
      </w:r>
      <w:r>
        <w:t xml:space="preserve"> ning selles valdkonnas osalevad kodanikuühiskonna organisatsioonid ja sotsiaalpartnerid peavad olema </w:t>
      </w:r>
      <w:r>
        <w:rPr>
          <w:b/>
        </w:rPr>
        <w:t>nende komiteede täieõiguslikud liikmed</w:t>
      </w:r>
      <w:r>
        <w:t>.</w:t>
      </w:r>
    </w:p>
    <w:p w:rsidRPr="008C3EEA"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Kontaktisik</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r>
              <w:rPr>
                <w:i/>
              </w:rPr>
              <w:t>Triin Aasmaa Gomes</w:t>
            </w:r>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rPr>
            </w:pPr>
            <w:r>
              <w:rPr>
                <w:i/>
              </w:rPr>
              <w:t>Tel</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+32 25469524</w:t>
            </w:r>
          </w:p>
        </w:tc>
      </w:tr>
      <w:tr w:rsidRPr="00A0127B" w:rsidR="00A0127B" w:rsidTr="002831E6" w14:paraId="29CB3F89" w14:textId="77777777">
        <w:tc>
          <w:tcPr>
            <w:tcW w:w="1418" w:type="dxa"/>
          </w:tcPr>
          <w:p w:rsidRPr="00A0127B" w:rsidR="00A0127B" w:rsidP="00A0127B" w:rsidRDefault="00683410" w14:paraId="0794E053" w14:textId="53D6027A">
            <w:pPr>
              <w:overflowPunct w:val="0"/>
              <w:autoSpaceDE w:val="0"/>
              <w:autoSpaceDN w:val="0"/>
              <w:adjustRightInd w:val="0"/>
              <w:spacing w:line="240" w:lineRule="auto"/>
              <w:textAlignment w:val="baseline"/>
              <w:rPr>
                <w:i/>
              </w:rPr>
            </w:pPr>
            <w:r>
              <w:rPr>
                <w:i/>
              </w:rPr>
              <w:t>E-post</w:t>
            </w:r>
          </w:p>
        </w:tc>
        <w:tc>
          <w:tcPr>
            <w:tcW w:w="7904" w:type="dxa"/>
          </w:tcPr>
          <w:p w:rsidRPr="00A0127B" w:rsidR="00A0127B" w:rsidP="00A0127B" w:rsidRDefault="00014567" w14:paraId="756E76AA" w14:textId="77777777">
            <w:pPr>
              <w:overflowPunct w:val="0"/>
              <w:autoSpaceDE w:val="0"/>
              <w:autoSpaceDN w:val="0"/>
              <w:adjustRightInd w:val="0"/>
              <w:spacing w:line="240" w:lineRule="auto"/>
              <w:textAlignment w:val="baseline"/>
            </w:pPr>
            <w:hyperlink w:history="1" r:id="rId23">
              <w:r w:rsidR="006E5368">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014567"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4">
        <w:r w:rsidR="006E5368">
          <w:rPr>
            <w:b/>
            <w:i/>
            <w:color w:val="0000FF"/>
            <w:sz w:val="28"/>
            <w:u w:val="single"/>
          </w:rPr>
          <w:t>Töötervishoid ja tööohutus – praegused ja tulevased väljakutsed seoses traditsiooniliste ja uute tehnoloogiatega, keskendudes tehisintellektile</w:t>
        </w:r>
      </w:hyperlink>
    </w:p>
    <w:p w:rsidRPr="008C3EEA"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616"/>
      </w:tblGrid>
      <w:tr w:rsidRPr="0027426D"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Pr>
                <w:b/>
              </w:rPr>
              <w:t>Raportöör</w:t>
            </w:r>
          </w:p>
        </w:tc>
        <w:tc>
          <w:tcPr>
            <w:tcW w:w="4209" w:type="pct"/>
          </w:tcPr>
          <w:p w:rsidR="0027426D" w:rsidP="0027426D" w:rsidRDefault="0027426D" w14:paraId="2A390BED" w14:textId="149D17E8">
            <w:pPr>
              <w:tabs>
                <w:tab w:val="center" w:pos="284"/>
              </w:tabs>
              <w:overflowPunct w:val="0"/>
              <w:autoSpaceDE w:val="0"/>
              <w:autoSpaceDN w:val="0"/>
              <w:adjustRightInd w:val="0"/>
              <w:ind w:left="266" w:hanging="266"/>
              <w:textAlignment w:val="baseline"/>
            </w:pPr>
            <w:r>
              <w:t xml:space="preserve">Carlos </w:t>
            </w:r>
            <w:proofErr w:type="spellStart"/>
            <w:r>
              <w:t>Manuel</w:t>
            </w:r>
            <w:proofErr w:type="spellEnd"/>
            <w:r>
              <w:t xml:space="preserve"> TRINDADE (töötajate rühm – PT)</w:t>
            </w:r>
          </w:p>
          <w:p w:rsidRPr="0027426D" w:rsidR="00683410" w:rsidP="0027426D" w:rsidRDefault="00683410" w14:paraId="0372EBCB" w14:textId="75B3D2BA">
            <w:pPr>
              <w:tabs>
                <w:tab w:val="center" w:pos="284"/>
              </w:tabs>
              <w:overflowPunct w:val="0"/>
              <w:autoSpaceDE w:val="0"/>
              <w:autoSpaceDN w:val="0"/>
              <w:adjustRightInd w:val="0"/>
              <w:ind w:left="266" w:hanging="266"/>
              <w:textAlignment w:val="baseline"/>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Pr>
                <w:b/>
              </w:rPr>
              <w:t>Viitedokumendid</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t>ettevalmistav arvamus ELi eesistujariigi Poola taotlusel</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Põhipunktid</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rPr>
      </w:pPr>
      <w:r>
        <w:t>Euroopa Majandus- ja Sotsiaalkomitee:</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tuletab meelde, et raamdirektiiviga 89/391/EMÜ on oluliselt parandatud töötajate ohutust ja tervist ELi liikmesriikides. Siiski on vaja teha rohkem jõupingutusi, et raamdirektiivi sätteid kohaldada täielikult ja tõhusalt. 2023. aastal toimunud töötervishoiu ja tööohutuse kokkuvõtval tippkohtumisel rõhutati vajadust tugevdada jõustamist;</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tunnistab tehisintellekti ja robootika potentsiaali luua ohutumaid ja tervislikumaid töökohti. ELi töötervishoiu ja tööohutuse strateegilist raamistikku tuleb rakendada tõenduspõhise poliitika ja kolmepoolse koostöö abil. Digiüleminekuga seotud riskide vältimiseks on vaja tõhusat reguleerimist;</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rPr>
      </w:pPr>
      <w:r>
        <w:t>märgib, et kuna inimese ja masina vaheline suhtlus, tehisintellektipõhine otsustusprotsess ja kaugtöö aina kasvab, muutub töö pidevalt. COVID-19 pandeemia kiirendas digiüleminekut, sest see kahekordistas kaugtöö levikut. Need muutused nõuavad, et töötajate kaitse eesmärgil ajakohastataks tööohutuse ja töötervishoiu poliitikat;</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 xml:space="preserve">rõhutab, et digitehnoloogia võib vähendada või luua uusi riske töökohal, mistõttu on vaja regulatiivset valvsust. Tekkivate riskide tõhusaks maandamiseks on vaja õiguslikke ja läbirääkimismeetmeid. Töötajate ohutuse tagamiseks </w:t>
      </w:r>
      <w:proofErr w:type="spellStart"/>
      <w:r>
        <w:t>digiteeritud</w:t>
      </w:r>
      <w:proofErr w:type="spellEnd"/>
      <w:r>
        <w:t xml:space="preserve"> töökeskkonnas on oluline ennetav lähenemisviis;</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hoiatab ELi mahajäämuse eest digipöördes, eelkõige tehisintellekti ja digiinnovatsiooni vallas, mis mõjutab ELi konkurentsivõimet. Digipööre annab võimaluse parandada tootlikkust, säilitades samal ajal sotsiaalse ühtekuuluvuse. Digilõhe kaotamiseks peab Euroopa kiirendama jõupingutusi tehnoloogia arendamisel;</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rPr>
      </w:pPr>
      <w:r>
        <w:t>rõhutab vajadust arendada digioskusi, et tagada töötajate asjakohasus tööturul ja säilitada sõltumatus. Tehisintellektipõhiste tööhaldussüsteemide tõttu on kvalifikatsiooni kadumise oht. Poliitika keskmes peaks olema elukestev õpe ja digiüleminekule kohandatud koolitus;</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nõuab tugevat tehisintellekti reguleerimist ja töötajate õigusi, et tagada inimesepoolne kontroll tehisintellektipõhiste tööhaldussüsteemide üle. Töötajatel, eriti e-platvormide töötajatel, peaks olema konsulteerimisõigus seoses tehisintellekti kasutuselevõtuga. Läbipaistev poliitika on vajalik, et vältida tehisintellektirakendustes eelarvamusi ja diskrimineerimist;</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rõhutab töötervishoiu- ja tööohutusalase koolituse ja kirjaoskuse tähtsust, eriti uute tehnoloogiate kasutuselevõtmisel. Paljudel töötajatel puudub elementaarne kirjaoskus ja probleemilahendusoskus, mis mõjutab nende võimet mõista ohutusjuhiseid. Nende puudujääkidega tegelemine on tööohutuse seisukohalt väga oluline;</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rPr>
      </w:pPr>
      <w:r>
        <w:t>juhib tähelepanu tehisintellektiga seotud eetilistele ja õiguslikele probleemidele, sest tehisintellekt võib põlistada soo, rassi, vanuse ja puudega seotud eelarvamusi, mis kujutavad endast töötervishoiu ja tööohutuse riski. ELi õigusraamistik sisaldab 116 õigusakti, milles käsitletakse tehisintellekti mõju töökohale. Turvaliste ja õiglaste töötingimuste tagamine eeldab töötajate tugevat kaasamist tehisintellekti rakendamisse;</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tõstatab mure töökohal toimuva jälgimise ja andmekaitse üle ning hoiatab sekkuva elektroonilise jälgimise eest. Samas tuleb tunnistada selle kasulikkust ohutuse seisukohalt. EL peaks jälgima kehtivate eeskirjade tõhusust ja võtma vajaduse korral lisameetmeid. Prioriteediks tuleb seada tehisintellekti otsuste tegemise läbipaistvus ja andmeturve;</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 xml:space="preserve">julgustab sotsiaalpartnereid võtma aktiivse rolli tehisintellekti reguleerimisel töökohal kollektiivlepingute kaudu. Arvestades selliste kokkulepete piiratud arvu, nõuab komitee tungivalt tugevamat sotsiaalset dialoogi, et tagada </w:t>
      </w:r>
      <w:proofErr w:type="spellStart"/>
      <w:r>
        <w:t>inimkeskne</w:t>
      </w:r>
      <w:proofErr w:type="spellEnd"/>
      <w:r>
        <w:t xml:space="preserve"> lähenemisviis tehisintellektile. Samuti kutsub komitee Euroopa Komisjoni üles andma sotsiaalpartneritele vajalikud vahendid, sh suutlikkuse suurendamine ja teadmised olemasoleva õigusraamistiku kohta, et tõhusalt lahendada digiülemineku probleeme.</w:t>
      </w:r>
    </w:p>
    <w:p w:rsidRPr="008C3EEA"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Kontaktisik</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Pr>
                <w:i/>
              </w:rPr>
              <w:t>Tel</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+32 25469426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E-post</w:t>
            </w:r>
          </w:p>
        </w:tc>
        <w:tc>
          <w:tcPr>
            <w:tcW w:w="4178" w:type="pct"/>
          </w:tcPr>
          <w:p w:rsidRPr="0027426D" w:rsidR="0027426D" w:rsidP="0027426D" w:rsidRDefault="00014567" w14:paraId="340D50AA" w14:textId="77777777">
            <w:pPr>
              <w:overflowPunct w:val="0"/>
              <w:autoSpaceDE w:val="0"/>
              <w:autoSpaceDN w:val="0"/>
              <w:adjustRightInd w:val="0"/>
              <w:spacing w:line="240" w:lineRule="auto"/>
              <w:textAlignment w:val="baseline"/>
              <w:rPr>
                <w:i/>
              </w:rPr>
            </w:pPr>
            <w:hyperlink w:history="1" r:id="rId25">
              <w:r w:rsidR="006E5368">
                <w:rPr>
                  <w:i/>
                  <w:color w:val="0000FF"/>
                  <w:u w:val="single"/>
                </w:rPr>
                <w:t>Alessia.Cova@eesc.europa.eu</w:t>
              </w:r>
            </w:hyperlink>
          </w:p>
        </w:tc>
      </w:tr>
    </w:tbl>
    <w:p w:rsidRPr="008C3EEA"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014567" w14:paraId="1FF33D24" w14:textId="3501BA63">
      <w:pPr>
        <w:widowControl w:val="0"/>
        <w:numPr>
          <w:ilvl w:val="0"/>
          <w:numId w:val="4"/>
        </w:numPr>
        <w:overflowPunct w:val="0"/>
        <w:autoSpaceDE w:val="0"/>
        <w:autoSpaceDN w:val="0"/>
        <w:adjustRightInd w:val="0"/>
        <w:ind w:hanging="567"/>
        <w:textAlignment w:val="baseline"/>
        <w:rPr>
          <w:sz w:val="24"/>
          <w:szCs w:val="24"/>
        </w:rPr>
      </w:pPr>
      <w:hyperlink w:history="1" r:id="rId26">
        <w:r w:rsidR="006E5368">
          <w:rPr>
            <w:b/>
            <w:i/>
            <w:color w:val="0000FF"/>
            <w:sz w:val="28"/>
            <w:u w:val="single"/>
          </w:rPr>
          <w:t>Tööaeg ning majanduse tõhusus ja töötajate heaolu (muu hulgas digitaalsete muutuste ja töö automatiseerimise kontekstis): ELi liikmesriikides valitseva olukorra õiguslik ja võrdlev analüüs</w:t>
        </w:r>
      </w:hyperlink>
    </w:p>
    <w:p w:rsidRPr="008C3EEA"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rPr>
            </w:pPr>
            <w:r>
              <w:rPr>
                <w:b/>
              </w:rPr>
              <w:t>Raportöör</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pPr>
            <w:proofErr w:type="spellStart"/>
            <w:r>
              <w:t>María</w:t>
            </w:r>
            <w:proofErr w:type="spellEnd"/>
            <w:r>
              <w:t xml:space="preserve"> </w:t>
            </w:r>
            <w:proofErr w:type="spellStart"/>
            <w:r>
              <w:t>del</w:t>
            </w:r>
            <w:proofErr w:type="spellEnd"/>
            <w:r>
              <w:t xml:space="preserve"> Carmen BARRERA CHAMORRO (töötajate rühm – ES)</w:t>
            </w:r>
          </w:p>
        </w:tc>
      </w:tr>
      <w:tr w:rsidRPr="0027426D" w:rsidR="0027426D" w:rsidTr="002831E6" w14:paraId="13AF5F7D" w14:textId="77777777">
        <w:tc>
          <w:tcPr>
            <w:tcW w:w="1701" w:type="dxa"/>
          </w:tcPr>
          <w:p w:rsidRPr="008C3EEA"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s-ES"/>
              </w:rPr>
            </w:pPr>
          </w:p>
        </w:tc>
        <w:tc>
          <w:tcPr>
            <w:tcW w:w="6771" w:type="dxa"/>
          </w:tcPr>
          <w:p w:rsidRPr="008C3EEA"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s-ES"/>
              </w:rPr>
            </w:pPr>
          </w:p>
        </w:tc>
      </w:tr>
      <w:tr w:rsidRPr="0027426D" w:rsidR="0027426D" w:rsidTr="002831E6" w14:paraId="6FF5F54C" w14:textId="77777777">
        <w:tc>
          <w:tcPr>
            <w:tcW w:w="8472" w:type="dxa"/>
            <w:gridSpan w:val="2"/>
          </w:tcPr>
          <w:p w:rsidRPr="008C3EEA"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s-ES"/>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rPr>
            </w:pPr>
            <w:r>
              <w:rPr>
                <w:b/>
              </w:rPr>
              <w:t xml:space="preserve">Viitedokument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t>ettevalmistav arvamus ELi eesistujariigi Poola taotlusel</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pPr>
            <w: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Põhipunktid</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Euroopa Majandus- ja Sotsiaalkomitee:</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 xml:space="preserve">määratleb tööaja lühendamist järgmiselt: vähem töötunde võrdlusperioodi kohta sama palgataseme juures. See võimaldab selgelt eristada lühendatud tööpäevi osalise tööaja vormis ja töönädala </w:t>
      </w:r>
      <w:proofErr w:type="spellStart"/>
      <w:r>
        <w:t>kokkusurumist</w:t>
      </w:r>
      <w:proofErr w:type="spellEnd"/>
      <w:r>
        <w:t xml:space="preserve"> (st sama arvu töötunde vähemate päevade jooksul, näiteks 4 päeva, 10 tundi päevas);</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leiab, et tööaeg on üks töö aspekte, millel on kõige suurem mõju inimeste elukvaliteedile ja mis on ülimalt oluline ettevõtete majandustegevuse tõhusa korraldamise seisukohast;</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märgib, et kuigi Euroopa keskmine töönädal on 37,1 tundi, on selles valdkonnas suured erinevused riikide ja tegevusvaldkondade vahel. Katseprojektidel põhinevad olemasolevad teaduslikud tõendid näitavad, et lühema töönädala ja tootlikkuse vahel võib olla positiivne seos – mida lühem on keskmine töönädal, seda suurem on tootlikkus. Sellega seoses tuleks täiendavalt uurida sektoripõhiseid eksperimente ning katseprojekte töönädala lühendamise ja tootlikkuse vahelise seose kohta;</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leiab, et sotsiaalpartnerid on peamised osalejad selliste meetmete edendamisel, millega tagada võimalikult paljudes sektorites ja ettevõtetes sellise töökorralduse kasutuselevõtt, mida seal asjakohaseks peetakse. Ent mitte kõigis riikides ega kõigis sektorites ei ole sotsiaalpartneritel samaväärne suutlikkus selliste kokkulepete sõlmimiseks. ELi institutsioone ja liikmesriike tuleks julgustada looma stiimulite või õigusaktide näol soodsaid tingimusi sektoritele ja/või ettevõtetele, kes soovivad sarnaseid töökorralduse tavasid katsetada või kasutusele võtta;</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julgustab võtma kasutusele paindlikke tööaja korralduse vorme, et võtta arvesse erinevate haavatavate rühmade olukorda. Tuleb tagada inimväärne töö;</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leiab, et sotsiaalpartneritel on kõigil tasanditel oluline roll paindliku töökorralduse arutamisel, sealhulgas seoses tööaja vähendamisega. Sotsiaalpartnereid tuleb aktiivselt julgustada ja toetada kõigi vajalike vahendite abil, et suurendada lühemast ja/või paindlikumast tööajast tulenevat kasu tervisele, töö- ja eraelu tasakaalule ning tootlikkusele;</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soovitab edendada sotsiaalpartnerite vahel kokkulepitud töö paindliku korralduse uusi mudeleid, sealhulgas neljapäevase töönädala kasutuselevõttu ja/või tööaja lühendamist, et toetada töö- ja eraelu tasakaalustamist. Paindliku tööaja korraldusega saavutatakse tasakaal tööandjate huvi vahel suurendada tootlikkust ja töötajate huvi vahel parandada oma töö- ja eraelu tasakaalu, kuna töötajad tunnevad, et nad saavad mõjutada tööaja korraldust;</w:t>
      </w:r>
    </w:p>
    <w:p w:rsidRPr="00865E9F" w:rsidR="0027426D" w:rsidP="00865E9F" w:rsidRDefault="0027426D" w14:paraId="0E2E7EE6"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rõhutab lühendatud tööaja positiivset mõju ühiskonnale. Muu hulgas aitab see kaasa demograafilisele uuendamisele, soolisele võrdõiguslikkusele, koormab vähem tervishoiusüsteemi ja hoiab potentsiaalselt töötajaid kauem töömaailmas ning loob seega loovust ja innovatsiooni soodustava positiivse keskkonna. Soodne sotsiaalne keskkond ei too kasu mitte ainult riigile, vaid ka ettevõtetele ja töötajatele;</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 xml:space="preserve">kutsub ELi institutsioone, riikide valitsusi ja sotsiaalpartnereid üles kiirendama digitaalse </w:t>
      </w:r>
      <w:proofErr w:type="spellStart"/>
      <w:r>
        <w:t>lahtiühendamise</w:t>
      </w:r>
      <w:proofErr w:type="spellEnd"/>
      <w:r>
        <w:t xml:space="preserve"> õiguse tunnustamist kõigi ELi töötajate õigusena.</w:t>
      </w:r>
    </w:p>
    <w:p w:rsidRPr="008C3EEA"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Kontaktisik</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 xml:space="preserve">Ana </w:t>
            </w:r>
            <w:proofErr w:type="spellStart"/>
            <w:r>
              <w:rPr>
                <w:i/>
              </w:rPr>
              <w:t>Dumitrache</w:t>
            </w:r>
            <w:proofErr w:type="spellEnd"/>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rPr>
            </w:pPr>
            <w:r>
              <w:rPr>
                <w:i/>
              </w:rPr>
              <w:t>Tel</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+32 25468131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E-post</w:t>
            </w:r>
          </w:p>
        </w:tc>
        <w:tc>
          <w:tcPr>
            <w:tcW w:w="5670" w:type="dxa"/>
          </w:tcPr>
          <w:p w:rsidRPr="0027426D" w:rsidR="0027426D" w:rsidP="0027426D" w:rsidRDefault="00014567" w14:paraId="5E09C323" w14:textId="77777777">
            <w:pPr>
              <w:overflowPunct w:val="0"/>
              <w:autoSpaceDE w:val="0"/>
              <w:autoSpaceDN w:val="0"/>
              <w:adjustRightInd w:val="0"/>
              <w:spacing w:line="240" w:lineRule="auto"/>
              <w:textAlignment w:val="baseline"/>
            </w:pPr>
            <w:hyperlink w:history="1" r:id="rId27">
              <w:r w:rsidR="006E5368">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014567"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8">
        <w:r w:rsidR="006E5368">
          <w:rPr>
            <w:b/>
            <w:i/>
            <w:color w:val="0000FF"/>
            <w:sz w:val="28"/>
            <w:u w:val="single"/>
          </w:rPr>
          <w:t>Puuetega inimeste kaasamine uute tehnoloogiate ja tehisintellekti arendamisse – võimalused, probleemid, riskid ja väljavaated</w:t>
        </w:r>
      </w:hyperlink>
    </w:p>
    <w:p w:rsidRPr="008C3EEA"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rPr>
            </w:pPr>
            <w:r>
              <w:rPr>
                <w:b/>
              </w:rPr>
              <w:t>Raportöör</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pPr>
            <w:proofErr w:type="spellStart"/>
            <w:r>
              <w:t>Dovilė</w:t>
            </w:r>
            <w:proofErr w:type="spellEnd"/>
            <w:r>
              <w:t xml:space="preserve"> JUODKAITĖ (kodanikuühiskonna organisatsioonide rühm – LT)</w:t>
            </w:r>
          </w:p>
        </w:tc>
      </w:tr>
      <w:tr w:rsidRPr="0027426D" w:rsidR="0027426D" w:rsidTr="002831E6" w14:paraId="1EDCF328" w14:textId="77777777">
        <w:tc>
          <w:tcPr>
            <w:tcW w:w="1701" w:type="dxa"/>
          </w:tcPr>
          <w:p w:rsidRPr="008C3EEA" w:rsidR="0027426D" w:rsidP="0027426D" w:rsidRDefault="0027426D" w14:paraId="36F6457E" w14:textId="77777777">
            <w:pPr>
              <w:tabs>
                <w:tab w:val="center" w:pos="284"/>
              </w:tabs>
              <w:overflowPunct w:val="0"/>
              <w:autoSpaceDE w:val="0"/>
              <w:autoSpaceDN w:val="0"/>
              <w:adjustRightInd w:val="0"/>
              <w:ind w:left="266" w:hanging="266"/>
              <w:textAlignment w:val="baseline"/>
              <w:rPr>
                <w:b/>
              </w:rPr>
            </w:pPr>
          </w:p>
        </w:tc>
        <w:tc>
          <w:tcPr>
            <w:tcW w:w="6237" w:type="dxa"/>
          </w:tcPr>
          <w:p w:rsidRPr="008C3EEA" w:rsidR="0027426D" w:rsidP="0027426D" w:rsidRDefault="0027426D" w14:paraId="20D4CD84" w14:textId="77777777">
            <w:pPr>
              <w:tabs>
                <w:tab w:val="center" w:pos="284"/>
              </w:tabs>
              <w:overflowPunct w:val="0"/>
              <w:autoSpaceDE w:val="0"/>
              <w:autoSpaceDN w:val="0"/>
              <w:adjustRightInd w:val="0"/>
              <w:ind w:left="266" w:hanging="266"/>
              <w:textAlignment w:val="baseline"/>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rPr>
            </w:pPr>
            <w:r>
              <w:rPr>
                <w:b/>
              </w:rPr>
              <w:t xml:space="preserve">Viitedokument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pPr>
            <w:r>
              <w:t>ettevalmistav arvamus ELi eesistujariigi Poola taotlusel</w:t>
            </w:r>
          </w:p>
        </w:tc>
      </w:tr>
      <w:tr w:rsidRPr="0027426D" w:rsidR="0027426D" w:rsidTr="002831E6" w14:paraId="2ECB441B" w14:textId="77777777">
        <w:tc>
          <w:tcPr>
            <w:tcW w:w="1701" w:type="dxa"/>
            <w:vMerge/>
          </w:tcPr>
          <w:p w:rsidRPr="008C3EEA" w:rsidR="0027426D" w:rsidP="0027426D" w:rsidRDefault="0027426D" w14:paraId="5D21D13A" w14:textId="77777777">
            <w:pPr>
              <w:tabs>
                <w:tab w:val="center" w:pos="284"/>
              </w:tabs>
              <w:overflowPunct w:val="0"/>
              <w:autoSpaceDE w:val="0"/>
              <w:autoSpaceDN w:val="0"/>
              <w:adjustRightInd w:val="0"/>
              <w:ind w:left="266" w:hanging="266"/>
              <w:textAlignment w:val="baseline"/>
              <w:rPr>
                <w:b/>
                <w:lang w:val="fi-FI"/>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pPr>
            <w: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Põhipunktid</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rPr>
      </w:pPr>
      <w:r>
        <w:t>Euroopa Majandus- ja Sotsiaalkomitee:</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peab väga oluliseks kaasata puuetega inimesed kogu uute tehnoloogiate ja tehisintellektil põhinevate rakenduste projekteerimise, arendamise, hindamise ja rakendamise protsessi. Kaasamine on äärmiselt oluline võimaliku diskrimineerimise ohu maandamiseks;</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palub liikmesriikidel ja ELil auditeerida ja hinnata, mil määral on tehisintellekti rakendused üliolulistes valdkondades kaasavad;</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arvab, et on siiski vaja täiendavaid järelmeetmeid puuetega inimeste kaitsmiseks väidetavalt piiratud riskiga süsteemide neile kahjuliku kasutamise eest, eelkõige tööhõive ja värbamise valdkonnas;</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 xml:space="preserve">rõhutab, et on oluline tagada üldine ligipääsetavus teenustele ja kaupadele, mis kasutavad uusi tehnoloogiaid ja tehisintellektil põhinevaid lahendusi;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leiab, et liikmesriigid peavad tagama, et tööandjad kasutaksid uutest tehnoloogilistest arengutest ja tehisintellekti rakendustest tulenevaid võimalusi puuetega töötajate jaoks ligipääsetavuse parandamiseks ja mõistlike abinõude võtmiseks;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soovitab suurendada avaliku sektori kulutusi tehisintellektil põhinevate ligipääsetavuse ja tehnoloogilise abi vahenditega seotud teadus- ja arendustegevusele ning parandada üldsuse teadmisi tehnoloogilistest edusammudest neis valdkondades;</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kutsub liikmesriike üles rakendama ja laiendama olemasolevaid puuetega inimestele mõeldud digioskuste omandamise programme, et parandada nende praegust olukorda ja oskusi nendes valdkondades. Samal ajal tuleb töötada selle nimel, et suurendada puuetega inimeste kaasamist kolmanda taseme haridusse ja kutseõppesse tehnoloogiasektorites;</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rõhutab vajadust edendada mõistlikke abinõusid puuetega töötajate jaoks töökohal, sealhulgas avaliku ja erasektori värbamisprotsessides, oskuste omandamisel ja kutseõppes ning ka kolmanda taseme hariduse omandamisel.</w:t>
      </w:r>
    </w:p>
    <w:p w:rsidRPr="008C3EEA"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Kontaktisik</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rPr>
            </w:pPr>
            <w:r>
              <w:rPr>
                <w:i/>
              </w:rPr>
              <w:t>Tel</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+32 2546 8774</w:t>
            </w:r>
          </w:p>
        </w:tc>
      </w:tr>
      <w:tr w:rsidRPr="0027426D"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E-post</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27426D" w:rsidR="0027426D" w:rsidP="0027426D" w:rsidRDefault="00014567" w14:paraId="0734D0FC" w14:textId="77777777">
            <w:pPr>
              <w:overflowPunct w:val="0"/>
              <w:autoSpaceDE w:val="0"/>
              <w:autoSpaceDN w:val="0"/>
              <w:adjustRightInd w:val="0"/>
              <w:spacing w:line="240" w:lineRule="auto"/>
              <w:textAlignment w:val="baseline"/>
              <w:rPr>
                <w:i/>
                <w:iCs/>
              </w:rPr>
            </w:pPr>
            <w:hyperlink w:history="1" r:id="rId29">
              <w:r w:rsidR="006E5368">
                <w:rPr>
                  <w:i/>
                  <w:color w:val="0000FF"/>
                  <w:u w:val="single"/>
                </w:rPr>
                <w:t>Valeria.Atzori@eesc.europa.eu</w:t>
              </w:r>
            </w:hyperlink>
          </w:p>
        </w:tc>
      </w:tr>
    </w:tbl>
    <w:p w:rsidR="0057059E" w:rsidP="004D7AC0" w:rsidRDefault="0057059E" w14:paraId="591336D0" w14:textId="77777777">
      <w:pPr>
        <w:spacing w:after="160" w:line="259" w:lineRule="auto"/>
        <w:jc w:val="left"/>
        <w:rPr>
          <w:lang w:val="en-GB"/>
        </w:rPr>
      </w:pPr>
    </w:p>
    <w:p w:rsidR="009D2554" w:rsidRDefault="009D2554" w14:paraId="6DA2E2E1" w14:textId="1084030B">
      <w:pPr>
        <w:spacing w:after="160" w:line="259" w:lineRule="auto"/>
        <w:jc w:val="left"/>
      </w:pPr>
      <w:r>
        <w:br w:type="page"/>
      </w:r>
    </w:p>
    <w:p w:rsidRPr="001A7780" w:rsidR="001A7780" w:rsidP="001A7780" w:rsidRDefault="00014567" w14:paraId="201B682F" w14:textId="476D8556">
      <w:pPr>
        <w:widowControl w:val="0"/>
        <w:numPr>
          <w:ilvl w:val="0"/>
          <w:numId w:val="40"/>
        </w:numPr>
        <w:overflowPunct w:val="0"/>
        <w:autoSpaceDE w:val="0"/>
        <w:autoSpaceDN w:val="0"/>
        <w:adjustRightInd w:val="0"/>
        <w:ind w:left="567" w:hanging="567"/>
        <w:textAlignment w:val="baseline"/>
        <w:rPr>
          <w:b/>
        </w:rPr>
      </w:pPr>
      <w:hyperlink w:history="1" r:id="rId30">
        <w:r w:rsidR="001A7780">
          <w:rPr>
            <w:b/>
            <w:i/>
            <w:color w:val="0000FF"/>
            <w:sz w:val="28"/>
            <w:u w:val="single"/>
          </w:rPr>
          <w:t>Iseenda tööandjate juurdepääs sotsiaalkaitsele</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725"/>
      </w:tblGrid>
      <w:tr w:rsidRPr="001A7780"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Pr>
                <w:b/>
              </w:rPr>
              <w:t>Raportöör</w:t>
            </w:r>
          </w:p>
        </w:tc>
        <w:tc>
          <w:tcPr>
            <w:tcW w:w="8046" w:type="dxa"/>
          </w:tcPr>
          <w:p w:rsidRPr="001A7780" w:rsidR="001A7780" w:rsidP="001A7780" w:rsidRDefault="001A7780" w14:paraId="06D5CE04" w14:textId="77777777">
            <w:pPr>
              <w:overflowPunct w:val="0"/>
              <w:autoSpaceDE w:val="0"/>
              <w:autoSpaceDN w:val="0"/>
              <w:adjustRightInd w:val="0"/>
              <w:textAlignment w:val="baseline"/>
            </w:pPr>
            <w:proofErr w:type="spellStart"/>
            <w:r>
              <w:t>Marcin</w:t>
            </w:r>
            <w:proofErr w:type="spellEnd"/>
            <w:r>
              <w:t xml:space="preserve"> Antoni ZIELENIECKI (töötajate rühm – PL)</w:t>
            </w: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Pr>
                <w:b/>
              </w:rPr>
              <w:t>Viitedokumendid</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pPr>
            <w: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rPr>
      </w:pPr>
      <w:r>
        <w:t>Euroopa Majandus- ja Sotsiaalkomitee:</w:t>
      </w: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tuletab meelde Euroopa sotsiaalõiguste samba 12. põhimõtet, mis kinnitatakse, et olenemata töösuhte liigist ja kestusest on kõigil töötajatel ja võrreldavatel tingimustel töötavatel iseenda tööandjatel õigus sotsiaalkaitsele;</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tuletab meelde nõukogu 2019. aasta soovitust juurdepääsu kohta sotsiaalkaitsele ning kutsub liikmesriike tungivalt üles tagama kõigi töötajate, sealhulgas ebatüüpilistes tööhõivevormides töötavate töötajate ja iseenda tööandjate, iseäranis platvormitöö tegijate tegeliku kaetuse;</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tunnustab seniseid jõupingutusi iseenda tööandjate sotsiaalkaitse parandamiseks ja rõhutab vajadust jätkata ELi tegevust edusammude ebapiisavuse tõttu, austades samas täielikult liikmesriikide ja ELi pädevust kõnealuses valdkonnas;</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rõhutab, kui oluline on arendada ja säilitada vastupanuvõimelisi töökohtade säilitamise kavasid, sealhulgas iseenda tööandjate jaoks, ning toetab ILO mudelit sobivate ja jätkusuutlike sotsiaalkaitsesüsteemide loomiseks, kuna need on oluline eeldus hea elukvaliteedi tagamiseks kõigile;</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kutsub liikmesriike üles arendama kooskõlas oma riiklike tavadega sotsiaalkaitsesüsteeme, mis hõlmavad kõiki kodanikke, mitte ainult tüüpilises või ebatüüpilises töösuhtes töötajaid. Need süsteemid peaksid tagama miinimumsissetuleku neile, kes ei ole võimelised töötama, toetades samal ajal neid, kes suudavad, stiimulite ja abi kaudu tööturule tagasipöördumise lihtsustamiseks, kooskõlas Euroopa sotsiaalõiguste samba 14. põhimõttega, tagades samal ajal alati nende sotsiaalkaitsesüsteemide finantsstabiilsuse;</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kutsub üles võtma täiendavaid meetmeid tööturu- ja sotsiaalkaitsepoliitika ühtlustamiseks ning jätkama Euroopa poolaasta raames järelevalvet sotsiaalkaitse küsimuste üle, eelkõige ebatüüpilises töösuhtes töötajate ja iseenda tööandjate puhul, et teha kindlaks ja kõrvaldada lüngad tõhusalt ja tulemuslikult;</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pooldab parimate tavade edasist vahetamist liikmesriikide vahel, et kohandada oma sotsiaalkaitsesüsteeme sotsiaalpartnerite organisatsioonide asjakohase kaasamisega.</w:t>
      </w:r>
    </w:p>
    <w:p w:rsidRPr="008C3EEA"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Kontaktisik</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Pr>
                <w:i/>
              </w:rPr>
              <w:t>Tel</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+32 2 546 9229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Pr>
                <w:i/>
              </w:rPr>
              <w:t>E-post</w:t>
            </w:r>
          </w:p>
        </w:tc>
        <w:tc>
          <w:tcPr>
            <w:tcW w:w="7970" w:type="dxa"/>
          </w:tcPr>
          <w:p w:rsidRPr="001A7780" w:rsidR="001A7780" w:rsidP="001A7780" w:rsidRDefault="00014567" w14:paraId="568357CA" w14:textId="77777777">
            <w:pPr>
              <w:overflowPunct w:val="0"/>
              <w:autoSpaceDE w:val="0"/>
              <w:autoSpaceDN w:val="0"/>
              <w:adjustRightInd w:val="0"/>
              <w:textAlignment w:val="baseline"/>
              <w:rPr>
                <w:i/>
              </w:rPr>
            </w:pPr>
            <w:hyperlink w:history="1" r:id="rId31">
              <w:r w:rsidR="001A7780">
                <w:rPr>
                  <w:i/>
                  <w:color w:val="0000FF"/>
                  <w:u w:val="single"/>
                </w:rPr>
                <w:t>Bartek.Bednarowicz@eesc.europa.eu</w:t>
              </w:r>
            </w:hyperlink>
          </w:p>
        </w:tc>
      </w:tr>
    </w:tbl>
    <w:p w:rsidRPr="008C3EEA" w:rsidR="0057059E" w:rsidRDefault="0057059E" w14:paraId="33756E3A" w14:textId="77777777">
      <w:pPr>
        <w:spacing w:after="160" w:line="259" w:lineRule="auto"/>
        <w:jc w:val="left"/>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61615" w:id="5"/>
      <w:r>
        <w:rPr>
          <w:b/>
        </w:rPr>
        <w:t>TRANSPORDI, ENERGEETIKA, INFRASTRUKTUURI JA INFOÜHISKONNA SEKTSIOON</w:t>
      </w:r>
      <w:bookmarkEnd w:id="3"/>
      <w:bookmarkEnd w:id="4"/>
      <w:bookmarkEnd w:id="5"/>
    </w:p>
    <w:p w:rsidR="004D7AC0" w:rsidP="004D7AC0" w:rsidRDefault="004D7AC0" w14:paraId="4982DDC7" w14:textId="77777777"/>
    <w:p w:rsidRPr="00CF25DB" w:rsidR="00CF25DB" w:rsidP="00CF25DB" w:rsidRDefault="00014567" w14:paraId="2608203A" w14:textId="21E63F0A">
      <w:pPr>
        <w:widowControl w:val="0"/>
        <w:numPr>
          <w:ilvl w:val="0"/>
          <w:numId w:val="4"/>
        </w:numPr>
        <w:overflowPunct w:val="0"/>
        <w:autoSpaceDE w:val="0"/>
        <w:autoSpaceDN w:val="0"/>
        <w:adjustRightInd w:val="0"/>
        <w:ind w:hanging="567"/>
        <w:textAlignment w:val="baseline"/>
        <w:rPr>
          <w:sz w:val="20"/>
          <w:szCs w:val="20"/>
        </w:rPr>
      </w:pPr>
      <w:hyperlink w:history="1" r:id="rId32">
        <w:r w:rsidR="006E5368">
          <w:rPr>
            <w:b/>
            <w:i/>
            <w:color w:val="0000FF"/>
            <w:sz w:val="28"/>
            <w:u w:val="single"/>
          </w:rPr>
          <w:t>Gaasi hoiustamise määrus</w:t>
        </w:r>
      </w:hyperlink>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Pr>
                <w:b/>
              </w:rPr>
              <w:t>Viitedokumendid</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t>C-kategooria arvamus</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t xml:space="preserve">COM(2025) 99 </w:t>
            </w:r>
            <w:proofErr w:type="spellStart"/>
            <w:r>
              <w:t>final</w:t>
            </w:r>
            <w:proofErr w:type="spellEnd"/>
            <w:r>
              <w:t xml:space="preserve">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Komitee nõustub kehtiva raamistiku pikendamisega 2027. aasta lõpuni. Seetõttu otsustas komitee esitada arvamuse, milles toetab ettepanekut täielikult.</w:t>
      </w:r>
    </w:p>
    <w:p w:rsidRPr="00CF25DB" w:rsidR="009767CB" w:rsidP="00CF25DB" w:rsidRDefault="009767CB" w14:paraId="5E8C0A44"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Kontaktisik</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Pr>
                <w:i/>
              </w:rPr>
              <w:t>Tel</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+32 2 5468535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E-post</w:t>
            </w:r>
          </w:p>
        </w:tc>
        <w:tc>
          <w:tcPr>
            <w:tcW w:w="7337" w:type="dxa"/>
          </w:tcPr>
          <w:p w:rsidRPr="00CF25DB" w:rsidR="00CF25DB" w:rsidP="00CF25DB" w:rsidRDefault="00014567" w14:paraId="32C0BCC3" w14:textId="77777777">
            <w:pPr>
              <w:overflowPunct w:val="0"/>
              <w:autoSpaceDE w:val="0"/>
              <w:autoSpaceDN w:val="0"/>
              <w:adjustRightInd w:val="0"/>
              <w:textAlignment w:val="baseline"/>
              <w:rPr>
                <w:i/>
              </w:rPr>
            </w:pPr>
            <w:hyperlink w:history="1" r:id="rId33">
              <w:r w:rsidR="006E5368">
                <w:rPr>
                  <w:i/>
                  <w:color w:val="0000FF"/>
                  <w:u w:val="single"/>
                </w:rPr>
                <w:t>GiorgiaAndrea.Bordignon@eesc.europa.eu</w:t>
              </w:r>
            </w:hyperlink>
            <w:r w:rsidR="006E5368">
              <w:rPr>
                <w:i/>
              </w:rPr>
              <w:t xml:space="preserve"> </w:t>
            </w:r>
          </w:p>
        </w:tc>
      </w:tr>
    </w:tbl>
    <w:p w:rsidRPr="008C3EEA"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014567"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4">
        <w:r w:rsidR="006E5368">
          <w:rPr>
            <w:b/>
            <w:i/>
            <w:color w:val="0000FF"/>
            <w:sz w:val="28"/>
            <w:u w:val="single"/>
          </w:rPr>
          <w:t>Euroopa Aatomienergiaühenduse teadus- ja koolitusprogramm aastateks 2026–2027</w:t>
        </w:r>
      </w:hyperlink>
    </w:p>
    <w:p w:rsidRPr="008C3EEA" w:rsidR="0049330A" w:rsidP="00540D07" w:rsidRDefault="0049330A" w14:paraId="167362A5" w14:textId="77777777">
      <w:pPr>
        <w:tabs>
          <w:tab w:val="center" w:pos="284"/>
        </w:tabs>
        <w:overflowPunct w:val="0"/>
        <w:autoSpaceDE w:val="0"/>
        <w:autoSpaceDN w:val="0"/>
        <w:adjustRightInd w:val="0"/>
        <w:ind w:left="266" w:hanging="266"/>
        <w:textAlignment w:val="baseline"/>
        <w:rPr>
          <w:b/>
          <w:lang w:val="fi-FI"/>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508"/>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Pr>
                <w:b/>
              </w:rPr>
              <w:t>Viitedokumendid</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pPr>
            <w:r>
              <w:t>C-kategooria arvamus</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r>
              <w:t xml:space="preserve">COM(2025) 60 </w:t>
            </w:r>
            <w:proofErr w:type="spellStart"/>
            <w:r>
              <w:t>final</w:t>
            </w:r>
            <w:proofErr w:type="spellEnd"/>
            <w:r>
              <w:t xml:space="preserve">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Komitee nõustub nõukogu määruse ettepanekuga, millega luuakse teadusuuringute ja innovatsiooni raamprogrammi „Euroopa horisont“ täiendav Euroopa Aatomienergiaühenduse teadus- ja koolitusprogramm aastateks 2026–2027 ning tunnistatakse kehtetuks nõukogu määrus (Euratom) 2021/765, ning otsustas seepärast esitada kõnealust ettepanekut täielikult pooldava arvamuse.</w:t>
      </w:r>
    </w:p>
    <w:p w:rsidRPr="00540D07" w:rsidR="009767CB" w:rsidP="00540D07" w:rsidRDefault="009767CB" w14:paraId="3114E859" w14:textId="77777777">
      <w:pPr>
        <w:widowControl w:val="0"/>
        <w:overflowPunct w:val="0"/>
        <w:autoSpaceDE w:val="0"/>
        <w:autoSpaceDN w:val="0"/>
        <w:adjustRightInd w:val="0"/>
        <w:ind w:left="709"/>
        <w:textAlignment w:val="baseline"/>
        <w:rPr>
          <w:szCs w:val="20"/>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Kontaktisik</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 xml:space="preserve">Albert </w:t>
            </w:r>
            <w:proofErr w:type="spellStart"/>
            <w:r>
              <w:rPr>
                <w:i/>
              </w:rPr>
              <w:t>Precup</w:t>
            </w:r>
            <w:proofErr w:type="spellEnd"/>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Pr>
                <w:i/>
              </w:rPr>
              <w:t>Tel</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E-post</w:t>
            </w:r>
          </w:p>
        </w:tc>
        <w:tc>
          <w:tcPr>
            <w:tcW w:w="7546" w:type="dxa"/>
          </w:tcPr>
          <w:p w:rsidRPr="00540D07" w:rsidR="00540D07" w:rsidP="00540D07" w:rsidRDefault="00014567" w14:paraId="20CE56A6" w14:textId="77777777">
            <w:pPr>
              <w:overflowPunct w:val="0"/>
              <w:autoSpaceDE w:val="0"/>
              <w:autoSpaceDN w:val="0"/>
              <w:adjustRightInd w:val="0"/>
              <w:textAlignment w:val="baseline"/>
              <w:rPr>
                <w:i/>
              </w:rPr>
            </w:pPr>
            <w:hyperlink w:history="1" r:id="rId35">
              <w:r w:rsidR="006E5368">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61616" w:id="7"/>
      <w:r>
        <w:rPr>
          <w:b/>
        </w:rPr>
        <w:t>ÜHTSE TURU, TOOTMISE JA TARBIMISE SEKTSIOON</w:t>
      </w:r>
      <w:bookmarkEnd w:id="6"/>
      <w:bookmarkEnd w:id="7"/>
    </w:p>
    <w:p w:rsidR="004D7AC0" w:rsidP="004D7AC0" w:rsidRDefault="004D7AC0" w14:paraId="4982DE1C" w14:textId="77777777">
      <w:pPr>
        <w:pStyle w:val="ListParagraph"/>
        <w:ind w:left="0"/>
      </w:pPr>
    </w:p>
    <w:p w:rsidRPr="009A053A" w:rsidR="009A053A" w:rsidP="009A053A" w:rsidRDefault="00014567"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6">
        <w:r w:rsidR="006E5368">
          <w:rPr>
            <w:b/>
            <w:i/>
            <w:color w:val="0000FF"/>
            <w:sz w:val="28"/>
            <w:u w:val="single"/>
          </w:rPr>
          <w:t xml:space="preserve">Kohaldamis- ja aruandlustähtajad / </w:t>
        </w:r>
        <w:proofErr w:type="spellStart"/>
        <w:r w:rsidR="006E5368">
          <w:rPr>
            <w:b/>
            <w:i/>
            <w:color w:val="0000FF"/>
            <w:sz w:val="28"/>
            <w:u w:val="single"/>
          </w:rPr>
          <w:t>kestlikkusaruandluse</w:t>
        </w:r>
        <w:proofErr w:type="spellEnd"/>
        <w:r w:rsidR="006E5368">
          <w:rPr>
            <w:b/>
            <w:i/>
            <w:color w:val="0000FF"/>
            <w:sz w:val="28"/>
            <w:u w:val="single"/>
          </w:rPr>
          <w:t xml:space="preserve"> direktiiv ja </w:t>
        </w:r>
        <w:proofErr w:type="spellStart"/>
        <w:r w:rsidR="006E5368">
          <w:rPr>
            <w:b/>
            <w:i/>
            <w:color w:val="0000FF"/>
            <w:sz w:val="28"/>
            <w:u w:val="single"/>
          </w:rPr>
          <w:t>kestlikkusalase</w:t>
        </w:r>
        <w:proofErr w:type="spellEnd"/>
        <w:r w:rsidR="006E5368">
          <w:rPr>
            <w:b/>
            <w:i/>
            <w:color w:val="0000FF"/>
            <w:sz w:val="28"/>
            <w:u w:val="single"/>
          </w:rPr>
          <w:t xml:space="preserve"> hoolsuskohustuse direktiiv</w:t>
        </w:r>
      </w:hyperlink>
    </w:p>
    <w:p w:rsidRPr="008C3EEA" w:rsidR="009A053A" w:rsidP="009A053A" w:rsidRDefault="009A053A" w14:paraId="2D892096" w14:textId="77777777">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Pr>
                <w:b/>
              </w:rPr>
              <w:t>Viitedokumendid</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t>C-kategooria arvamus</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r>
              <w:t xml:space="preserve">COM(2025) 80 </w:t>
            </w:r>
            <w:proofErr w:type="spellStart"/>
            <w:r>
              <w:t>final</w:t>
            </w:r>
            <w:proofErr w:type="spellEnd"/>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Euroopa Majandus- ja Sotsiaalkomitee nõustub ettepaneku sisuga ega soovi teha selle kohta ühtegi märkust.</w:t>
      </w:r>
    </w:p>
    <w:p w:rsidRPr="008C3EEA" w:rsidR="009A053A" w:rsidP="009A053A" w:rsidRDefault="009A053A" w14:paraId="24D83598" w14:textId="77777777">
      <w:pPr>
        <w:overflowPunct w:val="0"/>
        <w:autoSpaceDE w:val="0"/>
        <w:autoSpaceDN w:val="0"/>
        <w:adjustRightInd w:val="0"/>
        <w:textAlignment w:val="baseline"/>
        <w:rPr>
          <w:bCs/>
          <w:iCs/>
          <w:lang w:val="fi-FI"/>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Kontaktisik</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rPr>
            </w:pPr>
            <w:r>
              <w:rPr>
                <w:i/>
              </w:rPr>
              <w:t>Tel</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+ 32 25468286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E-post</w:t>
            </w:r>
          </w:p>
        </w:tc>
        <w:tc>
          <w:tcPr>
            <w:tcW w:w="5670" w:type="dxa"/>
          </w:tcPr>
          <w:p w:rsidRPr="009A053A" w:rsidR="009A053A" w:rsidP="009A053A" w:rsidRDefault="00014567" w14:paraId="2B5435D9" w14:textId="77777777">
            <w:pPr>
              <w:overflowPunct w:val="0"/>
              <w:autoSpaceDE w:val="0"/>
              <w:autoSpaceDN w:val="0"/>
              <w:adjustRightInd w:val="0"/>
              <w:spacing w:line="240" w:lineRule="auto"/>
              <w:textAlignment w:val="baseline"/>
              <w:rPr>
                <w:i/>
              </w:rPr>
            </w:pPr>
            <w:hyperlink w:history="1" r:id="rId37">
              <w:r w:rsidR="006E5368">
                <w:rPr>
                  <w:i/>
                  <w:color w:val="0000FF"/>
                  <w:u w:val="single"/>
                </w:rPr>
                <w:t>Alice.Tetu@eesc.europa.eu</w:t>
              </w:r>
            </w:hyperlink>
          </w:p>
        </w:tc>
      </w:tr>
    </w:tbl>
    <w:p w:rsidRPr="008C3EEA"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8"/>
      <w:bookmarkStart w:name="_Toc75527084" w:id="9"/>
      <w:bookmarkStart w:name="_Toc195261617" w:id="10"/>
      <w:r>
        <w:rPr>
          <w:b/>
        </w:rPr>
        <w:t>PÕLLUMAJANDUSE, MAAELU ARENGU JA KESKKONNA SEKTSIOON</w:t>
      </w:r>
      <w:bookmarkEnd w:id="8"/>
      <w:bookmarkEnd w:id="9"/>
      <w:bookmarkEnd w:id="10"/>
    </w:p>
    <w:p w:rsidRPr="002A694B" w:rsidR="004D7AC0" w:rsidP="004D7AC0" w:rsidRDefault="004D7AC0" w14:paraId="4982DE20" w14:textId="77777777">
      <w:pPr>
        <w:rPr>
          <w:sz w:val="18"/>
          <w:szCs w:val="18"/>
        </w:rPr>
      </w:pPr>
    </w:p>
    <w:p w:rsidRPr="00A2180B" w:rsidR="00A2180B" w:rsidP="00A2180B" w:rsidRDefault="00014567" w14:paraId="674B6D4D" w14:textId="1005285F">
      <w:pPr>
        <w:widowControl w:val="0"/>
        <w:numPr>
          <w:ilvl w:val="0"/>
          <w:numId w:val="10"/>
        </w:numPr>
        <w:overflowPunct w:val="0"/>
        <w:autoSpaceDE w:val="0"/>
        <w:autoSpaceDN w:val="0"/>
        <w:adjustRightInd w:val="0"/>
        <w:ind w:hanging="567"/>
        <w:rPr>
          <w:sz w:val="20"/>
          <w:szCs w:val="20"/>
        </w:rPr>
      </w:pPr>
      <w:hyperlink w:history="1" r:id="rId38">
        <w:r w:rsidR="006E5368">
          <w:rPr>
            <w:b/>
            <w:i/>
            <w:color w:val="0000FF"/>
            <w:sz w:val="28"/>
            <w:u w:val="single"/>
          </w:rPr>
          <w:t xml:space="preserve">Hindamine: 17. aprilli 2019. aasta direktiiv (EL) 2019/633, mis käsitleb põllumajandustoodete ja toiduainete tarneahelas </w:t>
        </w:r>
        <w:proofErr w:type="spellStart"/>
        <w:r w:rsidR="006E5368">
          <w:rPr>
            <w:b/>
            <w:i/>
            <w:color w:val="0000FF"/>
            <w:sz w:val="28"/>
            <w:u w:val="single"/>
          </w:rPr>
          <w:t>ettevõtjatevahelistes</w:t>
        </w:r>
        <w:proofErr w:type="spellEnd"/>
        <w:r w:rsidR="006E5368">
          <w:rPr>
            <w:b/>
            <w:i/>
            <w:color w:val="0000FF"/>
            <w:sz w:val="28"/>
            <w:u w:val="single"/>
          </w:rPr>
          <w:t xml:space="preserve"> suhetes esinevaid ebaausaid kaubandustavasid (sh ebaausate kaubandustavade riiklike õigusaktide kaardistamine)</w:t>
        </w:r>
      </w:hyperlink>
      <w:r w:rsidR="006E5368">
        <w:t xml:space="preserve"> </w:t>
      </w:r>
    </w:p>
    <w:p w:rsidRPr="008C3EEA"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A2180B" w:rsidRDefault="00A2180B" w14:paraId="33EC09DE" w14:textId="77777777">
            <w:pPr>
              <w:tabs>
                <w:tab w:val="center" w:pos="284"/>
              </w:tabs>
              <w:overflowPunct w:val="0"/>
              <w:autoSpaceDE w:val="0"/>
              <w:autoSpaceDN w:val="0"/>
              <w:adjustRightInd w:val="0"/>
              <w:ind w:left="266" w:hanging="266"/>
              <w:rPr>
                <w:b/>
              </w:rPr>
            </w:pPr>
            <w:r>
              <w:rPr>
                <w:b/>
              </w:rPr>
              <w:t>Raportöör</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proofErr w:type="spellStart"/>
            <w:r>
              <w:t>Antje</w:t>
            </w:r>
            <w:proofErr w:type="spellEnd"/>
            <w:r>
              <w:t xml:space="preserve"> GERSTEIN (tööandjate rühm – 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Pr>
                <w:b/>
              </w:rPr>
              <w:t>Kaasraportöör</w:t>
            </w:r>
          </w:p>
        </w:tc>
        <w:tc>
          <w:tcPr>
            <w:tcW w:w="3703" w:type="pct"/>
            <w:hideMark/>
          </w:tcPr>
          <w:p w:rsidRPr="00A2180B" w:rsidR="00A2180B" w:rsidP="00A2180B" w:rsidRDefault="00A2180B" w14:paraId="1746DD3A" w14:textId="4FA11AE5">
            <w:pPr>
              <w:tabs>
                <w:tab w:val="center" w:pos="284"/>
              </w:tabs>
              <w:overflowPunct w:val="0"/>
              <w:autoSpaceDE w:val="0"/>
              <w:autoSpaceDN w:val="0"/>
              <w:adjustRightInd w:val="0"/>
              <w:ind w:left="266" w:hanging="266"/>
            </w:pPr>
            <w:proofErr w:type="spellStart"/>
            <w:r>
              <w:t>Branko</w:t>
            </w:r>
            <w:proofErr w:type="spellEnd"/>
            <w:r>
              <w:t xml:space="preserve"> RAVNIK (kodanikuühiskonna organisatsioonide rühm – SI)</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77777777">
            <w:pPr>
              <w:tabs>
                <w:tab w:val="center" w:pos="284"/>
              </w:tabs>
              <w:overflowPunct w:val="0"/>
              <w:autoSpaceDE w:val="0"/>
              <w:autoSpaceDN w:val="0"/>
              <w:adjustRightInd w:val="0"/>
              <w:ind w:left="266" w:hanging="266"/>
              <w:rPr>
                <w:b/>
              </w:rPr>
            </w:pPr>
            <w:r>
              <w:rPr>
                <w:b/>
              </w:rPr>
              <w:t>Viitedokumendid</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t>EESC-2024-02156-00-00-RE</w:t>
            </w:r>
          </w:p>
        </w:tc>
      </w:tr>
    </w:tbl>
    <w:p w:rsidRPr="002A694B" w:rsidR="00A2180B" w:rsidP="00A2180B" w:rsidRDefault="00A2180B" w14:paraId="32A38D3C" w14:textId="77777777">
      <w:pPr>
        <w:tabs>
          <w:tab w:val="center" w:pos="284"/>
        </w:tabs>
        <w:overflowPunct w:val="0"/>
        <w:autoSpaceDE w:val="0"/>
        <w:autoSpaceDN w:val="0"/>
        <w:adjustRightInd w:val="0"/>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rPr>
      </w:pPr>
      <w:r>
        <w:rPr>
          <w:b/>
        </w:rPr>
        <w:t>Põhipunktid</w:t>
      </w:r>
    </w:p>
    <w:p w:rsidRPr="002A694B" w:rsidR="00A2180B" w:rsidP="00A2180B" w:rsidRDefault="00A2180B" w14:paraId="63C91729" w14:textId="77777777">
      <w:pPr>
        <w:keepNext/>
        <w:keepLines/>
        <w:tabs>
          <w:tab w:val="center" w:pos="284"/>
        </w:tabs>
        <w:overflowPunct w:val="0"/>
        <w:autoSpaceDE w:val="0"/>
        <w:autoSpaceDN w:val="0"/>
        <w:adjustRightInd w:val="0"/>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rPr>
      </w:pPr>
      <w:r>
        <w:t>Euroopa Majandus- ja Sotsiaalkomitee:</w:t>
      </w:r>
    </w:p>
    <w:p w:rsidRPr="00A2180B" w:rsidR="00A2180B" w:rsidP="002A694B" w:rsidRDefault="00A2180B" w14:paraId="3F8BA128" w14:textId="77777777">
      <w:pPr>
        <w:widowControl w:val="0"/>
        <w:numPr>
          <w:ilvl w:val="0"/>
          <w:numId w:val="28"/>
        </w:numPr>
        <w:overflowPunct w:val="0"/>
        <w:autoSpaceDE w:val="0"/>
        <w:autoSpaceDN w:val="0"/>
        <w:adjustRightInd w:val="0"/>
        <w:ind w:left="284" w:hanging="284"/>
        <w:rPr>
          <w:bCs/>
          <w:iCs/>
        </w:rPr>
      </w:pPr>
      <w:r>
        <w:t>soovitab tõhustada ELi tasandil nõuete täitmise tagamise mehhanisme, et tagada suurem õiguskindlus, võrdsed tingimused kogu ELis ja tugevam kaitse, mis on suunatud nõrgematele tarneahelas tegutsejatele;</w:t>
      </w:r>
    </w:p>
    <w:p w:rsidRPr="00A2180B" w:rsidR="00A2180B" w:rsidP="002A694B" w:rsidRDefault="00A2180B" w14:paraId="6AB255E4" w14:textId="77777777">
      <w:pPr>
        <w:widowControl w:val="0"/>
        <w:numPr>
          <w:ilvl w:val="0"/>
          <w:numId w:val="28"/>
        </w:numPr>
        <w:overflowPunct w:val="0"/>
        <w:autoSpaceDE w:val="0"/>
        <w:autoSpaceDN w:val="0"/>
        <w:adjustRightInd w:val="0"/>
        <w:ind w:left="284" w:hanging="284"/>
        <w:rPr>
          <w:bCs/>
          <w:iCs/>
        </w:rPr>
      </w:pPr>
      <w:r>
        <w:t>soovitab töötada direktiivi ühtlustamise nimel, et see sobiks ühtse turu jaoks;</w:t>
      </w:r>
    </w:p>
    <w:p w:rsidRPr="00A2180B" w:rsidR="00A2180B" w:rsidP="002A694B" w:rsidRDefault="00A2180B" w14:paraId="56960E47" w14:textId="77777777">
      <w:pPr>
        <w:widowControl w:val="0"/>
        <w:numPr>
          <w:ilvl w:val="0"/>
          <w:numId w:val="28"/>
        </w:numPr>
        <w:overflowPunct w:val="0"/>
        <w:autoSpaceDE w:val="0"/>
        <w:autoSpaceDN w:val="0"/>
        <w:adjustRightInd w:val="0"/>
        <w:ind w:left="284" w:hanging="284"/>
        <w:rPr>
          <w:bCs/>
          <w:iCs/>
        </w:rPr>
      </w:pPr>
      <w:r>
        <w:t>soovitab tagada kestliku arengu kulude jaotuse kõigi sidusrühmade, sealhulgas tarbijate vahel, et luua õiglasem süsteem, ja toetada pingutusi muuta hinnad läbipaistvamaks;</w:t>
      </w:r>
    </w:p>
    <w:p w:rsidRPr="00A2180B" w:rsidR="00A2180B" w:rsidP="002A694B" w:rsidRDefault="00A2180B" w14:paraId="55AE9CB3" w14:textId="77777777">
      <w:pPr>
        <w:widowControl w:val="0"/>
        <w:numPr>
          <w:ilvl w:val="0"/>
          <w:numId w:val="28"/>
        </w:numPr>
        <w:overflowPunct w:val="0"/>
        <w:autoSpaceDE w:val="0"/>
        <w:autoSpaceDN w:val="0"/>
        <w:adjustRightInd w:val="0"/>
        <w:ind w:left="284" w:hanging="284"/>
        <w:rPr>
          <w:bCs/>
          <w:iCs/>
        </w:rPr>
      </w:pPr>
      <w:r>
        <w:t>teeb ettepaneku tegeleda selliste probleemidega nagu hinnavolatiilsus, hooajaline nappus ja halduskoormus riskijuhtimise parandamise ja tootjatele parema toe pakkumise kaudu ning laiendada tootjate kaitset, sealhulgas kehtestada rangem logistikatasude, avalikustamata hinnaalandite ja müügipreemiate keeld;</w:t>
      </w:r>
    </w:p>
    <w:p w:rsidRPr="00A2180B" w:rsidR="00A2180B" w:rsidP="002A694B" w:rsidRDefault="00A2180B" w14:paraId="26BE4FE0" w14:textId="77777777">
      <w:pPr>
        <w:widowControl w:val="0"/>
        <w:numPr>
          <w:ilvl w:val="0"/>
          <w:numId w:val="28"/>
        </w:numPr>
        <w:overflowPunct w:val="0"/>
        <w:autoSpaceDE w:val="0"/>
        <w:autoSpaceDN w:val="0"/>
        <w:adjustRightInd w:val="0"/>
        <w:ind w:left="284" w:hanging="284"/>
        <w:rPr>
          <w:bCs/>
          <w:iCs/>
        </w:rPr>
      </w:pPr>
      <w:r>
        <w:t>soovitab tugevdada meetmeid väikeste põllumajandusettevõtete säilitamiseks ning rakendada rikkumiste eest asjakohaseid karistusi, et tagada direktiivi hoiatav mõju ja parandada nõuete järgimist;</w:t>
      </w:r>
    </w:p>
    <w:p w:rsidRPr="00A2180B" w:rsidR="00A2180B" w:rsidP="002A694B" w:rsidRDefault="00A2180B" w14:paraId="6E0B1DD6" w14:textId="77777777">
      <w:pPr>
        <w:widowControl w:val="0"/>
        <w:numPr>
          <w:ilvl w:val="0"/>
          <w:numId w:val="28"/>
        </w:numPr>
        <w:overflowPunct w:val="0"/>
        <w:autoSpaceDE w:val="0"/>
        <w:autoSpaceDN w:val="0"/>
        <w:adjustRightInd w:val="0"/>
        <w:ind w:left="284" w:hanging="284"/>
        <w:rPr>
          <w:bCs/>
          <w:iCs/>
        </w:rPr>
      </w:pPr>
      <w:r>
        <w:t xml:space="preserve">soovitab parandada teavituskampaaniaid, et sidusrühmad oleksid teadlikud oma õigustest ja kohustustest, kaitsemenetlustest ja ametiasutuste toimimisest; </w:t>
      </w:r>
    </w:p>
    <w:p w:rsidRPr="00A2180B" w:rsidR="00A2180B" w:rsidP="002A694B" w:rsidRDefault="00A2180B" w14:paraId="3B84964D" w14:textId="77777777">
      <w:pPr>
        <w:widowControl w:val="0"/>
        <w:numPr>
          <w:ilvl w:val="0"/>
          <w:numId w:val="28"/>
        </w:numPr>
        <w:overflowPunct w:val="0"/>
        <w:autoSpaceDE w:val="0"/>
        <w:autoSpaceDN w:val="0"/>
        <w:adjustRightInd w:val="0"/>
        <w:ind w:left="284" w:hanging="284"/>
        <w:rPr>
          <w:bCs/>
          <w:iCs/>
        </w:rPr>
      </w:pPr>
      <w:r>
        <w:t>teeb ettepaneku luua kogu ELi hõlmav portaal ebaausatest kaubandustavadest teatamiseks, et vähendada hirmu survemeetmete ees ja parandada kaebuste esitamise mehhanisme, ning luua nii riiklikul kui ka ELi tasandil foorumid, et edendada dialoogi ja koostööd toiduainete tarneahela sidusrühmade vahel. Komitee tunnistab, et Euroopa põllumajandus- ja toidunõukoja loomine ELi põllumajanduse tulevikku käsitleva strateegilise dialoogi raames algatatud avatud dialoogi järelmeetmena on oluline samm edasi;</w:t>
      </w:r>
    </w:p>
    <w:p w:rsidRPr="00A2180B" w:rsidR="00A2180B" w:rsidP="002A694B" w:rsidRDefault="00A2180B" w14:paraId="6886CFAD" w14:textId="77777777">
      <w:pPr>
        <w:widowControl w:val="0"/>
        <w:numPr>
          <w:ilvl w:val="0"/>
          <w:numId w:val="28"/>
        </w:numPr>
        <w:overflowPunct w:val="0"/>
        <w:autoSpaceDE w:val="0"/>
        <w:autoSpaceDN w:val="0"/>
        <w:adjustRightInd w:val="0"/>
        <w:ind w:left="284" w:hanging="284"/>
        <w:rPr>
          <w:bCs/>
          <w:iCs/>
        </w:rPr>
      </w:pPr>
      <w:r>
        <w:t>julgustab komisjoni esitama tarbijatele esitatava toidualase teabe määruse muutmise eelnõu, et parandada toodete päritolualast teavet jälgitavuse suurendamise nimel;</w:t>
      </w:r>
    </w:p>
    <w:p w:rsidRPr="00A2180B" w:rsidR="00A2180B" w:rsidP="002A694B" w:rsidRDefault="00A2180B" w14:paraId="01865399" w14:textId="77777777">
      <w:pPr>
        <w:widowControl w:val="0"/>
        <w:numPr>
          <w:ilvl w:val="0"/>
          <w:numId w:val="28"/>
        </w:numPr>
        <w:overflowPunct w:val="0"/>
        <w:autoSpaceDE w:val="0"/>
        <w:autoSpaceDN w:val="0"/>
        <w:adjustRightInd w:val="0"/>
        <w:ind w:left="284" w:hanging="284"/>
        <w:rPr>
          <w:bCs/>
          <w:iCs/>
        </w:rPr>
      </w:pPr>
      <w:r>
        <w:t xml:space="preserve">soovitab uurida direktiivi kohaldamisala, et tegeleda võimu </w:t>
      </w:r>
      <w:proofErr w:type="spellStart"/>
      <w:r>
        <w:t>tasakaalustamatusega</w:t>
      </w:r>
      <w:proofErr w:type="spellEnd"/>
      <w:r>
        <w:t xml:space="preserve">, suurendada tarneahela tõhusust ja tagada </w:t>
      </w:r>
      <w:proofErr w:type="spellStart"/>
      <w:r>
        <w:t>tarnijatevahelistes</w:t>
      </w:r>
      <w:proofErr w:type="spellEnd"/>
      <w:r>
        <w:t xml:space="preserve"> suhetes õiglus, sealhulgas riskide ja kasumi asjakohane jaotamine. Samuti tuleks tagada, et teatavate tavade keeldudest peetaks paremini kinni, et kaitsta tõhusalt kõiki turuosalisi.</w:t>
      </w:r>
    </w:p>
    <w:p w:rsidRPr="008C3EEA" w:rsidR="00A2180B" w:rsidP="00A2180B" w:rsidRDefault="00A2180B" w14:paraId="1941C237" w14:textId="77777777">
      <w:pPr>
        <w:widowControl w:val="0"/>
        <w:overflowPunct w:val="0"/>
        <w:autoSpaceDE w:val="0"/>
        <w:autoSpaceDN w:val="0"/>
        <w:adjustRightInd w:val="0"/>
        <w:ind w:left="709"/>
        <w:rPr>
          <w:bCs/>
          <w:iCs/>
          <w:sz w:val="18"/>
          <w:szCs w:val="18"/>
          <w:lang w:val="fi-FI"/>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Pr>
                <w:b/>
                <w:i/>
              </w:rPr>
              <w:t>Kontaktisik</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proofErr w:type="spellStart"/>
            <w:r>
              <w:rPr>
                <w:i/>
              </w:rPr>
              <w:t>Myrto</w:t>
            </w:r>
            <w:proofErr w:type="spellEnd"/>
            <w:r>
              <w:rPr>
                <w:i/>
              </w:rPr>
              <w:t xml:space="preserve"> </w:t>
            </w:r>
            <w:proofErr w:type="spellStart"/>
            <w:r>
              <w:rPr>
                <w:i/>
              </w:rPr>
              <w:t>Kolyva</w:t>
            </w:r>
            <w:proofErr w:type="spellEnd"/>
          </w:p>
        </w:tc>
      </w:tr>
      <w:tr w:rsidRPr="00A2180B" w:rsidR="00A2180B" w:rsidTr="00A2180B" w14:paraId="72B6C8BC" w14:textId="77777777">
        <w:tc>
          <w:tcPr>
            <w:tcW w:w="1556" w:type="pct"/>
            <w:hideMark/>
          </w:tcPr>
          <w:p w:rsidRPr="00A2180B" w:rsidR="00A2180B" w:rsidP="00A2180B" w:rsidRDefault="00A2180B" w14:paraId="421D8B61" w14:textId="77777777">
            <w:pPr>
              <w:overflowPunct w:val="0"/>
              <w:autoSpaceDE w:val="0"/>
              <w:autoSpaceDN w:val="0"/>
              <w:adjustRightInd w:val="0"/>
              <w:spacing w:line="240" w:lineRule="auto"/>
              <w:rPr>
                <w:i/>
              </w:rPr>
            </w:pPr>
            <w:r>
              <w:rPr>
                <w:i/>
              </w:rPr>
              <w:t>Tel</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Pr>
                <w:i/>
              </w:rPr>
              <w:t>+32 25468718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t>E-post</w:t>
            </w:r>
          </w:p>
        </w:tc>
        <w:tc>
          <w:tcPr>
            <w:tcW w:w="3444" w:type="pct"/>
            <w:hideMark/>
          </w:tcPr>
          <w:p w:rsidRPr="00A2180B" w:rsidR="00A2180B" w:rsidP="00A2180B" w:rsidRDefault="00014567" w14:paraId="51B6B084" w14:textId="77777777">
            <w:pPr>
              <w:overflowPunct w:val="0"/>
              <w:autoSpaceDE w:val="0"/>
              <w:autoSpaceDN w:val="0"/>
              <w:adjustRightInd w:val="0"/>
              <w:spacing w:line="240" w:lineRule="auto"/>
              <w:rPr>
                <w:i/>
              </w:rPr>
            </w:pPr>
            <w:hyperlink w:history="1" r:id="rId39">
              <w:r w:rsidR="006E5368">
                <w:rPr>
                  <w:i/>
                  <w:color w:val="0000FF"/>
                  <w:u w:val="single"/>
                </w:rPr>
                <w:t>Myrto.Kolyva@eesc.europa.eu</w:t>
              </w:r>
            </w:hyperlink>
            <w:r w:rsidR="006E5368">
              <w:rPr>
                <w:color w:val="0000FF"/>
                <w:u w:val="single"/>
              </w:rPr>
              <w:t xml:space="preserve"> </w:t>
            </w:r>
          </w:p>
        </w:tc>
      </w:tr>
    </w:tbl>
    <w:p w:rsidR="00A2180B" w:rsidRDefault="00A2180B" w14:paraId="751B5A19" w14:textId="77777777">
      <w:pPr>
        <w:spacing w:after="160" w:line="259" w:lineRule="auto"/>
        <w:jc w:val="left"/>
      </w:pPr>
      <w:r>
        <w:br w:type="page"/>
      </w:r>
    </w:p>
    <w:p w:rsidRPr="00A62505" w:rsidR="00A62505" w:rsidP="00A62505" w:rsidRDefault="00014567"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0">
        <w:r w:rsidR="006E5368">
          <w:rPr>
            <w:b/>
            <w:i/>
            <w:color w:val="0000FF"/>
            <w:sz w:val="28"/>
            <w:u w:val="single"/>
          </w:rPr>
          <w:t>Kodanikuühiskonna soovitused Euroopa ookeanipakti koostamiseks</w:t>
        </w:r>
      </w:hyperlink>
    </w:p>
    <w:p w:rsidR="00A41475" w:rsidP="00A62505" w:rsidRDefault="00A41475" w14:paraId="0DD15A05" w14:textId="77777777">
      <w:pPr>
        <w:tabs>
          <w:tab w:val="center" w:pos="284"/>
        </w:tabs>
        <w:overflowPunct w:val="0"/>
        <w:autoSpaceDE w:val="0"/>
        <w:autoSpaceDN w:val="0"/>
        <w:adjustRightInd w:val="0"/>
        <w:ind w:left="266" w:hanging="266"/>
        <w:textAlignment w:val="baseline"/>
        <w:rPr>
          <w:b/>
          <w:lang w:val="en-G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695"/>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Pr>
                <w:b/>
              </w:rPr>
              <w:t>Raportöör</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proofErr w:type="spellStart"/>
            <w:r>
              <w:rPr>
                <w:b/>
              </w:rPr>
              <w:t>Javier</w:t>
            </w:r>
            <w:proofErr w:type="spellEnd"/>
            <w:r>
              <w:rPr>
                <w:b/>
              </w:rPr>
              <w:t xml:space="preserve"> GARAT PÉREZ</w:t>
            </w:r>
            <w:r>
              <w:t xml:space="preserve"> (kodanikuühiskonna organisatsioonide rühm –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Pr>
                <w:b/>
              </w:rPr>
              <w:t>Viitedokumendid</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pPr>
            <w:r>
              <w:t>ettevalmistav arvamus Euroopa Komisjoni taotlusel</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pPr>
            <w:r>
              <w:t>EESC-2024-04595-00-00-AC</w:t>
            </w:r>
          </w:p>
        </w:tc>
      </w:tr>
    </w:tbl>
    <w:p w:rsidRPr="008C3EEA"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fi-FI"/>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Põhipunktid</w:t>
      </w:r>
    </w:p>
    <w:p w:rsidRPr="008C3EEA"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fi-FI"/>
        </w:rPr>
      </w:pPr>
    </w:p>
    <w:p w:rsidR="00A62505" w:rsidP="00A62505" w:rsidRDefault="00A62505" w14:paraId="5292B50E" w14:textId="77777777">
      <w:pPr>
        <w:overflowPunct w:val="0"/>
        <w:autoSpaceDE w:val="0"/>
        <w:autoSpaceDN w:val="0"/>
        <w:adjustRightInd w:val="0"/>
        <w:textAlignment w:val="baseline"/>
        <w:rPr>
          <w:bCs/>
          <w:iCs/>
        </w:rPr>
      </w:pPr>
      <w:r>
        <w:t>Euroopa Majandus- ja Sotsiaalkomitee:</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väljendab heameelt asjaolu üle, Euroopa ookeanipakt on komisjoni uue koosseisu prioriteetide hulgas, ning kutsub üles kasutama terviklikku lähenemisviisi, mis ühendab majandusliku heaolu ja konkurentsivõime keskkonna taastamise ja sotsiaalse võrdsuse edendamisega;</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soovitab koostada ookeanipakti, mis on tihedalt kooskõlas Euroopa Liidu sinise majanduse strateegia, kestliku arengu eesmärkide ja Euroopa rohelise kokkuleppega. Pakt peaks keskenduma nii mere- kui ka maismaamajandusele ja olema kooskõlas ELi muu poliitikaga, eelkõige puhta tööstuse kokkuleppe, meretööstuse strateegia ja merestrateegia raamdirektiiviga, et tagada sidusus ja oluline mõju. Komitee peab samuti tähtsaks tõhustada Euroopa Liidu merendusjulgeoleku strateegiat ja hinnata olemasolevaid poliitikavaldkondi, nagu ühine kalanduspoliitika;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kutsub üles tugevdama ja parandama Euroopa merenduse juhtimise raamistikku, koordineerides tõhusamalt olemasolevaid poliitikavaldkondi ja organite tegevust ning vältides jõupingutuste killustatust ja dubleerimist. Samuti tuleb tõhustada diplomaatilisi jõupingutusi ning edendada koostöövõrgustikke rannikukogukondade, tootmissektorite ja teadlaste vahel. Seepärast soovitab komitee luua kõigis ELi institutsioonides spetsiaalsed töörühmad, mis keskenduvad meredele ja ookeanidele;</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kutsub komisjoni üles looma ookeaniküsimustes pädevate Euroopa ametite vahelise koostöömehhanismi, et optimeerida andmete ja teadmiste kogumist. Ookeanide tõhusa majandamise võti peitub teaduses;</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soovitab läbi vaadata mereala ruumilise planeerimise, et soodustada koostoimet ja tasakaalustada vastandlikke huve, mis tulenevad uute meretööstusharude laiendamisest.</w:t>
      </w:r>
      <w:r>
        <w:rPr>
          <w:shd w:val="clear" w:color="auto" w:fill="FFFFFF" w:themeFill="background1"/>
        </w:rPr>
        <w:t xml:space="preserve"> </w:t>
      </w:r>
      <w:r>
        <w:t xml:space="preserve">Edendada tuleb positiivset kooseksisteerimist ning rakendada ökosüsteemipõhist lähenemisviisi;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taotleb, et loodaks sinise majanduse väärtusahelate tööstusliit, mis ühendaks kõiki asjaomaseid sidusrühmi (ettevõtjaid, sotsiaalpartnereid, teadusorganisatsioone, poliitikakujundajaid, investoreid jne);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kutsub üles eraldama rahalisi vahendeid ookeanipõhiste meetmete jaoks, et toetada kestliku arengu eesmärki nr 14. Sellega seoses on oluline kaasata nii avaliku kui ka erasektori rahalisi vahendeid. Komitee soovitab luua ookeanide jaoks eraldi eelarveread sellistes valdkonnaülestes fondides nagu programm „Euroopa horisont“ ja Euroopa Sotsiaalfond ning tugevdada selliseid </w:t>
      </w:r>
      <w:proofErr w:type="spellStart"/>
      <w:r>
        <w:t>valdkondlikke</w:t>
      </w:r>
      <w:proofErr w:type="spellEnd"/>
      <w:r>
        <w:t xml:space="preserve"> fonde nagu Euroopa Merendus-, Kalandus- ja Vesiviljelusfond;</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kutsub komisjoni üles lisama pakti sotsiaalse mõõtme, mis tagaks merendussektoris õiglase ja digitaalse ülemineku koos töötajate igakülgse toetamisega. Selleks on vaja edendada põlvkondade vahetumist, viies ellu noori ligi meelitavaid algatusi, tugevdada töökaitset ning hõlbustada kutsealast ümberõpet ja oskuste täiendamist;</w:t>
      </w:r>
    </w:p>
    <w:p w:rsidR="000873F2" w:rsidRDefault="000873F2" w14:paraId="68BCE9DD" w14:textId="4AE19436">
      <w:pPr>
        <w:spacing w:after="160" w:line="259" w:lineRule="auto"/>
        <w:jc w:val="left"/>
        <w:rPr>
          <w:szCs w:val="20"/>
        </w:rPr>
      </w:pPr>
      <w:r>
        <w:br w:type="page"/>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kutsub üles tagama võrdsed tingimused ja looma tugeva merendusklastri, millel on selged süsinikuheite vähendamise eesmärgid, et kindlustada meretööstuse õitseng ja püsimine Euroopas;</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soovitab luua tervikliku mehhanismi pakti edusammude hindamiseks ja jälgimiseks. See mehhanism peab hõlmama ka Euroopa Majandus- ja Sotsiaalkomiteed.</w:t>
      </w:r>
    </w:p>
    <w:p w:rsidRPr="00A62505" w:rsidR="00A62505" w:rsidP="00A62505" w:rsidRDefault="00A62505" w14:paraId="6368CA30" w14:textId="77777777">
      <w:pPr>
        <w:widowControl w:val="0"/>
        <w:overflowPunct w:val="0"/>
        <w:autoSpaceDE w:val="0"/>
        <w:autoSpaceDN w:val="0"/>
        <w:adjustRightInd w:val="0"/>
        <w:ind w:left="709"/>
        <w:textAlignment w:val="baseline"/>
        <w:rPr>
          <w:szCs w:val="20"/>
          <w:lang w:val="en-GB"/>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Kontaktisik</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proofErr w:type="spellStart"/>
            <w:r>
              <w:t>Gaia</w:t>
            </w:r>
            <w:proofErr w:type="spellEnd"/>
            <w:r>
              <w:t xml:space="preserve"> </w:t>
            </w:r>
            <w:proofErr w:type="spellStart"/>
            <w:r>
              <w:t>Bottoni</w:t>
            </w:r>
            <w:proofErr w:type="spellEnd"/>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E-post</w:t>
            </w:r>
          </w:p>
        </w:tc>
        <w:tc>
          <w:tcPr>
            <w:tcW w:w="3620" w:type="pct"/>
          </w:tcPr>
          <w:p w:rsidRPr="00A62505" w:rsidR="000873F2" w:rsidP="00A62505" w:rsidRDefault="00014567" w14:paraId="62CB7CCA" w14:textId="47A8C0AA">
            <w:pPr>
              <w:overflowPunct w:val="0"/>
              <w:autoSpaceDE w:val="0"/>
              <w:autoSpaceDN w:val="0"/>
              <w:adjustRightInd w:val="0"/>
              <w:spacing w:line="240" w:lineRule="auto"/>
              <w:textAlignment w:val="baseline"/>
              <w:rPr>
                <w:i/>
              </w:rPr>
            </w:pPr>
            <w:hyperlink w:history="1" r:id="rId41">
              <w:r w:rsidR="006E5368">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014567" w14:paraId="450BEA01" w14:textId="24C8F915">
      <w:pPr>
        <w:widowControl w:val="0"/>
        <w:numPr>
          <w:ilvl w:val="0"/>
          <w:numId w:val="4"/>
        </w:numPr>
        <w:overflowPunct w:val="0"/>
        <w:autoSpaceDE w:val="0"/>
        <w:autoSpaceDN w:val="0"/>
        <w:adjustRightInd w:val="0"/>
        <w:ind w:hanging="567"/>
        <w:textAlignment w:val="baseline"/>
      </w:pPr>
      <w:hyperlink w:history="1" r:id="rId42">
        <w:r w:rsidR="006E5368">
          <w:rPr>
            <w:b/>
            <w:i/>
            <w:color w:val="0000FF"/>
            <w:sz w:val="28"/>
            <w:u w:val="single"/>
          </w:rPr>
          <w:t>Uued eeskirjad ebaausate kaubandustavade vastaste meetmete piiriülese jõustamise kohta</w:t>
        </w:r>
      </w:hyperlink>
    </w:p>
    <w:p w:rsidRPr="008C3EEA" w:rsidR="000873F2" w:rsidP="00284F59" w:rsidRDefault="000873F2" w14:paraId="2C9B3901" w14:textId="59E6A7CA">
      <w:pPr>
        <w:spacing w:after="160" w:line="259" w:lineRule="auto"/>
        <w:jc w:val="left"/>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695"/>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Pr>
                <w:b/>
              </w:rPr>
              <w:t>Raportöör</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proofErr w:type="spellStart"/>
            <w:r>
              <w:rPr>
                <w:b/>
              </w:rPr>
              <w:t>Emilie</w:t>
            </w:r>
            <w:proofErr w:type="spellEnd"/>
            <w:r>
              <w:rPr>
                <w:b/>
              </w:rPr>
              <w:t xml:space="preserve"> PROUZET</w:t>
            </w:r>
            <w:r>
              <w:t xml:space="preserve"> (tööandjate rühm –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Pr>
                <w:b/>
              </w:rPr>
              <w:t>Viitedokumendid</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pPr>
            <w:r>
              <w:t xml:space="preserve">COM(2024) 576 </w:t>
            </w:r>
            <w:proofErr w:type="spellStart"/>
            <w:r>
              <w:t>final</w:t>
            </w:r>
            <w:proofErr w:type="spellEnd"/>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pPr>
            <w:r>
              <w:t>EESC-2024-04652-00-00-AC</w:t>
            </w:r>
          </w:p>
        </w:tc>
      </w:tr>
    </w:tbl>
    <w:p w:rsidR="00037018" w:rsidP="002A694B" w:rsidRDefault="00037018" w14:paraId="5289C30D" w14:textId="77777777">
      <w:pPr>
        <w:spacing w:after="160" w:line="276" w:lineRule="auto"/>
        <w:jc w:val="left"/>
        <w:rPr>
          <w:b/>
          <w:bCs/>
          <w:lang w:val="en-GB"/>
        </w:rPr>
      </w:pPr>
    </w:p>
    <w:p w:rsidRPr="002A694B" w:rsidR="00284F59" w:rsidP="002A694B" w:rsidRDefault="00284F59" w14:paraId="22E707D5" w14:textId="241847DE">
      <w:pPr>
        <w:spacing w:after="160" w:line="240" w:lineRule="auto"/>
        <w:jc w:val="left"/>
        <w:rPr>
          <w:b/>
          <w:bCs/>
        </w:rPr>
      </w:pPr>
      <w:r>
        <w:rPr>
          <w:b/>
        </w:rPr>
        <w:t>Põhipunktid</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pPr>
      <w:r>
        <w:t>Euroopa Majandus- ja Sotsiaalkomitee:</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toetab riiklike asutuste koostöö tugevdamist siseturul ning viimastel kuudel toiduainete tarneahela eri osaliste vahel valitsenud avatud dialoogi vaimu ja loodab, et see püsib ka hiljuti loodud Euroopa põllumajandus- ja toidunõukojas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märgib, et on oluline taotleda riiklike asutuste paremat teabevahetust, koordineerimist ja koostööd, et kaebuse esitajaid nende tegevuses paremini toetada. Sellega seoses toonitab komitee taas tõlkide ja tõlkijate võtmerolli. Keel on endiselt suur takistus, mis piirab juurdepääsu menetlustele;</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väljendab heameelt komisjoni otsuse üle alustada kiiresti Euroopa põllumajanduse tulevikku käsitlenud strateegilise dialoogi soovituste hõlmamist õigusloomeprotsessi;</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mõistab mõjuhinnangu puudumist, arvestades, et kõnealuse määruse ettepanekuga soovitakse üksnes selgitada ebaausate kaubandustavade direktiivis juba sätestatud riiklike asutuste koostöö korda;</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 xml:space="preserve">kutsub kaasseadusandjaid üles tagama, et kavandatav määrus jääks seadusandlikuks aktiks, mille eesmärk on üksnes täpsustada haldus- ja </w:t>
      </w:r>
      <w:proofErr w:type="spellStart"/>
      <w:r>
        <w:t>menetluslikke</w:t>
      </w:r>
      <w:proofErr w:type="spellEnd"/>
      <w:r>
        <w:t xml:space="preserve"> meetmeid ning et siseturul tegutsevatel ettevõtetel oleks õiguskindlus ning vabadus valida oma lepingute suhtes kohaldatav õigus ja kohtualluvus, järgides samal ajal konkurentsiõigust;</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nõuab seepärast, et määruse meetmeid kohaldataks üksnes õigusaktide täitmise tagamise eest vastutavate asutuste koostöö suhtes seoses ebaausate kaubandustavade ja piirmääradega, mis on ELi tasandil ühtlustatud vastavalt ebaausate kaubandustavade direktiivi artiklitele 3 ja 4;</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 xml:space="preserve">kutsub kaasseadusandjaid üles tagama, et õigusaktide täitmise eest vastutavatel asutustel oleks täielik õigus keelduda taotlustest vahetada teavet riigisiseste õigusnormide kohta, mida ei ole ebaausate kaubandustavade direktiiviga ühtlustatud ning mitte esitama meetmeid, mis viiksid hankimise </w:t>
      </w:r>
      <w:proofErr w:type="spellStart"/>
      <w:r>
        <w:t>taasriigistamiseni</w:t>
      </w:r>
      <w:proofErr w:type="spellEnd"/>
      <w:r>
        <w:t xml:space="preserve"> Euroopas ja õigustaksid sellega seoses territoriaalseid tarnepiiranguid, millel on tõsised tagajärjed tarbijatele ja toodete kestlikkusele.</w:t>
      </w:r>
    </w:p>
    <w:p w:rsidRPr="008C3EEA"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Kontaktisik</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proofErr w:type="spellStart"/>
            <w:r>
              <w:rPr>
                <w:i/>
              </w:rPr>
              <w:t>Myrto</w:t>
            </w:r>
            <w:proofErr w:type="spellEnd"/>
            <w:r>
              <w:rPr>
                <w:i/>
              </w:rPr>
              <w:t xml:space="preserve"> </w:t>
            </w:r>
            <w:proofErr w:type="spellStart"/>
            <w:r>
              <w:rPr>
                <w:i/>
              </w:rPr>
              <w:t>Kolyva</w:t>
            </w:r>
            <w:proofErr w:type="spellEnd"/>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Pr>
                <w:i/>
              </w:rPr>
              <w:t>Tel</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E-post</w:t>
            </w:r>
          </w:p>
        </w:tc>
        <w:tc>
          <w:tcPr>
            <w:tcW w:w="4252" w:type="dxa"/>
          </w:tcPr>
          <w:p w:rsidRPr="00766A5E" w:rsidR="00766A5E" w:rsidP="00766A5E" w:rsidRDefault="00014567" w14:paraId="1A74AC37" w14:textId="77777777">
            <w:pPr>
              <w:overflowPunct w:val="0"/>
              <w:autoSpaceDE w:val="0"/>
              <w:autoSpaceDN w:val="0"/>
              <w:adjustRightInd w:val="0"/>
              <w:spacing w:line="240" w:lineRule="auto"/>
              <w:textAlignment w:val="baseline"/>
              <w:rPr>
                <w:i/>
              </w:rPr>
            </w:pPr>
            <w:hyperlink w:history="1" r:id="rId43">
              <w:r w:rsidR="006E5368">
                <w:rPr>
                  <w:i/>
                  <w:color w:val="0000FF"/>
                  <w:u w:val="single"/>
                </w:rPr>
                <w:t>Myrto.Kolyva@eesc.europa.eu</w:t>
              </w:r>
            </w:hyperlink>
            <w:r w:rsidR="006E5368">
              <w:rPr>
                <w:color w:val="0000FF"/>
                <w:u w:val="single"/>
              </w:rPr>
              <w:t xml:space="preserve"> </w:t>
            </w:r>
          </w:p>
        </w:tc>
      </w:tr>
    </w:tbl>
    <w:p w:rsidRPr="008C3EEA" w:rsidR="00AE55EC" w:rsidRDefault="00AE55EC" w14:paraId="4B2C4603" w14:textId="77777777">
      <w:pPr>
        <w:spacing w:after="160" w:line="259" w:lineRule="auto"/>
        <w:jc w:val="left"/>
      </w:pPr>
    </w:p>
    <w:p w:rsidRPr="00766A5E" w:rsidR="00AE55EC" w:rsidRDefault="00AE55EC" w14:paraId="5AE5C9CA" w14:textId="77777777">
      <w:pPr>
        <w:spacing w:after="160" w:line="259" w:lineRule="auto"/>
        <w:jc w:val="left"/>
      </w:pPr>
      <w:r>
        <w:br w:type="page"/>
      </w:r>
    </w:p>
    <w:p w:rsidRPr="00712A05" w:rsidR="00712A05" w:rsidP="00712A05" w:rsidRDefault="00014567" w14:paraId="7BBEE416" w14:textId="097FF3C7">
      <w:pPr>
        <w:widowControl w:val="0"/>
        <w:numPr>
          <w:ilvl w:val="0"/>
          <w:numId w:val="4"/>
        </w:numPr>
        <w:overflowPunct w:val="0"/>
        <w:autoSpaceDE w:val="0"/>
        <w:autoSpaceDN w:val="0"/>
        <w:adjustRightInd w:val="0"/>
        <w:ind w:hanging="567"/>
        <w:textAlignment w:val="baseline"/>
        <w:rPr>
          <w:sz w:val="26"/>
          <w:szCs w:val="26"/>
        </w:rPr>
      </w:pPr>
      <w:hyperlink w:history="1" r:id="rId44">
        <w:r w:rsidR="006E5368">
          <w:rPr>
            <w:b/>
            <w:i/>
            <w:color w:val="0000FF"/>
            <w:sz w:val="26"/>
            <w:u w:val="single"/>
          </w:rPr>
          <w:t>Ühise turukorralduse määruse muutmine lepingute, tootjaorganisatsioonide ja põllumajandustootjate vahelise koostöö eeskirjade osas</w:t>
        </w:r>
      </w:hyperlink>
    </w:p>
    <w:p w:rsidRPr="008C3EEA"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(kodanikuühiskonna organisatsioonide rühm –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Pr>
                <w:b/>
              </w:rPr>
              <w:t>Viitedokumendid</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r>
              <w:t xml:space="preserve">COM(2024) 577 </w:t>
            </w:r>
            <w:proofErr w:type="spellStart"/>
            <w:r>
              <w:t>final</w:t>
            </w:r>
            <w:proofErr w:type="spellEnd"/>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Euroopa Majandus- ja Sotsiaalkomitee:</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toetab Euroopa Komisjoni ettepanekut tugevdada põllumajandustootjate positsiooni toiduainete tarneahelas, soovitades täiendavad parandusi;</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väljendab heameelt nõude üle sõlmida kirjalikud lepingud põllumajandustoodete tarnimiseks, mis hõlmavad objektiivseid näitajaid tootmiskulude kohta ja teavet turuhindade kohta, ja soovitab kehtestada Euroopa tasandil vabastuse läviväärtuseks 5 000 eurot;</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soovitab igal liikmesriigil kindlaks määrata ja avaldada objektiivsed ja läbipaistvad riiklikud ja/või piirkondlikud tootmiskulude näitajad ja teabe turuhindade kohta, konsulteerides väärtusahela kõigi sidusrühmadega;</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toetab mõtet, et kirjalikesse lepingutesse tuleks lisada kohustuslik läbivaatamisklausel, mille võib käivitada tootja ja mis võimaldab uusi läbirääkimisi põllumajandustootjatele makstavate hindade üle kooskõlas tootmiskulude ja turuhindade muutumisega ning kestlikkuse kriteeriumitega, pakkudes välja tingimused nende läbirääkimiste jaoks;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toetab vahendusmenetluse mehhanismide loomist igas liikmesriigis hiljemalt esimesel aastal pärast määruse avaldamist, võttes arvesse kehtivate mehhanismide võimalikku olemasolu, ning on seisukohal, et tuleb luua mehhanism otsuste tegemiseks lühikese tähtaja jooksul;</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toetab komisjoni ettepanekut lubada tunnustamata tootjaorganisatsioonidel kasutada samu konkurentsieeskirjade erandeid, mis on määratud tunnustatud tootjaorganisatsioonidele, kuid teeb ettepaneku, et see võimalus peaks olema üleminekuetapp ametliku tunnustamise suunas kahe aasta jooksul;</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toetab mõistete „aus“, „õiglane“ ja „lühikesed tarneahelad“ kasutamistingimuste määratlemist ning soovitab selgitada mõisteid „aus“ ja „õiglane“, lisades tootjate tasu, tagades põllumajandus- ja toidutööstusringkondadele õiglase elatustaseme;</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toetab komisjoni ettepanekut tugevdada tootjate vahelises kooskõlastatud tegevuses kestlikkuse eesmärke (sh töö- ja ohutustingimuste parandamine);</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soovitab läbi vaadata ja ajakohastada põllumajandustoodete võrdluskünnised, et viia need kooskõlla praeguse majandusolukorraga;</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 xml:space="preserve">teeb ettepaneku kasutada põllumajandusreservi asemel sihtotstarbelist rahalist toetust, et toetada ettevõtjaid turu tõsise </w:t>
      </w:r>
      <w:proofErr w:type="spellStart"/>
      <w:r>
        <w:t>tasakaalustamatuse</w:t>
      </w:r>
      <w:proofErr w:type="spellEnd"/>
      <w:r>
        <w:t xml:space="preserve"> korral.</w:t>
      </w:r>
    </w:p>
    <w:p w:rsidRPr="008C3EEA" w:rsidR="004B7F1C" w:rsidP="005C6109" w:rsidRDefault="004B7F1C" w14:paraId="01BD518F" w14:textId="77777777"/>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Kontaktisik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E-post</w:t>
            </w:r>
          </w:p>
        </w:tc>
        <w:tc>
          <w:tcPr>
            <w:tcW w:w="3443" w:type="pct"/>
          </w:tcPr>
          <w:p w:rsidRPr="00712A05" w:rsidR="00712A05" w:rsidP="00712A05" w:rsidRDefault="00014567" w14:paraId="4053D2F3" w14:textId="77777777">
            <w:pPr>
              <w:overflowPunct w:val="0"/>
              <w:autoSpaceDE w:val="0"/>
              <w:autoSpaceDN w:val="0"/>
              <w:adjustRightInd w:val="0"/>
              <w:spacing w:line="240" w:lineRule="auto"/>
              <w:textAlignment w:val="baseline"/>
              <w:rPr>
                <w:i/>
              </w:rPr>
            </w:pPr>
            <w:hyperlink w:history="1" r:id="rId45">
              <w:r w:rsidR="006E5368">
                <w:rPr>
                  <w:i/>
                  <w:color w:val="0000FF"/>
                  <w:u w:val="single"/>
                </w:rPr>
                <w:t>Martine.Delanoy@eesc.europa.eu</w:t>
              </w:r>
            </w:hyperlink>
            <w:r w:rsidR="006E5368">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61618" w:id="11"/>
      <w:r>
        <w:rPr>
          <w:b/>
        </w:rPr>
        <w:t>VÄLISSUHETE SEKTSIOON</w:t>
      </w:r>
      <w:bookmarkEnd w:id="11"/>
    </w:p>
    <w:p w:rsidR="00763D5C" w:rsidP="007F5784" w:rsidRDefault="00763D5C" w14:paraId="57876725" w14:textId="77777777"/>
    <w:p w:rsidRPr="00763D5C" w:rsidR="00763D5C" w:rsidP="00763D5C" w:rsidRDefault="00014567" w14:paraId="78EB4FF7" w14:textId="0CB7CE92">
      <w:pPr>
        <w:widowControl w:val="0"/>
        <w:numPr>
          <w:ilvl w:val="0"/>
          <w:numId w:val="13"/>
        </w:numPr>
        <w:overflowPunct w:val="0"/>
        <w:autoSpaceDE w:val="0"/>
        <w:autoSpaceDN w:val="0"/>
        <w:adjustRightInd w:val="0"/>
        <w:ind w:hanging="567"/>
        <w:jc w:val="left"/>
        <w:textAlignment w:val="baseline"/>
        <w:rPr>
          <w:sz w:val="20"/>
          <w:szCs w:val="20"/>
        </w:rPr>
      </w:pPr>
      <w:hyperlink r:id="rId46">
        <w:r w:rsidR="006E5368">
          <w:rPr>
            <w:b/>
            <w:i/>
            <w:color w:val="0000FF"/>
            <w:sz w:val="28"/>
            <w:u w:val="single"/>
          </w:rPr>
          <w:t xml:space="preserve">Konkurentsivõime ja majandusjulgeolek – kuidas peaks ELi kaubanduspoliitika aitama saavutada </w:t>
        </w:r>
        <w:proofErr w:type="spellStart"/>
        <w:r w:rsidR="006E5368">
          <w:rPr>
            <w:b/>
            <w:i/>
            <w:color w:val="0000FF"/>
            <w:sz w:val="28"/>
            <w:u w:val="single"/>
          </w:rPr>
          <w:t>Draghi</w:t>
        </w:r>
        <w:proofErr w:type="spellEnd"/>
        <w:r w:rsidR="006E5368">
          <w:rPr>
            <w:b/>
            <w:i/>
            <w:color w:val="0000FF"/>
            <w:sz w:val="28"/>
            <w:u w:val="single"/>
          </w:rPr>
          <w:t xml:space="preserve"> aruande eesmärke?</w:t>
        </w:r>
      </w:hyperlink>
    </w:p>
    <w:p w:rsidRPr="008C3EEA"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rPr>
                <w:b/>
              </w:rPr>
              <w:t>Georgi STOEV</w:t>
            </w:r>
            <w:r>
              <w:t xml:space="preserve"> (tööandjate rühm – 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001937F3" w:rsidP="008220A8" w:rsidRDefault="001937F3" w14:paraId="0278820E" w14:textId="660B3602">
            <w:pPr>
              <w:overflowPunct w:val="0"/>
              <w:autoSpaceDE w:val="0"/>
              <w:autoSpaceDN w:val="0"/>
              <w:adjustRightInd w:val="0"/>
              <w:textAlignment w:val="baseline"/>
            </w:pPr>
            <w:r>
              <w:t>ettevalmistav arvamus ELi eesistujariigi Poola taotlusel</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Euroopa Majandus- ja Sotsiaalkomitee:</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 xml:space="preserve">hinnangul tuleb selleks, et kaubandus aitaks tõhusalt kaasa </w:t>
      </w:r>
      <w:proofErr w:type="spellStart"/>
      <w:r>
        <w:t>Draghi</w:t>
      </w:r>
      <w:proofErr w:type="spellEnd"/>
      <w:r>
        <w:t xml:space="preserve"> aruande eesmärkide saavutamisele, viia kaubanduspoliitika tihedalt kooskõlla tööstuspoliitika ja Euroopa majandusjulgeolekupoliitikaga. Selleks on vaja ühtset Euroopa välispoliitika ja julgeoleku strateegiat, mille üks põhikomponente on välismajanduse ja väliskaubanduse poliitika;</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rPr>
      </w:pPr>
      <w:r>
        <w:t>märgib, et poliitika kõnealuse koordineerimise peamised eesmärgid peaksid olema kooskõlas avatud, kestliku ja jõulise kaubanduspoliitika integreeritud kontseptsiooniga, mille eesmärk on: a) tagada kriitilise tähtsusega toorainete tarned ja üldiselt tarneahelate kestlikkus; b) võimaldada Euroopal olla konkurentsivõimeline ja toota kõige arenenuma tehnoloogia abil ning juhtida õiglast ja kestlikku rohe- ja digipööret ning c) aidata oluliselt langetada energiahindu, mis on üks peamisi Euroopa majanduse konkurentsivõimet kahjustavaid tegureid;</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leiab, et praegust muutuvat olukorda arvestades on vaja ühtseid meetmeid ja võimalik, et ka reageerimist ELi tasandil. Selleks on vaja tugevat juhtimist. See tähendab muu hulgas, et ebaseaduslike tariifide kehtestamise korral tuleb kasutada olemasolevaid kaubanduse kaitsevahendeid, mille hulgas on majandusdiplomaatia meetmed ja võimalus kehtestada omalt poolt tariifid või esitada WTOle nõue. Kaubanduse mitmekesistamine on samuti tungivalt soovitav;</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 xml:space="preserve">teeb ettepaneku luua ELi investeerimisfond majandusliku vastupanuvõime ja kestliku konkurentsivõime tagamiseks, et aidata tugevdada ELi finantssuutlikkust ja Euroopa Investeerimispanga (EIP) </w:t>
      </w:r>
      <w:proofErr w:type="spellStart"/>
      <w:r>
        <w:t>laenuandmisvõimet</w:t>
      </w:r>
      <w:proofErr w:type="spellEnd"/>
      <w:r>
        <w:t xml:space="preserve"> </w:t>
      </w:r>
      <w:proofErr w:type="spellStart"/>
      <w:r>
        <w:t>InvestEU</w:t>
      </w:r>
      <w:proofErr w:type="spellEnd"/>
      <w:r>
        <w:t xml:space="preserve"> programmide toetamisel. Pangandusliidu ja kapitaliturgude liidu väljakujundamine hõlbustaks erakapitali tunduvalt kiiremat suunamist investeeringutesse;</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rõhutab, et ELi kaubandusstandardite jätkuva tulemuslikkuse tagamiseks ELi laiemate huvide kaitsmisel peab kodanikuühiskond olema läbirääkimismenetlustesse kaasatud. Kodanikuühiskonna organisatsioonide struktureeritud osalemine läbirääkimiste käigus toimuvate konsultatsioonide vormis annaks võimaluse tõsta esile teatavaid olulisi küsimusi seoses lepingute mõjuga enne nende heakskiitmist.</w:t>
      </w:r>
    </w:p>
    <w:p w:rsidRPr="008C3EEA"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Pr>
                <w:b/>
                <w:i/>
              </w:rPr>
              <w:t>Kontaktisik</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Pr>
                <w:i/>
              </w:rPr>
              <w:t>Marco Ristori</w:t>
            </w:r>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Pr>
                <w:i/>
              </w:rPr>
              <w:t>Tel</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Pr>
                <w:i/>
              </w:rPr>
              <w:t>+32 25469969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Pr>
                <w:i/>
              </w:rPr>
              <w:t>E-post</w:t>
            </w:r>
          </w:p>
        </w:tc>
        <w:tc>
          <w:tcPr>
            <w:tcW w:w="5670" w:type="dxa"/>
          </w:tcPr>
          <w:p w:rsidRPr="00763D5C" w:rsidR="00763D5C" w:rsidP="00763D5C" w:rsidRDefault="00014567" w14:paraId="23D52C13" w14:textId="77777777">
            <w:pPr>
              <w:overflowPunct w:val="0"/>
              <w:autoSpaceDE w:val="0"/>
              <w:autoSpaceDN w:val="0"/>
              <w:adjustRightInd w:val="0"/>
              <w:textAlignment w:val="baseline"/>
              <w:rPr>
                <w:i/>
              </w:rPr>
            </w:pPr>
            <w:hyperlink w:history="1" r:id="rId47">
              <w:r w:rsidR="006E5368">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6770A8" w:rsidRDefault="00014567" w14:paraId="0CD972DE" w14:textId="7AE6B1EC">
      <w:pPr>
        <w:widowControl w:val="0"/>
        <w:numPr>
          <w:ilvl w:val="0"/>
          <w:numId w:val="14"/>
        </w:numPr>
        <w:overflowPunct w:val="0"/>
        <w:autoSpaceDE w:val="0"/>
        <w:autoSpaceDN w:val="0"/>
        <w:adjustRightInd w:val="0"/>
        <w:ind w:hanging="567"/>
        <w:rPr>
          <w:sz w:val="20"/>
          <w:szCs w:val="20"/>
        </w:rPr>
      </w:pPr>
      <w:hyperlink w:history="1" r:id="rId48">
        <w:r w:rsidR="006E5368">
          <w:rPr>
            <w:b/>
            <w:i/>
            <w:color w:val="0000FF"/>
            <w:sz w:val="28"/>
            <w:u w:val="single"/>
          </w:rPr>
          <w:t>ELi ja India strateegiline partnerlus</w:t>
        </w:r>
      </w:hyperlink>
    </w:p>
    <w:p w:rsidRPr="006770A8" w:rsidR="006770A8" w:rsidP="006770A8" w:rsidRDefault="006770A8" w14:paraId="0D1853E4" w14:textId="77777777">
      <w:pPr>
        <w:tabs>
          <w:tab w:val="center" w:pos="284"/>
        </w:tabs>
        <w:overflowPunct w:val="0"/>
        <w:autoSpaceDE w:val="0"/>
        <w:autoSpaceDN w:val="0"/>
        <w:adjustRightInd w:val="0"/>
        <w:ind w:left="266" w:hanging="266"/>
        <w:rPr>
          <w:b/>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Pr>
                <w:b/>
              </w:rPr>
              <w:t>Raportöör</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r>
              <w:t xml:space="preserve">Aurel </w:t>
            </w:r>
            <w:proofErr w:type="spellStart"/>
            <w:r>
              <w:t>Laurenţiu</w:t>
            </w:r>
            <w:proofErr w:type="spellEnd"/>
            <w:r>
              <w:t xml:space="preserve"> PLOSCEANU (tööandjate rühm –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Pr>
                <w:b/>
              </w:rPr>
              <w:t>Viitedokumendid</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omaalgatuslik arvamus</w:t>
            </w:r>
          </w:p>
          <w:p w:rsidRPr="006770A8" w:rsidR="006770A8" w:rsidP="006770A8" w:rsidRDefault="006770A8" w14:paraId="74369A02" w14:textId="18966662">
            <w:pPr>
              <w:tabs>
                <w:tab w:val="center" w:pos="284"/>
              </w:tabs>
              <w:overflowPunct w:val="0"/>
              <w:autoSpaceDE w:val="0"/>
              <w:autoSpaceDN w:val="0"/>
              <w:adjustRightInd w:val="0"/>
              <w:ind w:left="266" w:hanging="266"/>
            </w:pPr>
            <w:r>
              <w:t>EESC-2024-04035-00-00-AC</w:t>
            </w:r>
          </w:p>
        </w:tc>
      </w:tr>
    </w:tbl>
    <w:p w:rsidRPr="006770A8" w:rsidR="006770A8" w:rsidP="006770A8" w:rsidRDefault="006770A8" w14:paraId="111E6222" w14:textId="77777777">
      <w:pPr>
        <w:tabs>
          <w:tab w:val="center" w:pos="284"/>
        </w:tabs>
        <w:overflowPunct w:val="0"/>
        <w:autoSpaceDE w:val="0"/>
        <w:autoSpaceDN w:val="0"/>
        <w:adjustRightInd w:val="0"/>
        <w:ind w:left="266" w:hanging="266"/>
        <w:rPr>
          <w:sz w:val="10"/>
          <w:szCs w:val="10"/>
          <w:lang w:val="en-GB"/>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Põhipunktid</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rPr>
      </w:pPr>
      <w:r>
        <w:t>Euroopa Majandus- ja Sotsiaalkomitee:</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kutsub Euroopa Komisjoni üles tegema järjepidevat tööd strateegilise partnerluse tugevdamiseks Indiaga, mis on maailma suurim ametlik demokraatia, tehes ettepaneku uue ambitsioonika tegevuskava kohta, mis on kohandatud praegustele poliitilistele ja strateegilistele oludele;</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palub Euroopa Komisjonil tingimata kiirendada läbirääkimisi Indiaga vabakaubanduslepingu üle, et muuta India strateegilises kontekstis Euroopa Liidu sooduskaubanduspartneriks;</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pooldab ELi ja India koostöö laiendamist kõigis valdkondades, edendades veelgi õiglast, kaasavat ja reeglitel põhinevat rahvusvahelist kaubandust, tuginedes meie iidsete tsivilisatsioonide ühisele ajaloole ja väärtustele ning meie ühisele arusaamale tänapäeva tegelikkusest;</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 xml:space="preserve">soovitab edendada koostööd ELi ja selle liikmesriikide ning India vahel kahe- ja </w:t>
      </w:r>
      <w:proofErr w:type="spellStart"/>
      <w:r>
        <w:t>mitmepoolsetes</w:t>
      </w:r>
      <w:proofErr w:type="spellEnd"/>
      <w:r>
        <w:t xml:space="preserve"> projektides, mis käsitlevad taristut, ehitust – eelkõige süvasadamaid ja lennujaamu – ning energiavõrkude ühendamist;</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pooldab ELi ja selle liikmesriikide ning India vahelise kaitse- ja julgeolekualase koostöö edasist süvendamist, eelkõige teadus- ja arendustegevuse ning innovatsiooni sektoris, sealhulgas ühised kosmose- ja kahesuguse kasutusega projektid, pöörates erilist tähelepanu väikeste ja keskmise suurusega ettevõtjate panusele;</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soovitab edendada koostööd ELi ja selle liikmesriikide ning India vahel merendusjulgeoleku ühisprojektides, eelkõige India ookeani lääneosas ja seda läbivatel laevateedel;</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teeb ettepaneku veelgi laiendada kultuurivahetust ELi ja selle liikmesriikide ning India vahel, eelkõige ülikoolide koostöö ja üliõpilasvahetuse ning õppejõudude ja teadustöötajate vahetuste kaudu;</w:t>
      </w:r>
    </w:p>
    <w:p w:rsidRPr="006770A8" w:rsidR="006770A8" w:rsidP="002A694B" w:rsidRDefault="006770A8" w14:paraId="4CB223DD" w14:textId="77777777">
      <w:pPr>
        <w:numPr>
          <w:ilvl w:val="0"/>
          <w:numId w:val="36"/>
        </w:numPr>
        <w:overflowPunct w:val="0"/>
        <w:autoSpaceDE w:val="0"/>
        <w:autoSpaceDN w:val="0"/>
        <w:adjustRightInd w:val="0"/>
        <w:ind w:left="284" w:hanging="284"/>
        <w:rPr>
          <w:szCs w:val="20"/>
        </w:rPr>
      </w:pPr>
      <w:r>
        <w:t xml:space="preserve">soovitab laiendada Indiaga koostööd </w:t>
      </w:r>
      <w:r>
        <w:rPr>
          <w:color w:val="000000" w:themeColor="text1"/>
        </w:rPr>
        <w:t>India – Lähis-Ida – Euroopa majanduskoridori</w:t>
      </w:r>
      <w:r>
        <w:t xml:space="preserve"> (IMEC) raames. Selleks kavatseb komitee 2025. aastal koostada põhjaliku arvamuse </w:t>
      </w:r>
      <w:proofErr w:type="spellStart"/>
      <w:r>
        <w:t>IMECi</w:t>
      </w:r>
      <w:proofErr w:type="spellEnd"/>
      <w:r>
        <w:t xml:space="preserve"> projekti ja selle lähituleviku väljavaadete kohta;</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kutsub Euroopa Ülemkogu, Euroopa Komisjoni ja ELi liikmesriike üles kiiresti taaskäivitama komitee ELi ja India ümarlauda, kaasates seejuures kodanikuühiskonda;</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peab tervitatavaks eelseisvat ELi ja India tippkohtumist ja sellega seotud noorte tippkohtumist ning on valmis andma sellesse oma panuse.</w:t>
      </w:r>
    </w:p>
    <w:p w:rsidRPr="008C3EEA" w:rsidR="006770A8" w:rsidP="006770A8" w:rsidRDefault="006770A8" w14:paraId="4F726E36" w14:textId="77777777">
      <w:pPr>
        <w:widowControl w:val="0"/>
        <w:overflowPunct w:val="0"/>
        <w:autoSpaceDE w:val="0"/>
        <w:autoSpaceDN w:val="0"/>
        <w:adjustRightInd w:val="0"/>
        <w:ind w:left="709"/>
        <w:rPr>
          <w:szCs w:val="20"/>
          <w:lang w:val="fi-FI"/>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Kontaktisik</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proofErr w:type="spellStart"/>
            <w:r>
              <w:rPr>
                <w:i/>
              </w:rPr>
              <w:t>Tena</w:t>
            </w:r>
            <w:proofErr w:type="spellEnd"/>
            <w:r>
              <w:rPr>
                <w:i/>
              </w:rPr>
              <w:t xml:space="preserve"> </w:t>
            </w:r>
            <w:proofErr w:type="spellStart"/>
            <w:r>
              <w:rPr>
                <w:i/>
              </w:rPr>
              <w:t>Vukelic</w:t>
            </w:r>
            <w:proofErr w:type="spellEnd"/>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Pr>
                <w:i/>
              </w:rPr>
              <w:t>Tel</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E-post</w:t>
            </w:r>
          </w:p>
        </w:tc>
        <w:tc>
          <w:tcPr>
            <w:tcW w:w="3444" w:type="pct"/>
            <w:hideMark/>
          </w:tcPr>
          <w:p w:rsidRPr="006770A8" w:rsidR="006770A8" w:rsidP="006770A8" w:rsidRDefault="00014567" w14:paraId="744A260B" w14:textId="77777777">
            <w:pPr>
              <w:overflowPunct w:val="0"/>
              <w:autoSpaceDE w:val="0"/>
              <w:autoSpaceDN w:val="0"/>
              <w:adjustRightInd w:val="0"/>
              <w:spacing w:line="240" w:lineRule="auto"/>
              <w:rPr>
                <w:i/>
              </w:rPr>
            </w:pPr>
            <w:hyperlink w:history="1" r:id="rId49">
              <w:r w:rsidR="006E5368">
                <w:rPr>
                  <w:i/>
                  <w:color w:val="0000FF"/>
                  <w:u w:val="single"/>
                </w:rPr>
                <w:t>Tena.Vukelic@eesc.europa.eu</w:t>
              </w:r>
            </w:hyperlink>
            <w:r w:rsidR="006E5368">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014567"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0">
        <w:r w:rsidR="006E5368">
          <w:rPr>
            <w:b/>
            <w:i/>
            <w:color w:val="0000FF"/>
            <w:sz w:val="28"/>
            <w:u w:val="single"/>
          </w:rPr>
          <w:t>Moldova majanduskasvu kava</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329"/>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Pr>
                <w:b/>
              </w:rPr>
              <w:t>Raportöör</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(töötajate rühm –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Pr>
                <w:b/>
              </w:rPr>
              <w:t>Viitedokumendid</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r>
              <w:t xml:space="preserve">COM(2024) 470 </w:t>
            </w:r>
            <w:proofErr w:type="spellStart"/>
            <w:r>
              <w:t>final</w:t>
            </w:r>
            <w:proofErr w:type="spellEnd"/>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Euroopa Majandus- ja Sotsiaalkomitee:</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väljendab heameelt Moldova majanduskasvu kava (edaspidi „kava“) käsitleva Euroopa Komisjoni algatuse ja Euroopa Parlamendi aruande üle. Tegemist on Euroopa Liidu seni suurima rahalise toetuse paketiga Moldovale;</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rõhutab vajadust kaasata sotsiaalpartnerid, kodanikuühiskonna organisatsioonid, eksperdid, akadeemilised ringkonnad ja kohalikud ametiasutused reformikava väljatöötamisse, järelevalvesse ja rakendamisse. Nad tuleb kaasata ka edusammude mõõtmiseks vajalike konkreetsete näitajate ja vahenäitajate väljatöötamisse ja järelevalvesse. Oluline on kaasata organiseeritud kodanikuühiskonna esindajad kava tulemustabeli väljatöötamisse ja reformikava rakendamise sõltumatusse järelevalvesse;</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soovitab eraldada vahendeid majanduskasvu kava toetuskomponendist, et toetada kodanikuühiskonna organisatsioonide tegevust, mis aitab kaasa kava rakendamisele;</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soovitab kõnealuse toetuse parameetrites teha kaks põhimõttelist muudatust:</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rPr>
      </w:pPr>
      <w:r>
        <w:t>suurendada toetuste osakaalu praeguselt 16 %-lt 35 %-le ja seejärel vähendada proportsionaalselt sooduslaenude osakaalu;</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rPr>
      </w:pPr>
      <w:r>
        <w:t>suurendada investeeringuteks eraldatava laenu minimaalset osakaalu 25 %-lt 35 %-</w:t>
      </w:r>
      <w:proofErr w:type="spellStart"/>
      <w:r>
        <w:t>le</w:t>
      </w:r>
      <w:proofErr w:type="spellEnd"/>
      <w:r>
        <w:t>;</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kiidab heaks kava kolm sammast, sest need kiirendavad Moldova majanduslikku ja õiguslikku lähenemist ELi standarditele, kuid juhib tähelepanu ka muudele olulistele aspektidele, mida tuleb kava rakendamisel arvesse võtta: keskkond, digipööre, sotsiaalsed investeeringud, detsentraliseerimine ja kohalik autonoomia, ELi kvaliteedi- ja toiduohutusestandardite austamine;</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rõhutab vajadust parandada Moldova riigiettevõtete tõhusust;</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soovitab suunata vähemalt 20 % kõigist investeeringutest kohalikku ja piirkondlikku arengusse, tagades seega kogu riigi tasakaalustatud ja kestliku arengu;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toob esile, et inimõiguste küsimusi, sealhulgas soolist tasakaalu, puuetega inimeste kaasamist ja põhimõtet, et mitte kedagi ei tohi kõrvale jätta, tuleks kõigis kava raames teostatavates projektides pidada horisontaalseks prioriteediks;</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leiab, et Moldova Vabariigis tuleks tagada majandus- ja sotsiaalnõukogu asutamiseks vajalik rahastus.</w:t>
      </w:r>
    </w:p>
    <w:p w:rsidRPr="008C3EEA"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Kontaktisik</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Pr>
                <w:i/>
              </w:rPr>
              <w:t xml:space="preserve">Katarina </w:t>
            </w:r>
            <w:proofErr w:type="spellStart"/>
            <w:r>
              <w:rPr>
                <w:i/>
              </w:rPr>
              <w:t>Albrechtova</w:t>
            </w:r>
            <w:proofErr w:type="spellEnd"/>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Pr>
                <w:i/>
              </w:rPr>
              <w:t>Tel</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+32 25469460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E-post</w:t>
            </w:r>
          </w:p>
        </w:tc>
        <w:tc>
          <w:tcPr>
            <w:tcW w:w="4182" w:type="pct"/>
          </w:tcPr>
          <w:p w:rsidRPr="008E5B24" w:rsidR="008E5B24" w:rsidP="008E5B24" w:rsidRDefault="00014567" w14:paraId="7BF220CA" w14:textId="77777777">
            <w:pPr>
              <w:overflowPunct w:val="0"/>
              <w:autoSpaceDE w:val="0"/>
              <w:autoSpaceDN w:val="0"/>
              <w:adjustRightInd w:val="0"/>
              <w:spacing w:line="240" w:lineRule="auto"/>
              <w:textAlignment w:val="baseline"/>
              <w:rPr>
                <w:i/>
              </w:rPr>
            </w:pPr>
            <w:hyperlink w:history="1" r:id="rId51">
              <w:r w:rsidR="006E5368">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B8302A" w:rsidRDefault="00014567" w14:paraId="0CA917D0" w14:textId="7C43E30F">
      <w:pPr>
        <w:widowControl w:val="0"/>
        <w:numPr>
          <w:ilvl w:val="0"/>
          <w:numId w:val="16"/>
        </w:numPr>
        <w:overflowPunct w:val="0"/>
        <w:autoSpaceDE w:val="0"/>
        <w:autoSpaceDN w:val="0"/>
        <w:adjustRightInd w:val="0"/>
        <w:textAlignment w:val="baseline"/>
        <w:rPr>
          <w:color w:val="0000FF"/>
          <w:szCs w:val="20"/>
          <w:u w:val="single"/>
        </w:rPr>
      </w:pPr>
      <w:hyperlink w:history="1" r:id="rId52">
        <w:r w:rsidR="006E5368">
          <w:rPr>
            <w:b/>
            <w:i/>
            <w:color w:val="0000FF"/>
            <w:sz w:val="28"/>
            <w:u w:val="single"/>
          </w:rPr>
          <w:t xml:space="preserve">Tegevuskava Euroopa Liidu ja Kasahstani kodanikuühiskonna organisatsioonide koostöö tõhustamiseks uue Kesk-Aasia strateegia ja strateegia „Global </w:t>
        </w:r>
        <w:proofErr w:type="spellStart"/>
        <w:r w:rsidR="006E5368">
          <w:rPr>
            <w:b/>
            <w:i/>
            <w:color w:val="0000FF"/>
            <w:sz w:val="28"/>
            <w:u w:val="single"/>
          </w:rPr>
          <w:t>Gateway</w:t>
        </w:r>
        <w:proofErr w:type="spellEnd"/>
        <w:r w:rsidR="006E5368">
          <w:rPr>
            <w:b/>
            <w:i/>
            <w:color w:val="0000FF"/>
            <w:sz w:val="28"/>
            <w:u w:val="single"/>
          </w:rPr>
          <w:t>“ rakendamise raames</w:t>
        </w:r>
      </w:hyperlink>
      <w:r w:rsidR="006E5368">
        <w:t xml:space="preserve"> </w:t>
      </w:r>
    </w:p>
    <w:p w:rsidRPr="008C3EEA"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B8302A" w:rsidRDefault="00B8302A" w14:paraId="6BD3AEF1" w14:textId="77777777">
            <w:pPr>
              <w:tabs>
                <w:tab w:val="center" w:pos="284"/>
              </w:tabs>
              <w:overflowPunct w:val="0"/>
              <w:autoSpaceDE w:val="0"/>
              <w:autoSpaceDN w:val="0"/>
              <w:adjustRightInd w:val="0"/>
              <w:ind w:left="266" w:hanging="266"/>
              <w:textAlignment w:val="baseline"/>
              <w:rPr>
                <w:b/>
              </w:rPr>
            </w:pPr>
            <w:r>
              <w:rPr>
                <w:b/>
              </w:rPr>
              <w:t>Raportöör</w:t>
            </w:r>
          </w:p>
        </w:tc>
        <w:tc>
          <w:tcPr>
            <w:tcW w:w="3923" w:type="pct"/>
          </w:tcPr>
          <w:p w:rsidRPr="00F53C9D" w:rsidR="00B8302A" w:rsidP="00B8302A" w:rsidRDefault="00B8302A" w14:paraId="32EB4691" w14:textId="47B13537">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(töötajate rühm – RO)</w:t>
            </w:r>
          </w:p>
        </w:tc>
      </w:tr>
      <w:tr w:rsidRPr="00B8302A" w:rsidR="00B8302A" w:rsidTr="000C2127" w14:paraId="6C16EC92" w14:textId="77777777">
        <w:tc>
          <w:tcPr>
            <w:tcW w:w="5000" w:type="pct"/>
            <w:gridSpan w:val="2"/>
          </w:tcPr>
          <w:p w:rsidRPr="00B8302A"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pPr>
          </w:p>
        </w:tc>
      </w:tr>
      <w:tr w:rsidRPr="00B8302A" w:rsidR="00B8302A" w:rsidTr="000C2127" w14:paraId="408B7794" w14:textId="77777777">
        <w:tc>
          <w:tcPr>
            <w:tcW w:w="1077" w:type="pct"/>
          </w:tcPr>
          <w:p w:rsidRPr="00B8302A" w:rsidR="00B8302A" w:rsidP="00B8302A" w:rsidRDefault="00B8302A" w14:paraId="467E9599" w14:textId="77777777">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rsidR="003E155B" w:rsidP="00B8302A" w:rsidRDefault="003E155B" w14:paraId="2DCC067B" w14:textId="489362E7">
            <w:pPr>
              <w:tabs>
                <w:tab w:val="center" w:pos="284"/>
              </w:tabs>
              <w:overflowPunct w:val="0"/>
              <w:autoSpaceDE w:val="0"/>
              <w:autoSpaceDN w:val="0"/>
              <w:adjustRightInd w:val="0"/>
              <w:ind w:left="266" w:hanging="266"/>
              <w:textAlignment w:val="baseline"/>
            </w:pPr>
            <w:r>
              <w:t>omaalgatuslik arvamus</w:t>
            </w:r>
          </w:p>
          <w:p w:rsidRPr="00B8302A" w:rsidR="00B8302A" w:rsidP="00B8302A" w:rsidRDefault="00B8302A" w14:paraId="013DF277" w14:textId="708EB53E">
            <w:pPr>
              <w:tabs>
                <w:tab w:val="center" w:pos="284"/>
              </w:tabs>
              <w:overflowPunct w:val="0"/>
              <w:autoSpaceDE w:val="0"/>
              <w:autoSpaceDN w:val="0"/>
              <w:adjustRightInd w:val="0"/>
              <w:ind w:left="266" w:hanging="266"/>
              <w:textAlignment w:val="baseline"/>
            </w:pPr>
            <w:r>
              <w:t>EESC-2024-02254-00-00-AC</w:t>
            </w:r>
          </w:p>
        </w:tc>
      </w:tr>
    </w:tbl>
    <w:p w:rsidRPr="00B8302A"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lang w:val="en-G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rPr>
      </w:pPr>
      <w:r>
        <w:t>Euroopa Majandus- ja Sotsiaalkomitee:</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 xml:space="preserve">toetab Euroopa Liidu ja Kasahstani koostöö tugevdamist, pidades silmas prioriteete ja võimalusi, mis tulenevad ELi uuest Kesk-Aasia strateegiast ja algatusest „Global </w:t>
      </w:r>
      <w:proofErr w:type="spellStart"/>
      <w:r>
        <w:t>Gateway</w:t>
      </w:r>
      <w:proofErr w:type="spellEnd"/>
      <w:r>
        <w:t>“;</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tunnistab, et partnerlus ELiga on Kasahstani välispoliitika nurgakivi ning tegemist on esimese Kesk-Aasia riigiga, kes allkirjastas ELiga laiendatud partnerlus- ja koostöölepingu. Lepinguga edendatakse koostööd sellistes olulistes sektorites nagu kaubandus, investeeringud, energeetika, põllumajandus ja ühendatus. EL on Kasahstani suurim kaubanduspartner ning riik loob ühendus- ja transpordivõrkude arendamise kaudu sildu Aasia ja Euroopa vahel;</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peab oluliseks tagada, et neis suhetes seataks esikohale kestlikkus, inimõigused ja kaasatus ning et need oleksid kooskõlas ELi väärtuste ja strateegiliste eesmärkidega, võttes arvesse keskkonnaalaseid, sotsiaalseid ja geopoliitilisi aspekte. Kasahstan saab tänu iga-aastasel ELi ja Kesk-Aasia kodanikuühiskonna foorumil juba saadud kogemustele viia end hõlpsasti ELiga vastavusse kodanikuühiskonnaga peetava ja sotsiaaldialoogi programmides;</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toetab kodanikuühiskonnaga peetava ja sotsiaaldialoogi arendamist Kesk-Aasias ning pooldab selle ametlikuks muutmist, lähtudes headest tavadest suhetes teiste piirkondade, näiteks Lääne-Balkani riikide organiseeritud kodanikuühiskonnaga;</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 xml:space="preserve">on veendunud, et ELi ja Kasahstani organiseeritud kodanikuühiskonna suhted võivad areneda struktureeritud viisil tegevuskava alusel, millel on mitu prioriteeti ja mis on kooskõlas ELi uue Kesk-Aasia strateegia eesmärkidega. Rahastamine peaks toimuma algatuse „Global </w:t>
      </w:r>
      <w:proofErr w:type="spellStart"/>
      <w:r>
        <w:t>Gateway</w:t>
      </w:r>
      <w:proofErr w:type="spellEnd"/>
      <w:r>
        <w:t>“ raames, kusjuures proportsionaalne panus peab tulema selle piirkonna riikide valitsustelt ja samuti teistelt rahvusvahelistelt rahastajatelt;</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leiab, et EL võiks aidata toetada Kasahstani kodanikuühiskonna arengut ja tugevdamist, luues kogemuste vahetamise programmi riigiametnikele;</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 xml:space="preserve">on seisukohal, et EL peaks toetama Kasahstani kodanikuühiskonna arengut ka sel teel, et suurendab noorte kasahhide haridusvõimalusi </w:t>
      </w:r>
      <w:proofErr w:type="spellStart"/>
      <w:r>
        <w:t>Erasmuse</w:t>
      </w:r>
      <w:proofErr w:type="spellEnd"/>
      <w:r>
        <w:t xml:space="preserve"> programmi kaudu.</w:t>
      </w:r>
    </w:p>
    <w:p w:rsidRPr="008C3EEA" w:rsidR="00B8302A" w:rsidP="00B8302A" w:rsidRDefault="00B8302A" w14:paraId="66EF64B3" w14:textId="77777777">
      <w:pPr>
        <w:widowControl w:val="0"/>
        <w:overflowPunct w:val="0"/>
        <w:autoSpaceDE w:val="0"/>
        <w:autoSpaceDN w:val="0"/>
        <w:adjustRightInd w:val="0"/>
        <w:ind w:left="709"/>
        <w:textAlignment w:val="baseline"/>
        <w:rPr>
          <w:szCs w:val="20"/>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Kontaktisik</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t>Daniele Vitali</w:t>
            </w:r>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Pr>
                <w:i/>
              </w:rPr>
              <w:t>Tel</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E-post</w:t>
            </w:r>
          </w:p>
        </w:tc>
        <w:tc>
          <w:tcPr>
            <w:tcW w:w="3444" w:type="pct"/>
          </w:tcPr>
          <w:p w:rsidRPr="002A694B" w:rsidR="00B8302A" w:rsidP="00B8302A" w:rsidRDefault="00014567" w14:paraId="6CC155EE" w14:textId="77777777">
            <w:pPr>
              <w:overflowPunct w:val="0"/>
              <w:autoSpaceDE w:val="0"/>
              <w:autoSpaceDN w:val="0"/>
              <w:adjustRightInd w:val="0"/>
              <w:spacing w:line="240" w:lineRule="auto"/>
              <w:textAlignment w:val="baseline"/>
              <w:rPr>
                <w:i/>
                <w:iCs/>
                <w:color w:val="0000FF"/>
                <w:u w:val="single"/>
              </w:rPr>
            </w:pPr>
            <w:hyperlink w:history="1" r:id="rId53">
              <w:r w:rsidR="006E5368">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61619" w:id="12"/>
      <w:r>
        <w:rPr>
          <w:b/>
          <w:color w:val="222A35" w:themeColor="text2" w:themeShade="80"/>
        </w:rPr>
        <w:t>TÖÖSTUSE MUUTUSTE NÕUANDEKOMISJON</w:t>
      </w:r>
      <w:bookmarkEnd w:id="12"/>
    </w:p>
    <w:p w:rsidR="006D2C8A" w:rsidP="006D2C8A" w:rsidRDefault="006D2C8A" w14:paraId="713E272F" w14:textId="77777777"/>
    <w:p w:rsidRPr="00CE3425" w:rsidR="009F1849" w:rsidP="005D04F3" w:rsidRDefault="00014567"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4">
        <w:r w:rsidR="006E5368">
          <w:rPr>
            <w:b/>
            <w:i/>
            <w:color w:val="0000FF"/>
            <w:sz w:val="28"/>
            <w:u w:val="single"/>
          </w:rPr>
          <w:t>Euroopa vedelkütuste strateegia ülemineku tagamiseks kestlikule, taskukohasele ja vastupanuvõimelisele vähese CO</w:t>
        </w:r>
        <w:r w:rsidR="006E5368">
          <w:rPr>
            <w:b/>
            <w:i/>
            <w:color w:val="0000FF"/>
            <w:sz w:val="28"/>
            <w:u w:val="single"/>
            <w:vertAlign w:val="subscript"/>
          </w:rPr>
          <w:t>2</w:t>
        </w:r>
        <w:r w:rsidR="006E5368">
          <w:rPr>
            <w:b/>
            <w:i/>
            <w:color w:val="0000FF"/>
            <w:sz w:val="28"/>
            <w:u w:val="single"/>
          </w:rPr>
          <w:t xml:space="preserve"> heitega majandusele</w:t>
        </w:r>
      </w:hyperlink>
    </w:p>
    <w:p w:rsidRPr="008C3EEA"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Pr>
                <w:b/>
              </w:rPr>
              <w:t>Raportöör</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pPr>
            <w:proofErr w:type="spellStart"/>
            <w:r>
              <w:t>Veselin</w:t>
            </w:r>
            <w:proofErr w:type="spellEnd"/>
            <w:r>
              <w:t xml:space="preserve"> MITOV (töötajate rühm – BG)</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Pr>
                <w:b/>
              </w:rPr>
              <w:t>Kaasraportöör</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proofErr w:type="spellStart"/>
            <w:r>
              <w:t>Alessandro</w:t>
            </w:r>
            <w:proofErr w:type="spellEnd"/>
            <w:r>
              <w:t xml:space="preserve"> BARTELLONI (1. kat – IT)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Pr>
                <w:b/>
              </w:rPr>
              <w:t>Viitedokumendid</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pPr>
            <w:r>
              <w:t>omaalgatuslik arvamus</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t>EESC-2025-03709-00-00-AC</w:t>
            </w:r>
          </w:p>
        </w:tc>
      </w:tr>
    </w:tbl>
    <w:p w:rsidRPr="00CE3425" w:rsidR="009F1849" w:rsidP="009F1849" w:rsidRDefault="009F1849" w14:paraId="325F1A8F" w14:textId="77777777">
      <w:pPr>
        <w:tabs>
          <w:tab w:val="center" w:pos="284"/>
        </w:tabs>
        <w:overflowPunct w:val="0"/>
        <w:autoSpaceDE w:val="0"/>
        <w:autoSpaceDN w:val="0"/>
        <w:adjustRightInd w:val="0"/>
        <w:ind w:left="266" w:hanging="266"/>
        <w:textAlignment w:val="baseline"/>
        <w:rPr>
          <w:lang w:val="en-GB"/>
        </w:rPr>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rPr>
      </w:pPr>
      <w:r>
        <w:t>Euroopa Majandus- ja Sotsiaalkomitee:</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kutsub üles koostama ELi vedelkütuste strateegia, millega tagatakse üleminek fossiilkütustelt </w:t>
      </w:r>
      <w:proofErr w:type="spellStart"/>
      <w:r>
        <w:t>dekarboniseeritud</w:t>
      </w:r>
      <w:proofErr w:type="spellEnd"/>
      <w:r>
        <w:t xml:space="preserve"> ja taastuvallikatest toodetud alternatiividele, käsitledes kestlikkust, taskukohasust ja usaldusväärsust kõigi transpordiliikide puhul;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rPr>
      </w:pPr>
      <w:r>
        <w:t xml:space="preserve">märgib, et selline strateegia ei toetaks mitte ainult kliimaeesmärke, vaid aitaks eelkõige mitmekesistada energiaallikaid, parandades samal ajal varustuskindlust. Ühtlasi stimuleeriks selline strateegia taastuvenergia investeeringuid, edendaks ringmajandust, standardiks piiriülese kaubanduse jaoks biokütuste ja </w:t>
      </w:r>
      <w:proofErr w:type="spellStart"/>
      <w:r>
        <w:t>elektrokütuste</w:t>
      </w:r>
      <w:proofErr w:type="spellEnd"/>
      <w:r>
        <w:t xml:space="preserve"> tootmist, viies selle kooskõlla kestlikkusega ning oleks alternatiiviks seal, kus elektrifitseerimine on keeruline;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 xml:space="preserve">soovitab parandada </w:t>
      </w:r>
      <w:proofErr w:type="spellStart"/>
      <w:r>
        <w:t>dekarboniseeritud</w:t>
      </w:r>
      <w:proofErr w:type="spellEnd"/>
      <w:r>
        <w:t xml:space="preserve"> ja taastuvallikatest toodetud vedelkütuse tarneahelate tõhusust, täiustades lähteainete hankimist, segamist ja ladustamist ning optimeerides logistikat tööstuskeskuste kaudu;</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 xml:space="preserve">rõhutab vajadust kasutada </w:t>
      </w:r>
      <w:proofErr w:type="spellStart"/>
      <w:r>
        <w:t>dekarboniseeritud</w:t>
      </w:r>
      <w:proofErr w:type="spellEnd"/>
      <w:r>
        <w:t xml:space="preserve"> ja taastuvate vedelkütuste transpordiks ja ladustamiseks olemasolevat taristut, mis on selleks sobiv, et minimeerida suurt kulu ühiskonnale;</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 xml:space="preserve">kutsub üles kasutama ära kestliku </w:t>
      </w:r>
      <w:proofErr w:type="spellStart"/>
      <w:r>
        <w:t>biomassi</w:t>
      </w:r>
      <w:proofErr w:type="spellEnd"/>
      <w:r>
        <w:t xml:space="preserve"> täieliku potentsiaali ning tagama avatud dialoogid peamiste tööstusharudega;</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 xml:space="preserve">rõhutab, et on oluline vähendada </w:t>
      </w:r>
      <w:proofErr w:type="spellStart"/>
      <w:r>
        <w:t>dekarboniseeritud</w:t>
      </w:r>
      <w:proofErr w:type="spellEnd"/>
      <w:r>
        <w:t xml:space="preserve"> ja taastuvallikatest toodetud kütuste tootmiskulusid, tagades kulutõhusa juurdepääsu puhtale elektrile ja lähteainetele ning suurendades tootmisrajatiste võimsust. Samal ajal tuleks kasutada ELi teadus- ja arendustegevuse algatusi – sealhulgas ELi heitkogustega kauplemise süsteemi innovatsioonifondi –, et hoogustada edusamme ja investeeringuid sellistesse kestliku vedelkütuse tootmise tehnoloogiavõimalustesse, millel on väiksem CO</w:t>
      </w:r>
      <w:r>
        <w:rPr>
          <w:vertAlign w:val="subscript"/>
        </w:rPr>
        <w:t>2</w:t>
      </w:r>
      <w:r>
        <w:t>-heide;</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soovitab luua sotsiaaldialoogi abil koolitusprogrammid ja haridusalgatused, et täiustada tööjõu oskusi, parandada tööalast konkurentsivõimet ja luua majanduse jaoks olulisi keskkonnahoidlikke inimväärseid töökohti. </w:t>
      </w:r>
    </w:p>
    <w:p w:rsidRPr="008C3EEA" w:rsidR="009F1849" w:rsidP="009F1849" w:rsidRDefault="009F1849" w14:paraId="20A30424" w14:textId="77777777">
      <w:pPr>
        <w:widowControl w:val="0"/>
        <w:overflowPunct w:val="0"/>
        <w:autoSpaceDE w:val="0"/>
        <w:autoSpaceDN w:val="0"/>
        <w:adjustRightInd w:val="0"/>
        <w:ind w:left="709"/>
        <w:textAlignment w:val="baseline"/>
        <w:rPr>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Kontaktisik</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proofErr w:type="spellStart"/>
            <w:r>
              <w:rPr>
                <w:i/>
              </w:rPr>
              <w:t>Adam</w:t>
            </w:r>
            <w:proofErr w:type="spellEnd"/>
            <w:r>
              <w:rPr>
                <w:i/>
              </w:rPr>
              <w:t xml:space="preserve"> </w:t>
            </w:r>
            <w:proofErr w:type="spellStart"/>
            <w:r>
              <w:rPr>
                <w:i/>
              </w:rPr>
              <w:t>Dorywalski</w:t>
            </w:r>
            <w:proofErr w:type="spellEnd"/>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Pr>
                <w:i/>
              </w:rPr>
              <w:t>Tel</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E-post</w:t>
            </w:r>
          </w:p>
        </w:tc>
        <w:tc>
          <w:tcPr>
            <w:tcW w:w="3444" w:type="pct"/>
          </w:tcPr>
          <w:p w:rsidRPr="00CE3425" w:rsidR="009F1849" w:rsidP="001E41BA" w:rsidRDefault="00014567" w14:paraId="729CBC98" w14:textId="77777777">
            <w:pPr>
              <w:overflowPunct w:val="0"/>
              <w:autoSpaceDE w:val="0"/>
              <w:autoSpaceDN w:val="0"/>
              <w:adjustRightInd w:val="0"/>
              <w:spacing w:line="240" w:lineRule="auto"/>
              <w:textAlignment w:val="baseline"/>
              <w:rPr>
                <w:i/>
                <w:iCs/>
              </w:rPr>
            </w:pPr>
            <w:hyperlink w:history="1" r:id="rId55">
              <w:r w:rsidR="006E5368">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r w:rsidR="00014567">
      <w:fldChar w:fldCharType="begin"/>
    </w:r>
    <w:r w:rsidR="00014567">
      <w:instrText xml:space="preserve"> NUMPAGES </w:instrText>
    </w:r>
    <w:r w:rsidR="00014567">
      <w:fldChar w:fldCharType="separate"/>
    </w:r>
    <w:r w:rsidR="007F16AB">
      <w:t>1</w:t>
    </w:r>
    <w:r w:rsidR="000145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r w:rsidR="00014567">
      <w:fldChar w:fldCharType="begin"/>
    </w:r>
    <w:r w:rsidR="00014567">
      <w:instrText xml:space="preserve"> NUMPAGES </w:instrText>
    </w:r>
    <w:r w:rsidR="00014567">
      <w:fldChar w:fldCharType="separate"/>
    </w:r>
    <w:r>
      <w:t>27</w:t>
    </w:r>
    <w:r w:rsidR="0001456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567"/>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43EB7"/>
    <w:rsid w:val="00375424"/>
    <w:rsid w:val="003B6861"/>
    <w:rsid w:val="003E155B"/>
    <w:rsid w:val="003F326D"/>
    <w:rsid w:val="003F79EF"/>
    <w:rsid w:val="00411517"/>
    <w:rsid w:val="0043191A"/>
    <w:rsid w:val="004337C8"/>
    <w:rsid w:val="0049330A"/>
    <w:rsid w:val="004A5CD7"/>
    <w:rsid w:val="004B7F1C"/>
    <w:rsid w:val="004D7AC0"/>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7651"/>
    <w:rsid w:val="00600497"/>
    <w:rsid w:val="00625CA3"/>
    <w:rsid w:val="0063177E"/>
    <w:rsid w:val="00641262"/>
    <w:rsid w:val="00641547"/>
    <w:rsid w:val="00650347"/>
    <w:rsid w:val="006770A8"/>
    <w:rsid w:val="00683410"/>
    <w:rsid w:val="006908FB"/>
    <w:rsid w:val="006B05D3"/>
    <w:rsid w:val="006B50EE"/>
    <w:rsid w:val="006D0571"/>
    <w:rsid w:val="006D2C8A"/>
    <w:rsid w:val="006D2D64"/>
    <w:rsid w:val="006E403A"/>
    <w:rsid w:val="006E5368"/>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4F34"/>
    <w:rsid w:val="008220A8"/>
    <w:rsid w:val="00845F24"/>
    <w:rsid w:val="00865E9F"/>
    <w:rsid w:val="0088219D"/>
    <w:rsid w:val="00891941"/>
    <w:rsid w:val="008C3EEA"/>
    <w:rsid w:val="008E5B24"/>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82895"/>
    <w:rsid w:val="00A92939"/>
    <w:rsid w:val="00AA3BE7"/>
    <w:rsid w:val="00AB26BD"/>
    <w:rsid w:val="00AC6D26"/>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DAA"/>
    <w:rsid w:val="00CE3425"/>
    <w:rsid w:val="00CF25DB"/>
    <w:rsid w:val="00D4128A"/>
    <w:rsid w:val="00D43613"/>
    <w:rsid w:val="00D7076A"/>
    <w:rsid w:val="00D81F5E"/>
    <w:rsid w:val="00D92269"/>
    <w:rsid w:val="00DB65F8"/>
    <w:rsid w:val="00DB7F86"/>
    <w:rsid w:val="00DC0AB9"/>
    <w:rsid w:val="00DC4A1F"/>
    <w:rsid w:val="00DE176A"/>
    <w:rsid w:val="00E00A6B"/>
    <w:rsid w:val="00E15F5C"/>
    <w:rsid w:val="00E77899"/>
    <w:rsid w:val="00E91453"/>
    <w:rsid w:val="00ED2AB3"/>
    <w:rsid w:val="00ED3589"/>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t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t/our-work/opinions-information-reports/opinions/research-and-training-programme-european-atomic-energy-community-2026-2027" TargetMode="External"/><Relationship Id="rId42" Type="http://schemas.openxmlformats.org/officeDocument/2006/relationships/hyperlink" Target="https://www.eesc.europa.eu/et/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et/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et/our-work/opinions-information-reports/opinions/health-and-safety-work-current-and-future-challenges-light-traditional-and-new-technologies-focus-ai" TargetMode="External"/><Relationship Id="rId32" Type="http://schemas.openxmlformats.org/officeDocument/2006/relationships/hyperlink" Target="https://www.eesc.europa.eu/et/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et/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et/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et/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et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e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et/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et/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et/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et/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et/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et/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et/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et/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A6WAAD5KZT2Q-604569563-7503</_dlc_DocId>
    <_dlc_DocIdUrl xmlns="1a33af13-4045-4f88-9d7b-618e30f79918">
      <Url>http://dm/eesc/2025/_layouts/15/DocIdRedir.aspx?ID=A6WAAD5KZT2Q-604569563-7503</Url>
      <Description>A6WAAD5KZT2Q-604569563-7503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Veermäe Ülle</DisplayName>
        <AccountId>1582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8FD3F-1771-4BDF-B8B0-3AFF83690A24}"/>
</file>

<file path=customXml/itemProps2.xml><?xml version="1.0" encoding="utf-8"?>
<ds:datastoreItem xmlns:ds="http://schemas.openxmlformats.org/officeDocument/2006/customXml" ds:itemID="{1762A48A-07FD-4DD2-A954-8AB46C2B6F51}"/>
</file>

<file path=customXml/itemProps3.xml><?xml version="1.0" encoding="utf-8"?>
<ds:datastoreItem xmlns:ds="http://schemas.openxmlformats.org/officeDocument/2006/customXml" ds:itemID="{98B10D60-D403-4672-AB3F-5274685F0539}"/>
</file>

<file path=customXml/itemProps4.xml><?xml version="1.0" encoding="utf-8"?>
<ds:datastoreItem xmlns:ds="http://schemas.openxmlformats.org/officeDocument/2006/customXml" ds:itemID="{05F4D646-642C-4D7B-BA64-5372C2E42FE5}"/>
</file>

<file path=docProps/app.xml><?xml version="1.0" encoding="utf-8"?>
<Properties xmlns="http://schemas.openxmlformats.org/officeDocument/2006/extended-properties" xmlns:vt="http://schemas.openxmlformats.org/officeDocument/2006/docPropsVTypes">
  <Template>Normal.dotm</Template>
  <TotalTime>0</TotalTime>
  <Pages>25</Pages>
  <Words>7645</Words>
  <Characters>43580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Vastuv'etud arvamuste kokkuvõte - 595. istungjärk - märts 2025 </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Veermäe Ülle</cp:lastModifiedBy>
  <cp:revision>10</cp:revision>
  <dcterms:created xsi:type="dcterms:W3CDTF">2025-04-10T15:07:00Z</dcterms:created>
  <dcterms:modified xsi:type="dcterms:W3CDTF">2025-04-11T09:01:00Z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264a7d58-c53f-40f9-a8ef-c5b5e60029bf</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FI|87606a43-d45f-42d6-b8c9-e1a3457db5b7;IT|0774613c-01ed-4e5d-a25d-11d2388de825;HR|2f555653-ed1a-4fe6-8362-9082d95989e5;ES|e7a6b05b-ae16-40c8-add9-68b64b03aeba;SL|98a412ae-eb01-49e9-ae3d-585a81724cfc;EN|f2175f21-25d7-44a3-96da-d6a61b075e1b;DE|f6b31e5a-26fa-4935-b661-318e46daf27e;PT|50ccc04a-eadd-42ae-a0cb-acaf45f812ba;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13;#TRA|150d2a88-1431-44e6-a8ca-0bb753ab8672;#67;#SPL-CES|32d8cb1f-c9ec-4365-95c7-8385a18618ac;#31;#SL|98a412ae-eb01-49e9-ae3d-585a81724cfc;#23;#DE|f6b31e5a-26fa-4935-b661-318e46daf27e;#19;#TCD|cd9d6eb6-3f4f-424a-b2d1-57c9d450eaaf;#16;#ES|e7a6b05b-ae16-40c8-add9-68b64b03aeba;#15;#Unrestricted|826e22d7-d029-4ec0-a450-0c28ff673572;#50;#HR|2f555653-ed1a-4fe6-8362-9082d95989e5;#8;#Final|ea5e6674-7b27-4bac-b091-73adbb394efe;#5;#EN|f2175f21-25d7-44a3-96da-d6a61b075e1b;#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41;#ET|ff6c3f4c-b02c-4c3c-ab07-2c37995a7a0a</vt:lpwstr>
  </property>
</Properties>
</file>