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29"/>
      </w:tblGrid>
      <w:tr w:rsidR="001C4138" w:rsidRPr="004F6117" w14:paraId="30B76F57" w14:textId="77777777" w:rsidTr="004F6117">
        <w:trPr>
          <w:jc w:val="center"/>
        </w:trPr>
        <w:tc>
          <w:tcPr>
            <w:tcW w:w="9729" w:type="dxa"/>
          </w:tcPr>
          <w:p w14:paraId="3A99935F" w14:textId="5BDF4B0E" w:rsidR="001C4138" w:rsidRPr="004F6117" w:rsidRDefault="00083DE5" w:rsidP="00E8165A">
            <w:pPr>
              <w:spacing w:before="120" w:after="120"/>
              <w:rPr>
                <w:rFonts w:ascii="Times New Roman" w:hAnsi="Times New Roman"/>
                <w:b/>
                <w:sz w:val="24"/>
                <w:szCs w:val="24"/>
              </w:rPr>
            </w:pPr>
            <w:r w:rsidRPr="00083DE5">
              <w:rPr>
                <w:rFonts w:ascii="Times New Roman" w:hAnsi="Times New Roman"/>
                <w:b/>
                <w:sz w:val="24"/>
                <w:szCs w:val="24"/>
              </w:rPr>
              <w:t>Paving the way to EU accession for the Western Balkans</w:t>
            </w:r>
            <w:r w:rsidR="001C4138" w:rsidRPr="004F6117">
              <w:rPr>
                <w:rFonts w:ascii="Times New Roman" w:hAnsi="Times New Roman"/>
                <w:b/>
                <w:sz w:val="24"/>
                <w:szCs w:val="24"/>
              </w:rPr>
              <w:br/>
            </w:r>
            <w:r w:rsidR="00925AA6" w:rsidRPr="00925AA6">
              <w:rPr>
                <w:rFonts w:ascii="Times New Roman" w:hAnsi="Times New Roman"/>
                <w:b/>
                <w:bCs/>
                <w:sz w:val="24"/>
                <w:szCs w:val="24"/>
              </w:rPr>
              <w:t>(exploratory opinion requested by the Hungarian Presidency of the Council of the EU)</w:t>
            </w:r>
            <w:r w:rsidR="006D039E">
              <w:rPr>
                <w:rFonts w:ascii="Times New Roman" w:hAnsi="Times New Roman"/>
                <w:b/>
                <w:sz w:val="24"/>
                <w:szCs w:val="24"/>
              </w:rPr>
              <w:br/>
            </w:r>
            <w:r w:rsidR="001C4138" w:rsidRPr="004F6117">
              <w:rPr>
                <w:rFonts w:ascii="Times New Roman" w:hAnsi="Times New Roman"/>
                <w:b/>
                <w:sz w:val="24"/>
                <w:szCs w:val="24"/>
              </w:rPr>
              <w:t>EESC</w:t>
            </w:r>
            <w:r w:rsidR="006D039E">
              <w:rPr>
                <w:rFonts w:ascii="Times New Roman" w:hAnsi="Times New Roman"/>
                <w:b/>
                <w:sz w:val="24"/>
                <w:szCs w:val="24"/>
              </w:rPr>
              <w:t xml:space="preserve"> </w:t>
            </w:r>
            <w:r w:rsidR="001C4138" w:rsidRPr="004F6117">
              <w:rPr>
                <w:rFonts w:ascii="Times New Roman" w:hAnsi="Times New Roman"/>
                <w:b/>
                <w:sz w:val="24"/>
                <w:szCs w:val="24"/>
              </w:rPr>
              <w:t>20</w:t>
            </w:r>
            <w:r>
              <w:rPr>
                <w:rFonts w:ascii="Times New Roman" w:hAnsi="Times New Roman"/>
                <w:b/>
                <w:sz w:val="24"/>
                <w:szCs w:val="24"/>
              </w:rPr>
              <w:t>24</w:t>
            </w:r>
            <w:r w:rsidR="001C4138" w:rsidRPr="004F6117">
              <w:rPr>
                <w:rFonts w:ascii="Times New Roman" w:hAnsi="Times New Roman"/>
                <w:b/>
                <w:sz w:val="24"/>
                <w:szCs w:val="24"/>
              </w:rPr>
              <w:t>-0</w:t>
            </w:r>
            <w:r>
              <w:rPr>
                <w:rFonts w:ascii="Times New Roman" w:hAnsi="Times New Roman"/>
                <w:b/>
                <w:sz w:val="24"/>
                <w:szCs w:val="24"/>
              </w:rPr>
              <w:t>2217</w:t>
            </w:r>
            <w:r w:rsidR="006D039E">
              <w:rPr>
                <w:rFonts w:ascii="Times New Roman" w:hAnsi="Times New Roman"/>
                <w:b/>
                <w:sz w:val="24"/>
                <w:szCs w:val="24"/>
              </w:rPr>
              <w:t xml:space="preserve"> </w:t>
            </w:r>
            <w:r w:rsidR="006D039E" w:rsidRPr="006D039E">
              <w:rPr>
                <w:rFonts w:ascii="Times New Roman" w:hAnsi="Times New Roman"/>
                <w:b/>
                <w:sz w:val="24"/>
                <w:szCs w:val="24"/>
              </w:rPr>
              <w:t xml:space="preserve">– </w:t>
            </w:r>
            <w:r w:rsidR="00B62777" w:rsidRPr="00B62777">
              <w:rPr>
                <w:rFonts w:ascii="Times New Roman" w:hAnsi="Times New Roman"/>
                <w:b/>
                <w:sz w:val="24"/>
                <w:szCs w:val="24"/>
              </w:rPr>
              <w:t>REX/591</w:t>
            </w:r>
            <w:r w:rsidR="001C4138" w:rsidRPr="004F6117">
              <w:rPr>
                <w:rFonts w:ascii="Times New Roman" w:hAnsi="Times New Roman"/>
                <w:b/>
                <w:sz w:val="24"/>
                <w:szCs w:val="24"/>
              </w:rPr>
              <w:br/>
              <w:t>5</w:t>
            </w:r>
            <w:r>
              <w:rPr>
                <w:rFonts w:ascii="Times New Roman" w:hAnsi="Times New Roman"/>
                <w:b/>
                <w:sz w:val="24"/>
                <w:szCs w:val="24"/>
              </w:rPr>
              <w:t>90</w:t>
            </w:r>
            <w:proofErr w:type="spellStart"/>
            <w:r w:rsidR="001C4138" w:rsidRPr="0049246C">
              <w:rPr>
                <w:rFonts w:ascii="Times New Roman" w:hAnsi="Times New Roman"/>
                <w:b/>
                <w:sz w:val="24"/>
                <w:szCs w:val="24"/>
                <w:vertAlign w:val="superscript"/>
                <w:lang w:val="en-IE"/>
              </w:rPr>
              <w:t>th</w:t>
            </w:r>
            <w:proofErr w:type="spellEnd"/>
            <w:r w:rsidR="001C4138" w:rsidRPr="004F6117">
              <w:rPr>
                <w:rFonts w:ascii="Times New Roman" w:hAnsi="Times New Roman"/>
                <w:b/>
                <w:sz w:val="24"/>
                <w:szCs w:val="24"/>
              </w:rPr>
              <w:t xml:space="preserve"> Plenary Session – </w:t>
            </w:r>
            <w:r w:rsidR="00B62777">
              <w:rPr>
                <w:rFonts w:ascii="Times New Roman" w:hAnsi="Times New Roman"/>
                <w:b/>
                <w:sz w:val="24"/>
                <w:szCs w:val="24"/>
              </w:rPr>
              <w:t>September</w:t>
            </w:r>
            <w:r w:rsidR="001C4138" w:rsidRPr="004F6117">
              <w:rPr>
                <w:rFonts w:ascii="Times New Roman" w:hAnsi="Times New Roman"/>
                <w:b/>
                <w:sz w:val="24"/>
                <w:szCs w:val="24"/>
              </w:rPr>
              <w:t xml:space="preserve"> 20</w:t>
            </w:r>
            <w:r w:rsidR="00B62777">
              <w:rPr>
                <w:rFonts w:ascii="Times New Roman" w:hAnsi="Times New Roman"/>
                <w:b/>
                <w:sz w:val="24"/>
                <w:szCs w:val="24"/>
              </w:rPr>
              <w:t>24</w:t>
            </w:r>
            <w:r w:rsidR="001C4138" w:rsidRPr="004F6117">
              <w:rPr>
                <w:rFonts w:ascii="Times New Roman" w:hAnsi="Times New Roman"/>
                <w:b/>
                <w:sz w:val="24"/>
                <w:szCs w:val="24"/>
              </w:rPr>
              <w:br/>
              <w:t xml:space="preserve">Rapporteur: </w:t>
            </w:r>
            <w:r w:rsidR="00B62777" w:rsidRPr="00B62777">
              <w:rPr>
                <w:rFonts w:ascii="Times New Roman" w:hAnsi="Times New Roman"/>
                <w:b/>
                <w:sz w:val="24"/>
                <w:szCs w:val="24"/>
              </w:rPr>
              <w:t>Andrej ZORKO</w:t>
            </w:r>
            <w:r w:rsidR="001E3104">
              <w:rPr>
                <w:rFonts w:ascii="Times New Roman" w:hAnsi="Times New Roman"/>
                <w:b/>
                <w:sz w:val="24"/>
                <w:szCs w:val="24"/>
              </w:rPr>
              <w:t xml:space="preserve"> </w:t>
            </w:r>
            <w:r w:rsidR="001E3104" w:rsidRPr="001E3104">
              <w:rPr>
                <w:rFonts w:ascii="Times New Roman" w:hAnsi="Times New Roman"/>
                <w:b/>
                <w:sz w:val="24"/>
                <w:szCs w:val="24"/>
                <w:lang w:val="en-IE"/>
              </w:rPr>
              <w:t>(SI-II)</w:t>
            </w:r>
            <w:r w:rsidR="001C4138" w:rsidRPr="004F6117">
              <w:rPr>
                <w:rFonts w:ascii="Times New Roman" w:hAnsi="Times New Roman"/>
                <w:b/>
                <w:sz w:val="24"/>
                <w:szCs w:val="24"/>
              </w:rPr>
              <w:br/>
              <w:t>Co-rapporteur:</w:t>
            </w:r>
            <w:r w:rsidR="00BA6F5F" w:rsidRPr="00BA6F5F">
              <w:rPr>
                <w:rFonts w:ascii="Times New Roman" w:eastAsia="Times New Roman" w:hAnsi="Times New Roman"/>
                <w:b/>
                <w:sz w:val="24"/>
                <w:szCs w:val="24"/>
              </w:rPr>
              <w:t xml:space="preserve"> </w:t>
            </w:r>
            <w:proofErr w:type="spellStart"/>
            <w:r w:rsidR="00BA6F5F" w:rsidRPr="00BA6F5F">
              <w:rPr>
                <w:rFonts w:ascii="Times New Roman" w:hAnsi="Times New Roman"/>
                <w:b/>
                <w:sz w:val="24"/>
                <w:szCs w:val="24"/>
              </w:rPr>
              <w:t>Ionuţ</w:t>
            </w:r>
            <w:proofErr w:type="spellEnd"/>
            <w:r w:rsidR="00BA6F5F" w:rsidRPr="00BA6F5F">
              <w:rPr>
                <w:rFonts w:ascii="Times New Roman" w:hAnsi="Times New Roman"/>
                <w:b/>
                <w:sz w:val="24"/>
                <w:szCs w:val="24"/>
              </w:rPr>
              <w:t xml:space="preserve"> SIBIAN</w:t>
            </w:r>
            <w:r w:rsidR="00525D6B">
              <w:rPr>
                <w:rFonts w:ascii="Times New Roman" w:hAnsi="Times New Roman"/>
                <w:b/>
                <w:sz w:val="24"/>
                <w:szCs w:val="24"/>
              </w:rPr>
              <w:t xml:space="preserve"> </w:t>
            </w:r>
            <w:r w:rsidR="001E3104" w:rsidRPr="001E3104">
              <w:rPr>
                <w:rFonts w:ascii="Times New Roman" w:hAnsi="Times New Roman"/>
                <w:b/>
                <w:sz w:val="24"/>
                <w:szCs w:val="24"/>
                <w:lang w:val="en-IE"/>
              </w:rPr>
              <w:t>(RO-III)</w:t>
            </w:r>
            <w:r w:rsidR="001C4138" w:rsidRPr="004F6117">
              <w:rPr>
                <w:rFonts w:ascii="Times New Roman" w:hAnsi="Times New Roman"/>
                <w:b/>
                <w:sz w:val="24"/>
                <w:szCs w:val="24"/>
              </w:rPr>
              <w:br/>
              <w:t xml:space="preserve">DG </w:t>
            </w:r>
            <w:r w:rsidR="001C4F3D">
              <w:rPr>
                <w:rFonts w:ascii="Times New Roman" w:hAnsi="Times New Roman"/>
                <w:b/>
                <w:sz w:val="24"/>
                <w:szCs w:val="24"/>
              </w:rPr>
              <w:t>ENEST</w:t>
            </w:r>
            <w:r w:rsidR="001C4F3D" w:rsidRPr="004F6117">
              <w:rPr>
                <w:rFonts w:ascii="Times New Roman" w:hAnsi="Times New Roman"/>
                <w:b/>
                <w:sz w:val="24"/>
                <w:szCs w:val="24"/>
              </w:rPr>
              <w:t xml:space="preserve"> </w:t>
            </w:r>
            <w:r w:rsidR="001C4138" w:rsidRPr="004F6117">
              <w:rPr>
                <w:rFonts w:ascii="Times New Roman" w:hAnsi="Times New Roman"/>
                <w:b/>
                <w:sz w:val="24"/>
                <w:szCs w:val="24"/>
              </w:rPr>
              <w:t xml:space="preserve">– Commissioner </w:t>
            </w:r>
            <w:r w:rsidR="00261176">
              <w:rPr>
                <w:rFonts w:ascii="Times New Roman" w:hAnsi="Times New Roman"/>
                <w:b/>
                <w:sz w:val="24"/>
                <w:szCs w:val="24"/>
              </w:rPr>
              <w:t>KOS</w:t>
            </w:r>
          </w:p>
        </w:tc>
      </w:tr>
      <w:tr w:rsidR="004F6117" w:rsidRPr="004F6117" w14:paraId="041809D9" w14:textId="77777777" w:rsidTr="004F6117">
        <w:trPr>
          <w:jc w:val="center"/>
        </w:trPr>
        <w:tc>
          <w:tcPr>
            <w:tcW w:w="9729" w:type="dxa"/>
          </w:tcPr>
          <w:p w14:paraId="52C253DC" w14:textId="590CF96E" w:rsidR="004F6117" w:rsidRPr="004F6117" w:rsidRDefault="0049246C" w:rsidP="00E8165A">
            <w:pPr>
              <w:spacing w:before="120" w:after="120"/>
              <w:jc w:val="center"/>
              <w:rPr>
                <w:rFonts w:ascii="Times New Roman" w:hAnsi="Times New Roman"/>
                <w:b/>
                <w:sz w:val="24"/>
                <w:szCs w:val="24"/>
                <w:highlight w:val="yellow"/>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B501D8">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4F6117" w:rsidRPr="004F6117" w14:paraId="461CAB07" w14:textId="77777777" w:rsidTr="004F6117">
        <w:trPr>
          <w:jc w:val="center"/>
        </w:trPr>
        <w:tc>
          <w:tcPr>
            <w:tcW w:w="9729" w:type="dxa"/>
          </w:tcPr>
          <w:p w14:paraId="418C28AE" w14:textId="3946B978" w:rsidR="00CC783F" w:rsidRPr="00CC783F" w:rsidRDefault="00CC783F" w:rsidP="00E8165A">
            <w:pPr>
              <w:spacing w:before="120" w:after="120"/>
              <w:jc w:val="both"/>
              <w:rPr>
                <w:rFonts w:ascii="Times New Roman" w:eastAsia="Times New Roman" w:hAnsi="Times New Roman"/>
                <w:color w:val="000000"/>
                <w:sz w:val="24"/>
                <w:szCs w:val="24"/>
              </w:rPr>
            </w:pPr>
            <w:r w:rsidRPr="00567705">
              <w:rPr>
                <w:rFonts w:ascii="Times New Roman" w:eastAsia="Times New Roman" w:hAnsi="Times New Roman"/>
                <w:sz w:val="24"/>
                <w:szCs w:val="24"/>
              </w:rPr>
              <w:t xml:space="preserve">The Commission agrees that enlargement is a merit-based process, and it remains key for the credibility of </w:t>
            </w:r>
            <w:r w:rsidR="00CD5C6A">
              <w:rPr>
                <w:rFonts w:ascii="Times New Roman" w:eastAsia="Times New Roman" w:hAnsi="Times New Roman"/>
                <w:sz w:val="24"/>
                <w:szCs w:val="24"/>
              </w:rPr>
              <w:t xml:space="preserve">the </w:t>
            </w:r>
            <w:r w:rsidR="008528A5">
              <w:rPr>
                <w:rFonts w:ascii="Times New Roman" w:eastAsia="Times New Roman" w:hAnsi="Times New Roman"/>
                <w:sz w:val="24"/>
                <w:szCs w:val="24"/>
              </w:rPr>
              <w:t>enlargement</w:t>
            </w:r>
            <w:r w:rsidR="008528A5" w:rsidRPr="00567705">
              <w:rPr>
                <w:rFonts w:ascii="Times New Roman" w:eastAsia="Times New Roman" w:hAnsi="Times New Roman"/>
                <w:sz w:val="24"/>
                <w:szCs w:val="24"/>
              </w:rPr>
              <w:t xml:space="preserve"> </w:t>
            </w:r>
            <w:r w:rsidRPr="00567705">
              <w:rPr>
                <w:rFonts w:ascii="Times New Roman" w:eastAsia="Times New Roman" w:hAnsi="Times New Roman"/>
                <w:sz w:val="24"/>
                <w:szCs w:val="24"/>
              </w:rPr>
              <w:t xml:space="preserve">policy that candidate countries and potential candidates move ahead on their respective EU paths </w:t>
            </w:r>
            <w:r w:rsidR="008528A5">
              <w:rPr>
                <w:rFonts w:ascii="Times New Roman" w:eastAsia="Times New Roman" w:hAnsi="Times New Roman"/>
                <w:sz w:val="24"/>
                <w:szCs w:val="24"/>
              </w:rPr>
              <w:t xml:space="preserve">only </w:t>
            </w:r>
            <w:r w:rsidRPr="00567705">
              <w:rPr>
                <w:rFonts w:ascii="Times New Roman" w:eastAsia="Times New Roman" w:hAnsi="Times New Roman"/>
                <w:sz w:val="24"/>
                <w:szCs w:val="24"/>
              </w:rPr>
              <w:t>once they implement the necessary reforms.</w:t>
            </w:r>
            <w:r w:rsidRPr="00CC783F">
              <w:rPr>
                <w:rFonts w:ascii="Times New Roman" w:eastAsia="Times New Roman" w:hAnsi="Times New Roman"/>
                <w:color w:val="000000"/>
                <w:sz w:val="24"/>
                <w:szCs w:val="24"/>
              </w:rPr>
              <w:t xml:space="preserve"> To preserve this credibility, strict conditionality and accountability are paramount. </w:t>
            </w:r>
          </w:p>
          <w:p w14:paraId="66CE74AF" w14:textId="2F3CEED6" w:rsidR="00CC783F" w:rsidRPr="00567705" w:rsidRDefault="00CC783F" w:rsidP="00E8165A">
            <w:pPr>
              <w:spacing w:before="120" w:after="120"/>
              <w:jc w:val="both"/>
              <w:rPr>
                <w:rFonts w:ascii="Times New Roman" w:eastAsia="Times New Roman" w:hAnsi="Times New Roman"/>
                <w:sz w:val="24"/>
                <w:szCs w:val="24"/>
              </w:rPr>
            </w:pPr>
            <w:r w:rsidRPr="00567705">
              <w:rPr>
                <w:rFonts w:ascii="Times New Roman" w:eastAsia="Times New Roman" w:hAnsi="Times New Roman"/>
                <w:sz w:val="24"/>
                <w:szCs w:val="24"/>
              </w:rPr>
              <w:t xml:space="preserve">The Commission welcomes the </w:t>
            </w:r>
            <w:r w:rsidR="00CD5C6A">
              <w:rPr>
                <w:rFonts w:ascii="Times New Roman" w:eastAsia="Times New Roman" w:hAnsi="Times New Roman"/>
                <w:sz w:val="24"/>
                <w:szCs w:val="24"/>
              </w:rPr>
              <w:t>support of the European Economic and Social Committee (</w:t>
            </w:r>
            <w:r w:rsidRPr="00567705">
              <w:rPr>
                <w:rFonts w:ascii="Times New Roman" w:eastAsia="Times New Roman" w:hAnsi="Times New Roman"/>
                <w:sz w:val="24"/>
                <w:szCs w:val="24"/>
              </w:rPr>
              <w:t>EESC</w:t>
            </w:r>
            <w:r w:rsidR="00CD5C6A">
              <w:rPr>
                <w:rFonts w:ascii="Times New Roman" w:eastAsia="Times New Roman" w:hAnsi="Times New Roman"/>
                <w:sz w:val="24"/>
                <w:szCs w:val="24"/>
              </w:rPr>
              <w:t>)</w:t>
            </w:r>
            <w:r w:rsidRPr="00567705">
              <w:rPr>
                <w:rFonts w:ascii="Times New Roman" w:eastAsia="Times New Roman" w:hAnsi="Times New Roman"/>
                <w:sz w:val="24"/>
                <w:szCs w:val="24"/>
              </w:rPr>
              <w:t xml:space="preserve"> for the </w:t>
            </w:r>
            <w:r w:rsidR="00CD5C6A">
              <w:rPr>
                <w:rFonts w:ascii="Times New Roman" w:eastAsia="Times New Roman" w:hAnsi="Times New Roman"/>
                <w:sz w:val="24"/>
                <w:szCs w:val="24"/>
              </w:rPr>
              <w:t>Reform and Growth Facility for the Western Balkans (</w:t>
            </w:r>
            <w:r w:rsidRPr="00567705">
              <w:rPr>
                <w:rFonts w:ascii="Times New Roman" w:eastAsia="Times New Roman" w:hAnsi="Times New Roman"/>
                <w:sz w:val="24"/>
                <w:szCs w:val="24"/>
              </w:rPr>
              <w:t>RGFWB</w:t>
            </w:r>
            <w:r w:rsidR="00CD5C6A">
              <w:rPr>
                <w:rFonts w:ascii="Times New Roman" w:eastAsia="Times New Roman" w:hAnsi="Times New Roman"/>
                <w:sz w:val="24"/>
                <w:szCs w:val="24"/>
              </w:rPr>
              <w:t>)</w:t>
            </w:r>
            <w:r w:rsidRPr="00567705">
              <w:rPr>
                <w:rFonts w:ascii="Times New Roman" w:eastAsia="Times New Roman" w:hAnsi="Times New Roman"/>
                <w:sz w:val="24"/>
                <w:szCs w:val="24"/>
              </w:rPr>
              <w:t xml:space="preserve"> and its emphasis on conditionality. The RGFWB is designed to link financial assistance to measurable progress </w:t>
            </w:r>
            <w:r w:rsidR="008528A5">
              <w:rPr>
                <w:rFonts w:ascii="Times New Roman" w:eastAsia="Times New Roman" w:hAnsi="Times New Roman"/>
                <w:sz w:val="24"/>
                <w:szCs w:val="24"/>
              </w:rPr>
              <w:t>o</w:t>
            </w:r>
            <w:r w:rsidRPr="00567705">
              <w:rPr>
                <w:rFonts w:ascii="Times New Roman" w:eastAsia="Times New Roman" w:hAnsi="Times New Roman"/>
                <w:sz w:val="24"/>
                <w:szCs w:val="24"/>
              </w:rPr>
              <w:t xml:space="preserve">n socio-economic reforms </w:t>
            </w:r>
            <w:r w:rsidR="00B6459E">
              <w:rPr>
                <w:rFonts w:ascii="Times New Roman" w:eastAsia="Times New Roman" w:hAnsi="Times New Roman"/>
                <w:sz w:val="24"/>
                <w:szCs w:val="24"/>
              </w:rPr>
              <w:t>as well as reforms under the fundamentals (democracy, rule of law, fundamental rights)</w:t>
            </w:r>
            <w:r w:rsidR="008528A5">
              <w:rPr>
                <w:rFonts w:ascii="Times New Roman" w:eastAsia="Times New Roman" w:hAnsi="Times New Roman"/>
                <w:sz w:val="24"/>
                <w:szCs w:val="24"/>
              </w:rPr>
              <w:t>. Thus, it aims to</w:t>
            </w:r>
            <w:r w:rsidR="00B6459E">
              <w:rPr>
                <w:rFonts w:ascii="Times New Roman" w:eastAsia="Times New Roman" w:hAnsi="Times New Roman"/>
                <w:sz w:val="24"/>
                <w:szCs w:val="24"/>
              </w:rPr>
              <w:t xml:space="preserve"> </w:t>
            </w:r>
            <w:r w:rsidR="008528A5" w:rsidRPr="00567705">
              <w:rPr>
                <w:rFonts w:ascii="Times New Roman" w:eastAsia="Times New Roman" w:hAnsi="Times New Roman"/>
                <w:sz w:val="24"/>
                <w:szCs w:val="24"/>
              </w:rPr>
              <w:t>ensur</w:t>
            </w:r>
            <w:r w:rsidR="008528A5">
              <w:rPr>
                <w:rFonts w:ascii="Times New Roman" w:eastAsia="Times New Roman" w:hAnsi="Times New Roman"/>
                <w:sz w:val="24"/>
                <w:szCs w:val="24"/>
              </w:rPr>
              <w:t>e</w:t>
            </w:r>
            <w:r w:rsidR="008528A5" w:rsidRPr="00567705">
              <w:rPr>
                <w:rFonts w:ascii="Times New Roman" w:eastAsia="Times New Roman" w:hAnsi="Times New Roman"/>
                <w:sz w:val="24"/>
                <w:szCs w:val="24"/>
              </w:rPr>
              <w:t xml:space="preserve"> </w:t>
            </w:r>
            <w:r w:rsidRPr="00567705">
              <w:rPr>
                <w:rFonts w:ascii="Times New Roman" w:eastAsia="Times New Roman" w:hAnsi="Times New Roman"/>
                <w:sz w:val="24"/>
                <w:szCs w:val="24"/>
              </w:rPr>
              <w:t>that EU support directly contributes to sustainable development and alignment with EU standards. The Commission is committed to a transparent process to ensure effective implementation and maximi</w:t>
            </w:r>
            <w:r w:rsidR="00CD5C6A">
              <w:rPr>
                <w:rFonts w:ascii="Times New Roman" w:eastAsia="Times New Roman" w:hAnsi="Times New Roman"/>
                <w:sz w:val="24"/>
                <w:szCs w:val="24"/>
              </w:rPr>
              <w:t>s</w:t>
            </w:r>
            <w:r w:rsidRPr="00567705">
              <w:rPr>
                <w:rFonts w:ascii="Times New Roman" w:eastAsia="Times New Roman" w:hAnsi="Times New Roman"/>
                <w:sz w:val="24"/>
                <w:szCs w:val="24"/>
              </w:rPr>
              <w:t xml:space="preserve">e the </w:t>
            </w:r>
            <w:r w:rsidR="008528A5">
              <w:rPr>
                <w:rFonts w:ascii="Times New Roman" w:eastAsia="Times New Roman" w:hAnsi="Times New Roman"/>
                <w:sz w:val="24"/>
                <w:szCs w:val="24"/>
              </w:rPr>
              <w:t xml:space="preserve">positive </w:t>
            </w:r>
            <w:r w:rsidRPr="00567705">
              <w:rPr>
                <w:rFonts w:ascii="Times New Roman" w:eastAsia="Times New Roman" w:hAnsi="Times New Roman"/>
                <w:sz w:val="24"/>
                <w:szCs w:val="24"/>
              </w:rPr>
              <w:t xml:space="preserve">impact of each </w:t>
            </w:r>
            <w:r w:rsidR="008528A5">
              <w:rPr>
                <w:rFonts w:ascii="Times New Roman" w:eastAsia="Times New Roman" w:hAnsi="Times New Roman"/>
                <w:sz w:val="24"/>
                <w:szCs w:val="24"/>
              </w:rPr>
              <w:t xml:space="preserve">reform </w:t>
            </w:r>
            <w:r w:rsidRPr="00567705">
              <w:rPr>
                <w:rFonts w:ascii="Times New Roman" w:eastAsia="Times New Roman" w:hAnsi="Times New Roman"/>
                <w:sz w:val="24"/>
                <w:szCs w:val="24"/>
              </w:rPr>
              <w:t xml:space="preserve">step. </w:t>
            </w:r>
          </w:p>
          <w:p w14:paraId="0930CA1B" w14:textId="3580A367" w:rsidR="00CC783F" w:rsidRPr="00287EDC" w:rsidRDefault="00CC783F" w:rsidP="00E8165A">
            <w:pPr>
              <w:spacing w:before="120" w:after="120"/>
              <w:jc w:val="both"/>
              <w:rPr>
                <w:rFonts w:ascii="Times New Roman" w:eastAsia="Times New Roman" w:hAnsi="Times New Roman"/>
                <w:sz w:val="24"/>
                <w:szCs w:val="24"/>
              </w:rPr>
            </w:pPr>
            <w:r w:rsidRPr="00567705">
              <w:rPr>
                <w:rFonts w:ascii="Times New Roman" w:eastAsia="Times New Roman" w:hAnsi="Times New Roman"/>
                <w:sz w:val="24"/>
                <w:szCs w:val="24"/>
              </w:rPr>
              <w:t xml:space="preserve">The Commission fully shares the view that candidate </w:t>
            </w:r>
            <w:r w:rsidR="003738B6">
              <w:rPr>
                <w:rFonts w:ascii="Times New Roman" w:eastAsia="Times New Roman" w:hAnsi="Times New Roman"/>
                <w:sz w:val="24"/>
                <w:szCs w:val="24"/>
              </w:rPr>
              <w:t xml:space="preserve">countries </w:t>
            </w:r>
            <w:r w:rsidRPr="00567705">
              <w:rPr>
                <w:rFonts w:ascii="Times New Roman" w:eastAsia="Times New Roman" w:hAnsi="Times New Roman"/>
                <w:sz w:val="24"/>
                <w:szCs w:val="24"/>
              </w:rPr>
              <w:t>and potential candidate</w:t>
            </w:r>
            <w:r w:rsidR="003738B6">
              <w:rPr>
                <w:rFonts w:ascii="Times New Roman" w:eastAsia="Times New Roman" w:hAnsi="Times New Roman"/>
                <w:sz w:val="24"/>
                <w:szCs w:val="24"/>
              </w:rPr>
              <w:t>s</w:t>
            </w:r>
            <w:r w:rsidRPr="00567705">
              <w:rPr>
                <w:rFonts w:ascii="Times New Roman" w:eastAsia="Times New Roman" w:hAnsi="Times New Roman"/>
                <w:sz w:val="24"/>
                <w:szCs w:val="24"/>
              </w:rPr>
              <w:t xml:space="preserve"> should be supported in </w:t>
            </w:r>
            <w:r w:rsidR="006C2BC6">
              <w:rPr>
                <w:rFonts w:ascii="Times New Roman" w:eastAsia="Times New Roman" w:hAnsi="Times New Roman"/>
                <w:sz w:val="24"/>
                <w:szCs w:val="24"/>
              </w:rPr>
              <w:t>assessing</w:t>
            </w:r>
            <w:r w:rsidRPr="00567705">
              <w:rPr>
                <w:rFonts w:ascii="Times New Roman" w:eastAsia="Times New Roman" w:hAnsi="Times New Roman"/>
                <w:sz w:val="24"/>
                <w:szCs w:val="24"/>
              </w:rPr>
              <w:t xml:space="preserve"> both advantages and drawbacks of early market integration as provided for in the RGFWB. The Commission also supports the implementation of customised mitigation measures for identified drawbacks</w:t>
            </w:r>
            <w:r w:rsidR="00D61BFD">
              <w:rPr>
                <w:rFonts w:ascii="Times New Roman" w:eastAsia="Times New Roman" w:hAnsi="Times New Roman"/>
                <w:sz w:val="24"/>
                <w:szCs w:val="24"/>
              </w:rPr>
              <w:t xml:space="preserve"> </w:t>
            </w:r>
            <w:r w:rsidR="008D23FE">
              <w:rPr>
                <w:rFonts w:ascii="Times New Roman" w:eastAsia="Times New Roman" w:hAnsi="Times New Roman"/>
                <w:sz w:val="24"/>
                <w:szCs w:val="24"/>
              </w:rPr>
              <w:t>incorporat</w:t>
            </w:r>
            <w:r w:rsidR="0029011D">
              <w:rPr>
                <w:rFonts w:ascii="Times New Roman" w:eastAsia="Times New Roman" w:hAnsi="Times New Roman"/>
                <w:sz w:val="24"/>
                <w:szCs w:val="24"/>
              </w:rPr>
              <w:t>ing</w:t>
            </w:r>
            <w:r w:rsidRPr="00567705">
              <w:rPr>
                <w:rFonts w:ascii="Times New Roman" w:eastAsia="Times New Roman" w:hAnsi="Times New Roman"/>
                <w:sz w:val="24"/>
                <w:szCs w:val="24"/>
              </w:rPr>
              <w:t xml:space="preserve"> </w:t>
            </w:r>
            <w:r w:rsidR="008D23FE">
              <w:rPr>
                <w:rFonts w:ascii="Times New Roman" w:eastAsia="Times New Roman" w:hAnsi="Times New Roman"/>
                <w:sz w:val="24"/>
                <w:szCs w:val="24"/>
              </w:rPr>
              <w:t xml:space="preserve">the </w:t>
            </w:r>
            <w:r w:rsidRPr="00567705">
              <w:rPr>
                <w:rFonts w:ascii="Times New Roman" w:eastAsia="Times New Roman" w:hAnsi="Times New Roman"/>
                <w:sz w:val="24"/>
                <w:szCs w:val="24"/>
              </w:rPr>
              <w:t xml:space="preserve">input of the social partners and civil society, to </w:t>
            </w:r>
            <w:r w:rsidR="00927C47">
              <w:rPr>
                <w:rFonts w:ascii="Times New Roman" w:eastAsia="Times New Roman" w:hAnsi="Times New Roman"/>
                <w:sz w:val="24"/>
                <w:szCs w:val="24"/>
              </w:rPr>
              <w:t>maintain</w:t>
            </w:r>
            <w:r w:rsidRPr="00567705">
              <w:rPr>
                <w:rFonts w:ascii="Times New Roman" w:eastAsia="Times New Roman" w:hAnsi="Times New Roman"/>
                <w:sz w:val="24"/>
                <w:szCs w:val="24"/>
              </w:rPr>
              <w:t xml:space="preserve"> public support. </w:t>
            </w:r>
          </w:p>
          <w:p w14:paraId="63173E0A" w14:textId="0F5D8943" w:rsidR="00CC783F" w:rsidRDefault="007725CB" w:rsidP="00E8165A">
            <w:pPr>
              <w:spacing w:before="120" w:after="120"/>
              <w:jc w:val="both"/>
              <w:rPr>
                <w:rFonts w:ascii="Times New Roman" w:eastAsia="Times New Roman" w:hAnsi="Times New Roman"/>
                <w:sz w:val="24"/>
                <w:szCs w:val="24"/>
              </w:rPr>
            </w:pPr>
            <w:r>
              <w:rPr>
                <w:rFonts w:ascii="Times New Roman" w:eastAsia="Times New Roman" w:hAnsi="Times New Roman"/>
                <w:sz w:val="24"/>
                <w:szCs w:val="24"/>
              </w:rPr>
              <w:t>C</w:t>
            </w:r>
            <w:r w:rsidR="00CC783F" w:rsidRPr="00567705">
              <w:rPr>
                <w:rFonts w:ascii="Times New Roman" w:eastAsia="Times New Roman" w:hAnsi="Times New Roman"/>
                <w:sz w:val="24"/>
                <w:szCs w:val="24"/>
              </w:rPr>
              <w:t xml:space="preserve">onducting inclusive consultations </w:t>
            </w:r>
            <w:r>
              <w:rPr>
                <w:rFonts w:ascii="Times New Roman" w:eastAsia="Times New Roman" w:hAnsi="Times New Roman"/>
                <w:sz w:val="24"/>
                <w:szCs w:val="24"/>
              </w:rPr>
              <w:t xml:space="preserve">is a priority </w:t>
            </w:r>
            <w:r w:rsidR="00CC783F" w:rsidRPr="00567705">
              <w:rPr>
                <w:rFonts w:ascii="Times New Roman" w:eastAsia="Times New Roman" w:hAnsi="Times New Roman"/>
                <w:sz w:val="24"/>
                <w:szCs w:val="24"/>
              </w:rPr>
              <w:t>and</w:t>
            </w:r>
            <w:r>
              <w:rPr>
                <w:rFonts w:ascii="Times New Roman" w:eastAsia="Times New Roman" w:hAnsi="Times New Roman"/>
                <w:sz w:val="24"/>
                <w:szCs w:val="24"/>
              </w:rPr>
              <w:t xml:space="preserve"> the </w:t>
            </w:r>
            <w:r w:rsidR="00D61BFD" w:rsidRPr="00567705">
              <w:rPr>
                <w:rFonts w:ascii="Times New Roman" w:eastAsia="Times New Roman" w:hAnsi="Times New Roman"/>
                <w:sz w:val="24"/>
                <w:szCs w:val="24"/>
                <w:lang w:val="en-IE"/>
              </w:rPr>
              <w:t xml:space="preserve">RGF </w:t>
            </w:r>
            <w:r w:rsidR="00D61BFD">
              <w:rPr>
                <w:rFonts w:ascii="Times New Roman" w:eastAsia="Times New Roman" w:hAnsi="Times New Roman"/>
                <w:sz w:val="24"/>
                <w:szCs w:val="24"/>
                <w:lang w:val="en-IE"/>
              </w:rPr>
              <w:t>R</w:t>
            </w:r>
            <w:r w:rsidR="00D61BFD" w:rsidRPr="00567705">
              <w:rPr>
                <w:rFonts w:ascii="Times New Roman" w:eastAsia="Times New Roman" w:hAnsi="Times New Roman"/>
                <w:sz w:val="24"/>
                <w:szCs w:val="24"/>
                <w:lang w:val="en-IE"/>
              </w:rPr>
              <w:t>egulation</w:t>
            </w:r>
            <w:r w:rsidR="00D61BFD">
              <w:rPr>
                <w:rStyle w:val="FootnoteReference"/>
                <w:rFonts w:ascii="Times New Roman" w:eastAsia="Times New Roman" w:hAnsi="Times New Roman"/>
                <w:szCs w:val="24"/>
              </w:rPr>
              <w:footnoteReference w:id="1"/>
            </w:r>
            <w:r w:rsidR="00D61BFD">
              <w:rPr>
                <w:rFonts w:ascii="Times New Roman" w:eastAsia="Times New Roman" w:hAnsi="Times New Roman"/>
                <w:sz w:val="24"/>
                <w:szCs w:val="24"/>
              </w:rPr>
              <w:t xml:space="preserve"> calls </w:t>
            </w:r>
            <w:r w:rsidR="00D61BFD" w:rsidRPr="00567705">
              <w:rPr>
                <w:rFonts w:ascii="Times New Roman" w:eastAsia="Times New Roman" w:hAnsi="Times New Roman"/>
                <w:sz w:val="24"/>
                <w:szCs w:val="24"/>
                <w:lang w:val="en-IE"/>
              </w:rPr>
              <w:t>for EU and Beneficiary partners</w:t>
            </w:r>
            <w:r w:rsidR="00D61BFD">
              <w:rPr>
                <w:rFonts w:ascii="Times New Roman" w:eastAsia="Times New Roman" w:hAnsi="Times New Roman"/>
                <w:sz w:val="24"/>
                <w:szCs w:val="24"/>
                <w:lang w:val="en-IE"/>
              </w:rPr>
              <w:t>’</w:t>
            </w:r>
            <w:r w:rsidR="00D61BFD" w:rsidRPr="00567705">
              <w:rPr>
                <w:rFonts w:ascii="Times New Roman" w:eastAsia="Times New Roman" w:hAnsi="Times New Roman"/>
                <w:sz w:val="24"/>
                <w:szCs w:val="24"/>
                <w:lang w:val="en-IE"/>
              </w:rPr>
              <w:t xml:space="preserve"> Government to consult civil society organisations</w:t>
            </w:r>
            <w:r w:rsidR="007D7509" w:rsidRPr="00567705">
              <w:rPr>
                <w:rFonts w:ascii="Times New Roman" w:eastAsia="Times New Roman" w:hAnsi="Times New Roman"/>
                <w:sz w:val="24"/>
                <w:szCs w:val="24"/>
                <w:lang w:val="en-IE"/>
              </w:rPr>
              <w:t>.</w:t>
            </w:r>
            <w:r w:rsidR="00223C0A">
              <w:rPr>
                <w:rFonts w:ascii="Times New Roman" w:eastAsia="Times New Roman" w:hAnsi="Times New Roman"/>
                <w:sz w:val="24"/>
                <w:szCs w:val="24"/>
                <w:lang w:val="en-IE"/>
              </w:rPr>
              <w:t xml:space="preserve"> </w:t>
            </w:r>
            <w:r w:rsidR="0029011D">
              <w:rPr>
                <w:rFonts w:ascii="Times New Roman" w:eastAsia="Times New Roman" w:hAnsi="Times New Roman"/>
                <w:sz w:val="24"/>
                <w:szCs w:val="24"/>
              </w:rPr>
              <w:t xml:space="preserve">However, the </w:t>
            </w:r>
            <w:r w:rsidR="00CC783F" w:rsidRPr="00567705">
              <w:rPr>
                <w:rFonts w:ascii="Times New Roman" w:eastAsia="Times New Roman" w:hAnsi="Times New Roman"/>
                <w:sz w:val="24"/>
                <w:szCs w:val="24"/>
              </w:rPr>
              <w:t>details of the national processes related to this important topic are contained in the specific section of each Reform Agenda prepared by the W</w:t>
            </w:r>
            <w:r w:rsidR="00CD5C6A">
              <w:rPr>
                <w:rFonts w:ascii="Times New Roman" w:eastAsia="Times New Roman" w:hAnsi="Times New Roman"/>
                <w:sz w:val="24"/>
                <w:szCs w:val="24"/>
              </w:rPr>
              <w:t>estern Balkans</w:t>
            </w:r>
            <w:r w:rsidR="00CC783F" w:rsidRPr="00567705">
              <w:rPr>
                <w:rFonts w:ascii="Times New Roman" w:eastAsia="Times New Roman" w:hAnsi="Times New Roman"/>
                <w:sz w:val="24"/>
                <w:szCs w:val="24"/>
              </w:rPr>
              <w:t xml:space="preserve"> partners as these remain the responsibility of the national authorities.</w:t>
            </w:r>
          </w:p>
          <w:p w14:paraId="0408E41E" w14:textId="633C28BA" w:rsidR="008D23FE" w:rsidRDefault="008D23FE" w:rsidP="00E8165A">
            <w:pPr>
              <w:spacing w:before="120" w:after="120"/>
              <w:jc w:val="both"/>
              <w:rPr>
                <w:rFonts w:ascii="Times New Roman" w:eastAsia="Times New Roman" w:hAnsi="Times New Roman"/>
                <w:sz w:val="24"/>
                <w:szCs w:val="24"/>
                <w:lang w:val="en-IE"/>
              </w:rPr>
            </w:pPr>
            <w:r>
              <w:rPr>
                <w:rFonts w:ascii="Times New Roman" w:eastAsia="Times New Roman" w:hAnsi="Times New Roman"/>
                <w:sz w:val="24"/>
                <w:szCs w:val="24"/>
              </w:rPr>
              <w:t>Regarding the disappointment expressed by the EESC at the lack of inclusion of the C</w:t>
            </w:r>
            <w:r w:rsidR="00E8165A">
              <w:rPr>
                <w:rFonts w:ascii="Times New Roman" w:eastAsia="Times New Roman" w:hAnsi="Times New Roman"/>
                <w:sz w:val="24"/>
                <w:szCs w:val="24"/>
              </w:rPr>
              <w:t>ivil Society Organisations (C</w:t>
            </w:r>
            <w:r>
              <w:rPr>
                <w:rFonts w:ascii="Times New Roman" w:eastAsia="Times New Roman" w:hAnsi="Times New Roman"/>
                <w:sz w:val="24"/>
                <w:szCs w:val="24"/>
              </w:rPr>
              <w:t>SOs</w:t>
            </w:r>
            <w:r w:rsidR="00E8165A">
              <w:rPr>
                <w:rFonts w:ascii="Times New Roman" w:eastAsia="Times New Roman" w:hAnsi="Times New Roman"/>
                <w:sz w:val="24"/>
                <w:szCs w:val="24"/>
              </w:rPr>
              <w:t>)</w:t>
            </w:r>
            <w:r>
              <w:rPr>
                <w:rFonts w:ascii="Times New Roman" w:eastAsia="Times New Roman" w:hAnsi="Times New Roman"/>
                <w:sz w:val="24"/>
                <w:szCs w:val="24"/>
              </w:rPr>
              <w:t xml:space="preserve"> and social partner</w:t>
            </w:r>
            <w:r w:rsidR="003738B6">
              <w:rPr>
                <w:rFonts w:ascii="Times New Roman" w:eastAsia="Times New Roman" w:hAnsi="Times New Roman"/>
                <w:sz w:val="24"/>
                <w:szCs w:val="24"/>
              </w:rPr>
              <w:t>s</w:t>
            </w:r>
            <w:r>
              <w:rPr>
                <w:rFonts w:ascii="Times New Roman" w:eastAsia="Times New Roman" w:hAnsi="Times New Roman"/>
                <w:sz w:val="24"/>
                <w:szCs w:val="24"/>
              </w:rPr>
              <w:t xml:space="preserve"> when developing the RGFWB, the Commission would like to inform that during the </w:t>
            </w:r>
            <w:r w:rsidR="001C4F3D">
              <w:rPr>
                <w:rFonts w:ascii="Times New Roman" w:eastAsia="Times New Roman" w:hAnsi="Times New Roman"/>
                <w:sz w:val="24"/>
                <w:szCs w:val="24"/>
              </w:rPr>
              <w:t xml:space="preserve">drafting stage of the </w:t>
            </w:r>
            <w:r>
              <w:rPr>
                <w:rFonts w:ascii="Times New Roman" w:eastAsia="Times New Roman" w:hAnsi="Times New Roman"/>
                <w:sz w:val="24"/>
                <w:szCs w:val="24"/>
              </w:rPr>
              <w:t>instruments, the Commission (D</w:t>
            </w:r>
            <w:r w:rsidR="00E8165A">
              <w:rPr>
                <w:rFonts w:ascii="Times New Roman" w:eastAsia="Times New Roman" w:hAnsi="Times New Roman"/>
                <w:sz w:val="24"/>
                <w:szCs w:val="24"/>
              </w:rPr>
              <w:t>irectorate-</w:t>
            </w:r>
            <w:r>
              <w:rPr>
                <w:rFonts w:ascii="Times New Roman" w:eastAsia="Times New Roman" w:hAnsi="Times New Roman"/>
                <w:sz w:val="24"/>
                <w:szCs w:val="24"/>
              </w:rPr>
              <w:t>G</w:t>
            </w:r>
            <w:r w:rsidR="00E8165A">
              <w:rPr>
                <w:rFonts w:ascii="Times New Roman" w:eastAsia="Times New Roman" w:hAnsi="Times New Roman"/>
                <w:sz w:val="24"/>
                <w:szCs w:val="24"/>
              </w:rPr>
              <w:t>eneral</w:t>
            </w:r>
            <w:r>
              <w:rPr>
                <w:rFonts w:ascii="Times New Roman" w:eastAsia="Times New Roman" w:hAnsi="Times New Roman"/>
                <w:sz w:val="24"/>
                <w:szCs w:val="24"/>
              </w:rPr>
              <w:t xml:space="preserve"> </w:t>
            </w:r>
            <w:r w:rsidR="00E8165A" w:rsidRPr="00E8165A">
              <w:rPr>
                <w:rFonts w:ascii="Times New Roman" w:eastAsia="Times New Roman" w:hAnsi="Times New Roman"/>
                <w:sz w:val="24"/>
                <w:szCs w:val="24"/>
              </w:rPr>
              <w:t xml:space="preserve">for </w:t>
            </w:r>
            <w:r w:rsidR="00E11D48" w:rsidRPr="00E11D48">
              <w:rPr>
                <w:rFonts w:ascii="Times New Roman" w:eastAsia="Times New Roman" w:hAnsi="Times New Roman"/>
                <w:sz w:val="24"/>
                <w:szCs w:val="24"/>
              </w:rPr>
              <w:t>Enlargement and Eastern Neighbourhood</w:t>
            </w:r>
            <w:r w:rsidR="00105C85">
              <w:rPr>
                <w:rFonts w:ascii="Times New Roman" w:eastAsia="Times New Roman" w:hAnsi="Times New Roman"/>
                <w:sz w:val="24"/>
                <w:szCs w:val="24"/>
              </w:rPr>
              <w:t xml:space="preserve"> </w:t>
            </w:r>
            <w:r w:rsidR="00E8165A">
              <w:rPr>
                <w:rFonts w:ascii="Times New Roman" w:eastAsia="Times New Roman" w:hAnsi="Times New Roman"/>
                <w:sz w:val="24"/>
                <w:szCs w:val="24"/>
              </w:rPr>
              <w:t xml:space="preserve">– DG </w:t>
            </w:r>
            <w:r w:rsidR="00E11D48">
              <w:rPr>
                <w:rFonts w:ascii="Times New Roman" w:eastAsia="Times New Roman" w:hAnsi="Times New Roman"/>
                <w:sz w:val="24"/>
                <w:szCs w:val="24"/>
              </w:rPr>
              <w:t>ENEST</w:t>
            </w:r>
            <w:r>
              <w:rPr>
                <w:rFonts w:ascii="Times New Roman" w:eastAsia="Times New Roman" w:hAnsi="Times New Roman"/>
                <w:sz w:val="24"/>
                <w:szCs w:val="24"/>
              </w:rPr>
              <w:t xml:space="preserve">), </w:t>
            </w:r>
            <w:r w:rsidRPr="00567705">
              <w:rPr>
                <w:rFonts w:ascii="Times New Roman" w:eastAsia="Times New Roman" w:hAnsi="Times New Roman"/>
                <w:sz w:val="24"/>
                <w:szCs w:val="24"/>
                <w:lang w:val="en-IE"/>
              </w:rPr>
              <w:t xml:space="preserve">with the support of the Technical Assistance for Civil Society Organisations (TACSO), organised an on-line meeting with regional </w:t>
            </w:r>
            <w:r>
              <w:rPr>
                <w:rFonts w:ascii="Times New Roman" w:eastAsia="Times New Roman" w:hAnsi="Times New Roman"/>
                <w:sz w:val="24"/>
                <w:szCs w:val="24"/>
                <w:lang w:val="en-IE"/>
              </w:rPr>
              <w:t>C</w:t>
            </w:r>
            <w:r w:rsidRPr="00567705">
              <w:rPr>
                <w:rFonts w:ascii="Times New Roman" w:eastAsia="Times New Roman" w:hAnsi="Times New Roman"/>
                <w:sz w:val="24"/>
                <w:szCs w:val="24"/>
                <w:lang w:val="en-IE"/>
              </w:rPr>
              <w:t xml:space="preserve">SOs. Representatives from CSOs shared their views on relevant reform priorities. In </w:t>
            </w:r>
            <w:r w:rsidRPr="00567705">
              <w:rPr>
                <w:rFonts w:ascii="Times New Roman" w:eastAsia="Times New Roman" w:hAnsi="Times New Roman"/>
                <w:sz w:val="24"/>
                <w:szCs w:val="24"/>
                <w:lang w:val="en-IE"/>
              </w:rPr>
              <w:lastRenderedPageBreak/>
              <w:t xml:space="preserve">June 2024, the Reform Agendas were also discussed at the Western Balkan Civil Society Forum. </w:t>
            </w:r>
          </w:p>
          <w:p w14:paraId="621910C9" w14:textId="15F3647B" w:rsidR="008D23FE" w:rsidRPr="00287EDC" w:rsidRDefault="008D23FE" w:rsidP="00E8165A">
            <w:pPr>
              <w:spacing w:before="120" w:after="120"/>
              <w:jc w:val="both"/>
              <w:rPr>
                <w:rFonts w:ascii="Times New Roman" w:eastAsia="Times New Roman" w:hAnsi="Times New Roman"/>
                <w:sz w:val="24"/>
                <w:szCs w:val="24"/>
              </w:rPr>
            </w:pPr>
            <w:r>
              <w:rPr>
                <w:rFonts w:ascii="Times New Roman" w:eastAsia="Times New Roman" w:hAnsi="Times New Roman"/>
                <w:sz w:val="24"/>
                <w:szCs w:val="24"/>
                <w:lang w:val="en-IE"/>
              </w:rPr>
              <w:t xml:space="preserve">The Commission </w:t>
            </w:r>
            <w:r>
              <w:rPr>
                <w:rFonts w:ascii="Times New Roman" w:eastAsia="Times New Roman" w:hAnsi="Times New Roman"/>
                <w:sz w:val="24"/>
                <w:szCs w:val="24"/>
                <w:lang w:val="en-IE"/>
              </w:rPr>
              <w:t>(</w:t>
            </w:r>
            <w:r w:rsidRPr="00567705">
              <w:rPr>
                <w:rFonts w:ascii="Times New Roman" w:eastAsia="Times New Roman" w:hAnsi="Times New Roman"/>
                <w:sz w:val="24"/>
                <w:szCs w:val="24"/>
                <w:lang w:val="en-IE"/>
              </w:rPr>
              <w:t xml:space="preserve">DG </w:t>
            </w:r>
            <w:r w:rsidR="00E11D48">
              <w:rPr>
                <w:rFonts w:ascii="Times New Roman" w:eastAsia="Times New Roman" w:hAnsi="Times New Roman"/>
                <w:sz w:val="24"/>
                <w:szCs w:val="24"/>
                <w:lang w:val="en-IE"/>
              </w:rPr>
              <w:t>ENEST</w:t>
            </w:r>
            <w:r>
              <w:rPr>
                <w:rFonts w:ascii="Times New Roman" w:eastAsia="Times New Roman" w:hAnsi="Times New Roman"/>
                <w:sz w:val="24"/>
                <w:szCs w:val="24"/>
                <w:lang w:val="en-IE"/>
              </w:rPr>
              <w:t>)</w:t>
            </w:r>
            <w:r w:rsidRPr="00567705">
              <w:rPr>
                <w:rFonts w:ascii="Times New Roman" w:eastAsia="Times New Roman" w:hAnsi="Times New Roman"/>
                <w:sz w:val="24"/>
                <w:szCs w:val="24"/>
                <w:lang w:val="en-IE"/>
              </w:rPr>
              <w:t xml:space="preserve"> </w:t>
            </w:r>
            <w:r w:rsidRPr="00567705">
              <w:rPr>
                <w:rFonts w:ascii="Times New Roman" w:eastAsia="Times New Roman" w:hAnsi="Times New Roman"/>
                <w:sz w:val="24"/>
                <w:szCs w:val="24"/>
                <w:lang w:val="en-IE"/>
              </w:rPr>
              <w:t>manages regional programmes contributing to the implementation of the Youth Action Plan</w:t>
            </w:r>
            <w:r w:rsidRPr="00567705">
              <w:rPr>
                <w:rStyle w:val="FootnoteReference"/>
                <w:rFonts w:ascii="Times New Roman" w:eastAsia="Times New Roman" w:hAnsi="Times New Roman"/>
                <w:szCs w:val="24"/>
                <w:lang w:val="en-IE"/>
              </w:rPr>
              <w:footnoteReference w:id="2"/>
            </w:r>
            <w:r w:rsidR="00937EA6">
              <w:rPr>
                <w:rFonts w:ascii="Times New Roman" w:eastAsia="Times New Roman" w:hAnsi="Times New Roman"/>
                <w:sz w:val="24"/>
                <w:szCs w:val="24"/>
                <w:lang w:val="en-IE"/>
              </w:rPr>
              <w:t>,</w:t>
            </w:r>
            <w:r w:rsidRPr="00567705">
              <w:rPr>
                <w:rFonts w:ascii="Times New Roman" w:eastAsia="Times New Roman" w:hAnsi="Times New Roman"/>
                <w:sz w:val="24"/>
                <w:szCs w:val="24"/>
                <w:lang w:val="en-IE"/>
              </w:rPr>
              <w:t xml:space="preserve"> notably in its aspects of youth participation in decision</w:t>
            </w:r>
            <w:r>
              <w:rPr>
                <w:rFonts w:ascii="Times New Roman" w:eastAsia="Times New Roman" w:hAnsi="Times New Roman"/>
                <w:sz w:val="24"/>
                <w:szCs w:val="24"/>
                <w:lang w:val="en-IE"/>
              </w:rPr>
              <w:t>-</w:t>
            </w:r>
            <w:r w:rsidRPr="00567705">
              <w:rPr>
                <w:rFonts w:ascii="Times New Roman" w:eastAsia="Times New Roman" w:hAnsi="Times New Roman"/>
                <w:sz w:val="24"/>
                <w:szCs w:val="24"/>
                <w:lang w:val="en-IE"/>
              </w:rPr>
              <w:t>making process. In this context</w:t>
            </w:r>
            <w:r>
              <w:rPr>
                <w:rFonts w:ascii="Times New Roman" w:eastAsia="Times New Roman" w:hAnsi="Times New Roman"/>
                <w:sz w:val="24"/>
                <w:szCs w:val="24"/>
                <w:lang w:val="en-IE"/>
              </w:rPr>
              <w:t>,</w:t>
            </w:r>
            <w:r w:rsidRPr="00567705">
              <w:rPr>
                <w:rFonts w:ascii="Times New Roman" w:eastAsia="Times New Roman" w:hAnsi="Times New Roman"/>
                <w:sz w:val="24"/>
                <w:szCs w:val="24"/>
                <w:lang w:val="en-IE"/>
              </w:rPr>
              <w:t xml:space="preserve"> it is worth mentioning the Youth Lab project</w:t>
            </w:r>
            <w:r w:rsidRPr="00FD4319">
              <w:rPr>
                <w:rFonts w:ascii="Times New Roman" w:eastAsia="Times New Roman" w:hAnsi="Times New Roman"/>
                <w:sz w:val="24"/>
                <w:szCs w:val="24"/>
                <w:vertAlign w:val="superscript"/>
                <w:lang w:val="en-IE"/>
              </w:rPr>
              <w:footnoteReference w:id="3"/>
            </w:r>
            <w:r w:rsidRPr="00567705">
              <w:rPr>
                <w:rFonts w:ascii="Times New Roman" w:eastAsia="Times New Roman" w:hAnsi="Times New Roman"/>
                <w:sz w:val="24"/>
                <w:szCs w:val="24"/>
                <w:lang w:val="en-IE"/>
              </w:rPr>
              <w:t xml:space="preserve"> and the support to the Regional Youth Cooperation Office</w:t>
            </w:r>
            <w:r>
              <w:rPr>
                <w:rFonts w:ascii="Times New Roman" w:eastAsia="Times New Roman" w:hAnsi="Times New Roman"/>
                <w:sz w:val="24"/>
                <w:szCs w:val="24"/>
                <w:lang w:val="en-IE"/>
              </w:rPr>
              <w:t xml:space="preserve"> (</w:t>
            </w:r>
            <w:r w:rsidRPr="00567705">
              <w:rPr>
                <w:rFonts w:ascii="Times New Roman" w:eastAsia="Times New Roman" w:hAnsi="Times New Roman"/>
                <w:sz w:val="24"/>
                <w:szCs w:val="24"/>
                <w:lang w:val="en-IE"/>
              </w:rPr>
              <w:t>RYCO</w:t>
            </w:r>
            <w:r>
              <w:rPr>
                <w:rFonts w:ascii="Times New Roman" w:eastAsia="Times New Roman" w:hAnsi="Times New Roman"/>
                <w:sz w:val="24"/>
                <w:szCs w:val="24"/>
                <w:lang w:val="en-IE"/>
              </w:rPr>
              <w:t>).</w:t>
            </w:r>
            <w:r w:rsidRPr="00567705">
              <w:rPr>
                <w:rStyle w:val="FootnoteReference"/>
                <w:rFonts w:ascii="Times New Roman" w:eastAsia="Times New Roman" w:hAnsi="Times New Roman"/>
                <w:szCs w:val="24"/>
                <w:lang w:val="en-IE"/>
              </w:rPr>
              <w:footnoteReference w:id="4"/>
            </w:r>
          </w:p>
          <w:p w14:paraId="5BC33A59" w14:textId="67FF5F2B" w:rsidR="002F5D1A" w:rsidRPr="002F5D1A" w:rsidRDefault="002F5D1A" w:rsidP="002F5D1A">
            <w:pPr>
              <w:spacing w:before="120" w:after="120"/>
              <w:jc w:val="both"/>
              <w:rPr>
                <w:rFonts w:ascii="Times New Roman" w:eastAsia="Times New Roman" w:hAnsi="Times New Roman"/>
                <w:sz w:val="24"/>
                <w:szCs w:val="24"/>
              </w:rPr>
            </w:pPr>
            <w:r w:rsidRPr="002F5D1A">
              <w:rPr>
                <w:rFonts w:ascii="Times New Roman" w:eastAsia="Times New Roman" w:hAnsi="Times New Roman"/>
                <w:sz w:val="24"/>
                <w:szCs w:val="24"/>
              </w:rPr>
              <w:t>The Commission has supported the pilot initiative</w:t>
            </w:r>
            <w:r>
              <w:rPr>
                <w:rFonts w:ascii="Times New Roman" w:eastAsia="Times New Roman" w:hAnsi="Times New Roman"/>
                <w:sz w:val="24"/>
                <w:szCs w:val="24"/>
              </w:rPr>
              <w:t xml:space="preserve"> of </w:t>
            </w:r>
            <w:r w:rsidR="00591EC7">
              <w:rPr>
                <w:rFonts w:ascii="Times New Roman" w:eastAsia="Times New Roman" w:hAnsi="Times New Roman"/>
                <w:sz w:val="24"/>
                <w:szCs w:val="24"/>
              </w:rPr>
              <w:t>‘</w:t>
            </w:r>
            <w:r w:rsidRPr="002F5D1A">
              <w:rPr>
                <w:rFonts w:ascii="Times New Roman" w:eastAsia="Times New Roman" w:hAnsi="Times New Roman"/>
                <w:sz w:val="24"/>
                <w:szCs w:val="24"/>
              </w:rPr>
              <w:t>Enlargement Candidate Members Initiative</w:t>
            </w:r>
            <w:r w:rsidR="00591EC7">
              <w:rPr>
                <w:rFonts w:ascii="Times New Roman" w:eastAsia="Times New Roman" w:hAnsi="Times New Roman"/>
                <w:sz w:val="24"/>
                <w:szCs w:val="24"/>
              </w:rPr>
              <w:t>’</w:t>
            </w:r>
            <w:r>
              <w:rPr>
                <w:rFonts w:ascii="Times New Roman" w:eastAsia="Times New Roman" w:hAnsi="Times New Roman"/>
                <w:sz w:val="24"/>
                <w:szCs w:val="24"/>
              </w:rPr>
              <w:t xml:space="preserve">, which </w:t>
            </w:r>
            <w:r w:rsidRPr="002F5D1A">
              <w:rPr>
                <w:rFonts w:ascii="Times New Roman" w:eastAsia="Times New Roman" w:hAnsi="Times New Roman"/>
                <w:sz w:val="24"/>
                <w:szCs w:val="24"/>
              </w:rPr>
              <w:t xml:space="preserve">has enabled meaningful involvement of civil society from candidate countries in actively shaping EU policies. </w:t>
            </w:r>
            <w:r w:rsidR="00591EC7">
              <w:rPr>
                <w:rFonts w:ascii="Times New Roman" w:eastAsia="Times New Roman" w:hAnsi="Times New Roman"/>
                <w:sz w:val="24"/>
                <w:szCs w:val="24"/>
              </w:rPr>
              <w:t>CSOs</w:t>
            </w:r>
            <w:r w:rsidRPr="002F5D1A">
              <w:rPr>
                <w:rFonts w:ascii="Times New Roman" w:eastAsia="Times New Roman" w:hAnsi="Times New Roman"/>
                <w:sz w:val="24"/>
                <w:szCs w:val="24"/>
              </w:rPr>
              <w:t xml:space="preserve"> serve as crucial intermediaries between the government and the public, ensuring transparency, accountability, and inclusivity throughout the reform process.</w:t>
            </w:r>
          </w:p>
          <w:p w14:paraId="6BA249BD" w14:textId="0E270703" w:rsidR="002F5D1A" w:rsidRPr="002F5D1A" w:rsidRDefault="00591EC7" w:rsidP="002F5D1A">
            <w:pPr>
              <w:spacing w:before="120" w:after="120"/>
              <w:jc w:val="both"/>
              <w:rPr>
                <w:rFonts w:ascii="Times New Roman" w:eastAsia="Times New Roman" w:hAnsi="Times New Roman"/>
                <w:sz w:val="24"/>
                <w:szCs w:val="24"/>
              </w:rPr>
            </w:pPr>
            <w:r>
              <w:rPr>
                <w:rFonts w:ascii="Times New Roman" w:eastAsia="Times New Roman" w:hAnsi="Times New Roman"/>
                <w:sz w:val="24"/>
                <w:szCs w:val="24"/>
              </w:rPr>
              <w:t>The Commission has</w:t>
            </w:r>
            <w:r w:rsidR="002F5D1A" w:rsidRPr="002F5D1A">
              <w:rPr>
                <w:rFonts w:ascii="Times New Roman" w:eastAsia="Times New Roman" w:hAnsi="Times New Roman"/>
                <w:sz w:val="24"/>
                <w:szCs w:val="24"/>
              </w:rPr>
              <w:t xml:space="preserve"> been involving </w:t>
            </w:r>
            <w:r>
              <w:rPr>
                <w:rFonts w:ascii="Times New Roman" w:eastAsia="Times New Roman" w:hAnsi="Times New Roman"/>
                <w:sz w:val="24"/>
                <w:szCs w:val="24"/>
              </w:rPr>
              <w:t>CSOs</w:t>
            </w:r>
            <w:r w:rsidR="002F5D1A" w:rsidRPr="002F5D1A">
              <w:rPr>
                <w:rFonts w:ascii="Times New Roman" w:eastAsia="Times New Roman" w:hAnsi="Times New Roman"/>
                <w:sz w:val="24"/>
                <w:szCs w:val="24"/>
              </w:rPr>
              <w:t xml:space="preserve"> in the preparation of the Commission’s annual enlargement package reports. The contributions collected through the consultations</w:t>
            </w:r>
            <w:r>
              <w:rPr>
                <w:rFonts w:ascii="Times New Roman" w:eastAsia="Times New Roman" w:hAnsi="Times New Roman"/>
                <w:sz w:val="24"/>
                <w:szCs w:val="24"/>
              </w:rPr>
              <w:t>,</w:t>
            </w:r>
            <w:r w:rsidR="002F5D1A" w:rsidRPr="002F5D1A">
              <w:rPr>
                <w:rFonts w:ascii="Times New Roman" w:eastAsia="Times New Roman" w:hAnsi="Times New Roman"/>
                <w:sz w:val="24"/>
                <w:szCs w:val="24"/>
              </w:rPr>
              <w:t xml:space="preserve"> organised locally and in Brussels</w:t>
            </w:r>
            <w:r>
              <w:rPr>
                <w:rFonts w:ascii="Times New Roman" w:eastAsia="Times New Roman" w:hAnsi="Times New Roman"/>
                <w:sz w:val="24"/>
                <w:szCs w:val="24"/>
              </w:rPr>
              <w:t>,</w:t>
            </w:r>
            <w:r w:rsidR="002F5D1A" w:rsidRPr="002F5D1A">
              <w:rPr>
                <w:rFonts w:ascii="Times New Roman" w:eastAsia="Times New Roman" w:hAnsi="Times New Roman"/>
                <w:sz w:val="24"/>
                <w:szCs w:val="24"/>
              </w:rPr>
              <w:t xml:space="preserve"> have provided valuable insights and input and contributed to the assessment of the situation and reform efforts in the candidate countries and potential candidates</w:t>
            </w:r>
            <w:r>
              <w:rPr>
                <w:rFonts w:ascii="Times New Roman" w:eastAsia="Times New Roman" w:hAnsi="Times New Roman"/>
                <w:sz w:val="24"/>
                <w:szCs w:val="24"/>
              </w:rPr>
              <w:t>,</w:t>
            </w:r>
            <w:r w:rsidR="002F5D1A" w:rsidRPr="002F5D1A">
              <w:rPr>
                <w:rFonts w:ascii="Times New Roman" w:eastAsia="Times New Roman" w:hAnsi="Times New Roman"/>
                <w:sz w:val="24"/>
                <w:szCs w:val="24"/>
              </w:rPr>
              <w:t xml:space="preserve"> in particular in the area of the fundamentals. </w:t>
            </w:r>
          </w:p>
          <w:p w14:paraId="74072D70" w14:textId="6A1F1620" w:rsidR="005826E6" w:rsidRPr="00567705" w:rsidRDefault="00CC783F" w:rsidP="002F5D1A">
            <w:pPr>
              <w:spacing w:before="120" w:after="120"/>
              <w:jc w:val="both"/>
              <w:rPr>
                <w:rFonts w:ascii="Times New Roman" w:eastAsia="Times New Roman" w:hAnsi="Times New Roman"/>
                <w:sz w:val="24"/>
                <w:szCs w:val="24"/>
                <w:lang w:val="en-IE"/>
              </w:rPr>
            </w:pPr>
            <w:r w:rsidRPr="00567705">
              <w:rPr>
                <w:rFonts w:ascii="Times New Roman" w:eastAsia="Times New Roman" w:hAnsi="Times New Roman"/>
                <w:sz w:val="24"/>
                <w:szCs w:val="24"/>
              </w:rPr>
              <w:t xml:space="preserve">The </w:t>
            </w:r>
            <w:r w:rsidR="001206BE">
              <w:rPr>
                <w:rFonts w:ascii="Times New Roman" w:eastAsia="Times New Roman" w:hAnsi="Times New Roman"/>
                <w:sz w:val="24"/>
                <w:szCs w:val="24"/>
              </w:rPr>
              <w:t xml:space="preserve">annual </w:t>
            </w:r>
            <w:r w:rsidRPr="00567705">
              <w:rPr>
                <w:rFonts w:ascii="Times New Roman" w:eastAsia="Times New Roman" w:hAnsi="Times New Roman"/>
                <w:sz w:val="24"/>
                <w:szCs w:val="24"/>
              </w:rPr>
              <w:t xml:space="preserve">enlargement communication and reports have consistently </w:t>
            </w:r>
            <w:r w:rsidR="0092388F">
              <w:rPr>
                <w:rFonts w:ascii="Times New Roman" w:eastAsia="Times New Roman" w:hAnsi="Times New Roman"/>
                <w:sz w:val="24"/>
                <w:szCs w:val="24"/>
              </w:rPr>
              <w:t>emphasised</w:t>
            </w:r>
            <w:r w:rsidRPr="00567705">
              <w:rPr>
                <w:rFonts w:ascii="Times New Roman" w:eastAsia="Times New Roman" w:hAnsi="Times New Roman"/>
                <w:sz w:val="24"/>
                <w:szCs w:val="24"/>
              </w:rPr>
              <w:t xml:space="preserve"> </w:t>
            </w:r>
            <w:r w:rsidR="0092388F">
              <w:rPr>
                <w:rFonts w:ascii="Times New Roman" w:eastAsia="Times New Roman" w:hAnsi="Times New Roman"/>
                <w:sz w:val="24"/>
                <w:szCs w:val="24"/>
              </w:rPr>
              <w:t xml:space="preserve">the </w:t>
            </w:r>
            <w:r w:rsidRPr="00567705">
              <w:rPr>
                <w:rFonts w:ascii="Times New Roman" w:eastAsia="Times New Roman" w:hAnsi="Times New Roman"/>
                <w:sz w:val="24"/>
                <w:szCs w:val="24"/>
              </w:rPr>
              <w:t xml:space="preserve">need to improve and protect </w:t>
            </w:r>
            <w:r w:rsidR="008528A5">
              <w:rPr>
                <w:rFonts w:ascii="Times New Roman" w:eastAsia="Times New Roman" w:hAnsi="Times New Roman"/>
                <w:sz w:val="24"/>
                <w:szCs w:val="24"/>
              </w:rPr>
              <w:t>an</w:t>
            </w:r>
            <w:r w:rsidRPr="00567705">
              <w:rPr>
                <w:rFonts w:ascii="Times New Roman" w:eastAsia="Times New Roman" w:hAnsi="Times New Roman"/>
                <w:sz w:val="24"/>
                <w:szCs w:val="24"/>
              </w:rPr>
              <w:t xml:space="preserve"> enabling environment for civil society</w:t>
            </w:r>
            <w:r w:rsidRPr="00591EC7">
              <w:rPr>
                <w:rFonts w:ascii="Times New Roman" w:eastAsia="Times New Roman" w:hAnsi="Times New Roman"/>
                <w:sz w:val="24"/>
                <w:szCs w:val="24"/>
              </w:rPr>
              <w:t>. The reports monitor the situation in the enlargement countries and give concrete suggestions for improving the situation on the ground.</w:t>
            </w:r>
            <w:r w:rsidR="00720161" w:rsidRPr="00591EC7">
              <w:rPr>
                <w:rFonts w:ascii="Times New Roman" w:eastAsia="Times New Roman" w:hAnsi="Times New Roman"/>
                <w:sz w:val="24"/>
                <w:szCs w:val="24"/>
              </w:rPr>
              <w:t xml:space="preserve"> In its most recent enlargement Communication, the Commission notes that “</w:t>
            </w:r>
            <w:r w:rsidR="00720161" w:rsidRPr="00591EC7">
              <w:rPr>
                <w:rFonts w:ascii="Times New Roman" w:eastAsia="Times New Roman" w:hAnsi="Times New Roman"/>
                <w:i/>
                <w:iCs/>
                <w:sz w:val="24"/>
                <w:szCs w:val="24"/>
              </w:rPr>
              <w:t>The enabling environment for investigative journalism and civil society should be improved and continuously protected. [..]As concerns civil society, while legal frameworks for freedom of association usually align with international standards. However, in practice, civil society organisations are not always able to register and operate freely, with some countries having a constrained</w:t>
            </w:r>
            <w:r w:rsidR="00720161" w:rsidRPr="00287EDC">
              <w:rPr>
                <w:rFonts w:ascii="Times New Roman" w:eastAsia="Times New Roman" w:hAnsi="Times New Roman"/>
                <w:i/>
                <w:iCs/>
                <w:sz w:val="24"/>
                <w:szCs w:val="24"/>
              </w:rPr>
              <w:t xml:space="preserve"> or difficult environment.</w:t>
            </w:r>
            <w:r w:rsidR="00720161">
              <w:rPr>
                <w:rStyle w:val="FootnoteReference"/>
                <w:rFonts w:ascii="Times New Roman" w:eastAsia="Times New Roman" w:hAnsi="Times New Roman"/>
                <w:szCs w:val="24"/>
              </w:rPr>
              <w:t xml:space="preserve"> </w:t>
            </w:r>
            <w:r w:rsidR="00720161">
              <w:rPr>
                <w:rStyle w:val="FootnoteReference"/>
                <w:rFonts w:ascii="Times New Roman" w:eastAsia="Times New Roman" w:hAnsi="Times New Roman"/>
                <w:szCs w:val="24"/>
              </w:rPr>
              <w:footnoteReference w:id="5"/>
            </w:r>
            <w:r w:rsidR="00720161">
              <w:rPr>
                <w:rFonts w:ascii="Times New Roman" w:eastAsia="Times New Roman" w:hAnsi="Times New Roman"/>
                <w:sz w:val="24"/>
                <w:szCs w:val="24"/>
              </w:rPr>
              <w:t>”</w:t>
            </w:r>
          </w:p>
          <w:p w14:paraId="29D4CC74" w14:textId="08E0E82A" w:rsidR="00CC783F" w:rsidRDefault="00CC783F" w:rsidP="00E8165A">
            <w:pPr>
              <w:spacing w:before="120" w:after="120"/>
              <w:jc w:val="both"/>
              <w:rPr>
                <w:rFonts w:ascii="Times New Roman" w:eastAsia="Times New Roman" w:hAnsi="Times New Roman"/>
                <w:sz w:val="24"/>
                <w:szCs w:val="24"/>
              </w:rPr>
            </w:pPr>
            <w:r w:rsidRPr="00567705">
              <w:rPr>
                <w:rFonts w:ascii="Times New Roman" w:eastAsia="Times New Roman" w:hAnsi="Times New Roman"/>
                <w:sz w:val="24"/>
                <w:szCs w:val="24"/>
              </w:rPr>
              <w:t xml:space="preserve">The Commission </w:t>
            </w:r>
            <w:r w:rsidR="0092388F">
              <w:rPr>
                <w:rFonts w:ascii="Times New Roman" w:eastAsia="Times New Roman" w:hAnsi="Times New Roman"/>
                <w:sz w:val="24"/>
                <w:szCs w:val="24"/>
              </w:rPr>
              <w:t xml:space="preserve">considers that </w:t>
            </w:r>
            <w:r w:rsidRPr="00567705">
              <w:rPr>
                <w:rFonts w:ascii="Times New Roman" w:eastAsia="Times New Roman" w:hAnsi="Times New Roman"/>
                <w:sz w:val="24"/>
                <w:szCs w:val="24"/>
              </w:rPr>
              <w:t>bilateral disputes must be solved as a matter of urgency by the responsible parties. Where border disputes are not resolved bilaterally, parties should submit them unconditionally to binding, final international arbitration, the rulings of which should be fully applied and respected by both parties before accession and considered in preparation of Accession Treaties. The Commission will pay particular attention to resolving these disputes and provid</w:t>
            </w:r>
            <w:r w:rsidR="008528A5">
              <w:rPr>
                <w:rFonts w:ascii="Times New Roman" w:eastAsia="Times New Roman" w:hAnsi="Times New Roman"/>
                <w:sz w:val="24"/>
                <w:szCs w:val="24"/>
              </w:rPr>
              <w:t>ing</w:t>
            </w:r>
            <w:r w:rsidRPr="00567705">
              <w:rPr>
                <w:rFonts w:ascii="Times New Roman" w:eastAsia="Times New Roman" w:hAnsi="Times New Roman"/>
                <w:sz w:val="24"/>
                <w:szCs w:val="24"/>
              </w:rPr>
              <w:t xml:space="preserve"> support</w:t>
            </w:r>
            <w:r w:rsidR="00624D4B">
              <w:rPr>
                <w:rFonts w:ascii="Times New Roman" w:eastAsia="Times New Roman" w:hAnsi="Times New Roman"/>
                <w:sz w:val="24"/>
                <w:szCs w:val="24"/>
              </w:rPr>
              <w:t>,</w:t>
            </w:r>
            <w:r w:rsidRPr="00567705">
              <w:rPr>
                <w:rFonts w:ascii="Times New Roman" w:eastAsia="Times New Roman" w:hAnsi="Times New Roman"/>
                <w:sz w:val="24"/>
                <w:szCs w:val="24"/>
              </w:rPr>
              <w:t xml:space="preserve"> as appropriate. </w:t>
            </w:r>
          </w:p>
          <w:p w14:paraId="7C1904E9" w14:textId="45AB170B" w:rsidR="00CC783F" w:rsidRPr="00CC783F" w:rsidRDefault="00C402AE" w:rsidP="00E8165A">
            <w:pPr>
              <w:spacing w:before="120" w:after="1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On 20 March 2024, t</w:t>
            </w:r>
            <w:r w:rsidR="00CC783F" w:rsidRPr="00CC783F">
              <w:rPr>
                <w:rFonts w:ascii="Times New Roman" w:eastAsia="Times New Roman" w:hAnsi="Times New Roman"/>
                <w:color w:val="000000"/>
                <w:sz w:val="24"/>
                <w:szCs w:val="24"/>
              </w:rPr>
              <w:t>he Commission Communication on pre-enlargement reforms and policy reviews</w:t>
            </w:r>
            <w:r w:rsidR="00CC783F" w:rsidRPr="00CC783F">
              <w:rPr>
                <w:rFonts w:ascii="Times New Roman" w:eastAsia="Times New Roman" w:hAnsi="Times New Roman"/>
                <w:color w:val="000000"/>
                <w:sz w:val="24"/>
                <w:szCs w:val="24"/>
                <w:vertAlign w:val="superscript"/>
              </w:rPr>
              <w:footnoteReference w:id="6"/>
            </w:r>
            <w:r w:rsidR="00CC783F" w:rsidRPr="00CC783F">
              <w:rPr>
                <w:rFonts w:ascii="Times New Roman" w:eastAsia="Times New Roman" w:hAnsi="Times New Roman"/>
                <w:color w:val="000000"/>
                <w:sz w:val="24"/>
                <w:szCs w:val="24"/>
                <w:vertAlign w:val="superscript"/>
              </w:rPr>
              <w:t xml:space="preserve"> </w:t>
            </w:r>
            <w:r w:rsidR="00864C10" w:rsidRPr="00864C10">
              <w:rPr>
                <w:rFonts w:ascii="Times New Roman" w:eastAsia="Times New Roman" w:hAnsi="Times New Roman"/>
                <w:color w:val="000000"/>
                <w:sz w:val="24"/>
                <w:szCs w:val="24"/>
              </w:rPr>
              <w:t>laid the ground for the policy reviews announced by President von der Leyen in her 2023 State of the Union address. It looked at the implications of a larger EU in four main areas: values, policies, budget and governance.</w:t>
            </w:r>
            <w:r w:rsidR="00864C10">
              <w:rPr>
                <w:rFonts w:ascii="Times New Roman" w:eastAsia="Times New Roman" w:hAnsi="Times New Roman"/>
                <w:color w:val="000000"/>
                <w:sz w:val="24"/>
                <w:szCs w:val="24"/>
              </w:rPr>
              <w:t xml:space="preserve"> </w:t>
            </w:r>
            <w:r w:rsidR="003D5CA8">
              <w:rPr>
                <w:rFonts w:ascii="Times New Roman" w:eastAsia="Times New Roman" w:hAnsi="Times New Roman"/>
                <w:color w:val="000000"/>
                <w:sz w:val="24"/>
                <w:szCs w:val="24"/>
              </w:rPr>
              <w:t xml:space="preserve">It </w:t>
            </w:r>
            <w:r w:rsidR="00CC783F" w:rsidRPr="00CC783F">
              <w:rPr>
                <w:rFonts w:ascii="Times New Roman" w:eastAsia="Times New Roman" w:hAnsi="Times New Roman"/>
                <w:color w:val="000000"/>
                <w:sz w:val="24"/>
                <w:szCs w:val="24"/>
              </w:rPr>
              <w:t>emphasi</w:t>
            </w:r>
            <w:r w:rsidR="00624D4B">
              <w:rPr>
                <w:rFonts w:ascii="Times New Roman" w:eastAsia="Times New Roman" w:hAnsi="Times New Roman"/>
                <w:color w:val="000000"/>
                <w:sz w:val="24"/>
                <w:szCs w:val="24"/>
              </w:rPr>
              <w:t>s</w:t>
            </w:r>
            <w:r w:rsidR="00CC783F" w:rsidRPr="00CC783F">
              <w:rPr>
                <w:rFonts w:ascii="Times New Roman" w:eastAsia="Times New Roman" w:hAnsi="Times New Roman"/>
                <w:color w:val="000000"/>
                <w:sz w:val="24"/>
                <w:szCs w:val="24"/>
              </w:rPr>
              <w:t>es the need</w:t>
            </w:r>
            <w:r>
              <w:rPr>
                <w:rFonts w:ascii="Times New Roman" w:eastAsia="Times New Roman" w:hAnsi="Times New Roman"/>
                <w:color w:val="000000"/>
                <w:sz w:val="24"/>
                <w:szCs w:val="24"/>
              </w:rPr>
              <w:t xml:space="preserve"> </w:t>
            </w:r>
            <w:r w:rsidRPr="00FF626A">
              <w:rPr>
                <w:rFonts w:ascii="Times New Roman" w:eastAsia="Times New Roman" w:hAnsi="Times New Roman"/>
                <w:color w:val="000000"/>
                <w:sz w:val="24"/>
                <w:szCs w:val="24"/>
              </w:rPr>
              <w:t>to</w:t>
            </w:r>
            <w:r w:rsidR="00CC783F" w:rsidRPr="00FF626A">
              <w:rPr>
                <w:rFonts w:ascii="Times New Roman" w:eastAsia="Times New Roman" w:hAnsi="Times New Roman"/>
                <w:color w:val="000000"/>
                <w:sz w:val="24"/>
                <w:szCs w:val="24"/>
              </w:rPr>
              <w:t xml:space="preserve"> </w:t>
            </w:r>
            <w:r w:rsidRPr="00FF626A">
              <w:rPr>
                <w:rFonts w:ascii="Times New Roman" w:eastAsia="Times New Roman" w:hAnsi="Times New Roman"/>
                <w:color w:val="000000"/>
                <w:sz w:val="24"/>
                <w:szCs w:val="24"/>
              </w:rPr>
              <w:t xml:space="preserve">be </w:t>
            </w:r>
            <w:r w:rsidRPr="00287EDC">
              <w:rPr>
                <w:rFonts w:ascii="Times New Roman" w:eastAsia="Times New Roman" w:hAnsi="Times New Roman"/>
                <w:color w:val="000000"/>
                <w:sz w:val="24"/>
                <w:szCs w:val="24"/>
              </w:rPr>
              <w:t>well-prepared</w:t>
            </w:r>
            <w:r w:rsidRPr="00FF626A">
              <w:rPr>
                <w:rFonts w:ascii="Times New Roman" w:eastAsia="Times New Roman" w:hAnsi="Times New Roman"/>
                <w:color w:val="000000"/>
                <w:sz w:val="24"/>
                <w:szCs w:val="24"/>
              </w:rPr>
              <w:t xml:space="preserve">, with full commitment from all sides, for the benefits of enlargement to materialise. </w:t>
            </w:r>
            <w:r w:rsidRPr="00287EDC">
              <w:rPr>
                <w:rFonts w:ascii="Times New Roman" w:eastAsia="Times New Roman" w:hAnsi="Times New Roman"/>
                <w:color w:val="000000"/>
                <w:sz w:val="24"/>
                <w:szCs w:val="24"/>
                <w:lang w:val="en-IE"/>
              </w:rPr>
              <w:t>O</w:t>
            </w:r>
            <w:r w:rsidRPr="00FF626A">
              <w:rPr>
                <w:rFonts w:ascii="Times New Roman" w:eastAsia="Times New Roman" w:hAnsi="Times New Roman"/>
                <w:color w:val="000000"/>
                <w:sz w:val="24"/>
                <w:szCs w:val="24"/>
                <w:lang w:val="en-IE"/>
              </w:rPr>
              <w:t xml:space="preserve">n 27 June 2024, the </w:t>
            </w:r>
            <w:r w:rsidRPr="00287EDC">
              <w:rPr>
                <w:rFonts w:ascii="Times New Roman" w:eastAsia="Times New Roman" w:hAnsi="Times New Roman"/>
                <w:color w:val="000000"/>
                <w:sz w:val="24"/>
                <w:szCs w:val="24"/>
                <w:lang w:val="en-IE"/>
              </w:rPr>
              <w:t>European Council</w:t>
            </w:r>
            <w:r w:rsidRPr="00FF626A">
              <w:rPr>
                <w:rFonts w:ascii="Times New Roman" w:eastAsia="Times New Roman" w:hAnsi="Times New Roman"/>
                <w:color w:val="000000"/>
                <w:sz w:val="24"/>
                <w:szCs w:val="24"/>
                <w:lang w:val="en-IE"/>
              </w:rPr>
              <w:t xml:space="preserve"> adopted its ‘</w:t>
            </w:r>
            <w:r w:rsidRPr="00FF626A">
              <w:rPr>
                <w:rFonts w:ascii="Times New Roman" w:eastAsia="Times New Roman" w:hAnsi="Times New Roman"/>
                <w:i/>
                <w:iCs/>
                <w:color w:val="000000"/>
                <w:sz w:val="24"/>
                <w:szCs w:val="24"/>
                <w:lang w:val="en-IE"/>
              </w:rPr>
              <w:t>Roadmap for future work on internal reforms</w:t>
            </w:r>
            <w:r w:rsidRPr="00FF626A">
              <w:rPr>
                <w:rFonts w:ascii="Times New Roman" w:eastAsia="Times New Roman" w:hAnsi="Times New Roman"/>
                <w:color w:val="000000"/>
                <w:sz w:val="24"/>
                <w:szCs w:val="24"/>
                <w:lang w:val="en-IE"/>
              </w:rPr>
              <w:t xml:space="preserve">’ and invited the </w:t>
            </w:r>
            <w:r w:rsidRPr="00FF626A">
              <w:rPr>
                <w:rFonts w:ascii="Times New Roman" w:eastAsia="Times New Roman" w:hAnsi="Times New Roman"/>
                <w:color w:val="000000"/>
                <w:sz w:val="24"/>
                <w:szCs w:val="24"/>
                <w:lang w:val="en-IE"/>
              </w:rPr>
              <w:lastRenderedPageBreak/>
              <w:t xml:space="preserve">Commission to present </w:t>
            </w:r>
            <w:r w:rsidRPr="00287EDC">
              <w:rPr>
                <w:rFonts w:ascii="Times New Roman" w:eastAsia="Times New Roman" w:hAnsi="Times New Roman"/>
                <w:color w:val="000000"/>
                <w:sz w:val="24"/>
                <w:szCs w:val="24"/>
                <w:lang w:val="en-IE"/>
              </w:rPr>
              <w:t>by spring 2025</w:t>
            </w:r>
            <w:r w:rsidRPr="00FF626A">
              <w:rPr>
                <w:rFonts w:ascii="Times New Roman" w:eastAsia="Times New Roman" w:hAnsi="Times New Roman"/>
                <w:color w:val="000000"/>
                <w:sz w:val="24"/>
                <w:szCs w:val="24"/>
                <w:lang w:val="en-IE"/>
              </w:rPr>
              <w:t xml:space="preserve"> in-depth policy reviews containing </w:t>
            </w:r>
            <w:r w:rsidRPr="00287EDC">
              <w:rPr>
                <w:rFonts w:ascii="Times New Roman" w:eastAsia="Times New Roman" w:hAnsi="Times New Roman"/>
                <w:color w:val="000000"/>
                <w:sz w:val="24"/>
                <w:szCs w:val="24"/>
                <w:lang w:val="en-IE"/>
              </w:rPr>
              <w:t>operational elements</w:t>
            </w:r>
            <w:r w:rsidRPr="00FF626A">
              <w:rPr>
                <w:rFonts w:ascii="Times New Roman" w:eastAsia="Times New Roman" w:hAnsi="Times New Roman"/>
                <w:color w:val="000000"/>
                <w:sz w:val="24"/>
                <w:szCs w:val="24"/>
                <w:lang w:val="en-IE"/>
              </w:rPr>
              <w:t xml:space="preserve"> on the four strands men</w:t>
            </w:r>
            <w:r w:rsidR="003D5CA8">
              <w:rPr>
                <w:rFonts w:ascii="Times New Roman" w:eastAsia="Times New Roman" w:hAnsi="Times New Roman"/>
                <w:color w:val="000000"/>
                <w:sz w:val="24"/>
                <w:szCs w:val="24"/>
                <w:lang w:val="en-IE"/>
              </w:rPr>
              <w:t>tioned</w:t>
            </w:r>
            <w:r w:rsidRPr="00FF626A">
              <w:rPr>
                <w:rFonts w:ascii="Times New Roman" w:eastAsia="Times New Roman" w:hAnsi="Times New Roman"/>
                <w:color w:val="000000"/>
                <w:sz w:val="24"/>
                <w:szCs w:val="24"/>
                <w:lang w:val="en-IE"/>
              </w:rPr>
              <w:t xml:space="preserve"> above. On 18 July 2024, President von der Leyen confirmed in her </w:t>
            </w:r>
            <w:r w:rsidRPr="00287EDC">
              <w:rPr>
                <w:rFonts w:ascii="Times New Roman" w:eastAsia="Times New Roman" w:hAnsi="Times New Roman"/>
                <w:color w:val="000000"/>
                <w:sz w:val="24"/>
                <w:szCs w:val="24"/>
                <w:lang w:val="en-IE"/>
              </w:rPr>
              <w:t>political guidelines for 2024-2029</w:t>
            </w:r>
            <w:r w:rsidRPr="00FF626A">
              <w:rPr>
                <w:rFonts w:ascii="Times New Roman" w:eastAsia="Times New Roman" w:hAnsi="Times New Roman"/>
                <w:color w:val="000000"/>
                <w:sz w:val="24"/>
                <w:szCs w:val="24"/>
                <w:lang w:val="en-IE"/>
              </w:rPr>
              <w:t xml:space="preserve"> </w:t>
            </w:r>
            <w:r w:rsidRPr="00C402AE">
              <w:rPr>
                <w:rFonts w:ascii="Times New Roman" w:eastAsia="Times New Roman" w:hAnsi="Times New Roman"/>
                <w:color w:val="000000"/>
                <w:sz w:val="24"/>
                <w:szCs w:val="24"/>
                <w:lang w:val="en-IE"/>
              </w:rPr>
              <w:t>that the pre-enlargement policy reviews</w:t>
            </w:r>
            <w:r>
              <w:rPr>
                <w:rFonts w:ascii="Times New Roman" w:eastAsia="Times New Roman" w:hAnsi="Times New Roman"/>
                <w:color w:val="000000"/>
                <w:sz w:val="24"/>
                <w:szCs w:val="24"/>
                <w:lang w:val="en-IE"/>
              </w:rPr>
              <w:t xml:space="preserve"> </w:t>
            </w:r>
            <w:r w:rsidRPr="00C402AE">
              <w:rPr>
                <w:rFonts w:ascii="Times New Roman" w:eastAsia="Times New Roman" w:hAnsi="Times New Roman"/>
                <w:color w:val="000000"/>
                <w:sz w:val="24"/>
                <w:szCs w:val="24"/>
                <w:lang w:val="en-IE"/>
              </w:rPr>
              <w:t>would focus</w:t>
            </w:r>
            <w:r w:rsidRPr="00C402AE">
              <w:rPr>
                <w:rFonts w:ascii="Times New Roman" w:eastAsia="Times New Roman" w:hAnsi="Times New Roman"/>
                <w:i/>
                <w:iCs/>
                <w:color w:val="000000"/>
                <w:sz w:val="24"/>
                <w:szCs w:val="24"/>
                <w:lang w:val="en-IE"/>
              </w:rPr>
              <w:t xml:space="preserve"> ‘on individual sectors such as the rule of law, the Single Market, food security, defence and security, climate and energy and migration, as well as social, economic and territorial convergence more broadly.</w:t>
            </w:r>
            <w:r w:rsidRPr="00C402AE">
              <w:rPr>
                <w:rFonts w:ascii="Times New Roman" w:eastAsia="Times New Roman" w:hAnsi="Times New Roman"/>
                <w:i/>
                <w:iCs/>
                <w:color w:val="000000"/>
                <w:sz w:val="24"/>
                <w:szCs w:val="24"/>
                <w:lang w:val="en-US"/>
              </w:rPr>
              <w:t> </w:t>
            </w:r>
            <w:r w:rsidRPr="00C402AE">
              <w:rPr>
                <w:rFonts w:ascii="Times New Roman" w:eastAsia="Times New Roman" w:hAnsi="Times New Roman"/>
                <w:i/>
                <w:iCs/>
                <w:color w:val="000000"/>
                <w:sz w:val="24"/>
                <w:szCs w:val="24"/>
                <w:lang w:val="en-IE"/>
              </w:rPr>
              <w:t>We will also put forward proposals to enhance Europe’s capacity to act’</w:t>
            </w:r>
            <w:r w:rsidRPr="00C402AE">
              <w:rPr>
                <w:rFonts w:ascii="Times New Roman" w:eastAsia="Times New Roman" w:hAnsi="Times New Roman"/>
                <w:color w:val="000000"/>
                <w:sz w:val="24"/>
                <w:szCs w:val="24"/>
                <w:lang w:val="en-IE"/>
              </w:rPr>
              <w:t>.</w:t>
            </w:r>
            <w:r w:rsidRPr="00C402AE">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 xml:space="preserve"> </w:t>
            </w:r>
            <w:r w:rsidR="00FF626A">
              <w:rPr>
                <w:rFonts w:ascii="Times New Roman" w:eastAsia="Times New Roman" w:hAnsi="Times New Roman"/>
                <w:color w:val="000000"/>
                <w:sz w:val="24"/>
                <w:szCs w:val="24"/>
              </w:rPr>
              <w:t xml:space="preserve">This exercise should help to identify gaps and needs for change, with first options, so that EU policies continue to deliver on their intended objectives in a larger Union. </w:t>
            </w:r>
            <w:r w:rsidR="00937EA6">
              <w:rPr>
                <w:rFonts w:ascii="Times New Roman" w:eastAsia="Times New Roman" w:hAnsi="Times New Roman"/>
                <w:color w:val="000000"/>
                <w:sz w:val="24"/>
                <w:szCs w:val="24"/>
                <w:lang w:val="en-IE"/>
              </w:rPr>
              <w:t>The EU</w:t>
            </w:r>
            <w:r w:rsidR="00937EA6" w:rsidRPr="00287EDC">
              <w:rPr>
                <w:rFonts w:ascii="Times New Roman" w:eastAsia="Times New Roman" w:hAnsi="Times New Roman"/>
                <w:color w:val="000000"/>
                <w:sz w:val="24"/>
                <w:szCs w:val="24"/>
                <w:lang w:val="en-IE"/>
              </w:rPr>
              <w:t xml:space="preserve"> </w:t>
            </w:r>
            <w:r w:rsidR="00FF626A" w:rsidRPr="00287EDC">
              <w:rPr>
                <w:rFonts w:ascii="Times New Roman" w:eastAsia="Times New Roman" w:hAnsi="Times New Roman"/>
                <w:color w:val="000000"/>
                <w:sz w:val="24"/>
                <w:szCs w:val="24"/>
                <w:lang w:val="en-IE"/>
              </w:rPr>
              <w:t>must use enlargement as a catalyst for progress</w:t>
            </w:r>
            <w:r w:rsidR="00FF626A">
              <w:rPr>
                <w:rFonts w:ascii="Times New Roman" w:eastAsia="Times New Roman" w:hAnsi="Times New Roman"/>
                <w:color w:val="000000"/>
                <w:sz w:val="24"/>
                <w:szCs w:val="24"/>
                <w:lang w:val="en-IE"/>
              </w:rPr>
              <w:t>, to the benefit of all sides.</w:t>
            </w:r>
          </w:p>
          <w:p w14:paraId="72CC0DC9" w14:textId="5143D4CC" w:rsidR="00CC783F" w:rsidRPr="00567705" w:rsidRDefault="00CC783F" w:rsidP="00E8165A">
            <w:pPr>
              <w:spacing w:before="120" w:after="120"/>
              <w:jc w:val="both"/>
              <w:rPr>
                <w:rFonts w:ascii="Times New Roman" w:eastAsia="Times New Roman" w:hAnsi="Times New Roman"/>
                <w:sz w:val="24"/>
                <w:szCs w:val="24"/>
                <w:lang w:val="en-IE"/>
              </w:rPr>
            </w:pPr>
            <w:r w:rsidRPr="00567705">
              <w:rPr>
                <w:rFonts w:ascii="Times New Roman" w:eastAsia="Times New Roman" w:hAnsi="Times New Roman"/>
                <w:sz w:val="24"/>
                <w:szCs w:val="24"/>
              </w:rPr>
              <w:t>The Commission shares the view that the predictability of the accession process serves as a powerful incentive for the Western Balkans to fulfil their commitments and implement necessary reforms. A key aspect of the new Growth Plan is its conditionality; the payment mechanism is tied to the achievement of key reforms that have been previously agreed upon by the Commission</w:t>
            </w:r>
            <w:r w:rsidR="003D5CA8">
              <w:rPr>
                <w:rFonts w:ascii="Times New Roman" w:eastAsia="Times New Roman" w:hAnsi="Times New Roman"/>
                <w:sz w:val="24"/>
                <w:szCs w:val="24"/>
              </w:rPr>
              <w:t>,</w:t>
            </w:r>
            <w:r w:rsidRPr="00567705">
              <w:rPr>
                <w:rFonts w:ascii="Times New Roman" w:eastAsia="Times New Roman" w:hAnsi="Times New Roman"/>
                <w:sz w:val="24"/>
                <w:szCs w:val="24"/>
              </w:rPr>
              <w:t xml:space="preserve"> EU Member States</w:t>
            </w:r>
            <w:r w:rsidR="003D5CA8">
              <w:rPr>
                <w:rFonts w:ascii="Times New Roman" w:eastAsia="Times New Roman" w:hAnsi="Times New Roman"/>
                <w:sz w:val="24"/>
                <w:szCs w:val="24"/>
              </w:rPr>
              <w:t xml:space="preserve"> and the Beneficiaries</w:t>
            </w:r>
            <w:r w:rsidRPr="00567705">
              <w:rPr>
                <w:rFonts w:ascii="Times New Roman" w:eastAsia="Times New Roman" w:hAnsi="Times New Roman"/>
                <w:sz w:val="24"/>
                <w:szCs w:val="24"/>
              </w:rPr>
              <w:t>, ensuring a highly predictable process.</w:t>
            </w:r>
          </w:p>
          <w:p w14:paraId="6404A83F" w14:textId="32477EA3" w:rsidR="00CC783F" w:rsidRPr="00567705" w:rsidRDefault="00CC783F" w:rsidP="00E8165A">
            <w:pPr>
              <w:spacing w:before="120" w:after="120"/>
              <w:jc w:val="both"/>
              <w:rPr>
                <w:rFonts w:ascii="Times New Roman" w:eastAsia="Times New Roman" w:hAnsi="Times New Roman"/>
                <w:sz w:val="24"/>
                <w:szCs w:val="24"/>
              </w:rPr>
            </w:pPr>
            <w:r w:rsidRPr="00567705">
              <w:rPr>
                <w:rFonts w:ascii="Times New Roman" w:eastAsia="Times New Roman" w:hAnsi="Times New Roman"/>
                <w:sz w:val="24"/>
                <w:szCs w:val="24"/>
              </w:rPr>
              <w:t xml:space="preserve">The Commission reaffirms its support for the </w:t>
            </w:r>
            <w:r w:rsidR="008528A5">
              <w:rPr>
                <w:rFonts w:ascii="Times New Roman" w:eastAsia="Times New Roman" w:hAnsi="Times New Roman"/>
                <w:sz w:val="24"/>
                <w:szCs w:val="24"/>
              </w:rPr>
              <w:t xml:space="preserve">EU </w:t>
            </w:r>
            <w:r w:rsidRPr="00567705">
              <w:rPr>
                <w:rFonts w:ascii="Times New Roman" w:eastAsia="Times New Roman" w:hAnsi="Times New Roman"/>
                <w:sz w:val="24"/>
                <w:szCs w:val="24"/>
              </w:rPr>
              <w:t xml:space="preserve">accession process </w:t>
            </w:r>
            <w:r w:rsidR="003D5CA8">
              <w:rPr>
                <w:rFonts w:ascii="Times New Roman" w:eastAsia="Times New Roman" w:hAnsi="Times New Roman"/>
                <w:sz w:val="24"/>
                <w:szCs w:val="24"/>
              </w:rPr>
              <w:t>of</w:t>
            </w:r>
            <w:r w:rsidRPr="00567705">
              <w:rPr>
                <w:rFonts w:ascii="Times New Roman" w:eastAsia="Times New Roman" w:hAnsi="Times New Roman"/>
                <w:sz w:val="24"/>
                <w:szCs w:val="24"/>
              </w:rPr>
              <w:t xml:space="preserve"> the Western Balkans. The Commission acknowledges the need for credible reforms, adherence to fair and rigorous conditionality and the importance of a merit-based approach. The</w:t>
            </w:r>
            <w:r w:rsidR="008528A5">
              <w:rPr>
                <w:rFonts w:ascii="Times New Roman" w:eastAsia="Times New Roman" w:hAnsi="Times New Roman"/>
                <w:sz w:val="24"/>
                <w:szCs w:val="24"/>
              </w:rPr>
              <w:t>se</w:t>
            </w:r>
            <w:r w:rsidRPr="00567705">
              <w:rPr>
                <w:rFonts w:ascii="Times New Roman" w:eastAsia="Times New Roman" w:hAnsi="Times New Roman"/>
                <w:sz w:val="24"/>
                <w:szCs w:val="24"/>
              </w:rPr>
              <w:t xml:space="preserve"> principles align with </w:t>
            </w:r>
            <w:r w:rsidR="00624D4B">
              <w:rPr>
                <w:rFonts w:ascii="Times New Roman" w:eastAsia="Times New Roman" w:hAnsi="Times New Roman"/>
                <w:sz w:val="24"/>
                <w:szCs w:val="24"/>
              </w:rPr>
              <w:t>the EU</w:t>
            </w:r>
            <w:r w:rsidR="008528A5">
              <w:rPr>
                <w:rFonts w:ascii="Times New Roman" w:eastAsia="Times New Roman" w:hAnsi="Times New Roman"/>
                <w:sz w:val="24"/>
                <w:szCs w:val="24"/>
              </w:rPr>
              <w:t>’s</w:t>
            </w:r>
            <w:r w:rsidR="00624D4B" w:rsidRPr="00567705">
              <w:rPr>
                <w:rFonts w:ascii="Times New Roman" w:eastAsia="Times New Roman" w:hAnsi="Times New Roman"/>
                <w:sz w:val="24"/>
                <w:szCs w:val="24"/>
              </w:rPr>
              <w:t xml:space="preserve"> </w:t>
            </w:r>
            <w:r w:rsidRPr="00567705">
              <w:rPr>
                <w:rFonts w:ascii="Times New Roman" w:eastAsia="Times New Roman" w:hAnsi="Times New Roman"/>
                <w:sz w:val="24"/>
                <w:szCs w:val="24"/>
              </w:rPr>
              <w:t xml:space="preserve">objective of promoting </w:t>
            </w:r>
            <w:r w:rsidR="008528A5">
              <w:rPr>
                <w:rFonts w:ascii="Times New Roman" w:eastAsia="Times New Roman" w:hAnsi="Times New Roman"/>
                <w:sz w:val="24"/>
                <w:szCs w:val="24"/>
              </w:rPr>
              <w:t xml:space="preserve">democracy, </w:t>
            </w:r>
            <w:r w:rsidRPr="00567705">
              <w:rPr>
                <w:rFonts w:ascii="Times New Roman" w:eastAsia="Times New Roman" w:hAnsi="Times New Roman"/>
                <w:sz w:val="24"/>
                <w:szCs w:val="24"/>
              </w:rPr>
              <w:t>stability and integration within the region.</w:t>
            </w:r>
          </w:p>
          <w:p w14:paraId="22ADA6A4" w14:textId="6DD73224" w:rsidR="00CC783F" w:rsidRPr="00567705" w:rsidRDefault="00CC783F" w:rsidP="00E8165A">
            <w:pPr>
              <w:spacing w:before="120" w:after="120"/>
              <w:jc w:val="both"/>
              <w:rPr>
                <w:rFonts w:ascii="Times New Roman" w:eastAsia="Times New Roman" w:hAnsi="Times New Roman"/>
                <w:sz w:val="24"/>
                <w:szCs w:val="24"/>
              </w:rPr>
            </w:pPr>
            <w:r w:rsidRPr="00567705">
              <w:rPr>
                <w:rFonts w:ascii="Times New Roman" w:eastAsia="Times New Roman" w:hAnsi="Times New Roman"/>
                <w:sz w:val="24"/>
                <w:szCs w:val="24"/>
              </w:rPr>
              <w:t xml:space="preserve">The inclusion of some enlargement countries in the Rule of Law Report as of 2024 (Albania, Montenegro, North Macedonia and Serbia) will support the implementation of the recommendations </w:t>
            </w:r>
            <w:r w:rsidR="003D5CA8">
              <w:rPr>
                <w:rFonts w:ascii="Times New Roman" w:eastAsia="Times New Roman" w:hAnsi="Times New Roman"/>
                <w:sz w:val="24"/>
                <w:szCs w:val="24"/>
              </w:rPr>
              <w:t>in</w:t>
            </w:r>
            <w:r w:rsidRPr="00567705">
              <w:rPr>
                <w:rFonts w:ascii="Times New Roman" w:eastAsia="Times New Roman" w:hAnsi="Times New Roman"/>
                <w:sz w:val="24"/>
                <w:szCs w:val="24"/>
              </w:rPr>
              <w:t xml:space="preserve"> the enlargement </w:t>
            </w:r>
            <w:r w:rsidR="003D5CA8">
              <w:rPr>
                <w:rFonts w:ascii="Times New Roman" w:eastAsia="Times New Roman" w:hAnsi="Times New Roman"/>
                <w:sz w:val="24"/>
                <w:szCs w:val="24"/>
              </w:rPr>
              <w:t>reports</w:t>
            </w:r>
            <w:r w:rsidR="00624D4B">
              <w:rPr>
                <w:rFonts w:ascii="Times New Roman" w:eastAsia="Times New Roman" w:hAnsi="Times New Roman"/>
                <w:sz w:val="24"/>
                <w:szCs w:val="24"/>
              </w:rPr>
              <w:t>,</w:t>
            </w:r>
            <w:r w:rsidR="00B6459E">
              <w:rPr>
                <w:rFonts w:ascii="Times New Roman" w:eastAsia="Times New Roman" w:hAnsi="Times New Roman"/>
                <w:sz w:val="24"/>
                <w:szCs w:val="24"/>
              </w:rPr>
              <w:t xml:space="preserve"> which remain the main tool to steer the accession process</w:t>
            </w:r>
            <w:r w:rsidRPr="00567705">
              <w:rPr>
                <w:rFonts w:ascii="Times New Roman" w:eastAsia="Times New Roman" w:hAnsi="Times New Roman"/>
                <w:sz w:val="24"/>
                <w:szCs w:val="24"/>
              </w:rPr>
              <w:t xml:space="preserve">. The Commission will include other enlargement countries in the Rule of Law Report as and when they are ready, as set out by President von der Leyen in her Political Guidelines for the next Commission </w:t>
            </w:r>
            <w:r w:rsidR="00624D4B">
              <w:rPr>
                <w:rFonts w:ascii="Times New Roman" w:eastAsia="Times New Roman" w:hAnsi="Times New Roman"/>
                <w:sz w:val="24"/>
                <w:szCs w:val="24"/>
              </w:rPr>
              <w:t>(</w:t>
            </w:r>
            <w:r w:rsidRPr="00567705">
              <w:rPr>
                <w:rFonts w:ascii="Times New Roman" w:eastAsia="Times New Roman" w:hAnsi="Times New Roman"/>
                <w:sz w:val="24"/>
                <w:szCs w:val="24"/>
              </w:rPr>
              <w:t>2024-2029</w:t>
            </w:r>
            <w:r w:rsidR="00624D4B">
              <w:rPr>
                <w:rFonts w:ascii="Times New Roman" w:eastAsia="Times New Roman" w:hAnsi="Times New Roman"/>
                <w:sz w:val="24"/>
                <w:szCs w:val="24"/>
              </w:rPr>
              <w:t>)</w:t>
            </w:r>
            <w:r w:rsidRPr="00567705">
              <w:rPr>
                <w:rFonts w:ascii="Times New Roman" w:eastAsia="Times New Roman" w:hAnsi="Times New Roman"/>
                <w:sz w:val="24"/>
                <w:szCs w:val="24"/>
              </w:rPr>
              <w:t>.</w:t>
            </w:r>
          </w:p>
          <w:p w14:paraId="5894BE92" w14:textId="673FD0CB" w:rsidR="00CC783F" w:rsidRPr="00567705" w:rsidRDefault="00CC783F" w:rsidP="00E8165A">
            <w:pPr>
              <w:spacing w:before="120" w:after="120"/>
              <w:jc w:val="both"/>
              <w:rPr>
                <w:rFonts w:ascii="Times New Roman" w:eastAsia="Times New Roman" w:hAnsi="Times New Roman"/>
                <w:sz w:val="24"/>
                <w:szCs w:val="24"/>
              </w:rPr>
            </w:pPr>
            <w:r w:rsidRPr="00567705">
              <w:rPr>
                <w:rFonts w:ascii="Times New Roman" w:eastAsia="Times New Roman" w:hAnsi="Times New Roman"/>
                <w:sz w:val="24"/>
                <w:szCs w:val="24"/>
              </w:rPr>
              <w:t xml:space="preserve">The Growth Plan </w:t>
            </w:r>
            <w:r w:rsidR="005C4541">
              <w:rPr>
                <w:rFonts w:ascii="Times New Roman" w:eastAsia="Times New Roman" w:hAnsi="Times New Roman"/>
                <w:sz w:val="24"/>
                <w:szCs w:val="24"/>
              </w:rPr>
              <w:t xml:space="preserve">for </w:t>
            </w:r>
            <w:r w:rsidR="004F5409">
              <w:rPr>
                <w:rFonts w:ascii="Times New Roman" w:eastAsia="Times New Roman" w:hAnsi="Times New Roman"/>
                <w:sz w:val="24"/>
                <w:szCs w:val="24"/>
              </w:rPr>
              <w:t xml:space="preserve">the </w:t>
            </w:r>
            <w:r w:rsidR="005C4541">
              <w:rPr>
                <w:rFonts w:ascii="Times New Roman" w:eastAsia="Times New Roman" w:hAnsi="Times New Roman"/>
                <w:sz w:val="24"/>
                <w:szCs w:val="24"/>
              </w:rPr>
              <w:t xml:space="preserve">Western Balkans </w:t>
            </w:r>
            <w:r w:rsidRPr="00567705">
              <w:rPr>
                <w:rFonts w:ascii="Times New Roman" w:eastAsia="Times New Roman" w:hAnsi="Times New Roman"/>
                <w:sz w:val="24"/>
                <w:szCs w:val="24"/>
              </w:rPr>
              <w:t xml:space="preserve">encourages the ‘fullest </w:t>
            </w:r>
            <w:bookmarkStart w:id="0" w:name="_Int_PTxnurek"/>
            <w:r w:rsidRPr="00567705">
              <w:rPr>
                <w:rFonts w:ascii="Times New Roman" w:eastAsia="Times New Roman" w:hAnsi="Times New Roman"/>
                <w:sz w:val="24"/>
                <w:szCs w:val="24"/>
              </w:rPr>
              <w:t>possible participation</w:t>
            </w:r>
            <w:bookmarkEnd w:id="0"/>
            <w:r w:rsidRPr="00567705">
              <w:rPr>
                <w:rFonts w:ascii="Times New Roman" w:eastAsia="Times New Roman" w:hAnsi="Times New Roman"/>
                <w:sz w:val="24"/>
                <w:szCs w:val="24"/>
              </w:rPr>
              <w:t xml:space="preserve"> in Commission-led expert groups,’ in accordance with EU </w:t>
            </w:r>
            <w:r w:rsidR="00624D4B">
              <w:rPr>
                <w:rFonts w:ascii="Times New Roman" w:eastAsia="Times New Roman" w:hAnsi="Times New Roman"/>
                <w:sz w:val="24"/>
                <w:szCs w:val="24"/>
              </w:rPr>
              <w:t>law</w:t>
            </w:r>
            <w:r w:rsidR="00937EA6">
              <w:rPr>
                <w:rFonts w:ascii="Times New Roman" w:eastAsia="Times New Roman" w:hAnsi="Times New Roman"/>
                <w:sz w:val="24"/>
                <w:szCs w:val="24"/>
              </w:rPr>
              <w:t>,</w:t>
            </w:r>
            <w:r w:rsidR="00624D4B">
              <w:rPr>
                <w:rFonts w:ascii="Times New Roman" w:eastAsia="Times New Roman" w:hAnsi="Times New Roman"/>
                <w:sz w:val="24"/>
                <w:szCs w:val="24"/>
              </w:rPr>
              <w:t xml:space="preserve"> </w:t>
            </w:r>
            <w:r w:rsidRPr="00567705">
              <w:rPr>
                <w:rFonts w:ascii="Times New Roman" w:eastAsia="Times New Roman" w:hAnsi="Times New Roman"/>
                <w:sz w:val="24"/>
                <w:szCs w:val="24"/>
              </w:rPr>
              <w:t>without excluding other potential forms of institutional participation for candidate countries</w:t>
            </w:r>
            <w:r w:rsidR="0088303B">
              <w:rPr>
                <w:rFonts w:ascii="Times New Roman" w:eastAsia="Times New Roman" w:hAnsi="Times New Roman"/>
                <w:sz w:val="24"/>
                <w:szCs w:val="24"/>
              </w:rPr>
              <w:t xml:space="preserve"> and potential candidates</w:t>
            </w:r>
            <w:r w:rsidRPr="00567705">
              <w:rPr>
                <w:rFonts w:ascii="Times New Roman" w:eastAsia="Times New Roman" w:hAnsi="Times New Roman"/>
                <w:sz w:val="24"/>
                <w:szCs w:val="24"/>
              </w:rPr>
              <w:t xml:space="preserve">. </w:t>
            </w:r>
            <w:r w:rsidR="00DC6E47">
              <w:rPr>
                <w:rFonts w:ascii="Times New Roman" w:eastAsia="Times New Roman" w:hAnsi="Times New Roman"/>
                <w:sz w:val="24"/>
                <w:szCs w:val="24"/>
              </w:rPr>
              <w:t>T</w:t>
            </w:r>
            <w:r w:rsidRPr="00567705">
              <w:rPr>
                <w:rFonts w:ascii="Times New Roman" w:eastAsia="Times New Roman" w:hAnsi="Times New Roman"/>
                <w:sz w:val="24"/>
                <w:szCs w:val="24"/>
              </w:rPr>
              <w:t xml:space="preserve">he </w:t>
            </w:r>
            <w:r w:rsidR="0088303B">
              <w:rPr>
                <w:rFonts w:ascii="Times New Roman" w:eastAsia="Times New Roman" w:hAnsi="Times New Roman"/>
                <w:sz w:val="24"/>
                <w:szCs w:val="24"/>
              </w:rPr>
              <w:t>enlargement</w:t>
            </w:r>
            <w:r w:rsidRPr="00567705">
              <w:rPr>
                <w:rFonts w:ascii="Times New Roman" w:eastAsia="Times New Roman" w:hAnsi="Times New Roman"/>
                <w:sz w:val="24"/>
                <w:szCs w:val="24"/>
              </w:rPr>
              <w:t xml:space="preserve"> </w:t>
            </w:r>
            <w:r w:rsidR="0088303B">
              <w:rPr>
                <w:rFonts w:ascii="Times New Roman" w:eastAsia="Times New Roman" w:hAnsi="Times New Roman"/>
                <w:sz w:val="24"/>
                <w:szCs w:val="24"/>
              </w:rPr>
              <w:t>partner</w:t>
            </w:r>
            <w:r w:rsidRPr="00567705">
              <w:rPr>
                <w:rFonts w:ascii="Times New Roman" w:eastAsia="Times New Roman" w:hAnsi="Times New Roman"/>
                <w:sz w:val="24"/>
                <w:szCs w:val="24"/>
              </w:rPr>
              <w:t>s can benefit from programs that are operated in cooperation with other EU agencies th</w:t>
            </w:r>
            <w:r w:rsidR="00624D4B">
              <w:rPr>
                <w:rFonts w:ascii="Times New Roman" w:eastAsia="Times New Roman" w:hAnsi="Times New Roman"/>
                <w:sz w:val="24"/>
                <w:szCs w:val="24"/>
              </w:rPr>
              <w:t>u</w:t>
            </w:r>
            <w:r w:rsidRPr="00567705">
              <w:rPr>
                <w:rFonts w:ascii="Times New Roman" w:eastAsia="Times New Roman" w:hAnsi="Times New Roman"/>
                <w:sz w:val="24"/>
                <w:szCs w:val="24"/>
              </w:rPr>
              <w:t xml:space="preserve">s ensuring </w:t>
            </w:r>
            <w:r w:rsidR="00624D4B">
              <w:rPr>
                <w:rFonts w:ascii="Times New Roman" w:eastAsia="Times New Roman" w:hAnsi="Times New Roman"/>
                <w:sz w:val="24"/>
                <w:szCs w:val="24"/>
              </w:rPr>
              <w:t xml:space="preserve">that </w:t>
            </w:r>
            <w:r w:rsidRPr="00567705">
              <w:rPr>
                <w:rFonts w:ascii="Times New Roman" w:eastAsia="Times New Roman" w:hAnsi="Times New Roman"/>
                <w:sz w:val="24"/>
                <w:szCs w:val="24"/>
              </w:rPr>
              <w:t xml:space="preserve">the benefits of these programs are extended even in cases where participation by external entities is not explicitly provided under EU </w:t>
            </w:r>
            <w:r w:rsidR="00624D4B">
              <w:rPr>
                <w:rFonts w:ascii="Times New Roman" w:eastAsia="Times New Roman" w:hAnsi="Times New Roman"/>
                <w:sz w:val="24"/>
                <w:szCs w:val="24"/>
              </w:rPr>
              <w:t>law</w:t>
            </w:r>
            <w:r w:rsidRPr="00567705">
              <w:rPr>
                <w:rFonts w:ascii="Times New Roman" w:eastAsia="Times New Roman" w:hAnsi="Times New Roman"/>
                <w:sz w:val="24"/>
                <w:szCs w:val="24"/>
              </w:rPr>
              <w:t>.</w:t>
            </w:r>
          </w:p>
          <w:p w14:paraId="207A5269" w14:textId="5859E951" w:rsidR="00CC783F" w:rsidRPr="00261F5F" w:rsidRDefault="00CC783F" w:rsidP="00E8165A">
            <w:pPr>
              <w:spacing w:before="120" w:after="120"/>
              <w:jc w:val="both"/>
              <w:rPr>
                <w:rFonts w:ascii="Times New Roman" w:eastAsia="Times New Roman" w:hAnsi="Times New Roman"/>
                <w:sz w:val="24"/>
                <w:szCs w:val="24"/>
              </w:rPr>
            </w:pPr>
            <w:r w:rsidRPr="00567705">
              <w:rPr>
                <w:rFonts w:ascii="Times New Roman" w:eastAsia="Times New Roman" w:hAnsi="Times New Roman"/>
                <w:sz w:val="24"/>
                <w:szCs w:val="24"/>
              </w:rPr>
              <w:t xml:space="preserve">The Commission </w:t>
            </w:r>
            <w:r w:rsidR="00624D4B">
              <w:rPr>
                <w:rFonts w:ascii="Times New Roman" w:eastAsia="Times New Roman" w:hAnsi="Times New Roman"/>
                <w:sz w:val="24"/>
                <w:szCs w:val="24"/>
              </w:rPr>
              <w:t>agrees</w:t>
            </w:r>
            <w:r w:rsidRPr="00567705">
              <w:rPr>
                <w:rFonts w:ascii="Times New Roman" w:eastAsia="Times New Roman" w:hAnsi="Times New Roman"/>
                <w:sz w:val="24"/>
                <w:szCs w:val="24"/>
              </w:rPr>
              <w:t xml:space="preserve"> that it is essential to intensify</w:t>
            </w:r>
            <w:r w:rsidR="004F5409">
              <w:rPr>
                <w:rFonts w:ascii="Times New Roman" w:eastAsia="Times New Roman" w:hAnsi="Times New Roman"/>
                <w:sz w:val="24"/>
                <w:szCs w:val="24"/>
              </w:rPr>
              <w:t xml:space="preserve"> socio-economic</w:t>
            </w:r>
            <w:r w:rsidRPr="00567705">
              <w:rPr>
                <w:rFonts w:ascii="Times New Roman" w:eastAsia="Times New Roman" w:hAnsi="Times New Roman"/>
                <w:sz w:val="24"/>
                <w:szCs w:val="24"/>
              </w:rPr>
              <w:t xml:space="preserve"> convergence efforts with a focus on improving the quality of life for citizens and maintaining public support in the region. The Commission </w:t>
            </w:r>
            <w:r w:rsidR="00B028D4">
              <w:rPr>
                <w:rFonts w:ascii="Times New Roman" w:eastAsia="Times New Roman" w:hAnsi="Times New Roman"/>
                <w:sz w:val="24"/>
                <w:szCs w:val="24"/>
              </w:rPr>
              <w:t>i</w:t>
            </w:r>
            <w:r w:rsidRPr="00567705">
              <w:rPr>
                <w:rFonts w:ascii="Times New Roman" w:eastAsia="Times New Roman" w:hAnsi="Times New Roman"/>
                <w:sz w:val="24"/>
                <w:szCs w:val="24"/>
              </w:rPr>
              <w:t>s committed to working closely with all partners to leverage the current momentum and demonstrate the value of increase</w:t>
            </w:r>
            <w:r w:rsidR="00624D4B">
              <w:rPr>
                <w:rFonts w:ascii="Times New Roman" w:eastAsia="Times New Roman" w:hAnsi="Times New Roman"/>
                <w:sz w:val="24"/>
                <w:szCs w:val="24"/>
              </w:rPr>
              <w:t>d</w:t>
            </w:r>
            <w:r w:rsidRPr="00567705">
              <w:rPr>
                <w:rFonts w:ascii="Times New Roman" w:eastAsia="Times New Roman" w:hAnsi="Times New Roman"/>
                <w:sz w:val="24"/>
                <w:szCs w:val="24"/>
              </w:rPr>
              <w:t xml:space="preserve"> EU financial investments </w:t>
            </w:r>
            <w:r w:rsidR="00B028D4">
              <w:rPr>
                <w:rFonts w:ascii="Times New Roman" w:eastAsia="Times New Roman" w:hAnsi="Times New Roman"/>
                <w:sz w:val="24"/>
                <w:szCs w:val="24"/>
              </w:rPr>
              <w:t>for</w:t>
            </w:r>
            <w:r w:rsidRPr="00567705">
              <w:rPr>
                <w:rFonts w:ascii="Times New Roman" w:eastAsia="Times New Roman" w:hAnsi="Times New Roman"/>
                <w:sz w:val="24"/>
                <w:szCs w:val="24"/>
              </w:rPr>
              <w:t xml:space="preserve"> the Western Balkan’s development.</w:t>
            </w:r>
          </w:p>
          <w:p w14:paraId="297EBAD3" w14:textId="2AF88E65" w:rsidR="00CC783F" w:rsidRPr="00567705" w:rsidRDefault="00CC783F" w:rsidP="00E8165A">
            <w:pPr>
              <w:pStyle w:val="ListParagraph"/>
              <w:spacing w:before="120" w:after="120" w:line="276" w:lineRule="auto"/>
              <w:ind w:left="0"/>
              <w:jc w:val="both"/>
              <w:rPr>
                <w:rFonts w:ascii="Times New Roman" w:eastAsia="Times New Roman" w:hAnsi="Times New Roman" w:cs="Times New Roman"/>
                <w:sz w:val="24"/>
                <w:szCs w:val="24"/>
              </w:rPr>
            </w:pPr>
            <w:r w:rsidRPr="00591EC7">
              <w:rPr>
                <w:rFonts w:ascii="Times New Roman" w:eastAsia="Times New Roman" w:hAnsi="Times New Roman" w:cs="Times New Roman"/>
                <w:sz w:val="24"/>
                <w:szCs w:val="24"/>
              </w:rPr>
              <w:t>The Commission takes note of the EESC</w:t>
            </w:r>
            <w:r w:rsidR="00D239D2" w:rsidRPr="00591EC7">
              <w:rPr>
                <w:rFonts w:ascii="Times New Roman" w:eastAsia="Times New Roman" w:hAnsi="Times New Roman" w:cs="Times New Roman"/>
                <w:sz w:val="24"/>
                <w:szCs w:val="24"/>
              </w:rPr>
              <w:t xml:space="preserve"> </w:t>
            </w:r>
            <w:r w:rsidRPr="00591EC7">
              <w:rPr>
                <w:rFonts w:ascii="Times New Roman" w:eastAsia="Times New Roman" w:hAnsi="Times New Roman" w:cs="Times New Roman"/>
                <w:sz w:val="24"/>
                <w:szCs w:val="24"/>
              </w:rPr>
              <w:t>proposal</w:t>
            </w:r>
            <w:r w:rsidR="007D7509" w:rsidRPr="00591EC7">
              <w:rPr>
                <w:rFonts w:ascii="Times New Roman" w:eastAsia="Times New Roman" w:hAnsi="Times New Roman" w:cs="Times New Roman"/>
                <w:sz w:val="24"/>
                <w:szCs w:val="24"/>
              </w:rPr>
              <w:t xml:space="preserve"> to include the Western Balkans in its initiatives linked to the Green Agenda</w:t>
            </w:r>
            <w:r w:rsidRPr="00591EC7">
              <w:rPr>
                <w:rFonts w:ascii="Times New Roman" w:eastAsia="Times New Roman" w:hAnsi="Times New Roman" w:cs="Times New Roman"/>
                <w:sz w:val="24"/>
                <w:szCs w:val="24"/>
              </w:rPr>
              <w:t>. The Green Agenda for the Western Balkans is shared between the region and the E</w:t>
            </w:r>
            <w:r w:rsidR="00FB37B9" w:rsidRPr="00591EC7">
              <w:rPr>
                <w:rFonts w:ascii="Times New Roman" w:eastAsia="Times New Roman" w:hAnsi="Times New Roman" w:cs="Times New Roman"/>
                <w:sz w:val="24"/>
                <w:szCs w:val="24"/>
              </w:rPr>
              <w:t>U</w:t>
            </w:r>
            <w:r w:rsidRPr="00591EC7">
              <w:rPr>
                <w:rFonts w:ascii="Times New Roman" w:eastAsia="Times New Roman" w:hAnsi="Times New Roman" w:cs="Times New Roman"/>
                <w:sz w:val="24"/>
                <w:szCs w:val="24"/>
              </w:rPr>
              <w:t>, having been adopted with the Economic</w:t>
            </w:r>
            <w:r w:rsidRPr="00567705">
              <w:rPr>
                <w:rFonts w:ascii="Times New Roman" w:eastAsia="Times New Roman" w:hAnsi="Times New Roman" w:cs="Times New Roman"/>
                <w:sz w:val="24"/>
                <w:szCs w:val="24"/>
              </w:rPr>
              <w:t xml:space="preserve"> and Investment Plan for the Western Balkans and endorsed by the leaders of the region through the Sofia Declaration in November 2020. The G</w:t>
            </w:r>
            <w:r w:rsidR="00FB37B9">
              <w:rPr>
                <w:rFonts w:ascii="Times New Roman" w:eastAsia="Times New Roman" w:hAnsi="Times New Roman" w:cs="Times New Roman"/>
                <w:sz w:val="24"/>
                <w:szCs w:val="24"/>
              </w:rPr>
              <w:t>rowth Plan</w:t>
            </w:r>
            <w:r w:rsidRPr="00567705">
              <w:rPr>
                <w:rFonts w:ascii="Times New Roman" w:eastAsia="Times New Roman" w:hAnsi="Times New Roman" w:cs="Times New Roman"/>
                <w:sz w:val="24"/>
                <w:szCs w:val="24"/>
              </w:rPr>
              <w:t xml:space="preserve"> for the Western Balkans, and its accompanying EUR 6 billion RGFWB, prioriti</w:t>
            </w:r>
            <w:r w:rsidR="00FB37B9">
              <w:rPr>
                <w:rFonts w:ascii="Times New Roman" w:eastAsia="Times New Roman" w:hAnsi="Times New Roman" w:cs="Times New Roman"/>
                <w:sz w:val="24"/>
                <w:szCs w:val="24"/>
              </w:rPr>
              <w:t>s</w:t>
            </w:r>
            <w:r w:rsidRPr="00567705">
              <w:rPr>
                <w:rFonts w:ascii="Times New Roman" w:eastAsia="Times New Roman" w:hAnsi="Times New Roman" w:cs="Times New Roman"/>
                <w:sz w:val="24"/>
                <w:szCs w:val="24"/>
              </w:rPr>
              <w:t>es the green transition and decarboni</w:t>
            </w:r>
            <w:r w:rsidR="00FB37B9">
              <w:rPr>
                <w:rFonts w:ascii="Times New Roman" w:eastAsia="Times New Roman" w:hAnsi="Times New Roman" w:cs="Times New Roman"/>
                <w:sz w:val="24"/>
                <w:szCs w:val="24"/>
              </w:rPr>
              <w:t>s</w:t>
            </w:r>
            <w:r w:rsidRPr="00567705">
              <w:rPr>
                <w:rFonts w:ascii="Times New Roman" w:eastAsia="Times New Roman" w:hAnsi="Times New Roman" w:cs="Times New Roman"/>
                <w:sz w:val="24"/>
                <w:szCs w:val="24"/>
              </w:rPr>
              <w:t xml:space="preserve">ation. The new action plan for the Common Regional Market is designed to align with the Green Agenda, integrating concrete measures that will </w:t>
            </w:r>
            <w:r w:rsidRPr="00567705">
              <w:rPr>
                <w:rFonts w:ascii="Times New Roman" w:eastAsia="Times New Roman" w:hAnsi="Times New Roman" w:cs="Times New Roman"/>
                <w:sz w:val="24"/>
                <w:szCs w:val="24"/>
              </w:rPr>
              <w:lastRenderedPageBreak/>
              <w:t>facilitate the Western Balkans’ progress towards decarboni</w:t>
            </w:r>
            <w:r w:rsidR="00FB37B9">
              <w:rPr>
                <w:rFonts w:ascii="Times New Roman" w:eastAsia="Times New Roman" w:hAnsi="Times New Roman" w:cs="Times New Roman"/>
                <w:sz w:val="24"/>
                <w:szCs w:val="24"/>
              </w:rPr>
              <w:t>s</w:t>
            </w:r>
            <w:r w:rsidRPr="00567705">
              <w:rPr>
                <w:rFonts w:ascii="Times New Roman" w:eastAsia="Times New Roman" w:hAnsi="Times New Roman" w:cs="Times New Roman"/>
                <w:sz w:val="24"/>
                <w:szCs w:val="24"/>
              </w:rPr>
              <w:t xml:space="preserve">ation and sustainable development. </w:t>
            </w:r>
          </w:p>
          <w:p w14:paraId="41ADDDA4" w14:textId="3DA8694B" w:rsidR="004F6117" w:rsidRPr="00E8165A" w:rsidRDefault="00CC783F" w:rsidP="00E8165A">
            <w:pPr>
              <w:pStyle w:val="ListParagraph"/>
              <w:spacing w:before="120" w:after="120" w:line="276" w:lineRule="auto"/>
              <w:ind w:left="0"/>
              <w:jc w:val="both"/>
              <w:rPr>
                <w:rFonts w:ascii="Times New Roman" w:eastAsia="Times New Roman" w:hAnsi="Times New Roman" w:cs="Times New Roman"/>
                <w:b/>
                <w:bCs/>
                <w:i/>
                <w:iCs/>
                <w:sz w:val="24"/>
                <w:szCs w:val="24"/>
                <w:highlight w:val="yellow"/>
              </w:rPr>
            </w:pPr>
            <w:r w:rsidRPr="00567705">
              <w:rPr>
                <w:rFonts w:ascii="Times New Roman" w:eastAsia="Times New Roman" w:hAnsi="Times New Roman" w:cs="Times New Roman"/>
                <w:sz w:val="24"/>
                <w:szCs w:val="24"/>
              </w:rPr>
              <w:t>The Commission is already support</w:t>
            </w:r>
            <w:r w:rsidR="0092388F">
              <w:rPr>
                <w:rFonts w:ascii="Times New Roman" w:eastAsia="Times New Roman" w:hAnsi="Times New Roman" w:cs="Times New Roman"/>
                <w:sz w:val="24"/>
                <w:szCs w:val="24"/>
              </w:rPr>
              <w:t>ing</w:t>
            </w:r>
            <w:r w:rsidRPr="00567705">
              <w:rPr>
                <w:rFonts w:ascii="Times New Roman" w:eastAsia="Times New Roman" w:hAnsi="Times New Roman" w:cs="Times New Roman"/>
                <w:sz w:val="24"/>
                <w:szCs w:val="24"/>
              </w:rPr>
              <w:t xml:space="preserve"> the implementation of the policies related to the Green Agenda in the form of investments and technical assistance, including through the EU4Green initiative and the Regional Cooperation Council.</w:t>
            </w:r>
          </w:p>
        </w:tc>
      </w:tr>
    </w:tbl>
    <w:p w14:paraId="6AF07B14" w14:textId="26AEAB66" w:rsidR="004F6117" w:rsidRPr="004F6117" w:rsidRDefault="004F6117" w:rsidP="00E8165A">
      <w:pPr>
        <w:spacing w:before="120" w:after="120"/>
        <w:jc w:val="both"/>
        <w:rPr>
          <w:rFonts w:ascii="Times New Roman" w:hAnsi="Times New Roman"/>
          <w:b/>
          <w:strike/>
          <w:sz w:val="24"/>
          <w:szCs w:val="24"/>
          <w:u w:val="single"/>
        </w:rPr>
      </w:pPr>
    </w:p>
    <w:sectPr w:rsidR="004F6117" w:rsidRPr="004F6117" w:rsidSect="00DC6E4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30F1" w14:textId="77777777" w:rsidR="00EF4F63" w:rsidRDefault="00EF4F63" w:rsidP="00FF63EA">
      <w:pPr>
        <w:spacing w:after="0" w:line="240" w:lineRule="auto"/>
      </w:pPr>
      <w:r>
        <w:separator/>
      </w:r>
    </w:p>
  </w:endnote>
  <w:endnote w:type="continuationSeparator" w:id="0">
    <w:p w14:paraId="15770200" w14:textId="77777777" w:rsidR="00EF4F63" w:rsidRDefault="00EF4F63"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26BD" w14:textId="77777777" w:rsidR="00DC1E56" w:rsidRDefault="00DC1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3485" w14:textId="77777777" w:rsidR="00DC1E56" w:rsidRDefault="00DC1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1AC8" w14:textId="77777777" w:rsidR="00DC1E56" w:rsidRDefault="00DC1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C10EF" w14:textId="77777777" w:rsidR="00EF4F63" w:rsidRDefault="00EF4F63" w:rsidP="00FF63EA">
      <w:pPr>
        <w:spacing w:after="0" w:line="240" w:lineRule="auto"/>
      </w:pPr>
      <w:r>
        <w:separator/>
      </w:r>
    </w:p>
  </w:footnote>
  <w:footnote w:type="continuationSeparator" w:id="0">
    <w:p w14:paraId="1BABB337" w14:textId="77777777" w:rsidR="00EF4F63" w:rsidRDefault="00EF4F63" w:rsidP="00FF63EA">
      <w:pPr>
        <w:spacing w:after="0" w:line="240" w:lineRule="auto"/>
      </w:pPr>
      <w:r>
        <w:continuationSeparator/>
      </w:r>
    </w:p>
  </w:footnote>
  <w:footnote w:id="1">
    <w:p w14:paraId="088798D9" w14:textId="77777777" w:rsidR="00D61BFD" w:rsidRPr="00287EDC" w:rsidRDefault="00D61BFD" w:rsidP="00D61BFD">
      <w:pPr>
        <w:pStyle w:val="FootnoteText"/>
        <w:rPr>
          <w:rFonts w:ascii="Times New Roman" w:hAnsi="Times New Roman" w:cs="Times New Roman"/>
          <w:lang w:val="en-IE"/>
        </w:rPr>
      </w:pPr>
      <w:r w:rsidRPr="00A136F9">
        <w:rPr>
          <w:rStyle w:val="FootnoteReference"/>
          <w:rFonts w:ascii="Times New Roman" w:hAnsi="Times New Roman" w:cs="Times New Roman"/>
          <w:sz w:val="20"/>
        </w:rPr>
        <w:footnoteRef/>
      </w:r>
      <w:r w:rsidRPr="00287EDC">
        <w:rPr>
          <w:rFonts w:ascii="Times New Roman" w:hAnsi="Times New Roman" w:cs="Times New Roman"/>
          <w:lang w:val="en-IE"/>
        </w:rPr>
        <w:t xml:space="preserve"> Regulation (EU) 2024/1449</w:t>
      </w:r>
    </w:p>
  </w:footnote>
  <w:footnote w:id="2">
    <w:p w14:paraId="771A8C78" w14:textId="1A0DF2E0" w:rsidR="008D23FE" w:rsidRPr="00E8165A" w:rsidRDefault="008D23FE" w:rsidP="00591EC7">
      <w:pPr>
        <w:pStyle w:val="FootnoteText"/>
        <w:jc w:val="both"/>
        <w:rPr>
          <w:rFonts w:ascii="Times New Roman" w:hAnsi="Times New Roman" w:cs="Times New Roman"/>
        </w:rPr>
      </w:pPr>
      <w:r w:rsidRPr="00E8165A">
        <w:rPr>
          <w:rFonts w:ascii="Times New Roman" w:hAnsi="Times New Roman" w:cs="Times New Roman"/>
        </w:rPr>
        <w:footnoteRef/>
      </w:r>
      <w:r w:rsidRPr="00E8165A">
        <w:rPr>
          <w:rFonts w:ascii="Times New Roman" w:hAnsi="Times New Roman" w:cs="Times New Roman"/>
        </w:rPr>
        <w:t xml:space="preserve"> </w:t>
      </w:r>
      <w:r w:rsidR="00E8165A">
        <w:rPr>
          <w:rFonts w:ascii="Times New Roman" w:hAnsi="Times New Roman" w:cs="Times New Roman"/>
        </w:rPr>
        <w:tab/>
      </w:r>
      <w:r w:rsidRPr="00E8165A">
        <w:rPr>
          <w:rFonts w:ascii="Times New Roman" w:eastAsia="Times New Roman" w:hAnsi="Times New Roman" w:cs="Times New Roman"/>
        </w:rPr>
        <w:t xml:space="preserve">Joint Communication to the European Parliament and the Council, Youth Action Plan (YAP) in EU external action 2022 – 2027, available at </w:t>
      </w:r>
      <w:hyperlink r:id="rId1">
        <w:r w:rsidRPr="00E8165A">
          <w:rPr>
            <w:rStyle w:val="Hyperlink"/>
            <w:rFonts w:ascii="Times New Roman" w:eastAsia="Times New Roman" w:hAnsi="Times New Roman" w:cs="Times New Roman"/>
            <w:lang w:val="en-IE"/>
          </w:rPr>
          <w:t>fe1bcd30-58da-4a37-ab2a-61848789da60_en (europa.eu)</w:t>
        </w:r>
      </w:hyperlink>
    </w:p>
  </w:footnote>
  <w:footnote w:id="3">
    <w:p w14:paraId="508BD506" w14:textId="560FC8C5" w:rsidR="008D23FE" w:rsidRPr="00E8165A" w:rsidRDefault="008D23FE" w:rsidP="00591EC7">
      <w:pPr>
        <w:pStyle w:val="FootnoteText"/>
        <w:jc w:val="both"/>
        <w:rPr>
          <w:rFonts w:ascii="Times New Roman" w:hAnsi="Times New Roman" w:cs="Times New Roman"/>
        </w:rPr>
      </w:pPr>
      <w:r w:rsidRPr="00E8165A">
        <w:rPr>
          <w:rFonts w:ascii="Times New Roman" w:hAnsi="Times New Roman" w:cs="Times New Roman"/>
        </w:rPr>
        <w:footnoteRef/>
      </w:r>
      <w:r w:rsidRPr="00E8165A">
        <w:rPr>
          <w:rFonts w:ascii="Times New Roman" w:hAnsi="Times New Roman" w:cs="Times New Roman"/>
        </w:rPr>
        <w:t xml:space="preserve"> </w:t>
      </w:r>
      <w:r w:rsidR="00E8165A">
        <w:rPr>
          <w:rFonts w:ascii="Times New Roman" w:hAnsi="Times New Roman" w:cs="Times New Roman"/>
        </w:rPr>
        <w:tab/>
      </w:r>
      <w:hyperlink r:id="rId2" w:anchor=":~:text=The%20Western%20Balkans%20Youth%20Lab%20Project%20is">
        <w:r w:rsidRPr="00E8165A">
          <w:rPr>
            <w:rStyle w:val="Hyperlink"/>
            <w:rFonts w:ascii="Times New Roman" w:hAnsi="Times New Roman" w:cs="Times New Roman"/>
          </w:rPr>
          <w:t>Regional Cooperation Council | Western Balkans Youth Lab Project (rcc.int)</w:t>
        </w:r>
      </w:hyperlink>
    </w:p>
  </w:footnote>
  <w:footnote w:id="4">
    <w:p w14:paraId="1F7823B8" w14:textId="6EF03D16" w:rsidR="008D23FE" w:rsidRPr="00E8165A" w:rsidRDefault="008D23FE" w:rsidP="00591EC7">
      <w:pPr>
        <w:pStyle w:val="FootnoteText"/>
        <w:jc w:val="both"/>
        <w:rPr>
          <w:rFonts w:ascii="Times New Roman" w:hAnsi="Times New Roman" w:cs="Times New Roman"/>
        </w:rPr>
      </w:pPr>
      <w:r w:rsidRPr="00E8165A">
        <w:rPr>
          <w:rFonts w:ascii="Times New Roman" w:hAnsi="Times New Roman" w:cs="Times New Roman"/>
        </w:rPr>
        <w:footnoteRef/>
      </w:r>
      <w:r w:rsidRPr="00E8165A">
        <w:rPr>
          <w:rFonts w:ascii="Times New Roman" w:hAnsi="Times New Roman" w:cs="Times New Roman"/>
        </w:rPr>
        <w:t xml:space="preserve"> </w:t>
      </w:r>
      <w:r w:rsidR="00E8165A">
        <w:rPr>
          <w:rFonts w:ascii="Times New Roman" w:hAnsi="Times New Roman" w:cs="Times New Roman"/>
        </w:rPr>
        <w:tab/>
      </w:r>
      <w:hyperlink r:id="rId3">
        <w:r w:rsidRPr="00E8165A">
          <w:rPr>
            <w:rStyle w:val="Hyperlink"/>
            <w:rFonts w:ascii="Times New Roman" w:hAnsi="Times New Roman" w:cs="Times New Roman"/>
          </w:rPr>
          <w:t>Regional Youth Cooperation Office – RYCO (rycowb.org)</w:t>
        </w:r>
      </w:hyperlink>
    </w:p>
  </w:footnote>
  <w:footnote w:id="5">
    <w:p w14:paraId="4F4DC410" w14:textId="2E6868B0" w:rsidR="00720161" w:rsidRPr="00591EC7" w:rsidRDefault="00720161" w:rsidP="00591EC7">
      <w:pPr>
        <w:pStyle w:val="FootnoteText"/>
        <w:jc w:val="both"/>
        <w:rPr>
          <w:rFonts w:ascii="Times New Roman" w:hAnsi="Times New Roman" w:cs="Times New Roman"/>
          <w:lang w:val="en-IE"/>
        </w:rPr>
      </w:pPr>
      <w:r w:rsidRPr="00591EC7">
        <w:rPr>
          <w:rStyle w:val="FootnoteReference"/>
          <w:rFonts w:ascii="Times New Roman" w:hAnsi="Times New Roman" w:cs="Times New Roman"/>
          <w:sz w:val="20"/>
        </w:rPr>
        <w:footnoteRef/>
      </w:r>
      <w:r w:rsidRPr="00591EC7">
        <w:rPr>
          <w:rFonts w:ascii="Times New Roman" w:hAnsi="Times New Roman" w:cs="Times New Roman"/>
          <w:lang w:val="en-IE"/>
        </w:rPr>
        <w:t xml:space="preserve"> </w:t>
      </w:r>
      <w:r w:rsidR="00E8165A">
        <w:rPr>
          <w:rFonts w:ascii="Times New Roman" w:hAnsi="Times New Roman" w:cs="Times New Roman"/>
          <w:lang w:val="en-IE"/>
        </w:rPr>
        <w:tab/>
      </w:r>
      <w:r w:rsidRPr="00591EC7">
        <w:rPr>
          <w:rFonts w:ascii="Times New Roman" w:hAnsi="Times New Roman" w:cs="Times New Roman"/>
          <w:lang w:val="en-IE"/>
        </w:rPr>
        <w:t>SWD(2024) 690 final, SWD(2024) 691 final, SWD(2024) 692 final, SWD(2024) 693 final, SWD(2024) 694 final,  SWD(2024) 695 final, SWD(2024) 696 final, SWD(2024) 697 final, SWD(2024) 698 final, SWD(2024) 699 final</w:t>
      </w:r>
    </w:p>
  </w:footnote>
  <w:footnote w:id="6">
    <w:p w14:paraId="39E9097D" w14:textId="03540E84" w:rsidR="00CC783F" w:rsidRPr="00D11B1D" w:rsidRDefault="00CC783F" w:rsidP="00591EC7">
      <w:pPr>
        <w:pStyle w:val="FootnoteText"/>
        <w:jc w:val="both"/>
        <w:rPr>
          <w:rFonts w:ascii="Times New Roman" w:hAnsi="Times New Roman" w:cs="Times New Roman"/>
          <w:lang w:val="fr-CH"/>
        </w:rPr>
      </w:pPr>
      <w:r w:rsidRPr="00E8165A">
        <w:rPr>
          <w:rFonts w:ascii="Times New Roman" w:hAnsi="Times New Roman" w:cs="Times New Roman"/>
        </w:rPr>
        <w:footnoteRef/>
      </w:r>
      <w:r w:rsidRPr="00E8165A">
        <w:rPr>
          <w:rFonts w:ascii="Times New Roman" w:hAnsi="Times New Roman" w:cs="Times New Roman"/>
          <w:lang w:val="fr-CH"/>
        </w:rPr>
        <w:t xml:space="preserve"> </w:t>
      </w:r>
      <w:r w:rsidR="00E8165A">
        <w:rPr>
          <w:rFonts w:ascii="Times New Roman" w:hAnsi="Times New Roman" w:cs="Times New Roman"/>
          <w:lang w:val="fr-CH"/>
        </w:rPr>
        <w:tab/>
      </w:r>
      <w:r w:rsidRPr="00E8165A">
        <w:rPr>
          <w:rFonts w:ascii="Times New Roman" w:eastAsia="Times New Roman" w:hAnsi="Times New Roman" w:cs="Times New Roman"/>
          <w:color w:val="000000"/>
          <w:lang w:val="fr-CH"/>
        </w:rPr>
        <w:t xml:space="preserve">(COM)2024 146; </w:t>
      </w:r>
      <w:hyperlink r:id="rId4">
        <w:r w:rsidR="00591EC7" w:rsidRPr="00591EC7">
          <w:rPr>
            <w:rStyle w:val="Hyperlink"/>
            <w:rFonts w:ascii="Times New Roman" w:eastAsia="Times New Roman" w:hAnsi="Times New Roman" w:cs="Times New Roman"/>
            <w:lang w:val="fr-CH"/>
          </w:rPr>
          <w:t>EUR-Lex - 52024DC0146 - EN - EUR-Lex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BF1D" w14:textId="77777777" w:rsidR="00DC1E56" w:rsidRDefault="00DC1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A21C" w14:textId="77777777" w:rsidR="00DC1E56" w:rsidRDefault="00DC1E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47F3" w14:textId="77777777" w:rsidR="00DC1E56" w:rsidRDefault="00DC1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6489F"/>
    <w:multiLevelType w:val="hybridMultilevel"/>
    <w:tmpl w:val="7C16BA48"/>
    <w:lvl w:ilvl="0" w:tplc="CE3C593A">
      <w:start w:val="1"/>
      <w:numFmt w:val="decimal"/>
      <w:lvlText w:val="%1."/>
      <w:lvlJc w:val="left"/>
      <w:pPr>
        <w:ind w:left="1080" w:hanging="360"/>
      </w:pPr>
      <w:rPr>
        <w:b/>
        <w:bCs/>
      </w:rPr>
    </w:lvl>
    <w:lvl w:ilvl="1" w:tplc="66D44AA8">
      <w:start w:val="1"/>
      <w:numFmt w:val="lowerLetter"/>
      <w:lvlText w:val="%2."/>
      <w:lvlJc w:val="left"/>
      <w:pPr>
        <w:ind w:left="1800" w:hanging="360"/>
      </w:pPr>
    </w:lvl>
    <w:lvl w:ilvl="2" w:tplc="6D0C0712">
      <w:start w:val="1"/>
      <w:numFmt w:val="lowerRoman"/>
      <w:lvlText w:val="%3."/>
      <w:lvlJc w:val="right"/>
      <w:pPr>
        <w:ind w:left="2520" w:hanging="180"/>
      </w:pPr>
    </w:lvl>
    <w:lvl w:ilvl="3" w:tplc="9B7EC096">
      <w:start w:val="1"/>
      <w:numFmt w:val="decimal"/>
      <w:lvlText w:val="%4."/>
      <w:lvlJc w:val="left"/>
      <w:pPr>
        <w:ind w:left="3240" w:hanging="360"/>
      </w:pPr>
    </w:lvl>
    <w:lvl w:ilvl="4" w:tplc="DD56ED60">
      <w:start w:val="1"/>
      <w:numFmt w:val="lowerLetter"/>
      <w:lvlText w:val="%5."/>
      <w:lvlJc w:val="left"/>
      <w:pPr>
        <w:ind w:left="3960" w:hanging="360"/>
      </w:pPr>
    </w:lvl>
    <w:lvl w:ilvl="5" w:tplc="10724F52">
      <w:start w:val="1"/>
      <w:numFmt w:val="lowerRoman"/>
      <w:lvlText w:val="%6."/>
      <w:lvlJc w:val="right"/>
      <w:pPr>
        <w:ind w:left="4680" w:hanging="180"/>
      </w:pPr>
    </w:lvl>
    <w:lvl w:ilvl="6" w:tplc="8FE4C2D6">
      <w:start w:val="1"/>
      <w:numFmt w:val="decimal"/>
      <w:lvlText w:val="%7."/>
      <w:lvlJc w:val="left"/>
      <w:pPr>
        <w:ind w:left="5400" w:hanging="360"/>
      </w:pPr>
    </w:lvl>
    <w:lvl w:ilvl="7" w:tplc="3482BFD0">
      <w:start w:val="1"/>
      <w:numFmt w:val="lowerLetter"/>
      <w:lvlText w:val="%8."/>
      <w:lvlJc w:val="left"/>
      <w:pPr>
        <w:ind w:left="6120" w:hanging="360"/>
      </w:pPr>
    </w:lvl>
    <w:lvl w:ilvl="8" w:tplc="3F5280E4">
      <w:start w:val="1"/>
      <w:numFmt w:val="lowerRoman"/>
      <w:lvlText w:val="%9."/>
      <w:lvlJc w:val="right"/>
      <w:pPr>
        <w:ind w:left="6840" w:hanging="180"/>
      </w:pPr>
    </w:lvl>
  </w:abstractNum>
  <w:num w:numId="1" w16cid:durableId="54283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14780"/>
    <w:rsid w:val="00046B15"/>
    <w:rsid w:val="000503B1"/>
    <w:rsid w:val="00050DC7"/>
    <w:rsid w:val="00076109"/>
    <w:rsid w:val="00077C4F"/>
    <w:rsid w:val="00083DE5"/>
    <w:rsid w:val="000F5FD8"/>
    <w:rsid w:val="00105C85"/>
    <w:rsid w:val="001167C0"/>
    <w:rsid w:val="001206BE"/>
    <w:rsid w:val="00122412"/>
    <w:rsid w:val="00135C2A"/>
    <w:rsid w:val="00195B9C"/>
    <w:rsid w:val="001B0E0B"/>
    <w:rsid w:val="001B67B4"/>
    <w:rsid w:val="001C143D"/>
    <w:rsid w:val="001C4138"/>
    <w:rsid w:val="001C4F3D"/>
    <w:rsid w:val="001E3104"/>
    <w:rsid w:val="001F2EC6"/>
    <w:rsid w:val="001F65D0"/>
    <w:rsid w:val="00217E59"/>
    <w:rsid w:val="00223C0A"/>
    <w:rsid w:val="00261176"/>
    <w:rsid w:val="00261F5F"/>
    <w:rsid w:val="00264A66"/>
    <w:rsid w:val="002801FE"/>
    <w:rsid w:val="00287EDC"/>
    <w:rsid w:val="0029011D"/>
    <w:rsid w:val="002A067F"/>
    <w:rsid w:val="002F03FA"/>
    <w:rsid w:val="002F1FA0"/>
    <w:rsid w:val="002F5D1A"/>
    <w:rsid w:val="003004D2"/>
    <w:rsid w:val="003349A3"/>
    <w:rsid w:val="003461FD"/>
    <w:rsid w:val="0034738E"/>
    <w:rsid w:val="003738B6"/>
    <w:rsid w:val="00377967"/>
    <w:rsid w:val="00382D93"/>
    <w:rsid w:val="00386143"/>
    <w:rsid w:val="003B58DC"/>
    <w:rsid w:val="003D5CA8"/>
    <w:rsid w:val="003E6C60"/>
    <w:rsid w:val="003F686E"/>
    <w:rsid w:val="00442552"/>
    <w:rsid w:val="00455A1C"/>
    <w:rsid w:val="00457539"/>
    <w:rsid w:val="004675B5"/>
    <w:rsid w:val="004770D6"/>
    <w:rsid w:val="004866E9"/>
    <w:rsid w:val="0049246C"/>
    <w:rsid w:val="004D421F"/>
    <w:rsid w:val="004F4D68"/>
    <w:rsid w:val="004F5409"/>
    <w:rsid w:val="004F6117"/>
    <w:rsid w:val="004F63F1"/>
    <w:rsid w:val="004F651E"/>
    <w:rsid w:val="0052596B"/>
    <w:rsid w:val="00525D6B"/>
    <w:rsid w:val="0054745E"/>
    <w:rsid w:val="00554D8D"/>
    <w:rsid w:val="00573835"/>
    <w:rsid w:val="00581306"/>
    <w:rsid w:val="005826E6"/>
    <w:rsid w:val="00591EC7"/>
    <w:rsid w:val="005A2B04"/>
    <w:rsid w:val="005C3105"/>
    <w:rsid w:val="005C4541"/>
    <w:rsid w:val="00624D4B"/>
    <w:rsid w:val="00675BAA"/>
    <w:rsid w:val="0067622C"/>
    <w:rsid w:val="00692C2F"/>
    <w:rsid w:val="00695797"/>
    <w:rsid w:val="00696A5E"/>
    <w:rsid w:val="006B3B69"/>
    <w:rsid w:val="006C2BC6"/>
    <w:rsid w:val="006D039E"/>
    <w:rsid w:val="00700823"/>
    <w:rsid w:val="00720161"/>
    <w:rsid w:val="00734613"/>
    <w:rsid w:val="00751910"/>
    <w:rsid w:val="00751E60"/>
    <w:rsid w:val="007547B5"/>
    <w:rsid w:val="00761310"/>
    <w:rsid w:val="00772305"/>
    <w:rsid w:val="007725CB"/>
    <w:rsid w:val="00795A9E"/>
    <w:rsid w:val="007A606D"/>
    <w:rsid w:val="007C2214"/>
    <w:rsid w:val="007D7509"/>
    <w:rsid w:val="00807B48"/>
    <w:rsid w:val="008135CA"/>
    <w:rsid w:val="0081584F"/>
    <w:rsid w:val="008264DC"/>
    <w:rsid w:val="008528A5"/>
    <w:rsid w:val="00857646"/>
    <w:rsid w:val="00864C10"/>
    <w:rsid w:val="008703BF"/>
    <w:rsid w:val="0088303B"/>
    <w:rsid w:val="008872EE"/>
    <w:rsid w:val="008925CE"/>
    <w:rsid w:val="008C4D41"/>
    <w:rsid w:val="008D23FE"/>
    <w:rsid w:val="008E6A0C"/>
    <w:rsid w:val="00914B88"/>
    <w:rsid w:val="0092388F"/>
    <w:rsid w:val="00925AA6"/>
    <w:rsid w:val="00927C47"/>
    <w:rsid w:val="00937EA6"/>
    <w:rsid w:val="00966080"/>
    <w:rsid w:val="00966F99"/>
    <w:rsid w:val="00981F45"/>
    <w:rsid w:val="00994D12"/>
    <w:rsid w:val="009B128B"/>
    <w:rsid w:val="00A136F9"/>
    <w:rsid w:val="00A16F07"/>
    <w:rsid w:val="00A450D4"/>
    <w:rsid w:val="00A62C7B"/>
    <w:rsid w:val="00A7709A"/>
    <w:rsid w:val="00AA4205"/>
    <w:rsid w:val="00AC587F"/>
    <w:rsid w:val="00AE1842"/>
    <w:rsid w:val="00AE3C7C"/>
    <w:rsid w:val="00B028D4"/>
    <w:rsid w:val="00B31306"/>
    <w:rsid w:val="00B35A92"/>
    <w:rsid w:val="00B42814"/>
    <w:rsid w:val="00B501D8"/>
    <w:rsid w:val="00B600B3"/>
    <w:rsid w:val="00B62777"/>
    <w:rsid w:val="00B6459E"/>
    <w:rsid w:val="00B67018"/>
    <w:rsid w:val="00B83936"/>
    <w:rsid w:val="00BA6F5F"/>
    <w:rsid w:val="00BD6EB7"/>
    <w:rsid w:val="00BF5F84"/>
    <w:rsid w:val="00C402AE"/>
    <w:rsid w:val="00C46A96"/>
    <w:rsid w:val="00C54D27"/>
    <w:rsid w:val="00C6571C"/>
    <w:rsid w:val="00C76EEB"/>
    <w:rsid w:val="00C90BB7"/>
    <w:rsid w:val="00CC231A"/>
    <w:rsid w:val="00CC783F"/>
    <w:rsid w:val="00CD5C6A"/>
    <w:rsid w:val="00D01F5A"/>
    <w:rsid w:val="00D1716E"/>
    <w:rsid w:val="00D239D2"/>
    <w:rsid w:val="00D46F77"/>
    <w:rsid w:val="00D61BFD"/>
    <w:rsid w:val="00D63D6D"/>
    <w:rsid w:val="00D64E05"/>
    <w:rsid w:val="00D92FD3"/>
    <w:rsid w:val="00DA3B6E"/>
    <w:rsid w:val="00DB7581"/>
    <w:rsid w:val="00DC1E56"/>
    <w:rsid w:val="00DC6E47"/>
    <w:rsid w:val="00DC70C1"/>
    <w:rsid w:val="00DF5669"/>
    <w:rsid w:val="00E07158"/>
    <w:rsid w:val="00E11D48"/>
    <w:rsid w:val="00E66251"/>
    <w:rsid w:val="00E8165A"/>
    <w:rsid w:val="00E83C12"/>
    <w:rsid w:val="00E83F3D"/>
    <w:rsid w:val="00E904C8"/>
    <w:rsid w:val="00EA1BBF"/>
    <w:rsid w:val="00EB29A9"/>
    <w:rsid w:val="00EB77D2"/>
    <w:rsid w:val="00EF4F63"/>
    <w:rsid w:val="00F316C8"/>
    <w:rsid w:val="00F5182F"/>
    <w:rsid w:val="00F632DE"/>
    <w:rsid w:val="00F735E4"/>
    <w:rsid w:val="00F93DDB"/>
    <w:rsid w:val="00FB1237"/>
    <w:rsid w:val="00FB37B9"/>
    <w:rsid w:val="00FB7834"/>
    <w:rsid w:val="00FC36E7"/>
    <w:rsid w:val="00FD4319"/>
    <w:rsid w:val="00FD4B6A"/>
    <w:rsid w:val="00FF03A8"/>
    <w:rsid w:val="00FF626A"/>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3F"/>
    <w:pPr>
      <w:spacing w:after="160" w:line="259" w:lineRule="auto"/>
      <w:ind w:left="720"/>
      <w:contextualSpacing/>
    </w:pPr>
    <w:rPr>
      <w:rFonts w:cs="Arial"/>
      <w:kern w:val="2"/>
    </w:rPr>
  </w:style>
  <w:style w:type="character" w:styleId="FootnoteReference">
    <w:name w:val="footnote reference"/>
    <w:aliases w:val="Footnote symbol"/>
    <w:unhideWhenUsed/>
    <w:qFormat/>
    <w:rsid w:val="00CC783F"/>
    <w:rPr>
      <w:sz w:val="24"/>
      <w:vertAlign w:val="superscript"/>
    </w:rPr>
  </w:style>
  <w:style w:type="paragraph" w:styleId="FootnoteText">
    <w:name w:val="footnote text"/>
    <w:basedOn w:val="Normal"/>
    <w:link w:val="FootnoteTextChar"/>
    <w:uiPriority w:val="99"/>
    <w:semiHidden/>
    <w:unhideWhenUsed/>
    <w:rsid w:val="00CC783F"/>
    <w:pPr>
      <w:spacing w:after="0" w:line="240" w:lineRule="auto"/>
    </w:pPr>
    <w:rPr>
      <w:rFonts w:cs="Arial"/>
      <w:kern w:val="2"/>
      <w:sz w:val="20"/>
      <w:szCs w:val="20"/>
    </w:rPr>
  </w:style>
  <w:style w:type="character" w:customStyle="1" w:styleId="FootnoteTextChar">
    <w:name w:val="Footnote Text Char"/>
    <w:link w:val="FootnoteText"/>
    <w:uiPriority w:val="99"/>
    <w:semiHidden/>
    <w:rsid w:val="00CC783F"/>
    <w:rPr>
      <w:rFonts w:cs="Arial"/>
      <w:kern w:val="2"/>
      <w:lang w:eastAsia="en-US"/>
    </w:rPr>
  </w:style>
  <w:style w:type="character" w:styleId="Hyperlink">
    <w:name w:val="Hyperlink"/>
    <w:uiPriority w:val="99"/>
    <w:unhideWhenUsed/>
    <w:rsid w:val="00CC783F"/>
    <w:rPr>
      <w:color w:val="0563C1"/>
      <w:u w:val="single"/>
    </w:rPr>
  </w:style>
  <w:style w:type="paragraph" w:styleId="CommentText">
    <w:name w:val="annotation text"/>
    <w:basedOn w:val="Normal"/>
    <w:link w:val="CommentTextChar"/>
    <w:uiPriority w:val="99"/>
    <w:unhideWhenUsed/>
    <w:rsid w:val="00CC783F"/>
    <w:pPr>
      <w:spacing w:after="160" w:line="240" w:lineRule="auto"/>
    </w:pPr>
    <w:rPr>
      <w:rFonts w:cs="Arial"/>
      <w:kern w:val="2"/>
      <w:sz w:val="20"/>
      <w:szCs w:val="20"/>
    </w:rPr>
  </w:style>
  <w:style w:type="character" w:customStyle="1" w:styleId="CommentTextChar">
    <w:name w:val="Comment Text Char"/>
    <w:link w:val="CommentText"/>
    <w:uiPriority w:val="99"/>
    <w:rsid w:val="00CC783F"/>
    <w:rPr>
      <w:rFonts w:cs="Arial"/>
      <w:kern w:val="2"/>
      <w:lang w:eastAsia="en-US"/>
    </w:rPr>
  </w:style>
  <w:style w:type="character" w:styleId="CommentReference">
    <w:name w:val="annotation reference"/>
    <w:uiPriority w:val="99"/>
    <w:semiHidden/>
    <w:unhideWhenUsed/>
    <w:rsid w:val="00CC783F"/>
    <w:rPr>
      <w:sz w:val="16"/>
      <w:szCs w:val="16"/>
    </w:rPr>
  </w:style>
  <w:style w:type="paragraph" w:styleId="Revision">
    <w:name w:val="Revision"/>
    <w:hidden/>
    <w:uiPriority w:val="99"/>
    <w:semiHidden/>
    <w:rsid w:val="00B6459E"/>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624D4B"/>
    <w:pPr>
      <w:spacing w:after="200" w:line="276" w:lineRule="auto"/>
    </w:pPr>
    <w:rPr>
      <w:rFonts w:cs="Times New Roman"/>
      <w:b/>
      <w:bCs/>
      <w:kern w:val="0"/>
    </w:rPr>
  </w:style>
  <w:style w:type="character" w:customStyle="1" w:styleId="CommentSubjectChar">
    <w:name w:val="Comment Subject Char"/>
    <w:basedOn w:val="CommentTextChar"/>
    <w:link w:val="CommentSubject"/>
    <w:uiPriority w:val="99"/>
    <w:semiHidden/>
    <w:rsid w:val="00624D4B"/>
    <w:rPr>
      <w:rFonts w:cs="Arial"/>
      <w:b/>
      <w:bCs/>
      <w:kern w:val="2"/>
      <w:lang w:val="en-GB" w:eastAsia="en-US"/>
    </w:rPr>
  </w:style>
  <w:style w:type="paragraph" w:styleId="Header">
    <w:name w:val="header"/>
    <w:basedOn w:val="Normal"/>
    <w:link w:val="HeaderChar"/>
    <w:uiPriority w:val="99"/>
    <w:unhideWhenUsed/>
    <w:rsid w:val="00DC1E56"/>
    <w:pPr>
      <w:tabs>
        <w:tab w:val="center" w:pos="4513"/>
        <w:tab w:val="right" w:pos="9026"/>
      </w:tabs>
    </w:pPr>
  </w:style>
  <w:style w:type="character" w:customStyle="1" w:styleId="HeaderChar">
    <w:name w:val="Header Char"/>
    <w:basedOn w:val="DefaultParagraphFont"/>
    <w:link w:val="Header"/>
    <w:uiPriority w:val="99"/>
    <w:rsid w:val="00DC1E56"/>
    <w:rPr>
      <w:sz w:val="22"/>
      <w:szCs w:val="22"/>
      <w:lang w:val="en-GB" w:eastAsia="en-US"/>
    </w:rPr>
  </w:style>
  <w:style w:type="paragraph" w:styleId="Footer">
    <w:name w:val="footer"/>
    <w:basedOn w:val="Normal"/>
    <w:link w:val="FooterChar"/>
    <w:uiPriority w:val="99"/>
    <w:unhideWhenUsed/>
    <w:rsid w:val="00DC1E56"/>
    <w:pPr>
      <w:tabs>
        <w:tab w:val="center" w:pos="4513"/>
        <w:tab w:val="right" w:pos="9026"/>
      </w:tabs>
    </w:pPr>
  </w:style>
  <w:style w:type="character" w:customStyle="1" w:styleId="FooterChar">
    <w:name w:val="Footer Char"/>
    <w:basedOn w:val="DefaultParagraphFont"/>
    <w:link w:val="Footer"/>
    <w:uiPriority w:val="99"/>
    <w:rsid w:val="00DC1E56"/>
    <w:rPr>
      <w:sz w:val="22"/>
      <w:szCs w:val="22"/>
      <w:lang w:val="en-GB" w:eastAsia="en-US"/>
    </w:rPr>
  </w:style>
  <w:style w:type="character" w:styleId="UnresolvedMention">
    <w:name w:val="Unresolved Mention"/>
    <w:basedOn w:val="DefaultParagraphFont"/>
    <w:uiPriority w:val="99"/>
    <w:semiHidden/>
    <w:unhideWhenUsed/>
    <w:rsid w:val="00591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4612">
      <w:bodyDiv w:val="1"/>
      <w:marLeft w:val="0"/>
      <w:marRight w:val="0"/>
      <w:marTop w:val="0"/>
      <w:marBottom w:val="0"/>
      <w:divBdr>
        <w:top w:val="none" w:sz="0" w:space="0" w:color="auto"/>
        <w:left w:val="none" w:sz="0" w:space="0" w:color="auto"/>
        <w:bottom w:val="none" w:sz="0" w:space="0" w:color="auto"/>
        <w:right w:val="none" w:sz="0" w:space="0" w:color="auto"/>
      </w:divBdr>
    </w:div>
    <w:div w:id="224221393">
      <w:bodyDiv w:val="1"/>
      <w:marLeft w:val="0"/>
      <w:marRight w:val="0"/>
      <w:marTop w:val="0"/>
      <w:marBottom w:val="0"/>
      <w:divBdr>
        <w:top w:val="none" w:sz="0" w:space="0" w:color="auto"/>
        <w:left w:val="none" w:sz="0" w:space="0" w:color="auto"/>
        <w:bottom w:val="none" w:sz="0" w:space="0" w:color="auto"/>
        <w:right w:val="none" w:sz="0" w:space="0" w:color="auto"/>
      </w:divBdr>
    </w:div>
    <w:div w:id="545262189">
      <w:bodyDiv w:val="1"/>
      <w:marLeft w:val="0"/>
      <w:marRight w:val="0"/>
      <w:marTop w:val="0"/>
      <w:marBottom w:val="0"/>
      <w:divBdr>
        <w:top w:val="none" w:sz="0" w:space="0" w:color="auto"/>
        <w:left w:val="none" w:sz="0" w:space="0" w:color="auto"/>
        <w:bottom w:val="none" w:sz="0" w:space="0" w:color="auto"/>
        <w:right w:val="none" w:sz="0" w:space="0" w:color="auto"/>
      </w:divBdr>
    </w:div>
    <w:div w:id="1293171247">
      <w:bodyDiv w:val="1"/>
      <w:marLeft w:val="0"/>
      <w:marRight w:val="0"/>
      <w:marTop w:val="0"/>
      <w:marBottom w:val="0"/>
      <w:divBdr>
        <w:top w:val="none" w:sz="0" w:space="0" w:color="auto"/>
        <w:left w:val="none" w:sz="0" w:space="0" w:color="auto"/>
        <w:bottom w:val="none" w:sz="0" w:space="0" w:color="auto"/>
        <w:right w:val="none" w:sz="0" w:space="0" w:color="auto"/>
      </w:divBdr>
    </w:div>
    <w:div w:id="1295866796">
      <w:bodyDiv w:val="1"/>
      <w:marLeft w:val="0"/>
      <w:marRight w:val="0"/>
      <w:marTop w:val="0"/>
      <w:marBottom w:val="0"/>
      <w:divBdr>
        <w:top w:val="none" w:sz="0" w:space="0" w:color="auto"/>
        <w:left w:val="none" w:sz="0" w:space="0" w:color="auto"/>
        <w:bottom w:val="none" w:sz="0" w:space="0" w:color="auto"/>
        <w:right w:val="none" w:sz="0" w:space="0" w:color="auto"/>
      </w:divBdr>
    </w:div>
    <w:div w:id="21222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ycowb.org/" TargetMode="External"/><Relationship Id="rId2" Type="http://schemas.openxmlformats.org/officeDocument/2006/relationships/hyperlink" Target="https://www.rcc.int/priority_areas/48/western-balkans-youth-lab-project" TargetMode="External"/><Relationship Id="rId1" Type="http://schemas.openxmlformats.org/officeDocument/2006/relationships/hyperlink" Target="https://international-partnerships.ec.europa.eu/document/download/fe1bcd30-58da-4a37-ab2a-61848789da60_en?filename=Joint%20Communication%20-%20Youth%20Action%20Plan%20in%20EU%20external%20action%202022%20%E2%80%93%202027.pdf" TargetMode="External"/><Relationship Id="rId4" Type="http://schemas.openxmlformats.org/officeDocument/2006/relationships/hyperlink" Target="https://eur-lex.europa.eu/legal-content/EN/TXT/?uri=CELEX%3A52024DC0146&amp;qid=1728310371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FFAF9-1268-445C-BB20-71A6D018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1457</Words>
  <Characters>8424</Characters>
  <Application>Microsoft Office Word</Application>
  <DocSecurity>0</DocSecurity>
  <Lines>118</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KRECISZ Katarzyna (SG)</cp:lastModifiedBy>
  <cp:revision>6</cp:revision>
  <cp:lastPrinted>2013-02-27T18:02:00Z</cp:lastPrinted>
  <dcterms:created xsi:type="dcterms:W3CDTF">2025-04-10T08:42:00Z</dcterms:created>
  <dcterms:modified xsi:type="dcterms:W3CDTF">2025-04-10T13:53:00Z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